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52" w:rsidRDefault="00582052" w:rsidP="00D33076">
      <w:pPr>
        <w:pStyle w:val="Header"/>
        <w:jc w:val="right"/>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5pt;height:64.8pt" o:ole="">
            <v:imagedata r:id="rId8" o:title=""/>
          </v:shape>
          <o:OLEObject Type="Embed" ProgID="Presentations.Drawing.13" ShapeID="_x0000_i1025" DrawAspect="Content" ObjectID="_1553518779" r:id="rId9"/>
        </w:object>
      </w:r>
      <w:r>
        <w:t xml:space="preserve"> </w:t>
      </w:r>
      <w:r>
        <w:ptab w:relativeTo="margin" w:alignment="right" w:leader="none"/>
      </w:r>
    </w:p>
    <w:p w:rsidR="00582052" w:rsidRDefault="00582052" w:rsidP="00582052">
      <w:pPr>
        <w:pStyle w:val="Header"/>
      </w:pPr>
    </w:p>
    <w:p w:rsidR="00582052" w:rsidRPr="001E12E2" w:rsidRDefault="00582052" w:rsidP="00582052">
      <w:pPr>
        <w:jc w:val="center"/>
        <w:rPr>
          <w:b/>
        </w:rPr>
      </w:pPr>
      <w:r w:rsidRPr="001E12E2">
        <w:rPr>
          <w:b/>
        </w:rPr>
        <w:t>COUR SUPRÊME DU CANADA</w:t>
      </w:r>
    </w:p>
    <w:p w:rsidR="00582052" w:rsidRDefault="00582052" w:rsidP="0058205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582052" w:rsidRPr="001E12E2" w:rsidTr="00B07ECD">
        <w:trPr>
          <w:cantSplit/>
        </w:trPr>
        <w:tc>
          <w:tcPr>
            <w:tcW w:w="6768" w:type="dxa"/>
          </w:tcPr>
          <w:p w:rsidR="00582052" w:rsidRPr="001E12E2" w:rsidRDefault="00582052" w:rsidP="006D5374">
            <w:r>
              <w:rPr>
                <w:b/>
                <w:smallCaps/>
              </w:rPr>
              <w:t>Référence :</w:t>
            </w:r>
            <w:r w:rsidRPr="001E12E2">
              <w:t xml:space="preserve"> </w:t>
            </w:r>
            <w:r w:rsidRPr="00AA79D4">
              <w:t xml:space="preserve">Sattva Capital Corp. </w:t>
            </w:r>
            <w:r w:rsidRPr="00AA79D4">
              <w:rPr>
                <w:i/>
              </w:rPr>
              <w:t>c.</w:t>
            </w:r>
            <w:r w:rsidRPr="00AA79D4">
              <w:t xml:space="preserve"> Creston Moly Corp.</w:t>
            </w:r>
            <w:r w:rsidR="006D5374">
              <w:t>, 2014 CSC 53</w:t>
            </w:r>
            <w:r w:rsidR="00374C47">
              <w:t>, [2014] 2 R.C.S. 633</w:t>
            </w:r>
          </w:p>
        </w:tc>
        <w:tc>
          <w:tcPr>
            <w:tcW w:w="2808" w:type="dxa"/>
          </w:tcPr>
          <w:p w:rsidR="00582052" w:rsidRPr="001E12E2" w:rsidRDefault="00582052" w:rsidP="00B07ECD">
            <w:r w:rsidRPr="001E12E2">
              <w:rPr>
                <w:b/>
                <w:smallCaps/>
              </w:rPr>
              <w:t>Date</w:t>
            </w:r>
            <w:r>
              <w:rPr>
                <w:b/>
                <w:smallCaps/>
              </w:rPr>
              <w:t> :</w:t>
            </w:r>
            <w:r w:rsidRPr="001E12E2">
              <w:t xml:space="preserve"> </w:t>
            </w:r>
            <w:r>
              <w:t>20140801</w:t>
            </w:r>
          </w:p>
          <w:p w:rsidR="00582052" w:rsidRPr="001E12E2" w:rsidRDefault="00582052" w:rsidP="00B07ECD">
            <w:r w:rsidRPr="001E12E2">
              <w:rPr>
                <w:b/>
                <w:smallCaps/>
              </w:rPr>
              <w:t>Do</w:t>
            </w:r>
            <w:r>
              <w:rPr>
                <w:b/>
                <w:smallCaps/>
              </w:rPr>
              <w:t>ssier :</w:t>
            </w:r>
            <w:r w:rsidRPr="001E12E2">
              <w:t xml:space="preserve"> </w:t>
            </w:r>
            <w:r>
              <w:t>35026</w:t>
            </w:r>
          </w:p>
        </w:tc>
      </w:tr>
    </w:tbl>
    <w:p w:rsidR="00582052" w:rsidRPr="001E12E2" w:rsidRDefault="00582052" w:rsidP="00582052"/>
    <w:p w:rsidR="00582052" w:rsidRDefault="00582052" w:rsidP="006D5374">
      <w:pPr>
        <w:pStyle w:val="SCCLsocPrefix"/>
        <w:jc w:val="both"/>
      </w:pPr>
      <w:r>
        <w:t>Entre :</w:t>
      </w:r>
    </w:p>
    <w:p w:rsidR="00582052" w:rsidRPr="00582052" w:rsidRDefault="00582052" w:rsidP="00374C47">
      <w:pPr>
        <w:pStyle w:val="SCCLsocParty"/>
        <w:jc w:val="center"/>
        <w:rPr>
          <w:lang w:val="fr-CA"/>
        </w:rPr>
      </w:pPr>
      <w:r w:rsidRPr="00582052">
        <w:rPr>
          <w:lang w:val="fr-CA"/>
        </w:rPr>
        <w:t>Sattva Capital Corporation (anciennement Sattva Capital Inc.)</w:t>
      </w:r>
    </w:p>
    <w:p w:rsidR="00582052" w:rsidRPr="00582052" w:rsidRDefault="00582052" w:rsidP="00374C47">
      <w:pPr>
        <w:jc w:val="center"/>
        <w:rPr>
          <w:lang w:val="fr-CA"/>
        </w:rPr>
      </w:pPr>
      <w:r w:rsidRPr="00582052">
        <w:rPr>
          <w:lang w:val="fr-CA"/>
        </w:rPr>
        <w:t>Appelante</w:t>
      </w:r>
    </w:p>
    <w:p w:rsidR="00582052" w:rsidRPr="00374C47" w:rsidRDefault="00582052" w:rsidP="00374C47">
      <w:pPr>
        <w:pStyle w:val="SCCLsocVersus"/>
        <w:spacing w:after="0"/>
        <w:jc w:val="center"/>
        <w:rPr>
          <w:i w:val="0"/>
          <w:lang w:val="fr-CA"/>
        </w:rPr>
      </w:pPr>
      <w:r w:rsidRPr="00374C47">
        <w:rPr>
          <w:i w:val="0"/>
          <w:lang w:val="fr-CA"/>
        </w:rPr>
        <w:t>et</w:t>
      </w:r>
    </w:p>
    <w:p w:rsidR="00582052" w:rsidRPr="00582052" w:rsidRDefault="00582052" w:rsidP="00374C47">
      <w:pPr>
        <w:pStyle w:val="SCCLsocParty"/>
        <w:jc w:val="center"/>
        <w:rPr>
          <w:lang w:val="fr-CA"/>
        </w:rPr>
      </w:pPr>
      <w:r w:rsidRPr="00582052">
        <w:rPr>
          <w:lang w:val="fr-CA"/>
        </w:rPr>
        <w:t>Creston Moly Corporation (anciennement Georgia Ventures Inc.)</w:t>
      </w:r>
    </w:p>
    <w:p w:rsidR="00582052" w:rsidRPr="00582052" w:rsidRDefault="00582052" w:rsidP="00374C47">
      <w:pPr>
        <w:jc w:val="center"/>
        <w:rPr>
          <w:lang w:val="fr-CA"/>
        </w:rPr>
      </w:pPr>
      <w:r w:rsidRPr="00582052">
        <w:rPr>
          <w:lang w:val="fr-CA"/>
        </w:rPr>
        <w:t>Intimée</w:t>
      </w:r>
    </w:p>
    <w:p w:rsidR="00582052" w:rsidRPr="00582052" w:rsidRDefault="00582052" w:rsidP="00374C47">
      <w:pPr>
        <w:pStyle w:val="SCCLsocOtherPartySeparator"/>
        <w:spacing w:after="0"/>
        <w:jc w:val="center"/>
        <w:rPr>
          <w:lang w:val="fr-CA"/>
        </w:rPr>
      </w:pPr>
      <w:r w:rsidRPr="00582052">
        <w:rPr>
          <w:lang w:val="fr-CA"/>
        </w:rPr>
        <w:t>- et -</w:t>
      </w:r>
    </w:p>
    <w:p w:rsidR="00582052" w:rsidRPr="00582052" w:rsidRDefault="00582052" w:rsidP="00374C47">
      <w:pPr>
        <w:pStyle w:val="SCCLsocParty"/>
        <w:jc w:val="center"/>
        <w:rPr>
          <w:lang w:val="fr-CA"/>
        </w:rPr>
      </w:pPr>
      <w:r w:rsidRPr="00582052">
        <w:rPr>
          <w:lang w:val="fr-CA"/>
        </w:rPr>
        <w:t>Procureur général de la Colombie-Britannique et BCICAC Foundation</w:t>
      </w:r>
    </w:p>
    <w:p w:rsidR="00582052" w:rsidRPr="00EC1E65" w:rsidRDefault="00582052" w:rsidP="00374C47">
      <w:pPr>
        <w:jc w:val="center"/>
        <w:rPr>
          <w:lang w:val="fr-CA"/>
        </w:rPr>
      </w:pPr>
      <w:r w:rsidRPr="00EC1E65">
        <w:rPr>
          <w:lang w:val="fr-CA"/>
        </w:rPr>
        <w:t>Intervenants</w:t>
      </w:r>
    </w:p>
    <w:p w:rsidR="00582052" w:rsidRPr="00EC1E65" w:rsidRDefault="00582052" w:rsidP="00374C47">
      <w:pPr>
        <w:jc w:val="center"/>
        <w:rPr>
          <w:lang w:val="fr-CA"/>
        </w:rPr>
      </w:pPr>
    </w:p>
    <w:p w:rsidR="00582052" w:rsidRPr="00582052" w:rsidRDefault="00582052" w:rsidP="00582052">
      <w:pPr>
        <w:jc w:val="center"/>
        <w:rPr>
          <w:b/>
          <w:smallCaps/>
          <w:lang w:val="fr-CA"/>
        </w:rPr>
      </w:pPr>
      <w:r w:rsidRPr="00582052">
        <w:rPr>
          <w:b/>
          <w:smallCaps/>
          <w:lang w:val="fr-CA"/>
        </w:rPr>
        <w:t>Traduction française officielle</w:t>
      </w:r>
    </w:p>
    <w:p w:rsidR="00582052" w:rsidRPr="00582052" w:rsidRDefault="00582052" w:rsidP="00582052">
      <w:pPr>
        <w:rPr>
          <w:lang w:val="fr-CA"/>
        </w:rPr>
      </w:pPr>
    </w:p>
    <w:p w:rsidR="00582052" w:rsidRPr="00582052" w:rsidRDefault="00582052" w:rsidP="00582052">
      <w:pPr>
        <w:rPr>
          <w:lang w:val="fr-CA"/>
        </w:rPr>
      </w:pPr>
      <w:r w:rsidRPr="00582052">
        <w:rPr>
          <w:b/>
          <w:smallCaps/>
          <w:lang w:val="fr-CA"/>
        </w:rPr>
        <w:t>Coram :</w:t>
      </w:r>
      <w:r w:rsidRPr="00582052">
        <w:rPr>
          <w:lang w:val="fr-CA"/>
        </w:rPr>
        <w:t xml:space="preserve"> La juge en chef McLachlin et les juges LeBel, Abella, Rothstein, Moldaver, Karakatsanis et Wagner</w:t>
      </w:r>
    </w:p>
    <w:p w:rsidR="00582052" w:rsidRPr="00582052" w:rsidRDefault="00582052" w:rsidP="0058205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82052" w:rsidRPr="004173F5" w:rsidTr="00B07ECD">
        <w:trPr>
          <w:cantSplit/>
        </w:trPr>
        <w:tc>
          <w:tcPr>
            <w:tcW w:w="3618" w:type="dxa"/>
          </w:tcPr>
          <w:p w:rsidR="00582052" w:rsidRPr="00582052" w:rsidRDefault="00582052" w:rsidP="00B07ECD">
            <w:pPr>
              <w:rPr>
                <w:b/>
                <w:smallCaps/>
                <w:lang w:val="fr-CA"/>
              </w:rPr>
            </w:pPr>
            <w:r w:rsidRPr="00582052">
              <w:rPr>
                <w:b/>
                <w:smallCaps/>
                <w:lang w:val="fr-CA"/>
              </w:rPr>
              <w:t>Motifs de jugement :</w:t>
            </w:r>
          </w:p>
          <w:p w:rsidR="00582052" w:rsidRPr="00582052" w:rsidRDefault="00582052" w:rsidP="00B07ECD">
            <w:pPr>
              <w:rPr>
                <w:lang w:val="fr-CA"/>
              </w:rPr>
            </w:pPr>
            <w:r w:rsidRPr="00582052">
              <w:rPr>
                <w:lang w:val="fr-CA"/>
              </w:rPr>
              <w:t>(par. 1 à 125)</w:t>
            </w:r>
          </w:p>
        </w:tc>
        <w:tc>
          <w:tcPr>
            <w:tcW w:w="5958" w:type="dxa"/>
          </w:tcPr>
          <w:p w:rsidR="00582052" w:rsidRPr="00582052" w:rsidRDefault="00582052" w:rsidP="00B07ECD">
            <w:pPr>
              <w:rPr>
                <w:lang w:val="fr-CA"/>
              </w:rPr>
            </w:pPr>
            <w:r w:rsidRPr="00582052">
              <w:rPr>
                <w:lang w:val="fr-CA"/>
              </w:rPr>
              <w:t>Le juge Rothstein (avec l’accord de la juge en chef McLachlin et des juges LeBel, Abella, Moldaver, Karakatsanis et Wagner)</w:t>
            </w:r>
          </w:p>
        </w:tc>
      </w:tr>
    </w:tbl>
    <w:p w:rsidR="00582052" w:rsidRPr="00582052" w:rsidRDefault="00582052" w:rsidP="00582052">
      <w:pPr>
        <w:rPr>
          <w:lang w:val="fr-CA"/>
        </w:rPr>
      </w:pPr>
    </w:p>
    <w:p w:rsidR="00582052" w:rsidRPr="00582052" w:rsidRDefault="00CA6863" w:rsidP="00582052">
      <w:pPr>
        <w:rPr>
          <w:lang w:val="fr-CA"/>
        </w:rPr>
      </w:pPr>
      <w:r>
        <w:rPr>
          <w:noProof/>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184150</wp:posOffset>
                </wp:positionV>
                <wp:extent cx="2505075" cy="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7B95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82052" w:rsidRDefault="00582052" w:rsidP="003C02CB">
      <w:pPr>
        <w:spacing w:after="720"/>
        <w:jc w:val="both"/>
        <w:rPr>
          <w:smallCaps/>
          <w:lang w:val="fr-CA"/>
        </w:rPr>
      </w:pPr>
    </w:p>
    <w:p w:rsidR="00EC1E65" w:rsidRPr="003359E6" w:rsidRDefault="003359E6" w:rsidP="00EC1E65">
      <w:pPr>
        <w:spacing w:after="720"/>
        <w:jc w:val="both"/>
        <w:rPr>
          <w:lang w:val="en-US"/>
        </w:rPr>
      </w:pPr>
      <w:r w:rsidRPr="00AA79D4">
        <w:t xml:space="preserve">Sattva Capital Corp. </w:t>
      </w:r>
      <w:r w:rsidRPr="00AA79D4">
        <w:rPr>
          <w:i/>
        </w:rPr>
        <w:t>c.</w:t>
      </w:r>
      <w:r w:rsidRPr="00AA79D4">
        <w:t xml:space="preserve"> Creston Moly Corp.</w:t>
      </w:r>
      <w:r>
        <w:t>, 2014 CSC 53, [2014] 2 R.C.S. 633</w:t>
      </w:r>
      <w:r w:rsidR="00EC1E65" w:rsidRPr="003359E6">
        <w:rPr>
          <w:smallCaps/>
          <w:lang w:val="en-US"/>
        </w:rPr>
        <w:t xml:space="preserve"> </w:t>
      </w:r>
    </w:p>
    <w:p w:rsidR="00EC1E65" w:rsidRPr="005E608F" w:rsidRDefault="00EC1E65" w:rsidP="00EC1E65">
      <w:pPr>
        <w:pStyle w:val="SCCLsocLastPartyInRole"/>
        <w:rPr>
          <w:lang w:val="fr-CA"/>
        </w:rPr>
      </w:pPr>
      <w:r w:rsidRPr="005E608F">
        <w:rPr>
          <w:lang w:val="fr-CA"/>
        </w:rPr>
        <w:t>Sattva Capital Corporation (anciennement Sattva Capital Inc.)</w:t>
      </w:r>
      <w:r w:rsidRPr="005E608F">
        <w:rPr>
          <w:rStyle w:val="SCCLsocPartyRole"/>
          <w:lang w:val="fr-CA"/>
        </w:rPr>
        <w:tab/>
        <w:t>Appelante</w:t>
      </w:r>
    </w:p>
    <w:p w:rsidR="00EC1E65" w:rsidRPr="00CA6863" w:rsidRDefault="00EC1E65" w:rsidP="00EC1E65">
      <w:pPr>
        <w:pStyle w:val="SCCLsocVersus"/>
        <w:rPr>
          <w:lang w:val="fr-CA"/>
        </w:rPr>
      </w:pPr>
      <w:r w:rsidRPr="00CA6863">
        <w:rPr>
          <w:lang w:val="fr-CA"/>
        </w:rPr>
        <w:t>c.</w:t>
      </w:r>
    </w:p>
    <w:p w:rsidR="00EC1E65" w:rsidRPr="005E608F" w:rsidRDefault="00EC1E65" w:rsidP="00EC1E65">
      <w:pPr>
        <w:pStyle w:val="SCCLsocLastPartyInRole"/>
        <w:rPr>
          <w:lang w:val="fr-CA"/>
        </w:rPr>
      </w:pPr>
      <w:r w:rsidRPr="00CA6863">
        <w:rPr>
          <w:lang w:val="fr-CA"/>
        </w:rPr>
        <w:t>Creston Moly Corporation (anciennement Georgia Ventures Inc.)</w:t>
      </w:r>
      <w:r w:rsidRPr="00CA6863">
        <w:rPr>
          <w:rStyle w:val="SCCLsocPartyRole"/>
          <w:lang w:val="fr-CA"/>
        </w:rPr>
        <w:tab/>
      </w:r>
      <w:r w:rsidRPr="005E608F">
        <w:rPr>
          <w:rStyle w:val="SCCLsocPartyRole"/>
          <w:lang w:val="fr-CA"/>
        </w:rPr>
        <w:t>Intimée</w:t>
      </w:r>
    </w:p>
    <w:p w:rsidR="00EC1E65" w:rsidRPr="005E608F" w:rsidRDefault="00EC1E65" w:rsidP="00EC1E65">
      <w:pPr>
        <w:pStyle w:val="SCCLsocOtherPartySeparator"/>
        <w:rPr>
          <w:lang w:val="fr-CA"/>
        </w:rPr>
      </w:pPr>
      <w:r w:rsidRPr="005E608F">
        <w:rPr>
          <w:lang w:val="fr-CA"/>
        </w:rPr>
        <w:lastRenderedPageBreak/>
        <w:t>et</w:t>
      </w:r>
    </w:p>
    <w:p w:rsidR="00EC1E65" w:rsidRPr="005E608F" w:rsidRDefault="00EC1E65" w:rsidP="00EC1E65">
      <w:pPr>
        <w:pStyle w:val="SCCLsocParty"/>
        <w:rPr>
          <w:lang w:val="fr-CA"/>
        </w:rPr>
      </w:pPr>
      <w:r w:rsidRPr="005E608F">
        <w:rPr>
          <w:lang w:val="fr-CA"/>
        </w:rPr>
        <w:t>Procureur général de la Colombie</w:t>
      </w:r>
      <w:r w:rsidRPr="005E608F">
        <w:rPr>
          <w:lang w:val="fr-CA"/>
        </w:rPr>
        <w:noBreakHyphen/>
        <w:t>Britannique et</w:t>
      </w:r>
    </w:p>
    <w:p w:rsidR="00EC1E65" w:rsidRPr="005E608F" w:rsidRDefault="00EC1E65" w:rsidP="00EC1E65">
      <w:pPr>
        <w:pStyle w:val="SCCLsocLastPartyInRole"/>
        <w:rPr>
          <w:lang w:val="fr-CA"/>
        </w:rPr>
      </w:pPr>
      <w:r w:rsidRPr="005E608F">
        <w:rPr>
          <w:lang w:val="fr-CA"/>
        </w:rPr>
        <w:t>BCICAC Foundation</w:t>
      </w:r>
      <w:r w:rsidRPr="005E608F">
        <w:rPr>
          <w:rStyle w:val="SCCLsocPartyRole"/>
          <w:lang w:val="fr-CA"/>
        </w:rPr>
        <w:tab/>
        <w:t>Intervenants</w:t>
      </w:r>
    </w:p>
    <w:p w:rsidR="00EC1E65" w:rsidRPr="005E608F" w:rsidRDefault="00EC1E65" w:rsidP="00EC1E65">
      <w:pPr>
        <w:spacing w:after="720"/>
        <w:jc w:val="both"/>
        <w:rPr>
          <w:b/>
          <w:lang w:val="fr-CA"/>
        </w:rPr>
      </w:pPr>
      <w:r w:rsidRPr="005E608F">
        <w:rPr>
          <w:b/>
          <w:lang w:val="fr-CA"/>
        </w:rPr>
        <w:t>Répertorié : Sattva Capital Corp. </w:t>
      </w:r>
      <w:r w:rsidRPr="005E608F">
        <w:rPr>
          <w:b/>
          <w:i/>
          <w:lang w:val="fr-CA"/>
        </w:rPr>
        <w:t>c.</w:t>
      </w:r>
      <w:r w:rsidRPr="005E608F">
        <w:rPr>
          <w:b/>
          <w:lang w:val="fr-CA"/>
        </w:rPr>
        <w:t xml:space="preserve"> Creston Moly Corp.</w:t>
      </w:r>
    </w:p>
    <w:p w:rsidR="00EC1E65" w:rsidRPr="005E608F" w:rsidRDefault="00EC1E65" w:rsidP="00EC1E65">
      <w:pPr>
        <w:pStyle w:val="SCCSystemYear"/>
        <w:spacing w:after="480" w:line="480" w:lineRule="auto"/>
        <w:jc w:val="both"/>
        <w:rPr>
          <w:lang w:val="fr-CA"/>
        </w:rPr>
      </w:pPr>
      <w:r w:rsidRPr="005E608F">
        <w:rPr>
          <w:lang w:val="fr-CA"/>
        </w:rPr>
        <w:t>2014 CSC 53</w:t>
      </w:r>
    </w:p>
    <w:p w:rsidR="00EC1E65" w:rsidRPr="005E608F" w:rsidRDefault="00EC1E65" w:rsidP="00EC1E65">
      <w:pPr>
        <w:spacing w:after="480" w:line="480" w:lineRule="auto"/>
        <w:jc w:val="both"/>
        <w:rPr>
          <w:lang w:val="fr-CA"/>
        </w:rPr>
      </w:pPr>
      <w:r w:rsidRPr="005E608F">
        <w:rPr>
          <w:lang w:val="fr-CA"/>
        </w:rPr>
        <w:t>N</w:t>
      </w:r>
      <w:r w:rsidRPr="005E608F">
        <w:rPr>
          <w:vertAlign w:val="superscript"/>
          <w:lang w:val="fr-CA"/>
        </w:rPr>
        <w:t>o</w:t>
      </w:r>
      <w:r w:rsidRPr="005E608F">
        <w:rPr>
          <w:lang w:val="fr-CA"/>
        </w:rPr>
        <w:t xml:space="preserve"> du greffe : 35026.</w:t>
      </w:r>
    </w:p>
    <w:p w:rsidR="00EC1E65" w:rsidRPr="005E608F" w:rsidRDefault="00EC1E65" w:rsidP="00EC1E65">
      <w:pPr>
        <w:spacing w:after="720"/>
        <w:jc w:val="both"/>
        <w:rPr>
          <w:lang w:val="fr-CA"/>
        </w:rPr>
      </w:pPr>
      <w:r w:rsidRPr="005E608F">
        <w:rPr>
          <w:lang w:val="fr-CA"/>
        </w:rPr>
        <w:t>2013 : 12 décembre; 2014 : 1</w:t>
      </w:r>
      <w:r w:rsidRPr="005E608F">
        <w:rPr>
          <w:vertAlign w:val="superscript"/>
          <w:lang w:val="fr-CA"/>
        </w:rPr>
        <w:t>er</w:t>
      </w:r>
      <w:r w:rsidRPr="005E608F">
        <w:rPr>
          <w:lang w:val="fr-CA"/>
        </w:rPr>
        <w:t> août.</w:t>
      </w:r>
    </w:p>
    <w:p w:rsidR="00EC1E65" w:rsidRPr="005E608F" w:rsidRDefault="00EC1E65" w:rsidP="00EC1E65">
      <w:pPr>
        <w:spacing w:after="720"/>
        <w:jc w:val="both"/>
        <w:rPr>
          <w:lang w:val="fr-CA"/>
        </w:rPr>
      </w:pPr>
      <w:r w:rsidRPr="005E608F">
        <w:rPr>
          <w:lang w:val="fr-CA"/>
        </w:rPr>
        <w:t>Présents : La juge en chef McLachlin et les juges LeBel, Abella, Rothstein, Moldaver, Karakatsanis et Wagner.</w:t>
      </w:r>
    </w:p>
    <w:p w:rsidR="00EC1E65" w:rsidRPr="005E608F" w:rsidRDefault="00EC1E65" w:rsidP="00EC1E65">
      <w:pPr>
        <w:spacing w:after="720"/>
        <w:jc w:val="both"/>
        <w:rPr>
          <w:smallCaps/>
          <w:lang w:val="fr-CA"/>
        </w:rPr>
      </w:pPr>
      <w:r w:rsidRPr="005E608F">
        <w:rPr>
          <w:smallCaps/>
          <w:lang w:val="fr-CA"/>
        </w:rPr>
        <w:t>en appel de la cour d’appel de la colombie</w:t>
      </w:r>
      <w:r w:rsidRPr="005E608F">
        <w:rPr>
          <w:smallCaps/>
          <w:lang w:val="fr-CA"/>
        </w:rPr>
        <w:noBreakHyphen/>
        <w:t>britannique</w:t>
      </w:r>
    </w:p>
    <w:p w:rsidR="00EC1E65" w:rsidRPr="005E608F" w:rsidRDefault="00EC1E65" w:rsidP="00EC1E65">
      <w:pPr>
        <w:pStyle w:val="SCCNormalDoubleSpacing"/>
        <w:spacing w:after="480"/>
        <w:rPr>
          <w:i/>
          <w:lang w:val="fr-CA"/>
        </w:rPr>
      </w:pPr>
      <w:r w:rsidRPr="005E608F">
        <w:rPr>
          <w:lang w:val="fr-CA"/>
        </w:rPr>
        <w:tab/>
      </w:r>
      <w:r w:rsidRPr="005E608F">
        <w:rPr>
          <w:i/>
          <w:lang w:val="fr-CA"/>
        </w:rPr>
        <w:t xml:space="preserve">Arbitrage — Appels — Sentences arbitrales commerciales — Conclusion d’une entente entre les parties prévoyant le versement en actions des honoraires d’intermédiation — Désaccord des parties sur la date applicable à l’évaluation du cours de l’action aux fins du versement des honoraires d’intermédiation et </w:t>
      </w:r>
      <w:r>
        <w:rPr>
          <w:i/>
          <w:lang w:val="fr-CA"/>
        </w:rPr>
        <w:t>recours à l’</w:t>
      </w:r>
      <w:r w:rsidRPr="005E608F">
        <w:rPr>
          <w:i/>
          <w:lang w:val="fr-CA"/>
        </w:rPr>
        <w:t xml:space="preserve">arbitrage — Autorisation d’appel de la sentence arbitrale demandée en application </w:t>
      </w:r>
      <w:r>
        <w:rPr>
          <w:i/>
          <w:lang w:val="fr-CA"/>
        </w:rPr>
        <w:t>de l’art.</w:t>
      </w:r>
      <w:r w:rsidRPr="005E608F">
        <w:rPr>
          <w:i/>
          <w:lang w:val="fr-CA"/>
        </w:rPr>
        <w:t> 31(2) de l’Arbitration Act — Rejet initial de la demande d’autorisation d’appel, qui est accueillie à l’issue d’</w:t>
      </w:r>
      <w:r>
        <w:rPr>
          <w:i/>
          <w:lang w:val="fr-CA"/>
        </w:rPr>
        <w:t>un appel devant la C</w:t>
      </w:r>
      <w:r w:rsidRPr="005E608F">
        <w:rPr>
          <w:i/>
          <w:lang w:val="fr-CA"/>
        </w:rPr>
        <w:t>our d’appel — Rejet de l’appel interjeté d</w:t>
      </w:r>
      <w:r>
        <w:rPr>
          <w:i/>
          <w:lang w:val="fr-CA"/>
        </w:rPr>
        <w:t>e la sentence infirmé par la C</w:t>
      </w:r>
      <w:r w:rsidRPr="005E608F">
        <w:rPr>
          <w:i/>
          <w:lang w:val="fr-CA"/>
        </w:rPr>
        <w:t>our d’</w:t>
      </w:r>
      <w:r>
        <w:rPr>
          <w:i/>
          <w:lang w:val="fr-CA"/>
        </w:rPr>
        <w:t>appel — La C</w:t>
      </w:r>
      <w:r w:rsidRPr="005E608F">
        <w:rPr>
          <w:i/>
          <w:lang w:val="fr-CA"/>
        </w:rPr>
        <w:t>our d’appel a</w:t>
      </w:r>
      <w:r w:rsidRPr="005E608F">
        <w:rPr>
          <w:i/>
          <w:lang w:val="fr-CA"/>
        </w:rPr>
        <w:noBreakHyphen/>
        <w:t>t</w:t>
      </w:r>
      <w:r w:rsidRPr="005E608F">
        <w:rPr>
          <w:i/>
          <w:lang w:val="fr-CA"/>
        </w:rPr>
        <w:noBreakHyphen/>
        <w:t xml:space="preserve">elle </w:t>
      </w:r>
      <w:r w:rsidRPr="005E608F">
        <w:rPr>
          <w:i/>
          <w:lang w:val="fr-CA"/>
        </w:rPr>
        <w:lastRenderedPageBreak/>
        <w:t>accordé à tort l’autorisation d’appel? — Quelle est la norme de contrôle applicable aux sentences arbitrales commerciales rendues sous le régime de l’Arbitration Act? — Arbitration Act, R.S.B.C. 1996, ch. 55, art. 31(2).</w:t>
      </w:r>
    </w:p>
    <w:p w:rsidR="00EC1E65" w:rsidRDefault="00EC1E65" w:rsidP="00EC1E65">
      <w:pPr>
        <w:pStyle w:val="SCCNormalDoubleSpacing"/>
        <w:spacing w:after="480"/>
        <w:rPr>
          <w:i/>
          <w:lang w:val="fr-CA"/>
        </w:rPr>
      </w:pPr>
      <w:r w:rsidRPr="005E608F">
        <w:rPr>
          <w:i/>
          <w:lang w:val="fr-CA"/>
        </w:rPr>
        <w:tab/>
        <w:t xml:space="preserve">Contrats — Interprétation — Conclusion d’une entente entre les parties prévoyant le versement en actions des honoraires d’intermédiation — Désaccord des parties sur la date applicable à l’évaluation du cours de l’action aux fins du versement des honoraires d’intermédiation et </w:t>
      </w:r>
      <w:r>
        <w:rPr>
          <w:i/>
          <w:lang w:val="fr-CA"/>
        </w:rPr>
        <w:t>recours à l’</w:t>
      </w:r>
      <w:r w:rsidRPr="005E608F">
        <w:rPr>
          <w:i/>
          <w:lang w:val="fr-CA"/>
        </w:rPr>
        <w:t>arbitrage — L’arbitre a</w:t>
      </w:r>
      <w:r w:rsidRPr="005E608F">
        <w:rPr>
          <w:i/>
          <w:lang w:val="fr-CA"/>
        </w:rPr>
        <w:noBreakHyphen/>
        <w:t>t</w:t>
      </w:r>
      <w:r w:rsidRPr="005E608F">
        <w:rPr>
          <w:i/>
          <w:lang w:val="fr-CA"/>
        </w:rPr>
        <w:noBreakHyphen/>
        <w:t>il donné une interprétation raisonnable de l’entente dans son ensemble? — L’interprétation contractuelle constitue</w:t>
      </w:r>
      <w:r w:rsidRPr="005E608F">
        <w:rPr>
          <w:i/>
          <w:lang w:val="fr-CA"/>
        </w:rPr>
        <w:noBreakHyphen/>
        <w:t>t</w:t>
      </w:r>
      <w:r w:rsidRPr="005E608F">
        <w:rPr>
          <w:i/>
          <w:lang w:val="fr-CA"/>
        </w:rPr>
        <w:noBreakHyphen/>
        <w:t>elle une question de droit ou une question mixte de fait et de droit?</w:t>
      </w:r>
    </w:p>
    <w:p w:rsidR="00EC1E65" w:rsidRPr="005E608F" w:rsidRDefault="00EC1E65" w:rsidP="00EC1E65">
      <w:pPr>
        <w:pStyle w:val="SCCNormalDoubleSpacing"/>
        <w:spacing w:after="480"/>
        <w:rPr>
          <w:lang w:val="fr-CA"/>
        </w:rPr>
      </w:pPr>
      <w:r w:rsidRPr="005E608F">
        <w:rPr>
          <w:i/>
          <w:lang w:val="fr-CA"/>
        </w:rPr>
        <w:tab/>
      </w:r>
      <w:r w:rsidRPr="005E608F">
        <w:rPr>
          <w:lang w:val="fr-CA"/>
        </w:rPr>
        <w:t xml:space="preserve">S et C ont conclu une entente selon laquelle C devait payer à S des honoraires d’intermédiation relativement à l’acquisition d’une propriété minière de molybdène par C.  Les parties reconnaissaient qu’en vertu de l’entente, S a droit à des honoraires d’intermédiation de 1,5 million $US, versés en actions de C.  Cependant, elles ne s’entendaient pas sur la date qui devrait être retenue pour évaluer le cours de l’action et, par conséquent, sur le nombre d’actions que S doit recevoir.  S prétendait que la valeur de l’action était dictée par la date établie dans la définition du cours prévue dans l’entente et, par conséquent, qu’elle devait recevoir environ 11 460 000 actions, à raison de 0,15 $ l’unité.  C prétendait que la stipulation relative au « plafond », qui figure dans l’entente, empêchait S de recevoir des actions d’une valeur supérieure à 1,5 million $US à la date du versement des honoraires et donc que S devait obtenir environ 2 454 000 actions, à raison de 0,70 $ l’unité.  Les parties ont soumis le </w:t>
      </w:r>
      <w:r w:rsidRPr="005E608F">
        <w:rPr>
          <w:lang w:val="fr-CA"/>
        </w:rPr>
        <w:lastRenderedPageBreak/>
        <w:t>différend à l’arbitrage conformément à l’</w:t>
      </w:r>
      <w:r w:rsidRPr="005E608F">
        <w:rPr>
          <w:i/>
          <w:lang w:val="fr-CA"/>
        </w:rPr>
        <w:t xml:space="preserve">Arbitration Act </w:t>
      </w:r>
      <w:r w:rsidRPr="005E608F">
        <w:rPr>
          <w:lang w:val="fr-CA"/>
        </w:rPr>
        <w:t>de la Colombie</w:t>
      </w:r>
      <w:r w:rsidRPr="005E608F">
        <w:rPr>
          <w:lang w:val="fr-CA"/>
        </w:rPr>
        <w:noBreakHyphen/>
        <w:t>Britannique et l’arbitre a statué en faveur de S.  C a demandé l’autorisation d’interjeter appel de la sentence arbitrale en vertu du par. 31(2) de l’</w:t>
      </w:r>
      <w:r w:rsidRPr="005E608F">
        <w:rPr>
          <w:i/>
          <w:lang w:val="fr-CA"/>
        </w:rPr>
        <w:t>Arbitration Act</w:t>
      </w:r>
      <w:r w:rsidRPr="005E608F">
        <w:rPr>
          <w:lang w:val="fr-CA"/>
        </w:rPr>
        <w:t xml:space="preserve">.  La demande a été rejetée au motif que la question soulevée n’était pas une question de droit.  </w:t>
      </w:r>
      <w:r>
        <w:rPr>
          <w:lang w:val="fr-CA"/>
        </w:rPr>
        <w:t>La C</w:t>
      </w:r>
      <w:r w:rsidRPr="005E608F">
        <w:rPr>
          <w:lang w:val="fr-CA"/>
        </w:rPr>
        <w:t xml:space="preserve">our d’appel a infirmé la décision et accueilli la demande, présentée par C, en autorisation d’interjeter appel, jugeant que l’omission par l’arbitre d’examiner la signification de la stipulation de l’entente relative au « plafond » soulevait une question de droit.  Le juge de la cour supérieure saisi de l’appel a rejeté l’appel de C et conclu que l’interprétation de l’entente par l’arbitre était correcte.  </w:t>
      </w:r>
      <w:r>
        <w:rPr>
          <w:lang w:val="fr-CA"/>
        </w:rPr>
        <w:t>La C</w:t>
      </w:r>
      <w:r w:rsidRPr="005E608F">
        <w:rPr>
          <w:lang w:val="fr-CA"/>
        </w:rPr>
        <w:t>our d’appel a accueilli l’appel de C, concluant que l’interprétation de l’arbitre menait à un résultat absurde.  S interj</w:t>
      </w:r>
      <w:r>
        <w:rPr>
          <w:lang w:val="fr-CA"/>
        </w:rPr>
        <w:t>ette appel des décisions de la C</w:t>
      </w:r>
      <w:r w:rsidRPr="005E608F">
        <w:rPr>
          <w:lang w:val="fr-CA"/>
        </w:rPr>
        <w:t>our d’appel ayant accordé l’autorisation d’appel et ayant accueilli l’appel.</w:t>
      </w:r>
    </w:p>
    <w:p w:rsidR="00EC1E65" w:rsidRPr="005E608F" w:rsidRDefault="00EC1E65" w:rsidP="00EC1E65">
      <w:pPr>
        <w:pStyle w:val="SCCNormalDoubleSpacing"/>
        <w:spacing w:after="480"/>
        <w:rPr>
          <w:lang w:val="fr-CA"/>
        </w:rPr>
      </w:pPr>
      <w:r w:rsidRPr="005E608F">
        <w:rPr>
          <w:lang w:val="fr-CA"/>
        </w:rPr>
        <w:tab/>
      </w:r>
      <w:r w:rsidRPr="005E608F">
        <w:rPr>
          <w:i/>
          <w:lang w:val="fr-CA"/>
        </w:rPr>
        <w:t>Arrêt</w:t>
      </w:r>
      <w:r w:rsidRPr="001B1B63">
        <w:rPr>
          <w:lang w:val="fr-CA"/>
        </w:rPr>
        <w:t> :</w:t>
      </w:r>
      <w:r w:rsidRPr="005E608F">
        <w:rPr>
          <w:lang w:val="fr-CA"/>
        </w:rPr>
        <w:t xml:space="preserve"> Le pourvoi est accueilli et la sentence arbitrale est rétablie.</w:t>
      </w:r>
    </w:p>
    <w:p w:rsidR="00EC1E65" w:rsidRPr="005E608F" w:rsidRDefault="00EC1E65" w:rsidP="00EC1E65">
      <w:pPr>
        <w:pStyle w:val="SCCNormalDoubleSpacing"/>
        <w:spacing w:after="480"/>
        <w:rPr>
          <w:lang w:val="fr-CA"/>
        </w:rPr>
      </w:pPr>
      <w:r w:rsidRPr="005E608F">
        <w:rPr>
          <w:lang w:val="fr-CA"/>
        </w:rPr>
        <w:tab/>
        <w:t>L’appel d’une sentence arbitrale commerciale est étroitement circonscrit par l’</w:t>
      </w:r>
      <w:r w:rsidRPr="005E608F">
        <w:rPr>
          <w:i/>
          <w:lang w:val="fr-CA"/>
        </w:rPr>
        <w:t>Arbitration Act</w:t>
      </w:r>
      <w:r w:rsidRPr="005E608F">
        <w:rPr>
          <w:lang w:val="fr-CA"/>
        </w:rPr>
        <w:t xml:space="preserve">.  Aux termes du par. 31(1), il ne peut être interjeté appel que sur une question de droit, et l’autorisation d’appel </w:t>
      </w:r>
      <w:r>
        <w:rPr>
          <w:lang w:val="fr-CA"/>
        </w:rPr>
        <w:t xml:space="preserve">est requise </w:t>
      </w:r>
      <w:r w:rsidRPr="005E608F">
        <w:rPr>
          <w:lang w:val="fr-CA"/>
        </w:rPr>
        <w:t>lorsque les parties ne consentent pas à l’appel.  L’alinéa 31(2)(</w:t>
      </w:r>
      <w:r w:rsidRPr="001833A4">
        <w:rPr>
          <w:lang w:val="fr-CA"/>
        </w:rPr>
        <w:t>a</w:t>
      </w:r>
      <w:r w:rsidRPr="005E608F">
        <w:rPr>
          <w:lang w:val="fr-CA"/>
        </w:rPr>
        <w:t xml:space="preserve">) énonce les critères d’autorisation sur lesquels porte le présent litige, à savoir que le tribunal peut accorder l’autorisation s’il estime que, selon le cas, l’issue est importante pour les parties et que le règlement de la question de droit peut permettre d’éviter une erreur judiciaire. </w:t>
      </w:r>
    </w:p>
    <w:p w:rsidR="00EC1E65" w:rsidRPr="005E608F" w:rsidRDefault="00EC1E65" w:rsidP="00EC1E65">
      <w:pPr>
        <w:pStyle w:val="SCCNormalDoubleSpacing"/>
        <w:spacing w:after="480"/>
        <w:rPr>
          <w:lang w:val="fr-CA"/>
        </w:rPr>
      </w:pPr>
      <w:r w:rsidRPr="005E608F">
        <w:rPr>
          <w:lang w:val="fr-CA"/>
        </w:rPr>
        <w:lastRenderedPageBreak/>
        <w:tab/>
        <w:t>En l’</w:t>
      </w:r>
      <w:r>
        <w:rPr>
          <w:lang w:val="fr-CA"/>
        </w:rPr>
        <w:t>espèce, la C</w:t>
      </w:r>
      <w:r w:rsidRPr="005E608F">
        <w:rPr>
          <w:lang w:val="fr-CA"/>
        </w:rPr>
        <w:t xml:space="preserve">our d’appel </w:t>
      </w:r>
      <w:r w:rsidRPr="005E608F">
        <w:rPr>
          <w:szCs w:val="24"/>
          <w:lang w:val="fr-CA"/>
        </w:rPr>
        <w:t>a assimilé à tort l’interprétation de l’entente relative aux honoraires d’intermédiation à une question de droit.</w:t>
      </w:r>
      <w:r w:rsidRPr="005E608F">
        <w:rPr>
          <w:lang w:val="fr-CA"/>
        </w:rPr>
        <w:t xml:space="preserve">  </w:t>
      </w:r>
      <w:r w:rsidRPr="005E608F">
        <w:rPr>
          <w:szCs w:val="24"/>
          <w:lang w:val="fr-CA"/>
        </w:rPr>
        <w:t>Un tel exercice soulève une question mixte de fait et de droit</w:t>
      </w:r>
      <w:r>
        <w:rPr>
          <w:lang w:val="fr-CA"/>
        </w:rPr>
        <w:t>, et la C</w:t>
      </w:r>
      <w:r w:rsidRPr="005E608F">
        <w:rPr>
          <w:lang w:val="fr-CA"/>
        </w:rPr>
        <w:t xml:space="preserve">our d’appel a </w:t>
      </w:r>
      <w:r w:rsidRPr="005E608F">
        <w:rPr>
          <w:szCs w:val="24"/>
          <w:lang w:val="fr-CA"/>
        </w:rPr>
        <w:t>donc commis une erreur en accueillant la demande d’autorisation d’appel</w:t>
      </w:r>
      <w:r w:rsidRPr="005E608F">
        <w:rPr>
          <w:lang w:val="fr-CA"/>
        </w:rPr>
        <w:t>.</w:t>
      </w:r>
    </w:p>
    <w:p w:rsidR="00EC1E65" w:rsidRPr="005E608F" w:rsidRDefault="00EC1E65" w:rsidP="00EC1E65">
      <w:pPr>
        <w:pStyle w:val="SCCNormalDoubleSpacing"/>
        <w:spacing w:after="480"/>
        <w:rPr>
          <w:lang w:val="fr-CA"/>
        </w:rPr>
      </w:pPr>
      <w:r w:rsidRPr="005E608F">
        <w:rPr>
          <w:lang w:val="fr-CA"/>
        </w:rPr>
        <w:tab/>
        <w:t>Il faut ro</w:t>
      </w:r>
      <w:r>
        <w:rPr>
          <w:lang w:val="fr-CA"/>
        </w:rPr>
        <w:t>mpre avec l’approche historique</w:t>
      </w:r>
      <w:r w:rsidRPr="005E608F">
        <w:rPr>
          <w:lang w:val="fr-CA"/>
        </w:rPr>
        <w:t xml:space="preserve"> selon laquelle la détermination des droits et obligations juridiques des parties à un contrat écrit ressortit à une question de droit.  L’interprétation contractuelle soulève des questions mixtes de fait et de droit, car il s’agit d’en appliquer les principes aux termes figurant dans le contrat écrit, à la lumière du fondement factuel de ce dernier. </w:t>
      </w:r>
    </w:p>
    <w:p w:rsidR="00EC1E65" w:rsidRPr="005E608F" w:rsidRDefault="00EC1E65" w:rsidP="00EC1E65">
      <w:pPr>
        <w:pStyle w:val="SCCNormalDoubleSpacing"/>
        <w:spacing w:after="480"/>
        <w:rPr>
          <w:lang w:val="fr-CA"/>
        </w:rPr>
      </w:pPr>
      <w:r w:rsidRPr="005E608F">
        <w:rPr>
          <w:lang w:val="fr-CA"/>
        </w:rPr>
        <w:tab/>
        <w:t xml:space="preserve">Il peut se révéler possible de dégager une pure question de droit de ce qui paraît au départ constituer une question mixte de fait et de droit, mais le rapport étroit qui existe entre, d’une part, le choix et l’application des principes d’interprétation contractuelle et, d’autre part, l’interprétation que recevra l’instrument juridique en dernière analyse fait en sorte que rares seront les </w:t>
      </w:r>
      <w:r w:rsidR="00CA6863">
        <w:rPr>
          <w:lang w:val="fr-CA"/>
        </w:rPr>
        <w:t xml:space="preserve">cas où </w:t>
      </w:r>
      <w:r w:rsidRPr="005E608F">
        <w:rPr>
          <w:lang w:val="fr-CA"/>
        </w:rPr>
        <w:t>il sera possible d</w:t>
      </w:r>
      <w:r w:rsidR="00CA6863">
        <w:rPr>
          <w:lang w:val="fr-CA"/>
        </w:rPr>
        <w:t>e dégag</w:t>
      </w:r>
      <w:r w:rsidRPr="005E608F">
        <w:rPr>
          <w:lang w:val="fr-CA"/>
        </w:rPr>
        <w:t>er une question de droit de l’exercice d’interprétation</w:t>
      </w:r>
      <w:r w:rsidR="0099430E">
        <w:rPr>
          <w:rStyle w:val="FootnoteReference"/>
          <w:lang w:val="fr-CA"/>
        </w:rPr>
        <w:footnoteReference w:customMarkFollows="1" w:id="1"/>
        <w:t>*</w:t>
      </w:r>
      <w:r w:rsidRPr="005E608F">
        <w:rPr>
          <w:lang w:val="fr-CA"/>
        </w:rPr>
        <w:t xml:space="preserve">.  Le but de l’interprétation contractuelle — déterminer l’intention objective des parties — est, de par sa nature même, axé sur les faits.  Par conséquent, le tribunal doit faire preuve de prudence avant d’isoler une question de droit dans un litige portant sur l’interprétation contractuelle.  L’interprétation contractuelle peut occasionner des erreurs de droit, notamment appliquer le mauvais principe ou négliger un élément essentiel d’un critère juridique </w:t>
      </w:r>
      <w:r w:rsidRPr="005E608F">
        <w:rPr>
          <w:lang w:val="fr-CA"/>
        </w:rPr>
        <w:lastRenderedPageBreak/>
        <w:t xml:space="preserve">ou un facteur pertinent.  </w:t>
      </w:r>
      <w:r w:rsidRPr="005E608F">
        <w:rPr>
          <w:szCs w:val="24"/>
          <w:lang w:val="fr-CA"/>
        </w:rPr>
        <w:t>Conclure que la demande d’autorisation d’appel présentée par C ne soulevait aucune question de droit suffit à trancher le présent pourvoi</w:t>
      </w:r>
      <w:r>
        <w:rPr>
          <w:lang w:val="fr-CA"/>
        </w:rPr>
        <w:t>;</w:t>
      </w:r>
      <w:r w:rsidRPr="005E608F">
        <w:rPr>
          <w:lang w:val="fr-CA"/>
        </w:rPr>
        <w:t xml:space="preserve"> toutefois, la Cour juge salutaire de poursuivre l’analyse. </w:t>
      </w:r>
    </w:p>
    <w:p w:rsidR="00EC1E65" w:rsidRPr="005E608F" w:rsidRDefault="00EC1E65" w:rsidP="00EC1E65">
      <w:pPr>
        <w:pStyle w:val="SCCNormalDoubleSpacing"/>
        <w:spacing w:after="480"/>
        <w:rPr>
          <w:b/>
          <w:lang w:val="fr-CA"/>
        </w:rPr>
      </w:pPr>
      <w:r w:rsidRPr="005E608F">
        <w:rPr>
          <w:lang w:val="fr-CA"/>
        </w:rPr>
        <w:tab/>
        <w:t>Pour que l’erreur de droit reprochée soit une erreur judiciaire pour l’application de l’al. 31(2)(</w:t>
      </w:r>
      <w:r w:rsidRPr="001833A4">
        <w:rPr>
          <w:lang w:val="fr-CA"/>
        </w:rPr>
        <w:t>a</w:t>
      </w:r>
      <w:r w:rsidRPr="005E608F">
        <w:rPr>
          <w:lang w:val="fr-CA"/>
        </w:rPr>
        <w:t xml:space="preserve">), elle doit se rapporter à une question importante en litige qui, si elle était tranchée différemment, aurait une incidence sur le résultat.  </w:t>
      </w:r>
      <w:r w:rsidRPr="005E608F">
        <w:rPr>
          <w:lang w:val="fr-CA" w:bidi="en-US"/>
        </w:rPr>
        <w:t>Suivant cette norme, le règlement d’un point de droit « peut permettre d’éviter une erreur judiciaire » seulement lorsqu’il existe une certaine possibilité que l’appel soit accueilli.  Un appel qui est voué à l’échec ne saurait « permettre d’éviter une erreur judiciaire » puisque les possibilités que l’issue d’un tel appel joue sur le résultat final du litige sont nulles.</w:t>
      </w:r>
      <w:r w:rsidRPr="005E608F">
        <w:rPr>
          <w:lang w:val="fr-CA"/>
        </w:rPr>
        <w:t xml:space="preserve"> </w:t>
      </w:r>
    </w:p>
    <w:p w:rsidR="00EC1E65" w:rsidRPr="005E608F" w:rsidRDefault="00EC1E65" w:rsidP="00EC1E65">
      <w:pPr>
        <w:pStyle w:val="SCCNormalDoubleSpacing"/>
        <w:spacing w:after="480"/>
        <w:rPr>
          <w:lang w:val="fr-CA"/>
        </w:rPr>
      </w:pPr>
      <w:r w:rsidRPr="005E608F">
        <w:rPr>
          <w:lang w:val="fr-CA"/>
        </w:rPr>
        <w:tab/>
      </w:r>
      <w:r w:rsidRPr="005E608F">
        <w:rPr>
          <w:lang w:val="fr-CA" w:bidi="en-US"/>
        </w:rPr>
        <w:t xml:space="preserve">Ce n’est pas à l’étape de l’autorisation qu’il convient d’examiner exhaustivement le fond du litige et de se prononcer définitivement sur l’absence ou l’existence d’une erreur de droit.  Cependant, le tribunal saisi de la demande d’autorisation doit procéder à un examen préliminaire de la question de droit pour déterminer si l’appel a une chance d’être accueilli et, par conséquent, de modifier l’issue du litige. </w:t>
      </w:r>
      <w:r w:rsidRPr="005E608F">
        <w:rPr>
          <w:lang w:val="fr-CA"/>
        </w:rPr>
        <w:t xml:space="preserve"> </w:t>
      </w:r>
      <w:r w:rsidRPr="005E608F">
        <w:rPr>
          <w:lang w:val="fr-CA" w:bidi="en-US"/>
        </w:rPr>
        <w:t>Ce qu’il faut démontrer, pour l’application du par. 31(2), c’est que la question de droit invoquée a un fondement défendable</w:t>
      </w:r>
      <w:r w:rsidRPr="005E608F">
        <w:rPr>
          <w:lang w:val="fr-CA"/>
        </w:rPr>
        <w:t xml:space="preserve">, à savoir que </w:t>
      </w:r>
      <w:r w:rsidRPr="005E608F">
        <w:rPr>
          <w:lang w:val="fr-CA" w:bidi="en-US"/>
        </w:rPr>
        <w:t>l’argument soulevé par le demandeur ne peut être rejeté à l’issue d’un examen préliminaire de la question de droit.</w:t>
      </w:r>
      <w:r w:rsidRPr="005E608F">
        <w:rPr>
          <w:lang w:val="fr-CA"/>
        </w:rPr>
        <w:t xml:space="preserve">  </w:t>
      </w:r>
    </w:p>
    <w:p w:rsidR="00EC1E65" w:rsidRPr="005E608F" w:rsidRDefault="00EC1E65" w:rsidP="00EC1E65">
      <w:pPr>
        <w:pStyle w:val="SCCNormalDoubleSpacing"/>
        <w:spacing w:after="480"/>
        <w:rPr>
          <w:lang w:val="fr-CA"/>
        </w:rPr>
      </w:pPr>
      <w:r w:rsidRPr="005E608F">
        <w:rPr>
          <w:lang w:val="fr-CA"/>
        </w:rPr>
        <w:lastRenderedPageBreak/>
        <w:tab/>
      </w:r>
      <w:r w:rsidRPr="005E608F">
        <w:rPr>
          <w:lang w:val="fr-CA" w:bidi="en-US"/>
        </w:rPr>
        <w:t>L’examen visant à décider si la question soulevée dans la demande d’autorisation d’appel a un fondement défendable doit se faire à la lumière de la norme de contrôle applicable à l’analyse du bien</w:t>
      </w:r>
      <w:r w:rsidRPr="005E608F">
        <w:rPr>
          <w:lang w:val="fr-CA" w:bidi="en-US"/>
        </w:rPr>
        <w:noBreakHyphen/>
        <w:t>fondé de l’appel.  Il faut donc procéder à un examen préliminaire ayant pour objet cette norme.</w:t>
      </w:r>
      <w:r w:rsidRPr="005E608F">
        <w:rPr>
          <w:lang w:val="fr-CA"/>
        </w:rPr>
        <w:t xml:space="preserve">  </w:t>
      </w:r>
      <w:r w:rsidRPr="005E608F">
        <w:rPr>
          <w:lang w:val="fr-CA" w:bidi="en-US"/>
        </w:rPr>
        <w:t>Le tribunal saisi de la demande d’autorisation ne procède qu’à un examen préliminaire à l’égard de la norme de contrôle, qui ne lie pas celui qui se penchera sur le bien</w:t>
      </w:r>
      <w:r w:rsidRPr="005E608F">
        <w:rPr>
          <w:lang w:val="fr-CA" w:bidi="en-US"/>
        </w:rPr>
        <w:noBreakHyphen/>
        <w:t>fondé de l’appel.</w:t>
      </w:r>
      <w:r w:rsidRPr="005E608F">
        <w:rPr>
          <w:lang w:val="fr-CA"/>
        </w:rPr>
        <w:t xml:space="preserve"> </w:t>
      </w:r>
    </w:p>
    <w:p w:rsidR="00EC1E65" w:rsidRPr="005E608F" w:rsidRDefault="00EC1E65" w:rsidP="00EC1E65">
      <w:pPr>
        <w:pStyle w:val="SCCNormalDoubleSpacing"/>
        <w:spacing w:after="480"/>
        <w:rPr>
          <w:lang w:val="fr-CA"/>
        </w:rPr>
      </w:pPr>
      <w:r w:rsidRPr="005E608F">
        <w:rPr>
          <w:lang w:val="fr-CA"/>
        </w:rPr>
        <w:tab/>
      </w:r>
      <w:r w:rsidRPr="005E608F">
        <w:rPr>
          <w:lang w:val="fr-CA" w:bidi="en-US"/>
        </w:rPr>
        <w:t>Les termes « peut accorder l’autorisation » figurant au par. 31(2) de l’</w:t>
      </w:r>
      <w:r w:rsidRPr="005E608F">
        <w:rPr>
          <w:i/>
          <w:lang w:val="fr-CA" w:bidi="en-US"/>
        </w:rPr>
        <w:t>Arbitration Act</w:t>
      </w:r>
      <w:r w:rsidRPr="005E608F">
        <w:rPr>
          <w:lang w:val="fr-CA" w:bidi="en-US"/>
        </w:rPr>
        <w:t xml:space="preserve"> confèrent au tribunal un pouvoir discrétionnaire résiduel qui lui permet de refuser l’autorisation même quand les critères prévus par la disposition sont respectés</w:t>
      </w:r>
      <w:r w:rsidRPr="005E608F">
        <w:rPr>
          <w:lang w:val="fr-CA"/>
        </w:rPr>
        <w:t>.  Les facteurs à prendre en considération dans l’exercice du pouvoir discrétionnaire à l’égard d’une demande d’autorisation présentée en vertu de l’al. 31(2)(</w:t>
      </w:r>
      <w:r w:rsidRPr="00746E75">
        <w:rPr>
          <w:lang w:val="fr-CA"/>
        </w:rPr>
        <w:t>a</w:t>
      </w:r>
      <w:r w:rsidRPr="005E608F">
        <w:rPr>
          <w:lang w:val="fr-CA"/>
        </w:rPr>
        <w:t>) comprennent :</w:t>
      </w:r>
      <w:r>
        <w:rPr>
          <w:lang w:val="fr-CA"/>
        </w:rPr>
        <w:t xml:space="preserve"> la conduite des parties,</w:t>
      </w:r>
      <w:r w:rsidRPr="005E608F">
        <w:rPr>
          <w:lang w:val="fr-CA"/>
        </w:rPr>
        <w:t xml:space="preserve"> l’existence d’</w:t>
      </w:r>
      <w:r>
        <w:rPr>
          <w:lang w:val="fr-CA"/>
        </w:rPr>
        <w:t xml:space="preserve">autres recours, </w:t>
      </w:r>
      <w:r w:rsidRPr="005E608F">
        <w:rPr>
          <w:lang w:val="fr-CA"/>
        </w:rPr>
        <w:t xml:space="preserve">un retard indu et le besoin urgent d’obtenir un règlement définitif.  </w:t>
      </w:r>
      <w:r w:rsidRPr="005E608F">
        <w:rPr>
          <w:lang w:val="fr-CA" w:bidi="en-US"/>
        </w:rPr>
        <w:t>Ces facteurs pourraient justifier le rejet de la demande sollicitant l’autorisation d’interjeter appel d’une sentence arbitrale même dans le cas où il est satisfait aux critères légaux.  Cependant, les tribunaux devraient faire preuve de prudence dans l’exercice de ce pouvoir discrétionnaire.</w:t>
      </w:r>
    </w:p>
    <w:p w:rsidR="00EC1E65" w:rsidRPr="005E608F" w:rsidRDefault="00EC1E65" w:rsidP="00EC1E65">
      <w:pPr>
        <w:pStyle w:val="SCCNormalDoubleSpacing"/>
        <w:spacing w:after="480"/>
        <w:rPr>
          <w:lang w:val="fr-CA"/>
        </w:rPr>
      </w:pPr>
      <w:r w:rsidRPr="005E608F">
        <w:rPr>
          <w:lang w:val="fr-CA"/>
        </w:rPr>
        <w:tab/>
        <w:t xml:space="preserve">L’examen en appel des sentences arbitrales commerciales diffère du contrôle judiciaire d’une décision rendue par un tribunal administratif, de sorte que le cadre relatif à la norme de contrôle judiciaire établi dans l’arrêt </w:t>
      </w:r>
      <w:r w:rsidRPr="005E608F">
        <w:rPr>
          <w:i/>
          <w:lang w:val="fr-CA"/>
        </w:rPr>
        <w:t>Dunsmuir c. Nouveau</w:t>
      </w:r>
      <w:r w:rsidRPr="005E608F">
        <w:rPr>
          <w:i/>
          <w:lang w:val="fr-CA"/>
        </w:rPr>
        <w:noBreakHyphen/>
        <w:t>Brunswick</w:t>
      </w:r>
      <w:r w:rsidRPr="005E608F">
        <w:rPr>
          <w:lang w:val="fr-CA"/>
        </w:rPr>
        <w:t xml:space="preserve">, 2008 CSC 9, [2008] 1 R.C.S. 190, et les arrêts rendus depuis, ne peut être tout à fait transposé dans le contexte de l’arbitrage commercial.  Il demeure </w:t>
      </w:r>
      <w:r w:rsidRPr="005E608F">
        <w:rPr>
          <w:lang w:val="fr-CA"/>
        </w:rPr>
        <w:lastRenderedPageBreak/>
        <w:t xml:space="preserve">que le contrôle judiciaire d’une décision rendue par un tribunal administratif et l’appel d’une sentence arbitrale se ressemblent dans une certaine mesure.  Par conséquent, certains éléments du cadre établi dans l’arrêt </w:t>
      </w:r>
      <w:r w:rsidRPr="005E608F">
        <w:rPr>
          <w:i/>
          <w:lang w:val="fr-CA"/>
        </w:rPr>
        <w:t xml:space="preserve">Dunsmuir </w:t>
      </w:r>
      <w:r w:rsidRPr="005E608F">
        <w:rPr>
          <w:lang w:val="fr-CA"/>
        </w:rPr>
        <w:t>aident à déterminer le degré de déférence qu’il convient d’accorder aux sentences arbitrales commerciales.</w:t>
      </w:r>
    </w:p>
    <w:p w:rsidR="00EC1E65" w:rsidRPr="005E608F" w:rsidRDefault="00EC1E65" w:rsidP="00EC1E65">
      <w:pPr>
        <w:pStyle w:val="SCCNormalDoubleSpacing"/>
        <w:spacing w:after="480"/>
        <w:rPr>
          <w:i/>
          <w:lang w:val="fr-CA"/>
        </w:rPr>
      </w:pPr>
      <w:r w:rsidRPr="005E608F">
        <w:rPr>
          <w:lang w:val="fr-CA"/>
        </w:rPr>
        <w:tab/>
        <w:t xml:space="preserve">En matière d’arbitrage commercial, la possibilité d’interjeter appel étant subordonnée à l’existence d’une question de droit, la norme de contrôle est celle de la décision raisonnable, à moins que la question </w:t>
      </w:r>
      <w:r>
        <w:rPr>
          <w:lang w:val="fr-CA"/>
        </w:rPr>
        <w:t xml:space="preserve">n’appartienne à celles qui </w:t>
      </w:r>
      <w:r w:rsidRPr="005E608F">
        <w:rPr>
          <w:lang w:val="fr-CA"/>
        </w:rPr>
        <w:t>entraîne</w:t>
      </w:r>
      <w:r>
        <w:rPr>
          <w:lang w:val="fr-CA"/>
        </w:rPr>
        <w:t>nt</w:t>
      </w:r>
      <w:r w:rsidRPr="005E608F">
        <w:rPr>
          <w:lang w:val="fr-CA"/>
        </w:rPr>
        <w:t xml:space="preserve"> l’application de la norme de la décision correcte, comme les questions constitutionnelles ou les questions de droit qui revêtent une importance capitale pour le système juridique dans son ensemble et qui sont étrangères au domaine d’expertise du décideur.  La question dont nous sommes saisis n’appartient pas à l’une ou l’autre de ces catégories; la norme de la décision raisonnable s’applique donc à la présente affaire.</w:t>
      </w:r>
    </w:p>
    <w:p w:rsidR="00EC1E65" w:rsidRPr="005E608F" w:rsidRDefault="00EC1E65" w:rsidP="00EC1E65">
      <w:pPr>
        <w:pStyle w:val="SCCNormalDoubleSpacing"/>
        <w:spacing w:after="480"/>
        <w:rPr>
          <w:lang w:val="fr-CA"/>
        </w:rPr>
      </w:pPr>
      <w:r w:rsidRPr="005E608F">
        <w:rPr>
          <w:lang w:val="fr-CA"/>
        </w:rPr>
        <w:tab/>
        <w:t xml:space="preserve">En l’espèce, l’arbitre a donné une interprétation raisonnable de l’entente considérée dans son ensemble en déterminant que S était en droit de recevoir ses honoraires d’intermédiation en actions, à raison de 0,15 $ l’action.  La sentence arbitrale, selon laquelle l’action devrait être évaluée en fonction de la définition du cours, donne effet à cette dernière et à la stipulation relative au « plafond » en les conciliant d’une manière qui ne peut être considérée comme déraisonnable.  Le raisonnement de l’arbitre satisfait à la norme du caractère raisonnable dont les attributs sont </w:t>
      </w:r>
      <w:r w:rsidRPr="005E608F">
        <w:rPr>
          <w:lang w:val="fr-FR"/>
        </w:rPr>
        <w:t>la justification, la transparence et l’intelligibilité.</w:t>
      </w:r>
    </w:p>
    <w:p w:rsidR="00EC1E65" w:rsidRPr="005E608F" w:rsidRDefault="00EC1E65" w:rsidP="00EC1E65">
      <w:pPr>
        <w:pStyle w:val="SCCNormalDoubleSpacing"/>
        <w:spacing w:after="480"/>
        <w:rPr>
          <w:lang w:val="fr-CA"/>
        </w:rPr>
      </w:pPr>
      <w:r w:rsidRPr="005E608F">
        <w:rPr>
          <w:lang w:val="fr-CA"/>
        </w:rPr>
        <w:lastRenderedPageBreak/>
        <w:tab/>
        <w:t>Le tribunal chargé de statuer sur une demande d’autorisation ne tranche pas l’affaire sur le fond.  Il détermine uniquement s’il est justifié d’accorder l’autorisation, et non si l’appel sera accueilli, même lorsque l’étude de la demande d’autorisation appelle un examen préliminaire de la question de droit en cause.  C’est pourquoi les remarques sur le bien</w:t>
      </w:r>
      <w:r w:rsidRPr="005E608F">
        <w:rPr>
          <w:lang w:val="fr-CA"/>
        </w:rPr>
        <w:noBreakHyphen/>
        <w:t xml:space="preserve">fondé </w:t>
      </w:r>
      <w:r>
        <w:rPr>
          <w:lang w:val="fr-CA"/>
        </w:rPr>
        <w:t xml:space="preserve">de l’affaire </w:t>
      </w:r>
      <w:r w:rsidRPr="005E608F">
        <w:rPr>
          <w:lang w:val="fr-CA"/>
        </w:rPr>
        <w:t>formulées par le tribunal saisi de la demande d’autorisation ne sauraient lier le tribunal chargé de statuer sur l’appel ni restreindre ses pouvoirs.</w:t>
      </w:r>
    </w:p>
    <w:p w:rsidR="00EC1E65" w:rsidRPr="005E608F" w:rsidRDefault="00EC1E65" w:rsidP="00EC1E65">
      <w:pPr>
        <w:pStyle w:val="SCCNormalDoubleSpacing"/>
        <w:spacing w:after="720" w:line="240" w:lineRule="auto"/>
        <w:rPr>
          <w:b/>
          <w:lang w:val="en-US"/>
        </w:rPr>
      </w:pPr>
      <w:r w:rsidRPr="005E608F">
        <w:rPr>
          <w:b/>
          <w:lang w:val="en-US"/>
        </w:rPr>
        <w:t>Jurisprudence</w:t>
      </w:r>
    </w:p>
    <w:p w:rsidR="00EC1E65" w:rsidRPr="005E608F" w:rsidRDefault="00EC1E65" w:rsidP="00EC1E65">
      <w:pPr>
        <w:pStyle w:val="SCCNormalDoubleSpacing"/>
        <w:spacing w:after="480"/>
        <w:rPr>
          <w:lang w:val="fr-CA"/>
        </w:rPr>
      </w:pPr>
      <w:r w:rsidRPr="005E608F">
        <w:rPr>
          <w:lang w:val="en-US"/>
        </w:rPr>
        <w:tab/>
      </w:r>
      <w:r w:rsidRPr="005E608F">
        <w:rPr>
          <w:b/>
          <w:lang w:val="en-US"/>
        </w:rPr>
        <w:t>Arrêts mentionnés :</w:t>
      </w:r>
      <w:r w:rsidRPr="005E608F">
        <w:rPr>
          <w:lang w:val="en-US"/>
        </w:rPr>
        <w:t xml:space="preserve"> </w:t>
      </w:r>
      <w:r w:rsidRPr="005E608F">
        <w:rPr>
          <w:i/>
        </w:rPr>
        <w:t>British Columbia Institute of Technology (Student Assn.) c. British Columbia Institute of Technology</w:t>
      </w:r>
      <w:r w:rsidRPr="005E608F">
        <w:t xml:space="preserve">, 2000 BCCA 496, 192 D.L.R. (4th) 122; </w:t>
      </w:r>
      <w:r w:rsidRPr="005E608F">
        <w:rPr>
          <w:i/>
        </w:rPr>
        <w:t>King c. Operating Engineers Training Institute of Manitoba Inc.</w:t>
      </w:r>
      <w:r w:rsidRPr="005E608F">
        <w:t xml:space="preserve">, 2011 MBCA 80, 270 Man. R. (2d) 63; </w:t>
      </w:r>
      <w:r w:rsidRPr="005E608F">
        <w:rPr>
          <w:i/>
        </w:rPr>
        <w:t>Thorner c. Major</w:t>
      </w:r>
      <w:r w:rsidRPr="005E608F">
        <w:t xml:space="preserve">, [2009] UKHL 18, [2009] 3 All E.R. 945; </w:t>
      </w:r>
      <w:r w:rsidRPr="005E608F">
        <w:rPr>
          <w:i/>
        </w:rPr>
        <w:t>Prenn c. Simmonds</w:t>
      </w:r>
      <w:r w:rsidRPr="005E608F">
        <w:t xml:space="preserve">, [1971] 3 All E.R. 237; </w:t>
      </w:r>
      <w:r w:rsidRPr="005E608F">
        <w:rPr>
          <w:i/>
        </w:rPr>
        <w:t>Reardon Smith Line Ltd. c. Hansen</w:t>
      </w:r>
      <w:r w:rsidRPr="005E608F">
        <w:rPr>
          <w:i/>
        </w:rPr>
        <w:noBreakHyphen/>
        <w:t>Tangen</w:t>
      </w:r>
      <w:r w:rsidRPr="005E608F">
        <w:t xml:space="preserve">, [1976] 3 All E.R. 570; </w:t>
      </w:r>
      <w:r w:rsidRPr="005E608F">
        <w:rPr>
          <w:i/>
        </w:rPr>
        <w:t>Jiro Enterprises Ltd. c. Spencer</w:t>
      </w:r>
      <w:r w:rsidRPr="005E608F">
        <w:t xml:space="preserve">, 2008 ABCA 87 (CanLII); </w:t>
      </w:r>
      <w:r w:rsidRPr="005E608F">
        <w:rPr>
          <w:i/>
        </w:rPr>
        <w:t>QK Investments Inc. c. Crocus Investment Fund</w:t>
      </w:r>
      <w:r w:rsidRPr="005E608F">
        <w:t xml:space="preserve">, 2008 MBCA 21, 290 D.L.R. (4th) 84; </w:t>
      </w:r>
      <w:r w:rsidRPr="005E608F">
        <w:rPr>
          <w:i/>
        </w:rPr>
        <w:t>Dow Chemical Canada Inc. c. Shell Chemicals Canada Ltd.</w:t>
      </w:r>
      <w:r w:rsidRPr="005E608F">
        <w:t xml:space="preserve">, 2010 ABCA 126, 25 Alta. L.R. (5th) 221; </w:t>
      </w:r>
      <w:r w:rsidRPr="005E608F">
        <w:rPr>
          <w:i/>
        </w:rPr>
        <w:t>Canada c. Costco Wholesale Canada Ltd.</w:t>
      </w:r>
      <w:r w:rsidRPr="005E608F">
        <w:t xml:space="preserve">, 2012 CAF 160 (CanLII); </w:t>
      </w:r>
      <w:r w:rsidRPr="005E608F">
        <w:rPr>
          <w:i/>
        </w:rPr>
        <w:t>WCI Waste Conversion Inc. c. ADI International Inc.</w:t>
      </w:r>
      <w:r w:rsidRPr="005E608F">
        <w:t xml:space="preserve">, 2011 PECA 14, 309 Nfld. &amp; P.E.I.R. 1; </w:t>
      </w:r>
      <w:r w:rsidRPr="005E608F">
        <w:rPr>
          <w:i/>
        </w:rPr>
        <w:t>269893 Alberta Ltd. c. Otter Bay Developments Ltd.</w:t>
      </w:r>
      <w:r w:rsidRPr="005E608F">
        <w:t xml:space="preserve">, 2009 BCCA 37, 266 B.C.A.C. 98; </w:t>
      </w:r>
      <w:r w:rsidRPr="005E608F">
        <w:rPr>
          <w:i/>
        </w:rPr>
        <w:t>Hayes Forest Services Ltd. c. Weyerhaeuser Co.</w:t>
      </w:r>
      <w:r w:rsidRPr="005E608F">
        <w:t xml:space="preserve">, 2008 BCCA 31, 289 D.L.R. (4th) 230; </w:t>
      </w:r>
      <w:r w:rsidRPr="005E608F">
        <w:rPr>
          <w:i/>
        </w:rPr>
        <w:t>Bell Canada c. The Plan Group</w:t>
      </w:r>
      <w:r w:rsidRPr="005E608F">
        <w:t xml:space="preserve">, 2009 ONCA 548, 96 O.R. (3d) 81; </w:t>
      </w:r>
      <w:r w:rsidRPr="005E608F">
        <w:rPr>
          <w:i/>
          <w:lang w:val="en-US"/>
        </w:rPr>
        <w:t>Canada (Directeur des enquêtes et recherches) c. Southam Inc.</w:t>
      </w:r>
      <w:r w:rsidRPr="005E608F">
        <w:t xml:space="preserve">, [1997] 1 R.C.S. 748; </w:t>
      </w:r>
      <w:r w:rsidRPr="005E608F">
        <w:rPr>
          <w:i/>
        </w:rPr>
        <w:lastRenderedPageBreak/>
        <w:t>Housen c. Nikolaisen</w:t>
      </w:r>
      <w:r w:rsidRPr="005E608F">
        <w:t xml:space="preserve">, 2002 CSC 33, [2002] 2 R.C.S. 235; </w:t>
      </w:r>
      <w:r w:rsidRPr="005E608F">
        <w:rPr>
          <w:i/>
          <w:lang w:val="en-US"/>
        </w:rPr>
        <w:t>Jesuit Fathers of Upper Canada c. Cie d’assurance Guardian du Canada</w:t>
      </w:r>
      <w:r w:rsidRPr="005E608F">
        <w:t xml:space="preserve">, 2006 CSC 21, [2006] 1 R.C.S. 744; </w:t>
      </w:r>
      <w:r w:rsidRPr="005E608F">
        <w:rPr>
          <w:i/>
          <w:lang w:val="en-US"/>
        </w:rPr>
        <w:t>Tercon Contractors Ltd. c. Colombie</w:t>
      </w:r>
      <w:r w:rsidRPr="005E608F">
        <w:rPr>
          <w:i/>
          <w:lang w:val="en-US"/>
        </w:rPr>
        <w:noBreakHyphen/>
        <w:t>Britannique (Transports et Voirie)</w:t>
      </w:r>
      <w:r w:rsidRPr="005E608F">
        <w:t xml:space="preserve">, 2010 CSC 4, [2010] 1 R.C.S. 69; </w:t>
      </w:r>
      <w:r w:rsidRPr="005E608F">
        <w:rPr>
          <w:i/>
        </w:rPr>
        <w:t>Moore Realty Inc. c. Manitoba Motor League</w:t>
      </w:r>
      <w:r w:rsidRPr="005E608F">
        <w:t xml:space="preserve">, 2003 MBCA 71, 173 Man. R. (2d) 300; </w:t>
      </w:r>
      <w:r w:rsidRPr="005E608F">
        <w:rPr>
          <w:i/>
        </w:rPr>
        <w:t>Investors Compensation Scheme Ltd. c. West Bromwich Building Society</w:t>
      </w:r>
      <w:r w:rsidRPr="005E608F">
        <w:t xml:space="preserve">, [1998] 1 All E.R. 98; </w:t>
      </w:r>
      <w:r w:rsidRPr="005E608F">
        <w:rPr>
          <w:i/>
        </w:rPr>
        <w:t>Glaswegian Enterprises Inc. c. B.C. Tel Mobility Cellular Inc.</w:t>
      </w:r>
      <w:r w:rsidRPr="005E608F">
        <w:t xml:space="preserve"> </w:t>
      </w:r>
      <w:r w:rsidRPr="005E608F">
        <w:rPr>
          <w:lang w:val="fr-CA"/>
        </w:rPr>
        <w:t xml:space="preserve">(1997), 101 B.C.A.C. 62; </w:t>
      </w:r>
      <w:r w:rsidRPr="005E608F">
        <w:rPr>
          <w:i/>
          <w:lang w:val="fr-CA"/>
        </w:rPr>
        <w:t>Eli Lilly &amp; Co. c. Novopharm Ltd.</w:t>
      </w:r>
      <w:r w:rsidRPr="005E608F">
        <w:rPr>
          <w:lang w:val="fr-CA"/>
        </w:rPr>
        <w:t xml:space="preserve">, [1998] 2 R.C.S. 129; </w:t>
      </w:r>
      <w:r w:rsidRPr="005E608F">
        <w:rPr>
          <w:i/>
          <w:lang w:val="fr-CA"/>
        </w:rPr>
        <w:t>Fraternité unie des charpentiers et menuisiers d’Amérique, section locale 579 c. Bradco Construction Ltd.</w:t>
      </w:r>
      <w:r w:rsidRPr="005E608F">
        <w:rPr>
          <w:lang w:val="fr-CA"/>
        </w:rPr>
        <w:t xml:space="preserve">, [1993] 2 R.C.S. 316; </w:t>
      </w:r>
      <w:r w:rsidRPr="005E608F">
        <w:rPr>
          <w:i/>
          <w:lang w:val="fr-CA"/>
        </w:rPr>
        <w:t>Gutierrez c. Tropic International Ltd.</w:t>
      </w:r>
      <w:r w:rsidRPr="005E608F">
        <w:rPr>
          <w:lang w:val="fr-CA"/>
        </w:rPr>
        <w:t xml:space="preserve"> (2002), 63 O.R. (3d) 63; </w:t>
      </w:r>
      <w:r w:rsidRPr="005E608F">
        <w:rPr>
          <w:i/>
          <w:lang w:val="fr-CA"/>
        </w:rPr>
        <w:t>Domtar Inc. c. Belkin Inc.</w:t>
      </w:r>
      <w:r w:rsidRPr="005E608F">
        <w:rPr>
          <w:lang w:val="fr-CA"/>
        </w:rPr>
        <w:t xml:space="preserve"> (1989), 39 B.C.L.R. (2d) 257; </w:t>
      </w:r>
      <w:r w:rsidRPr="005E608F">
        <w:rPr>
          <w:i/>
          <w:lang w:val="fr-CA"/>
        </w:rPr>
        <w:t>Quan c. Cusson</w:t>
      </w:r>
      <w:r w:rsidRPr="005E608F">
        <w:rPr>
          <w:lang w:val="fr-CA"/>
        </w:rPr>
        <w:t xml:space="preserve">, 2009 CSC 62, [2009] 3 R.C.S. 712; </w:t>
      </w:r>
      <w:r w:rsidRPr="005E608F">
        <w:rPr>
          <w:i/>
          <w:lang w:val="fr-CA"/>
        </w:rPr>
        <w:t>Quick Auto Lease Inc. c. Nordin</w:t>
      </w:r>
      <w:r w:rsidRPr="005E608F">
        <w:rPr>
          <w:lang w:val="fr-CA"/>
        </w:rPr>
        <w:t xml:space="preserve">, 2014 MBCA 32, 303 Man. R. (2d) 262; </w:t>
      </w:r>
      <w:r w:rsidRPr="005E608F">
        <w:rPr>
          <w:i/>
          <w:lang w:val="fr-CA"/>
        </w:rPr>
        <w:t>R. c. Fedossenko</w:t>
      </w:r>
      <w:r w:rsidRPr="005E608F">
        <w:rPr>
          <w:lang w:val="fr-CA"/>
        </w:rPr>
        <w:t xml:space="preserve">, 2013 ABCA 164 (CanLII); </w:t>
      </w:r>
      <w:r w:rsidRPr="005E608F">
        <w:rPr>
          <w:i/>
          <w:lang w:val="fr-CA"/>
        </w:rPr>
        <w:t>Enns c. Hansey</w:t>
      </w:r>
      <w:r w:rsidRPr="005E608F">
        <w:rPr>
          <w:lang w:val="fr-CA"/>
        </w:rPr>
        <w:t xml:space="preserve">, 2013 MBCA 23 (CanLII); </w:t>
      </w:r>
      <w:r w:rsidRPr="005E608F">
        <w:rPr>
          <w:i/>
          <w:lang w:val="fr-CA"/>
        </w:rPr>
        <w:t>R. c. Hubley</w:t>
      </w:r>
      <w:r w:rsidRPr="005E608F">
        <w:rPr>
          <w:lang w:val="fr-CA"/>
        </w:rPr>
        <w:t xml:space="preserve">, 2009 PECA 21, 289 Nfld. &amp; P.E.I.R. 174; </w:t>
      </w:r>
      <w:r w:rsidRPr="005E608F">
        <w:rPr>
          <w:i/>
          <w:lang w:val="fr-CA"/>
        </w:rPr>
        <w:t>R. c. Will</w:t>
      </w:r>
      <w:r w:rsidRPr="005E608F">
        <w:rPr>
          <w:lang w:val="fr-CA"/>
        </w:rPr>
        <w:t xml:space="preserve">, 2013 SKCA 4, 405 Sask. R. 270; </w:t>
      </w:r>
      <w:r w:rsidRPr="005E608F">
        <w:rPr>
          <w:i/>
          <w:lang w:val="fr-CA"/>
        </w:rPr>
        <w:t>Newfoundland and Labrador Nurses’ Union c. Terre</w:t>
      </w:r>
      <w:r w:rsidRPr="005E608F">
        <w:rPr>
          <w:i/>
          <w:lang w:val="fr-CA"/>
        </w:rPr>
        <w:noBreakHyphen/>
        <w:t>Neuve</w:t>
      </w:r>
      <w:r w:rsidRPr="005E608F">
        <w:rPr>
          <w:i/>
          <w:lang w:val="fr-CA"/>
        </w:rPr>
        <w:noBreakHyphen/>
        <w:t>et</w:t>
      </w:r>
      <w:r w:rsidRPr="005E608F">
        <w:rPr>
          <w:i/>
          <w:lang w:val="fr-CA"/>
        </w:rPr>
        <w:noBreakHyphen/>
        <w:t>Labrador (Conseil du Trésor)</w:t>
      </w:r>
      <w:r w:rsidRPr="005E608F">
        <w:rPr>
          <w:lang w:val="fr-CA"/>
        </w:rPr>
        <w:t xml:space="preserve">, 2011 CSC 62, [2011] 3 R.C.S. 708; </w:t>
      </w:r>
      <w:r w:rsidRPr="005E608F">
        <w:rPr>
          <w:i/>
          <w:lang w:val="fr-CA"/>
        </w:rPr>
        <w:t>Immeubles Port Louis Ltée c. Lafontaine (Village)</w:t>
      </w:r>
      <w:r w:rsidRPr="005E608F">
        <w:rPr>
          <w:lang w:val="fr-CA"/>
        </w:rPr>
        <w:t xml:space="preserve">, [1991] 1 R.C.S. 326; </w:t>
      </w:r>
      <w:r w:rsidRPr="005E608F">
        <w:rPr>
          <w:i/>
          <w:lang w:val="fr-CA"/>
        </w:rPr>
        <w:t>Mines Alerte Canada c. Canada (Pêches et Océans)</w:t>
      </w:r>
      <w:r w:rsidRPr="005E608F">
        <w:rPr>
          <w:lang w:val="fr-CA"/>
        </w:rPr>
        <w:t xml:space="preserve">, 2010 CSC 2, [2010] 1 R.C.S. 6; </w:t>
      </w:r>
      <w:r w:rsidRPr="005E608F">
        <w:rPr>
          <w:i/>
          <w:lang w:val="fr-CA"/>
        </w:rPr>
        <w:t>R. c. Bellusci</w:t>
      </w:r>
      <w:r w:rsidRPr="005E608F">
        <w:rPr>
          <w:lang w:val="fr-CA"/>
        </w:rPr>
        <w:t xml:space="preserve">, 2012 CSC 44, [2012] 2 R.C.S. 509; </w:t>
      </w:r>
      <w:r w:rsidRPr="005E608F">
        <w:rPr>
          <w:i/>
          <w:lang w:val="fr-CA"/>
        </w:rPr>
        <w:t>R. c. Bjelland</w:t>
      </w:r>
      <w:r w:rsidRPr="005E608F">
        <w:rPr>
          <w:lang w:val="fr-CA"/>
        </w:rPr>
        <w:t xml:space="preserve">, 2009 CSC 38, [2009] 2 R.C.S. 651; </w:t>
      </w:r>
      <w:r w:rsidRPr="005E608F">
        <w:rPr>
          <w:i/>
          <w:lang w:val="fr-CA"/>
        </w:rPr>
        <w:t>R. c. Regan</w:t>
      </w:r>
      <w:r w:rsidRPr="005E608F">
        <w:rPr>
          <w:lang w:val="fr-CA"/>
        </w:rPr>
        <w:t xml:space="preserve">, 2002 CSC 12, [2002] 1 R.C.S. 297; </w:t>
      </w:r>
      <w:r w:rsidRPr="005E608F">
        <w:rPr>
          <w:i/>
          <w:lang w:val="fr-CA"/>
        </w:rPr>
        <w:t>Homex Realty and Development Co. c. Corporation of the Village of Wyoming</w:t>
      </w:r>
      <w:r w:rsidRPr="005E608F">
        <w:rPr>
          <w:lang w:val="fr-CA"/>
        </w:rPr>
        <w:t xml:space="preserve">, [1980] 2 R.C.S. 1011; </w:t>
      </w:r>
      <w:r w:rsidRPr="005E608F">
        <w:rPr>
          <w:i/>
          <w:lang w:val="fr-CA"/>
        </w:rPr>
        <w:t>Dunsmuir c. Nouveau</w:t>
      </w:r>
      <w:r w:rsidRPr="005E608F">
        <w:rPr>
          <w:i/>
          <w:lang w:val="fr-CA"/>
        </w:rPr>
        <w:noBreakHyphen/>
        <w:t>Brunswick</w:t>
      </w:r>
      <w:r w:rsidRPr="005E608F">
        <w:rPr>
          <w:lang w:val="fr-CA"/>
        </w:rPr>
        <w:t xml:space="preserve">, 2008 CSC 9, [2008] 1 R.C.S. 190; </w:t>
      </w:r>
      <w:r w:rsidRPr="005E608F">
        <w:rPr>
          <w:i/>
          <w:lang w:val="fr-CA"/>
        </w:rPr>
        <w:t>Alberta (Information and Privacy Commissioner) c. Alberta Teachers’ Association</w:t>
      </w:r>
      <w:r w:rsidRPr="005E608F">
        <w:rPr>
          <w:lang w:val="fr-CA"/>
        </w:rPr>
        <w:t xml:space="preserve">, 2011 CSC 61, [2011] 3 R.C.S. 654; </w:t>
      </w:r>
      <w:r w:rsidRPr="005E608F">
        <w:rPr>
          <w:i/>
          <w:lang w:val="fr-CA"/>
        </w:rPr>
        <w:t>Banque canadienne de l’Ouest c. Alberta</w:t>
      </w:r>
      <w:r w:rsidRPr="005E608F">
        <w:rPr>
          <w:lang w:val="fr-CA"/>
        </w:rPr>
        <w:t xml:space="preserve">, 2007 CSC 22, [2007] 2 R.C.S. 3; </w:t>
      </w:r>
      <w:r w:rsidRPr="005E608F">
        <w:rPr>
          <w:i/>
          <w:lang w:val="fr-CA"/>
        </w:rPr>
        <w:t>Pacifica Mortgage Investment Corp. c. Laus Holdings Ltd.</w:t>
      </w:r>
      <w:r w:rsidRPr="005E608F">
        <w:rPr>
          <w:lang w:val="fr-CA"/>
        </w:rPr>
        <w:t xml:space="preserve">, 2013 </w:t>
      </w:r>
      <w:r w:rsidRPr="005E608F">
        <w:rPr>
          <w:lang w:val="fr-CA"/>
        </w:rPr>
        <w:lastRenderedPageBreak/>
        <w:t xml:space="preserve">BCCA 95, 333 B.C.A.C. 310, autorisation d’appel refusée, [2013] 3 R.C.S. viii; </w:t>
      </w:r>
      <w:r w:rsidRPr="005E608F">
        <w:rPr>
          <w:i/>
          <w:lang w:val="fr-CA"/>
        </w:rPr>
        <w:t>Tamil Co</w:t>
      </w:r>
      <w:r w:rsidRPr="005E608F">
        <w:rPr>
          <w:i/>
          <w:lang w:val="fr-CA"/>
        </w:rPr>
        <w:noBreakHyphen/>
        <w:t>operative Homes Inc. c. Arulappah</w:t>
      </w:r>
      <w:r w:rsidRPr="005E608F">
        <w:rPr>
          <w:lang w:val="fr-CA"/>
        </w:rPr>
        <w:t xml:space="preserve"> (2000), 49 O.R. (3d) 566.</w:t>
      </w:r>
    </w:p>
    <w:p w:rsidR="00EC1E65" w:rsidRPr="005E608F" w:rsidRDefault="00EC1E65" w:rsidP="00EC1E65">
      <w:pPr>
        <w:pStyle w:val="SCCNormalDoubleSpacing"/>
        <w:spacing w:after="720" w:line="240" w:lineRule="auto"/>
        <w:rPr>
          <w:b/>
          <w:lang w:val="fr-CA"/>
        </w:rPr>
      </w:pPr>
      <w:r w:rsidRPr="005E608F">
        <w:rPr>
          <w:b/>
          <w:lang w:val="fr-CA"/>
        </w:rPr>
        <w:t>Lois et règlements cités</w:t>
      </w:r>
    </w:p>
    <w:p w:rsidR="00EC1E65" w:rsidRPr="00603378" w:rsidRDefault="00EC1E65" w:rsidP="00EC1E65">
      <w:pPr>
        <w:pStyle w:val="SCCNormalDoubleSpacing"/>
        <w:spacing w:after="240" w:line="240" w:lineRule="auto"/>
        <w:ind w:left="540" w:hanging="540"/>
        <w:rPr>
          <w:lang w:val="fr-CA"/>
        </w:rPr>
      </w:pPr>
      <w:r w:rsidRPr="00603378">
        <w:rPr>
          <w:i/>
          <w:lang w:val="fr-CA"/>
        </w:rPr>
        <w:t>Administrative Tribunals Act</w:t>
      </w:r>
      <w:r w:rsidRPr="00603378">
        <w:rPr>
          <w:lang w:val="fr-CA"/>
        </w:rPr>
        <w:t>, S.B.C. 2004, ch. 45, art. 58, 59.</w:t>
      </w:r>
    </w:p>
    <w:p w:rsidR="00EC1E65" w:rsidRPr="005E608F" w:rsidRDefault="00EC1E65" w:rsidP="00EC1E65">
      <w:pPr>
        <w:pStyle w:val="SCCNormalDoubleSpacing"/>
        <w:spacing w:after="240" w:line="240" w:lineRule="auto"/>
        <w:ind w:left="540" w:hanging="540"/>
        <w:rPr>
          <w:lang w:val="fr-CA"/>
        </w:rPr>
      </w:pPr>
      <w:r w:rsidRPr="005E608F">
        <w:rPr>
          <w:i/>
          <w:lang w:val="fr-CA"/>
        </w:rPr>
        <w:t>Arbitration Act</w:t>
      </w:r>
      <w:r w:rsidRPr="005E608F">
        <w:rPr>
          <w:lang w:val="fr-CA"/>
        </w:rPr>
        <w:t xml:space="preserve">, R.S.B.C. 1996, ch. 55 [auparavant </w:t>
      </w:r>
      <w:r w:rsidRPr="005E608F">
        <w:rPr>
          <w:i/>
          <w:lang w:val="fr-CA"/>
        </w:rPr>
        <w:t>Commercial Arbitration Act</w:t>
      </w:r>
      <w:r w:rsidRPr="005E608F">
        <w:rPr>
          <w:lang w:val="fr-CA"/>
        </w:rPr>
        <w:t>], art. 31.</w:t>
      </w:r>
    </w:p>
    <w:p w:rsidR="00EC1E65" w:rsidRPr="005E608F" w:rsidRDefault="00EC1E65" w:rsidP="00EC1E65">
      <w:pPr>
        <w:pStyle w:val="SCCNormalDoubleSpacing"/>
        <w:spacing w:after="720" w:line="240" w:lineRule="auto"/>
        <w:ind w:left="539" w:hanging="539"/>
        <w:rPr>
          <w:lang w:val="fr-CA"/>
        </w:rPr>
      </w:pPr>
      <w:r w:rsidRPr="005E608F">
        <w:rPr>
          <w:i/>
          <w:lang w:val="fr-CA"/>
        </w:rPr>
        <w:t>Code civil du Québec</w:t>
      </w:r>
      <w:r w:rsidRPr="005E608F">
        <w:rPr>
          <w:lang w:val="fr-CA"/>
        </w:rPr>
        <w:t>.</w:t>
      </w:r>
    </w:p>
    <w:p w:rsidR="00EC1E65" w:rsidRPr="005E608F" w:rsidRDefault="00EC1E65" w:rsidP="00EC1E65">
      <w:pPr>
        <w:pStyle w:val="SCCNormalDoubleSpacing"/>
        <w:spacing w:after="720" w:line="240" w:lineRule="auto"/>
        <w:rPr>
          <w:b/>
          <w:lang w:val="en-US"/>
        </w:rPr>
      </w:pPr>
      <w:r w:rsidRPr="005E608F">
        <w:rPr>
          <w:b/>
          <w:lang w:val="en-US"/>
        </w:rPr>
        <w:t>Doctrine et autres documents cités</w:t>
      </w:r>
    </w:p>
    <w:p w:rsidR="00EC1E65" w:rsidRPr="005E608F" w:rsidRDefault="00EC1E65" w:rsidP="00EC1E65">
      <w:pPr>
        <w:pStyle w:val="SCCNormalDoubleSpacing"/>
        <w:spacing w:after="240" w:line="240" w:lineRule="auto"/>
        <w:ind w:left="539" w:hanging="539"/>
      </w:pPr>
      <w:r w:rsidRPr="005E608F">
        <w:t xml:space="preserve">Brown, Donald J. M., and John M. Evans, with the assistance of Christine E. Deacon.  </w:t>
      </w:r>
      <w:r w:rsidRPr="005E608F">
        <w:rPr>
          <w:i/>
        </w:rPr>
        <w:t>Judicial Review of Administrative Action in Canada</w:t>
      </w:r>
      <w:r w:rsidRPr="005E608F">
        <w:t>.  Toronto : Canvasback, 1998 (loose</w:t>
      </w:r>
      <w:r w:rsidRPr="005E608F">
        <w:noBreakHyphen/>
        <w:t>leaf updated May 2014</w:t>
      </w:r>
      <w:r>
        <w:t>, release 1</w:t>
      </w:r>
      <w:r w:rsidRPr="005E608F">
        <w:t>).</w:t>
      </w:r>
    </w:p>
    <w:p w:rsidR="00EC1E65" w:rsidRPr="005E608F" w:rsidRDefault="00EC1E65" w:rsidP="00EC1E65">
      <w:pPr>
        <w:pStyle w:val="SCCNormalDoubleSpacing"/>
        <w:spacing w:after="240" w:line="240" w:lineRule="auto"/>
        <w:ind w:left="540" w:hanging="540"/>
      </w:pPr>
      <w:r w:rsidRPr="005E608F">
        <w:t xml:space="preserve">Dyzenhaus, David.  « The Politics of Deference : Judicial Review and Democracy », in Michael Taggart, ed., </w:t>
      </w:r>
      <w:r w:rsidRPr="005E608F">
        <w:rPr>
          <w:i/>
        </w:rPr>
        <w:t>The Province of Administrative Law</w:t>
      </w:r>
      <w:r w:rsidRPr="005E608F">
        <w:t>.  Oxford : Hart, 1997, 279.</w:t>
      </w:r>
    </w:p>
    <w:p w:rsidR="00EC1E65" w:rsidRPr="005E608F" w:rsidRDefault="00EC1E65" w:rsidP="00EC1E65">
      <w:pPr>
        <w:pStyle w:val="SCCNormalDoubleSpacing"/>
        <w:spacing w:after="240" w:line="240" w:lineRule="auto"/>
        <w:ind w:left="540" w:hanging="540"/>
      </w:pPr>
      <w:r w:rsidRPr="005E608F">
        <w:t xml:space="preserve">Hall, Geoff R.  </w:t>
      </w:r>
      <w:r w:rsidRPr="005E608F">
        <w:rPr>
          <w:i/>
        </w:rPr>
        <w:t>Canadian Contractual Interpretation Law</w:t>
      </w:r>
      <w:r w:rsidRPr="005E608F">
        <w:t>, 2nd ed.  Markham, Ont. : LexisNexis, 2012.</w:t>
      </w:r>
    </w:p>
    <w:p w:rsidR="00EC1E65" w:rsidRPr="005E608F" w:rsidRDefault="00EC1E65" w:rsidP="00EC1E65">
      <w:pPr>
        <w:pStyle w:val="SCCNormalDoubleSpacing"/>
        <w:spacing w:after="240" w:line="240" w:lineRule="auto"/>
        <w:ind w:left="540" w:hanging="540"/>
      </w:pPr>
      <w:r w:rsidRPr="005E608F">
        <w:t xml:space="preserve">Lewison, Kim.  </w:t>
      </w:r>
      <w:r w:rsidRPr="005E608F">
        <w:rPr>
          <w:i/>
        </w:rPr>
        <w:t>The Interpretation of Contracts</w:t>
      </w:r>
      <w:r w:rsidRPr="005E608F">
        <w:t>, 5th ed.  London : Sweet &amp; Maxwell, 2011 &amp; Supp. 2013.</w:t>
      </w:r>
    </w:p>
    <w:p w:rsidR="00EC1E65" w:rsidRPr="005E608F" w:rsidRDefault="00EC1E65" w:rsidP="00EC1E65">
      <w:pPr>
        <w:pStyle w:val="SCCNormalDoubleSpacing"/>
        <w:spacing w:after="720" w:line="240" w:lineRule="auto"/>
        <w:ind w:left="540" w:hanging="540"/>
      </w:pPr>
      <w:r w:rsidRPr="005E608F">
        <w:t xml:space="preserve">McCamus, John D.  </w:t>
      </w:r>
      <w:r w:rsidRPr="005E608F">
        <w:rPr>
          <w:i/>
        </w:rPr>
        <w:t>The Law of Contracts</w:t>
      </w:r>
      <w:r w:rsidRPr="005E608F">
        <w:t>, 2nd ed.  Toronto : Irwin Law, 2012.</w:t>
      </w:r>
    </w:p>
    <w:p w:rsidR="00EC1E65" w:rsidRPr="005E608F" w:rsidRDefault="00EC1E65" w:rsidP="00EC1E65">
      <w:pPr>
        <w:pStyle w:val="SCCNormalDoubleSpacing"/>
        <w:spacing w:after="480"/>
        <w:rPr>
          <w:lang w:val="fr-CA"/>
        </w:rPr>
      </w:pPr>
      <w:r w:rsidRPr="005E608F">
        <w:tab/>
        <w:t>POURVOI contre un arrêt de la Cour d’appel de la Colombie</w:t>
      </w:r>
      <w:r w:rsidRPr="005E608F">
        <w:noBreakHyphen/>
        <w:t xml:space="preserve">Britannique (les juges Newbury, Low et Levine), 2010 BCCA 239, 7 B.C.L.R. (5th) 227, 319 D.L.R. (4th) 219, [2010] B.C.J. No. 891 (QL), 2010 CarswellBC 1210, qui a infirmé une décision du juge Greyell, 2009 BCSC 1079, [2009] B.C.J. No. 1597 (QL), 2009 </w:t>
      </w:r>
      <w:r w:rsidRPr="005E608F">
        <w:lastRenderedPageBreak/>
        <w:t>CarswellBC 2096, et contre un arrêt subséquent de la Cour d’appel de la Colombie</w:t>
      </w:r>
      <w:r w:rsidRPr="005E608F">
        <w:noBreakHyphen/>
        <w:t xml:space="preserve">Britannique (les juges Kirkpatrick, Neilson et Bennett), 2012 BCCA 329, 36 B.C.L.R. (5th) 71, 326 B.C.A.C. 114, 554 W.A.C. 114, 2 B.L.R. (5th) 1, [2012] B.C.J. No. 1631 (QL), 2012 CarswellBC 2327, qui a infirmé une décision du juge Armstrong, 2011 BCSC 597, 84 B.L.R. (4th) 102, [2011] B.C.J. No. 861 (QL), 2011 CarswellBC 1124.  </w:t>
      </w:r>
      <w:r w:rsidRPr="005E608F">
        <w:rPr>
          <w:lang w:val="fr-CA"/>
        </w:rPr>
        <w:t>Pourvoi accueilli.</w:t>
      </w:r>
    </w:p>
    <w:p w:rsidR="00EC1E65" w:rsidRPr="005E608F" w:rsidRDefault="00EC1E65" w:rsidP="00EC1E65">
      <w:pPr>
        <w:pStyle w:val="SCCNormalDoubleSpacing"/>
        <w:spacing w:after="480"/>
        <w:rPr>
          <w:lang w:val="fr-CA"/>
        </w:rPr>
      </w:pPr>
      <w:r w:rsidRPr="005E608F">
        <w:rPr>
          <w:i/>
          <w:lang w:val="fr-CA"/>
        </w:rPr>
        <w:tab/>
        <w:t>Michael A. Feder</w:t>
      </w:r>
      <w:r w:rsidRPr="005E608F">
        <w:rPr>
          <w:lang w:val="fr-CA"/>
        </w:rPr>
        <w:t xml:space="preserve"> et </w:t>
      </w:r>
      <w:r w:rsidRPr="005E608F">
        <w:rPr>
          <w:i/>
          <w:lang w:val="fr-CA"/>
        </w:rPr>
        <w:t>Tammy Shoranick</w:t>
      </w:r>
      <w:r w:rsidRPr="005E608F">
        <w:rPr>
          <w:lang w:val="fr-CA"/>
        </w:rPr>
        <w:t>, pour l’appelante.</w:t>
      </w:r>
    </w:p>
    <w:p w:rsidR="00EC1E65" w:rsidRPr="005E608F" w:rsidRDefault="00EC1E65" w:rsidP="00EC1E65">
      <w:pPr>
        <w:pStyle w:val="SCCNormalDoubleSpacing"/>
        <w:spacing w:after="480"/>
        <w:rPr>
          <w:lang w:val="fr-CA"/>
        </w:rPr>
      </w:pPr>
      <w:r w:rsidRPr="005E608F">
        <w:rPr>
          <w:i/>
          <w:lang w:val="fr-CA"/>
        </w:rPr>
        <w:tab/>
        <w:t>Darrell W. Roberts</w:t>
      </w:r>
      <w:r w:rsidRPr="005E608F">
        <w:rPr>
          <w:lang w:val="fr-CA"/>
        </w:rPr>
        <w:t xml:space="preserve">, </w:t>
      </w:r>
      <w:r w:rsidRPr="005E608F">
        <w:rPr>
          <w:i/>
          <w:lang w:val="fr-CA"/>
        </w:rPr>
        <w:t>c.r.</w:t>
      </w:r>
      <w:r w:rsidRPr="005E608F">
        <w:rPr>
          <w:lang w:val="fr-CA"/>
        </w:rPr>
        <w:t>,</w:t>
      </w:r>
      <w:r w:rsidRPr="005E608F">
        <w:rPr>
          <w:i/>
          <w:lang w:val="fr-CA"/>
        </w:rPr>
        <w:t xml:space="preserve"> </w:t>
      </w:r>
      <w:r w:rsidRPr="005E608F">
        <w:rPr>
          <w:lang w:val="fr-CA"/>
        </w:rPr>
        <w:t xml:space="preserve">et </w:t>
      </w:r>
      <w:r w:rsidRPr="005E608F">
        <w:rPr>
          <w:i/>
          <w:lang w:val="fr-CA"/>
        </w:rPr>
        <w:t>David Mitchell</w:t>
      </w:r>
      <w:r w:rsidRPr="005E608F">
        <w:rPr>
          <w:lang w:val="fr-CA"/>
        </w:rPr>
        <w:t>, pour l’intimée.</w:t>
      </w:r>
    </w:p>
    <w:p w:rsidR="00EC1E65" w:rsidRPr="005E608F" w:rsidRDefault="00EC1E65" w:rsidP="00EC1E65">
      <w:pPr>
        <w:pStyle w:val="SCCNormalDoubleSpacing"/>
        <w:spacing w:after="480"/>
        <w:rPr>
          <w:lang w:val="fr-CA"/>
        </w:rPr>
      </w:pPr>
      <w:r w:rsidRPr="005E608F">
        <w:rPr>
          <w:i/>
          <w:lang w:val="fr-CA"/>
        </w:rPr>
        <w:tab/>
        <w:t>Jonathan Eades</w:t>
      </w:r>
      <w:r w:rsidRPr="005E608F">
        <w:rPr>
          <w:lang w:val="fr-CA"/>
        </w:rPr>
        <w:t xml:space="preserve"> et </w:t>
      </w:r>
      <w:r w:rsidRPr="005E608F">
        <w:rPr>
          <w:i/>
          <w:lang w:val="fr-CA"/>
        </w:rPr>
        <w:t>Micah Weintraub</w:t>
      </w:r>
      <w:r w:rsidRPr="005E608F">
        <w:rPr>
          <w:lang w:val="fr-CA"/>
        </w:rPr>
        <w:t>, pour l’intervenant le procureur général de la Colombie</w:t>
      </w:r>
      <w:r w:rsidRPr="005E608F">
        <w:rPr>
          <w:lang w:val="fr-CA"/>
        </w:rPr>
        <w:noBreakHyphen/>
        <w:t>Britannique.</w:t>
      </w:r>
    </w:p>
    <w:p w:rsidR="00EC1E65" w:rsidRDefault="00EC1E65" w:rsidP="00EC1E65">
      <w:pPr>
        <w:pStyle w:val="SCCNormalDoubleSpacing"/>
        <w:spacing w:after="480"/>
        <w:rPr>
          <w:lang w:val="fr-CA"/>
        </w:rPr>
      </w:pPr>
      <w:r w:rsidRPr="005E608F">
        <w:rPr>
          <w:i/>
          <w:lang w:val="fr-CA"/>
        </w:rPr>
        <w:tab/>
        <w:t>David Wotherspoon</w:t>
      </w:r>
      <w:r w:rsidRPr="005E608F">
        <w:rPr>
          <w:lang w:val="fr-CA"/>
        </w:rPr>
        <w:t xml:space="preserve"> et </w:t>
      </w:r>
      <w:r w:rsidRPr="005E608F">
        <w:rPr>
          <w:i/>
          <w:lang w:val="fr-CA"/>
        </w:rPr>
        <w:t>Gavin R. Cameron</w:t>
      </w:r>
      <w:r w:rsidRPr="005E608F">
        <w:rPr>
          <w:lang w:val="fr-CA"/>
        </w:rPr>
        <w:t>, pour l’intervenante BCICAC Foundation.</w:t>
      </w:r>
    </w:p>
    <w:p w:rsidR="00EC1E65" w:rsidRPr="0050518D" w:rsidRDefault="00EC1E65" w:rsidP="00EC1E65">
      <w:pPr>
        <w:tabs>
          <w:tab w:val="center" w:pos="4050"/>
        </w:tabs>
        <w:rPr>
          <w:b/>
          <w:szCs w:val="24"/>
          <w:lang w:val="fr-CA"/>
        </w:rPr>
      </w:pPr>
      <w:r w:rsidRPr="005C0C8B">
        <w:rPr>
          <w:b/>
          <w:szCs w:val="24"/>
          <w:lang w:val="fr-CA"/>
        </w:rPr>
        <w:tab/>
      </w:r>
      <w:r w:rsidRPr="0050518D">
        <w:rPr>
          <w:b/>
          <w:szCs w:val="24"/>
          <w:lang w:val="fr-FR"/>
        </w:rPr>
        <w:t>TABLE DES MATIÈRES</w:t>
      </w:r>
    </w:p>
    <w:p w:rsidR="00EC1E65" w:rsidRPr="0050518D" w:rsidRDefault="00EC1E65" w:rsidP="00EC1E65">
      <w:pPr>
        <w:tabs>
          <w:tab w:val="right" w:pos="8280"/>
        </w:tabs>
        <w:rPr>
          <w:szCs w:val="24"/>
          <w:lang w:val="fr-CA"/>
        </w:rPr>
      </w:pPr>
      <w:r w:rsidRPr="0050518D">
        <w:rPr>
          <w:szCs w:val="24"/>
          <w:lang w:val="fr-CA"/>
        </w:rPr>
        <w:tab/>
        <w:t>Paragraphe</w:t>
      </w:r>
    </w:p>
    <w:p w:rsidR="00EC1E65" w:rsidRPr="0050518D" w:rsidRDefault="00EC1E65" w:rsidP="00EC1E65">
      <w:pPr>
        <w:tabs>
          <w:tab w:val="left" w:pos="540"/>
          <w:tab w:val="right" w:leader="dot" w:pos="8280"/>
        </w:tabs>
        <w:spacing w:before="120" w:after="120"/>
        <w:ind w:left="547" w:hanging="547"/>
        <w:rPr>
          <w:rFonts w:eastAsiaTheme="minorEastAsia"/>
          <w:noProof/>
          <w:szCs w:val="24"/>
          <w:lang w:val="fr-FR" w:eastAsia="en-US"/>
        </w:rPr>
      </w:pPr>
      <w:r w:rsidRPr="0050518D">
        <w:rPr>
          <w:rFonts w:eastAsiaTheme="minorEastAsia"/>
          <w:noProof/>
          <w:lang w:val="fr-CA" w:eastAsia="en-US" w:bidi="en-US"/>
        </w:rPr>
        <w:t>I.</w:t>
      </w:r>
      <w:r w:rsidRPr="0050518D">
        <w:rPr>
          <w:rFonts w:eastAsiaTheme="minorEastAsia"/>
          <w:noProof/>
          <w:szCs w:val="24"/>
          <w:lang w:val="fr-FR" w:eastAsia="en-US"/>
        </w:rPr>
        <w:tab/>
      </w:r>
      <w:r w:rsidRPr="0050518D">
        <w:rPr>
          <w:rFonts w:eastAsiaTheme="minorEastAsia"/>
          <w:noProof/>
          <w:lang w:val="fr-CA" w:eastAsia="en-US" w:bidi="en-US"/>
        </w:rPr>
        <w:t>Faits</w:t>
      </w:r>
      <w:r w:rsidRPr="0050518D">
        <w:rPr>
          <w:rFonts w:eastAsiaTheme="minorEastAsia"/>
          <w:noProof/>
          <w:webHidden/>
          <w:szCs w:val="24"/>
          <w:lang w:val="fr-FR" w:eastAsia="en-US" w:bidi="en-US"/>
        </w:rPr>
        <w:tab/>
        <w:t>2</w:t>
      </w:r>
    </w:p>
    <w:p w:rsidR="00EC1E65" w:rsidRPr="0050518D" w:rsidRDefault="00EC1E65" w:rsidP="00EC1E65">
      <w:pPr>
        <w:tabs>
          <w:tab w:val="left" w:pos="540"/>
          <w:tab w:val="right" w:leader="dot" w:pos="8280"/>
        </w:tabs>
        <w:spacing w:before="120" w:after="120"/>
        <w:ind w:left="547" w:hanging="547"/>
        <w:rPr>
          <w:rFonts w:eastAsiaTheme="minorEastAsia"/>
          <w:noProof/>
          <w:szCs w:val="24"/>
          <w:lang w:val="fr-FR" w:eastAsia="en-US"/>
        </w:rPr>
      </w:pPr>
      <w:r w:rsidRPr="0050518D">
        <w:rPr>
          <w:rFonts w:eastAsiaTheme="minorEastAsia"/>
          <w:noProof/>
          <w:lang w:val="fr-CA" w:eastAsia="en-US" w:bidi="en-US"/>
        </w:rPr>
        <w:t>II.</w:t>
      </w:r>
      <w:r w:rsidRPr="0050518D">
        <w:rPr>
          <w:rFonts w:eastAsiaTheme="minorEastAsia"/>
          <w:noProof/>
          <w:szCs w:val="24"/>
          <w:lang w:val="fr-FR" w:eastAsia="en-US"/>
        </w:rPr>
        <w:tab/>
      </w:r>
      <w:r w:rsidRPr="0050518D">
        <w:rPr>
          <w:rFonts w:eastAsiaTheme="minorEastAsia"/>
          <w:noProof/>
          <w:lang w:val="fr-CA" w:eastAsia="en-US" w:bidi="en-US"/>
        </w:rPr>
        <w:t>Sentence arbitrale</w:t>
      </w:r>
      <w:r w:rsidRPr="0050518D">
        <w:rPr>
          <w:rFonts w:eastAsiaTheme="minorEastAsia"/>
          <w:noProof/>
          <w:webHidden/>
          <w:szCs w:val="24"/>
          <w:lang w:val="fr-FR" w:eastAsia="en-US" w:bidi="en-US"/>
        </w:rPr>
        <w:tab/>
        <w:t>11</w:t>
      </w:r>
    </w:p>
    <w:p w:rsidR="00EC1E65" w:rsidRPr="0050518D" w:rsidRDefault="00EC1E65" w:rsidP="00EC1E65">
      <w:pPr>
        <w:tabs>
          <w:tab w:val="left" w:pos="540"/>
          <w:tab w:val="right" w:leader="dot" w:pos="8280"/>
        </w:tabs>
        <w:spacing w:before="120" w:after="120"/>
        <w:ind w:left="547" w:hanging="547"/>
        <w:rPr>
          <w:rFonts w:eastAsiaTheme="minorEastAsia"/>
          <w:noProof/>
          <w:szCs w:val="24"/>
          <w:lang w:val="fr-FR" w:eastAsia="en-US"/>
        </w:rPr>
      </w:pPr>
      <w:r w:rsidRPr="0050518D">
        <w:rPr>
          <w:rFonts w:eastAsiaTheme="minorEastAsia"/>
          <w:noProof/>
          <w:lang w:val="fr-CA" w:eastAsia="en-US" w:bidi="en-US"/>
        </w:rPr>
        <w:t>III.</w:t>
      </w:r>
      <w:r w:rsidRPr="0050518D">
        <w:rPr>
          <w:rFonts w:eastAsiaTheme="minorEastAsia"/>
          <w:noProof/>
          <w:szCs w:val="24"/>
          <w:lang w:val="fr-FR" w:eastAsia="en-US"/>
        </w:rPr>
        <w:tab/>
      </w:r>
      <w:r w:rsidRPr="0050518D">
        <w:rPr>
          <w:rFonts w:eastAsiaTheme="minorEastAsia"/>
          <w:noProof/>
          <w:lang w:val="fr-CA" w:eastAsia="en-US" w:bidi="en-US"/>
        </w:rPr>
        <w:t>Historique judiciaire</w:t>
      </w:r>
      <w:r w:rsidRPr="0050518D">
        <w:rPr>
          <w:rFonts w:eastAsiaTheme="minorEastAsia"/>
          <w:noProof/>
          <w:webHidden/>
          <w:szCs w:val="24"/>
          <w:lang w:val="fr-FR" w:eastAsia="en-US" w:bidi="en-US"/>
        </w:rPr>
        <w:tab/>
        <w:t>19</w:t>
      </w:r>
    </w:p>
    <w:p w:rsidR="00EC1E65" w:rsidRPr="0050518D" w:rsidRDefault="00EC1E65" w:rsidP="00EC1E65">
      <w:pPr>
        <w:tabs>
          <w:tab w:val="left" w:pos="540"/>
          <w:tab w:val="right" w:leader="dot" w:pos="8280"/>
        </w:tabs>
        <w:spacing w:before="120" w:after="120"/>
        <w:ind w:left="547" w:hanging="547"/>
        <w:rPr>
          <w:rFonts w:eastAsiaTheme="minorEastAsia"/>
          <w:i/>
          <w:noProof/>
          <w:szCs w:val="24"/>
          <w:lang w:val="fr-FR" w:eastAsia="en-US"/>
        </w:rPr>
      </w:pPr>
      <w:r w:rsidRPr="0050518D">
        <w:rPr>
          <w:rFonts w:eastAsiaTheme="minorEastAsia"/>
          <w:noProof/>
          <w:lang w:val="fr-CA" w:eastAsia="en-US" w:bidi="en-US"/>
        </w:rPr>
        <w:t>A.</w:t>
      </w:r>
      <w:r w:rsidRPr="0050518D">
        <w:rPr>
          <w:rFonts w:eastAsiaTheme="minorEastAsia"/>
          <w:noProof/>
          <w:szCs w:val="24"/>
          <w:lang w:val="fr-FR" w:eastAsia="en-US"/>
        </w:rPr>
        <w:tab/>
      </w:r>
      <w:r w:rsidRPr="0050518D">
        <w:rPr>
          <w:rFonts w:eastAsiaTheme="minorEastAsia"/>
          <w:i/>
          <w:noProof/>
          <w:lang w:val="fr-CA" w:eastAsia="en-US" w:bidi="en-US"/>
        </w:rPr>
        <w:t>Cour suprême de la Colombie</w:t>
      </w:r>
      <w:r w:rsidRPr="0050518D">
        <w:rPr>
          <w:rFonts w:eastAsiaTheme="minorEastAsia"/>
          <w:i/>
          <w:noProof/>
          <w:lang w:val="fr-CA" w:eastAsia="en-US" w:bidi="en-US"/>
        </w:rPr>
        <w:noBreakHyphen/>
        <w:t>Britannique — décision sur la demande d’autorisation d’appel, 2009 BCSC 1079</w:t>
      </w:r>
      <w:r w:rsidRPr="0050518D">
        <w:rPr>
          <w:rFonts w:eastAsiaTheme="minorEastAsia"/>
          <w:i/>
          <w:noProof/>
          <w:webHidden/>
          <w:szCs w:val="24"/>
          <w:lang w:val="fr-FR" w:eastAsia="en-US" w:bidi="en-US"/>
        </w:rPr>
        <w:tab/>
      </w:r>
      <w:r w:rsidRPr="0050518D">
        <w:rPr>
          <w:rFonts w:eastAsiaTheme="minorEastAsia"/>
          <w:noProof/>
          <w:webHidden/>
          <w:szCs w:val="24"/>
          <w:lang w:val="fr-FR" w:eastAsia="en-US" w:bidi="en-US"/>
        </w:rPr>
        <w:t>19</w:t>
      </w:r>
    </w:p>
    <w:p w:rsidR="00EC1E65" w:rsidRPr="0050518D" w:rsidRDefault="00EC1E65" w:rsidP="00EC1E65">
      <w:pPr>
        <w:tabs>
          <w:tab w:val="left" w:pos="540"/>
          <w:tab w:val="right" w:leader="dot" w:pos="8280"/>
        </w:tabs>
        <w:spacing w:before="120" w:after="120"/>
        <w:ind w:left="547" w:hanging="547"/>
        <w:rPr>
          <w:rFonts w:eastAsiaTheme="minorEastAsia"/>
          <w:i/>
          <w:noProof/>
          <w:szCs w:val="24"/>
          <w:lang w:val="fr-FR" w:eastAsia="en-US"/>
        </w:rPr>
      </w:pPr>
      <w:r w:rsidRPr="0050518D">
        <w:rPr>
          <w:rFonts w:eastAsiaTheme="minorEastAsia"/>
          <w:noProof/>
          <w:lang w:val="fr-CA" w:eastAsia="en-US" w:bidi="en-US"/>
        </w:rPr>
        <w:t>B.</w:t>
      </w:r>
      <w:r w:rsidRPr="0050518D">
        <w:rPr>
          <w:rFonts w:eastAsiaTheme="minorEastAsia"/>
          <w:noProof/>
          <w:szCs w:val="24"/>
          <w:lang w:val="fr-FR" w:eastAsia="en-US"/>
        </w:rPr>
        <w:tab/>
      </w:r>
      <w:r w:rsidRPr="0050518D">
        <w:rPr>
          <w:rFonts w:eastAsiaTheme="minorEastAsia"/>
          <w:i/>
          <w:noProof/>
          <w:lang w:val="fr-CA" w:eastAsia="en-US" w:bidi="en-US"/>
        </w:rPr>
        <w:t>Cour d’appel de la Colombie</w:t>
      </w:r>
      <w:r w:rsidRPr="0050518D">
        <w:rPr>
          <w:rFonts w:eastAsiaTheme="minorEastAsia"/>
          <w:i/>
          <w:noProof/>
          <w:lang w:val="fr-CA" w:eastAsia="en-US" w:bidi="en-US"/>
        </w:rPr>
        <w:noBreakHyphen/>
        <w:t>Britannique — décision sur la demande d’autorisation d’appel, 2010 BCCA 239</w:t>
      </w:r>
      <w:r w:rsidRPr="0050518D">
        <w:rPr>
          <w:rFonts w:eastAsiaTheme="minorEastAsia"/>
          <w:i/>
          <w:noProof/>
          <w:webHidden/>
          <w:szCs w:val="24"/>
          <w:lang w:val="fr-FR" w:eastAsia="en-US" w:bidi="en-US"/>
        </w:rPr>
        <w:tab/>
      </w:r>
      <w:r w:rsidRPr="0050518D">
        <w:rPr>
          <w:rFonts w:eastAsiaTheme="minorEastAsia"/>
          <w:noProof/>
          <w:webHidden/>
          <w:szCs w:val="24"/>
          <w:lang w:val="fr-FR" w:eastAsia="en-US" w:bidi="en-US"/>
        </w:rPr>
        <w:t>21</w:t>
      </w:r>
    </w:p>
    <w:p w:rsidR="00EC1E65" w:rsidRPr="0050518D" w:rsidRDefault="00EC1E65" w:rsidP="00EC1E65">
      <w:pPr>
        <w:tabs>
          <w:tab w:val="left" w:pos="540"/>
          <w:tab w:val="right" w:leader="dot" w:pos="8280"/>
        </w:tabs>
        <w:spacing w:before="120" w:after="120"/>
        <w:ind w:left="547" w:hanging="547"/>
        <w:rPr>
          <w:rFonts w:eastAsiaTheme="minorEastAsia"/>
          <w:i/>
          <w:noProof/>
          <w:szCs w:val="24"/>
          <w:lang w:val="fr-FR" w:eastAsia="en-US"/>
        </w:rPr>
      </w:pPr>
      <w:r w:rsidRPr="0050518D">
        <w:rPr>
          <w:rFonts w:eastAsiaTheme="minorEastAsia"/>
          <w:noProof/>
          <w:lang w:val="fr-CA" w:eastAsia="en-US" w:bidi="en-US"/>
        </w:rPr>
        <w:t>C.</w:t>
      </w:r>
      <w:r w:rsidRPr="0050518D">
        <w:rPr>
          <w:rFonts w:eastAsiaTheme="minorEastAsia"/>
          <w:noProof/>
          <w:szCs w:val="24"/>
          <w:lang w:val="fr-FR" w:eastAsia="en-US"/>
        </w:rPr>
        <w:tab/>
      </w:r>
      <w:r w:rsidRPr="0050518D">
        <w:rPr>
          <w:rFonts w:eastAsiaTheme="minorEastAsia"/>
          <w:i/>
          <w:noProof/>
          <w:lang w:val="fr-CA" w:eastAsia="en-US" w:bidi="en-US"/>
        </w:rPr>
        <w:t>Cour suprême de la Colombie</w:t>
      </w:r>
      <w:r w:rsidRPr="0050518D">
        <w:rPr>
          <w:rFonts w:eastAsiaTheme="minorEastAsia"/>
          <w:i/>
          <w:noProof/>
          <w:lang w:val="fr-CA" w:eastAsia="en-US" w:bidi="en-US"/>
        </w:rPr>
        <w:noBreakHyphen/>
        <w:t xml:space="preserve">Britannique — décision sur l’appel, 2011 </w:t>
      </w:r>
      <w:r>
        <w:rPr>
          <w:rFonts w:eastAsiaTheme="minorEastAsia"/>
          <w:i/>
          <w:noProof/>
          <w:lang w:val="fr-CA" w:eastAsia="en-US" w:bidi="en-US"/>
        </w:rPr>
        <w:br/>
      </w:r>
      <w:r w:rsidRPr="0050518D">
        <w:rPr>
          <w:rFonts w:eastAsiaTheme="minorEastAsia"/>
          <w:i/>
          <w:noProof/>
          <w:lang w:val="fr-CA" w:eastAsia="en-US" w:bidi="en-US"/>
        </w:rPr>
        <w:t>BCSC 597</w:t>
      </w:r>
      <w:r w:rsidRPr="0050518D">
        <w:rPr>
          <w:rFonts w:eastAsiaTheme="minorEastAsia"/>
          <w:i/>
          <w:noProof/>
          <w:webHidden/>
          <w:szCs w:val="24"/>
          <w:lang w:val="fr-FR" w:eastAsia="en-US" w:bidi="en-US"/>
        </w:rPr>
        <w:tab/>
      </w:r>
      <w:r w:rsidRPr="0050518D">
        <w:rPr>
          <w:rFonts w:eastAsiaTheme="minorEastAsia"/>
          <w:noProof/>
          <w:webHidden/>
          <w:szCs w:val="24"/>
          <w:lang w:val="fr-FR" w:eastAsia="en-US" w:bidi="en-US"/>
        </w:rPr>
        <w:t>23</w:t>
      </w:r>
    </w:p>
    <w:p w:rsidR="00EC1E65" w:rsidRPr="0050518D" w:rsidRDefault="00EC1E65" w:rsidP="00EC1E65">
      <w:pPr>
        <w:tabs>
          <w:tab w:val="left" w:pos="540"/>
          <w:tab w:val="right" w:leader="dot" w:pos="8280"/>
        </w:tabs>
        <w:spacing w:before="120" w:after="120"/>
        <w:ind w:left="547" w:hanging="547"/>
        <w:rPr>
          <w:rFonts w:eastAsiaTheme="minorEastAsia"/>
          <w:i/>
          <w:noProof/>
          <w:szCs w:val="24"/>
          <w:lang w:val="fr-FR" w:eastAsia="en-US"/>
        </w:rPr>
      </w:pPr>
      <w:r w:rsidRPr="0050518D">
        <w:rPr>
          <w:rFonts w:eastAsiaTheme="minorEastAsia"/>
          <w:noProof/>
          <w:lang w:val="fr-CA" w:eastAsia="en-US" w:bidi="en-US"/>
        </w:rPr>
        <w:lastRenderedPageBreak/>
        <w:t>D.</w:t>
      </w:r>
      <w:r w:rsidRPr="0050518D">
        <w:rPr>
          <w:rFonts w:eastAsiaTheme="minorEastAsia"/>
          <w:noProof/>
          <w:szCs w:val="24"/>
          <w:lang w:val="fr-FR" w:eastAsia="en-US"/>
        </w:rPr>
        <w:tab/>
      </w:r>
      <w:r w:rsidRPr="0050518D">
        <w:rPr>
          <w:rFonts w:eastAsiaTheme="minorEastAsia"/>
          <w:i/>
          <w:noProof/>
          <w:lang w:val="fr-CA" w:eastAsia="en-US" w:bidi="en-US"/>
        </w:rPr>
        <w:t>Cour d’ap</w:t>
      </w:r>
      <w:r>
        <w:rPr>
          <w:rFonts w:eastAsiaTheme="minorEastAsia"/>
          <w:i/>
          <w:noProof/>
          <w:lang w:val="fr-CA" w:eastAsia="en-US" w:bidi="en-US"/>
        </w:rPr>
        <w:t>pel de la Colombie</w:t>
      </w:r>
      <w:r>
        <w:rPr>
          <w:rFonts w:eastAsiaTheme="minorEastAsia"/>
          <w:i/>
          <w:noProof/>
          <w:lang w:val="fr-CA" w:eastAsia="en-US" w:bidi="en-US"/>
        </w:rPr>
        <w:noBreakHyphen/>
        <w:t>Britannique —</w:t>
      </w:r>
      <w:r w:rsidRPr="0050518D">
        <w:rPr>
          <w:rFonts w:eastAsiaTheme="minorEastAsia"/>
          <w:i/>
          <w:noProof/>
          <w:lang w:val="fr-CA" w:eastAsia="en-US" w:bidi="en-US"/>
        </w:rPr>
        <w:t xml:space="preserve"> décision sur l’appel, 2012 </w:t>
      </w:r>
      <w:r>
        <w:rPr>
          <w:rFonts w:eastAsiaTheme="minorEastAsia"/>
          <w:i/>
          <w:noProof/>
          <w:lang w:val="fr-CA" w:eastAsia="en-US" w:bidi="en-US"/>
        </w:rPr>
        <w:br/>
      </w:r>
      <w:r w:rsidRPr="0050518D">
        <w:rPr>
          <w:rFonts w:eastAsiaTheme="minorEastAsia"/>
          <w:i/>
          <w:noProof/>
          <w:lang w:val="fr-CA" w:eastAsia="en-US" w:bidi="en-US"/>
        </w:rPr>
        <w:t>BCCA 329</w:t>
      </w:r>
      <w:r w:rsidRPr="0050518D">
        <w:rPr>
          <w:rFonts w:eastAsiaTheme="minorEastAsia"/>
          <w:i/>
          <w:noProof/>
          <w:webHidden/>
          <w:szCs w:val="24"/>
          <w:lang w:val="fr-FR" w:eastAsia="en-US" w:bidi="en-US"/>
        </w:rPr>
        <w:tab/>
      </w:r>
      <w:r w:rsidRPr="0050518D">
        <w:rPr>
          <w:rFonts w:eastAsiaTheme="minorEastAsia"/>
          <w:noProof/>
          <w:webHidden/>
          <w:szCs w:val="24"/>
          <w:lang w:val="fr-FR" w:eastAsia="en-US" w:bidi="en-US"/>
        </w:rPr>
        <w:t>28</w:t>
      </w:r>
    </w:p>
    <w:p w:rsidR="00EC1E65" w:rsidRPr="0050518D" w:rsidRDefault="00EC1E65" w:rsidP="00EC1E65">
      <w:pPr>
        <w:tabs>
          <w:tab w:val="left" w:pos="540"/>
          <w:tab w:val="right" w:leader="dot" w:pos="8280"/>
        </w:tabs>
        <w:spacing w:before="120" w:after="120"/>
        <w:ind w:left="547" w:hanging="547"/>
        <w:rPr>
          <w:rFonts w:eastAsiaTheme="minorEastAsia"/>
          <w:noProof/>
          <w:szCs w:val="24"/>
          <w:lang w:val="fr-FR" w:eastAsia="en-US"/>
        </w:rPr>
      </w:pPr>
      <w:r w:rsidRPr="0050518D">
        <w:rPr>
          <w:rFonts w:eastAsiaTheme="minorEastAsia"/>
          <w:noProof/>
          <w:lang w:val="fr-CA" w:eastAsia="en-US" w:bidi="en-US"/>
        </w:rPr>
        <w:t>IV.</w:t>
      </w:r>
      <w:r w:rsidRPr="0050518D">
        <w:rPr>
          <w:rFonts w:eastAsiaTheme="minorEastAsia"/>
          <w:noProof/>
          <w:szCs w:val="24"/>
          <w:lang w:val="fr-FR" w:eastAsia="en-US"/>
        </w:rPr>
        <w:tab/>
      </w:r>
      <w:r w:rsidRPr="0050518D">
        <w:rPr>
          <w:rFonts w:eastAsiaTheme="minorEastAsia"/>
          <w:noProof/>
          <w:lang w:val="fr-CA" w:eastAsia="en-US" w:bidi="en-US"/>
        </w:rPr>
        <w:t>Questions en litige</w:t>
      </w:r>
      <w:r w:rsidRPr="0050518D">
        <w:rPr>
          <w:rFonts w:eastAsiaTheme="minorEastAsia"/>
          <w:noProof/>
          <w:webHidden/>
          <w:szCs w:val="24"/>
          <w:lang w:val="fr-FR" w:eastAsia="en-US" w:bidi="en-US"/>
        </w:rPr>
        <w:tab/>
        <w:t>31</w:t>
      </w:r>
    </w:p>
    <w:p w:rsidR="00EC1E65" w:rsidRPr="0050518D" w:rsidRDefault="00EC1E65" w:rsidP="00EC1E65">
      <w:pPr>
        <w:tabs>
          <w:tab w:val="left" w:pos="540"/>
          <w:tab w:val="right" w:leader="dot" w:pos="8280"/>
        </w:tabs>
        <w:spacing w:before="120" w:after="120"/>
        <w:ind w:left="547" w:hanging="547"/>
        <w:rPr>
          <w:rFonts w:eastAsiaTheme="minorEastAsia"/>
          <w:noProof/>
          <w:szCs w:val="24"/>
          <w:lang w:val="fr-FR" w:eastAsia="en-US"/>
        </w:rPr>
      </w:pPr>
      <w:r w:rsidRPr="0050518D">
        <w:rPr>
          <w:rFonts w:eastAsiaTheme="minorEastAsia"/>
          <w:noProof/>
          <w:lang w:val="fr-CA" w:eastAsia="en-US" w:bidi="en-US"/>
        </w:rPr>
        <w:t>V.</w:t>
      </w:r>
      <w:r w:rsidRPr="0050518D">
        <w:rPr>
          <w:rFonts w:eastAsiaTheme="minorEastAsia"/>
          <w:noProof/>
          <w:szCs w:val="24"/>
          <w:lang w:val="fr-FR" w:eastAsia="en-US"/>
        </w:rPr>
        <w:tab/>
      </w:r>
      <w:r w:rsidRPr="0050518D">
        <w:rPr>
          <w:rFonts w:eastAsiaTheme="minorEastAsia"/>
          <w:noProof/>
          <w:lang w:val="fr-CA" w:eastAsia="en-US" w:bidi="en-US"/>
        </w:rPr>
        <w:t>Analyse</w:t>
      </w:r>
      <w:r w:rsidRPr="0050518D">
        <w:rPr>
          <w:rFonts w:eastAsiaTheme="minorEastAsia"/>
          <w:noProof/>
          <w:webHidden/>
          <w:szCs w:val="24"/>
          <w:lang w:val="fr-FR" w:eastAsia="en-US" w:bidi="en-US"/>
        </w:rPr>
        <w:tab/>
        <w:t>32</w:t>
      </w:r>
    </w:p>
    <w:p w:rsidR="00EC1E65" w:rsidRPr="0050518D" w:rsidRDefault="00EC1E65" w:rsidP="00EC1E65">
      <w:pPr>
        <w:tabs>
          <w:tab w:val="left" w:pos="540"/>
          <w:tab w:val="right" w:leader="dot" w:pos="8280"/>
        </w:tabs>
        <w:spacing w:before="120" w:after="120"/>
        <w:ind w:left="547" w:hanging="547"/>
        <w:rPr>
          <w:rFonts w:eastAsiaTheme="minorEastAsia"/>
          <w:i/>
          <w:noProof/>
          <w:szCs w:val="24"/>
          <w:lang w:val="fr-FR" w:eastAsia="en-US"/>
        </w:rPr>
      </w:pPr>
      <w:r w:rsidRPr="0050518D">
        <w:rPr>
          <w:rFonts w:eastAsiaTheme="minorEastAsia"/>
          <w:noProof/>
          <w:lang w:val="fr-CA" w:eastAsia="en-US" w:bidi="en-US"/>
        </w:rPr>
        <w:t>A.</w:t>
      </w:r>
      <w:r w:rsidRPr="0050518D">
        <w:rPr>
          <w:rFonts w:eastAsiaTheme="minorEastAsia"/>
          <w:i/>
          <w:noProof/>
          <w:szCs w:val="24"/>
          <w:lang w:val="fr-FR" w:eastAsia="en-US"/>
        </w:rPr>
        <w:tab/>
      </w:r>
      <w:r w:rsidRPr="0050518D">
        <w:rPr>
          <w:rFonts w:eastAsiaTheme="minorEastAsia"/>
          <w:i/>
          <w:noProof/>
          <w:lang w:val="fr-CA" w:eastAsia="en-US" w:bidi="en-US"/>
        </w:rPr>
        <w:t>Notre Cour est saisie à bon droit de la question de l’autorisation</w:t>
      </w:r>
      <w:r w:rsidRPr="0050518D">
        <w:rPr>
          <w:rFonts w:eastAsiaTheme="minorEastAsia"/>
          <w:i/>
          <w:noProof/>
          <w:webHidden/>
          <w:szCs w:val="24"/>
          <w:lang w:val="fr-FR" w:eastAsia="en-US" w:bidi="en-US"/>
        </w:rPr>
        <w:tab/>
      </w:r>
      <w:r w:rsidRPr="0050518D">
        <w:rPr>
          <w:rFonts w:eastAsiaTheme="minorEastAsia"/>
          <w:noProof/>
          <w:webHidden/>
          <w:szCs w:val="24"/>
          <w:lang w:val="fr-FR" w:eastAsia="en-US" w:bidi="en-US"/>
        </w:rPr>
        <w:t>32</w:t>
      </w:r>
    </w:p>
    <w:p w:rsidR="00EC1E65" w:rsidRPr="0050518D" w:rsidRDefault="00EC1E65" w:rsidP="00EC1E65">
      <w:pPr>
        <w:tabs>
          <w:tab w:val="left" w:pos="540"/>
          <w:tab w:val="right" w:leader="dot" w:pos="8280"/>
        </w:tabs>
        <w:spacing w:before="120" w:after="120"/>
        <w:ind w:left="547" w:hanging="547"/>
        <w:rPr>
          <w:rFonts w:eastAsiaTheme="minorEastAsia"/>
          <w:noProof/>
          <w:szCs w:val="24"/>
          <w:lang w:val="fr-FR" w:eastAsia="en-US"/>
        </w:rPr>
      </w:pPr>
      <w:r w:rsidRPr="0050518D">
        <w:rPr>
          <w:rFonts w:eastAsiaTheme="minorEastAsia"/>
          <w:noProof/>
          <w:lang w:val="fr-CA" w:eastAsia="en-US" w:bidi="en-US"/>
        </w:rPr>
        <w:t>B.</w:t>
      </w:r>
      <w:r w:rsidRPr="0050518D">
        <w:rPr>
          <w:rFonts w:eastAsiaTheme="minorEastAsia"/>
          <w:i/>
          <w:noProof/>
          <w:szCs w:val="24"/>
          <w:lang w:val="fr-FR" w:eastAsia="en-US"/>
        </w:rPr>
        <w:tab/>
      </w:r>
      <w:r>
        <w:rPr>
          <w:rFonts w:eastAsiaTheme="minorEastAsia"/>
          <w:i/>
          <w:noProof/>
          <w:lang w:val="fr-CA" w:eastAsia="en-US" w:bidi="en-US"/>
        </w:rPr>
        <w:t>La C</w:t>
      </w:r>
      <w:r w:rsidRPr="0050518D">
        <w:rPr>
          <w:rFonts w:eastAsiaTheme="minorEastAsia"/>
          <w:i/>
          <w:noProof/>
          <w:lang w:val="fr-CA" w:eastAsia="en-US" w:bidi="en-US"/>
        </w:rPr>
        <w:t>our d’appel a commis une erreur en autorisant l’appel en vertu du par. 31(2) de l’AA</w:t>
      </w:r>
      <w:r w:rsidRPr="0050518D">
        <w:rPr>
          <w:rFonts w:eastAsiaTheme="minorEastAsia"/>
          <w:i/>
          <w:noProof/>
          <w:webHidden/>
          <w:szCs w:val="24"/>
          <w:lang w:val="fr-FR" w:eastAsia="en-US" w:bidi="en-US"/>
        </w:rPr>
        <w:tab/>
      </w:r>
      <w:r w:rsidRPr="0050518D">
        <w:rPr>
          <w:rFonts w:eastAsiaTheme="minorEastAsia"/>
          <w:noProof/>
          <w:webHidden/>
          <w:szCs w:val="24"/>
          <w:lang w:val="fr-FR" w:eastAsia="en-US" w:bidi="en-US"/>
        </w:rPr>
        <w:t>38</w:t>
      </w:r>
    </w:p>
    <w:p w:rsidR="00EC1E65" w:rsidRPr="0050518D" w:rsidRDefault="00EC1E65" w:rsidP="00EC1E65">
      <w:pPr>
        <w:tabs>
          <w:tab w:val="left" w:pos="1080"/>
          <w:tab w:val="right" w:leader="dot" w:pos="8280"/>
        </w:tabs>
        <w:spacing w:before="120" w:after="120"/>
        <w:ind w:left="1080" w:hanging="540"/>
        <w:rPr>
          <w:rFonts w:eastAsiaTheme="minorEastAsia"/>
          <w:noProof/>
          <w:szCs w:val="24"/>
          <w:lang w:val="fr-FR" w:eastAsia="en-US"/>
        </w:rPr>
      </w:pPr>
      <w:r w:rsidRPr="0050518D">
        <w:rPr>
          <w:rFonts w:eastAsiaTheme="minorEastAsia"/>
          <w:noProof/>
          <w:lang w:val="fr-CA" w:eastAsia="en-US" w:bidi="en-US"/>
        </w:rPr>
        <w:t>(1)</w:t>
      </w:r>
      <w:r w:rsidRPr="0050518D">
        <w:rPr>
          <w:rFonts w:eastAsiaTheme="minorEastAsia"/>
          <w:noProof/>
          <w:szCs w:val="24"/>
          <w:lang w:val="fr-FR" w:eastAsia="en-US"/>
        </w:rPr>
        <w:tab/>
      </w:r>
      <w:r w:rsidRPr="0050518D">
        <w:rPr>
          <w:rFonts w:eastAsiaTheme="minorEastAsia"/>
          <w:noProof/>
          <w:lang w:val="fr-CA" w:eastAsia="en-US" w:bidi="en-US"/>
        </w:rPr>
        <w:t xml:space="preserve">Facteurs qui entrent en ligne de compte dans l’analyse de la demande </w:t>
      </w:r>
      <w:r w:rsidRPr="0050518D">
        <w:rPr>
          <w:rFonts w:eastAsiaTheme="minorEastAsia"/>
          <w:noProof/>
          <w:lang w:val="fr-CA" w:eastAsia="en-US" w:bidi="en-US"/>
        </w:rPr>
        <w:br/>
        <w:t>d’autorisation d’appel présentée au titre de l’</w:t>
      </w:r>
      <w:r w:rsidRPr="00E92561">
        <w:rPr>
          <w:rFonts w:eastAsiaTheme="minorEastAsia"/>
          <w:i/>
          <w:noProof/>
          <w:lang w:val="fr-CA" w:eastAsia="en-US" w:bidi="en-US"/>
        </w:rPr>
        <w:t>AA</w:t>
      </w:r>
      <w:r w:rsidRPr="0050518D">
        <w:rPr>
          <w:rFonts w:eastAsiaTheme="minorEastAsia"/>
          <w:noProof/>
          <w:webHidden/>
          <w:szCs w:val="24"/>
          <w:lang w:val="fr-FR" w:eastAsia="en-US" w:bidi="en-US"/>
        </w:rPr>
        <w:tab/>
        <w:t>38</w:t>
      </w:r>
    </w:p>
    <w:p w:rsidR="00EC1E65" w:rsidRPr="0050518D" w:rsidRDefault="00EC1E65" w:rsidP="00EC1E65">
      <w:pPr>
        <w:tabs>
          <w:tab w:val="left" w:pos="1080"/>
          <w:tab w:val="right" w:leader="dot" w:pos="8280"/>
        </w:tabs>
        <w:spacing w:before="120" w:after="120"/>
        <w:ind w:left="1080" w:hanging="540"/>
        <w:rPr>
          <w:rFonts w:eastAsiaTheme="minorEastAsia"/>
          <w:noProof/>
          <w:szCs w:val="24"/>
          <w:lang w:val="fr-FR" w:eastAsia="en-US"/>
        </w:rPr>
      </w:pPr>
      <w:r w:rsidRPr="0050518D">
        <w:rPr>
          <w:rFonts w:eastAsiaTheme="minorEastAsia"/>
          <w:noProof/>
          <w:lang w:val="fr-CA" w:eastAsia="en-US" w:bidi="en-US"/>
        </w:rPr>
        <w:t>(2)</w:t>
      </w:r>
      <w:r w:rsidRPr="0050518D">
        <w:rPr>
          <w:rFonts w:eastAsiaTheme="minorEastAsia"/>
          <w:noProof/>
          <w:szCs w:val="24"/>
          <w:lang w:val="fr-FR" w:eastAsia="en-US"/>
        </w:rPr>
        <w:tab/>
      </w:r>
      <w:r w:rsidRPr="0050518D">
        <w:rPr>
          <w:rFonts w:eastAsiaTheme="minorEastAsia"/>
          <w:noProof/>
          <w:lang w:val="fr-CA" w:eastAsia="en-US" w:bidi="en-US"/>
        </w:rPr>
        <w:t>L’issue est importante pour les parties</w:t>
      </w:r>
      <w:r w:rsidRPr="0050518D">
        <w:rPr>
          <w:rFonts w:eastAsiaTheme="minorEastAsia"/>
          <w:noProof/>
          <w:webHidden/>
          <w:szCs w:val="24"/>
          <w:lang w:val="fr-FR" w:eastAsia="en-US" w:bidi="en-US"/>
        </w:rPr>
        <w:tab/>
        <w:t>41</w:t>
      </w:r>
    </w:p>
    <w:p w:rsidR="00EC1E65" w:rsidRPr="0050518D" w:rsidRDefault="00EC1E65" w:rsidP="00EC1E65">
      <w:pPr>
        <w:tabs>
          <w:tab w:val="left" w:pos="1080"/>
          <w:tab w:val="right" w:leader="dot" w:pos="8280"/>
        </w:tabs>
        <w:spacing w:before="120" w:after="120"/>
        <w:ind w:left="1080" w:hanging="540"/>
        <w:rPr>
          <w:rFonts w:eastAsiaTheme="minorEastAsia"/>
          <w:noProof/>
          <w:szCs w:val="24"/>
          <w:lang w:val="fr-FR" w:eastAsia="en-US"/>
        </w:rPr>
      </w:pPr>
      <w:r w:rsidRPr="0050518D">
        <w:rPr>
          <w:rFonts w:eastAsiaTheme="minorEastAsia"/>
          <w:noProof/>
          <w:lang w:val="fr-CA" w:eastAsia="en-US" w:bidi="en-US"/>
        </w:rPr>
        <w:t>(3)</w:t>
      </w:r>
      <w:r w:rsidRPr="0050518D">
        <w:rPr>
          <w:rFonts w:eastAsiaTheme="minorEastAsia"/>
          <w:noProof/>
          <w:szCs w:val="24"/>
          <w:lang w:val="fr-FR" w:eastAsia="en-US"/>
        </w:rPr>
        <w:tab/>
      </w:r>
      <w:r w:rsidRPr="0050518D">
        <w:rPr>
          <w:rFonts w:eastAsiaTheme="minorEastAsia"/>
          <w:noProof/>
          <w:lang w:val="fr-CA" w:eastAsia="en-US" w:bidi="en-US"/>
        </w:rPr>
        <w:t>La question soulevée n’est pas une question de droit</w:t>
      </w:r>
      <w:r w:rsidRPr="0050518D">
        <w:rPr>
          <w:rFonts w:eastAsiaTheme="minorEastAsia"/>
          <w:noProof/>
          <w:webHidden/>
          <w:szCs w:val="24"/>
          <w:lang w:val="fr-FR" w:eastAsia="en-US" w:bidi="en-US"/>
        </w:rPr>
        <w:tab/>
        <w:t>42</w:t>
      </w:r>
    </w:p>
    <w:p w:rsidR="00EC1E65" w:rsidRPr="0050518D" w:rsidRDefault="00EC1E65" w:rsidP="00EC1E65">
      <w:pPr>
        <w:tabs>
          <w:tab w:val="left" w:pos="1530"/>
          <w:tab w:val="right" w:leader="dot" w:pos="8280"/>
        </w:tabs>
        <w:spacing w:before="120" w:after="120"/>
        <w:ind w:left="1530" w:hanging="450"/>
        <w:rPr>
          <w:rFonts w:eastAsiaTheme="minorEastAsia"/>
          <w:noProof/>
          <w:szCs w:val="24"/>
          <w:lang w:val="fr-FR" w:eastAsia="en-US"/>
        </w:rPr>
      </w:pPr>
      <w:r w:rsidRPr="0050518D">
        <w:rPr>
          <w:rFonts w:eastAsiaTheme="minorEastAsia"/>
          <w:noProof/>
          <w:lang w:val="fr-CA" w:eastAsia="en-US" w:bidi="en-US"/>
        </w:rPr>
        <w:t>a)</w:t>
      </w:r>
      <w:r w:rsidRPr="0050518D">
        <w:rPr>
          <w:rFonts w:eastAsiaTheme="minorEastAsia"/>
          <w:noProof/>
          <w:szCs w:val="24"/>
          <w:lang w:val="fr-FR" w:eastAsia="en-US"/>
        </w:rPr>
        <w:tab/>
      </w:r>
      <w:r w:rsidRPr="00C43FBB">
        <w:rPr>
          <w:rFonts w:eastAsiaTheme="minorEastAsia"/>
          <w:i/>
          <w:noProof/>
          <w:lang w:val="fr-CA" w:eastAsia="en-US" w:bidi="en-US"/>
        </w:rPr>
        <w:t>Dans quelles circonstances l’interprétation contractuelle est</w:t>
      </w:r>
      <w:r w:rsidRPr="00C43FBB">
        <w:rPr>
          <w:rFonts w:eastAsiaTheme="minorEastAsia"/>
          <w:i/>
          <w:noProof/>
          <w:lang w:val="fr-CA" w:eastAsia="en-US" w:bidi="en-US"/>
        </w:rPr>
        <w:noBreakHyphen/>
        <w:t>elle une question  de droit?</w:t>
      </w:r>
      <w:r w:rsidRPr="0050518D">
        <w:rPr>
          <w:rFonts w:eastAsiaTheme="minorEastAsia"/>
          <w:noProof/>
          <w:webHidden/>
          <w:szCs w:val="24"/>
          <w:lang w:val="fr-FR" w:eastAsia="en-US" w:bidi="en-US"/>
        </w:rPr>
        <w:tab/>
        <w:t>42</w:t>
      </w:r>
    </w:p>
    <w:p w:rsidR="00EC1E65" w:rsidRPr="0050518D" w:rsidRDefault="00EC1E65" w:rsidP="00EC1E65">
      <w:pPr>
        <w:tabs>
          <w:tab w:val="left" w:pos="1530"/>
          <w:tab w:val="right" w:leader="dot" w:pos="8280"/>
        </w:tabs>
        <w:spacing w:before="120" w:after="120"/>
        <w:ind w:left="1530" w:hanging="450"/>
        <w:rPr>
          <w:rFonts w:eastAsiaTheme="minorEastAsia"/>
          <w:noProof/>
          <w:szCs w:val="24"/>
          <w:lang w:val="fr-FR" w:eastAsia="en-US"/>
        </w:rPr>
      </w:pPr>
      <w:r w:rsidRPr="0050518D">
        <w:rPr>
          <w:rFonts w:eastAsiaTheme="minorEastAsia"/>
          <w:noProof/>
          <w:lang w:val="fr-CA" w:eastAsia="en-US" w:bidi="en-US"/>
        </w:rPr>
        <w:t>b)</w:t>
      </w:r>
      <w:r w:rsidRPr="0050518D">
        <w:rPr>
          <w:rFonts w:eastAsiaTheme="minorEastAsia"/>
          <w:noProof/>
          <w:szCs w:val="24"/>
          <w:lang w:val="fr-FR" w:eastAsia="en-US"/>
        </w:rPr>
        <w:tab/>
      </w:r>
      <w:r w:rsidRPr="00C43FBB">
        <w:rPr>
          <w:rFonts w:eastAsiaTheme="minorEastAsia"/>
          <w:i/>
          <w:noProof/>
          <w:lang w:val="fr-CA" w:eastAsia="en-US" w:bidi="en-US"/>
        </w:rPr>
        <w:t>Le rôle et la nature des « circonstances »</w:t>
      </w:r>
      <w:r w:rsidRPr="0050518D">
        <w:rPr>
          <w:rFonts w:eastAsiaTheme="minorEastAsia"/>
          <w:noProof/>
          <w:webHidden/>
          <w:szCs w:val="24"/>
          <w:lang w:val="fr-FR" w:eastAsia="en-US" w:bidi="en-US"/>
        </w:rPr>
        <w:tab/>
        <w:t>56</w:t>
      </w:r>
    </w:p>
    <w:p w:rsidR="00EC1E65" w:rsidRPr="0050518D" w:rsidRDefault="00EC1E65" w:rsidP="00EC1E65">
      <w:pPr>
        <w:tabs>
          <w:tab w:val="left" w:pos="1530"/>
          <w:tab w:val="right" w:leader="dot" w:pos="8280"/>
        </w:tabs>
        <w:spacing w:before="120" w:after="120"/>
        <w:ind w:left="1530" w:hanging="450"/>
        <w:rPr>
          <w:rFonts w:eastAsiaTheme="minorEastAsia"/>
          <w:noProof/>
          <w:szCs w:val="24"/>
          <w:lang w:val="fr-FR" w:eastAsia="en-US"/>
        </w:rPr>
      </w:pPr>
      <w:r w:rsidRPr="0050518D">
        <w:rPr>
          <w:rFonts w:eastAsiaTheme="minorEastAsia"/>
          <w:noProof/>
          <w:lang w:val="fr-CA" w:eastAsia="en-US" w:bidi="en-US"/>
        </w:rPr>
        <w:t>c)</w:t>
      </w:r>
      <w:r w:rsidRPr="0050518D">
        <w:rPr>
          <w:rFonts w:eastAsiaTheme="minorEastAsia"/>
          <w:noProof/>
          <w:szCs w:val="24"/>
          <w:lang w:val="fr-FR" w:eastAsia="en-US"/>
        </w:rPr>
        <w:tab/>
      </w:r>
      <w:r w:rsidRPr="00C43FBB">
        <w:rPr>
          <w:rFonts w:eastAsiaTheme="minorEastAsia"/>
          <w:i/>
          <w:noProof/>
          <w:lang w:val="fr-CA" w:eastAsia="en-US" w:bidi="en-US"/>
        </w:rPr>
        <w:t>Tenir compte des circonstances n’est pas contraire à la règle d’exclusion de la preuve extrinsèque</w:t>
      </w:r>
      <w:r w:rsidRPr="0050518D">
        <w:rPr>
          <w:rFonts w:eastAsiaTheme="minorEastAsia"/>
          <w:noProof/>
          <w:webHidden/>
          <w:szCs w:val="24"/>
          <w:lang w:val="fr-FR" w:eastAsia="en-US" w:bidi="en-US"/>
        </w:rPr>
        <w:tab/>
        <w:t>59</w:t>
      </w:r>
    </w:p>
    <w:p w:rsidR="00EC1E65" w:rsidRPr="0050518D" w:rsidRDefault="00EC1E65" w:rsidP="00EC1E65">
      <w:pPr>
        <w:tabs>
          <w:tab w:val="left" w:pos="1530"/>
          <w:tab w:val="right" w:leader="dot" w:pos="8280"/>
        </w:tabs>
        <w:spacing w:before="120" w:after="120"/>
        <w:ind w:left="1530" w:hanging="450"/>
        <w:rPr>
          <w:rFonts w:eastAsiaTheme="minorEastAsia"/>
          <w:noProof/>
          <w:szCs w:val="24"/>
          <w:lang w:val="fr-FR" w:eastAsia="en-US"/>
        </w:rPr>
      </w:pPr>
      <w:r w:rsidRPr="0050518D">
        <w:rPr>
          <w:rFonts w:eastAsiaTheme="minorEastAsia"/>
          <w:noProof/>
          <w:lang w:val="fr-CA" w:eastAsia="en-US" w:bidi="en-US"/>
        </w:rPr>
        <w:t>d)</w:t>
      </w:r>
      <w:r w:rsidRPr="0050518D">
        <w:rPr>
          <w:rFonts w:eastAsiaTheme="minorEastAsia"/>
          <w:noProof/>
          <w:szCs w:val="24"/>
          <w:lang w:val="fr-FR" w:eastAsia="en-US"/>
        </w:rPr>
        <w:tab/>
      </w:r>
      <w:r w:rsidRPr="00C43FBB">
        <w:rPr>
          <w:rFonts w:eastAsiaTheme="minorEastAsia"/>
          <w:i/>
          <w:noProof/>
          <w:lang w:val="fr-CA" w:eastAsia="en-US" w:bidi="en-US"/>
        </w:rPr>
        <w:t>Application au présent pourvoi</w:t>
      </w:r>
      <w:r w:rsidRPr="0050518D">
        <w:rPr>
          <w:rFonts w:eastAsiaTheme="minorEastAsia"/>
          <w:noProof/>
          <w:webHidden/>
          <w:szCs w:val="24"/>
          <w:lang w:val="fr-FR" w:eastAsia="en-US" w:bidi="en-US"/>
        </w:rPr>
        <w:tab/>
        <w:t>62</w:t>
      </w:r>
    </w:p>
    <w:p w:rsidR="00EC1E65" w:rsidRPr="0050518D" w:rsidRDefault="00EC1E65" w:rsidP="00EC1E65">
      <w:pPr>
        <w:tabs>
          <w:tab w:val="left" w:pos="1080"/>
          <w:tab w:val="right" w:leader="dot" w:pos="8280"/>
        </w:tabs>
        <w:spacing w:before="120" w:after="120"/>
        <w:ind w:left="1080" w:hanging="540"/>
        <w:rPr>
          <w:rFonts w:eastAsiaTheme="minorEastAsia"/>
          <w:noProof/>
          <w:szCs w:val="24"/>
          <w:lang w:val="fr-FR" w:eastAsia="en-US"/>
        </w:rPr>
      </w:pPr>
      <w:r w:rsidRPr="0050518D">
        <w:rPr>
          <w:rFonts w:eastAsiaTheme="minorEastAsia"/>
          <w:noProof/>
          <w:lang w:val="fr-CA" w:eastAsia="en-US" w:bidi="en-US"/>
        </w:rPr>
        <w:t>(4)</w:t>
      </w:r>
      <w:r w:rsidRPr="0050518D">
        <w:rPr>
          <w:rFonts w:eastAsiaTheme="minorEastAsia"/>
          <w:noProof/>
          <w:szCs w:val="24"/>
          <w:lang w:val="fr-FR" w:eastAsia="en-US"/>
        </w:rPr>
        <w:tab/>
      </w:r>
      <w:r w:rsidRPr="0050518D">
        <w:rPr>
          <w:rFonts w:eastAsiaTheme="minorEastAsia"/>
          <w:noProof/>
          <w:lang w:val="fr-CA" w:eastAsia="en-US" w:bidi="en-US"/>
        </w:rPr>
        <w:t>Le règlement de la question de droit peut permettre d’éviter une erreur judiciaire</w:t>
      </w:r>
      <w:r w:rsidRPr="0050518D">
        <w:rPr>
          <w:rFonts w:eastAsiaTheme="minorEastAsia"/>
          <w:noProof/>
          <w:webHidden/>
          <w:szCs w:val="24"/>
          <w:lang w:val="fr-FR" w:eastAsia="en-US" w:bidi="en-US"/>
        </w:rPr>
        <w:tab/>
        <w:t>68</w:t>
      </w:r>
    </w:p>
    <w:p w:rsidR="00EC1E65" w:rsidRPr="0050518D" w:rsidRDefault="00EC1E65" w:rsidP="00EC1E65">
      <w:pPr>
        <w:tabs>
          <w:tab w:val="left" w:pos="1530"/>
          <w:tab w:val="right" w:leader="dot" w:pos="8280"/>
        </w:tabs>
        <w:spacing w:before="120" w:after="120"/>
        <w:ind w:left="1530" w:hanging="450"/>
        <w:rPr>
          <w:rFonts w:eastAsiaTheme="minorEastAsia"/>
          <w:noProof/>
          <w:szCs w:val="24"/>
          <w:lang w:val="fr-FR" w:eastAsia="en-US"/>
        </w:rPr>
      </w:pPr>
      <w:r w:rsidRPr="0050518D">
        <w:rPr>
          <w:rFonts w:eastAsiaTheme="minorEastAsia"/>
          <w:noProof/>
          <w:lang w:val="fr-CA" w:eastAsia="en-US" w:bidi="en-US"/>
        </w:rPr>
        <w:t>a)</w:t>
      </w:r>
      <w:r w:rsidRPr="0050518D">
        <w:rPr>
          <w:rFonts w:eastAsiaTheme="minorEastAsia"/>
          <w:noProof/>
          <w:szCs w:val="24"/>
          <w:lang w:val="fr-FR" w:eastAsia="en-US"/>
        </w:rPr>
        <w:tab/>
      </w:r>
      <w:r w:rsidRPr="00E851F9">
        <w:rPr>
          <w:rFonts w:eastAsiaTheme="minorEastAsia"/>
          <w:i/>
          <w:noProof/>
          <w:lang w:val="fr-CA" w:eastAsia="en-US" w:bidi="en-US"/>
        </w:rPr>
        <w:t>L’erreur judiciaire pour l’application de l’al. 31(2)(a) de l’AA</w:t>
      </w:r>
      <w:r w:rsidRPr="0050518D">
        <w:rPr>
          <w:rFonts w:eastAsiaTheme="minorEastAsia"/>
          <w:noProof/>
          <w:webHidden/>
          <w:szCs w:val="24"/>
          <w:lang w:val="fr-FR" w:eastAsia="en-US" w:bidi="en-US"/>
        </w:rPr>
        <w:tab/>
        <w:t>68</w:t>
      </w:r>
    </w:p>
    <w:p w:rsidR="00EC1E65" w:rsidRPr="0050518D" w:rsidRDefault="00EC1E65" w:rsidP="00EC1E65">
      <w:pPr>
        <w:tabs>
          <w:tab w:val="left" w:pos="1530"/>
          <w:tab w:val="right" w:leader="dot" w:pos="8280"/>
        </w:tabs>
        <w:spacing w:before="120" w:after="120"/>
        <w:ind w:left="1530" w:hanging="450"/>
        <w:rPr>
          <w:rFonts w:eastAsiaTheme="minorEastAsia"/>
          <w:noProof/>
          <w:szCs w:val="24"/>
          <w:lang w:val="fr-FR" w:eastAsia="en-US"/>
        </w:rPr>
      </w:pPr>
      <w:r w:rsidRPr="0050518D">
        <w:rPr>
          <w:rFonts w:eastAsiaTheme="minorEastAsia"/>
          <w:noProof/>
          <w:lang w:val="fr-CA" w:eastAsia="en-US" w:bidi="en-US"/>
        </w:rPr>
        <w:t>b)</w:t>
      </w:r>
      <w:r w:rsidRPr="0050518D">
        <w:rPr>
          <w:rFonts w:eastAsiaTheme="minorEastAsia"/>
          <w:noProof/>
          <w:szCs w:val="24"/>
          <w:lang w:val="fr-FR" w:eastAsia="en-US"/>
        </w:rPr>
        <w:tab/>
      </w:r>
      <w:r w:rsidRPr="00E851F9">
        <w:rPr>
          <w:rFonts w:eastAsiaTheme="minorEastAsia"/>
          <w:i/>
          <w:noProof/>
          <w:lang w:val="fr-CA" w:eastAsia="en-US" w:bidi="en-US"/>
        </w:rPr>
        <w:t>Application au présent pourvoi</w:t>
      </w:r>
      <w:r w:rsidRPr="0050518D">
        <w:rPr>
          <w:rFonts w:eastAsiaTheme="minorEastAsia"/>
          <w:noProof/>
          <w:webHidden/>
          <w:szCs w:val="24"/>
          <w:lang w:val="fr-FR" w:eastAsia="en-US" w:bidi="en-US"/>
        </w:rPr>
        <w:tab/>
        <w:t>80</w:t>
      </w:r>
    </w:p>
    <w:p w:rsidR="00EC1E65" w:rsidRPr="0050518D" w:rsidRDefault="00EC1E65" w:rsidP="00EC1E65">
      <w:pPr>
        <w:tabs>
          <w:tab w:val="left" w:pos="1080"/>
          <w:tab w:val="right" w:leader="dot" w:pos="8280"/>
        </w:tabs>
        <w:spacing w:before="120" w:after="120"/>
        <w:ind w:left="1080" w:hanging="540"/>
        <w:rPr>
          <w:rFonts w:eastAsiaTheme="minorEastAsia"/>
          <w:noProof/>
          <w:szCs w:val="24"/>
          <w:lang w:val="fr-FR" w:eastAsia="en-US"/>
        </w:rPr>
      </w:pPr>
      <w:r w:rsidRPr="0050518D">
        <w:rPr>
          <w:rFonts w:eastAsiaTheme="minorEastAsia"/>
          <w:noProof/>
          <w:lang w:val="fr-CA" w:eastAsia="en-US" w:bidi="en-US"/>
        </w:rPr>
        <w:t>(5)</w:t>
      </w:r>
      <w:r w:rsidRPr="0050518D">
        <w:rPr>
          <w:rFonts w:eastAsiaTheme="minorEastAsia"/>
          <w:noProof/>
          <w:szCs w:val="24"/>
          <w:lang w:val="fr-FR" w:eastAsia="en-US"/>
        </w:rPr>
        <w:tab/>
      </w:r>
      <w:r w:rsidRPr="0050518D">
        <w:rPr>
          <w:rFonts w:eastAsiaTheme="minorEastAsia"/>
          <w:noProof/>
          <w:lang w:val="fr-CA" w:eastAsia="en-US" w:bidi="en-US"/>
        </w:rPr>
        <w:t>Le pouvoir discrétionnaire résiduel qui habilite à refuser l’autorisation</w:t>
      </w:r>
      <w:r w:rsidRPr="0050518D">
        <w:rPr>
          <w:rFonts w:eastAsiaTheme="minorEastAsia"/>
          <w:noProof/>
          <w:webHidden/>
          <w:szCs w:val="24"/>
          <w:lang w:val="fr-FR" w:eastAsia="en-US" w:bidi="en-US"/>
        </w:rPr>
        <w:tab/>
        <w:t>85</w:t>
      </w:r>
    </w:p>
    <w:p w:rsidR="00EC1E65" w:rsidRPr="0050518D" w:rsidRDefault="00EC1E65" w:rsidP="00EC1E65">
      <w:pPr>
        <w:tabs>
          <w:tab w:val="left" w:pos="1530"/>
          <w:tab w:val="right" w:leader="dot" w:pos="8280"/>
        </w:tabs>
        <w:spacing w:before="120" w:after="120"/>
        <w:ind w:left="1530" w:hanging="450"/>
        <w:rPr>
          <w:rFonts w:eastAsiaTheme="minorEastAsia"/>
          <w:noProof/>
          <w:szCs w:val="24"/>
          <w:lang w:val="fr-FR" w:eastAsia="en-US"/>
        </w:rPr>
      </w:pPr>
      <w:r w:rsidRPr="0050518D">
        <w:rPr>
          <w:rFonts w:eastAsiaTheme="minorEastAsia"/>
          <w:noProof/>
          <w:lang w:val="fr-CA" w:eastAsia="en-US" w:bidi="en-US"/>
        </w:rPr>
        <w:t>a)</w:t>
      </w:r>
      <w:r w:rsidRPr="0050518D">
        <w:rPr>
          <w:rFonts w:eastAsiaTheme="minorEastAsia"/>
          <w:noProof/>
          <w:szCs w:val="24"/>
          <w:lang w:val="fr-FR" w:eastAsia="en-US"/>
        </w:rPr>
        <w:tab/>
      </w:r>
      <w:r w:rsidRPr="00E851F9">
        <w:rPr>
          <w:rFonts w:eastAsiaTheme="minorEastAsia"/>
          <w:i/>
          <w:noProof/>
          <w:lang w:val="fr-CA" w:eastAsia="en-US" w:bidi="en-US"/>
        </w:rPr>
        <w:t xml:space="preserve">Éléments à examiner dans l’exercice du pouvoir discrétionnaire résiduel à l’égard d’une demande d’autorisation présentée en </w:t>
      </w:r>
      <w:r w:rsidRPr="00E851F9">
        <w:rPr>
          <w:rFonts w:eastAsiaTheme="minorEastAsia"/>
          <w:i/>
          <w:noProof/>
          <w:lang w:val="fr-CA" w:eastAsia="en-US" w:bidi="en-US"/>
        </w:rPr>
        <w:br/>
        <w:t>vertu de l’al. 31(2)(a)</w:t>
      </w:r>
      <w:r w:rsidRPr="0050518D">
        <w:rPr>
          <w:rFonts w:eastAsiaTheme="minorEastAsia"/>
          <w:noProof/>
          <w:webHidden/>
          <w:szCs w:val="24"/>
          <w:lang w:val="fr-FR" w:eastAsia="en-US" w:bidi="en-US"/>
        </w:rPr>
        <w:tab/>
        <w:t>85</w:t>
      </w:r>
    </w:p>
    <w:p w:rsidR="00EC1E65" w:rsidRPr="0050518D" w:rsidRDefault="00EC1E65" w:rsidP="00EC1E65">
      <w:pPr>
        <w:tabs>
          <w:tab w:val="left" w:pos="1530"/>
          <w:tab w:val="right" w:leader="dot" w:pos="8280"/>
        </w:tabs>
        <w:spacing w:before="120" w:after="120"/>
        <w:ind w:left="1530" w:hanging="450"/>
        <w:rPr>
          <w:rFonts w:eastAsiaTheme="minorEastAsia"/>
          <w:noProof/>
          <w:szCs w:val="24"/>
          <w:lang w:val="fr-FR" w:eastAsia="en-US"/>
        </w:rPr>
      </w:pPr>
      <w:r w:rsidRPr="0050518D">
        <w:rPr>
          <w:rFonts w:eastAsiaTheme="minorEastAsia"/>
          <w:noProof/>
          <w:lang w:val="fr-CA" w:eastAsia="en-US" w:bidi="en-US"/>
        </w:rPr>
        <w:t>b)</w:t>
      </w:r>
      <w:r w:rsidRPr="0050518D">
        <w:rPr>
          <w:rFonts w:eastAsiaTheme="minorEastAsia"/>
          <w:noProof/>
          <w:szCs w:val="24"/>
          <w:lang w:val="fr-FR" w:eastAsia="en-US"/>
        </w:rPr>
        <w:tab/>
      </w:r>
      <w:r w:rsidRPr="00E851F9">
        <w:rPr>
          <w:rFonts w:eastAsiaTheme="minorEastAsia"/>
          <w:i/>
          <w:noProof/>
          <w:lang w:val="fr-CA" w:eastAsia="en-US" w:bidi="en-US"/>
        </w:rPr>
        <w:t>Application au présent pourvoi</w:t>
      </w:r>
      <w:r w:rsidRPr="0050518D">
        <w:rPr>
          <w:rFonts w:eastAsiaTheme="minorEastAsia"/>
          <w:noProof/>
          <w:webHidden/>
          <w:szCs w:val="24"/>
          <w:lang w:val="fr-FR" w:eastAsia="en-US" w:bidi="en-US"/>
        </w:rPr>
        <w:tab/>
        <w:t>93</w:t>
      </w:r>
    </w:p>
    <w:p w:rsidR="00EC1E65" w:rsidRPr="0050518D" w:rsidRDefault="00EC1E65" w:rsidP="00EC1E65">
      <w:pPr>
        <w:tabs>
          <w:tab w:val="left" w:pos="540"/>
          <w:tab w:val="right" w:leader="dot" w:pos="8280"/>
        </w:tabs>
        <w:spacing w:before="120" w:after="120"/>
        <w:ind w:left="547" w:hanging="547"/>
        <w:rPr>
          <w:rFonts w:eastAsiaTheme="minorEastAsia"/>
          <w:noProof/>
          <w:szCs w:val="24"/>
          <w:lang w:val="fr-FR" w:eastAsia="en-US"/>
        </w:rPr>
      </w:pPr>
      <w:r w:rsidRPr="0050518D">
        <w:rPr>
          <w:rFonts w:eastAsiaTheme="minorEastAsia"/>
          <w:noProof/>
          <w:lang w:val="fr-CA" w:eastAsia="en-US" w:bidi="en-US"/>
        </w:rPr>
        <w:t>C.</w:t>
      </w:r>
      <w:r w:rsidRPr="0050518D">
        <w:rPr>
          <w:rFonts w:eastAsiaTheme="minorEastAsia"/>
          <w:noProof/>
          <w:szCs w:val="24"/>
          <w:lang w:val="fr-FR" w:eastAsia="en-US"/>
        </w:rPr>
        <w:tab/>
      </w:r>
      <w:r w:rsidRPr="00E851F9">
        <w:rPr>
          <w:rFonts w:eastAsiaTheme="minorEastAsia"/>
          <w:i/>
          <w:noProof/>
          <w:lang w:val="fr-CA" w:eastAsia="en-US" w:bidi="en-US"/>
        </w:rPr>
        <w:t>Norme de contrôle applicable aux affaires régies par l’AA</w:t>
      </w:r>
      <w:r w:rsidRPr="0050518D">
        <w:rPr>
          <w:rFonts w:eastAsiaTheme="minorEastAsia"/>
          <w:noProof/>
          <w:webHidden/>
          <w:szCs w:val="24"/>
          <w:lang w:val="fr-FR" w:eastAsia="en-US" w:bidi="en-US"/>
        </w:rPr>
        <w:tab/>
        <w:t>102</w:t>
      </w:r>
    </w:p>
    <w:p w:rsidR="00EC1E65" w:rsidRPr="0050518D" w:rsidRDefault="00EC1E65" w:rsidP="00EC1E65">
      <w:pPr>
        <w:tabs>
          <w:tab w:val="left" w:pos="540"/>
          <w:tab w:val="right" w:leader="dot" w:pos="8280"/>
        </w:tabs>
        <w:spacing w:before="120" w:after="120"/>
        <w:ind w:left="547" w:hanging="547"/>
        <w:rPr>
          <w:rFonts w:eastAsiaTheme="minorEastAsia"/>
          <w:noProof/>
          <w:szCs w:val="24"/>
          <w:lang w:val="fr-FR" w:eastAsia="en-US"/>
        </w:rPr>
      </w:pPr>
      <w:r w:rsidRPr="0050518D">
        <w:rPr>
          <w:rFonts w:eastAsiaTheme="minorEastAsia"/>
          <w:noProof/>
          <w:lang w:val="fr-CA" w:eastAsia="en-US" w:bidi="en-US"/>
        </w:rPr>
        <w:t>D.</w:t>
      </w:r>
      <w:r w:rsidRPr="0050518D">
        <w:rPr>
          <w:rFonts w:eastAsiaTheme="minorEastAsia"/>
          <w:noProof/>
          <w:szCs w:val="24"/>
          <w:lang w:val="fr-FR" w:eastAsia="en-US"/>
        </w:rPr>
        <w:tab/>
      </w:r>
      <w:r w:rsidRPr="00E851F9">
        <w:rPr>
          <w:rFonts w:eastAsiaTheme="minorEastAsia"/>
          <w:i/>
          <w:noProof/>
          <w:lang w:val="fr-CA" w:eastAsia="en-US" w:bidi="en-US"/>
        </w:rPr>
        <w:t xml:space="preserve">L’arbitre a donné une interprétation raisonnable de l’entente considérée dans </w:t>
      </w:r>
      <w:r w:rsidRPr="00E851F9">
        <w:rPr>
          <w:rFonts w:eastAsiaTheme="minorEastAsia"/>
          <w:i/>
          <w:noProof/>
          <w:lang w:val="fr-CA" w:eastAsia="en-US" w:bidi="en-US"/>
        </w:rPr>
        <w:br/>
        <w:t>son ensemble</w:t>
      </w:r>
      <w:r w:rsidRPr="0050518D">
        <w:rPr>
          <w:rFonts w:eastAsiaTheme="minorEastAsia"/>
          <w:noProof/>
          <w:webHidden/>
          <w:szCs w:val="24"/>
          <w:lang w:val="fr-FR" w:eastAsia="en-US" w:bidi="en-US"/>
        </w:rPr>
        <w:tab/>
        <w:t>107</w:t>
      </w:r>
    </w:p>
    <w:p w:rsidR="00EC1E65" w:rsidRPr="0050518D" w:rsidRDefault="00EC1E65" w:rsidP="00EC1E65">
      <w:pPr>
        <w:tabs>
          <w:tab w:val="left" w:pos="540"/>
          <w:tab w:val="right" w:leader="dot" w:pos="8280"/>
        </w:tabs>
        <w:spacing w:before="120" w:after="120"/>
        <w:ind w:left="547" w:hanging="547"/>
        <w:rPr>
          <w:rFonts w:eastAsiaTheme="minorEastAsia"/>
          <w:noProof/>
          <w:szCs w:val="24"/>
          <w:lang w:val="fr-FR" w:eastAsia="en-US"/>
        </w:rPr>
      </w:pPr>
      <w:r w:rsidRPr="0050518D">
        <w:rPr>
          <w:rFonts w:eastAsiaTheme="minorEastAsia"/>
          <w:noProof/>
          <w:lang w:val="fr-CA" w:eastAsia="en-US" w:bidi="en-US"/>
        </w:rPr>
        <w:t>E.</w:t>
      </w:r>
      <w:r w:rsidRPr="0050518D">
        <w:rPr>
          <w:rFonts w:eastAsiaTheme="minorEastAsia"/>
          <w:noProof/>
          <w:szCs w:val="24"/>
          <w:lang w:val="fr-FR" w:eastAsia="en-US"/>
        </w:rPr>
        <w:tab/>
      </w:r>
      <w:r w:rsidRPr="00E851F9">
        <w:rPr>
          <w:rFonts w:eastAsiaTheme="minorEastAsia"/>
          <w:i/>
          <w:noProof/>
          <w:lang w:val="fr-CA" w:eastAsia="en-US" w:bidi="en-US"/>
        </w:rPr>
        <w:t>La formation saisie de l’appel n’est pas liée par les observations formulées</w:t>
      </w:r>
      <w:r w:rsidRPr="00E851F9">
        <w:rPr>
          <w:rFonts w:eastAsiaTheme="minorEastAsia"/>
          <w:i/>
          <w:noProof/>
          <w:lang w:val="fr-CA" w:eastAsia="en-US" w:bidi="en-US"/>
        </w:rPr>
        <w:br/>
        <w:t xml:space="preserve"> par la formation saisie de la demande d’autorisation sur le bien</w:t>
      </w:r>
      <w:r w:rsidRPr="00E851F9">
        <w:rPr>
          <w:rFonts w:eastAsiaTheme="minorEastAsia"/>
          <w:i/>
          <w:noProof/>
          <w:lang w:val="fr-CA" w:eastAsia="en-US" w:bidi="en-US"/>
        </w:rPr>
        <w:noBreakHyphen/>
        <w:t>fondé de l’appel</w:t>
      </w:r>
      <w:r w:rsidRPr="0050518D">
        <w:rPr>
          <w:rFonts w:eastAsiaTheme="minorEastAsia"/>
          <w:noProof/>
          <w:webHidden/>
          <w:szCs w:val="24"/>
          <w:lang w:val="fr-FR" w:eastAsia="en-US" w:bidi="en-US"/>
        </w:rPr>
        <w:tab/>
        <w:t>120</w:t>
      </w:r>
    </w:p>
    <w:p w:rsidR="00EC1E65" w:rsidRPr="0050518D" w:rsidRDefault="00EC1E65" w:rsidP="00EC1E65">
      <w:pPr>
        <w:tabs>
          <w:tab w:val="left" w:pos="540"/>
          <w:tab w:val="right" w:leader="dot" w:pos="8280"/>
        </w:tabs>
        <w:spacing w:before="120" w:after="120"/>
        <w:ind w:left="547" w:hanging="547"/>
        <w:rPr>
          <w:rFonts w:eastAsiaTheme="minorEastAsia"/>
          <w:noProof/>
          <w:szCs w:val="24"/>
          <w:lang w:val="fr-FR" w:eastAsia="en-US"/>
        </w:rPr>
      </w:pPr>
      <w:r w:rsidRPr="0050518D">
        <w:rPr>
          <w:rFonts w:eastAsiaTheme="minorEastAsia"/>
          <w:noProof/>
          <w:lang w:val="fr-CA" w:eastAsia="en-US" w:bidi="en-US"/>
        </w:rPr>
        <w:t>VI.</w:t>
      </w:r>
      <w:r w:rsidRPr="0050518D">
        <w:rPr>
          <w:rFonts w:eastAsiaTheme="minorEastAsia"/>
          <w:noProof/>
          <w:szCs w:val="24"/>
          <w:lang w:val="fr-FR" w:eastAsia="en-US"/>
        </w:rPr>
        <w:tab/>
      </w:r>
      <w:r w:rsidRPr="0050518D">
        <w:rPr>
          <w:rFonts w:eastAsiaTheme="minorEastAsia"/>
          <w:noProof/>
          <w:lang w:val="fr-CA" w:eastAsia="en-US" w:bidi="en-US"/>
        </w:rPr>
        <w:t>Conclusion</w:t>
      </w:r>
      <w:r w:rsidRPr="0050518D">
        <w:rPr>
          <w:rFonts w:eastAsiaTheme="minorEastAsia"/>
          <w:noProof/>
          <w:webHidden/>
          <w:szCs w:val="24"/>
          <w:lang w:val="fr-FR" w:eastAsia="en-US" w:bidi="en-US"/>
        </w:rPr>
        <w:tab/>
        <w:t>125</w:t>
      </w:r>
    </w:p>
    <w:p w:rsidR="00EC1E65" w:rsidRPr="0050518D" w:rsidRDefault="00EC1E65" w:rsidP="00EC1E65">
      <w:pPr>
        <w:tabs>
          <w:tab w:val="left" w:pos="540"/>
          <w:tab w:val="right" w:leader="dot" w:pos="9360"/>
        </w:tabs>
        <w:spacing w:before="120" w:after="120"/>
        <w:ind w:left="547" w:hanging="547"/>
        <w:rPr>
          <w:rFonts w:eastAsiaTheme="minorEastAsia"/>
          <w:noProof/>
          <w:szCs w:val="24"/>
          <w:lang w:val="fr-FR" w:eastAsia="en-US"/>
        </w:rPr>
      </w:pPr>
      <w:r w:rsidRPr="0050518D">
        <w:rPr>
          <w:rFonts w:eastAsiaTheme="minorEastAsia"/>
          <w:b/>
          <w:noProof/>
          <w:lang w:val="fr-CA" w:eastAsia="en-US" w:bidi="en-US"/>
        </w:rPr>
        <w:t>ANNEXE I</w:t>
      </w:r>
    </w:p>
    <w:p w:rsidR="00EC1E65" w:rsidRPr="0050518D" w:rsidRDefault="00EC1E65" w:rsidP="00EC1E65">
      <w:pPr>
        <w:jc w:val="both"/>
        <w:rPr>
          <w:lang w:val="fr-FR"/>
        </w:rPr>
      </w:pPr>
      <w:r w:rsidRPr="0050518D">
        <w:rPr>
          <w:lang w:val="fr-CA"/>
        </w:rPr>
        <w:t>Dispositions pertinentes de l’entente relative aux honoraires d’intermédiation conclue entre Sattva et Creston</w:t>
      </w:r>
    </w:p>
    <w:p w:rsidR="00EC1E65" w:rsidRPr="0050518D" w:rsidRDefault="00EC1E65" w:rsidP="00EC1E65">
      <w:pPr>
        <w:tabs>
          <w:tab w:val="left" w:pos="540"/>
          <w:tab w:val="right" w:leader="dot" w:pos="9360"/>
        </w:tabs>
        <w:spacing w:before="120" w:after="120"/>
        <w:ind w:left="547" w:hanging="547"/>
        <w:rPr>
          <w:rFonts w:eastAsiaTheme="minorEastAsia"/>
          <w:noProof/>
          <w:szCs w:val="24"/>
          <w:lang w:val="fr-FR" w:eastAsia="en-US"/>
        </w:rPr>
      </w:pPr>
      <w:r w:rsidRPr="0050518D">
        <w:rPr>
          <w:rFonts w:eastAsiaTheme="minorEastAsia"/>
          <w:b/>
          <w:noProof/>
          <w:lang w:val="fr-CA" w:eastAsia="en-US" w:bidi="en-US"/>
        </w:rPr>
        <w:lastRenderedPageBreak/>
        <w:t>ANNEXE II</w:t>
      </w:r>
    </w:p>
    <w:p w:rsidR="00EC1E65" w:rsidRPr="0050518D" w:rsidRDefault="00EC1E65" w:rsidP="00EC1E65">
      <w:pPr>
        <w:jc w:val="both"/>
        <w:rPr>
          <w:lang w:val="fr-FR"/>
        </w:rPr>
      </w:pPr>
      <w:r w:rsidRPr="0050518D">
        <w:rPr>
          <w:lang w:val="fr-CA"/>
        </w:rPr>
        <w:t>Point 3.3 de la politique 5.1 de la Bourse de croissance TSX : Emprunts, primes, honoraires d’intermédiation et commissions</w:t>
      </w:r>
    </w:p>
    <w:p w:rsidR="00EC1E65" w:rsidRPr="0050518D" w:rsidRDefault="00EC1E65" w:rsidP="00EC1E65">
      <w:pPr>
        <w:tabs>
          <w:tab w:val="left" w:pos="540"/>
          <w:tab w:val="right" w:leader="dot" w:pos="9360"/>
        </w:tabs>
        <w:spacing w:before="120" w:after="120"/>
        <w:ind w:left="547" w:hanging="547"/>
        <w:rPr>
          <w:rFonts w:eastAsiaTheme="minorEastAsia"/>
          <w:noProof/>
          <w:szCs w:val="24"/>
          <w:lang w:val="fr-FR" w:eastAsia="en-US"/>
        </w:rPr>
      </w:pPr>
      <w:r w:rsidRPr="0050518D">
        <w:rPr>
          <w:rFonts w:eastAsiaTheme="minorEastAsia"/>
          <w:b/>
          <w:noProof/>
          <w:lang w:val="fr-CA" w:eastAsia="en-US" w:bidi="en-US"/>
        </w:rPr>
        <w:t>ANNEXE III</w:t>
      </w:r>
    </w:p>
    <w:p w:rsidR="00EC1E65" w:rsidRPr="0050518D" w:rsidRDefault="00EC1E65" w:rsidP="00EC1E65">
      <w:pPr>
        <w:jc w:val="both"/>
        <w:rPr>
          <w:lang w:val="fr-FR"/>
        </w:rPr>
      </w:pPr>
      <w:r w:rsidRPr="00E92561">
        <w:rPr>
          <w:i/>
          <w:lang w:val="fr-CA"/>
        </w:rPr>
        <w:t>Commercial Arbitration Act</w:t>
      </w:r>
      <w:r w:rsidRPr="0050518D">
        <w:rPr>
          <w:lang w:val="fr-CA"/>
        </w:rPr>
        <w:t>, R.S.B.C. 1996, ch. 55 (dans sa version du 12 janvier 2007) (maintenant l’</w:t>
      </w:r>
      <w:r w:rsidRPr="00E92561">
        <w:rPr>
          <w:i/>
          <w:lang w:val="fr-CA"/>
        </w:rPr>
        <w:t>Arbitration Act</w:t>
      </w:r>
      <w:r w:rsidRPr="0050518D">
        <w:rPr>
          <w:lang w:val="fr-CA"/>
        </w:rPr>
        <w:t>)</w:t>
      </w:r>
    </w:p>
    <w:p w:rsidR="00EC1E65" w:rsidRDefault="00EC1E65" w:rsidP="00EC1E65">
      <w:pPr>
        <w:tabs>
          <w:tab w:val="left" w:pos="720"/>
          <w:tab w:val="right" w:leader="dot" w:pos="8266"/>
        </w:tabs>
        <w:spacing w:before="120" w:after="120"/>
        <w:ind w:left="720" w:hanging="720"/>
        <w:rPr>
          <w:szCs w:val="24"/>
          <w:lang w:val="fr-CA"/>
        </w:rPr>
      </w:pPr>
    </w:p>
    <w:p w:rsidR="00EC1E65" w:rsidRPr="005E608F" w:rsidRDefault="00EC1E65" w:rsidP="00EC1E65">
      <w:pPr>
        <w:pStyle w:val="SCCNormalDoubleSpacing"/>
        <w:spacing w:after="480"/>
        <w:rPr>
          <w:lang w:val="fr-CA"/>
        </w:rPr>
      </w:pPr>
      <w:r>
        <w:rPr>
          <w:lang w:val="fr-CA"/>
        </w:rPr>
        <w:tab/>
        <w:t>Version française du jugement de la Cour rendu par</w:t>
      </w:r>
    </w:p>
    <w:p w:rsidR="00EC1E65" w:rsidRPr="008F040A" w:rsidRDefault="00EC1E65" w:rsidP="00EC1E65">
      <w:pPr>
        <w:pStyle w:val="ParaNoNdepar-AltN"/>
        <w:rPr>
          <w:rFonts w:cs="Times New Roman"/>
          <w:lang w:val="fr-CA"/>
        </w:rPr>
      </w:pPr>
      <w:r w:rsidRPr="004E3CA8">
        <w:rPr>
          <w:smallCaps/>
          <w:szCs w:val="24"/>
          <w:lang w:val="fr-CA"/>
        </w:rPr>
        <w:t>Le juge Rothstein</w:t>
      </w:r>
      <w:r w:rsidRPr="0050518D">
        <w:rPr>
          <w:szCs w:val="24"/>
          <w:lang w:val="fr-CA"/>
        </w:rPr>
        <w:t xml:space="preserve"> — </w:t>
      </w:r>
      <w:r w:rsidRPr="008F040A">
        <w:rPr>
          <w:rFonts w:cs="Times New Roman"/>
          <w:lang w:val="fr-CA"/>
        </w:rPr>
        <w:t>Dans quelles circonstances l’interprétation contractuelle est</w:t>
      </w:r>
      <w:r w:rsidRPr="008F040A">
        <w:rPr>
          <w:rFonts w:cs="Times New Roman"/>
          <w:lang w:val="fr-CA"/>
        </w:rPr>
        <w:noBreakHyphen/>
        <w:t>elle une question mixte de fait et de droit et dans quelles circonstances est</w:t>
      </w:r>
      <w:r w:rsidRPr="008F040A">
        <w:rPr>
          <w:rFonts w:cs="Times New Roman"/>
          <w:lang w:val="fr-CA"/>
        </w:rPr>
        <w:noBreakHyphen/>
        <w:t xml:space="preserve">elle une question de droit? Comment établir l’équilibre entre le caractère révisable et l’irrévocabilité des sentences arbitrales commerciales prononcées sous le régime de la </w:t>
      </w:r>
      <w:r w:rsidRPr="008F040A">
        <w:rPr>
          <w:rFonts w:cs="Times New Roman"/>
          <w:i/>
          <w:lang w:val="fr-CA"/>
        </w:rPr>
        <w:t>Commercial Arbitration Act</w:t>
      </w:r>
      <w:r w:rsidRPr="008F040A">
        <w:rPr>
          <w:rFonts w:cs="Times New Roman"/>
          <w:lang w:val="fr-CA"/>
        </w:rPr>
        <w:t>, R.S.B.C. 1996, ch. 55 (maintenant l’</w:t>
      </w:r>
      <w:r w:rsidRPr="008F040A">
        <w:rPr>
          <w:rFonts w:cs="Times New Roman"/>
          <w:i/>
          <w:lang w:val="fr-CA"/>
        </w:rPr>
        <w:t>Arbitration Act</w:t>
      </w:r>
      <w:r w:rsidRPr="008F040A">
        <w:rPr>
          <w:rFonts w:cs="Times New Roman"/>
          <w:lang w:val="fr-CA"/>
        </w:rPr>
        <w:t>, ci</w:t>
      </w:r>
      <w:r w:rsidRPr="008F040A">
        <w:rPr>
          <w:rFonts w:cs="Times New Roman"/>
          <w:lang w:val="fr-CA"/>
        </w:rPr>
        <w:noBreakHyphen/>
        <w:t>après l’« </w:t>
      </w:r>
      <w:r w:rsidRPr="008F040A">
        <w:rPr>
          <w:rFonts w:cs="Times New Roman"/>
          <w:i/>
          <w:lang w:val="fr-CA"/>
        </w:rPr>
        <w:t>AA</w:t>
      </w:r>
      <w:r w:rsidRPr="008F040A">
        <w:rPr>
          <w:rFonts w:cs="Times New Roman"/>
          <w:lang w:val="fr-CA"/>
        </w:rPr>
        <w:t> »)? Les conclusions relatives au bien</w:t>
      </w:r>
      <w:r w:rsidRPr="008F040A">
        <w:rPr>
          <w:rFonts w:cs="Times New Roman"/>
          <w:lang w:val="fr-CA"/>
        </w:rPr>
        <w:noBreakHyphen/>
        <w:t>fondé de l’appel tirées par le tribunal qui autorise l’appel peuvent</w:t>
      </w:r>
      <w:r w:rsidRPr="008F040A">
        <w:rPr>
          <w:rFonts w:cs="Times New Roman"/>
          <w:lang w:val="fr-CA"/>
        </w:rPr>
        <w:noBreakHyphen/>
        <w:t xml:space="preserve">elles lier celui qui est appelé à trancher l’appel? Voilà trois questions qui sont soulevées dans le présent pourvoi. </w:t>
      </w:r>
    </w:p>
    <w:p w:rsidR="00EC1E65" w:rsidRPr="008F040A" w:rsidRDefault="00EC1E65" w:rsidP="00EC1E65">
      <w:pPr>
        <w:pStyle w:val="Title1LevelTitre1Niveau-AltL"/>
        <w:rPr>
          <w:rFonts w:cs="Times New Roman"/>
          <w:lang w:val="fr-CA"/>
        </w:rPr>
      </w:pPr>
      <w:bookmarkStart w:id="0" w:name="_Toc394565822"/>
      <w:r w:rsidRPr="008F040A">
        <w:rPr>
          <w:rFonts w:cs="Times New Roman"/>
          <w:lang w:val="fr-CA"/>
        </w:rPr>
        <w:t>Faits</w:t>
      </w:r>
      <w:bookmarkEnd w:id="0"/>
    </w:p>
    <w:p w:rsidR="00EC1E65" w:rsidRPr="008F040A" w:rsidRDefault="00EC1E65" w:rsidP="00EC1E65">
      <w:pPr>
        <w:pStyle w:val="ParaNoNdepar-AltN"/>
        <w:rPr>
          <w:rFonts w:cs="Times New Roman"/>
          <w:lang w:val="fr-CA"/>
        </w:rPr>
      </w:pPr>
      <w:r w:rsidRPr="008F040A">
        <w:rPr>
          <w:rFonts w:cs="Times New Roman"/>
          <w:lang w:val="fr-CA"/>
        </w:rPr>
        <w:t xml:space="preserve">Les questions soulevées dans le présent pourvoi découlent de l’obligation de Creston Moly Corporation (anciennement Georgia Ventures Inc.) de payer des honoraires d’intermédiation à Sattva Capital Corporation (anciennement Sattva Capital Inc.). Les parties reconnaissent que Sattva a droit à des honoraires d’intermédiation de 1,5 million $US, qui peuvent lui être versés en argent, en actions de Creston, ou en argent et en actions. Elles ne s’entendent pas sur la date qui devrait être retenue pour </w:t>
      </w:r>
      <w:r w:rsidRPr="008F040A">
        <w:rPr>
          <w:rFonts w:cs="Times New Roman"/>
          <w:lang w:val="fr-CA"/>
        </w:rPr>
        <w:lastRenderedPageBreak/>
        <w:t>évaluer le cours de l’action et, par conséquent, sur le nombre d’actions que Sattva recevra.</w:t>
      </w:r>
    </w:p>
    <w:p w:rsidR="00EC1E65" w:rsidRPr="008F040A" w:rsidRDefault="00EC1E65" w:rsidP="00EC1E65">
      <w:pPr>
        <w:pStyle w:val="ParaNoNdepar-AltN"/>
        <w:rPr>
          <w:rFonts w:cs="Times New Roman"/>
          <w:lang w:val="fr-CA"/>
        </w:rPr>
      </w:pPr>
      <w:r w:rsidRPr="008F040A">
        <w:rPr>
          <w:rFonts w:cs="Times New Roman"/>
          <w:lang w:val="fr-CA"/>
        </w:rPr>
        <w:t xml:space="preserve">M. Hai Van Le, un directeur de Sattva, a fait part à Creston de la possibilité d’acquérir une propriété minière de molybdène au Mexique. Le 12 janvier 2007, les parties ont conclu une entente (l’« entente »), selon laquelle Creston devait payer à Sattva des honoraires d’intermédiation relativement à l’acquisition de cette propriété. Les dispositions pertinentes de l’entente sont énoncées à l’annexe I. </w:t>
      </w:r>
    </w:p>
    <w:p w:rsidR="00EC1E65" w:rsidRPr="008F040A" w:rsidRDefault="00EC1E65" w:rsidP="00EC1E65">
      <w:pPr>
        <w:pStyle w:val="ParaNoNdepar-AltN"/>
        <w:rPr>
          <w:rFonts w:cs="Times New Roman"/>
          <w:lang w:val="fr-CA"/>
        </w:rPr>
      </w:pPr>
      <w:r w:rsidRPr="008F040A">
        <w:rPr>
          <w:rFonts w:cs="Times New Roman"/>
          <w:lang w:val="fr-CA"/>
        </w:rPr>
        <w:t xml:space="preserve">Le 30 janvier 2007, Creston a conclu une convention d’achat de la propriété, le prix étant fixé à 30 millions $US. Le 31 janvier 2007, Creston a demandé que la négociation de ses actions à la Bourse de croissance TSX (la « Bourse ») soit suspendue afin d’empêcher la spéculation le temps d’achever le contrôle diligent préalable à l’achat. Le 26 mars 2007, Creston a annoncé qu’elle avait l’intention de conclure l’achat, et la négociation à la bourse a repris le lendemain. </w:t>
      </w:r>
    </w:p>
    <w:p w:rsidR="00EC1E65" w:rsidRPr="008F040A" w:rsidRDefault="00EC1E65" w:rsidP="00EC1E65">
      <w:pPr>
        <w:pStyle w:val="ParaNoNdepar-AltN"/>
        <w:rPr>
          <w:rFonts w:cs="Times New Roman"/>
          <w:lang w:val="fr-CA"/>
        </w:rPr>
      </w:pPr>
      <w:r w:rsidRPr="008F040A">
        <w:rPr>
          <w:rFonts w:cs="Times New Roman"/>
          <w:lang w:val="fr-CA"/>
        </w:rPr>
        <w:t>Aux termes de l’entente, Sattva doit recevoir des honoraires d’intermédiation correspondant au plafond a</w:t>
      </w:r>
      <w:r>
        <w:rPr>
          <w:rFonts w:cs="Times New Roman"/>
          <w:lang w:val="fr-CA"/>
        </w:rPr>
        <w:t>utorisé par le point 3.3 de la p</w:t>
      </w:r>
      <w:r w:rsidRPr="008F040A">
        <w:rPr>
          <w:rFonts w:cs="Times New Roman"/>
          <w:lang w:val="fr-CA"/>
        </w:rPr>
        <w:t>olitique 5.1 qui se trouve dans le Guide du financement des sociétés de la Bourse. Le point 3.3 est incorporé par renvoi à l’entente, à l’art. 3.1, et il est reproduit à l’annexe II des présents motifs. Dans le cas qui nous occupe, le plafo</w:t>
      </w:r>
      <w:r>
        <w:rPr>
          <w:rFonts w:cs="Times New Roman"/>
          <w:lang w:val="fr-CA"/>
        </w:rPr>
        <w:t>nd autorisé au point 3.3 de la p</w:t>
      </w:r>
      <w:r w:rsidRPr="008F040A">
        <w:rPr>
          <w:rFonts w:cs="Times New Roman"/>
          <w:lang w:val="fr-CA"/>
        </w:rPr>
        <w:t xml:space="preserve">olitique 5.1 est de 1,5 million $US. </w:t>
      </w:r>
    </w:p>
    <w:p w:rsidR="00EC1E65" w:rsidRPr="008F040A" w:rsidRDefault="00EC1E65" w:rsidP="00EC1E65">
      <w:pPr>
        <w:pStyle w:val="ParaNoNdepar-AltN"/>
        <w:rPr>
          <w:rFonts w:cs="Times New Roman"/>
          <w:lang w:val="fr-CA"/>
        </w:rPr>
      </w:pPr>
      <w:r w:rsidRPr="008F040A">
        <w:rPr>
          <w:rFonts w:cs="Times New Roman"/>
          <w:lang w:val="fr-CA"/>
        </w:rPr>
        <w:lastRenderedPageBreak/>
        <w:t>Aux termes de l’entente, à moins d’indication contraire, les honoraires sont payés sous forme d’actions de Creston. Ils ne seraient versés en argent ou en argent et en actions que si Sattva avait indiqué avoir fait tel choix, ce qu’elle n’a pas fait. Ses honoraires devaient donc lui être versés sous forme d’actions au plus tard cinq jours ouvrables après la conclusion de l’achat de la propriété minière de molybdène.</w:t>
      </w:r>
    </w:p>
    <w:p w:rsidR="00EC1E65" w:rsidRPr="008F040A" w:rsidRDefault="00EC1E65" w:rsidP="00EC1E65">
      <w:pPr>
        <w:pStyle w:val="ParaNoNdepar-AltN"/>
        <w:rPr>
          <w:rFonts w:cs="Times New Roman"/>
          <w:lang w:val="fr-CA"/>
        </w:rPr>
      </w:pPr>
      <w:r w:rsidRPr="008F040A">
        <w:rPr>
          <w:rFonts w:cs="Times New Roman"/>
          <w:lang w:val="fr-CA"/>
        </w:rPr>
        <w:t>Le différend qui oppose les parties porte sur la date à retenir pour fixer le cours de l’action de Creston et, par conséquent, le nombre d’actions auquel Sattva a droit. Cette dernière prétend que la valeur de l’action est dictée par la définition du « cours », à l’art</w:t>
      </w:r>
      <w:r>
        <w:rPr>
          <w:rFonts w:cs="Times New Roman"/>
          <w:lang w:val="fr-CA"/>
        </w:rPr>
        <w:t>. 2 de l’entente, c.-à-</w:t>
      </w:r>
      <w:r w:rsidRPr="008F040A">
        <w:rPr>
          <w:rFonts w:cs="Times New Roman"/>
          <w:lang w:val="fr-CA"/>
        </w:rPr>
        <w:t>d. la valeur de l’action [</w:t>
      </w:r>
      <w:r w:rsidRPr="008F040A">
        <w:rPr>
          <w:rFonts w:cs="Times New Roman"/>
          <w:smallCaps/>
          <w:lang w:val="fr-CA"/>
        </w:rPr>
        <w:t>traduction</w:t>
      </w:r>
      <w:r w:rsidRPr="008F040A">
        <w:rPr>
          <w:rFonts w:cs="Times New Roman"/>
          <w:lang w:val="fr-CA"/>
        </w:rPr>
        <w:t xml:space="preserve">] « le dernier jour ouvrable avant la publication du communiqué de presse annonçant l’acquisition ». Le communiqué de presse a été publié le 26 mars 2007. Avant la suspension de la négociation des actions le 31 janvier 2007, le dernier cours de clôture de l’action de Creston s’établissait à 0,15 $. Suivant cette interprétation, Sattva recevrait environ 11 460 000 actions (selon le calcul effectué en fonction des honoraires d’intermédiation de 1,5 million $US). </w:t>
      </w:r>
    </w:p>
    <w:p w:rsidR="00EC1E65" w:rsidRPr="008F040A" w:rsidRDefault="00EC1E65" w:rsidP="00EC1E65">
      <w:pPr>
        <w:pStyle w:val="ParaNoNdepar-AltN"/>
        <w:rPr>
          <w:rFonts w:cs="Times New Roman"/>
          <w:lang w:val="fr-CA"/>
        </w:rPr>
      </w:pPr>
      <w:r w:rsidRPr="008F040A">
        <w:rPr>
          <w:rFonts w:cs="Times New Roman"/>
          <w:lang w:val="fr-CA"/>
        </w:rPr>
        <w:t>Creston prétend que la stipulation relative au « plafond », qui figure dans l’entente, a pour effet de limiter à 1,5 million $US la somme d’argent ou la valeur des actions que peut recevoir Sattva à la date de versement des honoraires. Les actions devaient être cédées au plus tard cinq jours après le 17 mai 2007, date de conclusion de l’achat. À ce moment</w:t>
      </w:r>
      <w:r w:rsidRPr="008F040A">
        <w:rPr>
          <w:rFonts w:cs="Times New Roman"/>
          <w:lang w:val="fr-CA"/>
        </w:rPr>
        <w:noBreakHyphen/>
        <w:t xml:space="preserve">là, l’action de Creston valait 0,70 $, selon les calculs effectués par une société bancaire d’investissement en vue d’un placement privé par voie de prise </w:t>
      </w:r>
      <w:r w:rsidRPr="008F040A">
        <w:rPr>
          <w:rFonts w:cs="Times New Roman"/>
          <w:lang w:val="fr-CA"/>
        </w:rPr>
        <w:lastRenderedPageBreak/>
        <w:t xml:space="preserve">ferme le 17 avril 2007. Suivant cette interprétation, Sattva recevrait environ 2 454 000 actions, soit environ 9 millions d’actions de moins que si chacune valait 0,15 $.   </w:t>
      </w:r>
    </w:p>
    <w:p w:rsidR="00EC1E65" w:rsidRPr="008F040A" w:rsidRDefault="00EC1E65" w:rsidP="00EC1E65">
      <w:pPr>
        <w:pStyle w:val="ParaNoNdepar-AltN"/>
        <w:rPr>
          <w:rFonts w:cs="Times New Roman"/>
          <w:lang w:val="fr-CA"/>
        </w:rPr>
      </w:pPr>
      <w:r w:rsidRPr="008F040A">
        <w:rPr>
          <w:rFonts w:cs="Times New Roman"/>
          <w:lang w:val="fr-CA"/>
        </w:rPr>
        <w:t>Les parties ont soumis le différend à l’arbitrage conformément à l’</w:t>
      </w:r>
      <w:r w:rsidRPr="008F040A">
        <w:rPr>
          <w:rFonts w:cs="Times New Roman"/>
          <w:i/>
          <w:lang w:val="fr-CA"/>
        </w:rPr>
        <w:t>AA</w:t>
      </w:r>
      <w:r w:rsidRPr="008F040A">
        <w:rPr>
          <w:rFonts w:cs="Times New Roman"/>
          <w:lang w:val="fr-CA"/>
        </w:rPr>
        <w:t>. L’arbitre a statué en faveur de Sattva. Creston a demandé l’autorisation d’interjeter appel de la sentence arbitrale en vertu du par. 31(2) de l’</w:t>
      </w:r>
      <w:r w:rsidRPr="008F040A">
        <w:rPr>
          <w:rFonts w:cs="Times New Roman"/>
          <w:i/>
          <w:lang w:val="fr-CA"/>
        </w:rPr>
        <w:t>AA</w:t>
      </w:r>
      <w:r w:rsidRPr="008F040A">
        <w:rPr>
          <w:rFonts w:cs="Times New Roman"/>
          <w:lang w:val="fr-CA"/>
        </w:rPr>
        <w:t>. La Cour suprême de la Colombie</w:t>
      </w:r>
      <w:r w:rsidRPr="008F040A">
        <w:rPr>
          <w:rFonts w:cs="Times New Roman"/>
          <w:lang w:val="fr-CA"/>
        </w:rPr>
        <w:noBreakHyphen/>
        <w:t>Britannique a refusé l’autorisation (2009 BCSC 1079 (CanLII) (« formation de la CS saisie de la demande d’autorisation »)). Creston a appelé de cette décision et obtenu l’autorisation de la Cour d’appel de la Colombie</w:t>
      </w:r>
      <w:r w:rsidRPr="008F040A">
        <w:rPr>
          <w:rFonts w:cs="Times New Roman"/>
          <w:lang w:val="fr-CA"/>
        </w:rPr>
        <w:noBreakHyphen/>
        <w:t xml:space="preserve">Britannique d’interjeter appel de la sentence arbitrale (2010 BCCA 239, 7 B.C.L.R. (5th) 227 (« formation de la CA saisie de </w:t>
      </w:r>
      <w:r>
        <w:rPr>
          <w:rFonts w:cs="Times New Roman"/>
          <w:lang w:val="fr-CA"/>
        </w:rPr>
        <w:t xml:space="preserve">la demande d’autorisation »)). </w:t>
      </w:r>
    </w:p>
    <w:p w:rsidR="00EC1E65" w:rsidRPr="008F040A" w:rsidRDefault="00EC1E65" w:rsidP="00EC1E65">
      <w:pPr>
        <w:pStyle w:val="ParaNoNdepar-AltN"/>
        <w:rPr>
          <w:rFonts w:cs="Times New Roman"/>
          <w:lang w:val="fr-CA"/>
        </w:rPr>
      </w:pPr>
      <w:r w:rsidRPr="008F040A">
        <w:rPr>
          <w:rFonts w:cs="Times New Roman"/>
          <w:lang w:val="fr-CA"/>
        </w:rPr>
        <w:t>Le juge de la Cour suprême de la Colombie</w:t>
      </w:r>
      <w:r w:rsidRPr="008F040A">
        <w:rPr>
          <w:rFonts w:cs="Times New Roman"/>
          <w:lang w:val="fr-CA"/>
        </w:rPr>
        <w:noBreakHyphen/>
        <w:t>Britannique chargé de statuer sur le bien</w:t>
      </w:r>
      <w:r w:rsidRPr="008F040A">
        <w:rPr>
          <w:rFonts w:cs="Times New Roman"/>
          <w:lang w:val="fr-CA"/>
        </w:rPr>
        <w:noBreakHyphen/>
        <w:t>fondé de l’appel (2011 BCSC 597, 84 B.L.R. (4th) 102 (« formation de la CS saisie de l’appel »)) a confirmé la sentence arbitrale. Creston a interjeté appel de cette décision devant la Cour d’appel de la Colombie</w:t>
      </w:r>
      <w:r w:rsidRPr="008F040A">
        <w:rPr>
          <w:rFonts w:cs="Times New Roman"/>
          <w:lang w:val="fr-CA"/>
        </w:rPr>
        <w:noBreakHyphen/>
        <w:t>Britannique (2012 BCCA 329, 36 B.C.L.R. (5th) 71 (« formation de la CA saisie de l’appel »)), laquelle a infirmé la décision de la formation de la CS saisie de l’appel et a donné gain de cause à Creston. Sattva interjette appel des décisions des deux formations de la CA, soit celle saisie de la demande d’autorisation et celle saisie de l’appel, devant la Cour.</w:t>
      </w:r>
    </w:p>
    <w:p w:rsidR="00EC1E65" w:rsidRPr="008F040A" w:rsidRDefault="00EC1E65" w:rsidP="00EC1E65">
      <w:pPr>
        <w:pStyle w:val="Title1LevelTitre1Niveau-AltL"/>
        <w:rPr>
          <w:rFonts w:cs="Times New Roman"/>
          <w:lang w:val="fr-CA"/>
        </w:rPr>
      </w:pPr>
      <w:bookmarkStart w:id="1" w:name="_Toc394565823"/>
      <w:bookmarkStart w:id="2" w:name="_Toc388713969"/>
      <w:bookmarkStart w:id="3" w:name="_Toc389040891"/>
      <w:bookmarkStart w:id="4" w:name="_Toc389781701"/>
      <w:bookmarkStart w:id="5" w:name="_Toc390243232"/>
      <w:bookmarkStart w:id="6" w:name="_Toc390339559"/>
      <w:bookmarkStart w:id="7" w:name="_Toc390440393"/>
      <w:bookmarkStart w:id="8" w:name="_Toc390605534"/>
      <w:bookmarkStart w:id="9" w:name="_Toc390614570"/>
      <w:r w:rsidRPr="008F040A">
        <w:rPr>
          <w:rFonts w:cs="Times New Roman"/>
          <w:lang w:val="fr-CA"/>
        </w:rPr>
        <w:t>Sentence arbitrale</w:t>
      </w:r>
      <w:bookmarkEnd w:id="1"/>
      <w:r w:rsidRPr="008F040A">
        <w:rPr>
          <w:rFonts w:cs="Times New Roman"/>
          <w:lang w:val="fr-CA"/>
        </w:rPr>
        <w:t xml:space="preserve"> </w:t>
      </w:r>
      <w:bookmarkEnd w:id="2"/>
      <w:bookmarkEnd w:id="3"/>
      <w:bookmarkEnd w:id="4"/>
      <w:bookmarkEnd w:id="5"/>
      <w:bookmarkEnd w:id="6"/>
      <w:bookmarkEnd w:id="7"/>
      <w:bookmarkEnd w:id="8"/>
      <w:bookmarkEnd w:id="9"/>
    </w:p>
    <w:p w:rsidR="00EC1E65" w:rsidRPr="008F040A" w:rsidRDefault="00EC1E65" w:rsidP="00EC1E65">
      <w:pPr>
        <w:pStyle w:val="ParaNoNdepar-AltN"/>
        <w:rPr>
          <w:rFonts w:cs="Times New Roman"/>
          <w:lang w:val="fr-CA"/>
        </w:rPr>
      </w:pPr>
      <w:r w:rsidRPr="008F040A">
        <w:rPr>
          <w:rFonts w:cs="Times New Roman"/>
          <w:lang w:val="fr-CA"/>
        </w:rPr>
        <w:lastRenderedPageBreak/>
        <w:t xml:space="preserve">L’arbitre, Leon Getz, c.r., a donné gain de cause à Sattva, concluant qu’elle était en droit de recevoir des honoraires d’intermédiation de 1,5 million $US en actions, à raison de 0,15 $ l’action. </w:t>
      </w:r>
    </w:p>
    <w:p w:rsidR="00EC1E65" w:rsidRPr="008F040A" w:rsidRDefault="00EC1E65" w:rsidP="00EC1E65">
      <w:pPr>
        <w:pStyle w:val="ParaNoNdepar-AltN"/>
        <w:rPr>
          <w:rFonts w:cs="Times New Roman"/>
          <w:lang w:val="fr-CA"/>
        </w:rPr>
      </w:pPr>
      <w:r w:rsidRPr="008F040A">
        <w:rPr>
          <w:rFonts w:cs="Times New Roman"/>
          <w:lang w:val="fr-CA"/>
        </w:rPr>
        <w:t>L’arbitre a fondé sa décision sur la définition du « cours » figurant dans l’entente :</w:t>
      </w:r>
    </w:p>
    <w:p w:rsidR="00EC1E65" w:rsidRPr="008F040A" w:rsidRDefault="00EC1E65" w:rsidP="00EC1E65">
      <w:pPr>
        <w:pStyle w:val="Citation-AltC"/>
        <w:tabs>
          <w:tab w:val="left" w:pos="1620"/>
        </w:tabs>
        <w:ind w:hanging="1166"/>
        <w:rPr>
          <w:lang w:val="fr-CA"/>
        </w:rPr>
      </w:pPr>
      <w:r w:rsidRPr="008F040A">
        <w:rPr>
          <w:lang w:val="fr-CA"/>
        </w:rPr>
        <w:tab/>
      </w:r>
      <w:r w:rsidRPr="008F040A">
        <w:rPr>
          <w:lang w:val="fr-CA"/>
        </w:rPr>
        <w:tab/>
        <w:t>[</w:t>
      </w:r>
      <w:r w:rsidRPr="008F040A">
        <w:rPr>
          <w:smallCaps/>
          <w:lang w:val="fr-CA"/>
        </w:rPr>
        <w:t>traduction</w:t>
      </w:r>
      <w:r w:rsidRPr="008F040A">
        <w:rPr>
          <w:lang w:val="fr-CA"/>
        </w:rPr>
        <w:t>]  Qu’était donc le « cours » au sens de l’entente? Le communiqué de presse pertinent est celui qui a été publié le 26 mars [. . .] Il n’y avait pas de cours de clôture le 25 mars (la négociation des actions était suspendue à cette date). Par conséquent, le « dernier cours de clôture », au sens où cette expression est employée dans la définition, était de 0,15 $, soit le cours de clôture des actions de [Creston] le 30 janvier, le jour précédant la suspension des opérations « jusqu’à nouvel ordre » [. . .] Cette conclusion ne nécessite aucune extension de sens des mots employés dans la définition qui figure au contrat. Au contraire, elle concorde littéralement avec la définition</w:t>
      </w:r>
      <w:r>
        <w:rPr>
          <w:lang w:val="fr-CA"/>
        </w:rPr>
        <w:t>. [par. 22]</w:t>
      </w:r>
    </w:p>
    <w:p w:rsidR="00EC1E65" w:rsidRPr="008F040A" w:rsidRDefault="00EC1E65" w:rsidP="00EC1E65">
      <w:pPr>
        <w:pStyle w:val="ParaNoNdepar-AltN"/>
        <w:rPr>
          <w:rFonts w:cs="Times New Roman"/>
          <w:lang w:val="fr-CA"/>
        </w:rPr>
      </w:pPr>
      <w:r w:rsidRPr="008F040A">
        <w:rPr>
          <w:rFonts w:cs="Times New Roman"/>
          <w:lang w:val="fr-CA"/>
        </w:rPr>
        <w:t xml:space="preserve">L’entente et les honoraires d’intermédiation devaient être approuvés par la Bourse. Creston était chargée d’obtenir cette approbation. L’arbitre a conclu qu’il était implicitement ou expressément prévu dans l’entente que Creston ferait de son mieux pour obtenir l’approbation de la Bourse. Selon lui, Creston n’avait pas fait de son mieux pour y arriver. </w:t>
      </w:r>
    </w:p>
    <w:p w:rsidR="00EC1E65" w:rsidRPr="008F040A" w:rsidRDefault="00EC1E65" w:rsidP="00EC1E65">
      <w:pPr>
        <w:pStyle w:val="ParaNoNdepar-AltN"/>
        <w:rPr>
          <w:rFonts w:cs="Times New Roman"/>
          <w:lang w:val="fr-CA"/>
        </w:rPr>
      </w:pPr>
      <w:r w:rsidRPr="008F040A">
        <w:rPr>
          <w:rFonts w:cs="Times New Roman"/>
          <w:lang w:val="fr-CA"/>
        </w:rPr>
        <w:t xml:space="preserve">Comme nous l’avons expliqué, les honoraires d’intermédiation se payaient en actions à moins d’avis contraire de la part de Sattva. L’arbitre a conclu que Sattva n’avait pas manifesté de choix. Malgré cela, Creston a déclaré à la Bourse que les honoraires d’intermédiation seraient versés en argent. La Bourse a donc approuvé conditionnellement le versement d’une somme de 1,5 million $US en argent. Sattva a </w:t>
      </w:r>
      <w:r w:rsidRPr="008F040A">
        <w:rPr>
          <w:rFonts w:cs="Times New Roman"/>
          <w:lang w:val="fr-CA"/>
        </w:rPr>
        <w:lastRenderedPageBreak/>
        <w:t xml:space="preserve">appris qu’un versement en argent de ses honoraires avait été approuvé au début du mois de juin 2007. Quand Sattva a abordé ce point avec Creston, cette dernière a répondu que Sattva avait le choix de percevoir ses honoraires en argent ou en actions, à raison de 0,70 $ l’action. </w:t>
      </w:r>
    </w:p>
    <w:p w:rsidR="00EC1E65" w:rsidRPr="008F040A" w:rsidRDefault="00EC1E65" w:rsidP="00EC1E65">
      <w:pPr>
        <w:pStyle w:val="ParaNoNdepar-AltN"/>
        <w:rPr>
          <w:rFonts w:cs="Times New Roman"/>
          <w:lang w:val="fr-CA"/>
        </w:rPr>
      </w:pPr>
      <w:r w:rsidRPr="008F040A">
        <w:rPr>
          <w:rFonts w:cs="Times New Roman"/>
          <w:lang w:val="fr-CA"/>
        </w:rPr>
        <w:t>Sattva a soutenu qu’elle avait droit au versement des honoraires d’intermédiation en actions, à raison de 0,15 $ l’action. Creston a demandé à ses avocats de communiquer avec la Bourse afin qu’elle indique la valeur minimale de l’action qu’elle approuverait pour le versement des honoraires d’intermédiation. La Bourse a confirmé, par téléphone le 7 juin 2007 et par courriel le 9 août de la même année, qu’un cours minimal de 0,70 $ l’action s’appliquait aux fins du calcul des honoraires d’intermédiation. Selon l’arbitre, Creston [</w:t>
      </w:r>
      <w:r w:rsidRPr="008F040A">
        <w:rPr>
          <w:rFonts w:cs="Times New Roman"/>
          <w:smallCaps/>
          <w:lang w:val="fr-CA"/>
        </w:rPr>
        <w:t>traduction</w:t>
      </w:r>
      <w:r w:rsidRPr="008F040A">
        <w:rPr>
          <w:rFonts w:cs="Times New Roman"/>
          <w:lang w:val="fr-CA"/>
        </w:rPr>
        <w:t>] « a constamment fait des déclarations inexactes quant à l’obligation qu’elle avait contractée envers Sattva ou, à tout le moins, omis d’en divulguer complètement la nature » (par. 56(k)) et qu’« à moins que Sattva n’en décide autrement, elle a le</w:t>
      </w:r>
      <w:r>
        <w:rPr>
          <w:rFonts w:cs="Times New Roman"/>
          <w:lang w:val="fr-CA"/>
        </w:rPr>
        <w:t xml:space="preserve"> droit aux termes de l’entente</w:t>
      </w:r>
      <w:r w:rsidRPr="008F040A">
        <w:rPr>
          <w:rFonts w:cs="Times New Roman"/>
          <w:lang w:val="fr-CA"/>
        </w:rPr>
        <w:t xml:space="preserve"> de percevoir ces honoraires sous forme d’actions, à raison de 0,15 $ l’action » (par. 56(g)). Selon l’arbitre, la position de Sattva a été véritablement présentée à la Bourse pour la première fois dans la lettre de l’avocat de celle</w:t>
      </w:r>
      <w:r w:rsidRPr="008F040A">
        <w:rPr>
          <w:rFonts w:cs="Times New Roman"/>
          <w:lang w:val="fr-CA"/>
        </w:rPr>
        <w:noBreakHyphen/>
        <w:t xml:space="preserve">ci datée du 9 octobre 2007. </w:t>
      </w:r>
    </w:p>
    <w:p w:rsidR="00EC1E65" w:rsidRPr="008F040A" w:rsidRDefault="00EC1E65" w:rsidP="00EC1E65">
      <w:pPr>
        <w:pStyle w:val="ParaNoNdepar-AltN"/>
        <w:rPr>
          <w:rFonts w:cs="Times New Roman"/>
          <w:lang w:val="fr-CA"/>
        </w:rPr>
      </w:pPr>
      <w:r w:rsidRPr="008F040A">
        <w:rPr>
          <w:rFonts w:cs="Times New Roman"/>
          <w:lang w:val="fr-CA"/>
        </w:rPr>
        <w:t xml:space="preserve">L’arbitre était d’avis que si Creston avait fait de son mieux, la Bourse aurait pu approuver le versement des honoraires d’intermédiation sous forme d’actions, à 0,15 $ l’action, et qu’une telle décision aurait été conforme à ses politiques. Il a affirmé </w:t>
      </w:r>
      <w:r w:rsidRPr="008F040A">
        <w:rPr>
          <w:rFonts w:cs="Times New Roman"/>
          <w:lang w:val="fr-CA"/>
        </w:rPr>
        <w:lastRenderedPageBreak/>
        <w:t>que [</w:t>
      </w:r>
      <w:r w:rsidRPr="008F040A">
        <w:rPr>
          <w:rFonts w:cs="Times New Roman"/>
          <w:smallCaps/>
          <w:lang w:val="fr-CA"/>
        </w:rPr>
        <w:t>traduction</w:t>
      </w:r>
      <w:r w:rsidRPr="008F040A">
        <w:rPr>
          <w:rFonts w:cs="Times New Roman"/>
          <w:lang w:val="fr-CA"/>
        </w:rPr>
        <w:t>] « [la Bourse] aurait fort probablement donné son approbation » (par. 81) et il a évalué cette probabilité à 85 p. </w:t>
      </w:r>
      <w:r>
        <w:rPr>
          <w:rFonts w:cs="Times New Roman"/>
          <w:lang w:val="fr-CA"/>
        </w:rPr>
        <w:t>100</w:t>
      </w:r>
      <w:r w:rsidRPr="008F040A">
        <w:rPr>
          <w:rFonts w:cs="Times New Roman"/>
          <w:lang w:val="fr-CA"/>
        </w:rPr>
        <w:t xml:space="preserve">. </w:t>
      </w:r>
    </w:p>
    <w:p w:rsidR="00EC1E65" w:rsidRPr="008F040A" w:rsidRDefault="00EC1E65" w:rsidP="00EC1E65">
      <w:pPr>
        <w:pStyle w:val="ParaNoNdepar-AltN"/>
        <w:rPr>
          <w:rFonts w:cs="Times New Roman"/>
          <w:lang w:val="fr-CA"/>
        </w:rPr>
      </w:pPr>
      <w:r w:rsidRPr="008F040A">
        <w:rPr>
          <w:rFonts w:cs="Times New Roman"/>
          <w:lang w:val="fr-CA"/>
        </w:rPr>
        <w:t>Selon l’arbitre, Sattva aurait pu vendre ses actions de Creston après quatre mois à un prix variant entre 0,40 et 0,44 $ l’unité, ce qui aurait représenté un produit net situé dans une fourchette de 4 583 914 $ à 5 156 934 $. Établissant la moyenne de ces deux sommes d’argent à 4 870 424 $, l’arbitre a ensuite évalué les dommages</w:t>
      </w:r>
      <w:r w:rsidRPr="008F040A">
        <w:rPr>
          <w:rFonts w:cs="Times New Roman"/>
          <w:lang w:val="fr-CA"/>
        </w:rPr>
        <w:noBreakHyphen/>
        <w:t>intérêts à 85 p. </w:t>
      </w:r>
      <w:r>
        <w:rPr>
          <w:rFonts w:cs="Times New Roman"/>
          <w:lang w:val="fr-CA"/>
        </w:rPr>
        <w:t>100</w:t>
      </w:r>
      <w:r w:rsidRPr="008F040A">
        <w:rPr>
          <w:rFonts w:cs="Times New Roman"/>
          <w:lang w:val="fr-CA"/>
        </w:rPr>
        <w:t xml:space="preserve"> de ce nombre, soit 4 139 860 $, qu’il a ensuite arrondis à la hausse, pour obtenir 4 140 000 $, plus les dépens. </w:t>
      </w:r>
    </w:p>
    <w:p w:rsidR="00EC1E65" w:rsidRPr="008F040A" w:rsidRDefault="00EC1E65" w:rsidP="00EC1E65">
      <w:pPr>
        <w:pStyle w:val="ParaNoNdepar-AltN"/>
        <w:rPr>
          <w:rFonts w:cs="Times New Roman"/>
          <w:lang w:val="fr-CA"/>
        </w:rPr>
      </w:pPr>
      <w:r w:rsidRPr="008F040A">
        <w:rPr>
          <w:rFonts w:cs="Times New Roman"/>
          <w:lang w:val="fr-CA"/>
        </w:rPr>
        <w:t>Après le prononcé de cette sentence arbitrale, Creston a versé 1,5 million $US (ou l’équivalent en dollars canadiens) à Sattva. Le solde des dommages</w:t>
      </w:r>
      <w:r w:rsidRPr="008F040A">
        <w:rPr>
          <w:rFonts w:cs="Times New Roman"/>
          <w:lang w:val="fr-CA"/>
        </w:rPr>
        <w:noBreakHyphen/>
        <w:t xml:space="preserve">intérêts accordés par l’arbitre a été placé dans le compte en fiducie des avocats de Sattva. </w:t>
      </w:r>
    </w:p>
    <w:p w:rsidR="00EC1E65" w:rsidRPr="008F040A" w:rsidRDefault="00EC1E65" w:rsidP="00EC1E65">
      <w:pPr>
        <w:pStyle w:val="Title1LevelTitre1Niveau-AltL"/>
        <w:jc w:val="both"/>
        <w:rPr>
          <w:rFonts w:cs="Times New Roman"/>
          <w:lang w:val="fr-CA"/>
        </w:rPr>
      </w:pPr>
      <w:bookmarkStart w:id="10" w:name="_Toc394565824"/>
      <w:bookmarkStart w:id="11" w:name="_Toc388713970"/>
      <w:bookmarkStart w:id="12" w:name="_Toc389040892"/>
      <w:bookmarkStart w:id="13" w:name="_Toc389781702"/>
      <w:bookmarkStart w:id="14" w:name="_Toc390243233"/>
      <w:bookmarkStart w:id="15" w:name="_Toc390339560"/>
      <w:bookmarkStart w:id="16" w:name="_Toc390440394"/>
      <w:bookmarkStart w:id="17" w:name="_Toc390605535"/>
      <w:bookmarkStart w:id="18" w:name="_Toc390614571"/>
      <w:r w:rsidRPr="008F040A">
        <w:rPr>
          <w:rFonts w:cs="Times New Roman"/>
          <w:lang w:val="fr-CA"/>
        </w:rPr>
        <w:t>Historique judiciaire</w:t>
      </w:r>
      <w:bookmarkEnd w:id="10"/>
      <w:r w:rsidRPr="008F040A">
        <w:rPr>
          <w:rFonts w:cs="Times New Roman"/>
          <w:lang w:val="fr-CA"/>
        </w:rPr>
        <w:t xml:space="preserve"> </w:t>
      </w:r>
      <w:bookmarkEnd w:id="11"/>
      <w:bookmarkEnd w:id="12"/>
      <w:bookmarkEnd w:id="13"/>
      <w:bookmarkEnd w:id="14"/>
      <w:bookmarkEnd w:id="15"/>
      <w:bookmarkEnd w:id="16"/>
      <w:bookmarkEnd w:id="17"/>
      <w:bookmarkEnd w:id="18"/>
    </w:p>
    <w:p w:rsidR="00EC1E65" w:rsidRPr="008F040A" w:rsidRDefault="00EC1E65" w:rsidP="00EC1E65">
      <w:pPr>
        <w:pStyle w:val="Title2LevelTitre2Niveau"/>
        <w:jc w:val="both"/>
        <w:rPr>
          <w:rFonts w:cs="Times New Roman"/>
          <w:lang w:val="fr-CA"/>
        </w:rPr>
      </w:pPr>
      <w:bookmarkStart w:id="19" w:name="_Toc388713971"/>
      <w:bookmarkStart w:id="20" w:name="_Toc389040893"/>
      <w:bookmarkStart w:id="21" w:name="_Toc389781703"/>
      <w:bookmarkStart w:id="22" w:name="_Toc390243234"/>
      <w:bookmarkStart w:id="23" w:name="_Toc390339561"/>
      <w:bookmarkStart w:id="24" w:name="_Toc390440395"/>
      <w:bookmarkStart w:id="25" w:name="_Toc390605536"/>
      <w:bookmarkStart w:id="26" w:name="_Toc390614572"/>
      <w:bookmarkStart w:id="27" w:name="_Toc394565825"/>
      <w:r w:rsidRPr="008F040A">
        <w:rPr>
          <w:rFonts w:cs="Times New Roman"/>
          <w:lang w:val="fr-CA"/>
        </w:rPr>
        <w:t>Cour suprême de la Colombie</w:t>
      </w:r>
      <w:r w:rsidRPr="008F040A">
        <w:rPr>
          <w:rFonts w:cs="Times New Roman"/>
          <w:lang w:val="fr-CA"/>
        </w:rPr>
        <w:noBreakHyphen/>
        <w:t>Britannique — décision sur la demande d’autorisation d’appel, 2009 BCSC 1079</w:t>
      </w:r>
      <w:bookmarkEnd w:id="19"/>
      <w:bookmarkEnd w:id="20"/>
      <w:bookmarkEnd w:id="21"/>
      <w:bookmarkEnd w:id="22"/>
      <w:bookmarkEnd w:id="23"/>
      <w:bookmarkEnd w:id="24"/>
      <w:bookmarkEnd w:id="25"/>
      <w:bookmarkEnd w:id="26"/>
      <w:bookmarkEnd w:id="27"/>
    </w:p>
    <w:p w:rsidR="00EC1E65" w:rsidRPr="008F040A" w:rsidRDefault="00EC1E65" w:rsidP="00EC1E65">
      <w:pPr>
        <w:pStyle w:val="ParaNoNdepar-AltN"/>
        <w:rPr>
          <w:rFonts w:cs="Times New Roman"/>
          <w:lang w:val="fr-CA"/>
        </w:rPr>
      </w:pPr>
      <w:r w:rsidRPr="008F040A">
        <w:rPr>
          <w:rFonts w:cs="Times New Roman"/>
          <w:lang w:val="fr-CA"/>
        </w:rPr>
        <w:t>La Cour suprême de la Colombie</w:t>
      </w:r>
      <w:r w:rsidRPr="008F040A">
        <w:rPr>
          <w:rFonts w:cs="Times New Roman"/>
          <w:lang w:val="fr-CA"/>
        </w:rPr>
        <w:noBreakHyphen/>
        <w:t>Britannique a rejeté la demande d’autorisation d’appel parce qu’elle était d’avis que la question soulevée n’était pas une question de droit, un critère prévu à l’art. 31 de l’</w:t>
      </w:r>
      <w:r w:rsidRPr="008F040A">
        <w:rPr>
          <w:rFonts w:cs="Times New Roman"/>
          <w:i/>
          <w:lang w:val="fr-CA"/>
        </w:rPr>
        <w:t>AA</w:t>
      </w:r>
      <w:r w:rsidRPr="008F040A">
        <w:rPr>
          <w:rFonts w:cs="Times New Roman"/>
          <w:lang w:val="fr-CA"/>
        </w:rPr>
        <w:t>. Selon le juge, il s’agissait d’une question mixte de fait et de droit puisque l’arbitre avait appuyé sa conclusion sur le [</w:t>
      </w:r>
      <w:r w:rsidRPr="008F040A">
        <w:rPr>
          <w:rFonts w:cs="Times New Roman"/>
          <w:smallCaps/>
          <w:lang w:val="fr-CA"/>
        </w:rPr>
        <w:t>traduction</w:t>
      </w:r>
      <w:r w:rsidRPr="008F040A">
        <w:rPr>
          <w:rFonts w:cs="Times New Roman"/>
          <w:lang w:val="fr-CA"/>
        </w:rPr>
        <w:t xml:space="preserve">] « fondement factuel ». Plus précisément, pour déterminer sous quelle </w:t>
      </w:r>
      <w:r w:rsidRPr="008F040A">
        <w:rPr>
          <w:rFonts w:cs="Times New Roman"/>
          <w:lang w:val="fr-CA"/>
        </w:rPr>
        <w:lastRenderedPageBreak/>
        <w:t xml:space="preserve">forme les honoraires d’intermédiation devaient être versés, il fallait examiner « les politiques de la TSX se rapportant au plafond applicable aux honoraires d’intermédiation, ainsi que les pouvoirs discrétionnaires dont dispose la Bourse pour déterminer le montant des honoraires » (par. 35). </w:t>
      </w:r>
    </w:p>
    <w:p w:rsidR="00EC1E65" w:rsidRPr="008F040A" w:rsidRDefault="00EC1E65" w:rsidP="00EC1E65">
      <w:pPr>
        <w:pStyle w:val="ParaNoNdepar-AltN"/>
        <w:rPr>
          <w:rFonts w:cs="Times New Roman"/>
          <w:lang w:val="fr-CA"/>
        </w:rPr>
      </w:pPr>
      <w:r w:rsidRPr="008F040A">
        <w:rPr>
          <w:rFonts w:cs="Times New Roman"/>
          <w:lang w:val="fr-CA"/>
        </w:rPr>
        <w:t>Le juge a conclu que, même s’il avait été d’avis que le litige soulevait une question de droit, il aurait exercé son pouvoir discrétionnaire pour refuser l’autorisation d’appel en raison des déclarations inexactes faites par Creston à propos des honoraires d’intermédiation à la Bourse et à Sattva, et par égard pour le [</w:t>
      </w:r>
      <w:r w:rsidRPr="008F040A">
        <w:rPr>
          <w:rFonts w:cs="Times New Roman"/>
          <w:smallCaps/>
          <w:lang w:val="fr-CA"/>
        </w:rPr>
        <w:t>traduction</w:t>
      </w:r>
      <w:r w:rsidRPr="008F040A">
        <w:rPr>
          <w:rFonts w:cs="Times New Roman"/>
          <w:lang w:val="fr-CA"/>
        </w:rPr>
        <w:t>] « principe selon lequel l’[</w:t>
      </w:r>
      <w:r w:rsidRPr="008F040A">
        <w:rPr>
          <w:rFonts w:cs="Times New Roman"/>
          <w:i/>
          <w:lang w:val="fr-CA"/>
        </w:rPr>
        <w:t>AA</w:t>
      </w:r>
      <w:r w:rsidRPr="008F040A">
        <w:rPr>
          <w:rFonts w:cs="Times New Roman"/>
          <w:lang w:val="fr-CA"/>
        </w:rPr>
        <w:t xml:space="preserve">] a notamment pour objectif de favoriser et de préserver l’intégrité du système d’arbitrage » (par. 41). </w:t>
      </w:r>
    </w:p>
    <w:p w:rsidR="00EC1E65" w:rsidRPr="008F040A" w:rsidRDefault="00EC1E65" w:rsidP="00EC1E65">
      <w:pPr>
        <w:pStyle w:val="Title2LevelTitre2Niveau"/>
        <w:jc w:val="both"/>
        <w:rPr>
          <w:rFonts w:cs="Times New Roman"/>
          <w:lang w:val="fr-CA"/>
        </w:rPr>
      </w:pPr>
      <w:bookmarkStart w:id="28" w:name="_Toc388713972"/>
      <w:bookmarkStart w:id="29" w:name="_Toc389040894"/>
      <w:bookmarkStart w:id="30" w:name="_Toc389781704"/>
      <w:bookmarkStart w:id="31" w:name="_Toc390243235"/>
      <w:bookmarkStart w:id="32" w:name="_Toc390339562"/>
      <w:bookmarkStart w:id="33" w:name="_Toc390440396"/>
      <w:bookmarkStart w:id="34" w:name="_Toc390605537"/>
      <w:bookmarkStart w:id="35" w:name="_Toc390614573"/>
      <w:bookmarkStart w:id="36" w:name="_Toc394565826"/>
      <w:r w:rsidRPr="008F040A">
        <w:rPr>
          <w:rFonts w:cs="Times New Roman"/>
          <w:lang w:val="fr-CA"/>
        </w:rPr>
        <w:t>Cour d’appel de la Colombie</w:t>
      </w:r>
      <w:r w:rsidRPr="008F040A">
        <w:rPr>
          <w:rFonts w:cs="Times New Roman"/>
          <w:lang w:val="fr-CA"/>
        </w:rPr>
        <w:noBreakHyphen/>
        <w:t>Britannique — décision sur la demande d’autorisation d’appel, 2010 BCCA 239</w:t>
      </w:r>
      <w:bookmarkEnd w:id="28"/>
      <w:bookmarkEnd w:id="29"/>
      <w:bookmarkEnd w:id="30"/>
      <w:bookmarkEnd w:id="31"/>
      <w:bookmarkEnd w:id="32"/>
      <w:bookmarkEnd w:id="33"/>
      <w:bookmarkEnd w:id="34"/>
      <w:bookmarkEnd w:id="35"/>
      <w:bookmarkEnd w:id="36"/>
    </w:p>
    <w:p w:rsidR="00EC1E65" w:rsidRPr="008F040A" w:rsidRDefault="00EC1E65" w:rsidP="00EC1E65">
      <w:pPr>
        <w:pStyle w:val="ParaNoNdepar-AltN"/>
        <w:rPr>
          <w:rFonts w:cs="Times New Roman"/>
          <w:lang w:val="fr-CA"/>
        </w:rPr>
      </w:pPr>
      <w:r>
        <w:rPr>
          <w:rFonts w:cs="Times New Roman"/>
          <w:lang w:val="fr-CA"/>
        </w:rPr>
        <w:t>La C</w:t>
      </w:r>
      <w:r w:rsidRPr="008F040A">
        <w:rPr>
          <w:rFonts w:cs="Times New Roman"/>
          <w:lang w:val="fr-CA"/>
        </w:rPr>
        <w:t>our d’app</w:t>
      </w:r>
      <w:r>
        <w:rPr>
          <w:rFonts w:cs="Times New Roman"/>
          <w:lang w:val="fr-CA"/>
        </w:rPr>
        <w:t>el a infirmé la décision de la C</w:t>
      </w:r>
      <w:r w:rsidRPr="008F040A">
        <w:rPr>
          <w:rFonts w:cs="Times New Roman"/>
          <w:lang w:val="fr-CA"/>
        </w:rPr>
        <w:t>our suprême et a accueilli la demande, présentée par Creston, en autorisation d’interjeter appel de la sent</w:t>
      </w:r>
      <w:r>
        <w:rPr>
          <w:rFonts w:cs="Times New Roman"/>
          <w:lang w:val="fr-CA"/>
        </w:rPr>
        <w:t>ence arbitrale. Selon elle, la C</w:t>
      </w:r>
      <w:r w:rsidRPr="008F040A">
        <w:rPr>
          <w:rFonts w:cs="Times New Roman"/>
          <w:lang w:val="fr-CA"/>
        </w:rPr>
        <w:t>our suprême avait [</w:t>
      </w:r>
      <w:r w:rsidRPr="008F040A">
        <w:rPr>
          <w:rFonts w:cs="Times New Roman"/>
          <w:smallCaps/>
          <w:lang w:val="fr-CA"/>
        </w:rPr>
        <w:t>traduction</w:t>
      </w:r>
      <w:r w:rsidRPr="008F040A">
        <w:rPr>
          <w:rFonts w:cs="Times New Roman"/>
          <w:lang w:val="fr-CA"/>
        </w:rPr>
        <w:t xml:space="preserve">] « commis une erreur en ne reconnaissant pas que l’omission par l’arbitre d’examiner la signification de l’art. 3.1 de l’entente (et plus particulièrement de la stipulation relative au </w:t>
      </w:r>
      <w:r>
        <w:rPr>
          <w:rFonts w:cs="Times New Roman"/>
          <w:lang w:val="fr-CA"/>
        </w:rPr>
        <w:t>“</w:t>
      </w:r>
      <w:r w:rsidRPr="008F040A">
        <w:rPr>
          <w:rFonts w:cs="Times New Roman"/>
          <w:lang w:val="fr-CA"/>
        </w:rPr>
        <w:t>plafond</w:t>
      </w:r>
      <w:r>
        <w:rPr>
          <w:rFonts w:cs="Times New Roman"/>
          <w:lang w:val="fr-CA"/>
        </w:rPr>
        <w:t>”</w:t>
      </w:r>
      <w:r w:rsidRPr="008F040A">
        <w:rPr>
          <w:rFonts w:cs="Times New Roman"/>
          <w:lang w:val="fr-CA"/>
        </w:rPr>
        <w:t>) soulevait une que</w:t>
      </w:r>
      <w:r>
        <w:rPr>
          <w:rFonts w:cs="Times New Roman"/>
          <w:lang w:val="fr-CA"/>
        </w:rPr>
        <w:t>stion de droit » (par. 23). La C</w:t>
      </w:r>
      <w:r w:rsidRPr="008F040A">
        <w:rPr>
          <w:rFonts w:cs="Times New Roman"/>
          <w:lang w:val="fr-CA"/>
        </w:rPr>
        <w:t xml:space="preserve">our d’appel a conclu que l’interprétation de l’art. 3.1 de l’entente, et plus particulièrement de la stipulation relative au « plafond », constituait une question de droit parce qu’elle ne reposait pas sur les faits de l’affaire, à savoir les renseignements communiqués à la Bourse et la décision de cette dernière.  </w:t>
      </w:r>
    </w:p>
    <w:p w:rsidR="00EC1E65" w:rsidRPr="008F040A" w:rsidRDefault="00EC1E65" w:rsidP="00EC1E65">
      <w:pPr>
        <w:pStyle w:val="ParaNoNdepar-AltN"/>
        <w:rPr>
          <w:rFonts w:cs="Times New Roman"/>
          <w:lang w:val="fr-CA" w:bidi="en-US"/>
        </w:rPr>
      </w:pPr>
      <w:r>
        <w:rPr>
          <w:rFonts w:cs="Times New Roman"/>
          <w:lang w:val="fr-CA" w:bidi="en-US"/>
        </w:rPr>
        <w:lastRenderedPageBreak/>
        <w:t>La C</w:t>
      </w:r>
      <w:r w:rsidRPr="008F040A">
        <w:rPr>
          <w:rFonts w:cs="Times New Roman"/>
          <w:lang w:val="fr-CA" w:bidi="en-US"/>
        </w:rPr>
        <w:t>our d’appel a reconnu que Creston s’était montré</w:t>
      </w:r>
      <w:r>
        <w:rPr>
          <w:rFonts w:cs="Times New Roman"/>
          <w:lang w:val="fr-CA" w:bidi="en-US"/>
        </w:rPr>
        <w:t>e</w:t>
      </w:r>
      <w:r w:rsidRPr="008F040A">
        <w:rPr>
          <w:rFonts w:cs="Times New Roman"/>
          <w:lang w:val="fr-CA" w:bidi="en-US"/>
        </w:rPr>
        <w:t xml:space="preserve"> [</w:t>
      </w:r>
      <w:r w:rsidRPr="008F040A">
        <w:rPr>
          <w:rFonts w:cs="Times New Roman"/>
          <w:smallCaps/>
          <w:lang w:val="fr-CA" w:bidi="en-US"/>
        </w:rPr>
        <w:t>traduction</w:t>
      </w:r>
      <w:r w:rsidRPr="008F040A">
        <w:rPr>
          <w:rFonts w:cs="Times New Roman"/>
          <w:lang w:val="fr-CA" w:bidi="en-US"/>
        </w:rPr>
        <w:t>] « moins que franche dans ses démarches auprès de M. Le et de [la Bourse] », mais a déclaré que « ces faits n’intéressent pas directement la question de droit qu’elle soulève en appel » (</w:t>
      </w:r>
      <w:r w:rsidRPr="008F040A">
        <w:rPr>
          <w:rFonts w:cs="Times New Roman"/>
          <w:lang w:val="fr-CA"/>
        </w:rPr>
        <w:t>par. </w:t>
      </w:r>
      <w:r w:rsidRPr="008F040A">
        <w:rPr>
          <w:rFonts w:cs="Times New Roman"/>
          <w:lang w:val="fr-CA" w:bidi="en-US"/>
        </w:rPr>
        <w:t>27). Au sujet de la remarque sur la préservation de l’intégrité du système d’arbitrage formulée par la formation de la CS saisie de la demande d’autorisation d’appel, la formation de la CA saisie de la demande d’autorisation a dit que les parties, quand elles ont choisi de soumettre leur différend à l’arbitrage en vertu de l’</w:t>
      </w:r>
      <w:r w:rsidRPr="008F040A">
        <w:rPr>
          <w:rFonts w:cs="Times New Roman"/>
          <w:i/>
          <w:lang w:val="fr-CA" w:bidi="en-US"/>
        </w:rPr>
        <w:t>AA</w:t>
      </w:r>
      <w:r w:rsidRPr="008F040A">
        <w:rPr>
          <w:rFonts w:cs="Times New Roman"/>
          <w:lang w:val="fr-CA" w:bidi="en-US"/>
        </w:rPr>
        <w:t>, savaient que l’appel d’une question de droit était possible. De plus, bien que l’irrévocabilité de la sentence arbitrale constitue un facteur important dans l’exercice du pouvoir discrétionnaire, lorsqu’« une question de droit importante est soulevée et qu’il y a risque d’erreur judiciaire en cas d’impossibilité d’interjeter appel, l’intégrité du processus exige, du moins dans les circonstances de l’espèce, que le droit d’appel conféré par la loi soit respecté »</w:t>
      </w:r>
      <w:r w:rsidRPr="008F040A">
        <w:rPr>
          <w:rFonts w:cs="Times New Roman"/>
          <w:lang w:val="fr-CA"/>
        </w:rPr>
        <w:t xml:space="preserve"> (par. </w:t>
      </w:r>
      <w:r w:rsidRPr="008F040A">
        <w:rPr>
          <w:rFonts w:cs="Times New Roman"/>
          <w:lang w:val="fr-CA" w:bidi="en-US"/>
        </w:rPr>
        <w:t>29).</w:t>
      </w:r>
    </w:p>
    <w:p w:rsidR="00EC1E65" w:rsidRPr="008F040A" w:rsidRDefault="00EC1E65" w:rsidP="00EC1E65">
      <w:pPr>
        <w:pStyle w:val="Title2LevelTitre2Niveau"/>
        <w:jc w:val="both"/>
        <w:rPr>
          <w:rFonts w:cs="Times New Roman"/>
          <w:lang w:val="fr-CA"/>
        </w:rPr>
      </w:pPr>
      <w:bookmarkStart w:id="37" w:name="_Toc388713973"/>
      <w:bookmarkStart w:id="38" w:name="_Toc389040895"/>
      <w:bookmarkStart w:id="39" w:name="_Toc389781705"/>
      <w:bookmarkStart w:id="40" w:name="_Toc390243236"/>
      <w:bookmarkStart w:id="41" w:name="_Toc390339563"/>
      <w:bookmarkStart w:id="42" w:name="_Toc390440397"/>
      <w:bookmarkStart w:id="43" w:name="_Toc390605538"/>
      <w:bookmarkStart w:id="44" w:name="_Toc390614574"/>
      <w:bookmarkStart w:id="45" w:name="_Toc394565827"/>
      <w:r w:rsidRPr="008F040A">
        <w:rPr>
          <w:rFonts w:cs="Times New Roman"/>
          <w:lang w:val="fr-CA"/>
        </w:rPr>
        <w:t>Cour suprême de la Colombie</w:t>
      </w:r>
      <w:r w:rsidRPr="008F040A">
        <w:rPr>
          <w:rFonts w:cs="Times New Roman"/>
          <w:lang w:val="fr-CA"/>
        </w:rPr>
        <w:noBreakHyphen/>
        <w:t>Britannique — décision sur l’appel, 2011 BCSC 597</w:t>
      </w:r>
      <w:bookmarkEnd w:id="37"/>
      <w:bookmarkEnd w:id="38"/>
      <w:bookmarkEnd w:id="39"/>
      <w:bookmarkEnd w:id="40"/>
      <w:bookmarkEnd w:id="41"/>
      <w:bookmarkEnd w:id="42"/>
      <w:bookmarkEnd w:id="43"/>
      <w:bookmarkEnd w:id="44"/>
      <w:bookmarkEnd w:id="45"/>
    </w:p>
    <w:p w:rsidR="00EC1E65" w:rsidRPr="008F040A" w:rsidRDefault="00EC1E65" w:rsidP="00EC1E65">
      <w:pPr>
        <w:pStyle w:val="ParaNoNdepar-AltN"/>
        <w:rPr>
          <w:rFonts w:cs="Times New Roman"/>
          <w:lang w:val="fr-CA"/>
        </w:rPr>
      </w:pPr>
      <w:r w:rsidRPr="008F040A">
        <w:rPr>
          <w:rFonts w:cs="Times New Roman"/>
          <w:lang w:val="fr-CA"/>
        </w:rPr>
        <w:t xml:space="preserve">Le juge Armstrong a contrôlé la sentence arbitrale selon la norme de la décision correcte. Il a rejeté l’appel et conclu que l’interprétation de l’entente proposée par l’arbitre était correcte.  </w:t>
      </w:r>
    </w:p>
    <w:p w:rsidR="00EC1E65" w:rsidRPr="008F040A" w:rsidRDefault="00EC1E65" w:rsidP="00EC1E65">
      <w:pPr>
        <w:pStyle w:val="ParaNoNdepar-AltN"/>
        <w:rPr>
          <w:rFonts w:cs="Times New Roman"/>
          <w:lang w:val="fr-CA"/>
        </w:rPr>
      </w:pPr>
      <w:r w:rsidRPr="008F040A">
        <w:rPr>
          <w:rFonts w:cs="Times New Roman"/>
          <w:lang w:val="fr-CA"/>
        </w:rPr>
        <w:t xml:space="preserve">Le juge Armstrong estimait que, selon le sens ordinaire de l’entente, les honoraires de 1,5 million $US devaient être versés en actions, à raison de 0,15 $ l’unité. Il n’estimait pas une telle interprétation absurde du simple fait que le cours de l’action à la date du versement des honoraires était supérieur à celui déterminé suivant la </w:t>
      </w:r>
      <w:r w:rsidRPr="008F040A">
        <w:rPr>
          <w:rFonts w:cs="Times New Roman"/>
          <w:lang w:val="fr-CA"/>
        </w:rPr>
        <w:lastRenderedPageBreak/>
        <w:t>définition du cours. Selon lui, avec le temps, la fluctuation des cours est inévitable</w:t>
      </w:r>
      <w:r>
        <w:rPr>
          <w:rFonts w:cs="Times New Roman"/>
          <w:lang w:val="fr-CA"/>
        </w:rPr>
        <w:t>,</w:t>
      </w:r>
      <w:r w:rsidRPr="008F040A">
        <w:rPr>
          <w:rFonts w:cs="Times New Roman"/>
          <w:lang w:val="fr-CA"/>
        </w:rPr>
        <w:t xml:space="preserve"> et dès lors qu’elles ont prévu la possibilité du versement des honoraires en actions, les parties, des entreprises averties, devaient raisonnablement s’attendre à la fluctuation du marché. De l’avis du juge Armstrong, c’est d’ailleurs à cause de cette fluctuation qu’il faut indiquer une date précise qui servira à déterminer la valeur de l’action avant le versement. Il est arrivé à la conclusion que pour ce faire, le « cours » était défini dans l’entente et que le montant des honoraires demeurait 1,5 million $US, à payer sous forme d’actions à raison de 0,15 $ l’unité, cette valeur étant établie suivant la définition du cours, sans égard à la valeur de l’action à la date du versement des honoraires. </w:t>
      </w:r>
    </w:p>
    <w:p w:rsidR="00EC1E65" w:rsidRPr="008F040A" w:rsidRDefault="00EC1E65" w:rsidP="00EC1E65">
      <w:pPr>
        <w:pStyle w:val="ParaNoNdepar-AltN"/>
        <w:rPr>
          <w:rFonts w:cs="Times New Roman"/>
          <w:lang w:val="fr-CA"/>
        </w:rPr>
      </w:pPr>
      <w:r w:rsidRPr="008F040A">
        <w:rPr>
          <w:rFonts w:cs="Times New Roman"/>
          <w:lang w:val="fr-CA"/>
        </w:rPr>
        <w:t>Selon le juge Armstrong, il était prévisible que le cours de l’action à la date du versement soit supérieur à celui établi conformément à la définition du cours et il s’agissait là d’une [</w:t>
      </w:r>
      <w:r w:rsidRPr="008F040A">
        <w:rPr>
          <w:rFonts w:cs="Times New Roman"/>
          <w:smallCaps/>
          <w:lang w:val="fr-CA"/>
        </w:rPr>
        <w:t>traduction</w:t>
      </w:r>
      <w:r w:rsidRPr="008F040A">
        <w:rPr>
          <w:rFonts w:cs="Times New Roman"/>
          <w:lang w:val="fr-CA"/>
        </w:rPr>
        <w:t xml:space="preserve">] « conséquence naturelle de l’entente relative aux honoraires d’intermédiation » (par. 62). Il était d’avis que le risque était assumé par Sattva, puisque le prix de l’action pouvait certes augmenter, mais il pouvait aussi diminuer, de sorte que Sattva aurait alors reçu un portefeuille d’actions d’une valeur inférieure au montant des honoraires (1,5 million $US) qui avait été convenu. </w:t>
      </w:r>
    </w:p>
    <w:p w:rsidR="00EC1E65" w:rsidRPr="008F040A" w:rsidRDefault="00EC1E65" w:rsidP="00EC1E65">
      <w:pPr>
        <w:pStyle w:val="ParaNoNdepar-AltN"/>
        <w:rPr>
          <w:rFonts w:cs="Times New Roman"/>
          <w:lang w:val="fr-CA"/>
        </w:rPr>
      </w:pPr>
      <w:r w:rsidRPr="008F040A">
        <w:rPr>
          <w:rFonts w:cs="Times New Roman"/>
          <w:lang w:val="fr-CA"/>
        </w:rPr>
        <w:t xml:space="preserve">Le juge Armstrong était d’avis que l’interprétation de l’arbitre, laquelle donnait effet à la définition du cours et à la stipulation relative au « plafond », était préférable à celle de Creston, qui faisait fi de la définition du cours. </w:t>
      </w:r>
    </w:p>
    <w:p w:rsidR="00EC1E65" w:rsidRPr="008F040A" w:rsidRDefault="00EC1E65" w:rsidP="00EC1E65">
      <w:pPr>
        <w:pStyle w:val="ParaNoNdepar-AltN"/>
        <w:rPr>
          <w:rFonts w:cs="Times New Roman"/>
          <w:lang w:val="fr-CA"/>
        </w:rPr>
      </w:pPr>
      <w:r w:rsidRPr="008F040A">
        <w:rPr>
          <w:rFonts w:cs="Times New Roman"/>
          <w:lang w:val="fr-CA"/>
        </w:rPr>
        <w:t xml:space="preserve">En réponse à l’argument de Creston selon lequel l’arbitre n’avait pas examiné l’art. 3.1 de l’entente, qui contient la stipulation relative au « plafond », le juge </w:t>
      </w:r>
      <w:r w:rsidRPr="008F040A">
        <w:rPr>
          <w:rFonts w:cs="Times New Roman"/>
          <w:lang w:val="fr-CA"/>
        </w:rPr>
        <w:lastRenderedPageBreak/>
        <w:t xml:space="preserve">Armstrong a souligné que l’arbitre avait fait expressément référence à cette stipulation au par. 23 de la sentence arbitrale. </w:t>
      </w:r>
    </w:p>
    <w:p w:rsidR="00EC1E65" w:rsidRPr="008F040A" w:rsidRDefault="00EC1E65" w:rsidP="00EC1E65">
      <w:pPr>
        <w:pStyle w:val="Title2LevelTitre2Niveau"/>
        <w:jc w:val="both"/>
        <w:rPr>
          <w:rFonts w:cs="Times New Roman"/>
          <w:lang w:val="fr-CA"/>
        </w:rPr>
      </w:pPr>
      <w:bookmarkStart w:id="46" w:name="_Toc388713974"/>
      <w:bookmarkStart w:id="47" w:name="_Toc389040896"/>
      <w:bookmarkStart w:id="48" w:name="_Toc389781706"/>
      <w:bookmarkStart w:id="49" w:name="_Toc390243237"/>
      <w:bookmarkStart w:id="50" w:name="_Toc390339564"/>
      <w:bookmarkStart w:id="51" w:name="_Toc390440398"/>
      <w:bookmarkStart w:id="52" w:name="_Toc390605539"/>
      <w:bookmarkStart w:id="53" w:name="_Toc390614575"/>
      <w:bookmarkStart w:id="54" w:name="_Toc394565828"/>
      <w:r w:rsidRPr="008F040A">
        <w:rPr>
          <w:rFonts w:cs="Times New Roman"/>
          <w:lang w:val="fr-CA"/>
        </w:rPr>
        <w:t>Cour d’appel de la Colombie</w:t>
      </w:r>
      <w:r w:rsidRPr="008F040A">
        <w:rPr>
          <w:rFonts w:cs="Times New Roman"/>
          <w:lang w:val="fr-CA"/>
        </w:rPr>
        <w:noBreakHyphen/>
        <w:t xml:space="preserve">Britannique </w:t>
      </w:r>
      <w:r>
        <w:rPr>
          <w:rFonts w:cs="Times New Roman"/>
          <w:lang w:val="fr-CA"/>
        </w:rPr>
        <w:t>—</w:t>
      </w:r>
      <w:r w:rsidRPr="008F040A">
        <w:rPr>
          <w:rFonts w:cs="Times New Roman"/>
          <w:lang w:val="fr-CA"/>
        </w:rPr>
        <w:t xml:space="preserve"> décision sur l’appel, 2012 BCCA 329</w:t>
      </w:r>
      <w:bookmarkEnd w:id="46"/>
      <w:bookmarkEnd w:id="47"/>
      <w:bookmarkEnd w:id="48"/>
      <w:bookmarkEnd w:id="49"/>
      <w:bookmarkEnd w:id="50"/>
      <w:bookmarkEnd w:id="51"/>
      <w:bookmarkEnd w:id="52"/>
      <w:bookmarkEnd w:id="53"/>
      <w:bookmarkEnd w:id="54"/>
    </w:p>
    <w:p w:rsidR="00EC1E65" w:rsidRPr="008F040A" w:rsidRDefault="00EC1E65" w:rsidP="00EC1E65">
      <w:pPr>
        <w:pStyle w:val="ParaNoNdepar-AltN"/>
        <w:rPr>
          <w:rFonts w:cs="Times New Roman"/>
          <w:lang w:val="fr-CA"/>
        </w:rPr>
      </w:pPr>
      <w:r>
        <w:rPr>
          <w:rFonts w:cs="Times New Roman"/>
          <w:lang w:val="fr-CA"/>
        </w:rPr>
        <w:t>La C</w:t>
      </w:r>
      <w:r w:rsidRPr="008F040A">
        <w:rPr>
          <w:rFonts w:cs="Times New Roman"/>
          <w:lang w:val="fr-CA"/>
        </w:rPr>
        <w:t xml:space="preserve">our d’appel a accueilli l’appel de Creston et a statué que la somme de 1,5 million $US versée par Creston en faveur de Sattva en exécution de la sentence arbitrale constituait le paiement intégral des honoraires d’intermédiation. La cour a contrôlé la sentence arbitrale suivant la norme de la décision correcte. </w:t>
      </w:r>
    </w:p>
    <w:p w:rsidR="00EC1E65" w:rsidRPr="008F040A" w:rsidRDefault="00EC1E65" w:rsidP="00EC1E65">
      <w:pPr>
        <w:pStyle w:val="ParaNoNdepar-AltN"/>
        <w:rPr>
          <w:rFonts w:cs="Times New Roman"/>
          <w:lang w:val="fr-CA"/>
        </w:rPr>
      </w:pPr>
      <w:r w:rsidRPr="008F040A">
        <w:rPr>
          <w:rFonts w:cs="Times New Roman"/>
          <w:lang w:val="fr-CA"/>
        </w:rPr>
        <w:t>La formation de la CA saisie de l’appel s</w:t>
      </w:r>
      <w:r>
        <w:rPr>
          <w:rFonts w:cs="Times New Roman"/>
          <w:lang w:val="fr-CA"/>
        </w:rPr>
        <w:t>’estimait liée, de même que la C</w:t>
      </w:r>
      <w:r w:rsidRPr="008F040A">
        <w:rPr>
          <w:rFonts w:cs="Times New Roman"/>
          <w:lang w:val="fr-CA"/>
        </w:rPr>
        <w:t xml:space="preserve">our suprême, par deux conclusions tirées par la formation de la CA saisie de la demande d’autorisation, à savoir : 1º il serait incongru que l’entente permette à Sattva, si elle opte pour le versement de ses honoraires en argent, de toucher 1,5 million $US alors que, si elle opte pour le versement sous forme d’actions, elle recevra un portefeuille valant environ 8 millions $ et 2º l’arbitre n’a pas tenu compte de cette anomalie et a fait fi de l’art. 3.1 de l’entente. </w:t>
      </w:r>
    </w:p>
    <w:p w:rsidR="00EC1E65" w:rsidRPr="008F040A" w:rsidRDefault="00EC1E65" w:rsidP="00EC1E65">
      <w:pPr>
        <w:pStyle w:val="ParaNoNdepar-AltN"/>
        <w:rPr>
          <w:rFonts w:cs="Times New Roman"/>
          <w:lang w:val="fr-CA"/>
        </w:rPr>
      </w:pPr>
      <w:r>
        <w:rPr>
          <w:rFonts w:cs="Times New Roman"/>
          <w:lang w:val="fr-CA"/>
        </w:rPr>
        <w:t>Selon la C</w:t>
      </w:r>
      <w:r w:rsidRPr="008F040A">
        <w:rPr>
          <w:rFonts w:cs="Times New Roman"/>
          <w:lang w:val="fr-CA"/>
        </w:rPr>
        <w:t>our d’appel, conclure que Sattva avait droit à des honoraires d’intermédiation de 8 millions $ menait à un résultat absurde, étant donné la stipulation de l’entente relative au « plafond », qui limite le montant de tels honoraires à 1,5 million $US. La cour était d’avis qu’il faudrait donner l’effet prépondérant à cette stipulation qui limite à 1,5 million $US les honoraires [</w:t>
      </w:r>
      <w:r w:rsidRPr="008F040A">
        <w:rPr>
          <w:rFonts w:cs="Times New Roman"/>
          <w:smallCaps/>
          <w:lang w:val="fr-CA"/>
        </w:rPr>
        <w:t>traduction</w:t>
      </w:r>
      <w:r w:rsidRPr="008F040A">
        <w:rPr>
          <w:rFonts w:cs="Times New Roman"/>
          <w:lang w:val="fr-CA"/>
        </w:rPr>
        <w:t xml:space="preserve">] « à la date de leur versement » (par. 47). Elle était d’avis que donner effet à la définition du cours ne </w:t>
      </w:r>
      <w:r w:rsidRPr="008F040A">
        <w:rPr>
          <w:rFonts w:cs="Times New Roman"/>
          <w:lang w:val="fr-CA"/>
        </w:rPr>
        <w:lastRenderedPageBreak/>
        <w:t>saurait avoir été l’intention des parties, et ce n’était pas non plus une décision sensée sur le plan commercial. </w:t>
      </w:r>
    </w:p>
    <w:p w:rsidR="00EC1E65" w:rsidRPr="008F040A" w:rsidRDefault="00EC1E65" w:rsidP="00EC1E65">
      <w:pPr>
        <w:pStyle w:val="Title1LevelTitre1Niveau-AltL"/>
        <w:rPr>
          <w:rFonts w:cs="Times New Roman"/>
          <w:lang w:val="fr-CA"/>
        </w:rPr>
      </w:pPr>
      <w:bookmarkStart w:id="55" w:name="_Toc394565829"/>
      <w:r w:rsidRPr="008F040A">
        <w:rPr>
          <w:rFonts w:cs="Times New Roman"/>
          <w:lang w:val="fr-CA"/>
        </w:rPr>
        <w:t>Questions en litige</w:t>
      </w:r>
      <w:bookmarkEnd w:id="55"/>
    </w:p>
    <w:p w:rsidR="00EC1E65" w:rsidRPr="008F040A" w:rsidRDefault="00EC1E65" w:rsidP="00EC1E65">
      <w:pPr>
        <w:pStyle w:val="ParaNoNdepar-AltN"/>
        <w:rPr>
          <w:rFonts w:cs="Times New Roman"/>
          <w:lang w:val="fr-CA"/>
        </w:rPr>
      </w:pPr>
      <w:r w:rsidRPr="008F040A">
        <w:rPr>
          <w:rFonts w:cs="Times New Roman"/>
          <w:lang w:val="fr-CA"/>
        </w:rPr>
        <w:t xml:space="preserve">Les questions suivantes sont soulevées dans le présent pourvoi :  </w:t>
      </w:r>
    </w:p>
    <w:p w:rsidR="00EC1E65" w:rsidRPr="008F040A" w:rsidRDefault="00EC1E65" w:rsidP="00EC1E65">
      <w:pPr>
        <w:pStyle w:val="Citation-AltC"/>
        <w:numPr>
          <w:ilvl w:val="4"/>
          <w:numId w:val="6"/>
        </w:numPr>
        <w:spacing w:after="480" w:line="480" w:lineRule="auto"/>
        <w:ind w:left="1170" w:hanging="1170"/>
        <w:contextualSpacing w:val="0"/>
        <w:rPr>
          <w:lang w:val="fr-CA"/>
        </w:rPr>
      </w:pPr>
      <w:r w:rsidRPr="008F040A">
        <w:rPr>
          <w:lang w:val="fr-CA"/>
        </w:rPr>
        <w:t>La Cour a</w:t>
      </w:r>
      <w:r w:rsidRPr="008F040A">
        <w:rPr>
          <w:lang w:val="fr-CA"/>
        </w:rPr>
        <w:noBreakHyphen/>
        <w:t>t</w:t>
      </w:r>
      <w:r w:rsidRPr="008F040A">
        <w:rPr>
          <w:lang w:val="fr-CA"/>
        </w:rPr>
        <w:noBreakHyphen/>
        <w:t xml:space="preserve">elle été saisie à bon droit </w:t>
      </w:r>
      <w:r>
        <w:rPr>
          <w:lang w:val="fr-CA"/>
        </w:rPr>
        <w:t>de la question de savoir si la C</w:t>
      </w:r>
      <w:r w:rsidRPr="008F040A">
        <w:rPr>
          <w:lang w:val="fr-CA"/>
        </w:rPr>
        <w:t>our d’appel a commis une erreur en autorisant l’appel en vertu du par. 31(2) de l’</w:t>
      </w:r>
      <w:r w:rsidRPr="008F040A">
        <w:rPr>
          <w:i/>
          <w:lang w:val="fr-CA"/>
        </w:rPr>
        <w:t>AA</w:t>
      </w:r>
      <w:r w:rsidRPr="008F040A">
        <w:rPr>
          <w:lang w:val="fr-CA"/>
        </w:rPr>
        <w:t>?</w:t>
      </w:r>
    </w:p>
    <w:p w:rsidR="00EC1E65" w:rsidRPr="008F040A" w:rsidRDefault="00EC1E65" w:rsidP="00EC1E65">
      <w:pPr>
        <w:pStyle w:val="Citation-AltC"/>
        <w:numPr>
          <w:ilvl w:val="4"/>
          <w:numId w:val="6"/>
        </w:numPr>
        <w:spacing w:after="480" w:line="480" w:lineRule="auto"/>
        <w:ind w:left="1170" w:hanging="1170"/>
        <w:contextualSpacing w:val="0"/>
        <w:rPr>
          <w:lang w:val="fr-CA"/>
        </w:rPr>
      </w:pPr>
      <w:r>
        <w:rPr>
          <w:lang w:val="fr-CA"/>
        </w:rPr>
        <w:t>La C</w:t>
      </w:r>
      <w:r w:rsidRPr="008F040A">
        <w:rPr>
          <w:lang w:val="fr-CA"/>
        </w:rPr>
        <w:t>our d’appel a</w:t>
      </w:r>
      <w:r w:rsidRPr="008F040A">
        <w:rPr>
          <w:lang w:val="fr-CA"/>
        </w:rPr>
        <w:noBreakHyphen/>
        <w:t>t</w:t>
      </w:r>
      <w:r w:rsidRPr="008F040A">
        <w:rPr>
          <w:lang w:val="fr-CA"/>
        </w:rPr>
        <w:noBreakHyphen/>
        <w:t>elle commis une erreur en autorisant l’appel en vertu du par. 31(2) de l’</w:t>
      </w:r>
      <w:r w:rsidRPr="008F040A">
        <w:rPr>
          <w:i/>
          <w:lang w:val="fr-CA"/>
        </w:rPr>
        <w:t>AA</w:t>
      </w:r>
      <w:r w:rsidRPr="008F040A">
        <w:rPr>
          <w:lang w:val="fr-CA"/>
        </w:rPr>
        <w:t>?</w:t>
      </w:r>
    </w:p>
    <w:p w:rsidR="00EC1E65" w:rsidRPr="008F040A" w:rsidRDefault="00EC1E65" w:rsidP="00EC1E65">
      <w:pPr>
        <w:pStyle w:val="Citation-AltC"/>
        <w:numPr>
          <w:ilvl w:val="4"/>
          <w:numId w:val="6"/>
        </w:numPr>
        <w:spacing w:after="480" w:line="480" w:lineRule="auto"/>
        <w:ind w:left="1170" w:hanging="1170"/>
        <w:contextualSpacing w:val="0"/>
        <w:rPr>
          <w:lang w:val="fr-CA"/>
        </w:rPr>
      </w:pPr>
      <w:r w:rsidRPr="008F040A">
        <w:rPr>
          <w:lang w:val="fr-CA"/>
        </w:rPr>
        <w:t>Si l’autorisation a été accordée à bon droit, quelle norme de contrôle convient</w:t>
      </w:r>
      <w:r w:rsidRPr="008F040A">
        <w:rPr>
          <w:lang w:val="fr-CA"/>
        </w:rPr>
        <w:noBreakHyphen/>
        <w:t>il d’appliquer aux sentences arbitrales commerciales rendues sous le régime de l’</w:t>
      </w:r>
      <w:r w:rsidRPr="008F040A">
        <w:rPr>
          <w:i/>
          <w:lang w:val="fr-CA"/>
        </w:rPr>
        <w:t>AA</w:t>
      </w:r>
      <w:r w:rsidRPr="008F040A">
        <w:rPr>
          <w:lang w:val="fr-CA"/>
        </w:rPr>
        <w:t>?</w:t>
      </w:r>
    </w:p>
    <w:p w:rsidR="00EC1E65" w:rsidRPr="008F040A" w:rsidRDefault="00EC1E65" w:rsidP="00EC1E65">
      <w:pPr>
        <w:pStyle w:val="Citation-AltC"/>
        <w:numPr>
          <w:ilvl w:val="4"/>
          <w:numId w:val="6"/>
        </w:numPr>
        <w:spacing w:after="480" w:line="480" w:lineRule="auto"/>
        <w:ind w:left="1170" w:hanging="1170"/>
        <w:contextualSpacing w:val="0"/>
        <w:rPr>
          <w:lang w:val="fr-CA"/>
        </w:rPr>
      </w:pPr>
      <w:r w:rsidRPr="008F040A">
        <w:rPr>
          <w:lang w:val="fr-CA"/>
        </w:rPr>
        <w:t>L’arbitre a</w:t>
      </w:r>
      <w:r w:rsidRPr="008F040A">
        <w:rPr>
          <w:lang w:val="fr-CA"/>
        </w:rPr>
        <w:noBreakHyphen/>
        <w:t>t</w:t>
      </w:r>
      <w:r w:rsidRPr="008F040A">
        <w:rPr>
          <w:lang w:val="fr-CA"/>
        </w:rPr>
        <w:noBreakHyphen/>
        <w:t>il donné une interprétation raisonnable de l’entente dans son ensemble?</w:t>
      </w:r>
    </w:p>
    <w:p w:rsidR="00EC1E65" w:rsidRPr="008F040A" w:rsidRDefault="00EC1E65" w:rsidP="00EC1E65">
      <w:pPr>
        <w:pStyle w:val="Citation-AltC"/>
        <w:numPr>
          <w:ilvl w:val="4"/>
          <w:numId w:val="6"/>
        </w:numPr>
        <w:spacing w:after="480" w:line="480" w:lineRule="auto"/>
        <w:ind w:left="1170" w:hanging="1170"/>
        <w:contextualSpacing w:val="0"/>
        <w:rPr>
          <w:lang w:val="fr-CA"/>
        </w:rPr>
      </w:pPr>
      <w:r>
        <w:rPr>
          <w:lang w:val="fr-CA"/>
        </w:rPr>
        <w:t>La C</w:t>
      </w:r>
      <w:r w:rsidRPr="008F040A">
        <w:rPr>
          <w:lang w:val="fr-CA"/>
        </w:rPr>
        <w:t>our d’appel a</w:t>
      </w:r>
      <w:r w:rsidRPr="008F040A">
        <w:rPr>
          <w:lang w:val="fr-CA"/>
        </w:rPr>
        <w:noBreakHyphen/>
        <w:t>t</w:t>
      </w:r>
      <w:r w:rsidRPr="008F040A">
        <w:rPr>
          <w:lang w:val="fr-CA"/>
        </w:rPr>
        <w:noBreakHyphen/>
        <w:t>elle commis une erreur en s’estimant liée par les remarques formulées par la formation de la CA saisie de la demande d’autorisation au sujet du bien</w:t>
      </w:r>
      <w:r w:rsidRPr="008F040A">
        <w:rPr>
          <w:lang w:val="fr-CA"/>
        </w:rPr>
        <w:noBreakHyphen/>
        <w:t>fondé de l’appel?</w:t>
      </w:r>
    </w:p>
    <w:p w:rsidR="00EC1E65" w:rsidRPr="008F040A" w:rsidRDefault="00EC1E65" w:rsidP="00EC1E65">
      <w:pPr>
        <w:pStyle w:val="Title1LevelTitre1Niveau-AltL"/>
        <w:rPr>
          <w:rFonts w:cs="Times New Roman"/>
          <w:lang w:val="fr-CA"/>
        </w:rPr>
      </w:pPr>
      <w:bookmarkStart w:id="56" w:name="_Toc388713976"/>
      <w:bookmarkStart w:id="57" w:name="_Toc389040898"/>
      <w:bookmarkStart w:id="58" w:name="_Toc389781708"/>
      <w:bookmarkStart w:id="59" w:name="_Toc390243239"/>
      <w:bookmarkStart w:id="60" w:name="_Toc390339566"/>
      <w:bookmarkStart w:id="61" w:name="_Toc390440400"/>
      <w:bookmarkStart w:id="62" w:name="_Toc390605541"/>
      <w:bookmarkStart w:id="63" w:name="_Toc390614577"/>
      <w:bookmarkStart w:id="64" w:name="_Toc394565830"/>
      <w:r w:rsidRPr="008F040A">
        <w:rPr>
          <w:rFonts w:cs="Times New Roman"/>
          <w:lang w:val="fr-CA"/>
        </w:rPr>
        <w:lastRenderedPageBreak/>
        <w:t>Analyse</w:t>
      </w:r>
      <w:bookmarkEnd w:id="56"/>
      <w:bookmarkEnd w:id="57"/>
      <w:bookmarkEnd w:id="58"/>
      <w:bookmarkEnd w:id="59"/>
      <w:bookmarkEnd w:id="60"/>
      <w:bookmarkEnd w:id="61"/>
      <w:bookmarkEnd w:id="62"/>
      <w:bookmarkEnd w:id="63"/>
      <w:bookmarkEnd w:id="64"/>
    </w:p>
    <w:p w:rsidR="00EC1E65" w:rsidRPr="008F040A" w:rsidRDefault="00EC1E65" w:rsidP="00EC1E65">
      <w:pPr>
        <w:pStyle w:val="Title2LevelTitre2Niveau"/>
        <w:rPr>
          <w:rFonts w:cs="Times New Roman"/>
          <w:lang w:val="fr-CA"/>
        </w:rPr>
      </w:pPr>
      <w:bookmarkStart w:id="65" w:name="_Toc394565831"/>
      <w:bookmarkStart w:id="66" w:name="_Toc388713977"/>
      <w:bookmarkStart w:id="67" w:name="_Toc389040899"/>
      <w:bookmarkStart w:id="68" w:name="_Toc389781709"/>
      <w:bookmarkStart w:id="69" w:name="_Toc390243240"/>
      <w:bookmarkStart w:id="70" w:name="_Toc390339567"/>
      <w:bookmarkStart w:id="71" w:name="_Toc390440401"/>
      <w:bookmarkStart w:id="72" w:name="_Toc390605542"/>
      <w:bookmarkStart w:id="73" w:name="_Toc390614578"/>
      <w:r w:rsidRPr="008F040A">
        <w:rPr>
          <w:rFonts w:cs="Times New Roman"/>
          <w:lang w:val="fr-CA"/>
        </w:rPr>
        <w:t>Notre Cour est saisie à bon droit de la question de l’autorisation</w:t>
      </w:r>
      <w:bookmarkEnd w:id="65"/>
      <w:r w:rsidRPr="008F040A">
        <w:rPr>
          <w:rFonts w:cs="Times New Roman"/>
          <w:lang w:val="fr-CA"/>
        </w:rPr>
        <w:t xml:space="preserve"> </w:t>
      </w:r>
      <w:bookmarkEnd w:id="66"/>
      <w:bookmarkEnd w:id="67"/>
      <w:bookmarkEnd w:id="68"/>
      <w:bookmarkEnd w:id="69"/>
      <w:bookmarkEnd w:id="70"/>
      <w:bookmarkEnd w:id="71"/>
      <w:bookmarkEnd w:id="72"/>
      <w:bookmarkEnd w:id="73"/>
    </w:p>
    <w:p w:rsidR="00EC1E65" w:rsidRPr="008F040A" w:rsidRDefault="00EC1E65" w:rsidP="00EC1E65">
      <w:pPr>
        <w:pStyle w:val="ParaNoNdepar-AltN"/>
        <w:rPr>
          <w:rFonts w:cs="Times New Roman"/>
          <w:lang w:val="fr-CA" w:eastAsia="en-CA"/>
        </w:rPr>
      </w:pPr>
      <w:r w:rsidRPr="008F040A">
        <w:rPr>
          <w:rFonts w:cs="Times New Roman"/>
          <w:lang w:val="fr-CA" w:eastAsia="en-CA"/>
        </w:rPr>
        <w:t>S</w:t>
      </w:r>
      <w:r>
        <w:rPr>
          <w:rFonts w:cs="Times New Roman"/>
          <w:lang w:val="fr-CA" w:eastAsia="en-CA"/>
        </w:rPr>
        <w:t>attva prétend notamment que la C</w:t>
      </w:r>
      <w:r w:rsidRPr="008F040A">
        <w:rPr>
          <w:rFonts w:cs="Times New Roman"/>
          <w:lang w:val="fr-CA" w:eastAsia="en-CA"/>
        </w:rPr>
        <w:t>our d’appel a commis une erreur en accordant l’autorisation d’interjeter appel de la sent</w:t>
      </w:r>
      <w:r>
        <w:rPr>
          <w:rFonts w:cs="Times New Roman"/>
          <w:lang w:val="fr-CA" w:eastAsia="en-CA"/>
        </w:rPr>
        <w:t>ence arbitrale. Selon elle, la C</w:t>
      </w:r>
      <w:r w:rsidRPr="008F040A">
        <w:rPr>
          <w:rFonts w:cs="Times New Roman"/>
          <w:lang w:val="fr-CA" w:eastAsia="en-CA"/>
        </w:rPr>
        <w:t>our d’appel n’a cerné aucune question de droit, alors que l’autorisation est subordonnée à l’existence d’une telle question, aux termes du par. 31(2) de l’</w:t>
      </w:r>
      <w:r w:rsidRPr="008F040A">
        <w:rPr>
          <w:rFonts w:cs="Times New Roman"/>
          <w:i/>
          <w:lang w:val="fr-CA" w:eastAsia="en-CA"/>
        </w:rPr>
        <w:t>AA</w:t>
      </w:r>
      <w:r w:rsidRPr="008F040A">
        <w:rPr>
          <w:rFonts w:cs="Times New Roman"/>
          <w:lang w:val="fr-CA" w:eastAsia="en-CA"/>
        </w:rPr>
        <w:t>. Creston soutient que la Cour n’est pas saisie à bon droit de cette question et avance deux arguments à l’appui de sa position.</w:t>
      </w:r>
    </w:p>
    <w:p w:rsidR="00EC1E65" w:rsidRPr="008F040A" w:rsidRDefault="00EC1E65" w:rsidP="00EC1E65">
      <w:pPr>
        <w:pStyle w:val="ParaNoNdepar-AltN"/>
        <w:rPr>
          <w:rFonts w:cs="Times New Roman"/>
          <w:szCs w:val="24"/>
          <w:lang w:val="fr-CA" w:eastAsia="en-CA"/>
        </w:rPr>
      </w:pPr>
      <w:r w:rsidRPr="008F040A">
        <w:rPr>
          <w:rFonts w:cs="Times New Roman"/>
          <w:szCs w:val="24"/>
          <w:lang w:val="fr-CA" w:eastAsia="en-CA"/>
        </w:rPr>
        <w:t xml:space="preserve">Premièrement, Creston fait valoir que cette question n’était pas soulevée dans la demande d’autorisation d’appel que Sattva a présentée à la Cour. Cet argument ne saurait tenir. À moins que la Cour n’impose des restrictions dans l’ordonnance accordant l’autorisation, cette ordonnance est de « portée générale ». Par conséquent, l’appelant peut soulever en appel une question qui n’était pas énoncée dans la demande d’autorisation. La Cour peut toutefois exercer son pouvoir discrétionnaire et refuser de trancher une question qui n’a pas été abordée par les tribunaux d’instance inférieure, s’il en résulte un préjudice pour l’intimé, ou si, pour toute autre raison, elle juge opportun de ne pas la trancher.  </w:t>
      </w:r>
    </w:p>
    <w:p w:rsidR="00EC1E65" w:rsidRPr="008F040A" w:rsidRDefault="00EC1E65" w:rsidP="00EC1E65">
      <w:pPr>
        <w:pStyle w:val="ParaNoNdepar-AltN"/>
        <w:rPr>
          <w:rFonts w:cs="Times New Roman"/>
          <w:szCs w:val="24"/>
          <w:lang w:val="fr-CA" w:eastAsia="en-CA"/>
        </w:rPr>
      </w:pPr>
      <w:r w:rsidRPr="008F040A">
        <w:rPr>
          <w:rFonts w:cs="Times New Roman"/>
          <w:szCs w:val="24"/>
          <w:lang w:val="fr-CA" w:eastAsia="en-CA"/>
        </w:rPr>
        <w:t xml:space="preserve">En l’espèce, l’ordonnance accordant l’autorisation d’interjeter </w:t>
      </w:r>
      <w:r>
        <w:rPr>
          <w:rFonts w:cs="Times New Roman"/>
          <w:szCs w:val="24"/>
          <w:lang w:val="fr-CA" w:eastAsia="en-CA"/>
        </w:rPr>
        <w:t>appel des deux décisions de la C</w:t>
      </w:r>
      <w:r w:rsidRPr="008F040A">
        <w:rPr>
          <w:rFonts w:cs="Times New Roman"/>
          <w:szCs w:val="24"/>
          <w:lang w:val="fr-CA" w:eastAsia="en-CA"/>
        </w:rPr>
        <w:t xml:space="preserve">our d’appel, sur la demande d’autorisation d’appel et sur l’appel, ne comportait aucune restriction (2013 CanLII 11315). La question — à savoir si </w:t>
      </w:r>
      <w:r w:rsidRPr="008F040A">
        <w:rPr>
          <w:rFonts w:cs="Times New Roman"/>
          <w:szCs w:val="24"/>
          <w:lang w:val="fr-CA" w:eastAsia="en-CA"/>
        </w:rPr>
        <w:lastRenderedPageBreak/>
        <w:t xml:space="preserve">l’appel proposé soulevait une question de droit — a été expressément débattue devant les formations de la CS et de la CA saisies de la demande d’autorisation, qui l’ont tranchée. Rien n’empêche Sattva de soulever cette question en appel, même si elle ne l’a pas mentionnée dans la demande d’autorisation d’appel qu’elle a présentée à la Cour. </w:t>
      </w:r>
    </w:p>
    <w:p w:rsidR="00EC1E65" w:rsidRPr="008F040A" w:rsidRDefault="00EC1E65" w:rsidP="00EC1E65">
      <w:pPr>
        <w:pStyle w:val="ParaNoNdepar-AltN"/>
        <w:rPr>
          <w:rFonts w:cs="Times New Roman"/>
          <w:lang w:val="fr-CA"/>
        </w:rPr>
      </w:pPr>
      <w:r w:rsidRPr="008F040A">
        <w:rPr>
          <w:rFonts w:cs="Times New Roman"/>
          <w:lang w:val="fr-CA"/>
        </w:rPr>
        <w:t>Deuxièmement, Creston soutient que la Cour n’a pas été saisie à bon droit de la question de savoir si la formation de la CA saisie de la demande d’autorisation a cerné une question de droit parce que Sattva n’a pas contesté la décision rendue à ce sujet devant tous les tribunaux d’instance inférieure. Plus précisément, aux dires de Creston, Sattva n’aurait pas fait valoir devant la formation de la CS saisie de l’appel que l’appel soulevait une question mixte de fait et de dro</w:t>
      </w:r>
      <w:r>
        <w:rPr>
          <w:rFonts w:cs="Times New Roman"/>
          <w:lang w:val="fr-CA"/>
        </w:rPr>
        <w:t>it et aurait reconnu devant la C</w:t>
      </w:r>
      <w:r w:rsidRPr="008F040A">
        <w:rPr>
          <w:rFonts w:cs="Times New Roman"/>
          <w:lang w:val="fr-CA"/>
        </w:rPr>
        <w:t>our d’appel que l’appel soulevait une question de droit. Un tel argument ne tient pas. Devant la formation de la CS saisie de l’appel, il n’était pas possible pour Sattva de débattre à nouveau de la question de savoir si l’autorisation aurait dû être accordée. La formation de la CS saisie de l’appel était liée par les conclusions tirées par la formation de la CA saisie de la demande d’autorisation, à savoir que l’autorisation était opportune et qu’une question de droit avait été cernée. Ainsi, Sattva ne pouvait guère plaider devant la formation de la CS saisie de l’appel un point sur lequel la formation de la CA saisie de la demande d’autorisation s’était déjà prononcée. Rien dans l’</w:t>
      </w:r>
      <w:r w:rsidRPr="008F040A">
        <w:rPr>
          <w:rFonts w:cs="Times New Roman"/>
          <w:i/>
          <w:lang w:val="fr-CA"/>
        </w:rPr>
        <w:t>AA</w:t>
      </w:r>
      <w:r w:rsidRPr="008F040A">
        <w:rPr>
          <w:rFonts w:cs="Times New Roman"/>
          <w:lang w:val="fr-CA"/>
        </w:rPr>
        <w:t xml:space="preserve"> n’habilite Sattva à interjeter appel de la décision sur la demande d’autorisation d’appel </w:t>
      </w:r>
      <w:r>
        <w:rPr>
          <w:rFonts w:cs="Times New Roman"/>
          <w:lang w:val="fr-CA"/>
        </w:rPr>
        <w:t>rendue par une formation de la C</w:t>
      </w:r>
      <w:r w:rsidRPr="008F040A">
        <w:rPr>
          <w:rFonts w:cs="Times New Roman"/>
          <w:lang w:val="fr-CA"/>
        </w:rPr>
        <w:t xml:space="preserve">our d’appel à une autre formation de la même cour. Ce n’est pas parce que Sattva n’a pas plaidé à nouveau le point devant la formation de la CS saisie de l’appel ou devant la formation de la CA saisie de l’appel qu’elle ne peut le </w:t>
      </w:r>
      <w:r w:rsidRPr="008F040A">
        <w:rPr>
          <w:rFonts w:cs="Times New Roman"/>
          <w:lang w:val="fr-CA"/>
        </w:rPr>
        <w:lastRenderedPageBreak/>
        <w:t xml:space="preserve">soulever devant notre Cour, tout particulièrement étant donné que Sattva a obtenu de notre Cour l’autorisation d’appeler de la décision rendue par la formation de la CA saisie de la demande d’autorisation. </w:t>
      </w:r>
    </w:p>
    <w:p w:rsidR="00EC1E65" w:rsidRPr="008F040A" w:rsidRDefault="00EC1E65" w:rsidP="00EC1E65">
      <w:pPr>
        <w:pStyle w:val="ParaNoNdepar-AltN"/>
        <w:rPr>
          <w:rFonts w:cs="Times New Roman"/>
          <w:lang w:val="fr-CA"/>
        </w:rPr>
      </w:pPr>
      <w:r w:rsidRPr="008F040A">
        <w:rPr>
          <w:rFonts w:cs="Times New Roman"/>
          <w:lang w:val="fr-CA"/>
        </w:rPr>
        <w:t>Ainsi, la Cour peut certes refuser l’autorisation si la question que l’on cherche à soulever devant elle n’a pas été plaidée devant les tribunaux d’instance inférieure, mais ce n’est pas le cas en l’espèce. En l’occurrence, les arguments sur le fondement de la demande d’autorisation d’appel de la sentence arbitrale présentée par Creston</w:t>
      </w:r>
      <w:r>
        <w:rPr>
          <w:rFonts w:cs="Times New Roman"/>
          <w:lang w:val="fr-CA"/>
        </w:rPr>
        <w:t xml:space="preserve"> — </w:t>
      </w:r>
      <w:r w:rsidRPr="008F040A">
        <w:rPr>
          <w:rFonts w:cs="Times New Roman"/>
          <w:lang w:val="fr-CA"/>
        </w:rPr>
        <w:t xml:space="preserve">à savoir si elle soulevait une question de droit ou une question mixte de fait et de droit </w:t>
      </w:r>
      <w:r>
        <w:rPr>
          <w:rFonts w:cs="Times New Roman"/>
          <w:lang w:val="fr-CA"/>
        </w:rPr>
        <w:t>—</w:t>
      </w:r>
      <w:r w:rsidRPr="008F040A">
        <w:rPr>
          <w:rFonts w:cs="Times New Roman"/>
          <w:lang w:val="fr-CA"/>
        </w:rPr>
        <w:t xml:space="preserve"> avaient été plaidés devant les formations saisies des demandes d’autorisation.  </w:t>
      </w:r>
    </w:p>
    <w:p w:rsidR="00EC1E65" w:rsidRPr="008F040A" w:rsidRDefault="00EC1E65" w:rsidP="00EC1E65">
      <w:pPr>
        <w:pStyle w:val="ParaNoNdepar-AltN"/>
        <w:rPr>
          <w:rFonts w:cs="Times New Roman"/>
          <w:lang w:val="fr-CA"/>
        </w:rPr>
      </w:pPr>
      <w:r w:rsidRPr="008F040A">
        <w:rPr>
          <w:rFonts w:cs="Times New Roman"/>
          <w:lang w:val="fr-CA"/>
        </w:rPr>
        <w:t>Par conséquent, la Cour est saisie à bon droit de la question de savoir si la formation de la CA qui a accueilli la demande d’autorisation a conclu à tort que l’appel sou</w:t>
      </w:r>
      <w:r>
        <w:rPr>
          <w:rFonts w:cs="Times New Roman"/>
          <w:lang w:val="fr-CA"/>
        </w:rPr>
        <w:t xml:space="preserve">levait une question de droit. </w:t>
      </w:r>
    </w:p>
    <w:p w:rsidR="00EC1E65" w:rsidRPr="008F040A" w:rsidRDefault="00EC1E65" w:rsidP="00EC1E65">
      <w:pPr>
        <w:pStyle w:val="Title2LevelTitre2Niveau"/>
        <w:jc w:val="both"/>
        <w:rPr>
          <w:rFonts w:cs="Times New Roman"/>
          <w:lang w:val="fr-CA"/>
        </w:rPr>
      </w:pPr>
      <w:bookmarkStart w:id="74" w:name="_Toc394565832"/>
      <w:bookmarkStart w:id="75" w:name="_Toc388713978"/>
      <w:bookmarkStart w:id="76" w:name="_Toc389040900"/>
      <w:bookmarkStart w:id="77" w:name="_Toc389781710"/>
      <w:bookmarkStart w:id="78" w:name="_Toc390243241"/>
      <w:bookmarkStart w:id="79" w:name="_Toc390339568"/>
      <w:bookmarkStart w:id="80" w:name="_Toc390440402"/>
      <w:bookmarkStart w:id="81" w:name="_Toc390605543"/>
      <w:bookmarkStart w:id="82" w:name="_Toc390614579"/>
      <w:r>
        <w:rPr>
          <w:rFonts w:cs="Times New Roman"/>
          <w:lang w:val="fr-CA"/>
        </w:rPr>
        <w:t>La C</w:t>
      </w:r>
      <w:r w:rsidRPr="008F040A">
        <w:rPr>
          <w:rFonts w:cs="Times New Roman"/>
          <w:lang w:val="fr-CA"/>
        </w:rPr>
        <w:t>our d’appel a commis une erreur en autorisant l’appel en vertu du par. 31(2) de l’AA</w:t>
      </w:r>
      <w:bookmarkEnd w:id="74"/>
      <w:r w:rsidRPr="008F040A">
        <w:rPr>
          <w:rFonts w:cs="Times New Roman"/>
          <w:lang w:val="fr-CA"/>
        </w:rPr>
        <w:t xml:space="preserve"> </w:t>
      </w:r>
      <w:bookmarkEnd w:id="75"/>
      <w:bookmarkEnd w:id="76"/>
      <w:bookmarkEnd w:id="77"/>
      <w:bookmarkEnd w:id="78"/>
      <w:bookmarkEnd w:id="79"/>
      <w:bookmarkEnd w:id="80"/>
      <w:bookmarkEnd w:id="81"/>
      <w:bookmarkEnd w:id="82"/>
    </w:p>
    <w:p w:rsidR="00EC1E65" w:rsidRPr="008F040A" w:rsidRDefault="00EC1E65" w:rsidP="00EC1E65">
      <w:pPr>
        <w:pStyle w:val="Title3LevelTitre3Niveau"/>
        <w:jc w:val="both"/>
        <w:rPr>
          <w:rFonts w:cs="Times New Roman"/>
          <w:lang w:val="fr-CA"/>
        </w:rPr>
      </w:pPr>
      <w:bookmarkStart w:id="83" w:name="_Toc394565833"/>
      <w:bookmarkStart w:id="84" w:name="_Toc388713979"/>
      <w:bookmarkStart w:id="85" w:name="_Toc389040901"/>
      <w:bookmarkStart w:id="86" w:name="_Toc389781711"/>
      <w:bookmarkStart w:id="87" w:name="_Toc390243242"/>
      <w:bookmarkStart w:id="88" w:name="_Toc390339569"/>
      <w:bookmarkStart w:id="89" w:name="_Toc390440403"/>
      <w:bookmarkStart w:id="90" w:name="_Toc390605544"/>
      <w:bookmarkStart w:id="91" w:name="_Toc390614580"/>
      <w:r w:rsidRPr="008F040A">
        <w:rPr>
          <w:rFonts w:cs="Times New Roman"/>
          <w:lang w:val="fr-CA"/>
        </w:rPr>
        <w:t>Facteurs qui entrent en ligne de compte dans l’analyse de la demande d’autorisation d’appel présentée au titre de l’</w:t>
      </w:r>
      <w:r w:rsidRPr="008F040A">
        <w:rPr>
          <w:rFonts w:cs="Times New Roman"/>
          <w:i/>
          <w:lang w:val="fr-CA"/>
        </w:rPr>
        <w:t>AA</w:t>
      </w:r>
      <w:bookmarkEnd w:id="83"/>
      <w:r w:rsidRPr="008F040A">
        <w:rPr>
          <w:rFonts w:cs="Times New Roman"/>
          <w:lang w:val="fr-CA"/>
        </w:rPr>
        <w:t xml:space="preserve"> </w:t>
      </w:r>
      <w:bookmarkEnd w:id="84"/>
      <w:bookmarkEnd w:id="85"/>
      <w:bookmarkEnd w:id="86"/>
      <w:bookmarkEnd w:id="87"/>
      <w:bookmarkEnd w:id="88"/>
      <w:bookmarkEnd w:id="89"/>
      <w:bookmarkEnd w:id="90"/>
      <w:bookmarkEnd w:id="91"/>
    </w:p>
    <w:p w:rsidR="00EC1E65" w:rsidRPr="008F040A" w:rsidRDefault="00EC1E65" w:rsidP="00EC1E65">
      <w:pPr>
        <w:pStyle w:val="ParaNoNdepar-AltN"/>
        <w:rPr>
          <w:rFonts w:cs="Times New Roman"/>
          <w:lang w:val="fr-CA"/>
        </w:rPr>
      </w:pPr>
      <w:r w:rsidRPr="008F040A">
        <w:rPr>
          <w:rFonts w:cs="Times New Roman"/>
          <w:lang w:val="fr-CA"/>
        </w:rPr>
        <w:t>L’appel d’une sentence arbitrale commerciale est étroitement circonscrit par l’</w:t>
      </w:r>
      <w:r w:rsidRPr="00462BFA">
        <w:rPr>
          <w:rFonts w:cs="Times New Roman"/>
          <w:i/>
          <w:lang w:val="fr-CA"/>
        </w:rPr>
        <w:t>AA</w:t>
      </w:r>
      <w:r w:rsidRPr="008F040A">
        <w:rPr>
          <w:rFonts w:cs="Times New Roman"/>
          <w:lang w:val="fr-CA"/>
        </w:rPr>
        <w:t xml:space="preserve">. Aux termes du par. 31(1), il ne peut être interjeté appel que sur une question de droit dans le cas où les parties consentent à l’appel ou, en l’absence de consentement, </w:t>
      </w:r>
      <w:r w:rsidRPr="008F040A">
        <w:rPr>
          <w:rFonts w:cs="Times New Roman"/>
          <w:lang w:val="fr-CA"/>
        </w:rPr>
        <w:lastRenderedPageBreak/>
        <w:t>dans les cas où l’autorisation d’appel est accordée. Le paragraphe 31(2) de l’</w:t>
      </w:r>
      <w:r w:rsidRPr="008F040A">
        <w:rPr>
          <w:rFonts w:cs="Times New Roman"/>
          <w:i/>
          <w:lang w:val="fr-CA"/>
        </w:rPr>
        <w:t>AA</w:t>
      </w:r>
      <w:r w:rsidRPr="008F040A">
        <w:rPr>
          <w:rFonts w:cs="Times New Roman"/>
          <w:lang w:val="fr-CA"/>
        </w:rPr>
        <w:t xml:space="preserve">, reproduit intégralement à l’annexe III, énonce les critères d’autorisation : </w:t>
      </w:r>
    </w:p>
    <w:p w:rsidR="00EC1E65" w:rsidRDefault="00EC1E65" w:rsidP="00EC1E65">
      <w:pPr>
        <w:pStyle w:val="Citation-AltC"/>
        <w:rPr>
          <w:lang w:val="fr-CA"/>
        </w:rPr>
      </w:pPr>
      <w:r w:rsidRPr="008F040A">
        <w:rPr>
          <w:lang w:val="fr-CA"/>
        </w:rPr>
        <w:t>[</w:t>
      </w:r>
      <w:r w:rsidRPr="008F040A">
        <w:rPr>
          <w:smallCaps/>
          <w:lang w:val="fr-CA"/>
        </w:rPr>
        <w:t>traduction</w:t>
      </w:r>
      <w:r w:rsidRPr="008F040A">
        <w:rPr>
          <w:lang w:val="fr-CA"/>
        </w:rPr>
        <w:t>]</w:t>
      </w:r>
    </w:p>
    <w:p w:rsidR="00EC1E65" w:rsidRPr="008F040A" w:rsidRDefault="00EC1E65" w:rsidP="00EC1E65">
      <w:pPr>
        <w:pStyle w:val="Citation-AltC"/>
        <w:rPr>
          <w:lang w:val="fr-CA"/>
        </w:rPr>
      </w:pPr>
    </w:p>
    <w:p w:rsidR="00EC1E65" w:rsidRPr="008F040A" w:rsidRDefault="00EC1E65" w:rsidP="00EC1E65">
      <w:pPr>
        <w:pStyle w:val="Citation-AltC"/>
        <w:spacing w:after="240"/>
        <w:ind w:left="1710" w:hanging="544"/>
        <w:contextualSpacing w:val="0"/>
        <w:rPr>
          <w:lang w:val="fr-CA"/>
        </w:rPr>
      </w:pPr>
      <w:r w:rsidRPr="008F040A">
        <w:rPr>
          <w:lang w:val="fr-CA"/>
        </w:rPr>
        <w:t>(2)</w:t>
      </w:r>
      <w:r w:rsidRPr="008F040A">
        <w:rPr>
          <w:lang w:val="fr-CA"/>
        </w:rPr>
        <w:tab/>
        <w:t xml:space="preserve">Relativement à une demande d’autorisation présentée en vertu de l’alinéa (1)(b), le tribunal peut accorder l’autorisation s’il estime que, selon le cas : </w:t>
      </w:r>
    </w:p>
    <w:p w:rsidR="00EC1E65" w:rsidRPr="008F040A" w:rsidRDefault="00EC1E65" w:rsidP="00EC1E65">
      <w:pPr>
        <w:pStyle w:val="Citation-AltC"/>
        <w:tabs>
          <w:tab w:val="left" w:pos="1710"/>
          <w:tab w:val="left" w:pos="2160"/>
        </w:tabs>
        <w:spacing w:after="240"/>
        <w:ind w:left="2160" w:hanging="2070"/>
        <w:contextualSpacing w:val="0"/>
        <w:rPr>
          <w:lang w:val="fr-CA"/>
        </w:rPr>
      </w:pPr>
      <w:r>
        <w:rPr>
          <w:lang w:val="fr-CA"/>
        </w:rPr>
        <w:tab/>
        <w:t>(a)</w:t>
      </w:r>
      <w:r>
        <w:rPr>
          <w:lang w:val="fr-CA"/>
        </w:rPr>
        <w:tab/>
      </w:r>
      <w:r w:rsidRPr="008F040A">
        <w:rPr>
          <w:lang w:val="fr-CA"/>
        </w:rPr>
        <w:t xml:space="preserve">l’importance de l’issue de l’arbitrage pour les parties justifie son intervention et que le règlement de la question de droit peut permettre d’éviter une erreur judiciaire, </w:t>
      </w:r>
    </w:p>
    <w:p w:rsidR="00EC1E65" w:rsidRPr="008F040A" w:rsidRDefault="00EC1E65" w:rsidP="00EC1E65">
      <w:pPr>
        <w:pStyle w:val="Citation-AltC"/>
        <w:tabs>
          <w:tab w:val="left" w:pos="1710"/>
          <w:tab w:val="left" w:pos="2160"/>
        </w:tabs>
        <w:spacing w:after="240"/>
        <w:ind w:left="2160" w:hanging="2070"/>
        <w:contextualSpacing w:val="0"/>
        <w:rPr>
          <w:lang w:val="fr-CA"/>
        </w:rPr>
      </w:pPr>
      <w:r>
        <w:rPr>
          <w:lang w:val="fr-CA"/>
        </w:rPr>
        <w:tab/>
        <w:t>(b)</w:t>
      </w:r>
      <w:r>
        <w:rPr>
          <w:lang w:val="fr-CA"/>
        </w:rPr>
        <w:tab/>
      </w:r>
      <w:r w:rsidRPr="008F040A">
        <w:rPr>
          <w:lang w:val="fr-CA"/>
        </w:rPr>
        <w:t xml:space="preserve">la question de droit revêt de l’importance pour une catégorie ou un groupe de personnes dont le demandeur fait partie, </w:t>
      </w:r>
    </w:p>
    <w:p w:rsidR="00EC1E65" w:rsidRPr="008F040A" w:rsidRDefault="00EC1E65" w:rsidP="00EC1E65">
      <w:pPr>
        <w:pStyle w:val="Citation-AltC"/>
        <w:tabs>
          <w:tab w:val="left" w:pos="1710"/>
          <w:tab w:val="left" w:pos="2160"/>
        </w:tabs>
        <w:ind w:left="2160" w:hanging="2074"/>
        <w:contextualSpacing w:val="0"/>
        <w:rPr>
          <w:lang w:val="fr-CA"/>
        </w:rPr>
      </w:pPr>
      <w:r>
        <w:rPr>
          <w:lang w:val="fr-CA"/>
        </w:rPr>
        <w:tab/>
        <w:t>(c)</w:t>
      </w:r>
      <w:r>
        <w:rPr>
          <w:lang w:val="fr-CA"/>
        </w:rPr>
        <w:tab/>
      </w:r>
      <w:r w:rsidRPr="008F040A">
        <w:rPr>
          <w:lang w:val="fr-CA"/>
        </w:rPr>
        <w:t>la question de dro</w:t>
      </w:r>
      <w:r>
        <w:rPr>
          <w:lang w:val="fr-CA"/>
        </w:rPr>
        <w:t xml:space="preserve">it est d’importance publique. </w:t>
      </w:r>
    </w:p>
    <w:p w:rsidR="00EC1E65" w:rsidRPr="008F040A" w:rsidRDefault="00EC1E65" w:rsidP="00EC1E65">
      <w:pPr>
        <w:pStyle w:val="ParaNoNdepar-AltN"/>
        <w:rPr>
          <w:rFonts w:cs="Times New Roman"/>
          <w:lang w:val="fr-CA"/>
        </w:rPr>
      </w:pPr>
      <w:r w:rsidRPr="008F040A">
        <w:rPr>
          <w:rFonts w:cs="Times New Roman"/>
          <w:lang w:val="fr-CA"/>
        </w:rPr>
        <w:t>De l’avis des tribunaux de la C.</w:t>
      </w:r>
      <w:r w:rsidRPr="008F040A">
        <w:rPr>
          <w:rFonts w:cs="Times New Roman"/>
          <w:lang w:val="fr-CA"/>
        </w:rPr>
        <w:noBreakHyphen/>
        <w:t>B., l’expression [</w:t>
      </w:r>
      <w:r w:rsidRPr="008F040A">
        <w:rPr>
          <w:rFonts w:cs="Times New Roman"/>
          <w:smallCaps/>
          <w:lang w:val="fr-CA"/>
        </w:rPr>
        <w:t>traduction</w:t>
      </w:r>
      <w:r w:rsidRPr="008F040A">
        <w:rPr>
          <w:rFonts w:cs="Times New Roman"/>
          <w:lang w:val="fr-CA"/>
        </w:rPr>
        <w:t>] « peut accorder l’autorisation » qui figure au par. 31(2) de l’</w:t>
      </w:r>
      <w:r w:rsidRPr="008F040A">
        <w:rPr>
          <w:rFonts w:cs="Times New Roman"/>
          <w:i/>
          <w:lang w:val="fr-CA"/>
        </w:rPr>
        <w:t>AA</w:t>
      </w:r>
      <w:r w:rsidRPr="008F040A">
        <w:rPr>
          <w:rFonts w:cs="Times New Roman"/>
          <w:lang w:val="fr-CA"/>
        </w:rPr>
        <w:t xml:space="preserve"> confère au tribunal un pouvoir discrétionnaire qui l’habilite à refuser l’autorisation même lorsque les critères légaux sont respectés (</w:t>
      </w:r>
      <w:r w:rsidRPr="008F040A">
        <w:rPr>
          <w:rFonts w:cs="Times New Roman"/>
          <w:i/>
          <w:lang w:val="fr-CA"/>
        </w:rPr>
        <w:t>British Columbia Institute of Technology (Student Assn.) c. British Columbia Institute of Technology</w:t>
      </w:r>
      <w:r w:rsidRPr="008F040A">
        <w:rPr>
          <w:rFonts w:cs="Times New Roman"/>
          <w:lang w:val="fr-CA"/>
        </w:rPr>
        <w:t>, 2000 BCCA 496, 192 D.L.R. (4th) 122 (« </w:t>
      </w:r>
      <w:r w:rsidRPr="008F040A">
        <w:rPr>
          <w:rFonts w:cs="Times New Roman"/>
          <w:i/>
          <w:lang w:val="fr-CA"/>
        </w:rPr>
        <w:t>BCIT</w:t>
      </w:r>
      <w:r w:rsidRPr="008F040A">
        <w:rPr>
          <w:rFonts w:cs="Times New Roman"/>
          <w:lang w:val="fr-CA"/>
        </w:rPr>
        <w:t> »),</w:t>
      </w:r>
      <w:r w:rsidRPr="008F040A">
        <w:rPr>
          <w:rFonts w:cs="Times New Roman"/>
          <w:i/>
          <w:lang w:val="fr-CA"/>
        </w:rPr>
        <w:t xml:space="preserve"> </w:t>
      </w:r>
      <w:r w:rsidRPr="008F040A">
        <w:rPr>
          <w:rFonts w:cs="Times New Roman"/>
          <w:lang w:val="fr-CA"/>
        </w:rPr>
        <w:t>par. 25</w:t>
      </w:r>
      <w:r w:rsidRPr="008F040A">
        <w:rPr>
          <w:rFonts w:cs="Times New Roman"/>
          <w:lang w:val="fr-CA"/>
        </w:rPr>
        <w:noBreakHyphen/>
        <w:t>26). L’appel d’une sentence arbitrale n’est donc entendu que si les critères du par. 31(2) sont remplis et que le tribunal saisi de la demande d’autorisation ne refuse pas néanmoins l’autorisation en vertu de son pouvoir discrétionnaire résiduel.</w:t>
      </w:r>
    </w:p>
    <w:p w:rsidR="00EC1E65" w:rsidRPr="008F040A" w:rsidRDefault="00EC1E65" w:rsidP="00EC1E65">
      <w:pPr>
        <w:pStyle w:val="ParaNoNdepar-AltN"/>
        <w:rPr>
          <w:rFonts w:cs="Times New Roman"/>
          <w:lang w:val="fr-CA"/>
        </w:rPr>
      </w:pPr>
      <w:r w:rsidRPr="008F040A">
        <w:rPr>
          <w:rFonts w:cs="Times New Roman"/>
          <w:lang w:val="fr-CA"/>
        </w:rPr>
        <w:t>Bien que Creston ait présenté u</w:t>
      </w:r>
      <w:r>
        <w:rPr>
          <w:rFonts w:cs="Times New Roman"/>
          <w:lang w:val="fr-CA"/>
        </w:rPr>
        <w:t>ne demande d’autorisation à la C</w:t>
      </w:r>
      <w:r w:rsidRPr="008F040A">
        <w:rPr>
          <w:rFonts w:cs="Times New Roman"/>
          <w:lang w:val="fr-CA"/>
        </w:rPr>
        <w:t>our suprême</w:t>
      </w:r>
      <w:r>
        <w:rPr>
          <w:rFonts w:cs="Times New Roman"/>
          <w:lang w:val="fr-CA"/>
        </w:rPr>
        <w:t xml:space="preserve"> sur le fondement des al. 31(2)</w:t>
      </w:r>
      <w:r w:rsidRPr="008F040A">
        <w:rPr>
          <w:rFonts w:cs="Times New Roman"/>
          <w:lang w:val="fr-CA"/>
        </w:rPr>
        <w:t>(a), (b) et (c), il semble que les arguments invoqués devant elle et au cours des autres instances portaient sur l’al. 31(2)(a). La décision de la C</w:t>
      </w:r>
      <w:r>
        <w:rPr>
          <w:rFonts w:cs="Times New Roman"/>
          <w:lang w:val="fr-CA"/>
        </w:rPr>
        <w:t>our suprême</w:t>
      </w:r>
      <w:r w:rsidRPr="008F040A">
        <w:rPr>
          <w:rFonts w:cs="Times New Roman"/>
          <w:lang w:val="fr-CA"/>
        </w:rPr>
        <w:t xml:space="preserve"> sur la demande d’autorisation reprend un long passage tiré </w:t>
      </w:r>
      <w:r w:rsidRPr="008F040A">
        <w:rPr>
          <w:rFonts w:cs="Times New Roman"/>
          <w:lang w:val="fr-CA"/>
        </w:rPr>
        <w:lastRenderedPageBreak/>
        <w:t xml:space="preserve">de l’affaire </w:t>
      </w:r>
      <w:r w:rsidRPr="008F040A">
        <w:rPr>
          <w:rFonts w:cs="Times New Roman"/>
          <w:i/>
          <w:lang w:val="fr-CA"/>
        </w:rPr>
        <w:t xml:space="preserve">BCIT </w:t>
      </w:r>
      <w:r w:rsidRPr="008F040A">
        <w:rPr>
          <w:rFonts w:cs="Times New Roman"/>
          <w:lang w:val="fr-CA"/>
        </w:rPr>
        <w:t xml:space="preserve">axé sur les </w:t>
      </w:r>
      <w:r>
        <w:rPr>
          <w:rFonts w:cs="Times New Roman"/>
          <w:lang w:val="fr-CA"/>
        </w:rPr>
        <w:t>éléments de l’al. 31(2)(a). La C</w:t>
      </w:r>
      <w:r w:rsidRPr="008F040A">
        <w:rPr>
          <w:rFonts w:cs="Times New Roman"/>
          <w:lang w:val="fr-CA"/>
        </w:rPr>
        <w:t>our suprême y souligne que les deux parties reconnaissent qu’il est satisfait au premier élément de l’al. 31(2)(a), c’est</w:t>
      </w:r>
      <w:r w:rsidRPr="008F040A">
        <w:rPr>
          <w:rFonts w:cs="Times New Roman"/>
          <w:lang w:val="fr-CA"/>
        </w:rPr>
        <w:noBreakHyphen/>
        <w:t>à</w:t>
      </w:r>
      <w:r w:rsidRPr="008F040A">
        <w:rPr>
          <w:rFonts w:cs="Times New Roman"/>
          <w:lang w:val="fr-CA"/>
        </w:rPr>
        <w:noBreakHyphen/>
        <w:t>dire que la question est importante pour les parties. Dans sa décision sur la dema</w:t>
      </w:r>
      <w:r>
        <w:rPr>
          <w:rFonts w:cs="Times New Roman"/>
          <w:lang w:val="fr-CA"/>
        </w:rPr>
        <w:t>nde d’autorisation d’appel, la C</w:t>
      </w:r>
      <w:r w:rsidRPr="008F040A">
        <w:rPr>
          <w:rFonts w:cs="Times New Roman"/>
          <w:lang w:val="fr-CA"/>
        </w:rPr>
        <w:t xml:space="preserve">our d’appel a dit craindre que refuser l’autorisation ne donne lieu à une erreur judiciaire — un critère prévu seulement à l’al. 31(2)(a). Enfin, ni les décisions sur les demandes d’autorisation des tribunaux d’instance inférieure ni les arguments soulevés devant notre Cour ne traitent des autres critères, à savoir que la question de droit revêt de l’importance pour une catégorie ou un groupe de personnes dont le demandeur fait partie (al. 31(2)(b)) ou est d’importance publique (al. 31(2)(c)). Par conséquent, l’analyse qui suit porte principalement sur l’al. 31(2)(a). </w:t>
      </w:r>
    </w:p>
    <w:p w:rsidR="00EC1E65" w:rsidRPr="008F040A" w:rsidRDefault="00EC1E65" w:rsidP="00EC1E65">
      <w:pPr>
        <w:pStyle w:val="Title3LevelTitre3Niveau"/>
        <w:tabs>
          <w:tab w:val="clear" w:pos="864"/>
          <w:tab w:val="num" w:pos="900"/>
        </w:tabs>
        <w:ind w:left="900" w:hanging="468"/>
        <w:rPr>
          <w:rFonts w:cs="Times New Roman"/>
          <w:lang w:val="fr-CA"/>
        </w:rPr>
      </w:pPr>
      <w:bookmarkStart w:id="92" w:name="_Toc394565834"/>
      <w:bookmarkStart w:id="93" w:name="_Toc388713980"/>
      <w:bookmarkStart w:id="94" w:name="_Toc389040902"/>
      <w:bookmarkStart w:id="95" w:name="_Toc389781712"/>
      <w:bookmarkStart w:id="96" w:name="_Toc390243243"/>
      <w:bookmarkStart w:id="97" w:name="_Toc390339570"/>
      <w:bookmarkStart w:id="98" w:name="_Toc390440404"/>
      <w:bookmarkStart w:id="99" w:name="_Toc390605545"/>
      <w:bookmarkStart w:id="100" w:name="_Toc390614581"/>
      <w:r w:rsidRPr="008F040A">
        <w:rPr>
          <w:rFonts w:cs="Times New Roman"/>
          <w:lang w:val="fr-CA"/>
        </w:rPr>
        <w:t>L’issue est importante pour les parties</w:t>
      </w:r>
      <w:bookmarkEnd w:id="92"/>
      <w:r w:rsidRPr="008F040A">
        <w:rPr>
          <w:rFonts w:cs="Times New Roman"/>
          <w:lang w:val="fr-CA"/>
        </w:rPr>
        <w:t xml:space="preserve"> </w:t>
      </w:r>
      <w:bookmarkEnd w:id="93"/>
      <w:bookmarkEnd w:id="94"/>
      <w:bookmarkEnd w:id="95"/>
      <w:bookmarkEnd w:id="96"/>
      <w:bookmarkEnd w:id="97"/>
      <w:bookmarkEnd w:id="98"/>
      <w:bookmarkEnd w:id="99"/>
      <w:bookmarkEnd w:id="100"/>
    </w:p>
    <w:p w:rsidR="00EC1E65" w:rsidRPr="008F040A" w:rsidRDefault="00EC1E65" w:rsidP="00EC1E65">
      <w:pPr>
        <w:pStyle w:val="ParaNoNdepar-AltN"/>
        <w:rPr>
          <w:rFonts w:cs="Times New Roman"/>
          <w:lang w:val="fr-CA"/>
        </w:rPr>
      </w:pPr>
      <w:r w:rsidRPr="008F040A">
        <w:rPr>
          <w:rFonts w:cs="Times New Roman"/>
          <w:lang w:val="fr-CA" w:bidi="en-US"/>
        </w:rPr>
        <w:t xml:space="preserve">L’autorisation d’interjeter appel d’une sentence arbitrale commerciale est subordonnée au respect d’un critère minimal : l’appel doit porter sur une question de droit. Toutefois, avant d’aborder ce sujet, il convient d’examiner sommairement un autre élément requis par l’al. 31(2)(a) et sur lequel s’entendent les parties, à savoir que l’importance de l’issue de l’arbitrage pour les parties doit justifier l’intervention du tribunal. Selon l’explication donnée par la juge Saunders de ce critère dans </w:t>
      </w:r>
      <w:r w:rsidRPr="008F040A">
        <w:rPr>
          <w:rFonts w:cs="Times New Roman"/>
          <w:i/>
          <w:lang w:val="fr-CA" w:bidi="en-US"/>
        </w:rPr>
        <w:t>BCIT</w:t>
      </w:r>
      <w:r w:rsidRPr="008F040A">
        <w:rPr>
          <w:rFonts w:cs="Times New Roman"/>
          <w:lang w:val="fr-CA" w:bidi="en-US"/>
        </w:rPr>
        <w:t>, il faut que l’issue de l’arbitrage soit [</w:t>
      </w:r>
      <w:r w:rsidRPr="008F040A">
        <w:rPr>
          <w:rFonts w:cs="Times New Roman"/>
          <w:smallCaps/>
          <w:lang w:val="fr-CA" w:bidi="en-US"/>
        </w:rPr>
        <w:t>traduction</w:t>
      </w:r>
      <w:r w:rsidRPr="008F040A">
        <w:rPr>
          <w:rFonts w:cs="Times New Roman"/>
          <w:lang w:val="fr-CA" w:bidi="en-US"/>
        </w:rPr>
        <w:t xml:space="preserve">] « suffisamment importante » aux yeux des parties, pour le principe ou les sommes d’argent en jeu, pour justifier le coût et la longueur d’une instance (par. 27). </w:t>
      </w:r>
      <w:r w:rsidRPr="008F040A">
        <w:rPr>
          <w:rFonts w:cs="Times New Roman"/>
          <w:lang w:val="fr-CA"/>
        </w:rPr>
        <w:t xml:space="preserve">Les parties en l’espèce ont convenu que l’issue de l’arbitrage revêt de l’importance pour chacune. Étant donné la somme relativement </w:t>
      </w:r>
      <w:r w:rsidRPr="008F040A">
        <w:rPr>
          <w:rFonts w:cs="Times New Roman"/>
          <w:lang w:val="fr-CA"/>
        </w:rPr>
        <w:lastRenderedPageBreak/>
        <w:t xml:space="preserve">considérable en litige et compte tenu du fait que les parties s’entendent pour dire que l’issue est importante pour elles, je conviens que l’importance de l’issue de l’arbitrage pour les parties justifie l’intervention du tribunal. Cette condition prévue à l’al. 31(2)(a) est remplie.  </w:t>
      </w:r>
    </w:p>
    <w:p w:rsidR="00EC1E65" w:rsidRPr="008F040A" w:rsidRDefault="00EC1E65" w:rsidP="00EC1E65">
      <w:pPr>
        <w:pStyle w:val="Title3LevelTitre3Niveau"/>
        <w:tabs>
          <w:tab w:val="clear" w:pos="864"/>
          <w:tab w:val="num" w:pos="900"/>
        </w:tabs>
        <w:ind w:left="900" w:hanging="468"/>
        <w:rPr>
          <w:rFonts w:cs="Times New Roman"/>
          <w:lang w:val="fr-CA"/>
        </w:rPr>
      </w:pPr>
      <w:bookmarkStart w:id="101" w:name="_Toc394565835"/>
      <w:bookmarkStart w:id="102" w:name="_Toc388713981"/>
      <w:bookmarkStart w:id="103" w:name="_Toc389040903"/>
      <w:bookmarkStart w:id="104" w:name="_Toc389781713"/>
      <w:bookmarkStart w:id="105" w:name="_Toc390243244"/>
      <w:bookmarkStart w:id="106" w:name="_Toc390339571"/>
      <w:bookmarkStart w:id="107" w:name="_Toc390440405"/>
      <w:bookmarkStart w:id="108" w:name="_Toc390605546"/>
      <w:bookmarkStart w:id="109" w:name="_Toc390614582"/>
      <w:r w:rsidRPr="008F040A">
        <w:rPr>
          <w:rFonts w:cs="Times New Roman"/>
          <w:lang w:val="fr-CA"/>
        </w:rPr>
        <w:t>La question soulevée n’est pas une question de droit</w:t>
      </w:r>
      <w:bookmarkEnd w:id="101"/>
      <w:r w:rsidRPr="008F040A">
        <w:rPr>
          <w:rFonts w:cs="Times New Roman"/>
          <w:lang w:val="fr-CA"/>
        </w:rPr>
        <w:t xml:space="preserve"> </w:t>
      </w:r>
      <w:bookmarkEnd w:id="102"/>
      <w:bookmarkEnd w:id="103"/>
      <w:bookmarkEnd w:id="104"/>
      <w:bookmarkEnd w:id="105"/>
      <w:bookmarkEnd w:id="106"/>
      <w:bookmarkEnd w:id="107"/>
      <w:bookmarkEnd w:id="108"/>
      <w:bookmarkEnd w:id="109"/>
    </w:p>
    <w:p w:rsidR="00EC1E65" w:rsidRPr="008F040A" w:rsidRDefault="00EC1E65" w:rsidP="00EC1E65">
      <w:pPr>
        <w:pStyle w:val="Title4LevelTitre4Niveau"/>
        <w:tabs>
          <w:tab w:val="clear" w:pos="1296"/>
          <w:tab w:val="num" w:pos="900"/>
        </w:tabs>
        <w:ind w:left="900" w:hanging="450"/>
        <w:jc w:val="both"/>
        <w:rPr>
          <w:lang w:val="fr-CA"/>
        </w:rPr>
      </w:pPr>
      <w:bookmarkStart w:id="110" w:name="_Toc388713982"/>
      <w:bookmarkStart w:id="111" w:name="_Toc389040904"/>
      <w:bookmarkStart w:id="112" w:name="_Toc389781714"/>
      <w:bookmarkStart w:id="113" w:name="_Toc390243245"/>
      <w:bookmarkStart w:id="114" w:name="_Toc390339572"/>
      <w:bookmarkStart w:id="115" w:name="_Toc390440406"/>
      <w:bookmarkStart w:id="116" w:name="_Toc390605547"/>
      <w:bookmarkStart w:id="117" w:name="_Toc390614583"/>
      <w:bookmarkStart w:id="118" w:name="_Toc394565836"/>
      <w:r w:rsidRPr="008F040A">
        <w:rPr>
          <w:lang w:val="fr-CA"/>
        </w:rPr>
        <w:t>Dans quelles circonstances l’interprétation contractuelle est</w:t>
      </w:r>
      <w:r w:rsidRPr="008F040A">
        <w:rPr>
          <w:lang w:val="fr-CA"/>
        </w:rPr>
        <w:noBreakHyphen/>
        <w:t>elle une question de droit?</w:t>
      </w:r>
      <w:bookmarkEnd w:id="110"/>
      <w:bookmarkEnd w:id="111"/>
      <w:bookmarkEnd w:id="112"/>
      <w:bookmarkEnd w:id="113"/>
      <w:bookmarkEnd w:id="114"/>
      <w:bookmarkEnd w:id="115"/>
      <w:bookmarkEnd w:id="116"/>
      <w:bookmarkEnd w:id="117"/>
      <w:bookmarkEnd w:id="118"/>
    </w:p>
    <w:p w:rsidR="00EC1E65" w:rsidRPr="008F040A" w:rsidRDefault="00EC1E65" w:rsidP="00EC1E65">
      <w:pPr>
        <w:pStyle w:val="ParaNoNdepar-AltN"/>
        <w:rPr>
          <w:rFonts w:cs="Times New Roman"/>
          <w:lang w:val="fr-CA"/>
        </w:rPr>
      </w:pPr>
      <w:r w:rsidRPr="008F040A">
        <w:rPr>
          <w:rFonts w:cs="Times New Roman"/>
          <w:lang w:val="fr-CA"/>
        </w:rPr>
        <w:t>Aux termes de l’art. 31 de l’</w:t>
      </w:r>
      <w:r w:rsidRPr="008F040A">
        <w:rPr>
          <w:rFonts w:cs="Times New Roman"/>
          <w:i/>
          <w:lang w:val="fr-CA"/>
        </w:rPr>
        <w:t>AA</w:t>
      </w:r>
      <w:r w:rsidRPr="008F040A">
        <w:rPr>
          <w:rFonts w:cs="Times New Roman"/>
          <w:lang w:val="fr-CA"/>
        </w:rPr>
        <w:t xml:space="preserve">, la demande d’autorisation d’appel doit porter sur une question de droit. Pour déterminer la norme de contrôle applicable ou, comme c’est le cas en l’espèce, pour déterminer si les critères d’autorisation sont respectés, le tribunal siégeant en révision est régulièrement appelé à décider si une question tranchée en première instance est une question de droit, une question de fait ou une question mixte de fait et de droit. </w:t>
      </w:r>
    </w:p>
    <w:p w:rsidR="00EC1E65" w:rsidRPr="008F040A" w:rsidRDefault="00EC1E65" w:rsidP="00EC1E65">
      <w:pPr>
        <w:pStyle w:val="ParaNoNdepar-AltN"/>
        <w:rPr>
          <w:rFonts w:cs="Times New Roman"/>
          <w:lang w:val="fr-CA"/>
        </w:rPr>
      </w:pPr>
      <w:r w:rsidRPr="008F040A">
        <w:rPr>
          <w:rFonts w:cs="Times New Roman"/>
          <w:lang w:val="fr-CA"/>
        </w:rPr>
        <w:t>Autrefois, la détermination des droits et obligations juridiques des parties à un contrat écrit ressortissait à une question de droit (</w:t>
      </w:r>
      <w:r w:rsidRPr="008F040A">
        <w:rPr>
          <w:rFonts w:cs="Times New Roman"/>
          <w:i/>
          <w:lang w:val="fr-CA"/>
        </w:rPr>
        <w:t>King c. Operating Engineers Training Institute of Manitoba Inc.</w:t>
      </w:r>
      <w:r w:rsidRPr="008F040A">
        <w:rPr>
          <w:rFonts w:cs="Times New Roman"/>
          <w:lang w:val="fr-CA"/>
        </w:rPr>
        <w:t xml:space="preserve">, 2011 MBCA 80, 270 Man. R. (2d) 63, par. 20, la juge Steel; K. Lewison, </w:t>
      </w:r>
      <w:r w:rsidRPr="008F040A">
        <w:rPr>
          <w:rFonts w:cs="Times New Roman"/>
          <w:i/>
          <w:lang w:val="fr-CA"/>
        </w:rPr>
        <w:t>The Interpretation of Contracts</w:t>
      </w:r>
      <w:r w:rsidRPr="008F040A">
        <w:rPr>
          <w:rFonts w:cs="Times New Roman"/>
          <w:lang w:val="fr-CA"/>
        </w:rPr>
        <w:t xml:space="preserve"> (5</w:t>
      </w:r>
      <w:r w:rsidRPr="008F040A">
        <w:rPr>
          <w:rFonts w:cs="Times New Roman"/>
          <w:vertAlign w:val="superscript"/>
          <w:lang w:val="fr-CA"/>
        </w:rPr>
        <w:t>e</w:t>
      </w:r>
      <w:r>
        <w:rPr>
          <w:rFonts w:cs="Times New Roman"/>
          <w:lang w:val="fr-CA"/>
        </w:rPr>
        <w:t xml:space="preserve"> éd. 2011 et s</w:t>
      </w:r>
      <w:r w:rsidRPr="008F040A">
        <w:rPr>
          <w:rFonts w:cs="Times New Roman"/>
          <w:lang w:val="fr-CA"/>
        </w:rPr>
        <w:t>upp</w:t>
      </w:r>
      <w:r>
        <w:rPr>
          <w:rFonts w:cs="Times New Roman"/>
          <w:lang w:val="fr-CA"/>
        </w:rPr>
        <w:t>l</w:t>
      </w:r>
      <w:r w:rsidRPr="008F040A">
        <w:rPr>
          <w:rFonts w:cs="Times New Roman"/>
          <w:lang w:val="fr-CA"/>
        </w:rPr>
        <w:t>. 2013), p. 173</w:t>
      </w:r>
      <w:r>
        <w:rPr>
          <w:rFonts w:cs="Times New Roman"/>
          <w:lang w:val="fr-CA"/>
        </w:rPr>
        <w:t>-</w:t>
      </w:r>
      <w:r w:rsidRPr="008F040A">
        <w:rPr>
          <w:rFonts w:cs="Times New Roman"/>
          <w:lang w:val="fr-CA"/>
        </w:rPr>
        <w:t>176; G.</w:t>
      </w:r>
      <w:r>
        <w:rPr>
          <w:rFonts w:cs="Times New Roman"/>
          <w:lang w:val="fr-CA"/>
        </w:rPr>
        <w:t xml:space="preserve"> </w:t>
      </w:r>
      <w:r w:rsidRPr="008F040A">
        <w:rPr>
          <w:rFonts w:cs="Times New Roman"/>
          <w:lang w:val="fr-CA"/>
        </w:rPr>
        <w:t xml:space="preserve">R. Hall, </w:t>
      </w:r>
      <w:r w:rsidRPr="008F040A">
        <w:rPr>
          <w:rFonts w:cs="Times New Roman"/>
          <w:i/>
          <w:lang w:val="fr-CA"/>
        </w:rPr>
        <w:t>Canadian Contractual Interpretation Law</w:t>
      </w:r>
      <w:r w:rsidRPr="008F040A">
        <w:rPr>
          <w:rFonts w:cs="Times New Roman"/>
          <w:lang w:val="fr-CA"/>
        </w:rPr>
        <w:t xml:space="preserve"> (2</w:t>
      </w:r>
      <w:r w:rsidRPr="008F040A">
        <w:rPr>
          <w:rFonts w:cs="Times New Roman"/>
          <w:vertAlign w:val="superscript"/>
          <w:lang w:val="fr-CA"/>
        </w:rPr>
        <w:t>e</w:t>
      </w:r>
      <w:r w:rsidRPr="008F040A">
        <w:rPr>
          <w:rFonts w:cs="Times New Roman"/>
          <w:lang w:val="fr-CA"/>
        </w:rPr>
        <w:t> éd. 2012), p. 125</w:t>
      </w:r>
      <w:r>
        <w:rPr>
          <w:rFonts w:cs="Times New Roman"/>
          <w:lang w:val="fr-CA"/>
        </w:rPr>
        <w:t>-</w:t>
      </w:r>
      <w:r w:rsidRPr="008F040A">
        <w:rPr>
          <w:rFonts w:cs="Times New Roman"/>
          <w:lang w:val="fr-CA"/>
        </w:rPr>
        <w:t xml:space="preserve">126). Cette règle a pris naissance en Angleterre, à une époque où les procès civils devant jury étaient fréquents et l’analphabétisme courant. Dans de telles circonstances, l’interprétation des documents écrits devait être assimilée à une question de droit parce </w:t>
      </w:r>
      <w:r w:rsidRPr="008F040A">
        <w:rPr>
          <w:rFonts w:cs="Times New Roman"/>
          <w:lang w:val="fr-CA"/>
        </w:rPr>
        <w:lastRenderedPageBreak/>
        <w:t>que le juge était le seul dont on pouvait être certain qu’il savait lire et écrire et, par conséquent, qu’il était en mesure de prendre connaissance du contrat (Hall, p. 126; Lewison, p. 173</w:t>
      </w:r>
      <w:r>
        <w:rPr>
          <w:rFonts w:cs="Times New Roman"/>
          <w:lang w:val="fr-CA"/>
        </w:rPr>
        <w:t>-</w:t>
      </w:r>
      <w:r w:rsidRPr="008F040A">
        <w:rPr>
          <w:rFonts w:cs="Times New Roman"/>
          <w:lang w:val="fr-CA"/>
        </w:rPr>
        <w:t xml:space="preserve">174).  </w:t>
      </w:r>
    </w:p>
    <w:p w:rsidR="00EC1E65" w:rsidRPr="008F040A" w:rsidRDefault="00EC1E65" w:rsidP="00EC1E65">
      <w:pPr>
        <w:pStyle w:val="ParaNoNdepar-AltN"/>
        <w:rPr>
          <w:rFonts w:cs="Times New Roman"/>
          <w:lang w:val="fr-CA"/>
        </w:rPr>
      </w:pPr>
      <w:r w:rsidRPr="008F040A">
        <w:rPr>
          <w:rFonts w:cs="Times New Roman"/>
          <w:lang w:val="fr-CA"/>
        </w:rPr>
        <w:t>Cette justification historique ne s’applique plus. Néanmoins, pour les tribunaux du Royaume</w:t>
      </w:r>
      <w:r w:rsidRPr="008F040A">
        <w:rPr>
          <w:rFonts w:cs="Times New Roman"/>
          <w:lang w:val="fr-CA"/>
        </w:rPr>
        <w:noBreakHyphen/>
        <w:t>Uni, l’interprétation d’un contrat écrit ressortit toujours à une question de droit (</w:t>
      </w:r>
      <w:r w:rsidRPr="008F040A">
        <w:rPr>
          <w:rFonts w:cs="Times New Roman"/>
          <w:i/>
          <w:lang w:val="fr-CA"/>
        </w:rPr>
        <w:t>Thorner c. Major</w:t>
      </w:r>
      <w:r w:rsidRPr="008F040A">
        <w:rPr>
          <w:rFonts w:cs="Times New Roman"/>
          <w:lang w:val="fr-CA"/>
        </w:rPr>
        <w:t>, [2009] UKHL 18,</w:t>
      </w:r>
      <w:r>
        <w:rPr>
          <w:rFonts w:cs="Times New Roman"/>
          <w:lang w:val="fr-CA"/>
        </w:rPr>
        <w:t xml:space="preserve"> [2009] 3 All E.R. 945, par. 58 et</w:t>
      </w:r>
      <w:r w:rsidRPr="008F040A">
        <w:rPr>
          <w:rFonts w:cs="Times New Roman"/>
          <w:lang w:val="fr-CA"/>
        </w:rPr>
        <w:t xml:space="preserve"> 82</w:t>
      </w:r>
      <w:r>
        <w:rPr>
          <w:rFonts w:cs="Times New Roman"/>
          <w:lang w:val="fr-CA"/>
        </w:rPr>
        <w:t>-</w:t>
      </w:r>
      <w:r w:rsidRPr="008F040A">
        <w:rPr>
          <w:rFonts w:cs="Times New Roman"/>
          <w:lang w:val="fr-CA"/>
        </w:rPr>
        <w:t>83; Lewison,</w:t>
      </w:r>
      <w:r w:rsidRPr="008F040A">
        <w:rPr>
          <w:rFonts w:cs="Times New Roman"/>
          <w:i/>
          <w:lang w:val="fr-CA"/>
        </w:rPr>
        <w:t xml:space="preserve"> </w:t>
      </w:r>
      <w:r w:rsidRPr="008F040A">
        <w:rPr>
          <w:rFonts w:cs="Times New Roman"/>
          <w:lang w:val="fr-CA"/>
        </w:rPr>
        <w:t>p. 173</w:t>
      </w:r>
      <w:r>
        <w:rPr>
          <w:rFonts w:cs="Times New Roman"/>
          <w:lang w:val="fr-CA"/>
        </w:rPr>
        <w:t>-</w:t>
      </w:r>
      <w:r w:rsidRPr="008F040A">
        <w:rPr>
          <w:rFonts w:cs="Times New Roman"/>
          <w:lang w:val="fr-CA"/>
        </w:rPr>
        <w:t>177), et ce, même s’ils tiennent compte des circonstances — un concept que nous aborderons — dans l’interprétation du contrat écrit (</w:t>
      </w:r>
      <w:r w:rsidRPr="008F040A">
        <w:rPr>
          <w:rFonts w:cs="Times New Roman"/>
          <w:i/>
          <w:lang w:val="fr-CA"/>
        </w:rPr>
        <w:t>Prenn c. Simmonds</w:t>
      </w:r>
      <w:r>
        <w:rPr>
          <w:rFonts w:cs="Times New Roman"/>
          <w:lang w:val="fr-CA"/>
        </w:rPr>
        <w:t>, [1971] 3 All E.R. 237 (H</w:t>
      </w:r>
      <w:r w:rsidRPr="008F040A">
        <w:rPr>
          <w:rFonts w:cs="Times New Roman"/>
          <w:lang w:val="fr-CA"/>
        </w:rPr>
        <w:t xml:space="preserve">.L.); </w:t>
      </w:r>
      <w:r w:rsidRPr="008F040A">
        <w:rPr>
          <w:rFonts w:cs="Times New Roman"/>
          <w:i/>
          <w:lang w:val="fr-CA"/>
        </w:rPr>
        <w:t>Reardon Smith Line Ltd. c. Hansen</w:t>
      </w:r>
      <w:r w:rsidRPr="008F040A">
        <w:rPr>
          <w:rFonts w:cs="Times New Roman"/>
          <w:i/>
          <w:lang w:val="fr-CA"/>
        </w:rPr>
        <w:noBreakHyphen/>
        <w:t>Tangen</w:t>
      </w:r>
      <w:r>
        <w:rPr>
          <w:rFonts w:cs="Times New Roman"/>
          <w:lang w:val="fr-CA"/>
        </w:rPr>
        <w:t>, [1976] 3 All E.R. 570 (H</w:t>
      </w:r>
      <w:r w:rsidRPr="008F040A">
        <w:rPr>
          <w:rFonts w:cs="Times New Roman"/>
          <w:lang w:val="fr-CA"/>
        </w:rPr>
        <w:t xml:space="preserve">.L.)). </w:t>
      </w:r>
    </w:p>
    <w:p w:rsidR="00EC1E65" w:rsidRPr="008F040A" w:rsidRDefault="00EC1E65" w:rsidP="00EC1E65">
      <w:pPr>
        <w:pStyle w:val="ParaNoNdepar-AltN"/>
        <w:rPr>
          <w:rFonts w:cs="Times New Roman"/>
          <w:lang w:val="fr-CA"/>
        </w:rPr>
      </w:pPr>
      <w:r w:rsidRPr="008F040A">
        <w:rPr>
          <w:rFonts w:cs="Times New Roman"/>
          <w:lang w:val="fr-CA"/>
        </w:rPr>
        <w:t xml:space="preserve">Au Canada, l’approche historique n’a pas perdu tous ses adeptes. </w:t>
      </w:r>
      <w:r w:rsidRPr="00BB7368">
        <w:rPr>
          <w:rFonts w:cs="Times New Roman"/>
          <w:lang w:val="en-US"/>
        </w:rPr>
        <w:t xml:space="preserve">Voir par exemple </w:t>
      </w:r>
      <w:r w:rsidRPr="00BB7368">
        <w:rPr>
          <w:rFonts w:cs="Times New Roman"/>
          <w:i/>
          <w:lang w:val="en-US"/>
        </w:rPr>
        <w:t>Jiro Enterprises Ltd. c. Spencer</w:t>
      </w:r>
      <w:r w:rsidRPr="00BB7368">
        <w:rPr>
          <w:rFonts w:cs="Times New Roman"/>
          <w:lang w:val="en-US"/>
        </w:rPr>
        <w:t xml:space="preserve">, 2008 ABCA 87 (CanLII), par. 10; </w:t>
      </w:r>
      <w:r w:rsidRPr="00BB7368">
        <w:rPr>
          <w:rFonts w:cs="Times New Roman"/>
          <w:i/>
          <w:lang w:val="en-US"/>
        </w:rPr>
        <w:t>QK Investments Inc. c. Crocus Investment Fund</w:t>
      </w:r>
      <w:r w:rsidRPr="00BB7368">
        <w:rPr>
          <w:rFonts w:cs="Times New Roman"/>
          <w:lang w:val="en-US"/>
        </w:rPr>
        <w:t>, 2008 MBCA 21, 290 D.L.R. (4th) 84</w:t>
      </w:r>
      <w:r>
        <w:rPr>
          <w:rFonts w:cs="Times New Roman"/>
          <w:lang w:val="en-US"/>
        </w:rPr>
        <w:t>,</w:t>
      </w:r>
      <w:r w:rsidRPr="00BB7368">
        <w:rPr>
          <w:rFonts w:cs="Times New Roman"/>
          <w:lang w:val="en-US"/>
        </w:rPr>
        <w:t xml:space="preserve"> par. 26; </w:t>
      </w:r>
      <w:r w:rsidRPr="00BB7368">
        <w:rPr>
          <w:rFonts w:cs="Times New Roman"/>
          <w:i/>
          <w:lang w:val="en-US"/>
        </w:rPr>
        <w:t>Dow Chemical Canada Inc. c. Shell Chemicals Canada Ltd.</w:t>
      </w:r>
      <w:r w:rsidRPr="00BB7368">
        <w:rPr>
          <w:rFonts w:cs="Times New Roman"/>
          <w:lang w:val="en-US"/>
        </w:rPr>
        <w:t xml:space="preserve">, 2010 ABCA 126, 25 Alta. L.R. (5th) 221, par. 11-12; </w:t>
      </w:r>
      <w:r w:rsidRPr="00BB7368">
        <w:rPr>
          <w:rFonts w:cs="Times New Roman"/>
          <w:i/>
          <w:lang w:val="en-US"/>
        </w:rPr>
        <w:t>Canada c.</w:t>
      </w:r>
      <w:r w:rsidRPr="00BB7368">
        <w:rPr>
          <w:rFonts w:cs="Times New Roman"/>
          <w:lang w:val="en-US"/>
        </w:rPr>
        <w:t xml:space="preserve"> </w:t>
      </w:r>
      <w:r w:rsidRPr="00BB7368">
        <w:rPr>
          <w:rFonts w:cs="Times New Roman"/>
          <w:i/>
          <w:lang w:val="en-US"/>
        </w:rPr>
        <w:t xml:space="preserve">Costco Wholesale Canada Ltd., </w:t>
      </w:r>
      <w:r w:rsidRPr="00BB7368">
        <w:rPr>
          <w:rFonts w:cs="Times New Roman"/>
          <w:lang w:val="en-US"/>
        </w:rPr>
        <w:t>2012 CAF 160</w:t>
      </w:r>
      <w:r>
        <w:rPr>
          <w:rFonts w:cs="Times New Roman"/>
          <w:lang w:val="en-US"/>
        </w:rPr>
        <w:t xml:space="preserve"> (CanLII)</w:t>
      </w:r>
      <w:r w:rsidRPr="00BB7368">
        <w:rPr>
          <w:rFonts w:cs="Times New Roman"/>
          <w:lang w:val="en-US"/>
        </w:rPr>
        <w:t xml:space="preserve">, par. 34. </w:t>
      </w:r>
      <w:r w:rsidRPr="008F040A">
        <w:rPr>
          <w:rFonts w:cs="Times New Roman"/>
          <w:lang w:val="fr-CA"/>
        </w:rPr>
        <w:t xml:space="preserve">Or, des tribunaux canadiens ont délaissé l’approche historique au profit d’une nouvelle démarche qui conçoit l’interprétation des contrats écrits soit comme une question de droit soit comme une question mixte de fait et de droit. Voir par exemple </w:t>
      </w:r>
      <w:r w:rsidRPr="008F040A">
        <w:rPr>
          <w:rFonts w:cs="Times New Roman"/>
          <w:i/>
          <w:lang w:val="fr-CA"/>
        </w:rPr>
        <w:t>WCI Waste Conversion Inc. c. ADI International Inc.</w:t>
      </w:r>
      <w:r w:rsidRPr="008F040A">
        <w:rPr>
          <w:rFonts w:cs="Times New Roman"/>
          <w:lang w:val="fr-CA"/>
        </w:rPr>
        <w:t xml:space="preserve">, 2011 PECA 14, 309 Nfld. &amp; P.E.I.R. 1, par. 11; </w:t>
      </w:r>
      <w:r w:rsidRPr="008F040A">
        <w:rPr>
          <w:rFonts w:cs="Times New Roman"/>
          <w:i/>
          <w:lang w:val="fr-CA"/>
        </w:rPr>
        <w:t>269893 Alberta Ltd. c. Otter Bay Developments Ltd.</w:t>
      </w:r>
      <w:r w:rsidRPr="008F040A">
        <w:rPr>
          <w:rFonts w:cs="Times New Roman"/>
          <w:lang w:val="fr-CA"/>
        </w:rPr>
        <w:t xml:space="preserve">, 2009 BCCA 37, 266 B.C.A.C. 98, par. 13; </w:t>
      </w:r>
      <w:r w:rsidRPr="008F040A">
        <w:rPr>
          <w:rFonts w:cs="Times New Roman"/>
          <w:i/>
          <w:lang w:val="fr-CA"/>
        </w:rPr>
        <w:t>Hayes Forest Services Ltd. c. Weyerhaeuser Co.</w:t>
      </w:r>
      <w:r w:rsidRPr="008F040A">
        <w:rPr>
          <w:rFonts w:cs="Times New Roman"/>
          <w:lang w:val="fr-CA"/>
        </w:rPr>
        <w:t xml:space="preserve">, 2008 BCCA 31, 289 D.L.R. (4th) 230, par. 44; </w:t>
      </w:r>
      <w:r w:rsidRPr="008F040A">
        <w:rPr>
          <w:rFonts w:cs="Times New Roman"/>
          <w:i/>
          <w:lang w:val="fr-CA"/>
        </w:rPr>
        <w:t xml:space="preserve">Bell Canada </w:t>
      </w:r>
      <w:r w:rsidRPr="008F040A">
        <w:rPr>
          <w:rFonts w:cs="Times New Roman"/>
          <w:i/>
          <w:lang w:val="fr-CA"/>
        </w:rPr>
        <w:lastRenderedPageBreak/>
        <w:t>c. The Plan Group</w:t>
      </w:r>
      <w:r w:rsidRPr="008F040A">
        <w:rPr>
          <w:rFonts w:cs="Times New Roman"/>
          <w:lang w:val="fr-CA"/>
        </w:rPr>
        <w:t>, 2009 ONCA 548, 96 O.R. (3d) 81, par. 22</w:t>
      </w:r>
      <w:r>
        <w:rPr>
          <w:rFonts w:cs="Times New Roman"/>
          <w:lang w:val="fr-CA"/>
        </w:rPr>
        <w:t>-</w:t>
      </w:r>
      <w:r w:rsidRPr="008F040A">
        <w:rPr>
          <w:rFonts w:cs="Times New Roman"/>
          <w:lang w:val="fr-CA"/>
        </w:rPr>
        <w:t>23 (les juges majoritaires, sous la plume du juge Blair) et par. 133</w:t>
      </w:r>
      <w:r>
        <w:rPr>
          <w:rFonts w:cs="Times New Roman"/>
          <w:lang w:val="fr-CA"/>
        </w:rPr>
        <w:t>-</w:t>
      </w:r>
      <w:r w:rsidRPr="008F040A">
        <w:rPr>
          <w:rFonts w:cs="Times New Roman"/>
          <w:lang w:val="fr-CA"/>
        </w:rPr>
        <w:t xml:space="preserve">135 (la juge Gillese, dissidente, mais pas sur ce point); </w:t>
      </w:r>
      <w:r w:rsidRPr="008F040A">
        <w:rPr>
          <w:rFonts w:cs="Times New Roman"/>
          <w:i/>
          <w:lang w:val="fr-CA"/>
        </w:rPr>
        <w:t>King</w:t>
      </w:r>
      <w:r>
        <w:rPr>
          <w:rFonts w:cs="Times New Roman"/>
          <w:lang w:val="fr-CA"/>
        </w:rPr>
        <w:t>, par. 20-</w:t>
      </w:r>
      <w:r w:rsidRPr="008F040A">
        <w:rPr>
          <w:rFonts w:cs="Times New Roman"/>
          <w:lang w:val="fr-CA"/>
        </w:rPr>
        <w:t xml:space="preserve">23. </w:t>
      </w:r>
    </w:p>
    <w:p w:rsidR="00EC1E65" w:rsidRPr="008F040A" w:rsidRDefault="00EC1E65" w:rsidP="00EC1E65">
      <w:pPr>
        <w:pStyle w:val="ParaNoNdepar-AltN"/>
        <w:rPr>
          <w:rFonts w:cs="Times New Roman"/>
          <w:lang w:val="fr-CA"/>
        </w:rPr>
      </w:pPr>
      <w:r w:rsidRPr="008F040A">
        <w:rPr>
          <w:rFonts w:cs="Times New Roman"/>
          <w:lang w:val="fr-CA"/>
        </w:rPr>
        <w:t>La tendance à délaisser l’approche historique au Canada semble s’expliquer par deux changements. Le premier est l’adoption d’une méthode d’interprétation contractuelle qui oblige le tribunal à tenir compte des circonstances — que l’on appelle souvent le fondement factuel — dans l’interprétation d’un contrat écrit (Hall, p. 13, 21</w:t>
      </w:r>
      <w:r>
        <w:rPr>
          <w:rFonts w:cs="Times New Roman"/>
          <w:lang w:val="fr-CA"/>
        </w:rPr>
        <w:t>-</w:t>
      </w:r>
      <w:r w:rsidRPr="008F040A">
        <w:rPr>
          <w:rFonts w:cs="Times New Roman"/>
          <w:lang w:val="fr-CA"/>
        </w:rPr>
        <w:t xml:space="preserve">25 et 127; J. D. McCamus, </w:t>
      </w:r>
      <w:r w:rsidRPr="008F040A">
        <w:rPr>
          <w:rFonts w:cs="Times New Roman"/>
          <w:i/>
          <w:lang w:val="fr-CA"/>
        </w:rPr>
        <w:t>The Law of Contracts</w:t>
      </w:r>
      <w:r w:rsidRPr="008F040A">
        <w:rPr>
          <w:rFonts w:cs="Times New Roman"/>
          <w:lang w:val="fr-CA"/>
        </w:rPr>
        <w:t xml:space="preserve"> (2</w:t>
      </w:r>
      <w:r w:rsidRPr="008F040A">
        <w:rPr>
          <w:rFonts w:cs="Times New Roman"/>
          <w:vertAlign w:val="superscript"/>
          <w:lang w:val="fr-CA"/>
        </w:rPr>
        <w:t>e</w:t>
      </w:r>
      <w:r w:rsidRPr="008F040A">
        <w:rPr>
          <w:rFonts w:cs="Times New Roman"/>
          <w:lang w:val="fr-CA"/>
        </w:rPr>
        <w:t xml:space="preserve"> éd. 2012), p. 749</w:t>
      </w:r>
      <w:r>
        <w:rPr>
          <w:rFonts w:cs="Times New Roman"/>
          <w:lang w:val="fr-CA"/>
        </w:rPr>
        <w:t>-</w:t>
      </w:r>
      <w:r w:rsidRPr="008F040A">
        <w:rPr>
          <w:rFonts w:cs="Times New Roman"/>
          <w:lang w:val="fr-CA"/>
        </w:rPr>
        <w:t xml:space="preserve">751). Le deuxième découle des explications formulées dans les arrêts </w:t>
      </w:r>
      <w:r w:rsidRPr="008F040A">
        <w:rPr>
          <w:rFonts w:cs="Times New Roman"/>
          <w:i/>
          <w:lang w:val="fr-CA"/>
        </w:rPr>
        <w:t>Canada (Directeur des enquêtes et recherches) c.</w:t>
      </w:r>
      <w:r w:rsidRPr="008F040A">
        <w:rPr>
          <w:rFonts w:cs="Times New Roman"/>
          <w:lang w:val="fr-CA"/>
        </w:rPr>
        <w:t xml:space="preserve"> </w:t>
      </w:r>
      <w:r w:rsidRPr="008F040A">
        <w:rPr>
          <w:rFonts w:cs="Times New Roman"/>
          <w:i/>
          <w:lang w:val="fr-CA"/>
        </w:rPr>
        <w:t>Southam Inc.</w:t>
      </w:r>
      <w:r w:rsidRPr="008F040A">
        <w:rPr>
          <w:rFonts w:cs="Times New Roman"/>
          <w:lang w:val="fr-CA"/>
        </w:rPr>
        <w:t xml:space="preserve">, [1997] 1 R.C.S. 748, par. 35, et </w:t>
      </w:r>
      <w:r w:rsidRPr="008F040A">
        <w:rPr>
          <w:rFonts w:cs="Times New Roman"/>
          <w:i/>
          <w:lang w:val="fr-CA"/>
        </w:rPr>
        <w:t>Housen c. Nikolaisen</w:t>
      </w:r>
      <w:r w:rsidRPr="008F040A">
        <w:rPr>
          <w:rFonts w:cs="Times New Roman"/>
          <w:lang w:val="fr-CA"/>
        </w:rPr>
        <w:t>, 2002 CSC 33, [2002] 2 R.C.S. 235, par. 26 et 31</w:t>
      </w:r>
      <w:r>
        <w:rPr>
          <w:rFonts w:cs="Times New Roman"/>
          <w:lang w:val="fr-CA"/>
        </w:rPr>
        <w:t>-</w:t>
      </w:r>
      <w:r w:rsidRPr="008F040A">
        <w:rPr>
          <w:rFonts w:cs="Times New Roman"/>
          <w:lang w:val="fr-CA"/>
        </w:rPr>
        <w:t>36, sur ce qui distingue la question de droit de la question mixte de fait et de droit</w:t>
      </w:r>
      <w:r w:rsidRPr="008F040A">
        <w:rPr>
          <w:rFonts w:cs="Times New Roman"/>
          <w:i/>
          <w:lang w:val="fr-CA"/>
        </w:rPr>
        <w:t>.</w:t>
      </w:r>
    </w:p>
    <w:p w:rsidR="00EC1E65" w:rsidRPr="008F040A" w:rsidRDefault="00EC1E65" w:rsidP="00EC1E65">
      <w:pPr>
        <w:pStyle w:val="ParaNoNdepar-AltN"/>
        <w:rPr>
          <w:rFonts w:cs="Times New Roman"/>
          <w:lang w:val="fr-CA"/>
        </w:rPr>
      </w:pPr>
      <w:r w:rsidRPr="008F040A">
        <w:rPr>
          <w:rFonts w:cs="Times New Roman"/>
          <w:lang w:val="fr-CA"/>
        </w:rPr>
        <w:t>Relativement au premier changement, l’interprétation des contrats a évolué vers une démarche pratique, axée sur le bon sens plutôt que sur des règles de forme en matière d’interprétation. La question prédominante consiste à discerner « l’intention des parties et la portée de l’entente » (</w:t>
      </w:r>
      <w:r w:rsidRPr="008F040A">
        <w:rPr>
          <w:rFonts w:cs="Times New Roman"/>
          <w:i/>
          <w:lang w:val="fr-CA"/>
        </w:rPr>
        <w:t>Jesuit Fathers of Upper Canada c. Cie d’assurance Guardian du Canada</w:t>
      </w:r>
      <w:r w:rsidRPr="008F040A">
        <w:rPr>
          <w:rFonts w:cs="Times New Roman"/>
          <w:lang w:val="fr-CA"/>
        </w:rPr>
        <w:t xml:space="preserve">, 2006 CSC 21, [2006] 1 R.C.S. 744, par. 27, le juge LeBel; voir aussi </w:t>
      </w:r>
      <w:r w:rsidRPr="008F040A">
        <w:rPr>
          <w:rFonts w:cs="Times New Roman"/>
          <w:i/>
          <w:lang w:val="fr-CA"/>
        </w:rPr>
        <w:t>Tercon Contractors Ltd. c. Colombie</w:t>
      </w:r>
      <w:r w:rsidRPr="008F040A">
        <w:rPr>
          <w:rFonts w:cs="Times New Roman"/>
          <w:i/>
          <w:lang w:val="fr-CA"/>
        </w:rPr>
        <w:noBreakHyphen/>
        <w:t>Britannique (Transports et Voirie)</w:t>
      </w:r>
      <w:r w:rsidRPr="008F040A">
        <w:rPr>
          <w:rFonts w:cs="Times New Roman"/>
          <w:lang w:val="fr-CA"/>
        </w:rPr>
        <w:t xml:space="preserve">, 2010 </w:t>
      </w:r>
      <w:r>
        <w:rPr>
          <w:rFonts w:cs="Times New Roman"/>
          <w:lang w:val="fr-CA"/>
        </w:rPr>
        <w:t>C</w:t>
      </w:r>
      <w:r w:rsidRPr="008F040A">
        <w:rPr>
          <w:rFonts w:cs="Times New Roman"/>
          <w:lang w:val="fr-CA"/>
        </w:rPr>
        <w:t>SC 4, [2010] 1 R.C.S. 69, par. 64</w:t>
      </w:r>
      <w:r w:rsidRPr="008F040A">
        <w:rPr>
          <w:rFonts w:cs="Times New Roman"/>
          <w:lang w:val="fr-CA"/>
        </w:rPr>
        <w:noBreakHyphen/>
        <w:t xml:space="preserve">65, le juge Cromwell). Pour ce faire, le décideur doit interpréter le contrat dans son ensemble, en donnant aux mots y figurant le sens ordinaire et grammatical qui s’harmonise avec les circonstances dont les parties avaient connaissance au moment de la conclusion du contrat. Par l’examen des </w:t>
      </w:r>
      <w:r w:rsidRPr="008F040A">
        <w:rPr>
          <w:rFonts w:cs="Times New Roman"/>
          <w:lang w:val="fr-CA"/>
        </w:rPr>
        <w:lastRenderedPageBreak/>
        <w:t xml:space="preserve">circonstances, on reconnaît qu’il peut être difficile de déterminer l’intention contractuelle à partir des seuls mots, car les mots en </w:t>
      </w:r>
      <w:r>
        <w:rPr>
          <w:rFonts w:cs="Times New Roman"/>
          <w:lang w:val="fr-CA"/>
        </w:rPr>
        <w:t>soi</w:t>
      </w:r>
      <w:r w:rsidRPr="008F040A">
        <w:rPr>
          <w:rFonts w:cs="Times New Roman"/>
          <w:lang w:val="fr-CA"/>
        </w:rPr>
        <w:t xml:space="preserve"> n’ont pas un sens immuable ou absolu :</w:t>
      </w:r>
    </w:p>
    <w:p w:rsidR="00EC1E65" w:rsidRPr="008F040A" w:rsidRDefault="00EC1E65" w:rsidP="00EC1E65">
      <w:pPr>
        <w:pStyle w:val="Citation-AltC"/>
        <w:spacing w:after="240"/>
        <w:ind w:left="1168" w:hanging="1168"/>
        <w:contextualSpacing w:val="0"/>
        <w:rPr>
          <w:lang w:val="fr-CA"/>
        </w:rPr>
      </w:pPr>
      <w:r w:rsidRPr="008F040A">
        <w:rPr>
          <w:lang w:val="fr-CA"/>
        </w:rPr>
        <w:tab/>
        <w:t>[</w:t>
      </w:r>
      <w:r w:rsidRPr="008F040A">
        <w:rPr>
          <w:smallCaps/>
          <w:lang w:val="fr-CA"/>
        </w:rPr>
        <w:t>traduction</w:t>
      </w:r>
      <w:r w:rsidRPr="008F040A">
        <w:rPr>
          <w:lang w:val="fr-CA"/>
        </w:rPr>
        <w:t>]  Aucun contrat n’est conclu dans l’abstrait : les contrats s’inscrivent toujours dans un contexte</w:t>
      </w:r>
      <w:r>
        <w:rPr>
          <w:lang w:val="fr-CA"/>
        </w:rPr>
        <w:t>.</w:t>
      </w:r>
      <w:r w:rsidRPr="008F040A">
        <w:rPr>
          <w:lang w:val="fr-CA"/>
        </w:rPr>
        <w:t xml:space="preserve"> [. . .] Lorsqu’un contrat commercial est en cause, le tribunal devrait certes connaître son objet sur le plan commercial, ce qui présuppose d’autre part une connaissance de l’origine de l’opération, de l’historique, du contexte, du marché dans lequel les parties exercent leurs activités. </w:t>
      </w:r>
    </w:p>
    <w:p w:rsidR="00EC1E65" w:rsidRPr="008F040A" w:rsidRDefault="00EC1E65" w:rsidP="00EC1E65">
      <w:pPr>
        <w:pStyle w:val="Citation-AltC"/>
        <w:ind w:left="0" w:hanging="1168"/>
        <w:contextualSpacing w:val="0"/>
      </w:pPr>
      <w:r w:rsidRPr="008F040A">
        <w:rPr>
          <w:lang w:val="fr-CA"/>
        </w:rPr>
        <w:tab/>
      </w:r>
      <w:r w:rsidRPr="008F040A">
        <w:t>(</w:t>
      </w:r>
      <w:r w:rsidRPr="008F040A">
        <w:rPr>
          <w:i/>
        </w:rPr>
        <w:t>Reardon Smith Line</w:t>
      </w:r>
      <w:r>
        <w:t>, p. 574, le lord Wilberforce)</w:t>
      </w:r>
    </w:p>
    <w:p w:rsidR="00EC1E65" w:rsidRPr="008F040A" w:rsidRDefault="00EC1E65" w:rsidP="00EC1E65">
      <w:pPr>
        <w:pStyle w:val="ParaNoNdepar-AltN"/>
        <w:rPr>
          <w:rFonts w:cs="Times New Roman"/>
          <w:lang w:val="en-US"/>
        </w:rPr>
      </w:pPr>
      <w:r w:rsidRPr="008F040A">
        <w:rPr>
          <w:rFonts w:cs="Times New Roman"/>
          <w:lang w:val="fr-CA"/>
        </w:rPr>
        <w:t>Le sens des mots est souvent déterminé par un certain nombre de facteurs contextuels, y compris l’objet de l’entente et la nature des rapports créés par celle</w:t>
      </w:r>
      <w:r w:rsidRPr="008F040A">
        <w:rPr>
          <w:rFonts w:cs="Times New Roman"/>
          <w:lang w:val="fr-CA"/>
        </w:rPr>
        <w:noBreakHyphen/>
        <w:t>ci (voir</w:t>
      </w:r>
      <w:r w:rsidRPr="008F040A">
        <w:rPr>
          <w:rFonts w:cs="Times New Roman"/>
          <w:i/>
          <w:lang w:val="fr-CA"/>
        </w:rPr>
        <w:t xml:space="preserve"> Moore Realty Inc. c. Manitoba Motor League</w:t>
      </w:r>
      <w:r w:rsidRPr="008F040A">
        <w:rPr>
          <w:rFonts w:cs="Times New Roman"/>
          <w:lang w:val="fr-CA"/>
        </w:rPr>
        <w:t>, 2003 MBCA 71, 173 Man. R. (2d) 300, par. 15, la juge Hamilton; voir aussi Hall, p. 22; McCamus, p. 749</w:t>
      </w:r>
      <w:r>
        <w:rPr>
          <w:rFonts w:cs="Times New Roman"/>
          <w:lang w:val="fr-CA"/>
        </w:rPr>
        <w:t>-</w:t>
      </w:r>
      <w:r w:rsidRPr="008F040A">
        <w:rPr>
          <w:rFonts w:cs="Times New Roman"/>
          <w:lang w:val="fr-CA"/>
        </w:rPr>
        <w:t xml:space="preserve">750). </w:t>
      </w:r>
      <w:r w:rsidRPr="008F040A">
        <w:rPr>
          <w:rFonts w:cs="Times New Roman"/>
          <w:lang w:val="en-US"/>
        </w:rPr>
        <w:t xml:space="preserve">Pour reprendre les propos du lord Hoffmann dans </w:t>
      </w:r>
      <w:r w:rsidRPr="008F040A">
        <w:rPr>
          <w:rFonts w:cs="Times New Roman"/>
          <w:i/>
          <w:lang w:val="en-US"/>
        </w:rPr>
        <w:t>Investors Compensation Scheme Ltd. c. West Bromwich Building Society</w:t>
      </w:r>
      <w:r>
        <w:rPr>
          <w:rFonts w:cs="Times New Roman"/>
          <w:lang w:val="en-US"/>
        </w:rPr>
        <w:t>, [1998] 1 All E.R. 98 (H</w:t>
      </w:r>
      <w:r w:rsidRPr="008F040A">
        <w:rPr>
          <w:rFonts w:cs="Times New Roman"/>
          <w:lang w:val="en-US"/>
        </w:rPr>
        <w:t xml:space="preserve">.L.) : </w:t>
      </w:r>
    </w:p>
    <w:p w:rsidR="00EC1E65" w:rsidRPr="008F040A" w:rsidRDefault="00EC1E65" w:rsidP="00EC1E65">
      <w:pPr>
        <w:pStyle w:val="Citation-AltC"/>
        <w:ind w:left="1168" w:hanging="1168"/>
        <w:contextualSpacing w:val="0"/>
        <w:rPr>
          <w:lang w:val="fr-CA"/>
        </w:rPr>
      </w:pPr>
      <w:r w:rsidRPr="008F040A">
        <w:rPr>
          <w:lang w:val="en-US"/>
        </w:rPr>
        <w:tab/>
      </w:r>
      <w:r>
        <w:rPr>
          <w:lang w:val="en-US"/>
        </w:rPr>
        <w:tab/>
      </w:r>
      <w:r w:rsidRPr="008F040A">
        <w:rPr>
          <w:lang w:val="fr-CA"/>
        </w:rPr>
        <w:t>[</w:t>
      </w:r>
      <w:r w:rsidRPr="008F040A">
        <w:rPr>
          <w:smallCaps/>
          <w:lang w:val="fr-CA"/>
        </w:rPr>
        <w:t>traduction</w:t>
      </w:r>
      <w:r w:rsidRPr="008F040A">
        <w:rPr>
          <w:lang w:val="fr-CA"/>
        </w:rPr>
        <w:t>] Le sens d’un document (ou toute autre déclaration) qui est transmis à la personne raisonnable n’équivaut pas au sens des mots qui le composent. Le sens des mots fait intervenir les dictionnaires et les grammaires; le sens du document représente ce qu’il est raisonnable de croire que les parties, en employant ces mots compte tenu du contexte pertinent, ont voulu exprimer. [p. 115]</w:t>
      </w:r>
    </w:p>
    <w:p w:rsidR="00EC1E65" w:rsidRPr="008F040A" w:rsidRDefault="00EC1E65" w:rsidP="00EC1E65">
      <w:pPr>
        <w:pStyle w:val="ParaNoNdepar-AltN"/>
        <w:rPr>
          <w:rFonts w:cs="Times New Roman"/>
          <w:lang w:val="fr-CA"/>
        </w:rPr>
      </w:pPr>
      <w:r w:rsidRPr="008F040A">
        <w:rPr>
          <w:rFonts w:cs="Times New Roman"/>
          <w:lang w:val="fr-CA"/>
        </w:rPr>
        <w:t xml:space="preserve">Relativement au deuxième changement, l’approche historique de l’interprétation contractuelle ne cadre pas bien avec la définition de la pure question de droit formulée dans les arrêts </w:t>
      </w:r>
      <w:r w:rsidRPr="008F040A">
        <w:rPr>
          <w:rFonts w:cs="Times New Roman"/>
          <w:i/>
          <w:lang w:val="fr-CA"/>
        </w:rPr>
        <w:t>Housen</w:t>
      </w:r>
      <w:r w:rsidRPr="008F040A">
        <w:rPr>
          <w:rFonts w:cs="Times New Roman"/>
          <w:lang w:val="fr-CA"/>
        </w:rPr>
        <w:t xml:space="preserve"> et </w:t>
      </w:r>
      <w:r w:rsidRPr="008F040A">
        <w:rPr>
          <w:rFonts w:cs="Times New Roman"/>
          <w:i/>
          <w:lang w:val="fr-CA"/>
        </w:rPr>
        <w:t>Southam</w:t>
      </w:r>
      <w:r w:rsidRPr="008F040A">
        <w:rPr>
          <w:rFonts w:cs="Times New Roman"/>
          <w:lang w:val="fr-CA"/>
        </w:rPr>
        <w:t xml:space="preserve">. Les questions de droit « concernent </w:t>
      </w:r>
      <w:r w:rsidRPr="008F040A">
        <w:rPr>
          <w:rFonts w:cs="Times New Roman"/>
          <w:lang w:val="fr-CA"/>
        </w:rPr>
        <w:lastRenderedPageBreak/>
        <w:t>la détermination du critère juridique applicable » (</w:t>
      </w:r>
      <w:r w:rsidRPr="008F040A">
        <w:rPr>
          <w:rFonts w:cs="Times New Roman"/>
          <w:i/>
          <w:lang w:val="fr-CA"/>
        </w:rPr>
        <w:t>Southam</w:t>
      </w:r>
      <w:r w:rsidRPr="008F040A">
        <w:rPr>
          <w:rFonts w:cs="Times New Roman"/>
          <w:lang w:val="fr-CA"/>
        </w:rPr>
        <w:t xml:space="preserve">, par. 35). Or, lorsqu’il s’agit d’interprétation contractuelle, le but de l’exercice consiste à déterminer l’intention objective des parties </w:t>
      </w:r>
      <w:r>
        <w:rPr>
          <w:rFonts w:cs="Times New Roman"/>
          <w:lang w:val="fr-CA"/>
        </w:rPr>
        <w:t>—</w:t>
      </w:r>
      <w:r w:rsidRPr="008F040A">
        <w:rPr>
          <w:rFonts w:cs="Times New Roman"/>
          <w:lang w:val="fr-CA"/>
        </w:rPr>
        <w:t xml:space="preserve"> un but axé sur les faits </w:t>
      </w:r>
      <w:r>
        <w:rPr>
          <w:rFonts w:cs="Times New Roman"/>
          <w:lang w:val="fr-CA"/>
        </w:rPr>
        <w:t>—</w:t>
      </w:r>
      <w:r w:rsidRPr="008F040A">
        <w:rPr>
          <w:rFonts w:cs="Times New Roman"/>
          <w:lang w:val="fr-CA"/>
        </w:rPr>
        <w:t xml:space="preserve"> par l’application des principes juridiques d’interprétation. Il me semble que cela se rapproche plutôt de la question mixte de fait et de droit, définie dans l’arrêt </w:t>
      </w:r>
      <w:r w:rsidRPr="008F040A">
        <w:rPr>
          <w:rFonts w:cs="Times New Roman"/>
          <w:i/>
          <w:lang w:val="fr-CA"/>
        </w:rPr>
        <w:t>Housen</w:t>
      </w:r>
      <w:r w:rsidRPr="008F040A">
        <w:rPr>
          <w:rFonts w:cs="Times New Roman"/>
          <w:lang w:val="fr-CA"/>
        </w:rPr>
        <w:t xml:space="preserve"> comme supposant « l’application d’une norme juridique à un ensemble de faits » (par. 26; voir aussi </w:t>
      </w:r>
      <w:r w:rsidRPr="008F040A">
        <w:rPr>
          <w:rFonts w:cs="Times New Roman"/>
          <w:i/>
          <w:lang w:val="fr-CA"/>
        </w:rPr>
        <w:t>Southam</w:t>
      </w:r>
      <w:r w:rsidRPr="008F040A">
        <w:rPr>
          <w:rFonts w:cs="Times New Roman"/>
          <w:lang w:val="fr-CA"/>
        </w:rPr>
        <w:t xml:space="preserve">, par. 35). Toutefois, certains tribunaux ont émis des doutes sur l’application directe de cette définition, qui avait été établie à l’égard d’une action intentée pour négligence, à des questions d’interprétation contractuelle et laissent entendre que cette dernière est d’abord et avant tout une affaire de droit (voir par exemple </w:t>
      </w:r>
      <w:r w:rsidRPr="008F040A">
        <w:rPr>
          <w:rFonts w:cs="Times New Roman"/>
          <w:i/>
          <w:lang w:val="fr-CA"/>
        </w:rPr>
        <w:t>Bell Canada</w:t>
      </w:r>
      <w:r w:rsidRPr="008F040A">
        <w:rPr>
          <w:rFonts w:cs="Times New Roman"/>
          <w:lang w:val="fr-CA"/>
        </w:rPr>
        <w:t xml:space="preserve">, par. 25). </w:t>
      </w:r>
    </w:p>
    <w:p w:rsidR="00EC1E65" w:rsidRPr="008F040A" w:rsidRDefault="00EC1E65" w:rsidP="00EC1E65">
      <w:pPr>
        <w:pStyle w:val="ParaNoNdepar-AltN"/>
        <w:rPr>
          <w:rFonts w:cs="Times New Roman"/>
          <w:lang w:val="fr-CA"/>
        </w:rPr>
      </w:pPr>
      <w:r w:rsidRPr="008F040A">
        <w:rPr>
          <w:rFonts w:cs="Times New Roman"/>
          <w:lang w:val="fr-CA"/>
        </w:rPr>
        <w:t>Avec tout le respect que je dois aux tenants de l’opinion contraire, à mon avis, il faut rompre avec l’approche historique. L’interprétation contractuelle soulève des questions mixtes de fait et de droit, car il s’agit d’en appliquer les principes aux termes figurant dans le contrat écrit, à la lumière du fondement factuel.</w:t>
      </w:r>
    </w:p>
    <w:p w:rsidR="00EC1E65" w:rsidRPr="008F040A" w:rsidRDefault="00EC1E65" w:rsidP="00EC1E65">
      <w:pPr>
        <w:pStyle w:val="ParaNoNdepar-AltN"/>
        <w:rPr>
          <w:rFonts w:cs="Times New Roman"/>
          <w:lang w:val="fr-CA"/>
        </w:rPr>
      </w:pPr>
      <w:r w:rsidRPr="008F040A">
        <w:rPr>
          <w:rFonts w:cs="Times New Roman"/>
          <w:lang w:val="fr-CA"/>
        </w:rPr>
        <w:t>Cette conclusion est étayée par les raisons qui sous</w:t>
      </w:r>
      <w:r w:rsidRPr="008F040A">
        <w:rPr>
          <w:rFonts w:cs="Times New Roman"/>
          <w:lang w:val="fr-CA"/>
        </w:rPr>
        <w:noBreakHyphen/>
        <w:t xml:space="preserve">tendent la distinction établie entre la question de droit et la question mixte de fait et de droit. En distinguant ces deux catégories, on visait principalement à restreindre l’intervention de la juridiction d’appel aux affaires qui entraîneraient probablement des répercussions qui ne seraient pas limitées aux parties au litige. Ainsi, le rôle des cours d’appel, qui consiste à assurer la cohérence du droit, et non à offrir aux parties une nouvelle tribune leur permettant de poursuivre leur litige privé, est préservé. C’est pourquoi la Cour </w:t>
      </w:r>
      <w:r w:rsidRPr="008F040A">
        <w:rPr>
          <w:rFonts w:cs="Times New Roman"/>
          <w:lang w:val="fr-CA"/>
        </w:rPr>
        <w:lastRenderedPageBreak/>
        <w:t xml:space="preserve">dans l’arrêt </w:t>
      </w:r>
      <w:r w:rsidRPr="008F040A">
        <w:rPr>
          <w:rFonts w:cs="Times New Roman"/>
          <w:i/>
          <w:lang w:val="fr-CA"/>
        </w:rPr>
        <w:t>Southam</w:t>
      </w:r>
      <w:r w:rsidRPr="008F040A">
        <w:rPr>
          <w:rFonts w:cs="Times New Roman"/>
          <w:lang w:val="fr-CA"/>
        </w:rPr>
        <w:t xml:space="preserve"> reconnaît le degré de généralité (ou « la valeur comme précédents ») comme la principale différence entre la question de droit et la question mixte de fait et de droit. Plus la règle est stricte, moins l’intervention de la cour d’appel sera utile :</w:t>
      </w:r>
    </w:p>
    <w:p w:rsidR="00EC1E65" w:rsidRPr="008F040A" w:rsidRDefault="00EC1E65" w:rsidP="00EC1E65">
      <w:pPr>
        <w:pStyle w:val="Citation-AltC"/>
        <w:ind w:hanging="1166"/>
      </w:pPr>
      <w:r w:rsidRPr="008F040A">
        <w:rPr>
          <w:lang w:val="fr-CA"/>
        </w:rPr>
        <w:tab/>
        <w:t xml:space="preserve">Si une cour décidait que le fait d’avoir conduit à une certaine vitesse, sur une route donnée et dans des conditions particulières constituait de la négligence, sa décision aurait peu de valeur comme précédent. Bref, plus le niveau de généralité de la proposition contestée se rapproche de la particularité absolue, plus l’affaire prend le caractère d’une question d’application pure, et s’approche donc d’une question de droit et de fait parfaite. </w:t>
      </w:r>
      <w:r w:rsidRPr="008F040A">
        <w:t xml:space="preserve">Voir R. P. Kerans, </w:t>
      </w:r>
      <w:r w:rsidRPr="008F040A">
        <w:rPr>
          <w:i/>
          <w:iCs/>
        </w:rPr>
        <w:t>Standards of Review Employed by Appellate Courts</w:t>
      </w:r>
      <w:r w:rsidRPr="008F040A">
        <w:t xml:space="preserve"> (1994), aux pp. 103 à 108.  </w:t>
      </w:r>
      <w:r w:rsidRPr="008F040A">
        <w:rPr>
          <w:lang w:val="fr-CA"/>
        </w:rPr>
        <w:t xml:space="preserve">Il va de soi qu’il n’est pas facile de dire avec précision où doit être tracée la ligne de démarcation; quoique, dans la plupart des cas, la situation soit suffisamment claire pour permettre de déterminer si le litige porte sur une proposition générale qui peut être qualifiée de principe de droit ou sur un ensemble très particulier de circonstances qui n’est pas susceptible de présenter beaucoup d’intérêt pour les juges et les avocats dans l’avenir. </w:t>
      </w:r>
      <w:r w:rsidRPr="008F040A">
        <w:t xml:space="preserve">[par. 37]  </w:t>
      </w:r>
    </w:p>
    <w:p w:rsidR="00EC1E65" w:rsidRPr="008F040A" w:rsidRDefault="00EC1E65" w:rsidP="00EC1E65">
      <w:pPr>
        <w:pStyle w:val="ParaNoNdepar-AltN"/>
        <w:rPr>
          <w:rFonts w:cs="Times New Roman"/>
          <w:lang w:val="fr-CA"/>
        </w:rPr>
      </w:pPr>
      <w:r w:rsidRPr="008F040A">
        <w:rPr>
          <w:rFonts w:cs="Times New Roman"/>
          <w:lang w:val="fr-CA"/>
        </w:rPr>
        <w:t xml:space="preserve">De même, la Cour dans l’arrêt </w:t>
      </w:r>
      <w:r w:rsidRPr="008F040A">
        <w:rPr>
          <w:rFonts w:cs="Times New Roman"/>
          <w:i/>
          <w:lang w:val="fr-CA"/>
        </w:rPr>
        <w:t>Housen</w:t>
      </w:r>
      <w:r w:rsidRPr="008F040A">
        <w:rPr>
          <w:rFonts w:cs="Times New Roman"/>
          <w:lang w:val="fr-CA"/>
        </w:rPr>
        <w:t xml:space="preserve"> conclut que la retenue à l’égard du juge des faits contribue à réduire le nombre, la durée et le coût des appels tout en favorisant l’autonomie du procès et son intégrité (par. 16</w:t>
      </w:r>
      <w:r>
        <w:rPr>
          <w:rFonts w:cs="Times New Roman"/>
          <w:lang w:val="fr-CA"/>
        </w:rPr>
        <w:t>-</w:t>
      </w:r>
      <w:r w:rsidRPr="008F040A">
        <w:rPr>
          <w:rFonts w:cs="Times New Roman"/>
          <w:lang w:val="fr-CA"/>
        </w:rPr>
        <w:t>17). Ces principes militent également en faveur de la déférence à l’endroit des décideurs de première instance en matière d’interprétation contractuelle. Les obligations juridiques issues d’un contrat se limitent, dans la plupart des cas, aux intérêts des parties au litige. Le vaste pouvoir de trancher les questions d’application limitée que notre système judiciaire confère au</w:t>
      </w:r>
      <w:r>
        <w:rPr>
          <w:rFonts w:cs="Times New Roman"/>
          <w:lang w:val="fr-CA"/>
        </w:rPr>
        <w:t>x</w:t>
      </w:r>
      <w:r w:rsidRPr="008F040A">
        <w:rPr>
          <w:rFonts w:cs="Times New Roman"/>
          <w:lang w:val="fr-CA"/>
        </w:rPr>
        <w:t xml:space="preserve"> tribuna</w:t>
      </w:r>
      <w:r>
        <w:rPr>
          <w:rFonts w:cs="Times New Roman"/>
          <w:lang w:val="fr-CA"/>
        </w:rPr>
        <w:t>ux</w:t>
      </w:r>
      <w:r w:rsidRPr="008F040A">
        <w:rPr>
          <w:rFonts w:cs="Times New Roman"/>
          <w:lang w:val="fr-CA"/>
        </w:rPr>
        <w:t xml:space="preserve"> </w:t>
      </w:r>
      <w:r>
        <w:rPr>
          <w:rFonts w:cs="Times New Roman"/>
          <w:lang w:val="fr-CA"/>
        </w:rPr>
        <w:t xml:space="preserve">de </w:t>
      </w:r>
      <w:r w:rsidRPr="008F040A">
        <w:rPr>
          <w:rFonts w:cs="Times New Roman"/>
          <w:lang w:val="fr-CA"/>
        </w:rPr>
        <w:t xml:space="preserve">première instance appuie la proposition selon laquelle l’interprétation contractuelle est une question mixte de fait et de droit. </w:t>
      </w:r>
    </w:p>
    <w:p w:rsidR="00EC1E65" w:rsidRPr="008F040A" w:rsidRDefault="00EC1E65" w:rsidP="00EC1E65">
      <w:pPr>
        <w:pStyle w:val="ParaNoNdepar-AltN"/>
        <w:rPr>
          <w:rFonts w:cs="Times New Roman"/>
          <w:lang w:val="fr-CA"/>
        </w:rPr>
      </w:pPr>
      <w:r w:rsidRPr="008F040A">
        <w:rPr>
          <w:rFonts w:cs="Times New Roman"/>
          <w:lang w:val="fr-CA"/>
        </w:rPr>
        <w:lastRenderedPageBreak/>
        <w:t>Néanmoins, il peut se révéler possible de dégager une pure question de droit de ce qui paraît au départ constituer une question mixte de fait et de droit (</w:t>
      </w:r>
      <w:r w:rsidRPr="008F040A">
        <w:rPr>
          <w:rFonts w:cs="Times New Roman"/>
          <w:i/>
          <w:lang w:val="fr-CA"/>
        </w:rPr>
        <w:t>Housen</w:t>
      </w:r>
      <w:r w:rsidRPr="008F040A">
        <w:rPr>
          <w:rFonts w:cs="Times New Roman"/>
          <w:lang w:val="fr-CA"/>
        </w:rPr>
        <w:t>, par. 31</w:t>
      </w:r>
      <w:r>
        <w:rPr>
          <w:rFonts w:cs="Times New Roman"/>
          <w:lang w:val="fr-CA"/>
        </w:rPr>
        <w:t xml:space="preserve"> et </w:t>
      </w:r>
      <w:r w:rsidRPr="008F040A">
        <w:rPr>
          <w:rFonts w:cs="Times New Roman"/>
          <w:lang w:val="fr-CA"/>
        </w:rPr>
        <w:t>34</w:t>
      </w:r>
      <w:r>
        <w:rPr>
          <w:rFonts w:cs="Times New Roman"/>
          <w:lang w:val="fr-CA"/>
        </w:rPr>
        <w:t>-</w:t>
      </w:r>
      <w:r w:rsidRPr="008F040A">
        <w:rPr>
          <w:rFonts w:cs="Times New Roman"/>
          <w:lang w:val="fr-CA"/>
        </w:rPr>
        <w:t>35). L’interprétation contractuelle peut occasionner des erreurs de droit, notamment [</w:t>
      </w:r>
      <w:r w:rsidRPr="008F040A">
        <w:rPr>
          <w:rFonts w:cs="Times New Roman"/>
          <w:smallCaps/>
          <w:lang w:val="fr-CA"/>
        </w:rPr>
        <w:t>traduction</w:t>
      </w:r>
      <w:r w:rsidRPr="008F040A">
        <w:rPr>
          <w:rFonts w:cs="Times New Roman"/>
          <w:lang w:val="fr-CA"/>
        </w:rPr>
        <w:t>] « appliquer le mauvais principe ou négliger un élément essentiel d’un critère juridique ou un facteur pertinent » (</w:t>
      </w:r>
      <w:r w:rsidRPr="008F040A">
        <w:rPr>
          <w:rFonts w:cs="Times New Roman"/>
          <w:i/>
          <w:lang w:val="fr-CA"/>
        </w:rPr>
        <w:t>King</w:t>
      </w:r>
      <w:r w:rsidRPr="008F040A">
        <w:rPr>
          <w:rFonts w:cs="Times New Roman"/>
          <w:lang w:val="fr-CA"/>
        </w:rPr>
        <w:t>, par. 21). En outre, il est indubitable que nombre d’autres questions se posant en droit des contrats mettent en jeu des règles de droit substantiel : les critères de formation du contrat, la capacité des parties, l’obligation que soient constatés par écrit certains types de contrat, etc.</w:t>
      </w:r>
    </w:p>
    <w:p w:rsidR="00EC1E65" w:rsidRPr="008F040A" w:rsidRDefault="00EC1E65" w:rsidP="00EC1E65">
      <w:pPr>
        <w:pStyle w:val="ParaNoNdepar-AltN"/>
        <w:rPr>
          <w:rFonts w:cs="Times New Roman"/>
          <w:lang w:val="fr-CA"/>
        </w:rPr>
      </w:pPr>
      <w:r w:rsidRPr="008F040A">
        <w:rPr>
          <w:rFonts w:cs="Times New Roman"/>
          <w:lang w:val="fr-CA"/>
        </w:rPr>
        <w:t>Le tribunal doit cependant faire preuve de prudence avant d’isoler une question de droit dans un litige portant sur l’interprétation contractuelle. Compte tenu de l’obligation, prévue au par. 31(2) de l’</w:t>
      </w:r>
      <w:r w:rsidRPr="008F040A">
        <w:rPr>
          <w:rFonts w:cs="Times New Roman"/>
          <w:i/>
          <w:lang w:val="fr-CA"/>
        </w:rPr>
        <w:t>AA</w:t>
      </w:r>
      <w:r w:rsidRPr="008F040A">
        <w:rPr>
          <w:rFonts w:cs="Times New Roman"/>
          <w:lang w:val="fr-CA"/>
        </w:rPr>
        <w:t xml:space="preserve">, que la demande d’autorisation soulève une question de droit, le demandeur et son représentant chercheront à qualifier de question de droit toute erreur qu’ils invoquent. Toutefois, le législateur a pris des mesures visant à limiter ce genre d’appels, et les tribunaux doivent examiner soigneusement le motif d’appel proposé pour déterminer s’il est bien caractérisé. La mise en garde exprimée dans </w:t>
      </w:r>
      <w:r w:rsidRPr="008F040A">
        <w:rPr>
          <w:rFonts w:cs="Times New Roman"/>
          <w:i/>
          <w:lang w:val="fr-CA"/>
        </w:rPr>
        <w:t>Housen</w:t>
      </w:r>
      <w:r w:rsidRPr="008F040A">
        <w:rPr>
          <w:rFonts w:cs="Times New Roman"/>
          <w:lang w:val="fr-CA"/>
        </w:rPr>
        <w:t xml:space="preserve"> qui appelle à la prudence lorsqu’il s’agit d’isoler une question de droit s’applique dans le cas présent :</w:t>
      </w:r>
    </w:p>
    <w:p w:rsidR="00EC1E65" w:rsidRPr="008F040A" w:rsidRDefault="00EC1E65" w:rsidP="00EC1E65">
      <w:pPr>
        <w:pStyle w:val="Citation-AltC"/>
        <w:ind w:hanging="1166"/>
        <w:rPr>
          <w:lang w:val="fr-CA"/>
        </w:rPr>
      </w:pPr>
      <w:r w:rsidRPr="008F040A">
        <w:rPr>
          <w:lang w:val="fr-CA"/>
        </w:rPr>
        <w:tab/>
        <w:t>Les cours d’appel doivent cependant faire preuve de prudence avant de juger que le juge de première instance a commis une erreur de droit lorsqu’il a conclu à la négligence, puisqu’il est souvent difficile de départager les questions de droit et les questions de fait.  Voilà pourquoi on appelle certaines questions des questions « mixtes de fait et de droit ».  Si le principe juridique n’est pas facilement isolable, il s’agit alors d’une « question mixte de fait et de droit »</w:t>
      </w:r>
      <w:r>
        <w:rPr>
          <w:lang w:val="fr-CA"/>
        </w:rPr>
        <w:t xml:space="preserve"> </w:t>
      </w:r>
      <w:r w:rsidRPr="008F040A">
        <w:rPr>
          <w:lang w:val="fr-CA"/>
        </w:rPr>
        <w:t>. . . [par. 36]</w:t>
      </w:r>
    </w:p>
    <w:p w:rsidR="00EC1E65" w:rsidRPr="008F040A" w:rsidRDefault="00EC1E65" w:rsidP="00EC1E65">
      <w:pPr>
        <w:pStyle w:val="ParaNoNdepar-AltN"/>
        <w:rPr>
          <w:rFonts w:cs="Times New Roman"/>
          <w:lang w:val="fr-CA"/>
        </w:rPr>
      </w:pPr>
      <w:r w:rsidRPr="008F040A">
        <w:rPr>
          <w:rFonts w:cs="Times New Roman"/>
          <w:lang w:val="fr-CA"/>
        </w:rPr>
        <w:lastRenderedPageBreak/>
        <w:t xml:space="preserve">Certes, cette mise en garde a été formulée dans le contexte d’une action pour négligence, mais elle s’applique également à mon avis à l’interprétation contractuelle. Comme je le mentionne précédemment, le but de l’interprétation contractuelle </w:t>
      </w:r>
      <w:r>
        <w:rPr>
          <w:rFonts w:cs="Times New Roman"/>
          <w:lang w:val="fr-CA"/>
        </w:rPr>
        <w:t>—</w:t>
      </w:r>
      <w:r w:rsidRPr="008F040A">
        <w:rPr>
          <w:rFonts w:cs="Times New Roman"/>
          <w:lang w:val="fr-CA"/>
        </w:rPr>
        <w:t xml:space="preserve"> déterminer l’intention objective des parties </w:t>
      </w:r>
      <w:r>
        <w:rPr>
          <w:rFonts w:cs="Times New Roman"/>
          <w:lang w:val="fr-CA"/>
        </w:rPr>
        <w:t>—</w:t>
      </w:r>
      <w:r w:rsidRPr="008F040A">
        <w:rPr>
          <w:rFonts w:cs="Times New Roman"/>
          <w:lang w:val="fr-CA"/>
        </w:rPr>
        <w:t xml:space="preserve"> est, de par sa nature même, axé sur les faits. Le rapport étroit qui existe entre, d’une part, le choix et l’application des principes d’interprétation contractuelle et, d’autre part, l’interprétation que recevra l’instrument juridique en dernière analyse fait en sorte que rares seront les c</w:t>
      </w:r>
      <w:r w:rsidR="00CA6863">
        <w:rPr>
          <w:rFonts w:cs="Times New Roman"/>
          <w:lang w:val="fr-CA"/>
        </w:rPr>
        <w:t xml:space="preserve">as où </w:t>
      </w:r>
      <w:r w:rsidRPr="008F040A">
        <w:rPr>
          <w:rFonts w:cs="Times New Roman"/>
          <w:lang w:val="fr-CA"/>
        </w:rPr>
        <w:t>il sera possible d</w:t>
      </w:r>
      <w:r w:rsidR="00CA6863">
        <w:rPr>
          <w:rFonts w:cs="Times New Roman"/>
          <w:lang w:val="fr-CA"/>
        </w:rPr>
        <w:t xml:space="preserve">e dégager </w:t>
      </w:r>
      <w:r w:rsidRPr="008F040A">
        <w:rPr>
          <w:rFonts w:cs="Times New Roman"/>
          <w:lang w:val="fr-CA"/>
        </w:rPr>
        <w:t>une question de droit de l’exercice d’interprétation</w:t>
      </w:r>
      <w:r w:rsidR="00302D7A">
        <w:rPr>
          <w:rStyle w:val="FootnoteReference"/>
          <w:rFonts w:cs="Times New Roman"/>
          <w:lang w:val="fr-CA"/>
        </w:rPr>
        <w:footnoteReference w:customMarkFollows="1" w:id="2"/>
        <w:t>*</w:t>
      </w:r>
      <w:r w:rsidRPr="008F040A">
        <w:rPr>
          <w:rFonts w:cs="Times New Roman"/>
          <w:lang w:val="fr-CA"/>
        </w:rPr>
        <w:t>. En l’absence d’une erreur de droit du genre de celles décrites plus haut, aucun droit d’appel de l’interprétation par un arbitre d’un contrat n’est prévu à l’</w:t>
      </w:r>
      <w:r w:rsidRPr="008F040A">
        <w:rPr>
          <w:rFonts w:cs="Times New Roman"/>
          <w:i/>
          <w:lang w:val="fr-CA"/>
        </w:rPr>
        <w:t>AA</w:t>
      </w:r>
      <w:r w:rsidRPr="008F040A">
        <w:rPr>
          <w:rFonts w:cs="Times New Roman"/>
          <w:lang w:val="fr-CA"/>
        </w:rPr>
        <w:t>.</w:t>
      </w:r>
    </w:p>
    <w:p w:rsidR="00EC1E65" w:rsidRPr="008F040A" w:rsidRDefault="00EC1E65" w:rsidP="00EC1E65">
      <w:pPr>
        <w:pStyle w:val="Title4LevelTitre4Niveau"/>
        <w:tabs>
          <w:tab w:val="clear" w:pos="1296"/>
          <w:tab w:val="num" w:pos="900"/>
        </w:tabs>
        <w:ind w:left="900" w:hanging="450"/>
        <w:jc w:val="both"/>
        <w:rPr>
          <w:rFonts w:cs="Times New Roman"/>
          <w:lang w:val="fr-CA"/>
        </w:rPr>
      </w:pPr>
      <w:bookmarkStart w:id="120" w:name="_Toc394565837"/>
      <w:bookmarkStart w:id="121" w:name="_Toc389040905"/>
      <w:bookmarkStart w:id="122" w:name="_Toc389781715"/>
      <w:bookmarkStart w:id="123" w:name="_Toc390243246"/>
      <w:bookmarkStart w:id="124" w:name="_Toc390339573"/>
      <w:bookmarkStart w:id="125" w:name="_Toc390440407"/>
      <w:bookmarkStart w:id="126" w:name="_Toc390605548"/>
      <w:bookmarkStart w:id="127" w:name="_Toc390614584"/>
      <w:r w:rsidRPr="008F040A">
        <w:rPr>
          <w:rFonts w:cs="Times New Roman"/>
          <w:lang w:val="fr-CA"/>
        </w:rPr>
        <w:t>Le rôle et la nature des « circonstances »</w:t>
      </w:r>
      <w:bookmarkEnd w:id="120"/>
      <w:r w:rsidRPr="008F040A">
        <w:rPr>
          <w:rFonts w:cs="Times New Roman"/>
          <w:lang w:val="fr-CA"/>
        </w:rPr>
        <w:t xml:space="preserve"> </w:t>
      </w:r>
      <w:bookmarkEnd w:id="121"/>
      <w:bookmarkEnd w:id="122"/>
      <w:bookmarkEnd w:id="123"/>
      <w:bookmarkEnd w:id="124"/>
      <w:bookmarkEnd w:id="125"/>
      <w:bookmarkEnd w:id="126"/>
      <w:bookmarkEnd w:id="127"/>
    </w:p>
    <w:p w:rsidR="00EC1E65" w:rsidRPr="008F040A" w:rsidRDefault="00EC1E65" w:rsidP="00EC1E65">
      <w:pPr>
        <w:pStyle w:val="ParaNoNdepar-AltN"/>
        <w:rPr>
          <w:rFonts w:cs="Times New Roman"/>
          <w:lang w:val="fr-CA"/>
        </w:rPr>
      </w:pPr>
      <w:r w:rsidRPr="008F040A">
        <w:rPr>
          <w:rFonts w:cs="Times New Roman"/>
          <w:lang w:val="fr-CA"/>
        </w:rPr>
        <w:t xml:space="preserve">Abordons le rôle des circonstances dans l’interprétation du contrat et la nature des éléments admis à l’examen. La présente analyse ne traite que de la démarche d’interprétation contractuelle fondée sur la common law; elle ne se veut ni une application ni une modification du droit relatif à l’interprétation contractuelle régi par le </w:t>
      </w:r>
      <w:r w:rsidRPr="008F040A">
        <w:rPr>
          <w:rFonts w:cs="Times New Roman"/>
          <w:i/>
          <w:lang w:val="fr-CA"/>
        </w:rPr>
        <w:t>Code civil</w:t>
      </w:r>
      <w:r w:rsidRPr="008F040A">
        <w:rPr>
          <w:rFonts w:cs="Times New Roman"/>
          <w:lang w:val="fr-CA"/>
        </w:rPr>
        <w:t xml:space="preserve"> </w:t>
      </w:r>
      <w:r w:rsidRPr="008F040A">
        <w:rPr>
          <w:rFonts w:cs="Times New Roman"/>
          <w:i/>
          <w:lang w:val="fr-CA"/>
        </w:rPr>
        <w:t>du Québec</w:t>
      </w:r>
      <w:r w:rsidRPr="008F040A">
        <w:rPr>
          <w:rFonts w:cs="Times New Roman"/>
          <w:lang w:val="fr-CA"/>
        </w:rPr>
        <w:t>.</w:t>
      </w:r>
    </w:p>
    <w:p w:rsidR="00EC1E65" w:rsidRPr="008F040A" w:rsidRDefault="00EC1E65" w:rsidP="00EC1E65">
      <w:pPr>
        <w:pStyle w:val="ParaNoNdepar-AltN"/>
        <w:rPr>
          <w:rFonts w:cs="Times New Roman"/>
          <w:lang w:val="fr-CA"/>
        </w:rPr>
      </w:pPr>
      <w:r w:rsidRPr="008F040A">
        <w:rPr>
          <w:rFonts w:cs="Times New Roman"/>
          <w:lang w:val="fr-CA"/>
        </w:rPr>
        <w:t>Bien que les circonstances soient prises en considération dans l’interprétation des termes d’un contrat, elles ne doivent jamais les supplanter (</w:t>
      </w:r>
      <w:r w:rsidRPr="008F040A">
        <w:rPr>
          <w:rFonts w:cs="Times New Roman"/>
          <w:i/>
          <w:lang w:val="fr-CA"/>
        </w:rPr>
        <w:t xml:space="preserve">Hayes </w:t>
      </w:r>
      <w:r w:rsidRPr="008F040A">
        <w:rPr>
          <w:rFonts w:cs="Times New Roman"/>
          <w:i/>
          <w:lang w:val="fr-CA"/>
        </w:rPr>
        <w:lastRenderedPageBreak/>
        <w:t>Forest Services</w:t>
      </w:r>
      <w:r w:rsidRPr="008F040A">
        <w:rPr>
          <w:rFonts w:cs="Times New Roman"/>
          <w:lang w:val="fr-CA"/>
        </w:rPr>
        <w:t>, par. 14; Hall, p. 30). Le décideur examine cette preuve dans le but de mieux saisir les intentions réciproques et objectives des parties exprimées dans les mots du contrat. Une disposition contractuelle doit toujours être interprétée sur le fondement de son libellé et de l’ensemble du contrat (Hall, p. 15 et 30</w:t>
      </w:r>
      <w:r>
        <w:rPr>
          <w:rFonts w:cs="Times New Roman"/>
          <w:lang w:val="fr-CA"/>
        </w:rPr>
        <w:t>-</w:t>
      </w:r>
      <w:r w:rsidRPr="008F040A">
        <w:rPr>
          <w:rFonts w:cs="Times New Roman"/>
          <w:lang w:val="fr-CA"/>
        </w:rPr>
        <w:t>32). Les circonstances sous</w:t>
      </w:r>
      <w:r w:rsidRPr="008F040A">
        <w:rPr>
          <w:rFonts w:cs="Times New Roman"/>
          <w:lang w:val="fr-CA"/>
        </w:rPr>
        <w:noBreakHyphen/>
        <w:t>tendent l’interprétation du contrat, mais le tribunal ne saurait fonder sur elles une lecture du texte qui s’écarte de ce dernier au point de créer dans les faits une nouvelle entente (</w:t>
      </w:r>
      <w:r w:rsidRPr="008F040A">
        <w:rPr>
          <w:rFonts w:cs="Times New Roman"/>
          <w:i/>
          <w:lang w:val="fr-CA"/>
        </w:rPr>
        <w:t>Glaswegian Enterprises Inc. c. B.C. Tel Mobility Cellular Inc.</w:t>
      </w:r>
      <w:r w:rsidRPr="008F040A">
        <w:rPr>
          <w:rFonts w:cs="Times New Roman"/>
          <w:lang w:val="fr-CA"/>
        </w:rPr>
        <w:t xml:space="preserve"> (1997), 101 B.C.A.C. 62). </w:t>
      </w:r>
    </w:p>
    <w:p w:rsidR="00EC1E65" w:rsidRPr="008F040A" w:rsidRDefault="00EC1E65" w:rsidP="00EC1E65">
      <w:pPr>
        <w:pStyle w:val="ParaNoNdepar-AltN"/>
        <w:rPr>
          <w:rFonts w:cs="Times New Roman"/>
          <w:lang w:val="fr-CA"/>
        </w:rPr>
      </w:pPr>
      <w:r w:rsidRPr="008F040A">
        <w:rPr>
          <w:rFonts w:cs="Times New Roman"/>
          <w:lang w:val="fr-CA"/>
        </w:rPr>
        <w:t>La nature de la preuve susceptible d’appartenir aux « circonstances » variera nécessairement d’une affaire à l’autre. Il y a toutefois certaines limites. Il doit s’agir d’une preuve objective du contexte factuel au moment de la signature du contrat (</w:t>
      </w:r>
      <w:r w:rsidRPr="00B55B7C">
        <w:rPr>
          <w:rFonts w:cs="Times New Roman"/>
          <w:i/>
          <w:lang w:val="fr-CA"/>
        </w:rPr>
        <w:t>King</w:t>
      </w:r>
      <w:r w:rsidRPr="008F040A">
        <w:rPr>
          <w:rFonts w:cs="Times New Roman"/>
          <w:lang w:val="fr-CA"/>
        </w:rPr>
        <w:t>, par. 66 et 70), c’est</w:t>
      </w:r>
      <w:r w:rsidRPr="008F040A">
        <w:rPr>
          <w:rFonts w:cs="Times New Roman"/>
          <w:lang w:val="fr-CA"/>
        </w:rPr>
        <w:noBreakHyphen/>
        <w:t>à</w:t>
      </w:r>
      <w:r w:rsidRPr="008F040A">
        <w:rPr>
          <w:rFonts w:cs="Times New Roman"/>
          <w:lang w:val="fr-CA"/>
        </w:rPr>
        <w:noBreakHyphen/>
        <w:t>dire, les renseignements qui appartenaient ou auraient raisonnablement dû appartenir aux connaissances des deux parties à la date de signature ou avant celle</w:t>
      </w:r>
      <w:r w:rsidRPr="008F040A">
        <w:rPr>
          <w:rFonts w:cs="Times New Roman"/>
          <w:lang w:val="fr-CA"/>
        </w:rPr>
        <w:noBreakHyphen/>
        <w:t>ci. Compte tenu de ces exigences et de la règle d’exclusion de la preuve extrinsèque que nous verrons, on entend par « circonstances », pour reprendre les propos du lord Hoffmann [</w:t>
      </w:r>
      <w:r w:rsidRPr="008F040A">
        <w:rPr>
          <w:rFonts w:cs="Times New Roman"/>
          <w:smallCaps/>
          <w:lang w:val="fr-CA"/>
        </w:rPr>
        <w:t>traduction</w:t>
      </w:r>
      <w:r w:rsidRPr="008F040A">
        <w:rPr>
          <w:rFonts w:cs="Times New Roman"/>
          <w:lang w:val="fr-CA"/>
        </w:rPr>
        <w:t>] « tout ce qui aurait eu une incidence sur la manière dont une personne raisonnable aurait compris les termes du document » (</w:t>
      </w:r>
      <w:r w:rsidRPr="008F040A">
        <w:rPr>
          <w:rFonts w:cs="Times New Roman"/>
          <w:i/>
          <w:lang w:val="fr-CA"/>
        </w:rPr>
        <w:t>Investors Compensation Scheme</w:t>
      </w:r>
      <w:r w:rsidRPr="008F040A">
        <w:rPr>
          <w:rFonts w:cs="Times New Roman"/>
          <w:lang w:val="fr-CA"/>
        </w:rPr>
        <w:t>, p. 114). La question de savoir si quelque chose appartenait ou aurait dû raisonnablement appartenir aux connaissances communes des parties au moment de la signature du contrat est une question de fait.</w:t>
      </w:r>
    </w:p>
    <w:p w:rsidR="00EC1E65" w:rsidRPr="008F040A" w:rsidRDefault="00EC1E65" w:rsidP="00EC1E65">
      <w:pPr>
        <w:pStyle w:val="Title4LevelTitre4Niveau"/>
        <w:tabs>
          <w:tab w:val="clear" w:pos="1296"/>
          <w:tab w:val="num" w:pos="900"/>
        </w:tabs>
        <w:ind w:left="900" w:hanging="450"/>
        <w:jc w:val="both"/>
        <w:rPr>
          <w:rFonts w:cs="Times New Roman"/>
          <w:lang w:val="fr-CA"/>
        </w:rPr>
      </w:pPr>
      <w:bookmarkStart w:id="128" w:name="_Toc394565838"/>
      <w:bookmarkStart w:id="129" w:name="_Toc389040906"/>
      <w:bookmarkStart w:id="130" w:name="_Toc389781716"/>
      <w:bookmarkStart w:id="131" w:name="_Toc390243247"/>
      <w:bookmarkStart w:id="132" w:name="_Toc390339574"/>
      <w:bookmarkStart w:id="133" w:name="_Toc390440408"/>
      <w:bookmarkStart w:id="134" w:name="_Toc390605549"/>
      <w:bookmarkStart w:id="135" w:name="_Toc390614585"/>
      <w:r w:rsidRPr="008F040A">
        <w:rPr>
          <w:rFonts w:cs="Times New Roman"/>
          <w:lang w:val="fr-CA"/>
        </w:rPr>
        <w:t>Tenir compte des circonstances n’est pas contraire à la règle d’exclusion de la preuve extrinsèque</w:t>
      </w:r>
      <w:bookmarkEnd w:id="128"/>
      <w:r w:rsidRPr="008F040A">
        <w:rPr>
          <w:rFonts w:cs="Times New Roman"/>
          <w:lang w:val="fr-CA"/>
        </w:rPr>
        <w:t xml:space="preserve"> </w:t>
      </w:r>
      <w:bookmarkEnd w:id="129"/>
      <w:bookmarkEnd w:id="130"/>
      <w:bookmarkEnd w:id="131"/>
      <w:bookmarkEnd w:id="132"/>
      <w:bookmarkEnd w:id="133"/>
      <w:bookmarkEnd w:id="134"/>
      <w:bookmarkEnd w:id="135"/>
    </w:p>
    <w:p w:rsidR="00EC1E65" w:rsidRPr="008F040A" w:rsidRDefault="00EC1E65" w:rsidP="00EC1E65">
      <w:pPr>
        <w:pStyle w:val="ParaNoNdepar-AltN"/>
        <w:rPr>
          <w:rFonts w:cs="Times New Roman"/>
          <w:u w:val="single"/>
          <w:lang w:val="fr-CA"/>
        </w:rPr>
      </w:pPr>
      <w:r w:rsidRPr="008F040A">
        <w:rPr>
          <w:rFonts w:cs="Times New Roman"/>
          <w:lang w:val="fr-CA"/>
        </w:rPr>
        <w:lastRenderedPageBreak/>
        <w:t>Quelques mots sur l’examen des circonstances et la règle d’exclusion de la preuve extrinsèque s’imposent. Cette règle empêche l’admission d’éléments de preuve autres que les termes du contrat écrit qui auraient pour effet de modifier ou de contredire un contrat qui a été entièrement consigné par écrit, ou d’y ajouter de nouvelles clauses ou d’en supprimer (</w:t>
      </w:r>
      <w:r w:rsidRPr="008F040A">
        <w:rPr>
          <w:rFonts w:cs="Times New Roman"/>
          <w:i/>
          <w:lang w:val="fr-CA"/>
        </w:rPr>
        <w:t>King</w:t>
      </w:r>
      <w:r w:rsidRPr="008F040A">
        <w:rPr>
          <w:rFonts w:cs="Times New Roman"/>
          <w:lang w:val="fr-CA"/>
        </w:rPr>
        <w:t>, par. 35; Hall, p. 53). À cette fin, la règle interdit notamment les éléments de preuve concernant les intentions subjectives des parties (Hall, p. 64</w:t>
      </w:r>
      <w:r>
        <w:rPr>
          <w:rFonts w:cs="Times New Roman"/>
          <w:lang w:val="fr-CA"/>
        </w:rPr>
        <w:t>-</w:t>
      </w:r>
      <w:r w:rsidRPr="008F040A">
        <w:rPr>
          <w:rFonts w:cs="Times New Roman"/>
          <w:lang w:val="fr-CA"/>
        </w:rPr>
        <w:t xml:space="preserve">65; </w:t>
      </w:r>
      <w:r w:rsidRPr="008F040A">
        <w:rPr>
          <w:rFonts w:cs="Times New Roman"/>
          <w:i/>
          <w:lang w:val="fr-CA"/>
        </w:rPr>
        <w:t>Eli Lilly &amp; Co. c. Novopharm Ltd.</w:t>
      </w:r>
      <w:r w:rsidRPr="008F040A">
        <w:rPr>
          <w:rFonts w:cs="Times New Roman"/>
          <w:lang w:val="fr-CA"/>
        </w:rPr>
        <w:t>, [1998] 2 R.C.S. 129, par. 54</w:t>
      </w:r>
      <w:r>
        <w:rPr>
          <w:rFonts w:cs="Times New Roman"/>
          <w:lang w:val="fr-CA"/>
        </w:rPr>
        <w:t>-</w:t>
      </w:r>
      <w:r w:rsidRPr="008F040A">
        <w:rPr>
          <w:rFonts w:cs="Times New Roman"/>
          <w:lang w:val="fr-CA"/>
        </w:rPr>
        <w:t xml:space="preserve">59, le juge Iacobucci). La règle vise, premièrement, à donner un caractère définitif et certain aux obligations contractuelles et, deuxièmement, à empêcher qu’une partie puisse utiliser des éléments de preuve fabriqués ou douteux pour attaquer </w:t>
      </w:r>
      <w:r>
        <w:rPr>
          <w:rFonts w:cs="Times New Roman"/>
          <w:lang w:val="fr-CA"/>
        </w:rPr>
        <w:t>un</w:t>
      </w:r>
      <w:r w:rsidRPr="008F040A">
        <w:rPr>
          <w:rFonts w:cs="Times New Roman"/>
          <w:lang w:val="fr-CA"/>
        </w:rPr>
        <w:t xml:space="preserve"> contrat</w:t>
      </w:r>
      <w:r>
        <w:rPr>
          <w:rFonts w:cs="Times New Roman"/>
          <w:lang w:val="fr-CA"/>
        </w:rPr>
        <w:t xml:space="preserve"> écrit</w:t>
      </w:r>
      <w:r w:rsidRPr="008F040A">
        <w:rPr>
          <w:rFonts w:cs="Times New Roman"/>
          <w:lang w:val="fr-CA"/>
        </w:rPr>
        <w:t xml:space="preserve"> (</w:t>
      </w:r>
      <w:r w:rsidRPr="008F040A">
        <w:rPr>
          <w:rFonts w:cs="Times New Roman"/>
          <w:i/>
          <w:lang w:val="fr-CA"/>
        </w:rPr>
        <w:t>Fraternité unie des charpentiers et menuisiers d’Amérique, section locale 579 c. Bradco Construction Ltd.</w:t>
      </w:r>
      <w:r w:rsidRPr="008F040A">
        <w:rPr>
          <w:rFonts w:cs="Times New Roman"/>
          <w:lang w:val="fr-CA"/>
        </w:rPr>
        <w:t>, [1993] 2 R.C.S. 316, p. 341</w:t>
      </w:r>
      <w:r>
        <w:rPr>
          <w:rFonts w:cs="Times New Roman"/>
          <w:lang w:val="fr-CA"/>
        </w:rPr>
        <w:t>-3</w:t>
      </w:r>
      <w:r w:rsidRPr="008F040A">
        <w:rPr>
          <w:rFonts w:cs="Times New Roman"/>
          <w:lang w:val="fr-CA"/>
        </w:rPr>
        <w:t>42, le juge Sopinka).</w:t>
      </w:r>
      <w:r w:rsidR="00962C8A">
        <w:rPr>
          <w:rFonts w:cs="Times New Roman"/>
          <w:lang w:val="fr-CA"/>
        </w:rPr>
        <w:t xml:space="preserve"> </w:t>
      </w:r>
    </w:p>
    <w:p w:rsidR="00EC1E65" w:rsidRPr="008F040A" w:rsidRDefault="00EC1E65" w:rsidP="00EC1E65">
      <w:pPr>
        <w:pStyle w:val="ParaNoNdepar-AltN"/>
        <w:rPr>
          <w:rFonts w:cs="Times New Roman"/>
          <w:lang w:val="fr-CA"/>
        </w:rPr>
      </w:pPr>
      <w:r w:rsidRPr="008F040A">
        <w:rPr>
          <w:rFonts w:cs="Times New Roman"/>
          <w:lang w:val="fr-CA"/>
        </w:rPr>
        <w:t>La règle d’exclusion de la preuve extrinsèque n’interdit pas au tribunal de tenir compte des circonstances entourant le contrat. Cette preuve est compatible avec les objectifs relatifs au caractère définitif et certain puisqu’elle sert d’outil d’interprétation qui vient éclairer le sens des mots du contrat choisis par les parties, et non le changer ou s’y substituer. Les circonstances sont des faits connus ou qui auraient raisonnablement dû l’être des deux parties à la date de signature du contrat ou avant celle</w:t>
      </w:r>
      <w:r w:rsidRPr="008F040A">
        <w:rPr>
          <w:rFonts w:cs="Times New Roman"/>
          <w:lang w:val="fr-CA"/>
        </w:rPr>
        <w:noBreakHyphen/>
        <w:t xml:space="preserve">ci; par conséquent, le risque que des éléments d’une fiabilité douteuse soient invoqués ne se pose pas.  </w:t>
      </w:r>
    </w:p>
    <w:p w:rsidR="00EC1E65" w:rsidRPr="008F040A" w:rsidRDefault="00EC1E65" w:rsidP="00EC1E65">
      <w:pPr>
        <w:pStyle w:val="ParaNoNdepar-AltN"/>
        <w:rPr>
          <w:rFonts w:cs="Times New Roman"/>
          <w:lang w:val="fr-CA"/>
        </w:rPr>
      </w:pPr>
      <w:r w:rsidRPr="008F040A">
        <w:rPr>
          <w:rFonts w:cs="Times New Roman"/>
          <w:lang w:val="fr-CA"/>
        </w:rPr>
        <w:t xml:space="preserve">Selon une certaine jurisprudence et des auteurs, la règle d’exclusion de la preuve extrinsèque serait un anachronisme ou, à tout le moins, d’application restreinte </w:t>
      </w:r>
      <w:r w:rsidRPr="008F040A">
        <w:rPr>
          <w:rFonts w:cs="Times New Roman"/>
          <w:lang w:val="fr-CA"/>
        </w:rPr>
        <w:lastRenderedPageBreak/>
        <w:t xml:space="preserve">vu la myriade d’exceptions dont elle est assortie (voir par exemple </w:t>
      </w:r>
      <w:r w:rsidRPr="008F040A">
        <w:rPr>
          <w:rFonts w:cs="Times New Roman"/>
          <w:i/>
          <w:lang w:val="fr-CA"/>
        </w:rPr>
        <w:t>Gutierrez c. Tropic International Ltd.</w:t>
      </w:r>
      <w:r w:rsidRPr="008F040A">
        <w:rPr>
          <w:rFonts w:cs="Times New Roman"/>
          <w:lang w:val="fr-CA"/>
        </w:rPr>
        <w:t xml:space="preserve"> (2002), 63 O.R. (3d) 63 (C.A.)</w:t>
      </w:r>
      <w:r>
        <w:rPr>
          <w:rFonts w:cs="Times New Roman"/>
          <w:lang w:val="fr-CA"/>
        </w:rPr>
        <w:t>,</w:t>
      </w:r>
      <w:r w:rsidRPr="008F040A">
        <w:rPr>
          <w:rFonts w:cs="Times New Roman"/>
          <w:lang w:val="fr-CA"/>
        </w:rPr>
        <w:t xml:space="preserve"> par. 19</w:t>
      </w:r>
      <w:r>
        <w:rPr>
          <w:rFonts w:cs="Times New Roman"/>
          <w:lang w:val="fr-CA"/>
        </w:rPr>
        <w:t>-</w:t>
      </w:r>
      <w:r w:rsidRPr="008F040A">
        <w:rPr>
          <w:rFonts w:cs="Times New Roman"/>
          <w:lang w:val="fr-CA"/>
        </w:rPr>
        <w:t>20; Hall, p. 53</w:t>
      </w:r>
      <w:r>
        <w:rPr>
          <w:rFonts w:cs="Times New Roman"/>
          <w:lang w:val="fr-CA"/>
        </w:rPr>
        <w:t>-</w:t>
      </w:r>
      <w:r w:rsidRPr="008F040A">
        <w:rPr>
          <w:rFonts w:cs="Times New Roman"/>
          <w:lang w:val="fr-CA"/>
        </w:rPr>
        <w:t>64). Dans le cadre du présent pourvoi, il suffit de dire que la règle d’exclusion de la preuve extrinsèque ne s’oppose pas à la présentation d’une preuve des circonstances entourant le contrat pour l’interprétation de ce dernier.</w:t>
      </w:r>
    </w:p>
    <w:p w:rsidR="00EC1E65" w:rsidRPr="008F040A" w:rsidRDefault="00EC1E65" w:rsidP="00EC1E65">
      <w:pPr>
        <w:pStyle w:val="Title4LevelTitre4Niveau"/>
        <w:tabs>
          <w:tab w:val="clear" w:pos="1296"/>
          <w:tab w:val="num" w:pos="900"/>
        </w:tabs>
        <w:ind w:left="900" w:hanging="450"/>
        <w:jc w:val="both"/>
        <w:rPr>
          <w:rFonts w:cs="Times New Roman"/>
          <w:lang w:val="fr-CA"/>
        </w:rPr>
      </w:pPr>
      <w:bookmarkStart w:id="136" w:name="_Toc394565839"/>
      <w:bookmarkStart w:id="137" w:name="_Toc389040907"/>
      <w:bookmarkStart w:id="138" w:name="_Toc389781717"/>
      <w:bookmarkStart w:id="139" w:name="_Toc390243248"/>
      <w:bookmarkStart w:id="140" w:name="_Toc390339575"/>
      <w:bookmarkStart w:id="141" w:name="_Toc390440409"/>
      <w:bookmarkStart w:id="142" w:name="_Toc390605550"/>
      <w:bookmarkStart w:id="143" w:name="_Toc390614586"/>
      <w:r w:rsidRPr="008F040A">
        <w:rPr>
          <w:rFonts w:cs="Times New Roman"/>
          <w:lang w:val="fr-CA"/>
        </w:rPr>
        <w:t>Application au présent pourvoi</w:t>
      </w:r>
      <w:bookmarkEnd w:id="136"/>
      <w:r w:rsidRPr="008F040A">
        <w:rPr>
          <w:rFonts w:cs="Times New Roman"/>
          <w:lang w:val="fr-CA"/>
        </w:rPr>
        <w:t xml:space="preserve"> </w:t>
      </w:r>
      <w:bookmarkEnd w:id="137"/>
      <w:bookmarkEnd w:id="138"/>
      <w:bookmarkEnd w:id="139"/>
      <w:bookmarkEnd w:id="140"/>
      <w:bookmarkEnd w:id="141"/>
      <w:bookmarkEnd w:id="142"/>
      <w:bookmarkEnd w:id="143"/>
    </w:p>
    <w:p w:rsidR="00EC1E65" w:rsidRPr="008F040A" w:rsidRDefault="00EC1E65" w:rsidP="00EC1E65">
      <w:pPr>
        <w:pStyle w:val="ParaNoNdepar-AltN"/>
        <w:rPr>
          <w:rFonts w:cs="Times New Roman"/>
          <w:lang w:val="fr-CA"/>
        </w:rPr>
      </w:pPr>
      <w:r w:rsidRPr="008F040A">
        <w:rPr>
          <w:rFonts w:cs="Times New Roman"/>
          <w:szCs w:val="24"/>
          <w:lang w:val="fr-CA"/>
        </w:rPr>
        <w:t>En l’espèce, la Cour d’appel a accordé l’autorisation d’appel relativement à la question suivante :</w:t>
      </w:r>
      <w:r>
        <w:rPr>
          <w:rFonts w:cs="Times New Roman"/>
          <w:szCs w:val="24"/>
          <w:lang w:val="fr-CA"/>
        </w:rPr>
        <w:t xml:space="preserve"> [</w:t>
      </w:r>
      <w:r w:rsidRPr="00C479B6">
        <w:rPr>
          <w:rFonts w:cs="Times New Roman"/>
          <w:smallCaps/>
          <w:szCs w:val="24"/>
          <w:lang w:val="fr-CA"/>
        </w:rPr>
        <w:t>traduction</w:t>
      </w:r>
      <w:r>
        <w:rPr>
          <w:rFonts w:cs="Times New Roman"/>
          <w:szCs w:val="24"/>
          <w:lang w:val="fr-CA"/>
        </w:rPr>
        <w:t>]</w:t>
      </w:r>
      <w:r w:rsidRPr="008F040A">
        <w:rPr>
          <w:rFonts w:cs="Times New Roman"/>
          <w:szCs w:val="24"/>
          <w:lang w:val="fr-CA"/>
        </w:rPr>
        <w:t xml:space="preserve"> « </w:t>
      </w:r>
      <w:r w:rsidRPr="008F040A">
        <w:rPr>
          <w:rFonts w:cs="Times New Roman"/>
          <w:lang w:val="fr-CA"/>
        </w:rPr>
        <w:t>L’arbitre a</w:t>
      </w:r>
      <w:r w:rsidRPr="008F040A">
        <w:rPr>
          <w:rFonts w:cs="Times New Roman"/>
          <w:lang w:val="fr-CA"/>
        </w:rPr>
        <w:noBreakHyphen/>
        <w:t>t</w:t>
      </w:r>
      <w:r w:rsidRPr="008F040A">
        <w:rPr>
          <w:rFonts w:cs="Times New Roman"/>
          <w:lang w:val="fr-CA"/>
        </w:rPr>
        <w:noBreakHyphen/>
        <w:t>il commis une erreur de droit en n’interprétant pas l’entente relative aux honoraires d’intermédiation dans son ensemble</w:t>
      </w:r>
      <w:r w:rsidR="00E04225">
        <w:rPr>
          <w:rFonts w:cs="Times New Roman"/>
          <w:lang w:val="fr-CA"/>
        </w:rPr>
        <w:t xml:space="preserve"> . . .? </w:t>
      </w:r>
      <w:r>
        <w:rPr>
          <w:rFonts w:cs="Times New Roman"/>
          <w:lang w:val="fr-CA"/>
        </w:rPr>
        <w:t>» (d.a., vol. I, p. 62)</w:t>
      </w:r>
    </w:p>
    <w:p w:rsidR="00EC1E65" w:rsidRPr="008F040A" w:rsidRDefault="00EC1E65" w:rsidP="00EC1E65">
      <w:pPr>
        <w:pStyle w:val="ParaNoNdepar-AltN"/>
        <w:rPr>
          <w:rFonts w:cs="Times New Roman"/>
          <w:lang w:val="fr-CA"/>
        </w:rPr>
      </w:pPr>
      <w:r w:rsidRPr="008F040A">
        <w:rPr>
          <w:rFonts w:cs="Times New Roman"/>
          <w:lang w:val="fr-CA"/>
        </w:rPr>
        <w:t>Comme nous le verrons, l’obligation d’interpréter le contrat dans son ensemble est une question de droit susceptible, si on pouvait l’isoler, de satisfaire au critère minimal exigé à l’art. 31 de l’</w:t>
      </w:r>
      <w:r w:rsidRPr="008F040A">
        <w:rPr>
          <w:rFonts w:cs="Times New Roman"/>
          <w:i/>
          <w:lang w:val="fr-CA"/>
        </w:rPr>
        <w:t>AA</w:t>
      </w:r>
      <w:r w:rsidRPr="008F040A">
        <w:rPr>
          <w:rFonts w:cs="Times New Roman"/>
          <w:lang w:val="fr-CA"/>
        </w:rPr>
        <w:t xml:space="preserve">. À mon avis, cette question n’a pas été isolée comme il se doit en l’espèce. </w:t>
      </w:r>
    </w:p>
    <w:p w:rsidR="00EC1E65" w:rsidRPr="008F040A" w:rsidRDefault="00EC1E65" w:rsidP="00EC1E65">
      <w:pPr>
        <w:pStyle w:val="ParaNoNdepar-AltN"/>
        <w:rPr>
          <w:rFonts w:cs="Times New Roman"/>
          <w:lang w:val="fr-CA"/>
        </w:rPr>
      </w:pPr>
      <w:r w:rsidRPr="008F040A">
        <w:rPr>
          <w:rFonts w:cs="Times New Roman"/>
          <w:lang w:val="fr-CA"/>
        </w:rPr>
        <w:t xml:space="preserve">Je reconnais qu’il est un </w:t>
      </w:r>
      <w:r w:rsidRPr="008F040A">
        <w:rPr>
          <w:rFonts w:cs="Times New Roman"/>
          <w:szCs w:val="24"/>
          <w:lang w:val="fr-CA"/>
        </w:rPr>
        <w:t>principe fondamental de l’interprétation contractuelle selon lequel le contrat doit être interprété dans son ensemble (McCamus, p. 761</w:t>
      </w:r>
      <w:r>
        <w:rPr>
          <w:rFonts w:cs="Times New Roman"/>
          <w:szCs w:val="24"/>
          <w:lang w:val="fr-CA"/>
        </w:rPr>
        <w:t>-</w:t>
      </w:r>
      <w:r w:rsidRPr="008F040A">
        <w:rPr>
          <w:rFonts w:cs="Times New Roman"/>
          <w:szCs w:val="24"/>
          <w:lang w:val="fr-CA"/>
        </w:rPr>
        <w:t>762; Hall, p. 15). Si l’arbitre n’a pas tenu compte de la stipulation relative au « plafond », comme le prétend Creston, il n’a alors pas interprété l’entente dans son ensemble, car il en a négligé une clause précise et pertinente. Voilà une question de droit qui pourrait être isolée de la conclusion mixte de fait et de droit.</w:t>
      </w:r>
    </w:p>
    <w:p w:rsidR="00EC1E65" w:rsidRPr="008F040A" w:rsidRDefault="00EC1E65" w:rsidP="00EC1E65">
      <w:pPr>
        <w:pStyle w:val="ParaNoNdepar-AltN"/>
        <w:rPr>
          <w:rFonts w:cs="Times New Roman"/>
          <w:lang w:val="fr-CA"/>
        </w:rPr>
      </w:pPr>
      <w:r w:rsidRPr="008F040A">
        <w:rPr>
          <w:rFonts w:cs="Times New Roman"/>
          <w:lang w:val="fr-CA"/>
        </w:rPr>
        <w:lastRenderedPageBreak/>
        <w:t>Or, il semble que l’arbitre a effectivement tenu compte de la stipulation relative au « plafond ». En effet, selon la formation de la CA saisie de la demande d’autorisation, l’arbitre a examiné la stipulation, puisqu’elle signale qu’il a envisagé le plafond de 1,5 million $US, un nombre auquel il ne peut être</w:t>
      </w:r>
      <w:r>
        <w:rPr>
          <w:rFonts w:cs="Times New Roman"/>
          <w:lang w:val="fr-CA"/>
        </w:rPr>
        <w:t xml:space="preserve"> arrivé que s’il a consulté la p</w:t>
      </w:r>
      <w:r w:rsidRPr="008F040A">
        <w:rPr>
          <w:rFonts w:cs="Times New Roman"/>
          <w:lang w:val="fr-CA"/>
        </w:rPr>
        <w:t xml:space="preserve">olitique de la Bourse à laquelle renvoie la stipulation relative au « plafond » à l’art. 3.1 de l’entente. À la lumière de ses motifs, j’estime que la formation de la CA saisie de la demande d’autorisation, au lieu de se demander si l’arbitre a négligé la stipulation relative au plafond </w:t>
      </w:r>
      <w:r>
        <w:rPr>
          <w:rFonts w:cs="Times New Roman"/>
          <w:lang w:val="fr-CA"/>
        </w:rPr>
        <w:t>—</w:t>
      </w:r>
      <w:r w:rsidRPr="008F040A">
        <w:rPr>
          <w:rFonts w:cs="Times New Roman"/>
          <w:lang w:val="fr-CA"/>
        </w:rPr>
        <w:t xml:space="preserve"> ce que Creston prétend devant la Cour </w:t>
      </w:r>
      <w:r>
        <w:rPr>
          <w:rFonts w:cs="Times New Roman"/>
          <w:lang w:val="fr-CA"/>
        </w:rPr>
        <w:t>—</w:t>
      </w:r>
      <w:r w:rsidRPr="008F040A">
        <w:rPr>
          <w:rFonts w:cs="Times New Roman"/>
          <w:lang w:val="fr-CA"/>
        </w:rPr>
        <w:t>, a axé sa décision sur l’interprétation qu’a donnée l’arbitre de l’art. 3.1 de l’entente, qui contient cette stipulation (par. 25</w:t>
      </w:r>
      <w:r>
        <w:rPr>
          <w:rFonts w:cs="Times New Roman"/>
          <w:lang w:val="fr-CA"/>
        </w:rPr>
        <w:t>-</w:t>
      </w:r>
      <w:r w:rsidRPr="008F040A">
        <w:rPr>
          <w:rFonts w:cs="Times New Roman"/>
          <w:lang w:val="fr-CA"/>
        </w:rPr>
        <w:t>26). Par exemple, la formation de la CA saisie de la demande d’autorisation s’est dite préoccupée que l’arbitre n’ait pas abordé l’[</w:t>
      </w:r>
      <w:r w:rsidRPr="008F040A">
        <w:rPr>
          <w:rFonts w:cs="Times New Roman"/>
          <w:smallCaps/>
          <w:lang w:val="fr-CA"/>
        </w:rPr>
        <w:t>traduction</w:t>
      </w:r>
      <w:r w:rsidRPr="008F040A">
        <w:rPr>
          <w:rFonts w:cs="Times New Roman"/>
          <w:lang w:val="fr-CA"/>
        </w:rPr>
        <w:t xml:space="preserve">] « absurdité » de la variation « considérable » dans la valeur des honoraires selon qu’ils étaient versés en argent ou en actions (par. 25).  </w:t>
      </w:r>
    </w:p>
    <w:p w:rsidR="00EC1E65" w:rsidRPr="008F040A" w:rsidRDefault="00EC1E65" w:rsidP="00EC1E65">
      <w:pPr>
        <w:pStyle w:val="ParaNoNdepar-AltN"/>
        <w:rPr>
          <w:rFonts w:cs="Times New Roman"/>
          <w:lang w:val="fr-CA"/>
        </w:rPr>
      </w:pPr>
      <w:r w:rsidRPr="008F040A">
        <w:rPr>
          <w:rFonts w:cs="Times New Roman"/>
          <w:szCs w:val="24"/>
          <w:lang w:val="fr-CA"/>
        </w:rPr>
        <w:t>Avec tout le respect que je lui dois, j’estime que la formation de la CA saisie de la demande d’autorisation a assimilé à tort l’interprétation de l’art. 3.1 de l’entente à une question de droit. Comme l’explique le juge Armstrong dans la décision de la CS sur l’appel, pour interpréter l’art. 3.1 et tenir compte de la stipulation, il fallait examiner les circonstances pertinentes, y compris le fait que les parties étaient des parties avisées, la fluctuation du cours de l’action et la nature du risque qu’une partie assume quand elle opte pour le versement de ses honora</w:t>
      </w:r>
      <w:r>
        <w:rPr>
          <w:rFonts w:cs="Times New Roman"/>
          <w:szCs w:val="24"/>
          <w:lang w:val="fr-CA"/>
        </w:rPr>
        <w:t>ires en actions</w:t>
      </w:r>
      <w:r w:rsidRPr="008F040A">
        <w:rPr>
          <w:rFonts w:cs="Times New Roman"/>
          <w:szCs w:val="24"/>
          <w:lang w:val="fr-CA"/>
        </w:rPr>
        <w:t xml:space="preserve"> plutôt qu’en argent. Un tel exercice soulève une question mixte de fait et de droit. Comme aucune question de droit ne peut être isolée de la question mixte de fait et de droit qui porte sur </w:t>
      </w:r>
      <w:r w:rsidRPr="008F040A">
        <w:rPr>
          <w:rFonts w:cs="Times New Roman"/>
          <w:szCs w:val="24"/>
          <w:lang w:val="fr-CA"/>
        </w:rPr>
        <w:lastRenderedPageBreak/>
        <w:t>l’interprétation de l’art</w:t>
      </w:r>
      <w:r>
        <w:rPr>
          <w:rFonts w:cs="Times New Roman"/>
          <w:szCs w:val="24"/>
          <w:lang w:val="fr-CA"/>
        </w:rPr>
        <w:t>. 3.1 et de la stipulation, la C</w:t>
      </w:r>
      <w:r w:rsidRPr="008F040A">
        <w:rPr>
          <w:rFonts w:cs="Times New Roman"/>
          <w:szCs w:val="24"/>
          <w:lang w:val="fr-CA"/>
        </w:rPr>
        <w:t xml:space="preserve">our d’appel a commis une erreur en accueillant la demande d’autorisation d’appel. </w:t>
      </w:r>
    </w:p>
    <w:p w:rsidR="00EC1E65" w:rsidRPr="008F040A" w:rsidRDefault="00EC1E65" w:rsidP="00EC1E65">
      <w:pPr>
        <w:pStyle w:val="ParaNoNdepar-AltN"/>
        <w:rPr>
          <w:rFonts w:cs="Times New Roman"/>
          <w:lang w:val="fr-CA"/>
        </w:rPr>
      </w:pPr>
      <w:r w:rsidRPr="008F040A">
        <w:rPr>
          <w:rFonts w:cs="Times New Roman"/>
          <w:szCs w:val="24"/>
          <w:lang w:val="fr-CA"/>
        </w:rPr>
        <w:t>Conclure que la demande d’autorisation d’appel présentée par Creston ne soulevait aucune question de droit suffirait à trancher le présent pourvoi. Toutefois, puisque la Cour a rarement l’occasion de se pencher sur l’appel d’une sentence arbitrale, il est à mon avis utile d’expliquer que même si la formation de la CA saisie de la demande d’autorisation avait conclu à bon droit que l’interprétation de l’art. 3.1 de l’entente constituait une question de droit, elle devait néanmoins rejeter la demande, car il n’était pas satisfait aux autres volets de l’analyse des demandes d’autorisation que requiert l’al. 31(2)(a) de l’</w:t>
      </w:r>
      <w:r w:rsidRPr="008F040A">
        <w:rPr>
          <w:rFonts w:cs="Times New Roman"/>
          <w:i/>
          <w:szCs w:val="24"/>
          <w:lang w:val="fr-CA"/>
        </w:rPr>
        <w:t>AA</w:t>
      </w:r>
      <w:r w:rsidRPr="008F040A">
        <w:rPr>
          <w:rFonts w:cs="Times New Roman"/>
          <w:szCs w:val="24"/>
          <w:lang w:val="fr-CA"/>
        </w:rPr>
        <w:t xml:space="preserve">, qui concernent l’erreur judiciaire et le pouvoir discrétionnaire résiduel. </w:t>
      </w:r>
    </w:p>
    <w:p w:rsidR="00EC1E65" w:rsidRPr="008F040A" w:rsidRDefault="00EC1E65" w:rsidP="00EC1E65">
      <w:pPr>
        <w:pStyle w:val="Title3LevelTitre3Niveau"/>
        <w:jc w:val="both"/>
        <w:rPr>
          <w:rFonts w:cs="Times New Roman"/>
          <w:lang w:val="fr-CA"/>
        </w:rPr>
      </w:pPr>
      <w:bookmarkStart w:id="144" w:name="_Toc394565840"/>
      <w:bookmarkStart w:id="145" w:name="_Toc388713986"/>
      <w:bookmarkStart w:id="146" w:name="_Toc389040908"/>
      <w:bookmarkStart w:id="147" w:name="_Toc389781718"/>
      <w:bookmarkStart w:id="148" w:name="_Toc390243249"/>
      <w:bookmarkStart w:id="149" w:name="_Toc390339576"/>
      <w:bookmarkStart w:id="150" w:name="_Toc390440410"/>
      <w:bookmarkStart w:id="151" w:name="_Toc390605551"/>
      <w:bookmarkStart w:id="152" w:name="_Toc390614587"/>
      <w:r w:rsidRPr="008F040A">
        <w:rPr>
          <w:rFonts w:cs="Times New Roman"/>
          <w:lang w:val="fr-CA"/>
        </w:rPr>
        <w:t>Le règlement de la question de droit peut permettre d’éviter une erreur judiciaire</w:t>
      </w:r>
      <w:bookmarkEnd w:id="144"/>
      <w:r w:rsidRPr="008F040A">
        <w:rPr>
          <w:rFonts w:cs="Times New Roman"/>
          <w:lang w:val="fr-CA"/>
        </w:rPr>
        <w:t xml:space="preserve"> </w:t>
      </w:r>
      <w:bookmarkEnd w:id="145"/>
      <w:bookmarkEnd w:id="146"/>
      <w:bookmarkEnd w:id="147"/>
      <w:bookmarkEnd w:id="148"/>
      <w:bookmarkEnd w:id="149"/>
      <w:bookmarkEnd w:id="150"/>
      <w:bookmarkEnd w:id="151"/>
      <w:bookmarkEnd w:id="152"/>
    </w:p>
    <w:p w:rsidR="00EC1E65" w:rsidRPr="008F040A" w:rsidRDefault="00EC1E65" w:rsidP="00EC1E65">
      <w:pPr>
        <w:pStyle w:val="Title4LevelTitre4Niveau"/>
        <w:tabs>
          <w:tab w:val="clear" w:pos="1296"/>
          <w:tab w:val="num" w:pos="900"/>
        </w:tabs>
        <w:ind w:left="900" w:hanging="450"/>
        <w:jc w:val="both"/>
        <w:rPr>
          <w:rFonts w:cs="Times New Roman"/>
          <w:lang w:val="fr-CA"/>
        </w:rPr>
      </w:pPr>
      <w:bookmarkStart w:id="153" w:name="_Toc389781719"/>
      <w:bookmarkStart w:id="154" w:name="_Toc390243250"/>
      <w:bookmarkStart w:id="155" w:name="_Toc390339577"/>
      <w:bookmarkStart w:id="156" w:name="_Toc390440411"/>
      <w:bookmarkStart w:id="157" w:name="_Toc390605552"/>
      <w:bookmarkStart w:id="158" w:name="_Toc390614588"/>
      <w:bookmarkStart w:id="159" w:name="_Toc394565841"/>
      <w:r w:rsidRPr="008F040A">
        <w:rPr>
          <w:rFonts w:cs="Times New Roman"/>
          <w:lang w:val="fr-CA"/>
        </w:rPr>
        <w:t>L’erreur judiciaire pour l’application de l’al</w:t>
      </w:r>
      <w:r>
        <w:rPr>
          <w:rFonts w:cs="Times New Roman"/>
          <w:lang w:val="fr-CA"/>
        </w:rPr>
        <w:t>.</w:t>
      </w:r>
      <w:r w:rsidRPr="008F040A">
        <w:rPr>
          <w:rFonts w:cs="Times New Roman"/>
          <w:lang w:val="fr-CA"/>
        </w:rPr>
        <w:t xml:space="preserve"> 31(2)(a) de </w:t>
      </w:r>
      <w:r w:rsidRPr="009E5FFE">
        <w:rPr>
          <w:rFonts w:cs="Times New Roman"/>
          <w:lang w:val="fr-CA"/>
        </w:rPr>
        <w:t>l’</w:t>
      </w:r>
      <w:r w:rsidRPr="008F040A">
        <w:rPr>
          <w:rFonts w:cs="Times New Roman"/>
          <w:lang w:val="fr-CA"/>
        </w:rPr>
        <w:t>AA</w:t>
      </w:r>
      <w:bookmarkEnd w:id="153"/>
      <w:bookmarkEnd w:id="154"/>
      <w:bookmarkEnd w:id="155"/>
      <w:bookmarkEnd w:id="156"/>
      <w:bookmarkEnd w:id="157"/>
      <w:bookmarkEnd w:id="158"/>
      <w:bookmarkEnd w:id="159"/>
    </w:p>
    <w:p w:rsidR="00EC1E65" w:rsidRPr="008F040A" w:rsidRDefault="00EC1E65" w:rsidP="00EC1E65">
      <w:pPr>
        <w:pStyle w:val="ParaNoNdepar-AltN"/>
        <w:rPr>
          <w:rFonts w:cs="Times New Roman"/>
          <w:lang w:val="fr-CA" w:bidi="en-US"/>
        </w:rPr>
      </w:pPr>
      <w:r w:rsidRPr="008F040A">
        <w:rPr>
          <w:rFonts w:cs="Times New Roman"/>
          <w:lang w:val="fr-CA" w:bidi="en-US"/>
        </w:rPr>
        <w:t>Une fois qu’il a cerné une question de droit, le tribunal doit être convaincu que le fait de statuer sur cette dernière [</w:t>
      </w:r>
      <w:r w:rsidRPr="008F040A">
        <w:rPr>
          <w:rFonts w:cs="Times New Roman"/>
          <w:smallCaps/>
          <w:lang w:val="fr-CA" w:bidi="en-US"/>
        </w:rPr>
        <w:t>traduction</w:t>
      </w:r>
      <w:r w:rsidRPr="008F040A">
        <w:rPr>
          <w:rFonts w:cs="Times New Roman"/>
          <w:lang w:val="fr-CA" w:bidi="en-US"/>
        </w:rPr>
        <w:t>] « peut permettre d’éviter une erreur judiciaire » avant d’accorder l’autorisation d’appel en vertu de l’al. 31(2)(a) de l’</w:t>
      </w:r>
      <w:r w:rsidRPr="009E5FFE">
        <w:rPr>
          <w:rFonts w:cs="Times New Roman"/>
          <w:i/>
          <w:lang w:val="fr-CA" w:bidi="en-US"/>
        </w:rPr>
        <w:t>AA</w:t>
      </w:r>
      <w:r w:rsidRPr="008F040A">
        <w:rPr>
          <w:rFonts w:cs="Times New Roman"/>
          <w:lang w:val="fr-CA" w:bidi="en-US"/>
        </w:rPr>
        <w:t xml:space="preserve">. La première étape de l’analyse consiste donc à définir l’erreur judiciaire pour l’application de cette disposition. </w:t>
      </w:r>
    </w:p>
    <w:p w:rsidR="00EC1E65" w:rsidRPr="008F040A" w:rsidRDefault="00EC1E65" w:rsidP="00EC1E65">
      <w:pPr>
        <w:pStyle w:val="ParaNoNdepar-AltN"/>
        <w:rPr>
          <w:rFonts w:cs="Times New Roman"/>
          <w:lang w:val="fr-CA"/>
        </w:rPr>
      </w:pPr>
      <w:r w:rsidRPr="008F040A">
        <w:rPr>
          <w:rFonts w:cs="Times New Roman"/>
          <w:lang w:val="fr-CA" w:bidi="en-US"/>
        </w:rPr>
        <w:lastRenderedPageBreak/>
        <w:t xml:space="preserve">Dans </w:t>
      </w:r>
      <w:r w:rsidRPr="008F040A">
        <w:rPr>
          <w:rFonts w:cs="Times New Roman"/>
          <w:i/>
          <w:lang w:val="fr-CA" w:bidi="en-US"/>
        </w:rPr>
        <w:t>BCIT</w:t>
      </w:r>
      <w:r w:rsidRPr="008F040A">
        <w:rPr>
          <w:rFonts w:cs="Times New Roman"/>
          <w:lang w:val="fr-CA" w:bidi="en-US"/>
        </w:rPr>
        <w:t xml:space="preserve">, la juge Saunders traite du critère concernant l’erreur judiciaire prévu à l’al. 31(2)(a). Elle confirme la définition énoncée dans l’affaire </w:t>
      </w:r>
      <w:r w:rsidRPr="008F040A">
        <w:rPr>
          <w:rFonts w:cs="Times New Roman"/>
          <w:i/>
          <w:lang w:val="fr-CA" w:bidi="en-US"/>
        </w:rPr>
        <w:t>Domtar Inc. c. Belkin Inc.</w:t>
      </w:r>
      <w:r w:rsidRPr="008F040A">
        <w:rPr>
          <w:rFonts w:cs="Times New Roman"/>
          <w:lang w:val="fr-CA" w:bidi="en-US"/>
        </w:rPr>
        <w:t xml:space="preserve"> (1989), 39 B.C.L.R. (2d) 257 (C.A.), selon laquelle l’erreur de droit doit toucher une question importante de sorte qu’une conclusion différente aurait abouti à un résultat différent : </w:t>
      </w:r>
      <w:r w:rsidRPr="008F040A">
        <w:rPr>
          <w:rFonts w:cs="Times New Roman"/>
          <w:lang w:val="fr-CA"/>
        </w:rPr>
        <w:t>[</w:t>
      </w:r>
      <w:r w:rsidRPr="008F040A">
        <w:rPr>
          <w:rFonts w:cs="Times New Roman"/>
          <w:smallCaps/>
          <w:lang w:val="fr-CA"/>
        </w:rPr>
        <w:t>traduction</w:t>
      </w:r>
      <w:r>
        <w:rPr>
          <w:rFonts w:cs="Times New Roman"/>
          <w:lang w:val="fr-CA"/>
        </w:rPr>
        <w:t>] « </w:t>
      </w:r>
      <w:r w:rsidRPr="008F040A">
        <w:rPr>
          <w:rFonts w:cs="Times New Roman"/>
          <w:lang w:val="fr-CA"/>
        </w:rPr>
        <w:t>. . . si le point de droit avait été tranché différemment, l’arbitre aurait rendu une décision différente. Autrement dit, l’erreur de droit invoquée a</w:t>
      </w:r>
      <w:r w:rsidRPr="008F040A">
        <w:rPr>
          <w:rFonts w:cs="Times New Roman"/>
          <w:lang w:val="fr-CA"/>
        </w:rPr>
        <w:noBreakHyphen/>
        <w:t>t</w:t>
      </w:r>
      <w:r w:rsidRPr="008F040A">
        <w:rPr>
          <w:rFonts w:cs="Times New Roman"/>
          <w:lang w:val="fr-CA"/>
        </w:rPr>
        <w:noBreakHyphen/>
        <w:t>elle eu un effet déterminant sur la décision; touche</w:t>
      </w:r>
      <w:r w:rsidRPr="008F040A">
        <w:rPr>
          <w:rFonts w:cs="Times New Roman"/>
          <w:lang w:val="fr-CA"/>
        </w:rPr>
        <w:noBreakHyphen/>
        <w:t>t</w:t>
      </w:r>
      <w:r w:rsidRPr="008F040A">
        <w:rPr>
          <w:rFonts w:cs="Times New Roman"/>
          <w:lang w:val="fr-CA"/>
        </w:rPr>
        <w:noBreakHyphen/>
        <w:t>elle au cœur de la décision? » (</w:t>
      </w:r>
      <w:r w:rsidRPr="008F040A">
        <w:rPr>
          <w:rFonts w:cs="Times New Roman"/>
          <w:i/>
          <w:lang w:val="fr-CA"/>
        </w:rPr>
        <w:t>BCIT</w:t>
      </w:r>
      <w:r w:rsidRPr="008F040A">
        <w:rPr>
          <w:rFonts w:cs="Times New Roman"/>
          <w:lang w:val="fr-CA"/>
        </w:rPr>
        <w:t xml:space="preserve">, par. 28). Voir également l’arrêt </w:t>
      </w:r>
      <w:r w:rsidRPr="008F040A">
        <w:rPr>
          <w:rFonts w:cs="Times New Roman"/>
          <w:i/>
          <w:lang w:val="fr-CA"/>
        </w:rPr>
        <w:t>Quan c. Cusson</w:t>
      </w:r>
      <w:r w:rsidRPr="008F040A">
        <w:rPr>
          <w:rFonts w:cs="Times New Roman"/>
          <w:lang w:val="fr-CA"/>
        </w:rPr>
        <w:t>, 2009 CSC 62, [2009] 3 R.C.S</w:t>
      </w:r>
      <w:r>
        <w:rPr>
          <w:rFonts w:cs="Times New Roman"/>
          <w:lang w:val="fr-CA"/>
        </w:rPr>
        <w:t>.</w:t>
      </w:r>
      <w:r w:rsidRPr="008F040A">
        <w:rPr>
          <w:rFonts w:cs="Times New Roman"/>
          <w:lang w:val="fr-CA"/>
        </w:rPr>
        <w:t xml:space="preserve"> 712, où la Cour analyse le critère qui sert à déterminer s’il y a « préjudice grave ou [. . .] erreur judiciaire » dans le contexte des procès civils avec jury (par. 43). </w:t>
      </w:r>
    </w:p>
    <w:p w:rsidR="00EC1E65" w:rsidRPr="008F040A" w:rsidRDefault="00EC1E65" w:rsidP="00EC1E65">
      <w:pPr>
        <w:pStyle w:val="ParaNoNdepar-AltN"/>
        <w:rPr>
          <w:rFonts w:cs="Times New Roman"/>
          <w:lang w:val="fr-CA" w:bidi="en-US"/>
        </w:rPr>
      </w:pPr>
      <w:r w:rsidRPr="008F040A">
        <w:rPr>
          <w:rFonts w:cs="Times New Roman"/>
          <w:lang w:val="fr-CA"/>
        </w:rPr>
        <w:t xml:space="preserve">Compte tenu des arrêts </w:t>
      </w:r>
      <w:r w:rsidRPr="008F040A">
        <w:rPr>
          <w:rFonts w:cs="Times New Roman"/>
          <w:i/>
          <w:lang w:val="fr-CA"/>
        </w:rPr>
        <w:t xml:space="preserve">BCIT </w:t>
      </w:r>
      <w:r w:rsidRPr="008F040A">
        <w:rPr>
          <w:rFonts w:cs="Times New Roman"/>
          <w:lang w:val="fr-CA"/>
        </w:rPr>
        <w:t xml:space="preserve">et </w:t>
      </w:r>
      <w:r w:rsidRPr="008F040A">
        <w:rPr>
          <w:rFonts w:cs="Times New Roman"/>
          <w:i/>
          <w:lang w:val="fr-CA"/>
        </w:rPr>
        <w:t>Quan</w:t>
      </w:r>
      <w:r w:rsidRPr="008F040A">
        <w:rPr>
          <w:rFonts w:cs="Times New Roman"/>
          <w:lang w:val="fr-CA"/>
        </w:rPr>
        <w:t>, je suis d’avis que, pour que l’erreur de droit reprochée soit une erreur judiciaire au sens où il faut l’entendre pour l’application de l’al. 31(2)(a) de l’</w:t>
      </w:r>
      <w:r w:rsidRPr="008F040A">
        <w:rPr>
          <w:rFonts w:cs="Times New Roman"/>
          <w:i/>
          <w:lang w:val="fr-CA"/>
        </w:rPr>
        <w:t>AA</w:t>
      </w:r>
      <w:r w:rsidRPr="008F040A">
        <w:rPr>
          <w:rFonts w:cs="Times New Roman"/>
          <w:lang w:val="fr-CA"/>
        </w:rPr>
        <w:t xml:space="preserve">, elle doit se rapporter à une question importante en litige qui, si elle était tranchée différemment, aurait une incidence sur le résultat.  </w:t>
      </w:r>
    </w:p>
    <w:p w:rsidR="00EC1E65" w:rsidRPr="008F040A" w:rsidRDefault="00EC1E65" w:rsidP="00EC1E65">
      <w:pPr>
        <w:pStyle w:val="ParaNoNdepar-AltN"/>
        <w:rPr>
          <w:rFonts w:cs="Times New Roman"/>
          <w:lang w:val="fr-CA" w:bidi="en-US"/>
        </w:rPr>
      </w:pPr>
      <w:r w:rsidRPr="008F040A">
        <w:rPr>
          <w:rFonts w:cs="Times New Roman"/>
          <w:lang w:val="fr-CA" w:bidi="en-US"/>
        </w:rPr>
        <w:t xml:space="preserve">Suivant cette norme, le règlement d’un point de droit « peut permettre d’éviter une erreur judiciaire » seulement lorsqu’il existe une certaine possibilité que l’appel soit accueilli. Un appel qui est voué à l’échec ne saurait « permettre d’éviter une erreur judiciaire » puisque les possibilités que l’issue d’un tel appel joue sur le résultat final du litige sont nulles. </w:t>
      </w:r>
    </w:p>
    <w:p w:rsidR="00EC1E65" w:rsidRPr="008F040A" w:rsidRDefault="00EC1E65" w:rsidP="00EC1E65">
      <w:pPr>
        <w:pStyle w:val="ParaNoNdepar-AltN"/>
        <w:rPr>
          <w:rFonts w:cs="Times New Roman"/>
          <w:lang w:val="fr-CA" w:bidi="en-US"/>
        </w:rPr>
      </w:pPr>
      <w:r w:rsidRPr="008F040A">
        <w:rPr>
          <w:rFonts w:cs="Times New Roman"/>
          <w:lang w:val="fr-CA" w:bidi="en-US"/>
        </w:rPr>
        <w:lastRenderedPageBreak/>
        <w:t>Ce n’est pas à l’étape de l’autorisation qu’il convient d’examiner exhaustivement le fond du litige et de se prononcer définitivement sur l’absence ou l’existence d’une erreur de droit. Cependant, il faut procéder à un examen préliminaire de la question de droit pour déterminer si l’appel a une chance d’être accueilli et, par conséquent, de modifier le résultat du litige.</w:t>
      </w:r>
    </w:p>
    <w:p w:rsidR="00EC1E65" w:rsidRPr="008F040A" w:rsidRDefault="00EC1E65" w:rsidP="00EC1E65">
      <w:pPr>
        <w:pStyle w:val="ParaNoNdepar-AltN"/>
        <w:rPr>
          <w:rFonts w:cs="Times New Roman"/>
          <w:lang w:val="fr-CA" w:bidi="en-US"/>
        </w:rPr>
      </w:pPr>
      <w:r w:rsidRPr="008F040A">
        <w:rPr>
          <w:rFonts w:cs="Times New Roman"/>
          <w:lang w:val="fr-CA" w:bidi="en-US"/>
        </w:rPr>
        <w:t xml:space="preserve">Selon l’arrêt </w:t>
      </w:r>
      <w:r w:rsidRPr="008F040A">
        <w:rPr>
          <w:rFonts w:cs="Times New Roman"/>
          <w:i/>
          <w:lang w:val="fr-CA" w:bidi="en-US"/>
        </w:rPr>
        <w:t>BCIT</w:t>
      </w:r>
      <w:r w:rsidRPr="008F040A">
        <w:rPr>
          <w:rFonts w:cs="Times New Roman"/>
          <w:lang w:val="fr-CA" w:bidi="en-US"/>
        </w:rPr>
        <w:t>, l</w:t>
      </w:r>
      <w:r>
        <w:rPr>
          <w:rFonts w:cs="Times New Roman"/>
          <w:lang w:val="fr-CA" w:bidi="en-US"/>
        </w:rPr>
        <w:t xml:space="preserve">e demandeur </w:t>
      </w:r>
      <w:r w:rsidRPr="008F040A">
        <w:rPr>
          <w:rFonts w:cs="Times New Roman"/>
          <w:lang w:val="fr-CA" w:bidi="en-US"/>
        </w:rPr>
        <w:t>doit établir [</w:t>
      </w:r>
      <w:r w:rsidRPr="008F040A">
        <w:rPr>
          <w:rFonts w:cs="Times New Roman"/>
          <w:smallCaps/>
          <w:lang w:val="fr-CA" w:bidi="en-US"/>
        </w:rPr>
        <w:t>traduction</w:t>
      </w:r>
      <w:r w:rsidRPr="008F040A">
        <w:rPr>
          <w:rFonts w:cs="Times New Roman"/>
          <w:lang w:val="fr-CA" w:bidi="en-US"/>
        </w:rPr>
        <w:t>] « plus qu’un argument défendable » (par. 30) lors de cet examen préliminaire de l’appel. Pourtant, une fois un argument défendable soulevé, que faudrait</w:t>
      </w:r>
      <w:r w:rsidRPr="008F040A">
        <w:rPr>
          <w:rFonts w:cs="Times New Roman"/>
          <w:lang w:val="fr-CA" w:bidi="en-US"/>
        </w:rPr>
        <w:noBreakHyphen/>
        <w:t xml:space="preserve">il démontrer de plus pour qu’il soit satisfait à cette norme? Vraisemblablement, le juge saisi de la demande d’autorisation devrait alors examiner les arguments se rapportant à la question de droit soulevée en appel de plus près que ce qui serait indiqué à cette étape pour trouver </w:t>
      </w:r>
      <w:r w:rsidRPr="008F040A">
        <w:rPr>
          <w:rFonts w:cs="Times New Roman"/>
          <w:i/>
          <w:lang w:val="fr-CA" w:bidi="en-US"/>
        </w:rPr>
        <w:t>plus</w:t>
      </w:r>
      <w:r w:rsidRPr="008F040A">
        <w:rPr>
          <w:rFonts w:cs="Times New Roman"/>
          <w:lang w:val="fr-CA" w:bidi="en-US"/>
        </w:rPr>
        <w:t xml:space="preserve"> qu’un argument défendable. À mon humble avis, exiger un examen plus approfondi du point de droit brouille les rôles respectifs de la formation saisie de la demande d’autorisation et de celle saisie de l’appel.  </w:t>
      </w:r>
    </w:p>
    <w:p w:rsidR="00EC1E65" w:rsidRPr="008F040A" w:rsidRDefault="00EC1E65" w:rsidP="00EC1E65">
      <w:pPr>
        <w:pStyle w:val="ParaNoNdepar-AltN"/>
        <w:rPr>
          <w:rFonts w:cs="Times New Roman"/>
          <w:lang w:val="fr-CA" w:bidi="en-US"/>
        </w:rPr>
      </w:pPr>
      <w:r w:rsidRPr="008F040A">
        <w:rPr>
          <w:rFonts w:cs="Times New Roman"/>
          <w:lang w:val="fr-CA" w:bidi="en-US"/>
        </w:rPr>
        <w:t>Selon moi, ce qu’il faut démontrer, pour l’application du par. 31(2), c’est que la question de droit invoquée a un fondement défendable. Ce critère s’applique souvent à l’étape de l’autorisation, pour établir sommairement le bien</w:t>
      </w:r>
      <w:r w:rsidRPr="008F040A">
        <w:rPr>
          <w:rFonts w:cs="Times New Roman"/>
          <w:lang w:val="fr-CA" w:bidi="en-US"/>
        </w:rPr>
        <w:noBreakHyphen/>
        <w:t xml:space="preserve">fondé de l’appel (voir par exemple </w:t>
      </w:r>
      <w:r w:rsidRPr="008F040A">
        <w:rPr>
          <w:rFonts w:cs="Times New Roman"/>
          <w:i/>
          <w:lang w:val="fr-CA" w:bidi="en-US"/>
        </w:rPr>
        <w:t>Quick Auto Lease Inc. c. Nordin</w:t>
      </w:r>
      <w:r w:rsidRPr="008F040A">
        <w:rPr>
          <w:rFonts w:cs="Times New Roman"/>
          <w:lang w:val="fr-CA" w:bidi="en-US"/>
        </w:rPr>
        <w:t xml:space="preserve">, 2014 MBCA 32, 303 Man. R. (2d) 262, par. 5; </w:t>
      </w:r>
      <w:r w:rsidRPr="008F040A">
        <w:rPr>
          <w:rFonts w:cs="Times New Roman"/>
          <w:i/>
          <w:lang w:val="fr-CA" w:bidi="en-US"/>
        </w:rPr>
        <w:t>R. c. Fedossenko</w:t>
      </w:r>
      <w:r w:rsidRPr="008F040A">
        <w:rPr>
          <w:rFonts w:cs="Times New Roman"/>
          <w:lang w:val="fr-CA" w:bidi="en-US"/>
        </w:rPr>
        <w:t>, 2013 ABCA 164 (CanLII), par. 7). Il est bien connu et a été exprimé de diverses façons : [</w:t>
      </w:r>
      <w:r w:rsidRPr="008F040A">
        <w:rPr>
          <w:rFonts w:cs="Times New Roman"/>
          <w:smallCaps/>
          <w:lang w:val="fr-CA" w:bidi="en-US"/>
        </w:rPr>
        <w:t>traduction</w:t>
      </w:r>
      <w:r w:rsidRPr="008F040A">
        <w:rPr>
          <w:rFonts w:cs="Times New Roman"/>
          <w:lang w:val="fr-CA" w:bidi="en-US"/>
        </w:rPr>
        <w:t>] « une possibilité raisonnable d’être accueilli » (</w:t>
      </w:r>
      <w:r w:rsidRPr="00F362C5">
        <w:rPr>
          <w:rFonts w:cs="Times New Roman"/>
          <w:i/>
          <w:lang w:val="fr-CA" w:bidi="en-US"/>
        </w:rPr>
        <w:t>a</w:t>
      </w:r>
      <w:r>
        <w:rPr>
          <w:rFonts w:cs="Times New Roman"/>
          <w:lang w:val="fr-CA" w:bidi="en-US"/>
        </w:rPr>
        <w:t xml:space="preserve"> </w:t>
      </w:r>
      <w:r w:rsidRPr="008F040A">
        <w:rPr>
          <w:rFonts w:cs="Times New Roman"/>
          <w:i/>
          <w:lang w:val="fr-CA" w:bidi="en-US"/>
        </w:rPr>
        <w:t>reasonable prospect of success</w:t>
      </w:r>
      <w:r w:rsidRPr="008F040A">
        <w:rPr>
          <w:rFonts w:cs="Times New Roman"/>
          <w:lang w:val="fr-CA" w:bidi="en-US"/>
        </w:rPr>
        <w:t>) (</w:t>
      </w:r>
      <w:r w:rsidRPr="008F040A">
        <w:rPr>
          <w:rFonts w:cs="Times New Roman"/>
          <w:i/>
          <w:lang w:val="fr-CA" w:bidi="en-US"/>
        </w:rPr>
        <w:t>Quick Auto Lease</w:t>
      </w:r>
      <w:r w:rsidRPr="008F040A">
        <w:rPr>
          <w:rFonts w:cs="Times New Roman"/>
          <w:lang w:val="fr-CA" w:bidi="en-US"/>
        </w:rPr>
        <w:t>,</w:t>
      </w:r>
      <w:r w:rsidRPr="008F040A">
        <w:rPr>
          <w:rFonts w:cs="Times New Roman"/>
          <w:i/>
          <w:lang w:val="fr-CA" w:bidi="en-US"/>
        </w:rPr>
        <w:t xml:space="preserve"> </w:t>
      </w:r>
      <w:r w:rsidRPr="008F040A">
        <w:rPr>
          <w:rFonts w:cs="Times New Roman"/>
          <w:lang w:val="fr-CA" w:bidi="en-US"/>
        </w:rPr>
        <w:t xml:space="preserve">par. 5; </w:t>
      </w:r>
      <w:r w:rsidRPr="008F040A">
        <w:rPr>
          <w:rFonts w:cs="Times New Roman"/>
          <w:i/>
          <w:lang w:val="fr-CA" w:bidi="en-US"/>
        </w:rPr>
        <w:t>Enns c. Hansey</w:t>
      </w:r>
      <w:r w:rsidRPr="008F040A">
        <w:rPr>
          <w:rFonts w:cs="Times New Roman"/>
          <w:lang w:val="fr-CA" w:bidi="en-US"/>
        </w:rPr>
        <w:t>, 2013 MBCA 23 (CanLII), par. 2); une « certaine chance de succès » (</w:t>
      </w:r>
      <w:r w:rsidRPr="008F040A">
        <w:rPr>
          <w:rFonts w:cs="Times New Roman"/>
          <w:i/>
          <w:lang w:val="fr-CA" w:bidi="en-US"/>
        </w:rPr>
        <w:t xml:space="preserve">some </w:t>
      </w:r>
      <w:r w:rsidRPr="008F040A">
        <w:rPr>
          <w:rFonts w:cs="Times New Roman"/>
          <w:i/>
          <w:lang w:val="fr-CA" w:bidi="en-US"/>
        </w:rPr>
        <w:lastRenderedPageBreak/>
        <w:t>hope of success</w:t>
      </w:r>
      <w:r w:rsidRPr="008F040A">
        <w:rPr>
          <w:rFonts w:cs="Times New Roman"/>
          <w:lang w:val="fr-CA" w:bidi="en-US"/>
        </w:rPr>
        <w:t>) et un « fondement suffisant » (</w:t>
      </w:r>
      <w:r w:rsidRPr="008F040A">
        <w:rPr>
          <w:rFonts w:cs="Times New Roman"/>
          <w:i/>
          <w:lang w:val="fr-CA" w:bidi="en-US"/>
        </w:rPr>
        <w:t>sufficient merit</w:t>
      </w:r>
      <w:r w:rsidRPr="008F040A">
        <w:rPr>
          <w:rFonts w:cs="Times New Roman"/>
          <w:lang w:val="fr-CA" w:bidi="en-US"/>
        </w:rPr>
        <w:t>) (</w:t>
      </w:r>
      <w:r w:rsidRPr="008F040A">
        <w:rPr>
          <w:rFonts w:cs="Times New Roman"/>
          <w:i/>
          <w:lang w:val="fr-CA" w:bidi="en-US"/>
        </w:rPr>
        <w:t>R. c.</w:t>
      </w:r>
      <w:r w:rsidRPr="008F040A">
        <w:rPr>
          <w:rFonts w:cs="Times New Roman"/>
          <w:lang w:val="fr-CA" w:bidi="en-US"/>
        </w:rPr>
        <w:t xml:space="preserve"> </w:t>
      </w:r>
      <w:r w:rsidRPr="008F040A">
        <w:rPr>
          <w:rFonts w:cs="Times New Roman"/>
          <w:i/>
          <w:lang w:val="fr-CA" w:bidi="en-US"/>
        </w:rPr>
        <w:t>Hubley</w:t>
      </w:r>
      <w:r w:rsidRPr="008F040A">
        <w:rPr>
          <w:rFonts w:cs="Times New Roman"/>
          <w:lang w:val="fr-CA" w:bidi="en-US"/>
        </w:rPr>
        <w:t>, 2009 PECA 21, 289 Nfld</w:t>
      </w:r>
      <w:r>
        <w:rPr>
          <w:rFonts w:cs="Times New Roman"/>
          <w:lang w:val="fr-CA" w:bidi="en-US"/>
        </w:rPr>
        <w:t>.</w:t>
      </w:r>
      <w:r w:rsidRPr="008F040A">
        <w:rPr>
          <w:rFonts w:cs="Times New Roman"/>
          <w:lang w:val="fr-CA" w:bidi="en-US"/>
        </w:rPr>
        <w:t xml:space="preserve"> &amp; P.E.I.R. 174, par. 11)</w:t>
      </w:r>
      <w:r>
        <w:rPr>
          <w:rFonts w:cs="Times New Roman"/>
          <w:lang w:val="fr-CA" w:bidi="en-US"/>
        </w:rPr>
        <w:t>;</w:t>
      </w:r>
      <w:r w:rsidRPr="008F040A">
        <w:rPr>
          <w:rFonts w:cs="Times New Roman"/>
          <w:lang w:val="fr-CA" w:bidi="en-US"/>
        </w:rPr>
        <w:t xml:space="preserve"> un « argument plausible » (</w:t>
      </w:r>
      <w:r w:rsidRPr="008F040A">
        <w:rPr>
          <w:rFonts w:cs="Times New Roman"/>
          <w:i/>
          <w:lang w:val="fr-CA" w:bidi="en-US"/>
        </w:rPr>
        <w:t>credible argument</w:t>
      </w:r>
      <w:r w:rsidRPr="008F040A">
        <w:rPr>
          <w:rFonts w:cs="Times New Roman"/>
          <w:lang w:val="fr-CA" w:bidi="en-US"/>
        </w:rPr>
        <w:t>) (</w:t>
      </w:r>
      <w:r w:rsidRPr="008F040A">
        <w:rPr>
          <w:rFonts w:cs="Times New Roman"/>
          <w:i/>
          <w:lang w:val="fr-CA" w:bidi="en-US"/>
        </w:rPr>
        <w:t>R. c. Will</w:t>
      </w:r>
      <w:r w:rsidRPr="008F040A">
        <w:rPr>
          <w:rFonts w:cs="Times New Roman"/>
          <w:lang w:val="fr-CA" w:bidi="en-US"/>
        </w:rPr>
        <w:t>, 2013 SKCA 4, 405 Sask. R. 270, par. 8). À mon avis, les diverses appellations qui désignent le fondement défendable présentent un élément commun : l’argument soulevé par le demandeur ne peut être rejeté à l’issue d’un examen préliminaire de la question de droit. Pour déterminer s’il faut annuler la sentence arbitrale, un examen approfondi est nécessaire, et c’est au tribunal saisi de l’appel qu’il incombe, une fois l’autorisation accordée.</w:t>
      </w:r>
    </w:p>
    <w:p w:rsidR="00EC1E65" w:rsidRPr="008F040A" w:rsidRDefault="00EC1E65" w:rsidP="00EC1E65">
      <w:pPr>
        <w:pStyle w:val="ParaNoNdepar-AltN"/>
        <w:rPr>
          <w:rFonts w:cs="Times New Roman"/>
          <w:lang w:val="fr-CA" w:bidi="en-US"/>
        </w:rPr>
      </w:pPr>
      <w:r w:rsidRPr="008F040A">
        <w:rPr>
          <w:rFonts w:cs="Times New Roman"/>
          <w:lang w:val="fr-CA" w:bidi="en-US"/>
        </w:rPr>
        <w:t>L’examen visant à décider si la question soulevée dans la demande d’autorisation d’appel a un fondement défendable doit se faire à la lumière de la norme de contrôle applicable à l’analyse du bien</w:t>
      </w:r>
      <w:r w:rsidRPr="008F040A">
        <w:rPr>
          <w:rFonts w:cs="Times New Roman"/>
          <w:lang w:val="fr-CA" w:bidi="en-US"/>
        </w:rPr>
        <w:noBreakHyphen/>
        <w:t>fondé de l’appel. Il faut donc procéder à un examen préliminaire ayant pour objet la norme applicable. Comme nous le verrons, la norme de la décision raisonnable s’appliquera presque toujours aux arbitrages commerciaux régis par l’</w:t>
      </w:r>
      <w:r w:rsidRPr="008F040A">
        <w:rPr>
          <w:rFonts w:cs="Times New Roman"/>
          <w:i/>
          <w:lang w:val="fr-CA" w:bidi="en-US"/>
        </w:rPr>
        <w:t>AA</w:t>
      </w:r>
      <w:r w:rsidRPr="008F040A">
        <w:rPr>
          <w:rFonts w:cs="Times New Roman"/>
          <w:lang w:val="fr-CA" w:bidi="en-US"/>
        </w:rPr>
        <w:t xml:space="preserve">, sauf dans les rares circonstances où l’application de la norme de la décision correcte s’imposera, notamment lorsqu’il s’agit d’une question constitutionnelle ou d’une question de droit qui revêt une importance capitale pour le système juridique dans son ensemble et qui est étrangère au domaine d’expertise du décideur administratif. Par conséquent, dans le cadre de l’examen préalable à l’autorisation le tribunal s’interrogera ordinairement quant à savoir si la prétention — selon laquelle la sentence arbitrale sur la question en litige était déraisonnable — a un fondement défendable, compte tenu du fait que le décideur n’est pas tenu de faire référence à tous les arguments, dispositions ou précédents ni de tirer une conclusion précise sur chaque élément constitutif du raisonnement pour que sa décision soit </w:t>
      </w:r>
      <w:r w:rsidRPr="008F040A">
        <w:rPr>
          <w:rFonts w:cs="Times New Roman"/>
          <w:lang w:val="fr-CA" w:bidi="en-US"/>
        </w:rPr>
        <w:lastRenderedPageBreak/>
        <w:t>raisonnable (</w:t>
      </w:r>
      <w:r w:rsidRPr="008F040A">
        <w:rPr>
          <w:rFonts w:cs="Times New Roman"/>
          <w:i/>
          <w:lang w:val="fr-CA" w:bidi="en-US"/>
        </w:rPr>
        <w:t>Newfoundland and Labrador Nurses’ Union c. Terre</w:t>
      </w:r>
      <w:r w:rsidRPr="008F040A">
        <w:rPr>
          <w:rFonts w:cs="Times New Roman"/>
          <w:i/>
          <w:lang w:val="fr-CA" w:bidi="en-US"/>
        </w:rPr>
        <w:noBreakHyphen/>
        <w:t>Neuve</w:t>
      </w:r>
      <w:r w:rsidRPr="008F040A">
        <w:rPr>
          <w:rFonts w:cs="Times New Roman"/>
          <w:i/>
          <w:lang w:val="fr-CA" w:bidi="en-US"/>
        </w:rPr>
        <w:noBreakHyphen/>
        <w:t>et</w:t>
      </w:r>
      <w:r w:rsidRPr="008F040A">
        <w:rPr>
          <w:rFonts w:cs="Times New Roman"/>
          <w:i/>
          <w:lang w:val="fr-CA" w:bidi="en-US"/>
        </w:rPr>
        <w:noBreakHyphen/>
        <w:t>Labrador (Conseil du Trésor)</w:t>
      </w:r>
      <w:r w:rsidRPr="008F040A">
        <w:rPr>
          <w:rFonts w:cs="Times New Roman"/>
          <w:lang w:val="fr-CA" w:bidi="en-US"/>
        </w:rPr>
        <w:t>, 2011 CSC 62, [2011] 3 R.C.S. 708, par. 16). Certes, le tribunal saisi de la demande d’autorisation ne procède qu’à un examen préliminaire ayant pour objet la norme de contrôle, qui ne lie pas celui qui se penchera sur le bien</w:t>
      </w:r>
      <w:r w:rsidRPr="008F040A">
        <w:rPr>
          <w:rFonts w:cs="Times New Roman"/>
          <w:lang w:val="fr-CA" w:bidi="en-US"/>
        </w:rPr>
        <w:noBreakHyphen/>
        <w:t xml:space="preserve">fondé de l’appel. Ainsi, il ne faudrait pas considérer qu’il s’agit d’une invitation à se perdre en analyses ou en arguments poussés à propos de la norme de contrôle à l’étape de la demande d’autorisation. </w:t>
      </w:r>
    </w:p>
    <w:p w:rsidR="00EC1E65" w:rsidRPr="008F040A" w:rsidRDefault="00EC1E65" w:rsidP="00EC1E65">
      <w:pPr>
        <w:pStyle w:val="ParaNoNdepar-AltN"/>
        <w:rPr>
          <w:rFonts w:cs="Times New Roman"/>
          <w:lang w:val="fr-CA" w:bidi="en-US"/>
        </w:rPr>
      </w:pPr>
      <w:r w:rsidRPr="008F040A">
        <w:rPr>
          <w:rFonts w:cs="Times New Roman"/>
          <w:lang w:val="fr-CA" w:bidi="en-US"/>
        </w:rPr>
        <w:t xml:space="preserve">Dans </w:t>
      </w:r>
      <w:r w:rsidRPr="008F040A">
        <w:rPr>
          <w:rFonts w:cs="Times New Roman"/>
          <w:i/>
          <w:lang w:val="fr-CA" w:bidi="en-US"/>
        </w:rPr>
        <w:t>BCIT</w:t>
      </w:r>
      <w:r w:rsidRPr="008F040A">
        <w:rPr>
          <w:rFonts w:cs="Times New Roman"/>
          <w:lang w:val="fr-CA" w:bidi="en-US"/>
        </w:rPr>
        <w:t>, la juge Saunders s’interroge sur l’étape à laquelle il convient d’examiner le bien</w:t>
      </w:r>
      <w:r w:rsidRPr="008F040A">
        <w:rPr>
          <w:rFonts w:cs="Times New Roman"/>
          <w:lang w:val="fr-CA" w:bidi="en-US"/>
        </w:rPr>
        <w:noBreakHyphen/>
        <w:t>fondé de l’appel dans le cadre de l’analyse requise par l’al. 31(2)(a) de l’</w:t>
      </w:r>
      <w:r w:rsidRPr="008F040A">
        <w:rPr>
          <w:rFonts w:cs="Times New Roman"/>
          <w:i/>
          <w:lang w:val="fr-CA" w:bidi="en-US"/>
        </w:rPr>
        <w:t>AA</w:t>
      </w:r>
      <w:r w:rsidRPr="008F040A">
        <w:rPr>
          <w:rFonts w:cs="Times New Roman"/>
          <w:lang w:val="fr-CA" w:bidi="en-US"/>
        </w:rPr>
        <w:t>. Contrairement à ce que prétendait une partie, soit que l’évaluation du bien</w:t>
      </w:r>
      <w:r w:rsidRPr="008F040A">
        <w:rPr>
          <w:rFonts w:cs="Times New Roman"/>
          <w:lang w:val="fr-CA" w:bidi="en-US"/>
        </w:rPr>
        <w:noBreakHyphen/>
        <w:t xml:space="preserve">fondé se rapporte au critère de l’erreur judiciaire, la juge détermine que cet examen se rattache plutôt à l’exercice du pouvoir discrétionnaire. Ses motifs révèlent que sa décision découle de sa volonté d’adopter une approche uniforme à l’égard des al. 31(2)(a), (b) et (c) : </w:t>
      </w:r>
    </w:p>
    <w:p w:rsidR="00EC1E65" w:rsidRPr="008F040A" w:rsidRDefault="00EC1E65" w:rsidP="00EC1E65">
      <w:pPr>
        <w:pStyle w:val="Citation-AltC"/>
        <w:tabs>
          <w:tab w:val="left" w:pos="1620"/>
        </w:tabs>
        <w:ind w:hanging="1166"/>
        <w:rPr>
          <w:lang w:val="fr-CA"/>
        </w:rPr>
      </w:pPr>
      <w:r w:rsidRPr="008F040A">
        <w:rPr>
          <w:lang w:val="fr-CA"/>
        </w:rPr>
        <w:tab/>
      </w:r>
      <w:r>
        <w:rPr>
          <w:lang w:val="fr-CA"/>
        </w:rPr>
        <w:tab/>
      </w:r>
      <w:r w:rsidRPr="008F040A">
        <w:rPr>
          <w:lang w:val="fr-CA"/>
        </w:rPr>
        <w:t>[</w:t>
      </w:r>
      <w:r w:rsidRPr="008F040A">
        <w:rPr>
          <w:smallCaps/>
          <w:lang w:val="fr-CA"/>
        </w:rPr>
        <w:t>traduction</w:t>
      </w:r>
      <w:r w:rsidRPr="008F040A">
        <w:rPr>
          <w:lang w:val="fr-CA"/>
        </w:rPr>
        <w:t>] À quel moment, le cas échéant, faut</w:t>
      </w:r>
      <w:r w:rsidRPr="008F040A">
        <w:rPr>
          <w:lang w:val="fr-CA"/>
        </w:rPr>
        <w:noBreakHyphen/>
        <w:t>il alors examiner le bien</w:t>
      </w:r>
      <w:r w:rsidRPr="008F040A">
        <w:rPr>
          <w:lang w:val="fr-CA"/>
        </w:rPr>
        <w:noBreakHyphen/>
        <w:t>fondé de l’appel? M. Roberts, qui représente l’Association étudiante, prétend qu’il convient de procéder à cet examen lorsqu’on se demande si une erreur judiciaire risque d’être commise, c’est</w:t>
      </w:r>
      <w:r w:rsidRPr="008F040A">
        <w:rPr>
          <w:lang w:val="fr-CA"/>
        </w:rPr>
        <w:noBreakHyphen/>
        <w:t>à</w:t>
      </w:r>
      <w:r w:rsidRPr="008F040A">
        <w:rPr>
          <w:lang w:val="fr-CA"/>
        </w:rPr>
        <w:noBreakHyphen/>
        <w:t>dire, à la deuxième étape. Je ne suis pas d’accord. À mon avis, l’appréciation du bien</w:t>
      </w:r>
      <w:r w:rsidRPr="008F040A">
        <w:rPr>
          <w:lang w:val="fr-CA"/>
        </w:rPr>
        <w:noBreakHyphen/>
        <w:t>fondé ou de l’absence de fondement apparent de l’appel s’inscrit dans l’exercice du pouvoir discrétionnaire résiduel et s’applique également aux trois alinéas, de (</w:t>
      </w:r>
      <w:r w:rsidRPr="008F040A">
        <w:rPr>
          <w:i/>
          <w:lang w:val="fr-CA"/>
        </w:rPr>
        <w:t>a</w:t>
      </w:r>
      <w:r w:rsidRPr="008F040A">
        <w:rPr>
          <w:lang w:val="fr-CA"/>
        </w:rPr>
        <w:t>) à (</w:t>
      </w:r>
      <w:r w:rsidRPr="008F040A">
        <w:rPr>
          <w:i/>
          <w:lang w:val="fr-CA"/>
        </w:rPr>
        <w:t>c</w:t>
      </w:r>
      <w:r w:rsidRPr="008F040A">
        <w:rPr>
          <w:lang w:val="fr-CA"/>
        </w:rPr>
        <w:t>). Tout comme un appel manifestement dénué de fondement ne devrait pas être autorisé en vertu de l’al. (</w:t>
      </w:r>
      <w:r w:rsidRPr="008F040A">
        <w:rPr>
          <w:i/>
          <w:lang w:val="fr-CA"/>
        </w:rPr>
        <w:t>b</w:t>
      </w:r>
      <w:r w:rsidRPr="008F040A">
        <w:rPr>
          <w:lang w:val="fr-CA"/>
        </w:rPr>
        <w:t>) (revêt de l’importance pour une catégorie ou un groupe de personnes dont le demandeur fait partie) ou de l’al. (</w:t>
      </w:r>
      <w:r w:rsidRPr="008F040A">
        <w:rPr>
          <w:i/>
          <w:lang w:val="fr-CA"/>
        </w:rPr>
        <w:t>c</w:t>
      </w:r>
      <w:r w:rsidRPr="008F040A">
        <w:rPr>
          <w:lang w:val="fr-CA"/>
        </w:rPr>
        <w:t>) (est d’importance publique), un tel appel ne devrait pas non plus être autorisé en vertu de l’al. (</w:t>
      </w:r>
      <w:r w:rsidRPr="008F040A">
        <w:rPr>
          <w:i/>
          <w:lang w:val="fr-CA"/>
        </w:rPr>
        <w:t>a</w:t>
      </w:r>
      <w:r w:rsidRPr="008F040A">
        <w:rPr>
          <w:lang w:val="fr-CA"/>
        </w:rPr>
        <w:t>). Dans un but d’uniformité à l’égard de l’article entier, l’appréciation du bien</w:t>
      </w:r>
      <w:r w:rsidRPr="008F040A">
        <w:rPr>
          <w:lang w:val="fr-CA"/>
        </w:rPr>
        <w:noBreakHyphen/>
        <w:t>fondé devrait être intégrée à l’exercice du pouvoir discrétionnaire résiduel. [par. 29]</w:t>
      </w:r>
    </w:p>
    <w:p w:rsidR="00EC1E65" w:rsidRPr="008F040A" w:rsidRDefault="00EC1E65" w:rsidP="00EC1E65">
      <w:pPr>
        <w:pStyle w:val="ParaNoNdepar-AltN"/>
        <w:rPr>
          <w:rFonts w:cs="Times New Roman"/>
          <w:lang w:val="fr-CA" w:bidi="en-US"/>
        </w:rPr>
      </w:pPr>
      <w:r w:rsidRPr="008F040A">
        <w:rPr>
          <w:rFonts w:cs="Times New Roman"/>
          <w:lang w:val="fr-CA" w:bidi="en-US"/>
        </w:rPr>
        <w:lastRenderedPageBreak/>
        <w:t xml:space="preserve">Je reconnais la validité du raisonnement axé sur l’uniformité. Cependant, à mon humble avis, cette volonté d’adopter une démarche semblable au regard des al. 31(2)(a), (b) et (c) ne saurait l’emporter sur le libellé de la disposition. Contrairement aux al. 31(2)(b) et (c), l’al. 31(2)(a) exige que le tribunal détermine si le fait d’autoriser l’appel « peut permettre d’éviter une erreur judiciaire ». J’estime qu’un examen préliminaire de la question de droit s’inscrit implicitement dans l’examen qui vise à déterminer si l’autorisation « peut permettre d’éviter une erreur judiciaire ». </w:t>
      </w:r>
    </w:p>
    <w:p w:rsidR="00EC1E65" w:rsidRPr="008F040A" w:rsidRDefault="00EC1E65" w:rsidP="00EC1E65">
      <w:pPr>
        <w:pStyle w:val="ParaNoNdepar-AltN"/>
        <w:rPr>
          <w:rFonts w:cs="Times New Roman"/>
          <w:lang w:val="fr-CA" w:bidi="en-US"/>
        </w:rPr>
      </w:pPr>
      <w:r w:rsidRPr="008F040A">
        <w:rPr>
          <w:rFonts w:cs="Times New Roman"/>
          <w:lang w:val="fr-CA" w:bidi="en-US"/>
        </w:rPr>
        <w:t xml:space="preserve">Cependant, lorsqu’il s’agit d’une demande d’autorisation d’appel présentée en vertu des al. 31(2)(b) ou (c) — puisque ces dispositions ne prévoient pas le risque d’erreur judiciaire comme critère —, je souscris aux commentaires formulés par la juge Saunders dans </w:t>
      </w:r>
      <w:r w:rsidRPr="008F040A">
        <w:rPr>
          <w:rFonts w:cs="Times New Roman"/>
          <w:i/>
          <w:lang w:val="fr-CA" w:bidi="en-US"/>
        </w:rPr>
        <w:t xml:space="preserve">BCIT </w:t>
      </w:r>
      <w:r w:rsidRPr="008F040A">
        <w:rPr>
          <w:rFonts w:cs="Times New Roman"/>
          <w:lang w:val="fr-CA" w:bidi="en-US"/>
        </w:rPr>
        <w:t>selon lesquels l’examen préliminaire du bien</w:t>
      </w:r>
      <w:r w:rsidRPr="008F040A">
        <w:rPr>
          <w:rFonts w:cs="Times New Roman"/>
          <w:lang w:val="fr-CA" w:bidi="en-US"/>
        </w:rPr>
        <w:noBreakHyphen/>
        <w:t xml:space="preserve">fondé de la question de droit devrait intervenir à l’étape de l’exercice du pouvoir discrétionnaire résiduel dans l’analyse, puisque l’examen du bien-fondé de l’appel proposé demeure pertinent dans la décision d’accorder ou non l’autorisation d’appel en vertu de l’art. 31. </w:t>
      </w:r>
    </w:p>
    <w:p w:rsidR="00EC1E65" w:rsidRPr="008F040A" w:rsidRDefault="00EC1E65" w:rsidP="00EC1E65">
      <w:pPr>
        <w:pStyle w:val="ParaNoNdepar-AltN"/>
        <w:rPr>
          <w:rFonts w:cs="Times New Roman"/>
          <w:lang w:val="fr-CA" w:bidi="en-US"/>
        </w:rPr>
      </w:pPr>
      <w:r w:rsidRPr="008F040A">
        <w:rPr>
          <w:rFonts w:cs="Times New Roman"/>
          <w:lang w:val="fr-CA" w:bidi="en-US"/>
        </w:rPr>
        <w:t>Bref, afin d’établir que l’intervention du tribunal est justifiée [</w:t>
      </w:r>
      <w:r w:rsidRPr="008F040A">
        <w:rPr>
          <w:rFonts w:cs="Times New Roman"/>
          <w:smallCaps/>
          <w:lang w:val="fr-CA" w:bidi="en-US"/>
        </w:rPr>
        <w:t>traduction</w:t>
      </w:r>
      <w:r w:rsidRPr="008F040A">
        <w:rPr>
          <w:rFonts w:cs="Times New Roman"/>
          <w:lang w:val="fr-CA" w:bidi="en-US"/>
        </w:rPr>
        <w:t>] « </w:t>
      </w:r>
      <w:r w:rsidRPr="008F040A">
        <w:rPr>
          <w:rFonts w:cs="Times New Roman"/>
          <w:lang w:val="fr-CA"/>
        </w:rPr>
        <w:t>et que le règlement de la question de droit peut permettre d’éviter une erreur judiciaire</w:t>
      </w:r>
      <w:r w:rsidRPr="008F040A">
        <w:rPr>
          <w:rFonts w:cs="Times New Roman"/>
          <w:lang w:val="fr-CA" w:bidi="en-US"/>
        </w:rPr>
        <w:t> » pour l’application de l’al. 31(2)(a) de l’</w:t>
      </w:r>
      <w:r w:rsidRPr="008F040A">
        <w:rPr>
          <w:rFonts w:cs="Times New Roman"/>
          <w:i/>
          <w:lang w:val="fr-CA" w:bidi="en-US"/>
        </w:rPr>
        <w:t>AA</w:t>
      </w:r>
      <w:r w:rsidRPr="008F040A">
        <w:rPr>
          <w:rFonts w:cs="Times New Roman"/>
          <w:lang w:val="fr-CA" w:bidi="en-US"/>
        </w:rPr>
        <w:t xml:space="preserve">, le demandeur doit prouver que le point de droit en appel aura une incidence sur le résultat final et qu’il est défendable. </w:t>
      </w:r>
    </w:p>
    <w:p w:rsidR="00EC1E65" w:rsidRPr="008F040A" w:rsidRDefault="00EC1E65" w:rsidP="00EC1E65">
      <w:pPr>
        <w:pStyle w:val="Title4LevelTitre4Niveau"/>
        <w:tabs>
          <w:tab w:val="clear" w:pos="1296"/>
          <w:tab w:val="num" w:pos="900"/>
        </w:tabs>
        <w:ind w:left="900" w:hanging="450"/>
        <w:jc w:val="both"/>
        <w:rPr>
          <w:rFonts w:cs="Times New Roman"/>
          <w:lang w:val="fr-CA"/>
        </w:rPr>
      </w:pPr>
      <w:bookmarkStart w:id="160" w:name="_Toc389781720"/>
      <w:bookmarkStart w:id="161" w:name="_Toc390243251"/>
      <w:bookmarkStart w:id="162" w:name="_Toc390339578"/>
      <w:bookmarkStart w:id="163" w:name="_Toc390440412"/>
      <w:bookmarkStart w:id="164" w:name="_Toc390605553"/>
      <w:bookmarkStart w:id="165" w:name="_Toc390614589"/>
      <w:bookmarkStart w:id="166" w:name="_Toc394565842"/>
      <w:r w:rsidRPr="008F040A">
        <w:rPr>
          <w:rFonts w:cs="Times New Roman"/>
          <w:lang w:val="fr-CA"/>
        </w:rPr>
        <w:t xml:space="preserve">Application </w:t>
      </w:r>
      <w:bookmarkEnd w:id="160"/>
      <w:bookmarkEnd w:id="161"/>
      <w:bookmarkEnd w:id="162"/>
      <w:bookmarkEnd w:id="163"/>
      <w:bookmarkEnd w:id="164"/>
      <w:bookmarkEnd w:id="165"/>
      <w:r w:rsidRPr="008F040A">
        <w:rPr>
          <w:rFonts w:cs="Times New Roman"/>
          <w:lang w:val="fr-CA"/>
        </w:rPr>
        <w:t>au présent pourvoi</w:t>
      </w:r>
      <w:bookmarkEnd w:id="166"/>
    </w:p>
    <w:p w:rsidR="00EC1E65" w:rsidRPr="008F040A" w:rsidRDefault="00EC1E65" w:rsidP="00EC1E65">
      <w:pPr>
        <w:pStyle w:val="ParaNoNdepar-AltN"/>
        <w:rPr>
          <w:rFonts w:cs="Times New Roman"/>
          <w:lang w:val="fr-CA" w:bidi="en-US"/>
        </w:rPr>
      </w:pPr>
      <w:r w:rsidRPr="008F040A">
        <w:rPr>
          <w:rFonts w:cs="Times New Roman"/>
          <w:lang w:val="fr-CA" w:bidi="en-US"/>
        </w:rPr>
        <w:lastRenderedPageBreak/>
        <w:t>La formation de la CA saisie de la demande d’autorisation a conclu à la possibilité d’une erreur de droit par l’arbitre qui n’aurait pas interprété l’entente dans son ensemble et, plus particulièrement, aurait fait fi de la stipulation relative au « plafond ». Admettons cette prétention comme question de droit uniquement pour les besoins de la cause. Le règlement de la question est déterminant parce qu’il pourrait avoir pour effet de modifier la sentence de l’arbitre, lequel a accordé 4,14 millions $ en dommages</w:t>
      </w:r>
      <w:r w:rsidRPr="008F040A">
        <w:rPr>
          <w:rFonts w:cs="Times New Roman"/>
          <w:lang w:val="fr-CA" w:bidi="en-US"/>
        </w:rPr>
        <w:noBreakHyphen/>
        <w:t>intérêts au motif qu’il évaluait à 85 p. </w:t>
      </w:r>
      <w:r>
        <w:rPr>
          <w:rFonts w:cs="Times New Roman"/>
          <w:lang w:val="fr-CA" w:bidi="en-US"/>
        </w:rPr>
        <w:t>100</w:t>
      </w:r>
      <w:r w:rsidRPr="008F040A">
        <w:rPr>
          <w:rFonts w:cs="Times New Roman"/>
          <w:lang w:val="fr-CA" w:bidi="en-US"/>
        </w:rPr>
        <w:t xml:space="preserve"> la probabilité que la Bourse approuve des honoraires d’intermédiation payés en actions, à raison de 0,15 $ l’unité. Si l’argument invoqué par Creston est correct et que le cours de l’action ne peut s’établir à 0,15 $ en raison de la stipulation relative au « plafond », les dommages</w:t>
      </w:r>
      <w:r w:rsidRPr="008F040A">
        <w:rPr>
          <w:rFonts w:cs="Times New Roman"/>
          <w:lang w:val="fr-CA" w:bidi="en-US"/>
        </w:rPr>
        <w:noBreakHyphen/>
        <w:t xml:space="preserve">intérêts seraient réduits à 1,5 million $US, une amputation considérable de la somme initiale accordée. </w:t>
      </w:r>
    </w:p>
    <w:p w:rsidR="00EC1E65" w:rsidRPr="008F040A" w:rsidRDefault="00EC1E65" w:rsidP="00EC1E65">
      <w:pPr>
        <w:pStyle w:val="ParaNoNdepar-AltN"/>
        <w:rPr>
          <w:rFonts w:cs="Times New Roman"/>
          <w:lang w:val="fr-CA" w:bidi="en-US"/>
        </w:rPr>
      </w:pPr>
      <w:r w:rsidRPr="008F040A">
        <w:rPr>
          <w:rFonts w:cs="Times New Roman"/>
          <w:lang w:val="fr-CA" w:bidi="en-US"/>
        </w:rPr>
        <w:t>Comme l’al. 31(2)(a) de l’</w:t>
      </w:r>
      <w:r w:rsidRPr="008F040A">
        <w:rPr>
          <w:rFonts w:cs="Times New Roman"/>
          <w:i/>
          <w:lang w:val="fr-CA" w:bidi="en-US"/>
        </w:rPr>
        <w:t>AA</w:t>
      </w:r>
      <w:r w:rsidRPr="008F040A">
        <w:rPr>
          <w:rFonts w:cs="Times New Roman"/>
          <w:lang w:val="fr-CA" w:bidi="en-US"/>
        </w:rPr>
        <w:t xml:space="preserve"> est la disposition pertinente en l’espèce, il doit être procédé à un examen préliminaire de la question de droit pour déterminer le risque qu’une erreur judiciaire découle du rejet de la demande d’autorisation d’appel présentée par Creston. Cette dernière soutient que le fait que Sattva reçoive un portefeuille d’actions dont la valeur est très supérieure au plafond de 1,5 million $US en exécution de la sentence arbitrale prouve que l’arbitre n’a pas tenu compte de la stipulation relative au « plafond ». </w:t>
      </w:r>
    </w:p>
    <w:p w:rsidR="00EC1E65" w:rsidRPr="008F040A" w:rsidRDefault="00EC1E65" w:rsidP="00EC1E65">
      <w:pPr>
        <w:pStyle w:val="ParaNoNdepar-AltN"/>
        <w:rPr>
          <w:rFonts w:cs="Times New Roman"/>
          <w:lang w:val="fr-CA" w:bidi="en-US"/>
        </w:rPr>
      </w:pPr>
      <w:r w:rsidRPr="008F040A">
        <w:rPr>
          <w:rFonts w:cs="Times New Roman"/>
          <w:lang w:val="fr-CA" w:bidi="en-US"/>
        </w:rPr>
        <w:t>Or, l’arbitre renvoie effectivement à l’art. 3.1, la stipulation relative au « plafond », à deux reprises dans sa décision, soit aux par. 18 et 23(a). Par exemple, il affirme ce qui suit au par. 23 :</w:t>
      </w:r>
    </w:p>
    <w:p w:rsidR="00EC1E65" w:rsidRDefault="00EC1E65" w:rsidP="00EC1E65">
      <w:pPr>
        <w:pStyle w:val="Citation-AltC"/>
        <w:rPr>
          <w:lang w:val="fr-CA"/>
        </w:rPr>
      </w:pPr>
      <w:r w:rsidRPr="008F040A">
        <w:rPr>
          <w:lang w:val="fr-CA"/>
        </w:rPr>
        <w:lastRenderedPageBreak/>
        <w:t>[</w:t>
      </w:r>
      <w:r w:rsidRPr="008F040A">
        <w:rPr>
          <w:smallCaps/>
          <w:lang w:val="fr-CA"/>
        </w:rPr>
        <w:t>traduction</w:t>
      </w:r>
      <w:r w:rsidRPr="008F040A">
        <w:rPr>
          <w:lang w:val="fr-CA"/>
        </w:rPr>
        <w:t>]</w:t>
      </w:r>
    </w:p>
    <w:p w:rsidR="00EC1E65" w:rsidRPr="008F040A" w:rsidRDefault="00EC1E65" w:rsidP="00EC1E65">
      <w:pPr>
        <w:pStyle w:val="Citation-AltC"/>
        <w:rPr>
          <w:lang w:val="fr-CA"/>
        </w:rPr>
      </w:pPr>
    </w:p>
    <w:p w:rsidR="00EC1E65" w:rsidRDefault="00EC1E65" w:rsidP="00EC1E65">
      <w:pPr>
        <w:pStyle w:val="Citation-AltC"/>
        <w:ind w:firstLine="454"/>
        <w:rPr>
          <w:lang w:val="fr-CA"/>
        </w:rPr>
      </w:pPr>
      <w:r w:rsidRPr="008F040A">
        <w:rPr>
          <w:lang w:val="fr-CA"/>
        </w:rPr>
        <w:t>Bref, à partir du 27 </w:t>
      </w:r>
      <w:r w:rsidRPr="00225D1F">
        <w:rPr>
          <w:lang w:val="fr-CA"/>
        </w:rPr>
        <w:t>mars</w:t>
      </w:r>
      <w:r w:rsidRPr="008F040A">
        <w:rPr>
          <w:lang w:val="fr-CA"/>
        </w:rPr>
        <w:t xml:space="preserve"> 2007, il était clair et incontestable qu’aux termes de l’entente : </w:t>
      </w:r>
    </w:p>
    <w:p w:rsidR="00EC1E65" w:rsidRPr="008F040A" w:rsidRDefault="00EC1E65" w:rsidP="00EC1E65">
      <w:pPr>
        <w:pStyle w:val="Citation-AltC"/>
        <w:ind w:firstLine="454"/>
        <w:rPr>
          <w:lang w:val="fr-CA"/>
        </w:rPr>
      </w:pPr>
    </w:p>
    <w:p w:rsidR="00EC1E65" w:rsidRDefault="00EC1E65" w:rsidP="00EC1E65">
      <w:pPr>
        <w:pStyle w:val="Citation-AltC"/>
        <w:ind w:left="1980" w:hanging="360"/>
        <w:rPr>
          <w:u w:val="single"/>
          <w:lang w:val="fr-CA"/>
        </w:rPr>
      </w:pPr>
      <w:r w:rsidRPr="00980055">
        <w:rPr>
          <w:lang w:val="fr-CA"/>
        </w:rPr>
        <w:t>(a)</w:t>
      </w:r>
      <w:r w:rsidRPr="00980055">
        <w:rPr>
          <w:lang w:val="fr-CA"/>
        </w:rPr>
        <w:tab/>
      </w:r>
      <w:r w:rsidRPr="008F040A">
        <w:rPr>
          <w:u w:val="single"/>
          <w:lang w:val="fr-CA"/>
        </w:rPr>
        <w:t xml:space="preserve">Sattva avait le droit </w:t>
      </w:r>
      <w:r w:rsidRPr="00980055">
        <w:rPr>
          <w:u w:val="single"/>
          <w:lang w:val="fr-CA"/>
        </w:rPr>
        <w:t>de</w:t>
      </w:r>
      <w:r w:rsidRPr="008F040A">
        <w:rPr>
          <w:u w:val="single"/>
          <w:lang w:val="fr-CA"/>
        </w:rPr>
        <w:t xml:space="preserve"> recevoir des honoraires équivalant au plafond </w:t>
      </w:r>
      <w:r w:rsidRPr="00980055">
        <w:rPr>
          <w:u w:val="single"/>
          <w:lang w:val="fr-CA"/>
        </w:rPr>
        <w:t>payable</w:t>
      </w:r>
      <w:r w:rsidRPr="008F040A">
        <w:rPr>
          <w:u w:val="single"/>
          <w:lang w:val="fr-CA"/>
        </w:rPr>
        <w:t xml:space="preserve"> conformément aux règles et politiques de la Bourse de croissance TSX – article 3.1. Les parties conviennent que le montant des honoraires s’établit à 1 500 000 $US.</w:t>
      </w:r>
    </w:p>
    <w:p w:rsidR="00EC1E65" w:rsidRPr="008F040A" w:rsidRDefault="00EC1E65" w:rsidP="00EC1E65">
      <w:pPr>
        <w:pStyle w:val="Citation-AltC"/>
        <w:ind w:left="1980" w:hanging="360"/>
        <w:rPr>
          <w:lang w:val="fr-CA"/>
        </w:rPr>
      </w:pPr>
    </w:p>
    <w:p w:rsidR="00EC1E65" w:rsidRDefault="00EC1E65" w:rsidP="00EC1E65">
      <w:pPr>
        <w:pStyle w:val="Citation-AltC"/>
        <w:ind w:left="1980" w:hanging="360"/>
        <w:rPr>
          <w:lang w:val="fr-CA"/>
        </w:rPr>
      </w:pPr>
      <w:r>
        <w:rPr>
          <w:lang w:val="fr-CA"/>
        </w:rPr>
        <w:t>(b)</w:t>
      </w:r>
      <w:r>
        <w:rPr>
          <w:lang w:val="fr-CA"/>
        </w:rPr>
        <w:tab/>
      </w:r>
      <w:r w:rsidRPr="008F040A">
        <w:rPr>
          <w:lang w:val="fr-CA"/>
        </w:rPr>
        <w:t xml:space="preserve">La commission était payable en actions, en fonction du cours, tel qu’il est </w:t>
      </w:r>
      <w:r w:rsidRPr="00980055">
        <w:rPr>
          <w:u w:val="single"/>
          <w:lang w:val="fr-CA"/>
        </w:rPr>
        <w:t>défini</w:t>
      </w:r>
      <w:r w:rsidRPr="008F040A">
        <w:rPr>
          <w:lang w:val="fr-CA"/>
        </w:rPr>
        <w:t xml:space="preserve"> dans l’entente, à moins que Sattva n’opte pour le versement des honoraires en argent ou en argent et en actions.</w:t>
      </w:r>
    </w:p>
    <w:p w:rsidR="00EC1E65" w:rsidRPr="008F040A" w:rsidRDefault="00EC1E65" w:rsidP="00EC1E65">
      <w:pPr>
        <w:pStyle w:val="Citation-AltC"/>
        <w:ind w:left="1980" w:hanging="360"/>
        <w:rPr>
          <w:lang w:val="fr-CA"/>
        </w:rPr>
      </w:pPr>
    </w:p>
    <w:p w:rsidR="00EC1E65" w:rsidRPr="008F040A" w:rsidRDefault="00EC1E65" w:rsidP="00EC1E65">
      <w:pPr>
        <w:pStyle w:val="Citation-AltC"/>
        <w:ind w:left="1980" w:hanging="360"/>
        <w:rPr>
          <w:lang w:val="fr-CA"/>
        </w:rPr>
      </w:pPr>
      <w:r>
        <w:rPr>
          <w:lang w:val="fr-CA"/>
        </w:rPr>
        <w:t>(c)</w:t>
      </w:r>
      <w:r>
        <w:rPr>
          <w:lang w:val="fr-CA"/>
        </w:rPr>
        <w:tab/>
      </w:r>
      <w:r w:rsidRPr="008F040A">
        <w:rPr>
          <w:lang w:val="fr-CA"/>
        </w:rPr>
        <w:t>Le cours de l’action, tel qu’il est défini dans l’entente, s’établissait à 0,15 $. [Je souligne.]</w:t>
      </w:r>
    </w:p>
    <w:p w:rsidR="00EC1E65" w:rsidRPr="008F040A" w:rsidRDefault="00EC1E65" w:rsidP="00EC1E65">
      <w:pPr>
        <w:pStyle w:val="ParaNoNdepar-AltN"/>
        <w:rPr>
          <w:rFonts w:cs="Times New Roman"/>
          <w:lang w:val="fr-CA"/>
        </w:rPr>
      </w:pPr>
      <w:r w:rsidRPr="008F040A">
        <w:rPr>
          <w:rFonts w:cs="Times New Roman"/>
          <w:lang w:val="fr-CA"/>
        </w:rPr>
        <w:t>Ainsi, même si</w:t>
      </w:r>
      <w:r w:rsidRPr="008F040A">
        <w:rPr>
          <w:rFonts w:cs="Times New Roman"/>
          <w:b/>
          <w:lang w:val="fr-CA"/>
        </w:rPr>
        <w:t xml:space="preserve"> </w:t>
      </w:r>
      <w:r w:rsidRPr="008F040A">
        <w:rPr>
          <w:rFonts w:cs="Times New Roman"/>
          <w:lang w:val="fr-CA"/>
        </w:rPr>
        <w:t xml:space="preserve">l’arbitre n’indique pas expressément avoir examiné le jeu de la stipulation relative au « plafond » et de la définition du cours, cet examen ressort implicitement de sa sentence. La seule clause de l’entente qui prévoit le montant des honoraires, soit 1,5 million $US, est la stipulation relative au « plafond », </w:t>
      </w:r>
      <w:r>
        <w:rPr>
          <w:rFonts w:cs="Times New Roman"/>
          <w:lang w:val="fr-CA"/>
        </w:rPr>
        <w:t>qui renvoie au point 3.3 de la p</w:t>
      </w:r>
      <w:r w:rsidRPr="008F040A">
        <w:rPr>
          <w:rFonts w:cs="Times New Roman"/>
          <w:lang w:val="fr-CA"/>
        </w:rPr>
        <w:t>olitique</w:t>
      </w:r>
      <w:r>
        <w:rPr>
          <w:rFonts w:cs="Times New Roman"/>
          <w:lang w:val="fr-CA"/>
        </w:rPr>
        <w:t xml:space="preserve"> 5.1</w:t>
      </w:r>
      <w:r w:rsidRPr="008F040A">
        <w:rPr>
          <w:rFonts w:cs="Times New Roman"/>
          <w:lang w:val="fr-CA"/>
        </w:rPr>
        <w:t xml:space="preserve"> de la Bourse. Reconnaissant que le montant des honoraires s’élève à 1,5 million $US, l’arbitre a accordé à Sattva pareille somme, payable en actions, à raison de 0,15 $ l’unité. Contrairement à l’argument avancé par Creston, selon qui l’arbitre aurait négligé la stipulation dans son interprétation de l’entente, il ressort de l’examen préliminaire de la question que l’arbitre a effectivement tenu compte de la stipulation relative au « plafond ». </w:t>
      </w:r>
    </w:p>
    <w:p w:rsidR="00EC1E65" w:rsidRPr="008F040A" w:rsidRDefault="00EC1E65" w:rsidP="00EC1E65">
      <w:pPr>
        <w:pStyle w:val="ParaNoNdepar-AltN"/>
        <w:rPr>
          <w:rFonts w:cs="Times New Roman"/>
          <w:lang w:val="fr-CA"/>
        </w:rPr>
      </w:pPr>
      <w:r>
        <w:rPr>
          <w:rFonts w:cs="Times New Roman"/>
          <w:lang w:val="fr-CA"/>
        </w:rPr>
        <w:t>Par conséquent, même si la C</w:t>
      </w:r>
      <w:r w:rsidRPr="008F040A">
        <w:rPr>
          <w:rFonts w:cs="Times New Roman"/>
          <w:lang w:val="fr-CA"/>
        </w:rPr>
        <w:t xml:space="preserve">our d’appel avait cerné à juste titre une question de droit, elle aurait dû rejeter la demande d’autorisation. Il n’était pas satisfait </w:t>
      </w:r>
      <w:r w:rsidRPr="008F040A">
        <w:rPr>
          <w:rFonts w:cs="Times New Roman"/>
          <w:lang w:val="fr-CA"/>
        </w:rPr>
        <w:lastRenderedPageBreak/>
        <w:t xml:space="preserve">au critère qui exige que le caractère déraisonnable de la sentence arbitrale ait un fondement défendable, ni à celui de l’erreur judiciaire. </w:t>
      </w:r>
      <w:r w:rsidRPr="008F040A">
        <w:rPr>
          <w:rFonts w:cs="Times New Roman"/>
          <w:lang w:val="fr-CA" w:bidi="en-US"/>
        </w:rPr>
        <w:t xml:space="preserve">  </w:t>
      </w:r>
    </w:p>
    <w:p w:rsidR="00EC1E65" w:rsidRPr="008F040A" w:rsidRDefault="00EC1E65" w:rsidP="00EC1E65">
      <w:pPr>
        <w:pStyle w:val="Title3LevelTitre3Niveau"/>
        <w:rPr>
          <w:rFonts w:cs="Times New Roman"/>
          <w:lang w:val="fr-CA"/>
        </w:rPr>
      </w:pPr>
      <w:bookmarkStart w:id="167" w:name="_Toc394565843"/>
      <w:bookmarkStart w:id="168" w:name="_Toc388713987"/>
      <w:bookmarkStart w:id="169" w:name="_Toc389040909"/>
      <w:bookmarkStart w:id="170" w:name="_Toc389781721"/>
      <w:bookmarkStart w:id="171" w:name="_Toc390243252"/>
      <w:bookmarkStart w:id="172" w:name="_Toc390339579"/>
      <w:bookmarkStart w:id="173" w:name="_Toc390440413"/>
      <w:bookmarkStart w:id="174" w:name="_Toc390605554"/>
      <w:bookmarkStart w:id="175" w:name="_Toc390614590"/>
      <w:r w:rsidRPr="008F040A">
        <w:rPr>
          <w:rFonts w:cs="Times New Roman"/>
          <w:lang w:val="fr-CA"/>
        </w:rPr>
        <w:t>Le pouvoir discrétionnaire résiduel qui habilite à refuser l’autorisation</w:t>
      </w:r>
      <w:bookmarkEnd w:id="167"/>
      <w:r w:rsidRPr="00F362C5">
        <w:rPr>
          <w:rFonts w:cs="Times New Roman"/>
          <w:u w:val="none"/>
          <w:lang w:val="fr-CA"/>
        </w:rPr>
        <w:t xml:space="preserve"> </w:t>
      </w:r>
      <w:bookmarkEnd w:id="168"/>
      <w:bookmarkEnd w:id="169"/>
      <w:bookmarkEnd w:id="170"/>
      <w:bookmarkEnd w:id="171"/>
      <w:bookmarkEnd w:id="172"/>
      <w:bookmarkEnd w:id="173"/>
      <w:bookmarkEnd w:id="174"/>
      <w:bookmarkEnd w:id="175"/>
    </w:p>
    <w:p w:rsidR="00EC1E65" w:rsidRPr="008F040A" w:rsidRDefault="00EC1E65" w:rsidP="00EC1E65">
      <w:pPr>
        <w:pStyle w:val="Title4LevelTitre4Niveau"/>
        <w:tabs>
          <w:tab w:val="clear" w:pos="1296"/>
          <w:tab w:val="num" w:pos="900"/>
        </w:tabs>
        <w:ind w:left="900" w:hanging="450"/>
        <w:jc w:val="both"/>
        <w:rPr>
          <w:rFonts w:cs="Times New Roman"/>
          <w:lang w:val="fr-CA"/>
        </w:rPr>
      </w:pPr>
      <w:bookmarkStart w:id="176" w:name="_Toc394565844"/>
      <w:bookmarkStart w:id="177" w:name="_Toc389781722"/>
      <w:bookmarkStart w:id="178" w:name="_Toc390243253"/>
      <w:bookmarkStart w:id="179" w:name="_Toc390339580"/>
      <w:bookmarkStart w:id="180" w:name="_Toc390440414"/>
      <w:bookmarkStart w:id="181" w:name="_Toc390605555"/>
      <w:bookmarkStart w:id="182" w:name="_Toc390614591"/>
      <w:r w:rsidRPr="008F040A">
        <w:rPr>
          <w:rFonts w:cs="Times New Roman"/>
          <w:lang w:val="fr-CA"/>
        </w:rPr>
        <w:t>Éléments à examiner dans l’exercice du pouvoir discrétionnaire résiduel à l’égard d’une demande d’autorisation présentée en vertu de l’al</w:t>
      </w:r>
      <w:r>
        <w:rPr>
          <w:rFonts w:cs="Times New Roman"/>
          <w:lang w:val="fr-CA"/>
        </w:rPr>
        <w:t>.</w:t>
      </w:r>
      <w:r w:rsidRPr="008F040A">
        <w:rPr>
          <w:rFonts w:cs="Times New Roman"/>
          <w:lang w:val="fr-CA"/>
        </w:rPr>
        <w:t xml:space="preserve"> 31(2)(a)</w:t>
      </w:r>
      <w:bookmarkEnd w:id="176"/>
      <w:r w:rsidRPr="008F040A">
        <w:rPr>
          <w:rFonts w:cs="Times New Roman"/>
          <w:lang w:val="fr-CA"/>
        </w:rPr>
        <w:t xml:space="preserve"> </w:t>
      </w:r>
      <w:bookmarkEnd w:id="177"/>
      <w:bookmarkEnd w:id="178"/>
      <w:bookmarkEnd w:id="179"/>
      <w:bookmarkEnd w:id="180"/>
      <w:bookmarkEnd w:id="181"/>
      <w:bookmarkEnd w:id="182"/>
    </w:p>
    <w:p w:rsidR="00EC1E65" w:rsidRPr="008F040A" w:rsidRDefault="00EC1E65" w:rsidP="00EC1E65">
      <w:pPr>
        <w:pStyle w:val="ParaNoNdepar-AltN"/>
        <w:rPr>
          <w:rFonts w:cs="Times New Roman"/>
          <w:lang w:val="fr-CA" w:bidi="en-US"/>
        </w:rPr>
      </w:pPr>
      <w:r w:rsidRPr="008F040A">
        <w:rPr>
          <w:rFonts w:cs="Times New Roman"/>
          <w:lang w:val="fr-CA" w:bidi="en-US"/>
        </w:rPr>
        <w:t>Les tribunaux de la C.</w:t>
      </w:r>
      <w:r w:rsidRPr="008F040A">
        <w:rPr>
          <w:rFonts w:cs="Times New Roman"/>
          <w:lang w:val="fr-CA" w:bidi="en-US"/>
        </w:rPr>
        <w:noBreakHyphen/>
        <w:t>B. ont conclu que les termes [</w:t>
      </w:r>
      <w:r w:rsidRPr="008F040A">
        <w:rPr>
          <w:rFonts w:cs="Times New Roman"/>
          <w:smallCaps/>
          <w:lang w:val="fr-CA" w:bidi="en-US"/>
        </w:rPr>
        <w:t>traduction</w:t>
      </w:r>
      <w:r w:rsidRPr="008F040A">
        <w:rPr>
          <w:rFonts w:cs="Times New Roman"/>
          <w:lang w:val="fr-CA" w:bidi="en-US"/>
        </w:rPr>
        <w:t>] « peut accorder l’autorisation » figurant au par. 31(2) de l’</w:t>
      </w:r>
      <w:r w:rsidRPr="008F040A">
        <w:rPr>
          <w:rFonts w:cs="Times New Roman"/>
          <w:i/>
          <w:lang w:val="fr-CA" w:bidi="en-US"/>
        </w:rPr>
        <w:t>AA</w:t>
      </w:r>
      <w:r w:rsidRPr="008F040A">
        <w:rPr>
          <w:rFonts w:cs="Times New Roman"/>
          <w:lang w:val="fr-CA" w:bidi="en-US"/>
        </w:rPr>
        <w:t xml:space="preserve"> confèrent au tribunal un pouvoir discrétionnaire résiduel qui lui permet de refuser l’autorisation même quand les critères prévus par la disposition sont respectés (</w:t>
      </w:r>
      <w:r w:rsidRPr="008F040A">
        <w:rPr>
          <w:rFonts w:cs="Times New Roman"/>
          <w:i/>
          <w:lang w:val="fr-CA" w:bidi="en-US"/>
        </w:rPr>
        <w:t>BCIT</w:t>
      </w:r>
      <w:r w:rsidRPr="008F040A">
        <w:rPr>
          <w:rFonts w:cs="Times New Roman"/>
          <w:lang w:val="fr-CA" w:bidi="en-US"/>
        </w:rPr>
        <w:t xml:space="preserve">, par. 9 et 26). Dans </w:t>
      </w:r>
      <w:r w:rsidRPr="008F040A">
        <w:rPr>
          <w:rFonts w:cs="Times New Roman"/>
          <w:i/>
          <w:lang w:val="fr-CA" w:bidi="en-US"/>
        </w:rPr>
        <w:t>BCIT</w:t>
      </w:r>
      <w:r w:rsidRPr="008F040A">
        <w:rPr>
          <w:rFonts w:cs="Times New Roman"/>
          <w:lang w:val="fr-CA" w:bidi="en-US"/>
        </w:rPr>
        <w:t xml:space="preserve">, la juge Saunders énumère des facteurs à considérer dans l’exercice de ce pouvoir discrétionnaire (par. 31) : </w:t>
      </w:r>
    </w:p>
    <w:p w:rsidR="00EC1E65" w:rsidRPr="008F040A" w:rsidRDefault="00EC1E65" w:rsidP="00EC1E65">
      <w:pPr>
        <w:pStyle w:val="Citation-AltC"/>
        <w:numPr>
          <w:ilvl w:val="0"/>
          <w:numId w:val="34"/>
        </w:numPr>
        <w:spacing w:after="480" w:line="480" w:lineRule="auto"/>
        <w:ind w:left="1170" w:hanging="1170"/>
        <w:contextualSpacing w:val="0"/>
        <w:rPr>
          <w:lang w:val="fr-CA"/>
        </w:rPr>
      </w:pPr>
      <w:r w:rsidRPr="008F040A">
        <w:rPr>
          <w:lang w:val="fr-CA"/>
        </w:rPr>
        <w:t>[</w:t>
      </w:r>
      <w:r w:rsidRPr="008F040A">
        <w:rPr>
          <w:smallCaps/>
          <w:lang w:val="fr-CA"/>
        </w:rPr>
        <w:t>traduction</w:t>
      </w:r>
      <w:r w:rsidRPr="008F040A">
        <w:rPr>
          <w:lang w:val="fr-CA"/>
        </w:rPr>
        <w:t>] « le bien</w:t>
      </w:r>
      <w:r w:rsidRPr="008F040A">
        <w:rPr>
          <w:lang w:val="fr-CA"/>
        </w:rPr>
        <w:noBreakHyphen/>
        <w:t>fondé apparent de l’appel »;</w:t>
      </w:r>
    </w:p>
    <w:p w:rsidR="00EC1E65" w:rsidRPr="008F040A" w:rsidRDefault="00EC1E65" w:rsidP="00EC1E65">
      <w:pPr>
        <w:pStyle w:val="Citation-AltC"/>
        <w:numPr>
          <w:ilvl w:val="0"/>
          <w:numId w:val="34"/>
        </w:numPr>
        <w:spacing w:after="480" w:line="480" w:lineRule="auto"/>
        <w:ind w:left="1170" w:hanging="1170"/>
        <w:contextualSpacing w:val="0"/>
        <w:rPr>
          <w:lang w:val="fr-CA"/>
        </w:rPr>
      </w:pPr>
      <w:r w:rsidRPr="008F040A">
        <w:rPr>
          <w:lang w:val="fr-CA"/>
        </w:rPr>
        <w:t xml:space="preserve">« l’importance de la question pour les parties, les tiers et la société en général »; </w:t>
      </w:r>
    </w:p>
    <w:p w:rsidR="00EC1E65" w:rsidRPr="008F040A" w:rsidRDefault="00EC1E65" w:rsidP="00EC1E65">
      <w:pPr>
        <w:pStyle w:val="Citation-AltC"/>
        <w:numPr>
          <w:ilvl w:val="0"/>
          <w:numId w:val="34"/>
        </w:numPr>
        <w:spacing w:after="480" w:line="480" w:lineRule="auto"/>
        <w:ind w:left="1170" w:hanging="1170"/>
        <w:contextualSpacing w:val="0"/>
        <w:rPr>
          <w:lang w:val="fr-CA"/>
        </w:rPr>
      </w:pPr>
      <w:r w:rsidRPr="008F040A">
        <w:rPr>
          <w:lang w:val="fr-CA"/>
        </w:rPr>
        <w:t>« les circonstances qui sont à l’origine du différend et de l’arbitrage, y compris le besoin urgent d’obtenir un règlement définitif »;</w:t>
      </w:r>
    </w:p>
    <w:p w:rsidR="00EC1E65" w:rsidRPr="008F040A" w:rsidRDefault="00EC1E65" w:rsidP="00EC1E65">
      <w:pPr>
        <w:pStyle w:val="Citation-AltC"/>
        <w:numPr>
          <w:ilvl w:val="0"/>
          <w:numId w:val="34"/>
        </w:numPr>
        <w:spacing w:after="480" w:line="480" w:lineRule="auto"/>
        <w:ind w:left="1170" w:hanging="1170"/>
        <w:contextualSpacing w:val="0"/>
        <w:rPr>
          <w:lang w:val="fr-CA"/>
        </w:rPr>
      </w:pPr>
      <w:r w:rsidRPr="008F040A">
        <w:rPr>
          <w:lang w:val="fr-CA"/>
        </w:rPr>
        <w:t>« d’autres considérations temporelles, y compris la possibilité pour l’une ou l’autre des parties de remédier autrement aux conséquences »;</w:t>
      </w:r>
    </w:p>
    <w:p w:rsidR="00EC1E65" w:rsidRPr="008F040A" w:rsidRDefault="00EC1E65" w:rsidP="00EC1E65">
      <w:pPr>
        <w:pStyle w:val="Citation-AltC"/>
        <w:numPr>
          <w:ilvl w:val="0"/>
          <w:numId w:val="34"/>
        </w:numPr>
        <w:spacing w:after="480" w:line="480" w:lineRule="auto"/>
        <w:ind w:left="1170" w:hanging="1170"/>
        <w:contextualSpacing w:val="0"/>
        <w:rPr>
          <w:lang w:val="fr-CA"/>
        </w:rPr>
      </w:pPr>
      <w:r w:rsidRPr="008F040A">
        <w:rPr>
          <w:lang w:val="fr-CA"/>
        </w:rPr>
        <w:lastRenderedPageBreak/>
        <w:t>« la conduite des parties »;</w:t>
      </w:r>
    </w:p>
    <w:p w:rsidR="00EC1E65" w:rsidRPr="008F040A" w:rsidRDefault="00EC1E65" w:rsidP="00EC1E65">
      <w:pPr>
        <w:pStyle w:val="Citation-AltC"/>
        <w:numPr>
          <w:ilvl w:val="0"/>
          <w:numId w:val="34"/>
        </w:numPr>
        <w:spacing w:after="480" w:line="480" w:lineRule="auto"/>
        <w:ind w:left="1170" w:hanging="1170"/>
        <w:contextualSpacing w:val="0"/>
        <w:rPr>
          <w:lang w:val="fr-CA"/>
        </w:rPr>
      </w:pPr>
      <w:r w:rsidRPr="008F040A">
        <w:rPr>
          <w:lang w:val="fr-CA"/>
        </w:rPr>
        <w:t>« l’étape à laquelle la décision qui a été portée en appel avait été prise »;</w:t>
      </w:r>
    </w:p>
    <w:p w:rsidR="00EC1E65" w:rsidRPr="008F040A" w:rsidRDefault="00EC1E65" w:rsidP="00EC1E65">
      <w:pPr>
        <w:pStyle w:val="Citation-AltC"/>
        <w:numPr>
          <w:ilvl w:val="0"/>
          <w:numId w:val="34"/>
        </w:numPr>
        <w:spacing w:after="480" w:line="480" w:lineRule="auto"/>
        <w:ind w:left="1170" w:hanging="1170"/>
        <w:contextualSpacing w:val="0"/>
        <w:rPr>
          <w:lang w:val="fr-CA"/>
        </w:rPr>
      </w:pPr>
      <w:r w:rsidRPr="008F040A">
        <w:rPr>
          <w:lang w:val="fr-CA"/>
        </w:rPr>
        <w:t xml:space="preserve">« le respect du choix des parties d’avoir recours à l’arbitrage pour résoudre leurs différends »; </w:t>
      </w:r>
    </w:p>
    <w:p w:rsidR="00EC1E65" w:rsidRPr="008F040A" w:rsidRDefault="00EC1E65" w:rsidP="00EC1E65">
      <w:pPr>
        <w:pStyle w:val="Citation-AltC"/>
        <w:numPr>
          <w:ilvl w:val="0"/>
          <w:numId w:val="34"/>
        </w:numPr>
        <w:spacing w:after="480" w:line="480" w:lineRule="auto"/>
        <w:ind w:left="1170" w:hanging="1170"/>
        <w:contextualSpacing w:val="0"/>
        <w:rPr>
          <w:lang w:val="fr-CA"/>
        </w:rPr>
      </w:pPr>
      <w:r w:rsidRPr="008F040A">
        <w:rPr>
          <w:lang w:val="fr-CA"/>
        </w:rPr>
        <w:t xml:space="preserve">« la reconnaissance du fait que l’arbitrage constitue souvent un moyen expéditif et définitif de régler les différends, spécialement conçu pour traiter les enjeux susceptibles de toucher les parties à la convention d’arbitrage ». </w:t>
      </w:r>
    </w:p>
    <w:p w:rsidR="00EC1E65" w:rsidRPr="008F040A" w:rsidRDefault="00EC1E65" w:rsidP="00EC1E65">
      <w:pPr>
        <w:pStyle w:val="ParaNoNdepar-AltN"/>
        <w:rPr>
          <w:rFonts w:cs="Times New Roman"/>
          <w:lang w:val="fr-CA" w:bidi="en-US"/>
        </w:rPr>
      </w:pPr>
      <w:r w:rsidRPr="008F040A">
        <w:rPr>
          <w:rFonts w:cs="Times New Roman"/>
          <w:lang w:val="fr-CA" w:bidi="en-US"/>
        </w:rPr>
        <w:t>Je conviens avec la juge Saunders pour dire qu’il n’est pas opportun de dresser ce qu’elle appelle une [</w:t>
      </w:r>
      <w:r w:rsidRPr="008F040A">
        <w:rPr>
          <w:rFonts w:cs="Times New Roman"/>
          <w:smallCaps/>
          <w:lang w:val="fr-CA" w:bidi="en-US"/>
        </w:rPr>
        <w:t>traduction</w:t>
      </w:r>
      <w:r w:rsidRPr="008F040A">
        <w:rPr>
          <w:rFonts w:cs="Times New Roman"/>
          <w:lang w:val="fr-CA" w:bidi="en-US"/>
        </w:rPr>
        <w:t>] « liste immuable » de facteurs à considérer dans l’exercice du pouvoir discrétionnaire prévu au par. 31(2) (</w:t>
      </w:r>
      <w:r w:rsidRPr="008F040A">
        <w:rPr>
          <w:rFonts w:cs="Times New Roman"/>
          <w:i/>
          <w:lang w:val="fr-CA" w:bidi="en-US"/>
        </w:rPr>
        <w:t>BCIT</w:t>
      </w:r>
      <w:r w:rsidRPr="008F040A">
        <w:rPr>
          <w:rFonts w:cs="Times New Roman"/>
          <w:lang w:val="fr-CA" w:bidi="en-US"/>
        </w:rPr>
        <w:t xml:space="preserve">, par. 32). Cependant, je ne peux convenir que tous les facteurs qui figurent sur la liste qu’elle a dressée sont applicables à cette étape de l’analyse.  </w:t>
      </w:r>
    </w:p>
    <w:p w:rsidR="00EC1E65" w:rsidRPr="008F040A" w:rsidRDefault="00EC1E65" w:rsidP="00EC1E65">
      <w:pPr>
        <w:pStyle w:val="ParaNoNdepar-AltN"/>
        <w:rPr>
          <w:rFonts w:cs="Times New Roman"/>
          <w:lang w:val="fr-CA" w:bidi="en-US"/>
        </w:rPr>
      </w:pPr>
      <w:r w:rsidRPr="008F040A">
        <w:rPr>
          <w:rFonts w:cs="Times New Roman"/>
          <w:lang w:val="fr-CA" w:bidi="en-US"/>
        </w:rPr>
        <w:t>Dans l’exercice du pouvoir discrétionnaire que lui confère l’al. 31(2)(a) et qui l’habilite à rejeter la demande d’autorisation, le tribunal devrait examiner les motifs traditionnels justifiant le refus d’une réparation discrétionnaire : la conduite des parties, l’existence d’autres recours et tout retard indu (</w:t>
      </w:r>
      <w:r w:rsidRPr="008F040A">
        <w:rPr>
          <w:rFonts w:cs="Times New Roman"/>
          <w:i/>
          <w:lang w:val="fr-CA" w:bidi="en-US"/>
        </w:rPr>
        <w:t>Immeubles Port Louis Ltée c. Lafontaine (Village)</w:t>
      </w:r>
      <w:r w:rsidRPr="008F040A">
        <w:rPr>
          <w:rFonts w:cs="Times New Roman"/>
          <w:lang w:val="fr-CA" w:bidi="en-US"/>
        </w:rPr>
        <w:t>, [1991] 1 R.C.S. 326, p. 364</w:t>
      </w:r>
      <w:r w:rsidRPr="008F040A">
        <w:rPr>
          <w:rFonts w:cs="Times New Roman"/>
          <w:lang w:val="fr-CA" w:bidi="en-US"/>
        </w:rPr>
        <w:noBreakHyphen/>
        <w:t xml:space="preserve">367). L’exercice du pouvoir discrétionnaire qui permet de refuser une réparation fait intervenir des considérations </w:t>
      </w:r>
      <w:r w:rsidRPr="008F040A">
        <w:rPr>
          <w:rFonts w:cs="Times New Roman"/>
          <w:lang w:val="fr-CA" w:bidi="en-US"/>
        </w:rPr>
        <w:lastRenderedPageBreak/>
        <w:t>relatives à la prépondérance des inconvénients (</w:t>
      </w:r>
      <w:r w:rsidRPr="008F040A">
        <w:rPr>
          <w:rFonts w:cs="Times New Roman"/>
          <w:i/>
          <w:lang w:val="fr-CA" w:bidi="en-US"/>
        </w:rPr>
        <w:t>Mines Alerte Canada c. Canada (Pêches et Océans)</w:t>
      </w:r>
      <w:r w:rsidRPr="008F040A">
        <w:rPr>
          <w:rFonts w:cs="Times New Roman"/>
          <w:lang w:val="fr-CA" w:bidi="en-US"/>
        </w:rPr>
        <w:t>, 2010 CSC 2, [2010] 1 R.C.S. 6, par. 52). Parmi celles</w:t>
      </w:r>
      <w:r w:rsidRPr="008F040A">
        <w:rPr>
          <w:rFonts w:cs="Times New Roman"/>
          <w:lang w:val="fr-CA" w:bidi="en-US"/>
        </w:rPr>
        <w:noBreakHyphen/>
        <w:t>ci se trouve le besoin urgent d’obtenir un règlement définitif.</w:t>
      </w:r>
    </w:p>
    <w:p w:rsidR="00EC1E65" w:rsidRPr="008F040A" w:rsidRDefault="00EC1E65" w:rsidP="00EC1E65">
      <w:pPr>
        <w:pStyle w:val="ParaNoNdepar-AltN"/>
        <w:rPr>
          <w:rFonts w:cs="Times New Roman"/>
          <w:lang w:val="fr-CA" w:bidi="en-US"/>
        </w:rPr>
      </w:pPr>
      <w:r w:rsidRPr="008F040A">
        <w:rPr>
          <w:rFonts w:cs="Times New Roman"/>
          <w:lang w:val="fr-CA" w:bidi="en-US"/>
        </w:rPr>
        <w:t>Quant aux autres facteurs mentionnés dans la liste</w:t>
      </w:r>
      <w:r w:rsidRPr="008F040A">
        <w:rPr>
          <w:rFonts w:cs="Times New Roman"/>
          <w:i/>
          <w:lang w:val="fr-CA" w:bidi="en-US"/>
        </w:rPr>
        <w:t xml:space="preserve"> </w:t>
      </w:r>
      <w:r w:rsidRPr="008F040A">
        <w:rPr>
          <w:rFonts w:cs="Times New Roman"/>
          <w:lang w:val="fr-CA" w:bidi="en-US"/>
        </w:rPr>
        <w:t>et dont je traite successivement ci</w:t>
      </w:r>
      <w:r w:rsidRPr="008F040A">
        <w:rPr>
          <w:rFonts w:cs="Times New Roman"/>
          <w:lang w:val="fr-CA" w:bidi="en-US"/>
        </w:rPr>
        <w:noBreakHyphen/>
        <w:t>après, j’estime qu’ils ont déjà été examinés dans le cadre de l’analyse fondée sur l’al. 31(2)(a) ou qu’il conviendrait mieux de les examiner à un autre volet du critère énoncé au par. 31(2).</w:t>
      </w:r>
      <w:r w:rsidRPr="008F040A">
        <w:rPr>
          <w:rFonts w:cs="Times New Roman"/>
          <w:lang w:val="fr-CA"/>
        </w:rPr>
        <w:t xml:space="preserve"> Une fois examinés, ces facteurs ne devraient pas être réexaminés par le tribunal au moment de l’exercice de son pouvoir discrétionnaire résiduel.</w:t>
      </w:r>
      <w:r w:rsidRPr="008F040A">
        <w:rPr>
          <w:rFonts w:cs="Times New Roman"/>
          <w:lang w:val="fr-CA" w:bidi="en-US"/>
        </w:rPr>
        <w:t xml:space="preserve"> </w:t>
      </w:r>
    </w:p>
    <w:p w:rsidR="00EC1E65" w:rsidRPr="008F040A" w:rsidRDefault="00EC1E65" w:rsidP="00EC1E65">
      <w:pPr>
        <w:pStyle w:val="ParaNoNdepar-AltN"/>
        <w:rPr>
          <w:rFonts w:cs="Times New Roman"/>
          <w:lang w:val="fr-CA" w:bidi="en-US"/>
        </w:rPr>
      </w:pPr>
      <w:r w:rsidRPr="008F040A">
        <w:rPr>
          <w:rFonts w:cs="Times New Roman"/>
          <w:lang w:val="fr-CA"/>
        </w:rPr>
        <w:t>Je le rappelle, dans l’analyse fondée sur l’al. 31(2)(a), il faut procéder à l’examen préliminaire du bien</w:t>
      </w:r>
      <w:r w:rsidRPr="008F040A">
        <w:rPr>
          <w:rFonts w:cs="Times New Roman"/>
          <w:lang w:val="fr-CA"/>
        </w:rPr>
        <w:noBreakHyphen/>
        <w:t>fondé de la question de droit soulevée dans la demande d’autorisation pour déterminer s’il y a risque d’erreur judiciaire. La question de l’importance pour les parties se règle à l’al. 31(2)(a) : [</w:t>
      </w:r>
      <w:r w:rsidRPr="008F040A">
        <w:rPr>
          <w:rFonts w:cs="Times New Roman"/>
          <w:smallCaps/>
          <w:lang w:val="fr-CA"/>
        </w:rPr>
        <w:t>traduction</w:t>
      </w:r>
      <w:r w:rsidRPr="008F040A">
        <w:rPr>
          <w:rFonts w:cs="Times New Roman"/>
          <w:lang w:val="fr-CA"/>
        </w:rPr>
        <w:t>] « l’importance de l’issue de l’arbitrage pour les parties ». L’importance de la question pour les tiers et pour la société en général ne doit pas être examinée à l’al. 31(2)(a), car l’</w:t>
      </w:r>
      <w:r w:rsidRPr="008F040A">
        <w:rPr>
          <w:rFonts w:cs="Times New Roman"/>
          <w:i/>
          <w:lang w:val="fr-CA"/>
        </w:rPr>
        <w:t>AA</w:t>
      </w:r>
      <w:r w:rsidRPr="008F040A">
        <w:rPr>
          <w:rFonts w:cs="Times New Roman"/>
          <w:lang w:val="fr-CA"/>
        </w:rPr>
        <w:t xml:space="preserve"> prévoit ces motifs à des dispositions distinctes, soit les al. 31(2)(b) et (c). En outre, le respect du choix des parties d’avoir recours à l’arbitrage sous</w:t>
      </w:r>
      <w:r w:rsidRPr="008F040A">
        <w:rPr>
          <w:rFonts w:cs="Times New Roman"/>
          <w:lang w:val="fr-CA"/>
        </w:rPr>
        <w:noBreakHyphen/>
        <w:t>tend la loi elle</w:t>
      </w:r>
      <w:r w:rsidRPr="008F040A">
        <w:rPr>
          <w:rFonts w:cs="Times New Roman"/>
          <w:lang w:val="fr-CA"/>
        </w:rPr>
        <w:noBreakHyphen/>
        <w:t xml:space="preserve">même, ce dont témoigne le seuil élevé auquel l’autorisation est subordonnée aux termes de l’al. 31(2)(a). La reconnaissance du fait que l’arbitrage constitue souvent un moyen expéditif et définitif de régler les différends et spécialement conçu pour traiter les enjeux susceptibles de toucher les parties à la convention d’arbitrage s’inscrit dans le besoin urgent d’obtenir un règlement définitif. </w:t>
      </w:r>
    </w:p>
    <w:p w:rsidR="00EC1E65" w:rsidRPr="008F040A" w:rsidRDefault="00EC1E65" w:rsidP="00EC1E65">
      <w:pPr>
        <w:pStyle w:val="ParaNoNdepar-AltN"/>
        <w:rPr>
          <w:rFonts w:cs="Times New Roman"/>
          <w:lang w:val="fr-CA" w:bidi="en-US"/>
        </w:rPr>
      </w:pPr>
      <w:r w:rsidRPr="008F040A">
        <w:rPr>
          <w:rFonts w:cs="Times New Roman"/>
          <w:lang w:val="fr-CA"/>
        </w:rPr>
        <w:lastRenderedPageBreak/>
        <w:t xml:space="preserve">Quant à l’étape du processus à laquelle la décision dont on veut faire appel a été rendue, ce n’est pas un facteur pertinent pour l’exercice par le tribunal du pouvoir discrétionnaire résiduel conféré par l’al. 31(2)(a) qui lui permet de refuser l’autorisation. Ce facteur a été défini en réponse à des préoccupations selon lesquelles l’autorisation d’appeler d’une décision interlocutoire risque d’être prématurée et d’entraîner des retards indus ainsi qu’une fragmentation inutile du processus judiciaire (D. J. M. Brown et J. M. Evans, avec la collaboration de C. E. Deacon, </w:t>
      </w:r>
      <w:r w:rsidRPr="008F040A">
        <w:rPr>
          <w:rFonts w:cs="Times New Roman"/>
          <w:i/>
          <w:lang w:val="fr-CA"/>
        </w:rPr>
        <w:t>Judicial Review of Administrative Action in Canada</w:t>
      </w:r>
      <w:r w:rsidRPr="008F040A">
        <w:rPr>
          <w:rFonts w:cs="Times New Roman"/>
          <w:lang w:val="fr-CA"/>
        </w:rPr>
        <w:t xml:space="preserve"> (feuilles mobiles), p. 3</w:t>
      </w:r>
      <w:r w:rsidRPr="008F040A">
        <w:rPr>
          <w:rFonts w:cs="Times New Roman"/>
          <w:lang w:val="fr-CA"/>
        </w:rPr>
        <w:noBreakHyphen/>
        <w:t>67 à 3</w:t>
      </w:r>
      <w:r w:rsidRPr="008F040A">
        <w:rPr>
          <w:rFonts w:cs="Times New Roman"/>
          <w:lang w:val="fr-CA"/>
        </w:rPr>
        <w:noBreakHyphen/>
        <w:t>76). Or, ces préoccupations auront été dissipées par la formation saisie de la demande d’autorisation lorsqu’elle se sera penchée sur le risque d’erreur judiciaire, et, plus précisément, sur la possibilité que la question interlocutoire ait une incidence sur le résultat final.</w:t>
      </w:r>
      <w:r>
        <w:rPr>
          <w:rFonts w:cs="Times New Roman"/>
          <w:lang w:val="fr-CA"/>
        </w:rPr>
        <w:t xml:space="preserve"> </w:t>
      </w:r>
      <w:r w:rsidRPr="008F040A">
        <w:rPr>
          <w:rFonts w:cs="Times New Roman"/>
          <w:lang w:val="fr-CA"/>
        </w:rPr>
        <w:t>Ainsi, les préoccupations mentionnées précédemment ne devraient donc pas être réexaminées.</w:t>
      </w:r>
    </w:p>
    <w:p w:rsidR="00EC1E65" w:rsidRPr="008F040A" w:rsidRDefault="00EC1E65" w:rsidP="00EC1E65">
      <w:pPr>
        <w:pStyle w:val="ParaNoNdepar-AltN"/>
        <w:rPr>
          <w:rFonts w:cs="Times New Roman"/>
          <w:lang w:val="fr-CA" w:bidi="en-US"/>
        </w:rPr>
      </w:pPr>
      <w:r w:rsidRPr="008F040A">
        <w:rPr>
          <w:rFonts w:cs="Times New Roman"/>
          <w:lang w:val="fr-CA" w:bidi="en-US"/>
        </w:rPr>
        <w:t>En résumé, une liste non exhaustive des facteurs à prendre en considération dans l’exercice du pouvoir discrétionnaire à l’égard d’une demande d’autorisation présentée en vertu de l’al. 31(2)(a) de l’</w:t>
      </w:r>
      <w:r w:rsidRPr="008F040A">
        <w:rPr>
          <w:rFonts w:cs="Times New Roman"/>
          <w:i/>
          <w:lang w:val="fr-CA" w:bidi="en-US"/>
        </w:rPr>
        <w:t>AA</w:t>
      </w:r>
      <w:r w:rsidRPr="008F040A">
        <w:rPr>
          <w:rFonts w:cs="Times New Roman"/>
          <w:lang w:val="fr-CA" w:bidi="en-US"/>
        </w:rPr>
        <w:t xml:space="preserve"> comprendrait :</w:t>
      </w:r>
    </w:p>
    <w:p w:rsidR="00EC1E65" w:rsidRPr="008F040A" w:rsidRDefault="00EC1E65" w:rsidP="00EC1E65">
      <w:pPr>
        <w:pStyle w:val="Citation-AltC"/>
        <w:numPr>
          <w:ilvl w:val="0"/>
          <w:numId w:val="31"/>
        </w:numPr>
        <w:spacing w:line="480" w:lineRule="auto"/>
        <w:ind w:left="720" w:hanging="720"/>
        <w:rPr>
          <w:lang w:val="fr-CA"/>
        </w:rPr>
      </w:pPr>
      <w:r w:rsidRPr="008F040A">
        <w:rPr>
          <w:lang w:val="fr-CA"/>
        </w:rPr>
        <w:t>la conduite des parties;</w:t>
      </w:r>
    </w:p>
    <w:p w:rsidR="00EC1E65" w:rsidRPr="008F040A" w:rsidRDefault="00EC1E65" w:rsidP="00EC1E65">
      <w:pPr>
        <w:pStyle w:val="Citation-AltC"/>
        <w:numPr>
          <w:ilvl w:val="0"/>
          <w:numId w:val="31"/>
        </w:numPr>
        <w:spacing w:line="480" w:lineRule="auto"/>
        <w:ind w:left="720" w:hanging="720"/>
        <w:rPr>
          <w:lang w:val="fr-CA"/>
        </w:rPr>
      </w:pPr>
      <w:r w:rsidRPr="008F040A">
        <w:rPr>
          <w:lang w:val="fr-CA"/>
        </w:rPr>
        <w:t>l’existence d’autres recours;</w:t>
      </w:r>
    </w:p>
    <w:p w:rsidR="00EC1E65" w:rsidRPr="008F040A" w:rsidRDefault="00EC1E65" w:rsidP="00EC1E65">
      <w:pPr>
        <w:pStyle w:val="Citation-AltC"/>
        <w:numPr>
          <w:ilvl w:val="0"/>
          <w:numId w:val="31"/>
        </w:numPr>
        <w:spacing w:line="480" w:lineRule="auto"/>
        <w:ind w:left="720" w:hanging="720"/>
        <w:rPr>
          <w:lang w:val="fr-CA"/>
        </w:rPr>
      </w:pPr>
      <w:r w:rsidRPr="008F040A">
        <w:rPr>
          <w:lang w:val="fr-CA"/>
        </w:rPr>
        <w:t xml:space="preserve">un retard indu; </w:t>
      </w:r>
    </w:p>
    <w:p w:rsidR="00EC1E65" w:rsidRPr="008F040A" w:rsidRDefault="00EC1E65" w:rsidP="00EC1E65">
      <w:pPr>
        <w:pStyle w:val="Citation-AltC"/>
        <w:numPr>
          <w:ilvl w:val="0"/>
          <w:numId w:val="31"/>
        </w:numPr>
        <w:spacing w:line="480" w:lineRule="auto"/>
        <w:ind w:left="720" w:hanging="720"/>
        <w:rPr>
          <w:lang w:val="fr-CA"/>
        </w:rPr>
      </w:pPr>
      <w:r w:rsidRPr="008F040A">
        <w:rPr>
          <w:lang w:val="fr-CA"/>
        </w:rPr>
        <w:t>le besoin urgent d’obtenir un règlement définitif.</w:t>
      </w:r>
    </w:p>
    <w:p w:rsidR="00EC1E65" w:rsidRPr="008F040A" w:rsidRDefault="00EC1E65" w:rsidP="00EC1E65">
      <w:pPr>
        <w:pStyle w:val="ParaNoNdepar-AltN"/>
        <w:rPr>
          <w:rFonts w:cs="Times New Roman"/>
          <w:lang w:val="fr-CA" w:bidi="en-US"/>
        </w:rPr>
      </w:pPr>
      <w:r w:rsidRPr="008F040A">
        <w:rPr>
          <w:rFonts w:cs="Times New Roman"/>
          <w:lang w:val="fr-CA" w:bidi="en-US"/>
        </w:rPr>
        <w:lastRenderedPageBreak/>
        <w:t xml:space="preserve">Ces facteurs pourraient, le cas échéant, justifier le rejet de la demande sollicitant l’autorisation d’interjeter appel d’une sentence arbitrale même dans le cas où il est satisfait aux critères prévus à l’al. 31(2)(a). Cependant, les tribunaux devraient faire preuve de prudence dans l’exercice de ce pouvoir discrétionnaire. Après avoir conclu à l’existence d’une erreur de droit et, au moins en ce qui concerne l’al. 31(2)(a), d’un risque d’erreur judiciaire, le tribunal doit soupeser ces facteurs avec soin avant de décider s’il va rejeter ou non pour des motifs discrétionnaires une demande par ailleurs admissible.  </w:t>
      </w:r>
    </w:p>
    <w:p w:rsidR="00EC1E65" w:rsidRPr="008F040A" w:rsidRDefault="00EC1E65" w:rsidP="00EC1E65">
      <w:pPr>
        <w:pStyle w:val="Title4LevelTitre4Niveau"/>
        <w:tabs>
          <w:tab w:val="clear" w:pos="1296"/>
          <w:tab w:val="num" w:pos="900"/>
        </w:tabs>
        <w:ind w:left="900" w:hanging="450"/>
        <w:jc w:val="both"/>
        <w:rPr>
          <w:rFonts w:cs="Times New Roman"/>
          <w:lang w:val="fr-CA"/>
        </w:rPr>
      </w:pPr>
      <w:bookmarkStart w:id="183" w:name="_Toc394565845"/>
      <w:bookmarkStart w:id="184" w:name="_Toc389781723"/>
      <w:bookmarkStart w:id="185" w:name="_Toc390243254"/>
      <w:bookmarkStart w:id="186" w:name="_Toc390339581"/>
      <w:bookmarkStart w:id="187" w:name="_Toc390440415"/>
      <w:bookmarkStart w:id="188" w:name="_Toc390605556"/>
      <w:bookmarkStart w:id="189" w:name="_Toc390614592"/>
      <w:r w:rsidRPr="008F040A">
        <w:rPr>
          <w:rFonts w:cs="Times New Roman"/>
          <w:lang w:val="fr-CA"/>
        </w:rPr>
        <w:t>Application au présent pourvoi</w:t>
      </w:r>
      <w:bookmarkEnd w:id="183"/>
      <w:r w:rsidRPr="008F040A">
        <w:rPr>
          <w:rFonts w:cs="Times New Roman"/>
          <w:lang w:val="fr-CA"/>
        </w:rPr>
        <w:t xml:space="preserve"> </w:t>
      </w:r>
      <w:bookmarkEnd w:id="184"/>
      <w:bookmarkEnd w:id="185"/>
      <w:bookmarkEnd w:id="186"/>
      <w:bookmarkEnd w:id="187"/>
      <w:bookmarkEnd w:id="188"/>
      <w:bookmarkEnd w:id="189"/>
    </w:p>
    <w:p w:rsidR="00EC1E65" w:rsidRPr="008F040A" w:rsidRDefault="00EC1E65" w:rsidP="00EC1E65">
      <w:pPr>
        <w:pStyle w:val="ParaNoNdepar-AltN"/>
        <w:rPr>
          <w:rFonts w:cs="Times New Roman"/>
          <w:lang w:val="fr-CA" w:bidi="en-US"/>
        </w:rPr>
      </w:pPr>
      <w:r w:rsidRPr="008F040A">
        <w:rPr>
          <w:rFonts w:cs="Times New Roman"/>
          <w:lang w:val="fr-CA" w:bidi="en-US"/>
        </w:rPr>
        <w:t>Le juge de la CS saisi de la demande d’autorisation a rejeté cette dernière au motif qu’elle ne soulevait aucune question de droit. Il a indiqué que, même s’il avait conclu à l’existence d’une telle question, il aurait refusé l’autorisation en vertu de son pouvoir discrétionnaire résiduel, et ce</w:t>
      </w:r>
      <w:r>
        <w:rPr>
          <w:rFonts w:cs="Times New Roman"/>
          <w:lang w:val="fr-CA" w:bidi="en-US"/>
        </w:rPr>
        <w:t>, pour deux raisons : p</w:t>
      </w:r>
      <w:r w:rsidRPr="008F040A">
        <w:rPr>
          <w:rFonts w:cs="Times New Roman"/>
          <w:lang w:val="fr-CA" w:bidi="en-US"/>
        </w:rPr>
        <w:t>remièrement, à cause de la conduite de Creston qui a présenté inexactement les faits relatifs aux honoraires d’intermé</w:t>
      </w:r>
      <w:r>
        <w:rPr>
          <w:rFonts w:cs="Times New Roman"/>
          <w:lang w:val="fr-CA" w:bidi="en-US"/>
        </w:rPr>
        <w:t>diation à la Bourse et à Sattva; d</w:t>
      </w:r>
      <w:r w:rsidRPr="008F040A">
        <w:rPr>
          <w:rFonts w:cs="Times New Roman"/>
          <w:lang w:val="fr-CA" w:bidi="en-US"/>
        </w:rPr>
        <w:t>euxièmement, [</w:t>
      </w:r>
      <w:r w:rsidRPr="008F040A">
        <w:rPr>
          <w:rFonts w:cs="Times New Roman"/>
          <w:smallCaps/>
          <w:lang w:val="fr-CA" w:bidi="en-US"/>
        </w:rPr>
        <w:t>traduction</w:t>
      </w:r>
      <w:r w:rsidRPr="008F040A">
        <w:rPr>
          <w:rFonts w:cs="Times New Roman"/>
          <w:lang w:val="fr-CA" w:bidi="en-US"/>
        </w:rPr>
        <w:t>] « </w:t>
      </w:r>
      <w:r w:rsidRPr="008F040A">
        <w:rPr>
          <w:rFonts w:cs="Times New Roman"/>
          <w:lang w:val="fr-CA"/>
        </w:rPr>
        <w:t>par égard pour le principe selon lequel l’[</w:t>
      </w:r>
      <w:r w:rsidRPr="008F040A">
        <w:rPr>
          <w:rFonts w:cs="Times New Roman"/>
          <w:i/>
          <w:lang w:val="fr-CA"/>
        </w:rPr>
        <w:t>AA</w:t>
      </w:r>
      <w:r w:rsidRPr="008F040A">
        <w:rPr>
          <w:rFonts w:cs="Times New Roman"/>
          <w:lang w:val="fr-CA"/>
        </w:rPr>
        <w:t xml:space="preserve">] a notamment pour objectif de favoriser et de préserver l’intégrité du système d’arbitrage » (par. 41). </w:t>
      </w:r>
      <w:r w:rsidRPr="008F040A">
        <w:rPr>
          <w:rFonts w:cs="Times New Roman"/>
          <w:lang w:val="fr-CA" w:bidi="en-US"/>
        </w:rPr>
        <w:t>La formation de la CA saisie de la demande d’autorisation a écarté la décision de la CS pour ces deux raisons discrétionnaires.</w:t>
      </w:r>
    </w:p>
    <w:p w:rsidR="00EC1E65" w:rsidRPr="008F040A" w:rsidRDefault="00EC1E65" w:rsidP="00EC1E65">
      <w:pPr>
        <w:pStyle w:val="ParaNoNdepar-AltN"/>
        <w:rPr>
          <w:rFonts w:cs="Times New Roman"/>
          <w:lang w:val="fr-CA" w:bidi="en-US"/>
        </w:rPr>
      </w:pPr>
      <w:r w:rsidRPr="008F040A">
        <w:rPr>
          <w:rFonts w:cs="Times New Roman"/>
          <w:lang w:val="fr-CA" w:bidi="en-US"/>
        </w:rPr>
        <w:t xml:space="preserve">Pour les motifs énoncés précédemment, l’objectif qui vise à favoriser et à préserver l’intégrité du système d’arbitrage ne devrait pas constituer une considération </w:t>
      </w:r>
      <w:r w:rsidRPr="008F040A">
        <w:rPr>
          <w:rFonts w:cs="Times New Roman"/>
          <w:lang w:val="fr-CA" w:bidi="en-US"/>
        </w:rPr>
        <w:lastRenderedPageBreak/>
        <w:t xml:space="preserve">distincte dans l’analyse que requiert l’al. 31(2)(a) préalable à l’exercice du pouvoir discrétionnaire. Bien que le régime instauré par le par. 31(2) reconnaît cet objectif, l’exercice du pouvoir discrétionnaire doit se rapporter aux faits et aux circonstances de l’affaire. Cet objectif général ne fait pas partie des considérations susceptibles de justifier le refus discrétionnaire de l’autorisation. </w:t>
      </w:r>
    </w:p>
    <w:p w:rsidR="00EC1E65" w:rsidRPr="008F040A" w:rsidRDefault="00EC1E65" w:rsidP="00EC1E65">
      <w:pPr>
        <w:pStyle w:val="ParaNoNdepar-AltN"/>
        <w:rPr>
          <w:rFonts w:cs="Times New Roman"/>
          <w:lang w:val="fr-CA" w:bidi="en-US"/>
        </w:rPr>
      </w:pPr>
      <w:r w:rsidRPr="008F040A">
        <w:rPr>
          <w:rFonts w:cs="Times New Roman"/>
          <w:lang w:val="fr-CA" w:bidi="en-US"/>
        </w:rPr>
        <w:t>Toutefois, la conduite des parties est un facteur que le tribunal peut prendre en considération dans l’exercice du pouvoir discrétionnaire résiduel que lui confère l’al. 31(2)(a). La cour d’appel doit faire preuve de déférence lorsqu’elle contrôle la décision discrétionnaire de refuser l’autorisation d’interjeter appel. Elle doit se garder d’intervenir seulement parce qu’elle aurait exercé son pouvoir discrétionnaire différemment (</w:t>
      </w:r>
      <w:r w:rsidRPr="008F040A">
        <w:rPr>
          <w:rFonts w:cs="Times New Roman"/>
          <w:i/>
          <w:lang w:val="fr-CA" w:bidi="en-US"/>
        </w:rPr>
        <w:t>R. c. Bellusci</w:t>
      </w:r>
      <w:r w:rsidRPr="008F040A">
        <w:rPr>
          <w:rFonts w:cs="Times New Roman"/>
          <w:lang w:val="fr-CA" w:bidi="en-US"/>
        </w:rPr>
        <w:t>, 2012 CSC 44, [2012] 2 R.C.S. 509, par. 18 et 30). La cour d’appel ne saurait intervenir à l’égard de l’exercice du pouvoir discrétionnaire par le juge de l’instance inférieure que si celui</w:t>
      </w:r>
      <w:r w:rsidRPr="008F040A">
        <w:rPr>
          <w:rFonts w:cs="Times New Roman"/>
          <w:lang w:val="fr-CA" w:bidi="en-US"/>
        </w:rPr>
        <w:noBreakHyphen/>
        <w:t>ci s’est fondé sur des considérations erronées en droit ou si sa décision est erronée au point de créer une injustice (</w:t>
      </w:r>
      <w:r w:rsidRPr="008F040A">
        <w:rPr>
          <w:rFonts w:cs="Times New Roman"/>
          <w:i/>
          <w:lang w:val="fr-CA" w:bidi="en-US"/>
        </w:rPr>
        <w:t>R. c. Bjelland</w:t>
      </w:r>
      <w:r w:rsidRPr="008F040A">
        <w:rPr>
          <w:rFonts w:cs="Times New Roman"/>
          <w:lang w:val="fr-CA" w:bidi="en-US"/>
        </w:rPr>
        <w:t xml:space="preserve">, 2009 CSC 38, [2009] 2 R.C.S. 651, par. 15; </w:t>
      </w:r>
      <w:r w:rsidRPr="008F040A">
        <w:rPr>
          <w:rFonts w:cs="Times New Roman"/>
          <w:i/>
          <w:lang w:val="fr-CA" w:bidi="en-US"/>
        </w:rPr>
        <w:t>R. c. Regan</w:t>
      </w:r>
      <w:r w:rsidRPr="008F040A">
        <w:rPr>
          <w:rFonts w:cs="Times New Roman"/>
          <w:lang w:val="fr-CA" w:bidi="en-US"/>
        </w:rPr>
        <w:t xml:space="preserve">, 2002 CSC 12, [2002] 1 R.C.S. 297, par. 117). </w:t>
      </w:r>
    </w:p>
    <w:p w:rsidR="00EC1E65" w:rsidRPr="008F040A" w:rsidRDefault="00EC1E65" w:rsidP="00EC1E65">
      <w:pPr>
        <w:pStyle w:val="ParaNoNdepar-AltN"/>
        <w:rPr>
          <w:rFonts w:cs="Times New Roman"/>
          <w:lang w:val="fr-CA" w:bidi="en-US"/>
        </w:rPr>
      </w:pPr>
      <w:r w:rsidRPr="008F040A">
        <w:rPr>
          <w:rFonts w:cs="Times New Roman"/>
          <w:lang w:val="fr-CA" w:bidi="en-US"/>
        </w:rPr>
        <w:t>En l’espèce, la formation de la CS saisie de la demande d’autorisation a fondé sur un facteur reconnu sa décision de refuser la réparation discrétionnaire : l’inconduite de Creston. La formation de la CA saisie de la demande d’autorisation a infirmé cette décision au motif que [</w:t>
      </w:r>
      <w:r w:rsidRPr="008F040A">
        <w:rPr>
          <w:rFonts w:cs="Times New Roman"/>
          <w:smallCaps/>
          <w:lang w:val="fr-CA" w:bidi="en-US"/>
        </w:rPr>
        <w:t>traduction</w:t>
      </w:r>
      <w:r w:rsidRPr="008F040A">
        <w:rPr>
          <w:rFonts w:cs="Times New Roman"/>
          <w:lang w:val="fr-CA" w:bidi="en-US"/>
        </w:rPr>
        <w:t xml:space="preserve">] « ces faits [la conduite de Creston] n’intéressent pas directement la question de droit » soulevée en appel (par. 27). </w:t>
      </w:r>
    </w:p>
    <w:p w:rsidR="00EC1E65" w:rsidRPr="008F040A" w:rsidRDefault="00EC1E65" w:rsidP="00EC1E65">
      <w:pPr>
        <w:pStyle w:val="ParaNoNdepar-AltN"/>
        <w:rPr>
          <w:rFonts w:cs="Times New Roman"/>
          <w:lang w:val="fr-CA" w:bidi="en-US"/>
        </w:rPr>
      </w:pPr>
      <w:r w:rsidRPr="008F040A">
        <w:rPr>
          <w:rFonts w:cs="Times New Roman"/>
          <w:lang w:val="fr-CA" w:bidi="en-US"/>
        </w:rPr>
        <w:lastRenderedPageBreak/>
        <w:t>La formation de la CA saisie de la demande d’autorisation n’a pas expliqué pourquoi l’inconduite doit se rapporter directement à une question de droit pour que l’autorisation soit refusée. Rien dans le par. 31(2) de l’</w:t>
      </w:r>
      <w:r w:rsidRPr="008F040A">
        <w:rPr>
          <w:rFonts w:cs="Times New Roman"/>
          <w:i/>
          <w:lang w:val="fr-CA"/>
        </w:rPr>
        <w:t>AA</w:t>
      </w:r>
      <w:r w:rsidRPr="008F040A">
        <w:rPr>
          <w:rFonts w:cs="Times New Roman"/>
          <w:lang w:val="fr-CA" w:bidi="en-US"/>
        </w:rPr>
        <w:t xml:space="preserve"> ne limite l’exercice du pouvoir discrétionnaire du juge saisi de la demande d’autorisation de la façon avancée par la</w:t>
      </w:r>
      <w:r>
        <w:rPr>
          <w:rFonts w:cs="Times New Roman"/>
          <w:lang w:val="fr-CA" w:bidi="en-US"/>
        </w:rPr>
        <w:t xml:space="preserve"> C</w:t>
      </w:r>
      <w:r w:rsidRPr="008F040A">
        <w:rPr>
          <w:rFonts w:cs="Times New Roman"/>
          <w:lang w:val="fr-CA" w:bidi="en-US"/>
        </w:rPr>
        <w:t xml:space="preserve">our d’appel. Mon interprétation de la jurisprudence ne cadre pas avec le point de vue selon lequel l’inconduite d’une partie doit se rapporter directement à la question devant être tranchée par la cour. </w:t>
      </w:r>
    </w:p>
    <w:p w:rsidR="00EC1E65" w:rsidRPr="008F040A" w:rsidRDefault="00EC1E65" w:rsidP="00EC1E65">
      <w:pPr>
        <w:pStyle w:val="ParaNoNdepar-AltN"/>
        <w:rPr>
          <w:rFonts w:cs="Times New Roman"/>
          <w:lang w:val="fr-CA" w:bidi="en-US"/>
        </w:rPr>
      </w:pPr>
      <w:r w:rsidRPr="008F040A">
        <w:rPr>
          <w:rFonts w:cs="Times New Roman"/>
          <w:lang w:val="fr-CA" w:bidi="en-US"/>
        </w:rPr>
        <w:t xml:space="preserve">Dans l’arrêt </w:t>
      </w:r>
      <w:r w:rsidRPr="008F040A">
        <w:rPr>
          <w:rFonts w:cs="Times New Roman"/>
          <w:i/>
          <w:lang w:val="fr-CA" w:bidi="en-US"/>
        </w:rPr>
        <w:t>Homex Realty and Development Co. c. Corporation of the Village of Wyoming</w:t>
      </w:r>
      <w:r w:rsidRPr="008F040A">
        <w:rPr>
          <w:rFonts w:cs="Times New Roman"/>
          <w:lang w:val="fr-CA" w:bidi="en-US"/>
        </w:rPr>
        <w:t>, [1980] 2 R.C.S. 1011, p. 1037</w:t>
      </w:r>
      <w:r>
        <w:rPr>
          <w:rFonts w:cs="Times New Roman"/>
          <w:lang w:val="fr-CA" w:bidi="en-US"/>
        </w:rPr>
        <w:t>-</w:t>
      </w:r>
      <w:r w:rsidRPr="008F040A">
        <w:rPr>
          <w:rFonts w:cs="Times New Roman"/>
          <w:lang w:val="fr-CA" w:bidi="en-US"/>
        </w:rPr>
        <w:t>1038, l’inconduite d’une partie ne se rapportait pas directement à la question en cause devant la Cour, mais cette dernière a néanmoins refusé d’accorder la réparation. Le litige tirait son origine d’un désaccord sur la question de savoir si l’acheteur de lots sur un lotissement, Homex, avait assumé les obligations du vendeur prévues à la convention de lotissement, c’est</w:t>
      </w:r>
      <w:r w:rsidRPr="008F040A">
        <w:rPr>
          <w:rFonts w:cs="Times New Roman"/>
          <w:lang w:val="fr-CA" w:bidi="en-US"/>
        </w:rPr>
        <w:noBreakHyphen/>
        <w:t>à</w:t>
      </w:r>
      <w:r w:rsidRPr="008F040A">
        <w:rPr>
          <w:rFonts w:cs="Times New Roman"/>
          <w:lang w:val="fr-CA" w:bidi="en-US"/>
        </w:rPr>
        <w:noBreakHyphen/>
        <w:t>dire de satisfaire à « toutes les exigences, financières ou autres » relativement à l’installation des services d’utilité publique sur un lotissement (p. 1015</w:t>
      </w:r>
      <w:r>
        <w:rPr>
          <w:rFonts w:cs="Times New Roman"/>
          <w:lang w:val="fr-CA" w:bidi="en-US"/>
        </w:rPr>
        <w:t>-</w:t>
      </w:r>
      <w:r w:rsidRPr="008F040A">
        <w:rPr>
          <w:rFonts w:cs="Times New Roman"/>
          <w:lang w:val="fr-CA" w:bidi="en-US"/>
        </w:rPr>
        <w:t>1016). La Cour décide qu’Homex n’a pas bénéficié de l’équité procédurale</w:t>
      </w:r>
      <w:r>
        <w:rPr>
          <w:rFonts w:cs="Times New Roman"/>
          <w:lang w:val="fr-CA" w:bidi="en-US"/>
        </w:rPr>
        <w:t xml:space="preserve"> lorsque </w:t>
      </w:r>
      <w:r w:rsidRPr="008F040A">
        <w:rPr>
          <w:rFonts w:cs="Times New Roman"/>
          <w:lang w:val="fr-CA" w:bidi="en-US"/>
        </w:rPr>
        <w:t>la municipalité avait adopté un règlement se rapportant au litige (p. 1032). Néanmoins, la demande visant à obtenir l’annulation discrétionnaire du règlement a été rejetée notamment parce que « [t]out au long de ces procédures, Homex a cherché à éviter les obligations qui se rattachent au lotissement des terrains » qu’elle détenait (p. 1037), même si Homex savait, de l’avis de la Cour, qu’elle devait as</w:t>
      </w:r>
      <w:r>
        <w:rPr>
          <w:rFonts w:cs="Times New Roman"/>
          <w:lang w:val="fr-CA" w:bidi="en-US"/>
        </w:rPr>
        <w:t>sumer cette obligation (p. 1017-</w:t>
      </w:r>
      <w:r w:rsidRPr="008F040A">
        <w:rPr>
          <w:rFonts w:cs="Times New Roman"/>
          <w:lang w:val="fr-CA" w:bidi="en-US"/>
        </w:rPr>
        <w:t xml:space="preserve">1019). Cette conduite se rapportait, non pas à la question de savoir si le règlement avait été adopté d’une manière équitable sur le plan de la procédure, mais au désaccord à </w:t>
      </w:r>
      <w:r w:rsidRPr="008F040A">
        <w:rPr>
          <w:rFonts w:cs="Times New Roman"/>
          <w:lang w:val="fr-CA" w:bidi="en-US"/>
        </w:rPr>
        <w:lastRenderedPageBreak/>
        <w:t xml:space="preserve">l’origine du litige. Par conséquent, je crois que l’arrêt </w:t>
      </w:r>
      <w:r w:rsidRPr="008F040A">
        <w:rPr>
          <w:rFonts w:cs="Times New Roman"/>
          <w:i/>
          <w:lang w:val="fr-CA" w:bidi="en-US"/>
        </w:rPr>
        <w:t>Homex</w:t>
      </w:r>
      <w:r w:rsidRPr="008F040A">
        <w:rPr>
          <w:rFonts w:cs="Times New Roman"/>
          <w:lang w:val="fr-CA" w:bidi="en-US"/>
        </w:rPr>
        <w:t xml:space="preserve"> étaye la proposition selon laquelle une conduite répréhensible se rapportant au différend à l’origine du litige peut justifier le refus de la réparation discrétionnaire sollicitée, en l’occurrence l’autorisation d’interjeter appel.   </w:t>
      </w:r>
    </w:p>
    <w:p w:rsidR="00EC1E65" w:rsidRPr="008F040A" w:rsidRDefault="00EC1E65" w:rsidP="00EC1E65">
      <w:pPr>
        <w:pStyle w:val="ParaNoNdepar-AltN"/>
        <w:rPr>
          <w:rFonts w:cs="Times New Roman"/>
          <w:lang w:val="fr-CA" w:bidi="en-US"/>
        </w:rPr>
      </w:pPr>
      <w:r w:rsidRPr="008F040A">
        <w:rPr>
          <w:rFonts w:cs="Times New Roman"/>
          <w:lang w:val="fr-CA" w:bidi="en-US"/>
        </w:rPr>
        <w:t>En l’espèce, l’arbitre a tiré la conclusion de fait suivante : Creston a induit la Bourse et Sattva en erreur en ce qui concerne [</w:t>
      </w:r>
      <w:r w:rsidRPr="008F040A">
        <w:rPr>
          <w:rFonts w:cs="Times New Roman"/>
          <w:smallCaps/>
          <w:lang w:val="fr-CA" w:bidi="en-US"/>
        </w:rPr>
        <w:t>traduction</w:t>
      </w:r>
      <w:r w:rsidRPr="008F040A">
        <w:rPr>
          <w:rFonts w:cs="Times New Roman"/>
          <w:lang w:val="fr-CA" w:bidi="en-US"/>
        </w:rPr>
        <w:t xml:space="preserve">] « la nature de l’obligation qu’elle avait contractée </w:t>
      </w:r>
      <w:r w:rsidRPr="008F040A">
        <w:rPr>
          <w:rFonts w:cs="Times New Roman"/>
          <w:lang w:val="fr-CA"/>
        </w:rPr>
        <w:t xml:space="preserve">envers Sattva en affirmant que les honoraires d’intermédiation étaient payables en argent » </w:t>
      </w:r>
      <w:r w:rsidRPr="008F040A">
        <w:rPr>
          <w:rFonts w:cs="Times New Roman"/>
          <w:lang w:val="fr-CA" w:bidi="en-US"/>
        </w:rPr>
        <w:t xml:space="preserve">(par. 56(k)). Bien que cette conduite ne soit pas reliée à la question de droit énoncée par la formation de la CA saisie de la demande d’autorisation, elle est reliée à l’arbitrage visant à déterminer le cours de l’action applicable aux fins du versement des honoraires </w:t>
      </w:r>
      <w:r>
        <w:rPr>
          <w:rFonts w:cs="Times New Roman"/>
          <w:lang w:val="fr-CA" w:bidi="en-US"/>
        </w:rPr>
        <w:t>d’intermédiation de Sattva. La C</w:t>
      </w:r>
      <w:r w:rsidRPr="008F040A">
        <w:rPr>
          <w:rFonts w:cs="Times New Roman"/>
          <w:lang w:val="fr-CA" w:bidi="en-US"/>
        </w:rPr>
        <w:t>our suprême pouvait à bon droit fonder sur une telle conduite sa décision de refuser l’autorisation, en vertu de son pouvoir discrétionnaire.</w:t>
      </w:r>
    </w:p>
    <w:p w:rsidR="00EC1E65" w:rsidRPr="008F040A" w:rsidRDefault="00EC1E65" w:rsidP="00EC1E65">
      <w:pPr>
        <w:pStyle w:val="ParaNoNdepar-AltN"/>
        <w:rPr>
          <w:rFonts w:cs="Times New Roman"/>
          <w:lang w:val="fr-CA" w:bidi="en-US"/>
        </w:rPr>
      </w:pPr>
      <w:r w:rsidRPr="008F040A">
        <w:rPr>
          <w:rFonts w:cs="Times New Roman"/>
          <w:lang w:val="fr-CA" w:bidi="en-US"/>
        </w:rPr>
        <w:t xml:space="preserve">Par conséquent, à mon humble avis, même si la formation de la CA saisie de la demande d’autorisation avait défini une question de droit et qu’il avait été satisfait au critère du risque d’erreur judiciaire, elle aurait dû confirmer la décision de la formation de la CS saisie de la demande d’autorisation de rejeter cette demande, par égard pour l’exercice du pouvoir discrétionnaire de cette cour. </w:t>
      </w:r>
    </w:p>
    <w:p w:rsidR="00EC1E65" w:rsidRPr="008F040A" w:rsidRDefault="00EC1E65" w:rsidP="00EC1E65">
      <w:pPr>
        <w:pStyle w:val="ParaNoNdepar-AltN"/>
        <w:rPr>
          <w:rFonts w:cs="Times New Roman"/>
          <w:lang w:val="fr-CA" w:bidi="en-US"/>
        </w:rPr>
      </w:pPr>
      <w:r w:rsidRPr="008F040A">
        <w:rPr>
          <w:rFonts w:cs="Times New Roman"/>
          <w:lang w:val="fr-CA" w:bidi="en-US"/>
        </w:rPr>
        <w:t xml:space="preserve">S’il est vrai que la formation de la CA saisie de la demande d’autorisation a commis une erreur en autorisant l’appel, ces interminables procédures ne s’en trouvent pas moins à l’heure actuelle devant nous. Puisque, par ailleurs, c’est la </w:t>
      </w:r>
      <w:r w:rsidRPr="008F040A">
        <w:rPr>
          <w:rFonts w:cs="Times New Roman"/>
          <w:lang w:val="fr-CA" w:bidi="en-US"/>
        </w:rPr>
        <w:lastRenderedPageBreak/>
        <w:t xml:space="preserve">question de fond de l’appel — soit celle de savoir combien l’entente exige que Creston paie à Sattva — qui intéresse réellement les parties, et que les tribunaux d’instance inférieure ont considérablement divergé d’opinion quant à l’interprétation qu’il faut donner à l’entente, il serait bien peu satisfaisant que le véritable litige à l’origine de cette instance ne soit pas réglé. Je vais donc examiner les trois autres questions soulevées en appel comme si l’autorisation d’interjeter appel avait été accordée à bon droit. </w:t>
      </w:r>
    </w:p>
    <w:p w:rsidR="00EC1E65" w:rsidRPr="008F040A" w:rsidRDefault="00EC1E65" w:rsidP="00EC1E65">
      <w:pPr>
        <w:pStyle w:val="Title2LevelTitre2Niveau"/>
        <w:rPr>
          <w:rFonts w:cs="Times New Roman"/>
          <w:i w:val="0"/>
          <w:lang w:val="fr-CA"/>
        </w:rPr>
      </w:pPr>
      <w:bookmarkStart w:id="190" w:name="_Toc388713989"/>
      <w:bookmarkStart w:id="191" w:name="_Toc389040910"/>
      <w:bookmarkStart w:id="192" w:name="_Toc389781724"/>
      <w:bookmarkStart w:id="193" w:name="_Toc390243255"/>
      <w:bookmarkStart w:id="194" w:name="_Toc390339582"/>
      <w:bookmarkStart w:id="195" w:name="_Toc390440416"/>
      <w:bookmarkStart w:id="196" w:name="_Toc390605557"/>
      <w:bookmarkStart w:id="197" w:name="_Toc390614593"/>
      <w:bookmarkStart w:id="198" w:name="_Toc394565846"/>
      <w:r w:rsidRPr="008F040A">
        <w:rPr>
          <w:rFonts w:cs="Times New Roman"/>
          <w:lang w:val="fr-CA"/>
        </w:rPr>
        <w:t xml:space="preserve">Norme de contrôle applicable aux affaires régies par </w:t>
      </w:r>
      <w:r w:rsidRPr="00790ADE">
        <w:rPr>
          <w:rFonts w:cs="Times New Roman"/>
          <w:lang w:val="fr-CA"/>
        </w:rPr>
        <w:t>l’AA</w:t>
      </w:r>
      <w:bookmarkEnd w:id="190"/>
      <w:bookmarkEnd w:id="191"/>
      <w:bookmarkEnd w:id="192"/>
      <w:bookmarkEnd w:id="193"/>
      <w:bookmarkEnd w:id="194"/>
      <w:bookmarkEnd w:id="195"/>
      <w:bookmarkEnd w:id="196"/>
      <w:bookmarkEnd w:id="197"/>
      <w:bookmarkEnd w:id="198"/>
    </w:p>
    <w:p w:rsidR="00EC1E65" w:rsidRPr="008F040A" w:rsidRDefault="00EC1E65" w:rsidP="00EC1E65">
      <w:pPr>
        <w:pStyle w:val="ParaNoNdepar-AltN"/>
        <w:rPr>
          <w:rFonts w:cs="Times New Roman"/>
          <w:lang w:val="fr-CA"/>
        </w:rPr>
      </w:pPr>
      <w:r w:rsidRPr="008F040A">
        <w:rPr>
          <w:rFonts w:cs="Times New Roman"/>
          <w:lang w:val="fr-CA"/>
        </w:rPr>
        <w:t>Abordons les décisions des tribunaux siégeant en appel. Tout d’abord, il est nécessaire de déterminer la norme applicable au contrôle de la sentence arbitrale en fonction de la question à l’égard de laquelle la formation de la CA saisie de la demande d’autorisation a accordé cette dernière : l’arbitre a</w:t>
      </w:r>
      <w:r w:rsidRPr="008F040A">
        <w:rPr>
          <w:rFonts w:cs="Times New Roman"/>
          <w:lang w:val="fr-CA"/>
        </w:rPr>
        <w:noBreakHyphen/>
        <w:t>t</w:t>
      </w:r>
      <w:r w:rsidRPr="008F040A">
        <w:rPr>
          <w:rFonts w:cs="Times New Roman"/>
          <w:lang w:val="fr-CA"/>
        </w:rPr>
        <w:noBreakHyphen/>
        <w:t>il interprété la disposition sur les honoraires d’intermédiation à la lumière de l’entente dans son ensemble? Plus particulièrement, l’a</w:t>
      </w:r>
      <w:r w:rsidRPr="008F040A">
        <w:rPr>
          <w:rFonts w:cs="Times New Roman"/>
          <w:lang w:val="fr-CA"/>
        </w:rPr>
        <w:noBreakHyphen/>
        <w:t>t</w:t>
      </w:r>
      <w:r w:rsidRPr="008F040A">
        <w:rPr>
          <w:rFonts w:cs="Times New Roman"/>
          <w:lang w:val="fr-CA"/>
        </w:rPr>
        <w:noBreakHyphen/>
        <w:t xml:space="preserve">il interprétée en tenant compte de la stipulation relative au « plafond »? </w:t>
      </w:r>
    </w:p>
    <w:p w:rsidR="00EC1E65" w:rsidRPr="008F040A" w:rsidRDefault="00EC1E65" w:rsidP="00EC1E65">
      <w:pPr>
        <w:pStyle w:val="ParaNoNdepar-AltN"/>
        <w:rPr>
          <w:rFonts w:cs="Times New Roman"/>
          <w:lang w:val="fr-CA"/>
        </w:rPr>
      </w:pPr>
      <w:bookmarkStart w:id="199" w:name="section13"/>
      <w:bookmarkEnd w:id="199"/>
      <w:r w:rsidRPr="008F040A">
        <w:rPr>
          <w:rFonts w:cs="Times New Roman"/>
          <w:lang w:val="fr-CA"/>
        </w:rPr>
        <w:t>D’entrée de jeu, il convient de souligner que l’</w:t>
      </w:r>
      <w:r w:rsidRPr="008F040A">
        <w:rPr>
          <w:rFonts w:cs="Times New Roman"/>
          <w:i/>
          <w:lang w:val="fr-CA"/>
        </w:rPr>
        <w:t>Administrative Tribunals Act</w:t>
      </w:r>
      <w:r w:rsidRPr="008F040A">
        <w:rPr>
          <w:rFonts w:cs="Times New Roman"/>
          <w:lang w:val="fr-CA"/>
        </w:rPr>
        <w:t>, S.B.C. 2004, ch. 45, laquelle prévoit les normes de contrôle applicables aux décisions rendues par de nombreux tribunaux administratifs de la Colombie</w:t>
      </w:r>
      <w:r w:rsidRPr="008F040A">
        <w:rPr>
          <w:rFonts w:cs="Times New Roman"/>
          <w:lang w:val="fr-CA"/>
        </w:rPr>
        <w:noBreakHyphen/>
        <w:t>Britannique (art. 58 et 59), ne s’applique pas aux arbitrages régis par l’</w:t>
      </w:r>
      <w:r w:rsidRPr="008F040A">
        <w:rPr>
          <w:rFonts w:cs="Times New Roman"/>
          <w:i/>
          <w:lang w:val="fr-CA"/>
        </w:rPr>
        <w:t>AA</w:t>
      </w:r>
      <w:r w:rsidRPr="008F040A">
        <w:rPr>
          <w:rFonts w:cs="Times New Roman"/>
          <w:lang w:val="fr-CA"/>
        </w:rPr>
        <w:t xml:space="preserve">. </w:t>
      </w:r>
    </w:p>
    <w:p w:rsidR="00EC1E65" w:rsidRPr="008F040A" w:rsidRDefault="00EC1E65" w:rsidP="00EC1E65">
      <w:pPr>
        <w:pStyle w:val="ParaNoNdepar-AltN"/>
        <w:rPr>
          <w:rFonts w:cs="Times New Roman"/>
          <w:lang w:val="fr-CA"/>
        </w:rPr>
      </w:pPr>
      <w:r w:rsidRPr="008F040A">
        <w:rPr>
          <w:rFonts w:cs="Times New Roman"/>
          <w:lang w:val="fr-CA"/>
        </w:rPr>
        <w:lastRenderedPageBreak/>
        <w:t xml:space="preserve">L’examen en appel des sentences arbitrales commerciales s’inscrit dans un régime, strictement défini et adapté aux objectifs de l’arbitrage commercial, qui diffère du contrôle judiciaire d’une décision rendue par un tribunal administratif. Par exemple, la plupart du temps, les parties décident d’un commun accord de soumettre leur différend à l’arbitrage. Il ne s’agit pas d’un processus imposé par la loi. De plus, contrairement à la procédure devant un tribunal administratif, dans le cas d’un arbitrage les parties à la convention choisissent le nombre d’arbitres et l’identité de chacun. Ces différences révèlent que le cadre relatif au contrôle judiciaire établi dans l’arrêt </w:t>
      </w:r>
      <w:r w:rsidRPr="008F040A">
        <w:rPr>
          <w:rFonts w:cs="Times New Roman"/>
          <w:i/>
          <w:lang w:val="fr-CA"/>
        </w:rPr>
        <w:t>Dunsmuir c. Nouveau</w:t>
      </w:r>
      <w:r w:rsidRPr="008F040A">
        <w:rPr>
          <w:rFonts w:cs="Times New Roman"/>
          <w:i/>
          <w:lang w:val="fr-CA"/>
        </w:rPr>
        <w:noBreakHyphen/>
        <w:t>Brunswick</w:t>
      </w:r>
      <w:r w:rsidRPr="008F040A">
        <w:rPr>
          <w:rFonts w:cs="Times New Roman"/>
          <w:lang w:val="fr-CA"/>
        </w:rPr>
        <w:t>, 2008 CSC 9, [2008] 1 R.C.S. 190, et les arrêts rendus depuis, ne peut être tout à fait transposé dans le contexte de l’arbitrage commercial. Par exemple, l’</w:t>
      </w:r>
      <w:r w:rsidRPr="008F040A">
        <w:rPr>
          <w:rFonts w:cs="Times New Roman"/>
          <w:i/>
          <w:lang w:val="fr-CA"/>
        </w:rPr>
        <w:t>AA</w:t>
      </w:r>
      <w:r w:rsidRPr="008F040A">
        <w:rPr>
          <w:rFonts w:cs="Times New Roman"/>
          <w:lang w:val="fr-CA"/>
        </w:rPr>
        <w:t xml:space="preserve"> interdit le contrôle des conclusions de fait tirées par l’arbitre. En matière d’arbitrage commercial, une telle disposition est absolue. Suivant le cadre établi dans </w:t>
      </w:r>
      <w:r w:rsidRPr="008F040A">
        <w:rPr>
          <w:rFonts w:cs="Times New Roman"/>
          <w:i/>
          <w:lang w:val="fr-CA"/>
        </w:rPr>
        <w:t>Dunsmuir</w:t>
      </w:r>
      <w:r w:rsidRPr="008F040A">
        <w:rPr>
          <w:rFonts w:cs="Times New Roman"/>
          <w:lang w:val="fr-CA"/>
        </w:rPr>
        <w:t>, l’existence d’une disposition d’inattaquabilité (aussi appelée clause privative) n’empêche pas le tribunal judiciaire de procéder au contrôle d’une décision administrative, elle signale simplement que la déférence est de mise (</w:t>
      </w:r>
      <w:r w:rsidRPr="008F040A">
        <w:rPr>
          <w:rFonts w:cs="Times New Roman"/>
          <w:i/>
          <w:lang w:val="fr-CA"/>
        </w:rPr>
        <w:t>Dunsmuir</w:t>
      </w:r>
      <w:r w:rsidRPr="008F040A">
        <w:rPr>
          <w:rFonts w:cs="Times New Roman"/>
          <w:lang w:val="fr-CA"/>
        </w:rPr>
        <w:t>, par. 31).</w:t>
      </w:r>
    </w:p>
    <w:p w:rsidR="00EC1E65" w:rsidRPr="008F040A" w:rsidRDefault="00EC1E65" w:rsidP="00EC1E65">
      <w:pPr>
        <w:pStyle w:val="ParaNoNdepar-AltN"/>
        <w:rPr>
          <w:rFonts w:cs="Times New Roman"/>
          <w:lang w:val="fr-CA"/>
        </w:rPr>
      </w:pPr>
      <w:r w:rsidRPr="008F040A">
        <w:rPr>
          <w:rFonts w:cs="Times New Roman"/>
          <w:lang w:val="fr-CA"/>
        </w:rPr>
        <w:t xml:space="preserve">Il demeure que le contrôle judiciaire d’une décision rendue par un tribunal administratif et l’appel d’une sentence arbitrale se ressemblent dans une certaine mesure.  Dans les deux cas, le tribunal examine la décision rendue par un décideur administratif. En outre, l’expertise constitue un facteur tant en matière de contrôle judiciaire qu’en matière d’arbitrage commercial : quand les parties choisissent leur propre décideur, on peut présumer qu’elles fondent leur choix sur l’expertise de l’arbitre dans le domaine faisant l’objet du litige ou jugent sa compétence acceptable. </w:t>
      </w:r>
      <w:r w:rsidRPr="008F040A">
        <w:rPr>
          <w:rFonts w:cs="Times New Roman"/>
          <w:lang w:val="fr-CA"/>
        </w:rPr>
        <w:lastRenderedPageBreak/>
        <w:t xml:space="preserve">Pour ces raisons, j’estime que certains éléments du cadre établi dans l’arrêt </w:t>
      </w:r>
      <w:r w:rsidRPr="008F040A">
        <w:rPr>
          <w:rFonts w:cs="Times New Roman"/>
          <w:i/>
          <w:lang w:val="fr-CA"/>
        </w:rPr>
        <w:t xml:space="preserve">Dunsmuir </w:t>
      </w:r>
      <w:r w:rsidRPr="008F040A">
        <w:rPr>
          <w:rFonts w:cs="Times New Roman"/>
          <w:lang w:val="fr-CA"/>
        </w:rPr>
        <w:t>aident à déterminer le degré de déférence qu’il convient d’accorder aux sentences rendues en matière d’arbitrage commercial.</w:t>
      </w:r>
    </w:p>
    <w:p w:rsidR="00EC1E65" w:rsidRPr="008F040A" w:rsidRDefault="00EC1E65" w:rsidP="00EC1E65">
      <w:pPr>
        <w:pStyle w:val="ParaNoNdepar-AltN"/>
        <w:rPr>
          <w:rFonts w:cs="Times New Roman"/>
          <w:lang w:val="fr-CA"/>
        </w:rPr>
      </w:pPr>
      <w:r w:rsidRPr="008F040A">
        <w:rPr>
          <w:rFonts w:cs="Times New Roman"/>
          <w:lang w:val="fr-CA"/>
        </w:rPr>
        <w:t xml:space="preserve">La jurisprudence depuis l’arrêt </w:t>
      </w:r>
      <w:r w:rsidRPr="008F040A">
        <w:rPr>
          <w:rFonts w:cs="Times New Roman"/>
          <w:i/>
          <w:lang w:val="fr-CA"/>
        </w:rPr>
        <w:t>Dunsmuir</w:t>
      </w:r>
      <w:r w:rsidRPr="008F040A">
        <w:rPr>
          <w:rFonts w:cs="Times New Roman"/>
          <w:lang w:val="fr-CA"/>
        </w:rPr>
        <w:t xml:space="preserve"> vient confirmer qu’il est souvent possible de déterminer la norme de contrôle applicable suivant la nature d</w:t>
      </w:r>
      <w:r>
        <w:rPr>
          <w:rFonts w:cs="Times New Roman"/>
          <w:lang w:val="fr-CA"/>
        </w:rPr>
        <w:t>e la question en</w:t>
      </w:r>
      <w:r w:rsidRPr="008F040A">
        <w:rPr>
          <w:rFonts w:cs="Times New Roman"/>
          <w:lang w:val="fr-CA"/>
        </w:rPr>
        <w:t xml:space="preserve"> litige (voir par exemple </w:t>
      </w:r>
      <w:r w:rsidRPr="008F040A">
        <w:rPr>
          <w:rFonts w:cs="Times New Roman"/>
          <w:i/>
          <w:lang w:val="fr-CA"/>
        </w:rPr>
        <w:t>Alberta (Information and Privacy Commissioner) c. Alberta Teachers’ Association</w:t>
      </w:r>
      <w:r w:rsidRPr="008F040A">
        <w:rPr>
          <w:rFonts w:cs="Times New Roman"/>
          <w:lang w:val="fr-CA"/>
        </w:rPr>
        <w:t>, 2011 CSC 61, [2011] 3 R.C.S. 654, par. 44).  En matière d’arbitrage commercial, la possibilité d’interjeter appel étant subordonnée à l’existence d’une question de droit, la norme de contrôle est celle de la décision raisonnable, à moins que la question n’</w:t>
      </w:r>
      <w:r>
        <w:rPr>
          <w:rFonts w:cs="Times New Roman"/>
          <w:lang w:val="fr-CA"/>
        </w:rPr>
        <w:t xml:space="preserve">appartienne à celles qui </w:t>
      </w:r>
      <w:r w:rsidRPr="008F040A">
        <w:rPr>
          <w:rFonts w:cs="Times New Roman"/>
          <w:lang w:val="fr-CA"/>
        </w:rPr>
        <w:t>entraîne</w:t>
      </w:r>
      <w:r>
        <w:rPr>
          <w:rFonts w:cs="Times New Roman"/>
          <w:lang w:val="fr-CA"/>
        </w:rPr>
        <w:t>nt</w:t>
      </w:r>
      <w:r w:rsidRPr="008F040A">
        <w:rPr>
          <w:rFonts w:cs="Times New Roman"/>
          <w:lang w:val="fr-CA"/>
        </w:rPr>
        <w:t xml:space="preserve"> l’application de la norme de la décision correcte, comme les questions constitutionnelles ou les questions de droit qui revêtent une importance capitale pour le système juridique dans son ensemble et qui sont étrangères au domaine d’expertise du décideur (</w:t>
      </w:r>
      <w:r w:rsidRPr="008F040A">
        <w:rPr>
          <w:rFonts w:cs="Times New Roman"/>
          <w:i/>
          <w:lang w:val="fr-CA"/>
        </w:rPr>
        <w:t>Alberta Teachers’ Association</w:t>
      </w:r>
      <w:r w:rsidRPr="008F040A">
        <w:rPr>
          <w:rFonts w:cs="Times New Roman"/>
          <w:lang w:val="fr-CA"/>
        </w:rPr>
        <w:t xml:space="preserve">, par. 30). La question dont nous sommes saisis, à savoir si l’arbitre a interprété l’entente dans son ensemble, n’appartient pas à l’une ou l’autre de ces catégories. Compte tenu des éléments pertinents de l’analyse établie dans l’arrêt </w:t>
      </w:r>
      <w:r w:rsidRPr="008F040A">
        <w:rPr>
          <w:rFonts w:cs="Times New Roman"/>
          <w:i/>
          <w:lang w:val="fr-CA"/>
        </w:rPr>
        <w:t>Dunsmuir</w:t>
      </w:r>
      <w:r w:rsidRPr="008F040A">
        <w:rPr>
          <w:rFonts w:cs="Times New Roman"/>
          <w:lang w:val="fr-CA"/>
        </w:rPr>
        <w:t xml:space="preserve">, la norme de la décision raisonnable s’applique en l’espèce. </w:t>
      </w:r>
    </w:p>
    <w:p w:rsidR="00EC1E65" w:rsidRPr="008F040A" w:rsidRDefault="00EC1E65" w:rsidP="00EC1E65">
      <w:pPr>
        <w:pStyle w:val="Title2LevelTitre2Niveau"/>
        <w:jc w:val="both"/>
        <w:rPr>
          <w:rFonts w:cs="Times New Roman"/>
          <w:i w:val="0"/>
          <w:lang w:val="fr-CA"/>
        </w:rPr>
      </w:pPr>
      <w:bookmarkStart w:id="200" w:name="_Toc394565847"/>
      <w:bookmarkStart w:id="201" w:name="_Toc388713990"/>
      <w:bookmarkStart w:id="202" w:name="_Toc389040911"/>
      <w:bookmarkStart w:id="203" w:name="_Toc389781725"/>
      <w:bookmarkStart w:id="204" w:name="_Toc390243256"/>
      <w:bookmarkStart w:id="205" w:name="_Toc390339583"/>
      <w:bookmarkStart w:id="206" w:name="_Toc390440417"/>
      <w:bookmarkStart w:id="207" w:name="_Toc390605558"/>
      <w:bookmarkStart w:id="208" w:name="_Toc390614594"/>
      <w:r w:rsidRPr="008F040A">
        <w:rPr>
          <w:rFonts w:cs="Times New Roman"/>
          <w:lang w:val="fr-CA"/>
        </w:rPr>
        <w:t>L’arbitre a donné une interprétation raisonnable de l’entente considérée dans son ensemble</w:t>
      </w:r>
      <w:bookmarkEnd w:id="200"/>
      <w:r w:rsidRPr="008F040A">
        <w:rPr>
          <w:rFonts w:cs="Times New Roman"/>
          <w:lang w:val="fr-CA"/>
        </w:rPr>
        <w:t xml:space="preserve">  </w:t>
      </w:r>
      <w:bookmarkEnd w:id="201"/>
      <w:bookmarkEnd w:id="202"/>
      <w:bookmarkEnd w:id="203"/>
      <w:bookmarkEnd w:id="204"/>
      <w:bookmarkEnd w:id="205"/>
      <w:bookmarkEnd w:id="206"/>
      <w:bookmarkEnd w:id="207"/>
      <w:bookmarkEnd w:id="208"/>
    </w:p>
    <w:p w:rsidR="00EC1E65" w:rsidRPr="008F040A" w:rsidRDefault="00EC1E65" w:rsidP="00EC1E65">
      <w:pPr>
        <w:pStyle w:val="ParaNoNdepar-AltN"/>
        <w:rPr>
          <w:rFonts w:cs="Times New Roman"/>
          <w:lang w:val="fr-CA"/>
        </w:rPr>
      </w:pPr>
      <w:r w:rsidRPr="008F040A">
        <w:rPr>
          <w:rFonts w:cs="Times New Roman"/>
          <w:lang w:val="fr-CA"/>
        </w:rPr>
        <w:t>Essentiellement pour les mêmes motifs que ceux exprimés par le juge Armstrong aux par. 57</w:t>
      </w:r>
      <w:r>
        <w:rPr>
          <w:rFonts w:cs="Times New Roman"/>
          <w:lang w:val="fr-CA"/>
        </w:rPr>
        <w:t>-</w:t>
      </w:r>
      <w:r w:rsidRPr="008F040A">
        <w:rPr>
          <w:rFonts w:cs="Times New Roman"/>
          <w:lang w:val="fr-CA"/>
        </w:rPr>
        <w:t>75 de la décision de la CS sur l’appel, je suis d’avis</w:t>
      </w:r>
      <w:r>
        <w:rPr>
          <w:rFonts w:cs="Times New Roman"/>
          <w:lang w:val="fr-CA"/>
        </w:rPr>
        <w:t xml:space="preserve"> que l’arbitre</w:t>
      </w:r>
      <w:r w:rsidRPr="008F040A">
        <w:rPr>
          <w:rFonts w:cs="Times New Roman"/>
          <w:lang w:val="fr-CA"/>
        </w:rPr>
        <w:t xml:space="preserve">, en déterminant que Sattva était en droit de recevoir ses honoraires d’intermédiation en </w:t>
      </w:r>
      <w:r w:rsidRPr="008F040A">
        <w:rPr>
          <w:rFonts w:cs="Times New Roman"/>
          <w:lang w:val="fr-CA"/>
        </w:rPr>
        <w:lastRenderedPageBreak/>
        <w:t>actions, à raison de 0,15 $ l’action, a donné une interprétation raisonnable de l’entente considérée dans son ensemble.  Le juge Armstrong a contrôlé la décision de l’arbitre selon la norme de la décision correcte, mais ses motifs démontrent amplement le caractère raisonnable de cette décision. L’analyse qui suit est largement fondée sur son raisonnement.</w:t>
      </w:r>
    </w:p>
    <w:p w:rsidR="00EC1E65" w:rsidRPr="008F040A" w:rsidRDefault="00EC1E65" w:rsidP="00EC1E65">
      <w:pPr>
        <w:pStyle w:val="ParaNoNdepar-AltN"/>
        <w:rPr>
          <w:rFonts w:cs="Times New Roman"/>
          <w:lang w:val="fr-CA"/>
        </w:rPr>
      </w:pPr>
      <w:r w:rsidRPr="008F040A">
        <w:rPr>
          <w:rFonts w:cs="Times New Roman"/>
          <w:lang w:val="fr-CA"/>
        </w:rPr>
        <w:t xml:space="preserve">La question que devait trancher l’arbitre portait sur la date qui doit être retenue pour évaluer le cours de l’action aux fins du versement des honoraires d’intermédiation : la date établie selon la définition du cours qui figure dans l’entente ou la date du versement des honoraires d’intermédiation. </w:t>
      </w:r>
    </w:p>
    <w:p w:rsidR="00EC1E65" w:rsidRPr="008F040A" w:rsidRDefault="00EC1E65" w:rsidP="00EC1E65">
      <w:pPr>
        <w:pStyle w:val="ParaNoNdepar-AltN"/>
        <w:tabs>
          <w:tab w:val="left" w:pos="1620"/>
        </w:tabs>
        <w:rPr>
          <w:rFonts w:cs="Times New Roman"/>
          <w:lang w:val="fr-CA"/>
        </w:rPr>
      </w:pPr>
      <w:r w:rsidRPr="008F040A">
        <w:rPr>
          <w:rFonts w:cs="Times New Roman"/>
          <w:lang w:val="fr-CA"/>
        </w:rPr>
        <w:t>L’arbitre a conclu que la valeur calculée selon la définition du cours l’emportait, soit 0,15 $ l’action. Selon lui, tel constat découlait des termes de l’entente et était [</w:t>
      </w:r>
      <w:r w:rsidRPr="008F040A">
        <w:rPr>
          <w:rFonts w:cs="Times New Roman"/>
          <w:smallCaps/>
          <w:lang w:val="fr-CA"/>
        </w:rPr>
        <w:t>traduction</w:t>
      </w:r>
      <w:r w:rsidRPr="008F040A">
        <w:rPr>
          <w:rFonts w:cs="Times New Roman"/>
          <w:lang w:val="fr-CA"/>
        </w:rPr>
        <w:t xml:space="preserve">] « clair et incontestable » (par. 23). Apparemment, comme il estimait que ce point était clair, il ne l’a pas motivé abondamment. </w:t>
      </w:r>
    </w:p>
    <w:p w:rsidR="00EC1E65" w:rsidRPr="008F040A" w:rsidRDefault="00EC1E65" w:rsidP="00EC1E65">
      <w:pPr>
        <w:pStyle w:val="ParaNoNdepar-AltN"/>
        <w:rPr>
          <w:rFonts w:cs="Times New Roman"/>
          <w:lang w:val="fr-CA"/>
        </w:rPr>
      </w:pPr>
      <w:r w:rsidRPr="008F040A">
        <w:rPr>
          <w:rFonts w:cs="Times New Roman"/>
          <w:lang w:val="fr-CA"/>
        </w:rPr>
        <w:t xml:space="preserve">Dans l’arrêt </w:t>
      </w:r>
      <w:r w:rsidRPr="008F040A">
        <w:rPr>
          <w:rFonts w:cs="Times New Roman"/>
          <w:i/>
          <w:lang w:val="fr-CA"/>
        </w:rPr>
        <w:t>Newfoundland and Labrador Nurses’ Union</w:t>
      </w:r>
      <w:r w:rsidRPr="008F040A">
        <w:rPr>
          <w:rFonts w:cs="Times New Roman"/>
          <w:lang w:val="fr-CA"/>
        </w:rPr>
        <w:t xml:space="preserve">, la juge Abella cite le professeur David Dyzenhaus pour expliquer que les </w:t>
      </w:r>
      <w:r>
        <w:rPr>
          <w:rFonts w:cs="Times New Roman"/>
          <w:lang w:val="fr-CA"/>
        </w:rPr>
        <w:t xml:space="preserve">tribunaux </w:t>
      </w:r>
      <w:r w:rsidRPr="008F040A">
        <w:rPr>
          <w:rFonts w:cs="Times New Roman"/>
          <w:lang w:val="fr-CA"/>
        </w:rPr>
        <w:t xml:space="preserve">siégeant en révision peuvent compléter les motifs du décideur de première ligne dans le cadre de l’analyse du caractère raisonnable : </w:t>
      </w:r>
    </w:p>
    <w:p w:rsidR="00EC1E65" w:rsidRPr="008F040A" w:rsidRDefault="00EC1E65" w:rsidP="00EC1E65">
      <w:pPr>
        <w:pStyle w:val="Citation-AltC"/>
        <w:spacing w:after="240"/>
        <w:ind w:left="1168" w:hanging="1168"/>
        <w:contextualSpacing w:val="0"/>
        <w:rPr>
          <w:lang w:val="fr-CA"/>
        </w:rPr>
      </w:pPr>
      <w:r w:rsidRPr="008F040A">
        <w:rPr>
          <w:lang w:val="fr-CA"/>
        </w:rPr>
        <w:tab/>
      </w:r>
      <w:r>
        <w:rPr>
          <w:lang w:val="fr-CA"/>
        </w:rPr>
        <w:tab/>
      </w:r>
      <w:r w:rsidRPr="008F040A">
        <w:rPr>
          <w:lang w:val="fr-CA"/>
        </w:rPr>
        <w:t>[</w:t>
      </w:r>
      <w:r w:rsidRPr="008F040A">
        <w:rPr>
          <w:smallCaps/>
          <w:lang w:val="fr-CA"/>
        </w:rPr>
        <w:t>traduction</w:t>
      </w:r>
      <w:r w:rsidRPr="008F040A">
        <w:rPr>
          <w:lang w:val="fr-CA"/>
        </w:rPr>
        <w:t xml:space="preserve">] Le « caractère raisonnable » s’entend ici du fait que les motifs étayent, effectivement ou en principe, la conclusion. Autrement dit, même si les motifs qui ont en fait été donnés ne semblent pas tout à fait convenables pour étayer la décision, </w:t>
      </w:r>
      <w:r w:rsidRPr="008F040A">
        <w:rPr>
          <w:u w:val="single"/>
          <w:lang w:val="fr-CA"/>
        </w:rPr>
        <w:t>la cour de justice doit d’abord chercher à les compléter avant de tenter de les contrecarrer</w:t>
      </w:r>
      <w:r w:rsidRPr="008F040A">
        <w:rPr>
          <w:lang w:val="fr-CA"/>
        </w:rPr>
        <w:t xml:space="preserve">. Car s’il est vrai que parmi les motifs pour lesquels il y a lieu de faire preuve de retenue on </w:t>
      </w:r>
      <w:r w:rsidRPr="008F040A">
        <w:rPr>
          <w:lang w:val="fr-CA"/>
        </w:rPr>
        <w:lastRenderedPageBreak/>
        <w:t>compte le fait que c’est le tribunal, et non la cour de justice, qui a été désigné comme décideur de première ligne, la connaissance directe qu’a le tribunal du différend, son expertise, etc., il est aussi vrai qu’on doit présumer du bien</w:t>
      </w:r>
      <w:r w:rsidRPr="008F040A">
        <w:rPr>
          <w:lang w:val="fr-CA"/>
        </w:rPr>
        <w:noBreakHyphen/>
        <w:t>fondé de sa décision même si ses motifs sont lacunaires à certains égards. [Soulignement ajouté par la juge Abella; par. 12.]</w:t>
      </w:r>
    </w:p>
    <w:p w:rsidR="00EC1E65" w:rsidRPr="00D33076" w:rsidRDefault="00EC1E65" w:rsidP="00EC1E65">
      <w:pPr>
        <w:pStyle w:val="Citation-AltC"/>
        <w:ind w:left="0"/>
      </w:pPr>
      <w:r w:rsidRPr="00D33076">
        <w:t>(Citation de D. </w:t>
      </w:r>
      <w:proofErr w:type="spellStart"/>
      <w:r w:rsidRPr="00D33076">
        <w:t>Dyzenhaus</w:t>
      </w:r>
      <w:proofErr w:type="spellEnd"/>
      <w:r w:rsidRPr="00D33076">
        <w:t xml:space="preserve">, « The Politics of </w:t>
      </w:r>
      <w:proofErr w:type="gramStart"/>
      <w:r w:rsidRPr="00D33076">
        <w:t>Deference :</w:t>
      </w:r>
      <w:proofErr w:type="gramEnd"/>
      <w:r w:rsidRPr="00D33076">
        <w:t xml:space="preserve"> Judicial Review and Democracy », </w:t>
      </w:r>
      <w:proofErr w:type="spellStart"/>
      <w:r w:rsidRPr="00D33076">
        <w:t>dans</w:t>
      </w:r>
      <w:proofErr w:type="spellEnd"/>
      <w:r w:rsidRPr="00D33076">
        <w:t xml:space="preserve"> M. Taggart, dir., </w:t>
      </w:r>
      <w:r w:rsidRPr="00D33076">
        <w:rPr>
          <w:i/>
        </w:rPr>
        <w:t>The Province of Administrative Law</w:t>
      </w:r>
      <w:r w:rsidRPr="00D33076">
        <w:t xml:space="preserve"> (1997), 279, p. 304) </w:t>
      </w:r>
    </w:p>
    <w:p w:rsidR="00EC1E65" w:rsidRPr="008F040A" w:rsidRDefault="00EC1E65" w:rsidP="00EC1E65">
      <w:pPr>
        <w:pStyle w:val="ContinueParaSuitedupar-AltP"/>
        <w:rPr>
          <w:rFonts w:cs="Times New Roman"/>
          <w:lang w:val="fr-CA"/>
        </w:rPr>
      </w:pPr>
      <w:r w:rsidRPr="008F040A">
        <w:rPr>
          <w:rFonts w:cs="Times New Roman"/>
          <w:lang w:val="fr-CA"/>
        </w:rPr>
        <w:t>Par conséquent, on peut supposer que l’explication donnée par le juge Armstrong du jeu de la définition du cours et de la stipulation relative au « plafond » complète les motifs de l’arbitre.</w:t>
      </w:r>
    </w:p>
    <w:p w:rsidR="00EC1E65" w:rsidRPr="008F040A" w:rsidRDefault="00EC1E65" w:rsidP="00EC1E65">
      <w:pPr>
        <w:pStyle w:val="ParaNoNdepar-AltN"/>
        <w:rPr>
          <w:rFonts w:cs="Times New Roman"/>
          <w:lang w:val="fr-CA"/>
        </w:rPr>
      </w:pPr>
      <w:r w:rsidRPr="008F040A">
        <w:rPr>
          <w:rFonts w:cs="Times New Roman"/>
          <w:lang w:val="fr-CA"/>
        </w:rPr>
        <w:t>Les deux clauses en cause sont la définition du cours et la stipulation relative au « plafond » :</w:t>
      </w:r>
    </w:p>
    <w:p w:rsidR="00EC1E65" w:rsidRDefault="00EC1E65" w:rsidP="00EC1E65">
      <w:pPr>
        <w:pStyle w:val="Citation-AltC"/>
        <w:ind w:hanging="1166"/>
        <w:rPr>
          <w:lang w:val="fr-CA"/>
        </w:rPr>
      </w:pPr>
      <w:r w:rsidRPr="008F040A">
        <w:rPr>
          <w:lang w:val="fr-CA"/>
        </w:rPr>
        <w:tab/>
        <w:t>[</w:t>
      </w:r>
      <w:r w:rsidRPr="008F040A">
        <w:rPr>
          <w:smallCaps/>
          <w:lang w:val="fr-CA"/>
        </w:rPr>
        <w:t>traduction</w:t>
      </w:r>
      <w:r w:rsidRPr="008F040A">
        <w:rPr>
          <w:lang w:val="fr-CA"/>
        </w:rPr>
        <w:t>]</w:t>
      </w:r>
    </w:p>
    <w:p w:rsidR="00EC1E65" w:rsidRPr="008F040A" w:rsidRDefault="00EC1E65" w:rsidP="00EC1E65">
      <w:pPr>
        <w:pStyle w:val="Citation-AltC"/>
        <w:ind w:hanging="1166"/>
        <w:rPr>
          <w:lang w:val="fr-CA"/>
        </w:rPr>
      </w:pPr>
    </w:p>
    <w:p w:rsidR="00EC1E65" w:rsidRPr="008F040A" w:rsidRDefault="00EC1E65" w:rsidP="00EC1E65">
      <w:pPr>
        <w:pStyle w:val="Citation-AltC"/>
        <w:spacing w:after="480"/>
        <w:ind w:left="1168" w:hanging="1168"/>
        <w:contextualSpacing w:val="0"/>
        <w:rPr>
          <w:b/>
          <w:lang w:val="fr-CA"/>
        </w:rPr>
      </w:pPr>
      <w:r w:rsidRPr="008F040A">
        <w:rPr>
          <w:b/>
          <w:lang w:val="fr-CA"/>
        </w:rPr>
        <w:tab/>
        <w:t>2. DÉFINITIONS</w:t>
      </w:r>
    </w:p>
    <w:p w:rsidR="00EC1E65" w:rsidRPr="008F040A" w:rsidRDefault="00EC1E65" w:rsidP="00EC1E65">
      <w:pPr>
        <w:pStyle w:val="Citation-AltC"/>
        <w:ind w:hanging="1166"/>
        <w:rPr>
          <w:lang w:val="fr-CA"/>
        </w:rPr>
      </w:pPr>
      <w:r w:rsidRPr="008F040A">
        <w:rPr>
          <w:b/>
          <w:lang w:val="fr-CA"/>
        </w:rPr>
        <w:tab/>
      </w:r>
      <w:r>
        <w:rPr>
          <w:b/>
          <w:lang w:val="fr-CA"/>
        </w:rPr>
        <w:tab/>
      </w:r>
      <w:r w:rsidRPr="008F040A">
        <w:rPr>
          <w:b/>
          <w:lang w:val="fr-CA"/>
        </w:rPr>
        <w:t>« cours »</w:t>
      </w:r>
      <w:r w:rsidRPr="008F040A">
        <w:rPr>
          <w:lang w:val="fr-CA"/>
        </w:rPr>
        <w:t>, pour les sociétés dont les titres sont inscrits à la cote de la Bourse de croissance TSX, a le sens qui lui est attribué dans le Guide du financement des sociétés de la Bourse de croissance TSX, c’est</w:t>
      </w:r>
      <w:r w:rsidRPr="008F040A">
        <w:rPr>
          <w:lang w:val="fr-CA"/>
        </w:rPr>
        <w:noBreakHyphen/>
        <w:t>à</w:t>
      </w:r>
      <w:r w:rsidRPr="008F040A">
        <w:rPr>
          <w:lang w:val="fr-CA"/>
        </w:rPr>
        <w:noBreakHyphen/>
        <w:t xml:space="preserve">dire qu’il s’entend du cours de clôture des actions le dernier jour ouvrable avant la publication du communiqué de presse annonçant l’acquisition. Pour les sociétés cotées à la Bourse TSX, le cours s’entend du cours de clôture moyen des actions de la société à une bourse reconnue cinq jours de bourse avant la publication du communiqué de presse annonçant l’acquisition. </w:t>
      </w:r>
    </w:p>
    <w:p w:rsidR="00EC1E65" w:rsidRPr="008F040A" w:rsidRDefault="00EC1E65" w:rsidP="00EC1E65">
      <w:pPr>
        <w:pStyle w:val="ContinueParaSuitedupar-AltP"/>
        <w:rPr>
          <w:rFonts w:cs="Times New Roman"/>
          <w:lang w:val="fr-CA"/>
        </w:rPr>
      </w:pPr>
      <w:r w:rsidRPr="008F040A">
        <w:rPr>
          <w:rFonts w:cs="Times New Roman"/>
          <w:lang w:val="fr-CA"/>
        </w:rPr>
        <w:t>Et :</w:t>
      </w:r>
    </w:p>
    <w:p w:rsidR="00EC1E65" w:rsidRPr="008F040A" w:rsidRDefault="00EC1E65" w:rsidP="00EC1E65">
      <w:pPr>
        <w:pStyle w:val="Citation-AltC"/>
        <w:spacing w:after="480"/>
        <w:ind w:left="1168" w:hanging="1168"/>
        <w:contextualSpacing w:val="0"/>
        <w:rPr>
          <w:b/>
          <w:lang w:val="fr-CA"/>
        </w:rPr>
      </w:pPr>
      <w:r w:rsidRPr="008F040A">
        <w:rPr>
          <w:b/>
          <w:lang w:val="fr-CA"/>
        </w:rPr>
        <w:tab/>
        <w:t>3. HONORAIRES D’INTERMÉDIATION</w:t>
      </w:r>
    </w:p>
    <w:p w:rsidR="00EC1E65" w:rsidRPr="008F040A" w:rsidRDefault="00EC1E65" w:rsidP="00EC1E65">
      <w:pPr>
        <w:pStyle w:val="Citation-AltC"/>
        <w:tabs>
          <w:tab w:val="left" w:pos="1800"/>
        </w:tabs>
        <w:ind w:left="1168" w:hanging="1168"/>
        <w:contextualSpacing w:val="0"/>
        <w:rPr>
          <w:lang w:val="fr-CA"/>
        </w:rPr>
      </w:pPr>
      <w:r w:rsidRPr="008F040A">
        <w:rPr>
          <w:lang w:val="fr-CA"/>
        </w:rPr>
        <w:lastRenderedPageBreak/>
        <w:tab/>
        <w:t>3.1</w:t>
      </w:r>
      <w:r w:rsidRPr="008F040A">
        <w:rPr>
          <w:lang w:val="fr-CA"/>
        </w:rPr>
        <w:tab/>
        <w:t xml:space="preserve">. . . la société convient qu’à la conclusion d’une acquisition qui lui a été présentée par l’intermédiaire, elle verse à l’intermédiaire des honoraires (des « honoraires d’intermédiation »), calculés en fonction de la contrepartie versée au vendeur, dont le montant est égal au plafond payable conformément aux règles et politiques de la Bourse de croissance TSX. </w:t>
      </w:r>
      <w:r w:rsidRPr="008F040A">
        <w:rPr>
          <w:u w:val="single"/>
          <w:lang w:val="fr-CA"/>
        </w:rPr>
        <w:t>Ces honoraires d’intermédiation sont versés en actions de la société en fonction du cours</w:t>
      </w:r>
      <w:r w:rsidRPr="00790ADE">
        <w:rPr>
          <w:lang w:val="fr-CA"/>
        </w:rPr>
        <w:t xml:space="preserve"> </w:t>
      </w:r>
      <w:r w:rsidRPr="008F040A">
        <w:rPr>
          <w:lang w:val="fr-CA"/>
        </w:rPr>
        <w:t xml:space="preserve">ou, au choix de l’intermédiaire, en actions et en argent, </w:t>
      </w:r>
      <w:r w:rsidRPr="008F040A">
        <w:rPr>
          <w:u w:val="single"/>
          <w:lang w:val="fr-CA"/>
        </w:rPr>
        <w:t>dans la mesure où le montant des honoraires n’excède pas le plafond énoncé au point 3.3 de la politique 5.1 de la Bourse — Plafond des honoraires d’intermédiation</w:t>
      </w:r>
      <w:r w:rsidRPr="008F040A">
        <w:rPr>
          <w:lang w:val="fr-CA"/>
        </w:rPr>
        <w:t>. [Je souligne.]</w:t>
      </w:r>
    </w:p>
    <w:p w:rsidR="00EC1E65" w:rsidRPr="008F040A" w:rsidRDefault="00EC1E65" w:rsidP="00EC1E65">
      <w:pPr>
        <w:pStyle w:val="ParaNoNdepar-AltN"/>
        <w:rPr>
          <w:rFonts w:cs="Times New Roman"/>
          <w:lang w:val="fr-CA"/>
        </w:rPr>
      </w:pPr>
      <w:r w:rsidRPr="008F040A">
        <w:rPr>
          <w:rFonts w:cs="Times New Roman"/>
          <w:lang w:val="fr-CA"/>
        </w:rPr>
        <w:t>L’article 3.1 de l’entente permet à Sattva de recevoir ses honoraires d’intermédiation en actions en fonction du « cours ». Aux termes de l’art</w:t>
      </w:r>
      <w:r>
        <w:rPr>
          <w:rFonts w:cs="Times New Roman"/>
          <w:lang w:val="fr-CA"/>
        </w:rPr>
        <w:t>.</w:t>
      </w:r>
      <w:r w:rsidRPr="008F040A">
        <w:rPr>
          <w:rFonts w:cs="Times New Roman"/>
          <w:lang w:val="fr-CA"/>
        </w:rPr>
        <w:t> 2 de l’entente, le cours des titres des sociétés cotées à la Bourse de croissance TSX est égal au « cours de clôture des actions le dernier jour ouvrable avant la publication du communiqué de presse annonçant l’acquisition ». En l’espèce, compte tenu de la définition du cours, l’action vaudrait 0,15 $. Le passage « dans la mesure où le montant des honoraires n’excède pas le plafond énoncé au point 3.3 de la politique 5.1 de la Bourse — Plafond des honoraires d’intermédiation » tiré de l’art</w:t>
      </w:r>
      <w:r>
        <w:rPr>
          <w:rFonts w:cs="Times New Roman"/>
          <w:lang w:val="fr-CA"/>
        </w:rPr>
        <w:t>.</w:t>
      </w:r>
      <w:r w:rsidRPr="008F040A">
        <w:rPr>
          <w:rFonts w:cs="Times New Roman"/>
          <w:lang w:val="fr-CA"/>
        </w:rPr>
        <w:t xml:space="preserve"> 3.1 de l’entente constitue la stipulation relative au « plafond ». Cette stipulation limite le montant des honoraires d’intermédiation. Le plafond correspond dans le cas qui nous occupe à 1,5 million $US (voir le point 3.3 de la politique 5.1 de la Bourse à l’annexe II). </w:t>
      </w:r>
    </w:p>
    <w:p w:rsidR="00EC1E65" w:rsidRPr="008F040A" w:rsidRDefault="00EC1E65" w:rsidP="00EC1E65">
      <w:pPr>
        <w:pStyle w:val="ParaNoNdepar-AltN"/>
        <w:rPr>
          <w:rFonts w:cs="Times New Roman"/>
          <w:lang w:val="fr-CA"/>
        </w:rPr>
      </w:pPr>
      <w:r w:rsidRPr="008F040A">
        <w:rPr>
          <w:rFonts w:cs="Times New Roman"/>
          <w:lang w:val="fr-CA"/>
        </w:rPr>
        <w:t>La stipulation relative au « plafond » limite le montant des honoraires d’intermédiation, mais elle ne change rien à la définition du cours. Comme l’explique le juge Armstrong, la définition du cours fixe la date à laquelle un moyen de paiement (dollars américains) est converti en un autre (actions) :</w:t>
      </w:r>
    </w:p>
    <w:p w:rsidR="00EC1E65" w:rsidRPr="008F040A" w:rsidRDefault="00EC1E65" w:rsidP="00EC1E65">
      <w:pPr>
        <w:pStyle w:val="Citation-AltC"/>
        <w:tabs>
          <w:tab w:val="left" w:pos="1620"/>
        </w:tabs>
        <w:spacing w:after="240"/>
        <w:ind w:left="1168" w:hanging="1168"/>
        <w:contextualSpacing w:val="0"/>
        <w:rPr>
          <w:lang w:val="fr-CA"/>
        </w:rPr>
      </w:pPr>
      <w:r w:rsidRPr="008F040A">
        <w:rPr>
          <w:lang w:val="fr-CA"/>
        </w:rPr>
        <w:lastRenderedPageBreak/>
        <w:tab/>
      </w:r>
      <w:r w:rsidRPr="008F040A">
        <w:rPr>
          <w:lang w:val="fr-CA"/>
        </w:rPr>
        <w:tab/>
        <w:t>[</w:t>
      </w:r>
      <w:r w:rsidRPr="008F040A">
        <w:rPr>
          <w:smallCaps/>
          <w:lang w:val="fr-CA"/>
        </w:rPr>
        <w:t>traduction</w:t>
      </w:r>
      <w:r w:rsidRPr="008F040A">
        <w:rPr>
          <w:lang w:val="fr-CA"/>
        </w:rPr>
        <w:t xml:space="preserve">] Le moyen de paiement des honoraires d’intermédiation est clairement établi par l’entente conclue en ce sens. La valeur marchande de ces actions au moment où les parties ont conclu cette entente était inconnue. L’intimée établit une analogie entre le paiement en actions des honoraires d’intermédiation de 1,5 million $US et une entente hypothétique en vertu de laquelle la somme de 1,5 million $US serait convertie en dollars canadiens. Dans les deux cas, les honoraires seraient payés en devises différentes. Le taux de change d’une à l’autre serait fixé à une date précise, tout comme l’est le cours de l’action dans l’entente relative aux honoraires. Ce taux de change permettrait de calculer la somme à verser en dollars canadiens en règlement des honoraires de 1,5 million $US, tout comme le cours permet de déterminer le nombre d’actions cédées en règlement des honoraires. Le dollar canadien est une forme de paiement, au même titre que l’action. Il importe peu que la valeur du dollar canadien augmente ou diminue après la date fixée pour établir le taux de change. Le montant des honoraires payé est toujours égal à 1,5 million $US. Il est converti en un certain nombre de dollars canadiens (ou d’actions) équivalant au montant des honoraires en fonction de la valeur de la devise à la date à laquelle cette valeur est déterminée. </w:t>
      </w:r>
    </w:p>
    <w:p w:rsidR="00EC1E65" w:rsidRPr="008F040A" w:rsidRDefault="00EC1E65" w:rsidP="00EC1E65">
      <w:pPr>
        <w:pStyle w:val="Citation-AltC"/>
        <w:ind w:hanging="1166"/>
        <w:rPr>
          <w:lang w:val="fr-CA"/>
        </w:rPr>
      </w:pPr>
      <w:r>
        <w:rPr>
          <w:lang w:val="fr-CA"/>
        </w:rPr>
        <w:t>(D</w:t>
      </w:r>
      <w:r w:rsidRPr="008F040A">
        <w:rPr>
          <w:lang w:val="fr-CA"/>
        </w:rPr>
        <w:t>écision de la CS sur l’appel, par. 71)</w:t>
      </w:r>
    </w:p>
    <w:p w:rsidR="00EC1E65" w:rsidRPr="008F040A" w:rsidRDefault="00EC1E65" w:rsidP="00EC1E65">
      <w:pPr>
        <w:pStyle w:val="ParaNoNdepar-AltN"/>
        <w:rPr>
          <w:rFonts w:cs="Times New Roman"/>
          <w:lang w:val="fr-CA"/>
        </w:rPr>
      </w:pPr>
      <w:r w:rsidRPr="008F040A">
        <w:rPr>
          <w:rFonts w:cs="Times New Roman"/>
          <w:lang w:val="fr-CA"/>
        </w:rPr>
        <w:t xml:space="preserve">Comme l’explique le juge Armstrong, accepter la position de Creston revient à ne pas tenir compte de la définition du cours et à fixer le cours de l’action en fonction de l’évaluation faite en prévision d’un placement privé.  </w:t>
      </w:r>
    </w:p>
    <w:p w:rsidR="00EC1E65" w:rsidRPr="008F040A" w:rsidRDefault="00EC1E65" w:rsidP="00EC1E65">
      <w:pPr>
        <w:pStyle w:val="ParaNoNdepar-AltN"/>
        <w:rPr>
          <w:rFonts w:cs="Times New Roman"/>
          <w:lang w:val="fr-CA"/>
        </w:rPr>
      </w:pPr>
      <w:r w:rsidRPr="008F040A">
        <w:rPr>
          <w:rFonts w:cs="Times New Roman"/>
          <w:lang w:val="fr-CA"/>
        </w:rPr>
        <w:t>Cependant, rien dans l’entente n’indique, expressément ou implicitement, qu’il faille réévaluer avant la date du versement des honoraires d’intermédiation la conformité à la stipulation relative au « plafond ». L’entente ne précise pas non plus — ni expressément, ni implicitement — la base sur laquelle il faudrait procéder à une telle réévaluation — en l’occurrence un placement privé. Accepter l’interprétation de Creston reviendrait à faire fi du libellé de l’entente selon lequel les « honoraires d’intermédiation sont versés en actions de la société en fonction du cours ».</w:t>
      </w:r>
    </w:p>
    <w:p w:rsidR="00EC1E65" w:rsidRPr="008F040A" w:rsidRDefault="00EC1E65" w:rsidP="00EC1E65">
      <w:pPr>
        <w:pStyle w:val="ParaNoNdepar-AltN"/>
        <w:rPr>
          <w:rFonts w:cs="Times New Roman"/>
          <w:lang w:val="fr-CA"/>
        </w:rPr>
      </w:pPr>
      <w:r w:rsidRPr="008F040A">
        <w:rPr>
          <w:rFonts w:cs="Times New Roman"/>
          <w:lang w:val="fr-CA"/>
        </w:rPr>
        <w:lastRenderedPageBreak/>
        <w:t>La sentence arbitrale, selon laquelle l’action devrait être évaluée en fonction de la définition du cours, donne effet à cette dernière et à la stipulation relative au « plafond ». Comme l’explique le juge Armstrong, l’interprétation par l’arbitre de l’entente atteint cet objectif en conciliant la définition du cours et la stipulation relative au « plafond » d’une manière qui ne peut être considérée comme déraisonnable.</w:t>
      </w:r>
    </w:p>
    <w:p w:rsidR="00EC1E65" w:rsidRPr="008F040A" w:rsidRDefault="00EC1E65" w:rsidP="00EC1E65">
      <w:pPr>
        <w:pStyle w:val="ParaNoNdepar-AltN"/>
        <w:rPr>
          <w:rFonts w:cs="Times New Roman"/>
          <w:lang w:val="fr-CA"/>
        </w:rPr>
      </w:pPr>
      <w:r w:rsidRPr="008F040A">
        <w:rPr>
          <w:rFonts w:cs="Times New Roman"/>
          <w:lang w:val="fr-CA"/>
        </w:rPr>
        <w:t xml:space="preserve">Comme l’explique le juge Armstrong, fixer le cours de l’action en avance engendre un risque qui rend le paiement en actions qualitativement différent du paiement en argent. Le versement des honoraires sous forme d’actions présente un risque inhérent, qui ne se pose pas dans le cas du versement en argent. Les honoraires payés en argent ont une valeur prédéterminée. Par contre, quand les honoraires sont versés en actions, le cours de l’action (ou le mécanisme permettant de le déterminer) est fixé à l’avance. Cependant, le cours de l’action fluctue avec le temps. La personne qui reçoit des honoraires payés en actions espère une augmentation du cours, de sorte que ses actions auront une valeur marchande supérieure à celle qui est établie selon le cours prédéterminé. En revanche, si le cours chute, cette personne reçoit des actions dont la valeur est inférieure à celle des actions selon le cours prédéterminé. Ce risque est bien connu de ceux qui évoluent dans ce milieu, et Creston et Sattva, des parties avisées, en auraient eu connaissance. </w:t>
      </w:r>
    </w:p>
    <w:p w:rsidR="00EC1E65" w:rsidRPr="008F040A" w:rsidRDefault="00EC1E65" w:rsidP="00EC1E65">
      <w:pPr>
        <w:pStyle w:val="ParaNoNdepar-AltN"/>
        <w:rPr>
          <w:rFonts w:cs="Times New Roman"/>
          <w:lang w:val="fr-CA"/>
        </w:rPr>
      </w:pPr>
      <w:r w:rsidRPr="008F040A">
        <w:rPr>
          <w:rFonts w:cs="Times New Roman"/>
          <w:lang w:val="fr-CA"/>
        </w:rPr>
        <w:t xml:space="preserve">En acceptant un paiement en actions, Sattva acceptait de se soumettre à la volatilité du marché. Si l’action de Creston avait chuté, Sattva aurait tout de même été liée par la valeur déterminée en application de la définition du cours, de sorte qu’elle aurait reçu des actions d’une valeur marchande inférieure au plafond de </w:t>
      </w:r>
      <w:r w:rsidRPr="008F040A">
        <w:rPr>
          <w:rFonts w:cs="Times New Roman"/>
          <w:lang w:val="fr-CA"/>
        </w:rPr>
        <w:lastRenderedPageBreak/>
        <w:t xml:space="preserve">1,5 million $US. Il ne serait guère logique d’accepter le risque d’une baisse du cours de l’action sans avoir la possibilité de bénéficier d’une hausse. Pour reprendre les propos du juge Armstrong : </w:t>
      </w:r>
    </w:p>
    <w:p w:rsidR="00EC1E65" w:rsidRPr="008F040A" w:rsidRDefault="00EC1E65" w:rsidP="00EC1E65">
      <w:pPr>
        <w:pStyle w:val="Citation-AltC"/>
        <w:spacing w:after="240"/>
        <w:ind w:left="1168" w:hanging="1168"/>
        <w:contextualSpacing w:val="0"/>
        <w:rPr>
          <w:lang w:val="fr-CA"/>
        </w:rPr>
      </w:pPr>
      <w:r w:rsidRPr="008F040A">
        <w:rPr>
          <w:lang w:val="fr-CA"/>
        </w:rPr>
        <w:tab/>
        <w:t>[</w:t>
      </w:r>
      <w:r w:rsidRPr="008F040A">
        <w:rPr>
          <w:smallCaps/>
          <w:lang w:val="fr-CA"/>
        </w:rPr>
        <w:t>traduction</w:t>
      </w:r>
      <w:r w:rsidRPr="008F040A">
        <w:rPr>
          <w:lang w:val="fr-CA"/>
        </w:rPr>
        <w:t>] Il serait contraire aux principes commerciaux reconnus de protéger l’appelante de la hausse du cours de l’action dont bénéficiait l’intimée à la date de versement des honoraires, alors qu’une telle augmentation était prévisible et aurait dû être soulevée par l’appelante, tout comme il serait contraire aux principes commerciaux reconnus, et aux termes de l’entente relative aux honoraires, d’augmenter le nombre d’actions cédées à l’intimée dans le cas où leur valeur aurait baissé par rapport au cours en vigueur à la date du versement des honoraires. Les deux parties ont reconnu, quand elles ont conclu l’entente relative aux honoraires, la possibilité de fluctuation de la valeur de l’action après la définition du cours.</w:t>
      </w:r>
    </w:p>
    <w:p w:rsidR="00EC1E65" w:rsidRPr="008F040A" w:rsidRDefault="00EC1E65" w:rsidP="00EC1E65">
      <w:pPr>
        <w:pStyle w:val="Citation-AltC"/>
        <w:ind w:hanging="1166"/>
        <w:rPr>
          <w:lang w:val="fr-CA"/>
        </w:rPr>
      </w:pPr>
      <w:r>
        <w:rPr>
          <w:lang w:val="fr-CA"/>
        </w:rPr>
        <w:t>(D</w:t>
      </w:r>
      <w:r w:rsidRPr="008F040A">
        <w:rPr>
          <w:lang w:val="fr-CA"/>
        </w:rPr>
        <w:t>écision de la CS sur l’appel, par. 70)</w:t>
      </w:r>
    </w:p>
    <w:p w:rsidR="00EC1E65" w:rsidRPr="008F040A" w:rsidRDefault="00EC1E65" w:rsidP="00EC1E65">
      <w:pPr>
        <w:pStyle w:val="ParaNoNdepar-AltN"/>
        <w:rPr>
          <w:rFonts w:cs="Times New Roman"/>
          <w:lang w:val="fr-CA"/>
        </w:rPr>
      </w:pPr>
      <w:r w:rsidRPr="008F040A">
        <w:rPr>
          <w:rFonts w:cs="Times New Roman"/>
          <w:lang w:val="fr-CA"/>
        </w:rPr>
        <w:t xml:space="preserve">Pour ces raisons, on ne peut prétendre que l’arbitre n’a pas tenu compte de la stipulation de l’entente relative au « plafond ». Le raisonnement de l’arbitre, que le juge Armstrong explique, satisfait à la norme du caractère raisonnable dont les attributs sont </w:t>
      </w:r>
      <w:r w:rsidRPr="008F040A">
        <w:rPr>
          <w:rFonts w:cs="Times New Roman"/>
          <w:lang w:val="fr-FR"/>
        </w:rPr>
        <w:t>la justification, la transparence et l’intelligibilité (</w:t>
      </w:r>
      <w:r w:rsidRPr="008F040A">
        <w:rPr>
          <w:rFonts w:cs="Times New Roman"/>
          <w:i/>
          <w:lang w:val="fr-FR"/>
        </w:rPr>
        <w:t>Dunsmuir</w:t>
      </w:r>
      <w:r w:rsidRPr="008F040A">
        <w:rPr>
          <w:rFonts w:cs="Times New Roman"/>
          <w:lang w:val="fr-FR"/>
        </w:rPr>
        <w:t>,</w:t>
      </w:r>
      <w:r w:rsidRPr="008F040A">
        <w:rPr>
          <w:rFonts w:cs="Times New Roman"/>
          <w:i/>
          <w:lang w:val="fr-FR"/>
        </w:rPr>
        <w:t xml:space="preserve"> </w:t>
      </w:r>
      <w:r w:rsidRPr="008F040A">
        <w:rPr>
          <w:rFonts w:cs="Times New Roman"/>
          <w:lang w:val="fr-FR"/>
        </w:rPr>
        <w:t>par. </w:t>
      </w:r>
      <w:r w:rsidRPr="008F040A">
        <w:rPr>
          <w:rFonts w:cs="Times New Roman"/>
          <w:lang w:val="fr-CA"/>
        </w:rPr>
        <w:t xml:space="preserve">47). </w:t>
      </w:r>
    </w:p>
    <w:p w:rsidR="00EC1E65" w:rsidRPr="008F040A" w:rsidRDefault="00EC1E65" w:rsidP="00EC1E65">
      <w:pPr>
        <w:pStyle w:val="Title2LevelTitre2Niveau"/>
        <w:jc w:val="both"/>
        <w:rPr>
          <w:rFonts w:cs="Times New Roman"/>
          <w:lang w:val="fr-CA"/>
        </w:rPr>
      </w:pPr>
      <w:bookmarkStart w:id="209" w:name="_Toc388713991"/>
      <w:bookmarkStart w:id="210" w:name="_Toc389040912"/>
      <w:bookmarkStart w:id="211" w:name="_Toc389781726"/>
      <w:bookmarkStart w:id="212" w:name="_Toc390243257"/>
      <w:bookmarkStart w:id="213" w:name="_Toc390339584"/>
      <w:bookmarkStart w:id="214" w:name="_Toc390440418"/>
      <w:bookmarkStart w:id="215" w:name="_Toc390605559"/>
      <w:bookmarkStart w:id="216" w:name="_Toc390614595"/>
      <w:bookmarkStart w:id="217" w:name="_Toc394565848"/>
      <w:r w:rsidRPr="008F040A">
        <w:rPr>
          <w:rFonts w:cs="Times New Roman"/>
          <w:lang w:val="fr-CA"/>
        </w:rPr>
        <w:t>La formation saisie de l’appel n’est pas liée par les observations formulées par la formation saisie de la demande d’autorisation sur le bien</w:t>
      </w:r>
      <w:r w:rsidRPr="008F040A">
        <w:rPr>
          <w:rFonts w:cs="Times New Roman"/>
          <w:lang w:val="fr-CA"/>
        </w:rPr>
        <w:noBreakHyphen/>
        <w:t xml:space="preserve">fondé </w:t>
      </w:r>
      <w:bookmarkEnd w:id="209"/>
      <w:bookmarkEnd w:id="210"/>
      <w:bookmarkEnd w:id="211"/>
      <w:bookmarkEnd w:id="212"/>
      <w:bookmarkEnd w:id="213"/>
      <w:bookmarkEnd w:id="214"/>
      <w:bookmarkEnd w:id="215"/>
      <w:bookmarkEnd w:id="216"/>
      <w:r w:rsidRPr="008F040A">
        <w:rPr>
          <w:rFonts w:cs="Times New Roman"/>
          <w:lang w:val="fr-CA"/>
        </w:rPr>
        <w:t>de l’appel</w:t>
      </w:r>
      <w:bookmarkEnd w:id="217"/>
    </w:p>
    <w:p w:rsidR="00EC1E65" w:rsidRPr="008F040A" w:rsidRDefault="00EC1E65" w:rsidP="00EC1E65">
      <w:pPr>
        <w:pStyle w:val="ParaNoNdepar-AltN"/>
        <w:rPr>
          <w:rFonts w:cs="Times New Roman"/>
          <w:lang w:val="fr-CA"/>
        </w:rPr>
      </w:pPr>
      <w:r>
        <w:rPr>
          <w:rFonts w:cs="Times New Roman"/>
          <w:lang w:val="fr-CA"/>
        </w:rPr>
        <w:t>La C</w:t>
      </w:r>
      <w:r w:rsidRPr="008F040A">
        <w:rPr>
          <w:rFonts w:cs="Times New Roman"/>
          <w:lang w:val="fr-CA"/>
        </w:rPr>
        <w:t>our d’appel a conclu qu’elle</w:t>
      </w:r>
      <w:r w:rsidRPr="008F040A">
        <w:rPr>
          <w:rFonts w:cs="Times New Roman"/>
          <w:lang w:val="fr-CA"/>
        </w:rPr>
        <w:noBreakHyphen/>
        <w:t>même et la formation de la CS saisie de l’appel étaient liées par les conclusions tirées par la formation de la CA saisie de la demande d’autorisation en ce qui a trait non seulement à la décision d’autoriser l’appel, mais aussi au bien</w:t>
      </w:r>
      <w:r w:rsidRPr="008F040A">
        <w:rPr>
          <w:rFonts w:cs="Times New Roman"/>
          <w:lang w:val="fr-CA"/>
        </w:rPr>
        <w:noBreakHyphen/>
        <w:t xml:space="preserve">fondé de l’appel. Autrement dit, elle a conclu que la formation de la CS saisie de l’appel avait commis une erreur de droit en faisant fi des conclusions de </w:t>
      </w:r>
      <w:r w:rsidRPr="008F040A">
        <w:rPr>
          <w:rFonts w:cs="Times New Roman"/>
          <w:lang w:val="fr-CA"/>
        </w:rPr>
        <w:lastRenderedPageBreak/>
        <w:t>la formation de la CA saisie de la demande d’autorisation quant au bien</w:t>
      </w:r>
      <w:r w:rsidRPr="008F040A">
        <w:rPr>
          <w:rFonts w:cs="Times New Roman"/>
          <w:lang w:val="fr-CA"/>
        </w:rPr>
        <w:noBreakHyphen/>
        <w:t xml:space="preserve">fondé de l’appel. </w:t>
      </w:r>
    </w:p>
    <w:p w:rsidR="00EC1E65" w:rsidRPr="008F040A" w:rsidRDefault="00EC1E65" w:rsidP="00EC1E65">
      <w:pPr>
        <w:pStyle w:val="ParaNoNdepar-AltN"/>
        <w:rPr>
          <w:rFonts w:cs="Times New Roman"/>
          <w:lang w:val="fr-CA"/>
        </w:rPr>
      </w:pPr>
      <w:r w:rsidRPr="008F040A">
        <w:rPr>
          <w:rFonts w:cs="Times New Roman"/>
          <w:lang w:val="fr-CA"/>
        </w:rPr>
        <w:t>La formation de la CA saisie de l’appel a mis en relief deux conclusions précises quant au bien</w:t>
      </w:r>
      <w:r w:rsidRPr="008F040A">
        <w:rPr>
          <w:rFonts w:cs="Times New Roman"/>
          <w:lang w:val="fr-CA"/>
        </w:rPr>
        <w:noBreakHyphen/>
        <w:t>fondé de l’appel qui, à son avis, la liaient elle, et aussi la formation de la CS saisie de l’appel : 1º il serait incongru que l’entente permette à Sattva, si elle opte pour le versement de ses honoraires en argent, de toucher 1,5 million $US alors que, si elle opte pour le versement sous forme d’actions, elle recevra un portefeuille valant environ 8 millions $ et 2º l’arbitre n’a pas tenu compte de cette anomalie et a fai</w:t>
      </w:r>
      <w:r>
        <w:rPr>
          <w:rFonts w:cs="Times New Roman"/>
          <w:lang w:val="fr-CA"/>
        </w:rPr>
        <w:t>t fi de l’art. 3.1 de l’entente :</w:t>
      </w:r>
    </w:p>
    <w:p w:rsidR="00EC1E65" w:rsidRPr="008F040A" w:rsidRDefault="00EC1E65" w:rsidP="00EC1E65">
      <w:pPr>
        <w:pStyle w:val="Citation-AltC"/>
        <w:spacing w:after="240"/>
        <w:ind w:left="1168" w:hanging="1168"/>
        <w:contextualSpacing w:val="0"/>
        <w:rPr>
          <w:lang w:val="fr-CA"/>
        </w:rPr>
      </w:pPr>
      <w:r w:rsidRPr="008F040A">
        <w:rPr>
          <w:lang w:val="fr-CA"/>
        </w:rPr>
        <w:tab/>
      </w:r>
      <w:r w:rsidRPr="008F040A">
        <w:rPr>
          <w:lang w:val="fr-CA"/>
        </w:rPr>
        <w:tab/>
        <w:t>[</w:t>
      </w:r>
      <w:r w:rsidRPr="008F040A">
        <w:rPr>
          <w:smallCaps/>
          <w:lang w:val="fr-CA"/>
        </w:rPr>
        <w:t>traduction</w:t>
      </w:r>
      <w:r w:rsidRPr="008F040A">
        <w:rPr>
          <w:lang w:val="fr-CA"/>
        </w:rPr>
        <w:t xml:space="preserve">] Le juge [de la CS saisi de l’appel] a conclu que l’arbitre avait expressément tenu compte du plafond des honoraires payables conformément au paragraphe 3.1 de l’entente et que sa sentence était correcte.  </w:t>
      </w:r>
    </w:p>
    <w:p w:rsidR="00EC1E65" w:rsidRPr="008F040A" w:rsidRDefault="00EC1E65" w:rsidP="00EC1E65">
      <w:pPr>
        <w:pStyle w:val="Citation-AltC"/>
        <w:spacing w:after="240"/>
        <w:ind w:left="1168" w:hanging="1168"/>
        <w:contextualSpacing w:val="0"/>
        <w:rPr>
          <w:lang w:val="fr-CA"/>
        </w:rPr>
      </w:pPr>
      <w:r w:rsidRPr="008F040A">
        <w:rPr>
          <w:lang w:val="fr-CA"/>
        </w:rPr>
        <w:tab/>
      </w:r>
      <w:r w:rsidRPr="008F040A">
        <w:rPr>
          <w:lang w:val="fr-CA"/>
        </w:rPr>
        <w:tab/>
        <w:t xml:space="preserve">Cette conclusion est contraire aux remarques formulées par la juge Newbury dans l’appel antérieur selon lesquelles, si ses honoraires étaient versés en actions, à raison de 0,15 $ l’unité, Sattva obtiendrait des honoraires d’une valeur, à la date du versement des honoraires, de plus de 8 millions $. Si elle optait pour le versement en argent, elle recevrait un montant de 1,5 million $US. La juge Newbury a statué expressément que l’arbitre n’avait pas soulevé cette anomalie et qu’il n’avait pas tenu compte du sens du paragraphe 3.1 de l’entente. </w:t>
      </w:r>
    </w:p>
    <w:p w:rsidR="00EC1E65" w:rsidRPr="008F040A" w:rsidRDefault="00EC1E65" w:rsidP="00EC1E65">
      <w:pPr>
        <w:pStyle w:val="Citation-AltC"/>
        <w:ind w:left="1168" w:hanging="1168"/>
        <w:contextualSpacing w:val="0"/>
        <w:rPr>
          <w:lang w:val="fr-CA"/>
        </w:rPr>
      </w:pPr>
      <w:r w:rsidRPr="008F040A">
        <w:rPr>
          <w:lang w:val="fr-CA"/>
        </w:rPr>
        <w:tab/>
      </w:r>
      <w:r w:rsidRPr="008F040A">
        <w:rPr>
          <w:lang w:val="fr-CA"/>
        </w:rPr>
        <w:tab/>
        <w:t>Le juge [de la CS saisi de l’appel] était tenu d’accepter ces conclusions. De même, à défaut d’une décision d’une formation de cinq juges en l’espèce, nous devons aussi accepter ces conclusions. [par. 42</w:t>
      </w:r>
      <w:r>
        <w:rPr>
          <w:lang w:val="fr-CA"/>
        </w:rPr>
        <w:t>-</w:t>
      </w:r>
      <w:r w:rsidRPr="008F040A">
        <w:rPr>
          <w:lang w:val="fr-CA"/>
        </w:rPr>
        <w:t>44]</w:t>
      </w:r>
    </w:p>
    <w:p w:rsidR="00EC1E65" w:rsidRPr="008F040A" w:rsidRDefault="00EC1E65" w:rsidP="00EC1E65">
      <w:pPr>
        <w:pStyle w:val="ParaNoNdepar-AltN"/>
        <w:rPr>
          <w:rFonts w:cs="Times New Roman"/>
          <w:lang w:val="fr-CA"/>
        </w:rPr>
      </w:pPr>
      <w:r w:rsidRPr="008F040A">
        <w:rPr>
          <w:rFonts w:cs="Times New Roman"/>
          <w:lang w:val="fr-CA"/>
        </w:rPr>
        <w:t>Avec tout le respect que je lui dois, j’estime que la formation de la CA saisie de l’appel a commis une erreur en concluant que les commentaires sur le bien</w:t>
      </w:r>
      <w:r w:rsidRPr="008F040A">
        <w:rPr>
          <w:rFonts w:cs="Times New Roman"/>
          <w:lang w:val="fr-CA"/>
        </w:rPr>
        <w:noBreakHyphen/>
        <w:t xml:space="preserve">fondé de l’appel formulés par la formation de la CA saisie de la demande </w:t>
      </w:r>
      <w:r w:rsidRPr="008F040A">
        <w:rPr>
          <w:rFonts w:cs="Times New Roman"/>
          <w:lang w:val="fr-CA"/>
        </w:rPr>
        <w:lastRenderedPageBreak/>
        <w:t>d’autorisation la liaient elle, de même que la formation de la CS saisie de l’appel. Le tribunal chargé de statuer sur une demande d’autorisation ne tranche pas l’affaire sur le fond (</w:t>
      </w:r>
      <w:r w:rsidRPr="008F040A">
        <w:rPr>
          <w:rFonts w:cs="Times New Roman"/>
          <w:i/>
          <w:lang w:val="fr-CA"/>
        </w:rPr>
        <w:t>Banque canadienne de l’Ouest c. Alberta</w:t>
      </w:r>
      <w:r w:rsidRPr="008F040A">
        <w:rPr>
          <w:rFonts w:cs="Times New Roman"/>
          <w:lang w:val="fr-CA"/>
        </w:rPr>
        <w:t>, 2007 CSC 22, [2007] 2 R.C.S. 3, par. 88). Il détermine uniquement s’il est justifié d’accorder l’autorisation, et non si l’appel sera accueilli (</w:t>
      </w:r>
      <w:r w:rsidRPr="008F040A">
        <w:rPr>
          <w:rFonts w:cs="Times New Roman"/>
          <w:i/>
          <w:lang w:val="fr-CA"/>
        </w:rPr>
        <w:t>Pacifica Mortgage Investment Corp. c. Laus Holdings</w:t>
      </w:r>
      <w:r w:rsidRPr="008F040A">
        <w:rPr>
          <w:rFonts w:cs="Times New Roman"/>
          <w:lang w:val="fr-CA"/>
        </w:rPr>
        <w:t xml:space="preserve"> </w:t>
      </w:r>
      <w:r w:rsidRPr="008F040A">
        <w:rPr>
          <w:rFonts w:cs="Times New Roman"/>
          <w:i/>
          <w:lang w:val="fr-CA"/>
        </w:rPr>
        <w:t>Ltd.</w:t>
      </w:r>
      <w:r w:rsidRPr="008F040A">
        <w:rPr>
          <w:rFonts w:cs="Times New Roman"/>
          <w:lang w:val="fr-CA"/>
        </w:rPr>
        <w:t>, 2013 BCCA 95, 333 B.C.A.C. 310, par. 27, autorisation d’appel refusée, [2013] 3 R.C.S. viii). Cela vaut même lorsque l’étude de la demande d’autorisation appelle un examen préliminaire de la question de droit en cause, comme c’est le cas en l’espèce. L’autorisation accordée ne saurait lier le tribunal chargé de statuer sur l’appel ni restreindre ses pouvoirs (</w:t>
      </w:r>
      <w:r w:rsidRPr="008F040A">
        <w:rPr>
          <w:rFonts w:cs="Times New Roman"/>
          <w:i/>
          <w:lang w:val="fr-CA"/>
        </w:rPr>
        <w:t>Tamil Co</w:t>
      </w:r>
      <w:r w:rsidRPr="008F040A">
        <w:rPr>
          <w:rFonts w:cs="Times New Roman"/>
          <w:i/>
          <w:lang w:val="fr-CA"/>
        </w:rPr>
        <w:noBreakHyphen/>
        <w:t>operative Homes Inc. c. Arulappah</w:t>
      </w:r>
      <w:r w:rsidRPr="008F040A">
        <w:rPr>
          <w:rFonts w:cs="Times New Roman"/>
          <w:lang w:val="fr-CA"/>
        </w:rPr>
        <w:t xml:space="preserve"> (2000), 49 O.R. (3d) 566 (C.A.), par. 32). </w:t>
      </w:r>
    </w:p>
    <w:p w:rsidR="00EC1E65" w:rsidRPr="008F040A" w:rsidRDefault="00EC1E65" w:rsidP="00EC1E65">
      <w:pPr>
        <w:pStyle w:val="ParaNoNdepar-AltN"/>
        <w:rPr>
          <w:rFonts w:cs="Times New Roman"/>
          <w:lang w:val="fr-CA"/>
        </w:rPr>
      </w:pPr>
      <w:r w:rsidRPr="008F040A">
        <w:rPr>
          <w:rFonts w:cs="Times New Roman"/>
          <w:lang w:val="fr-CA"/>
        </w:rPr>
        <w:t>Creston concède ce point, mais prétend que la conclusion tirée par la formation de la CA saisie de l’appel selon laquelle elle était liée par les conclusions de celle saisie de la demande d’autorisation était sans conséquence parce que la première est arrivée à la même conclusion que la seconde sur le bien</w:t>
      </w:r>
      <w:r w:rsidRPr="008F040A">
        <w:rPr>
          <w:rFonts w:cs="Times New Roman"/>
          <w:lang w:val="fr-CA"/>
        </w:rPr>
        <w:noBreakHyphen/>
        <w:t xml:space="preserve">fondé, à l’issue d’un raisonnement distinct et indépendant. </w:t>
      </w:r>
    </w:p>
    <w:p w:rsidR="00EC1E65" w:rsidRPr="008F040A" w:rsidRDefault="00EC1E65" w:rsidP="00EC1E65">
      <w:pPr>
        <w:pStyle w:val="ParaNoNdepar-AltN"/>
        <w:rPr>
          <w:rFonts w:cs="Times New Roman"/>
          <w:lang w:val="fr-CA"/>
        </w:rPr>
      </w:pPr>
      <w:r w:rsidRPr="008F040A">
        <w:rPr>
          <w:rFonts w:cs="Times New Roman"/>
          <w:lang w:val="fr-CA"/>
        </w:rPr>
        <w:t>Le fait que la formation de la CA saisie de l’appel soit arrivée à la même conclusion que celle saisie de la demande d’autorisation pour des motifs différents n’annule pas l’erreur. Dès lors que la formation de la CA saisie de l’appel a accordé un caractère obligatoire aux motifs concernant le bien</w:t>
      </w:r>
      <w:r w:rsidRPr="008F040A">
        <w:rPr>
          <w:rFonts w:cs="Times New Roman"/>
          <w:lang w:val="fr-CA"/>
        </w:rPr>
        <w:noBreakHyphen/>
        <w:t xml:space="preserve">fondé de l’appel énoncés par celle saisie de la demande d’autorisation, elle ne pouvait guère arriver à une autre décision. </w:t>
      </w:r>
      <w:r w:rsidRPr="008F040A">
        <w:rPr>
          <w:rFonts w:cs="Times New Roman"/>
          <w:lang w:val="fr-CA"/>
        </w:rPr>
        <w:lastRenderedPageBreak/>
        <w:t xml:space="preserve">Comme le souligne l’avocat de Sattva, considérer comme impérative la décision relative à la demande d’autorisation rendrait l’appel futile. </w:t>
      </w:r>
    </w:p>
    <w:p w:rsidR="00EC1E65" w:rsidRPr="008F040A" w:rsidRDefault="00EC1E65" w:rsidP="00EC1E65">
      <w:pPr>
        <w:pStyle w:val="Title1LevelTitre1Niveau-AltL"/>
        <w:rPr>
          <w:rFonts w:cs="Times New Roman"/>
          <w:lang w:val="fr-CA"/>
        </w:rPr>
      </w:pPr>
      <w:bookmarkStart w:id="218" w:name="_Toc388713992"/>
      <w:bookmarkStart w:id="219" w:name="_Toc389040913"/>
      <w:bookmarkStart w:id="220" w:name="_Toc389781727"/>
      <w:bookmarkStart w:id="221" w:name="_Toc390243258"/>
      <w:bookmarkStart w:id="222" w:name="_Toc390339585"/>
      <w:bookmarkStart w:id="223" w:name="_Toc390440419"/>
      <w:bookmarkStart w:id="224" w:name="_Toc390605560"/>
      <w:bookmarkStart w:id="225" w:name="_Toc390614596"/>
      <w:bookmarkStart w:id="226" w:name="_Toc394565849"/>
      <w:r w:rsidRPr="008F040A">
        <w:rPr>
          <w:rFonts w:cs="Times New Roman"/>
          <w:lang w:val="fr-CA"/>
        </w:rPr>
        <w:t>Conclusion</w:t>
      </w:r>
      <w:bookmarkEnd w:id="218"/>
      <w:bookmarkEnd w:id="219"/>
      <w:bookmarkEnd w:id="220"/>
      <w:bookmarkEnd w:id="221"/>
      <w:bookmarkEnd w:id="222"/>
      <w:bookmarkEnd w:id="223"/>
      <w:bookmarkEnd w:id="224"/>
      <w:bookmarkEnd w:id="225"/>
      <w:bookmarkEnd w:id="226"/>
    </w:p>
    <w:p w:rsidR="00EC1E65" w:rsidRPr="008F040A" w:rsidRDefault="00EC1E65" w:rsidP="00EC1E65">
      <w:pPr>
        <w:pStyle w:val="ParaNoNdepar-AltN"/>
        <w:rPr>
          <w:rFonts w:cs="Times New Roman"/>
          <w:lang w:val="fr-CA"/>
        </w:rPr>
      </w:pPr>
      <w:r w:rsidRPr="008F040A">
        <w:rPr>
          <w:rFonts w:cs="Times New Roman"/>
          <w:lang w:val="fr-CA"/>
        </w:rPr>
        <w:t xml:space="preserve">La formation de la CA </w:t>
      </w:r>
      <w:r>
        <w:rPr>
          <w:rFonts w:cs="Times New Roman"/>
          <w:lang w:val="fr-CA"/>
        </w:rPr>
        <w:t xml:space="preserve">saisie de la demande d’autorisation </w:t>
      </w:r>
      <w:r w:rsidRPr="008F040A">
        <w:rPr>
          <w:rFonts w:cs="Times New Roman"/>
          <w:lang w:val="fr-CA"/>
        </w:rPr>
        <w:t>a commis une erreur en accordant l’autorisation d’interjeter appel en l’espèce. Quoi qu’il en soit, la sentence arbitrale était raisonnable. L’appel interjeté à l’encontre des décisions de la Cour d’appel de la Colombie</w:t>
      </w:r>
      <w:r w:rsidRPr="008F040A">
        <w:rPr>
          <w:rFonts w:cs="Times New Roman"/>
          <w:lang w:val="fr-CA"/>
        </w:rPr>
        <w:noBreakHyphen/>
      </w:r>
      <w:r>
        <w:rPr>
          <w:rFonts w:cs="Times New Roman"/>
          <w:lang w:val="fr-CA"/>
        </w:rPr>
        <w:t xml:space="preserve">Britannique datées du 14 mai </w:t>
      </w:r>
      <w:r w:rsidRPr="008F040A">
        <w:rPr>
          <w:rFonts w:cs="Times New Roman"/>
          <w:lang w:val="fr-CA"/>
        </w:rPr>
        <w:t>2010 et du 7 août</w:t>
      </w:r>
      <w:r>
        <w:rPr>
          <w:rFonts w:cs="Times New Roman"/>
          <w:lang w:val="fr-CA"/>
        </w:rPr>
        <w:t xml:space="preserve"> </w:t>
      </w:r>
      <w:r w:rsidRPr="008F040A">
        <w:rPr>
          <w:rFonts w:cs="Times New Roman"/>
          <w:lang w:val="fr-CA"/>
        </w:rPr>
        <w:t xml:space="preserve">2012 est accueilli avec dépens devant toutes les cours. La sentence arbitrale est rétablie. </w:t>
      </w:r>
      <w:bookmarkStart w:id="227" w:name="_Toc388713993"/>
      <w:bookmarkStart w:id="228" w:name="_Toc389040914"/>
      <w:bookmarkStart w:id="229" w:name="_Toc389781728"/>
      <w:bookmarkStart w:id="230" w:name="_Toc390243259"/>
      <w:bookmarkStart w:id="231" w:name="_Toc390339586"/>
    </w:p>
    <w:p w:rsidR="00EC1E65" w:rsidRPr="008F040A" w:rsidRDefault="00EC1E65" w:rsidP="00EC1E65">
      <w:pPr>
        <w:pStyle w:val="Title1LevelTitre1Niveau-AltL"/>
        <w:numPr>
          <w:ilvl w:val="0"/>
          <w:numId w:val="0"/>
        </w:numPr>
        <w:jc w:val="center"/>
        <w:rPr>
          <w:rFonts w:cs="Times New Roman"/>
          <w:b/>
          <w:u w:val="none"/>
          <w:lang w:val="fr-CA"/>
        </w:rPr>
      </w:pPr>
      <w:bookmarkStart w:id="232" w:name="_Toc394565850"/>
      <w:bookmarkStart w:id="233" w:name="_Toc390440420"/>
      <w:bookmarkStart w:id="234" w:name="_Toc390605561"/>
      <w:bookmarkStart w:id="235" w:name="_Toc390614597"/>
      <w:r w:rsidRPr="008F040A">
        <w:rPr>
          <w:rFonts w:cs="Times New Roman"/>
          <w:b/>
          <w:u w:val="none"/>
          <w:lang w:val="fr-CA"/>
        </w:rPr>
        <w:t>ANNEXE I</w:t>
      </w:r>
      <w:bookmarkEnd w:id="232"/>
    </w:p>
    <w:p w:rsidR="00EC1E65" w:rsidRPr="008F040A" w:rsidRDefault="00EC1E65" w:rsidP="00EC1E65">
      <w:pPr>
        <w:pStyle w:val="Title1LevelTitre1Niveau-AltL"/>
        <w:numPr>
          <w:ilvl w:val="0"/>
          <w:numId w:val="0"/>
        </w:numPr>
        <w:rPr>
          <w:rFonts w:cs="Times New Roman"/>
          <w:lang w:val="fr-CA"/>
        </w:rPr>
      </w:pPr>
      <w:bookmarkStart w:id="236" w:name="_Toc394565851"/>
      <w:r w:rsidRPr="008F040A">
        <w:rPr>
          <w:rFonts w:cs="Times New Roman"/>
          <w:lang w:val="fr-CA"/>
        </w:rPr>
        <w:t>Dispositions pertinentes de l’entente relative aux honoraires d’intermédiation conclue entre Sattva et Creston</w:t>
      </w:r>
      <w:bookmarkEnd w:id="236"/>
      <w:r w:rsidRPr="008F040A">
        <w:rPr>
          <w:rFonts w:cs="Times New Roman"/>
          <w:lang w:val="fr-CA"/>
        </w:rPr>
        <w:t xml:space="preserve"> </w:t>
      </w:r>
      <w:bookmarkEnd w:id="227"/>
      <w:bookmarkEnd w:id="228"/>
      <w:bookmarkEnd w:id="229"/>
      <w:bookmarkEnd w:id="230"/>
      <w:bookmarkEnd w:id="231"/>
      <w:bookmarkEnd w:id="233"/>
      <w:bookmarkEnd w:id="234"/>
      <w:bookmarkEnd w:id="235"/>
    </w:p>
    <w:p w:rsidR="00EC1E65" w:rsidRDefault="00EC1E65" w:rsidP="00EC1E65">
      <w:pPr>
        <w:pStyle w:val="Citation-AltC"/>
        <w:spacing w:after="240"/>
        <w:ind w:left="0"/>
        <w:contextualSpacing w:val="0"/>
        <w:rPr>
          <w:lang w:val="fr-CA"/>
        </w:rPr>
      </w:pPr>
      <w:r w:rsidRPr="008F040A">
        <w:rPr>
          <w:lang w:val="fr-CA"/>
        </w:rPr>
        <w:t>a)  Définition du « cours » :</w:t>
      </w:r>
    </w:p>
    <w:p w:rsidR="00EC1E65" w:rsidRDefault="00EC1E65" w:rsidP="00EC1E65">
      <w:pPr>
        <w:pStyle w:val="Citation-AltC"/>
        <w:spacing w:after="240"/>
        <w:ind w:left="0"/>
        <w:contextualSpacing w:val="0"/>
        <w:rPr>
          <w:lang w:val="fr-CA"/>
        </w:rPr>
      </w:pPr>
    </w:p>
    <w:p w:rsidR="00EC1E65" w:rsidRPr="008F040A" w:rsidRDefault="00EC1E65" w:rsidP="00EC1E65">
      <w:pPr>
        <w:pStyle w:val="Citation-AltC"/>
        <w:tabs>
          <w:tab w:val="left" w:pos="1170"/>
        </w:tabs>
        <w:spacing w:after="240"/>
        <w:ind w:left="0"/>
        <w:contextualSpacing w:val="0"/>
        <w:rPr>
          <w:lang w:val="fr-CA"/>
        </w:rPr>
      </w:pPr>
      <w:r>
        <w:rPr>
          <w:lang w:val="fr-CA"/>
        </w:rPr>
        <w:tab/>
        <w:t>[</w:t>
      </w:r>
      <w:r w:rsidRPr="009A4252">
        <w:rPr>
          <w:smallCaps/>
          <w:lang w:val="fr-CA"/>
        </w:rPr>
        <w:t>traduction</w:t>
      </w:r>
      <w:r>
        <w:rPr>
          <w:lang w:val="fr-CA"/>
        </w:rPr>
        <w:t>]</w:t>
      </w:r>
    </w:p>
    <w:p w:rsidR="00EC1E65" w:rsidRPr="008F040A" w:rsidRDefault="00EC1E65" w:rsidP="00EC1E65">
      <w:pPr>
        <w:pStyle w:val="Citation-AltC"/>
        <w:spacing w:after="240"/>
        <w:contextualSpacing w:val="0"/>
        <w:rPr>
          <w:b/>
          <w:lang w:val="fr-CA"/>
        </w:rPr>
      </w:pPr>
      <w:r w:rsidRPr="008F040A">
        <w:rPr>
          <w:b/>
          <w:lang w:val="fr-CA"/>
        </w:rPr>
        <w:t>2. DÉFINITIONS</w:t>
      </w:r>
    </w:p>
    <w:p w:rsidR="00EC1E65" w:rsidRPr="008F040A" w:rsidRDefault="00EC1E65" w:rsidP="00EC1E65">
      <w:pPr>
        <w:pStyle w:val="Citation-AltC"/>
        <w:ind w:firstLine="250"/>
        <w:contextualSpacing w:val="0"/>
        <w:rPr>
          <w:lang w:val="fr-CA"/>
        </w:rPr>
      </w:pPr>
      <w:r w:rsidRPr="008F040A">
        <w:rPr>
          <w:b/>
          <w:lang w:val="fr-CA"/>
        </w:rPr>
        <w:t>« cours »</w:t>
      </w:r>
      <w:r w:rsidRPr="008F040A">
        <w:rPr>
          <w:lang w:val="fr-CA"/>
        </w:rPr>
        <w:t>, pour les sociétés dont les titres sont inscrits à la cote de la Bourse de croissance TSX, a le sens qui lui est attribué dans le Guide du financement des sociétés de la Bourse de croissance TSX, c’est</w:t>
      </w:r>
      <w:r w:rsidRPr="008F040A">
        <w:rPr>
          <w:lang w:val="fr-CA"/>
        </w:rPr>
        <w:noBreakHyphen/>
        <w:t>à</w:t>
      </w:r>
      <w:r w:rsidRPr="008F040A">
        <w:rPr>
          <w:lang w:val="fr-CA"/>
        </w:rPr>
        <w:noBreakHyphen/>
        <w:t xml:space="preserve">dire qu’il s’entend du cours de clôture des actions le dernier jour ouvrable avant la publication du communiqué de presse annonçant l’acquisition. Pour les sociétés cotées à la Bourse TSX, le cours s’entend du cours de clôture moyen des actions de la société à une bourse reconnue cinq jours de bourse avant la publication du communiqué de presse annonçant l’acquisition. </w:t>
      </w:r>
    </w:p>
    <w:p w:rsidR="00EC1E65" w:rsidRDefault="00EC1E65" w:rsidP="00EC1E65">
      <w:pPr>
        <w:pStyle w:val="Citation-AltC"/>
        <w:spacing w:after="240"/>
        <w:ind w:left="0"/>
        <w:contextualSpacing w:val="0"/>
        <w:rPr>
          <w:lang w:val="fr-CA"/>
        </w:rPr>
      </w:pPr>
      <w:r w:rsidRPr="008F040A">
        <w:rPr>
          <w:lang w:val="fr-CA"/>
        </w:rPr>
        <w:lastRenderedPageBreak/>
        <w:t>b)  Disposition relative aux honoraires d’intermédiation (laquelle contient la stipulation relative au « plafond ») :</w:t>
      </w:r>
    </w:p>
    <w:p w:rsidR="00EC1E65" w:rsidRDefault="00EC1E65" w:rsidP="00EC1E65">
      <w:pPr>
        <w:pStyle w:val="Citation-AltC"/>
        <w:tabs>
          <w:tab w:val="left" w:pos="1170"/>
        </w:tabs>
        <w:spacing w:after="240"/>
        <w:ind w:left="0"/>
        <w:contextualSpacing w:val="0"/>
        <w:rPr>
          <w:lang w:val="fr-CA"/>
        </w:rPr>
      </w:pPr>
    </w:p>
    <w:p w:rsidR="00EC1E65" w:rsidRPr="008F040A" w:rsidRDefault="00EC1E65" w:rsidP="00EC1E65">
      <w:pPr>
        <w:pStyle w:val="Citation-AltC"/>
        <w:tabs>
          <w:tab w:val="left" w:pos="1170"/>
        </w:tabs>
        <w:spacing w:after="240"/>
        <w:ind w:left="0"/>
        <w:contextualSpacing w:val="0"/>
        <w:rPr>
          <w:lang w:val="fr-CA"/>
        </w:rPr>
      </w:pPr>
      <w:r>
        <w:rPr>
          <w:lang w:val="fr-CA"/>
        </w:rPr>
        <w:tab/>
        <w:t>[</w:t>
      </w:r>
      <w:r w:rsidRPr="009A4252">
        <w:rPr>
          <w:smallCaps/>
          <w:lang w:val="fr-CA"/>
        </w:rPr>
        <w:t>traduction</w:t>
      </w:r>
      <w:r>
        <w:rPr>
          <w:lang w:val="fr-CA"/>
        </w:rPr>
        <w:t>]</w:t>
      </w:r>
    </w:p>
    <w:p w:rsidR="00EC1E65" w:rsidRPr="008F040A" w:rsidRDefault="00EC1E65" w:rsidP="00EC1E65">
      <w:pPr>
        <w:pStyle w:val="Citation-AltC"/>
        <w:spacing w:after="240"/>
        <w:ind w:hanging="1166"/>
        <w:contextualSpacing w:val="0"/>
        <w:rPr>
          <w:lang w:val="fr-CA"/>
        </w:rPr>
      </w:pPr>
      <w:r w:rsidRPr="008F040A">
        <w:rPr>
          <w:b/>
          <w:lang w:val="fr-CA"/>
        </w:rPr>
        <w:tab/>
        <w:t>3.</w:t>
      </w:r>
      <w:r w:rsidRPr="008F040A">
        <w:rPr>
          <w:lang w:val="fr-CA"/>
        </w:rPr>
        <w:t xml:space="preserve"> </w:t>
      </w:r>
      <w:r w:rsidRPr="008F040A">
        <w:rPr>
          <w:b/>
          <w:lang w:val="fr-CA"/>
        </w:rPr>
        <w:t>HONORAIRES D’INTERMÉDIATION</w:t>
      </w:r>
    </w:p>
    <w:p w:rsidR="00EC1E65" w:rsidRPr="008F040A" w:rsidRDefault="00EC1E65" w:rsidP="00EC1E65">
      <w:pPr>
        <w:pStyle w:val="Citation-AltC"/>
        <w:tabs>
          <w:tab w:val="left" w:pos="1800"/>
        </w:tabs>
        <w:ind w:hanging="1166"/>
        <w:rPr>
          <w:u w:val="single"/>
          <w:lang w:val="fr-CA"/>
        </w:rPr>
      </w:pPr>
      <w:r w:rsidRPr="008F040A">
        <w:rPr>
          <w:lang w:val="fr-CA"/>
        </w:rPr>
        <w:tab/>
        <w:t>3.1</w:t>
      </w:r>
      <w:r w:rsidRPr="008F040A">
        <w:rPr>
          <w:lang w:val="fr-CA"/>
        </w:rPr>
        <w:tab/>
        <w:t>. . . la société convient qu’à la conclusion d’une acquisition qui lui a été présentée par l’intermédiaire, elle verse à l’intermédiaire des honoraires (des « honoraires d’intermédiation »), calculés en fonction de la contrepartie versée au vendeur, dont le montant est égal au plafond payable conformément aux règles et politiques de la Bourse de croissance TSX. Ces honoraires d’intermédiation sont versés en actions de la société en fonction du cours ou, au choix de l’intermédiaire, en actions et en argent, dans la mesure où le montant des honoraires n’excède pas le plafond énoncé au point 3.3 de la politique 5.1 de la Bourse — Plafond des honoraires d’intermédiation.</w:t>
      </w:r>
    </w:p>
    <w:p w:rsidR="00EC1E65" w:rsidRPr="008F040A" w:rsidRDefault="00EC1E65" w:rsidP="00EC1E65">
      <w:pPr>
        <w:pStyle w:val="Title1LevelTitre1Niveau-AltL"/>
        <w:numPr>
          <w:ilvl w:val="0"/>
          <w:numId w:val="0"/>
        </w:numPr>
        <w:jc w:val="center"/>
        <w:rPr>
          <w:rFonts w:cs="Times New Roman"/>
          <w:b/>
          <w:u w:val="none"/>
          <w:lang w:val="fr-CA"/>
        </w:rPr>
      </w:pPr>
      <w:bookmarkStart w:id="237" w:name="_Toc394565852"/>
      <w:bookmarkStart w:id="238" w:name="_Toc388713994"/>
      <w:bookmarkStart w:id="239" w:name="_Toc389040915"/>
      <w:bookmarkStart w:id="240" w:name="_Toc389781729"/>
      <w:bookmarkStart w:id="241" w:name="_Toc390243260"/>
      <w:bookmarkStart w:id="242" w:name="_Toc390339587"/>
      <w:bookmarkStart w:id="243" w:name="_Toc390440421"/>
      <w:bookmarkStart w:id="244" w:name="_Toc390605562"/>
      <w:bookmarkStart w:id="245" w:name="_Toc390614598"/>
      <w:r w:rsidRPr="008F040A">
        <w:rPr>
          <w:rFonts w:cs="Times New Roman"/>
          <w:b/>
          <w:u w:val="none"/>
          <w:lang w:val="fr-CA"/>
        </w:rPr>
        <w:t>ANNEXE II</w:t>
      </w:r>
      <w:bookmarkEnd w:id="237"/>
    </w:p>
    <w:p w:rsidR="00EC1E65" w:rsidRPr="008F040A" w:rsidRDefault="00EC1E65" w:rsidP="00EC1E65">
      <w:pPr>
        <w:pStyle w:val="Title1LevelTitre1Niveau-AltL"/>
        <w:numPr>
          <w:ilvl w:val="0"/>
          <w:numId w:val="0"/>
        </w:numPr>
        <w:jc w:val="both"/>
        <w:rPr>
          <w:rFonts w:cs="Times New Roman"/>
          <w:lang w:val="fr-CA"/>
        </w:rPr>
      </w:pPr>
      <w:bookmarkStart w:id="246" w:name="_Toc394565853"/>
      <w:r w:rsidRPr="008F040A">
        <w:rPr>
          <w:rFonts w:cs="Times New Roman"/>
          <w:lang w:val="fr-CA"/>
        </w:rPr>
        <w:t>Point 3.3 de la politique 5.1 de la Bourse de croissance TSX : Emprunts, primes, honoraires d’intermédiation et commissions</w:t>
      </w:r>
      <w:bookmarkEnd w:id="246"/>
      <w:r w:rsidRPr="008F040A">
        <w:rPr>
          <w:rFonts w:cs="Times New Roman"/>
          <w:lang w:val="fr-CA"/>
        </w:rPr>
        <w:t xml:space="preserve"> </w:t>
      </w:r>
      <w:bookmarkEnd w:id="238"/>
      <w:bookmarkEnd w:id="239"/>
      <w:bookmarkEnd w:id="240"/>
      <w:bookmarkEnd w:id="241"/>
      <w:bookmarkEnd w:id="242"/>
      <w:bookmarkEnd w:id="243"/>
      <w:bookmarkEnd w:id="244"/>
      <w:bookmarkEnd w:id="245"/>
    </w:p>
    <w:p w:rsidR="00EC1E65" w:rsidRDefault="00EC1E65" w:rsidP="00EC1E65">
      <w:pPr>
        <w:pStyle w:val="Citation-AltC"/>
        <w:ind w:left="990" w:hanging="1166"/>
        <w:rPr>
          <w:b/>
          <w:lang w:val="fr-CA"/>
        </w:rPr>
      </w:pPr>
      <w:r w:rsidRPr="008F040A">
        <w:rPr>
          <w:b/>
          <w:lang w:val="fr-CA"/>
        </w:rPr>
        <w:tab/>
        <w:t>3.3</w:t>
      </w:r>
      <w:r w:rsidRPr="008F040A">
        <w:rPr>
          <w:b/>
          <w:lang w:val="fr-CA"/>
        </w:rPr>
        <w:tab/>
        <w:t xml:space="preserve">Plafond des honoraires d’intermédiation </w:t>
      </w:r>
    </w:p>
    <w:p w:rsidR="00EC1E65" w:rsidRPr="008F040A" w:rsidRDefault="00EC1E65" w:rsidP="00EC1E65">
      <w:pPr>
        <w:pStyle w:val="Citation-AltC"/>
        <w:ind w:left="990" w:hanging="1166"/>
        <w:rPr>
          <w:b/>
          <w:lang w:val="fr-CA"/>
        </w:rPr>
      </w:pPr>
    </w:p>
    <w:p w:rsidR="00EC1E65" w:rsidRPr="008F040A" w:rsidRDefault="00EC1E65" w:rsidP="00EC1E65">
      <w:pPr>
        <w:pStyle w:val="Citation-AltC"/>
        <w:spacing w:after="240"/>
        <w:ind w:left="990"/>
        <w:contextualSpacing w:val="0"/>
        <w:rPr>
          <w:lang w:val="fr-CA"/>
        </w:rPr>
      </w:pPr>
      <w:r w:rsidRPr="008F040A">
        <w:rPr>
          <w:lang w:val="fr-CA"/>
        </w:rPr>
        <w:t xml:space="preserve">Les honoraires d’intermédiation sont assujettis à un plafond si l’avantage que retire l’émetteur prend la forme d’un achat ou d’une vente d’actifs ou d’une convention de coentreprise, ou si son avantage n’est pas lié à un financement précis. La contrepartie devrait être exprimée à la fois en valeur monétaire et en pourcentage de la valeur de l’avantage reçu. Sauf dans des circonstances exceptionnelles, les honoraires d’intermédiation ne doivent pas dépasser les pourcentages suivants : </w:t>
      </w:r>
    </w:p>
    <w:tbl>
      <w:tblPr>
        <w:tblStyle w:val="TableGrid"/>
        <w:tblW w:w="0" w:type="auto"/>
        <w:tblInd w:w="1166" w:type="dxa"/>
        <w:tblLook w:val="04A0" w:firstRow="1" w:lastRow="0" w:firstColumn="1" w:lastColumn="0" w:noHBand="0" w:noVBand="1"/>
      </w:tblPr>
      <w:tblGrid>
        <w:gridCol w:w="3473"/>
        <w:gridCol w:w="3631"/>
      </w:tblGrid>
      <w:tr w:rsidR="00EC1E65" w:rsidRPr="008F040A" w:rsidTr="002B419E">
        <w:trPr>
          <w:trHeight w:val="350"/>
        </w:trPr>
        <w:tc>
          <w:tcPr>
            <w:tcW w:w="4227" w:type="dxa"/>
          </w:tcPr>
          <w:p w:rsidR="00EC1E65" w:rsidRPr="008F040A" w:rsidRDefault="00EC1E65" w:rsidP="002B419E">
            <w:pPr>
              <w:pStyle w:val="Citation-AltC"/>
              <w:spacing w:after="0"/>
              <w:ind w:left="0"/>
              <w:contextualSpacing w:val="0"/>
              <w:jc w:val="center"/>
              <w:rPr>
                <w:lang w:val="fr-CA"/>
              </w:rPr>
            </w:pPr>
            <w:r w:rsidRPr="008F040A">
              <w:rPr>
                <w:b/>
                <w:lang w:val="fr-CA"/>
              </w:rPr>
              <w:t>Avantage</w:t>
            </w:r>
          </w:p>
        </w:tc>
        <w:tc>
          <w:tcPr>
            <w:tcW w:w="4229" w:type="dxa"/>
          </w:tcPr>
          <w:p w:rsidR="00EC1E65" w:rsidRPr="008F040A" w:rsidRDefault="00EC1E65" w:rsidP="002B419E">
            <w:pPr>
              <w:pStyle w:val="Citation-AltC"/>
              <w:spacing w:after="0"/>
              <w:ind w:left="0"/>
              <w:contextualSpacing w:val="0"/>
              <w:jc w:val="center"/>
              <w:rPr>
                <w:b/>
                <w:lang w:val="fr-CA"/>
              </w:rPr>
            </w:pPr>
            <w:r w:rsidRPr="008F040A">
              <w:rPr>
                <w:b/>
                <w:lang w:val="fr-CA"/>
              </w:rPr>
              <w:t>Honoraires d’intermédiation</w:t>
            </w:r>
          </w:p>
        </w:tc>
      </w:tr>
      <w:tr w:rsidR="00EC1E65" w:rsidRPr="008F040A" w:rsidTr="002B419E">
        <w:trPr>
          <w:trHeight w:val="292"/>
        </w:trPr>
        <w:tc>
          <w:tcPr>
            <w:tcW w:w="4227" w:type="dxa"/>
          </w:tcPr>
          <w:p w:rsidR="00EC1E65" w:rsidRPr="008F040A" w:rsidRDefault="00EC1E65" w:rsidP="002B419E">
            <w:pPr>
              <w:pStyle w:val="Citation-AltC"/>
              <w:spacing w:after="0"/>
              <w:ind w:left="0"/>
              <w:contextualSpacing w:val="0"/>
              <w:jc w:val="center"/>
              <w:rPr>
                <w:lang w:val="fr-CA"/>
              </w:rPr>
            </w:pPr>
            <w:r w:rsidRPr="008F040A">
              <w:rPr>
                <w:lang w:val="fr-CA"/>
              </w:rPr>
              <w:t>300 000 $ et moins</w:t>
            </w:r>
          </w:p>
        </w:tc>
        <w:tc>
          <w:tcPr>
            <w:tcW w:w="4229" w:type="dxa"/>
          </w:tcPr>
          <w:p w:rsidR="00EC1E65" w:rsidRPr="008F040A" w:rsidRDefault="00EC1E65" w:rsidP="002B419E">
            <w:pPr>
              <w:pStyle w:val="Citation-AltC"/>
              <w:spacing w:after="0"/>
              <w:ind w:left="0"/>
              <w:contextualSpacing w:val="0"/>
              <w:jc w:val="center"/>
              <w:rPr>
                <w:lang w:val="fr-CA"/>
              </w:rPr>
            </w:pPr>
            <w:r w:rsidRPr="008F040A">
              <w:rPr>
                <w:lang w:val="fr-CA"/>
              </w:rPr>
              <w:t>Jusqu’à 10 %</w:t>
            </w:r>
          </w:p>
        </w:tc>
      </w:tr>
      <w:tr w:rsidR="00EC1E65" w:rsidRPr="008F040A" w:rsidTr="002B419E">
        <w:tc>
          <w:tcPr>
            <w:tcW w:w="4227" w:type="dxa"/>
          </w:tcPr>
          <w:p w:rsidR="00EC1E65" w:rsidRPr="008F040A" w:rsidRDefault="00EC1E65" w:rsidP="002B419E">
            <w:pPr>
              <w:pStyle w:val="Citation-AltC"/>
              <w:spacing w:after="0"/>
              <w:ind w:left="0"/>
              <w:contextualSpacing w:val="0"/>
              <w:jc w:val="center"/>
              <w:rPr>
                <w:lang w:val="fr-CA"/>
              </w:rPr>
            </w:pPr>
            <w:r w:rsidRPr="008F040A">
              <w:rPr>
                <w:lang w:val="fr-CA"/>
              </w:rPr>
              <w:t>Entre 300 000  $ et 1 000 000 $</w:t>
            </w:r>
          </w:p>
        </w:tc>
        <w:tc>
          <w:tcPr>
            <w:tcW w:w="4229" w:type="dxa"/>
          </w:tcPr>
          <w:p w:rsidR="00EC1E65" w:rsidRPr="008F040A" w:rsidRDefault="00EC1E65" w:rsidP="002B419E">
            <w:pPr>
              <w:pStyle w:val="Citation-AltC"/>
              <w:spacing w:after="0"/>
              <w:ind w:left="0"/>
              <w:contextualSpacing w:val="0"/>
              <w:jc w:val="center"/>
              <w:rPr>
                <w:lang w:val="fr-CA"/>
              </w:rPr>
            </w:pPr>
            <w:r w:rsidRPr="008F040A">
              <w:rPr>
                <w:lang w:val="fr-CA"/>
              </w:rPr>
              <w:t>Jusqu’à 7,5 %</w:t>
            </w:r>
          </w:p>
        </w:tc>
      </w:tr>
      <w:tr w:rsidR="00EC1E65" w:rsidRPr="008F040A" w:rsidTr="002B419E">
        <w:tc>
          <w:tcPr>
            <w:tcW w:w="4227" w:type="dxa"/>
          </w:tcPr>
          <w:p w:rsidR="00EC1E65" w:rsidRPr="008F040A" w:rsidRDefault="00EC1E65" w:rsidP="002B419E">
            <w:pPr>
              <w:pStyle w:val="Citation-AltC"/>
              <w:spacing w:after="0"/>
              <w:ind w:left="0"/>
              <w:contextualSpacing w:val="0"/>
              <w:jc w:val="center"/>
              <w:rPr>
                <w:lang w:val="fr-CA"/>
              </w:rPr>
            </w:pPr>
            <w:r w:rsidRPr="008F040A">
              <w:rPr>
                <w:lang w:val="fr-CA"/>
              </w:rPr>
              <w:t xml:space="preserve">1 000 000 $ et plus </w:t>
            </w:r>
          </w:p>
        </w:tc>
        <w:tc>
          <w:tcPr>
            <w:tcW w:w="4229" w:type="dxa"/>
          </w:tcPr>
          <w:p w:rsidR="00EC1E65" w:rsidRPr="008F040A" w:rsidRDefault="00EC1E65" w:rsidP="002B419E">
            <w:pPr>
              <w:pStyle w:val="Citation-AltC"/>
              <w:spacing w:after="0"/>
              <w:ind w:left="0"/>
              <w:contextualSpacing w:val="0"/>
              <w:jc w:val="center"/>
              <w:rPr>
                <w:lang w:val="fr-CA"/>
              </w:rPr>
            </w:pPr>
            <w:r w:rsidRPr="008F040A">
              <w:rPr>
                <w:lang w:val="fr-CA"/>
              </w:rPr>
              <w:t>Jusqu’à 5 %</w:t>
            </w:r>
          </w:p>
        </w:tc>
      </w:tr>
    </w:tbl>
    <w:p w:rsidR="00EC1E65" w:rsidRPr="008F040A" w:rsidRDefault="00EC1E65" w:rsidP="00EC1E65">
      <w:pPr>
        <w:pStyle w:val="Citation-AltC"/>
        <w:spacing w:before="480"/>
        <w:ind w:left="990" w:hanging="1168"/>
        <w:contextualSpacing w:val="0"/>
        <w:rPr>
          <w:lang w:val="fr-CA"/>
        </w:rPr>
      </w:pPr>
      <w:r w:rsidRPr="008F040A">
        <w:rPr>
          <w:lang w:val="fr-CA"/>
        </w:rPr>
        <w:lastRenderedPageBreak/>
        <w:tab/>
        <w:t>De façon générale, les honoraires ou la commission, exprimés en pourcentage de la valeur monétaire de l’avantage, devraient être inversement proportionnels à cette valeur.</w:t>
      </w:r>
    </w:p>
    <w:p w:rsidR="00EC1E65" w:rsidRPr="008F040A" w:rsidRDefault="00EC1E65" w:rsidP="00EC1E65">
      <w:pPr>
        <w:pStyle w:val="Title1LevelTitre1Niveau-AltL"/>
        <w:numPr>
          <w:ilvl w:val="0"/>
          <w:numId w:val="0"/>
        </w:numPr>
        <w:jc w:val="center"/>
        <w:rPr>
          <w:rFonts w:cs="Times New Roman"/>
          <w:b/>
          <w:u w:val="none"/>
          <w:lang w:val="fr-CA"/>
        </w:rPr>
      </w:pPr>
      <w:bookmarkStart w:id="247" w:name="_Toc394565854"/>
      <w:bookmarkStart w:id="248" w:name="_Toc388713995"/>
      <w:bookmarkStart w:id="249" w:name="_Toc389040916"/>
      <w:bookmarkStart w:id="250" w:name="_Toc389781730"/>
      <w:bookmarkStart w:id="251" w:name="_Toc390243261"/>
      <w:bookmarkStart w:id="252" w:name="_Toc390339588"/>
      <w:bookmarkStart w:id="253" w:name="_Toc390440422"/>
      <w:bookmarkStart w:id="254" w:name="_Toc390605563"/>
      <w:bookmarkStart w:id="255" w:name="_Toc390614599"/>
      <w:r w:rsidRPr="008F040A">
        <w:rPr>
          <w:rFonts w:cs="Times New Roman"/>
          <w:b/>
          <w:u w:val="none"/>
          <w:lang w:val="fr-CA"/>
        </w:rPr>
        <w:t>ANNEXE III</w:t>
      </w:r>
      <w:bookmarkEnd w:id="247"/>
    </w:p>
    <w:p w:rsidR="00EC1E65" w:rsidRPr="008F040A" w:rsidRDefault="00EC1E65" w:rsidP="00EC1E65">
      <w:pPr>
        <w:pStyle w:val="Title1LevelTitre1Niveau-AltL"/>
        <w:numPr>
          <w:ilvl w:val="0"/>
          <w:numId w:val="0"/>
        </w:numPr>
        <w:jc w:val="both"/>
        <w:rPr>
          <w:rFonts w:cs="Times New Roman"/>
          <w:lang w:val="fr-CA"/>
        </w:rPr>
      </w:pPr>
      <w:bookmarkStart w:id="256" w:name="_Toc394565855"/>
      <w:r w:rsidRPr="008F040A">
        <w:rPr>
          <w:rFonts w:cs="Times New Roman"/>
          <w:i/>
          <w:lang w:val="fr-CA"/>
        </w:rPr>
        <w:t>Commercial Arbitration Act</w:t>
      </w:r>
      <w:r w:rsidRPr="008F040A">
        <w:rPr>
          <w:rFonts w:cs="Times New Roman"/>
          <w:lang w:val="fr-CA"/>
        </w:rPr>
        <w:t>, R.S.B.C. 1996, ch. 55 (dans sa version du 12 janvier 2007)</w:t>
      </w:r>
      <w:bookmarkEnd w:id="248"/>
      <w:bookmarkEnd w:id="249"/>
      <w:bookmarkEnd w:id="250"/>
      <w:bookmarkEnd w:id="251"/>
      <w:bookmarkEnd w:id="252"/>
      <w:bookmarkEnd w:id="253"/>
      <w:bookmarkEnd w:id="254"/>
      <w:bookmarkEnd w:id="255"/>
      <w:r w:rsidRPr="008F040A">
        <w:rPr>
          <w:rFonts w:cs="Times New Roman"/>
          <w:lang w:val="fr-CA"/>
        </w:rPr>
        <w:t xml:space="preserve"> (maintenant l’</w:t>
      </w:r>
      <w:r w:rsidRPr="008F040A">
        <w:rPr>
          <w:rFonts w:cs="Times New Roman"/>
          <w:i/>
          <w:lang w:val="fr-CA"/>
        </w:rPr>
        <w:t>Arbitration Act</w:t>
      </w:r>
      <w:r w:rsidRPr="008F040A">
        <w:rPr>
          <w:rFonts w:cs="Times New Roman"/>
          <w:lang w:val="fr-CA"/>
        </w:rPr>
        <w:t>)</w:t>
      </w:r>
      <w:bookmarkEnd w:id="256"/>
      <w:r w:rsidRPr="008F040A">
        <w:rPr>
          <w:rFonts w:cs="Times New Roman"/>
          <w:lang w:val="fr-CA"/>
        </w:rPr>
        <w:t xml:space="preserve"> </w:t>
      </w:r>
    </w:p>
    <w:p w:rsidR="00EC1E65" w:rsidRPr="008F040A" w:rsidRDefault="00EC1E65" w:rsidP="00EC1E65">
      <w:pPr>
        <w:pStyle w:val="Citation-AltC"/>
        <w:spacing w:after="240"/>
        <w:ind w:hanging="1166"/>
        <w:contextualSpacing w:val="0"/>
        <w:rPr>
          <w:bCs/>
          <w:lang w:val="fr-CA"/>
        </w:rPr>
      </w:pPr>
      <w:r w:rsidRPr="008F040A">
        <w:rPr>
          <w:bCs/>
          <w:lang w:val="fr-CA"/>
        </w:rPr>
        <w:tab/>
        <w:t>[</w:t>
      </w:r>
      <w:r w:rsidRPr="008F040A">
        <w:rPr>
          <w:bCs/>
          <w:smallCaps/>
          <w:lang w:val="fr-CA"/>
        </w:rPr>
        <w:t>traduction</w:t>
      </w:r>
      <w:r w:rsidRPr="008F040A">
        <w:rPr>
          <w:bCs/>
          <w:lang w:val="fr-CA"/>
        </w:rPr>
        <w:t xml:space="preserve">] </w:t>
      </w:r>
    </w:p>
    <w:p w:rsidR="00EC1E65" w:rsidRPr="008F040A" w:rsidRDefault="00EC1E65" w:rsidP="00EC1E65">
      <w:pPr>
        <w:pStyle w:val="Citation-AltC"/>
        <w:spacing w:after="240"/>
        <w:ind w:hanging="1166"/>
        <w:contextualSpacing w:val="0"/>
        <w:rPr>
          <w:b/>
          <w:lang w:val="fr-CA"/>
        </w:rPr>
      </w:pPr>
      <w:r w:rsidRPr="008F040A">
        <w:rPr>
          <w:b/>
          <w:lang w:val="fr-CA"/>
        </w:rPr>
        <w:tab/>
        <w:t>Appel devant le tribunal</w:t>
      </w:r>
    </w:p>
    <w:p w:rsidR="00EC1E65" w:rsidRPr="008F040A" w:rsidRDefault="00EC1E65" w:rsidP="00EC1E65">
      <w:pPr>
        <w:pStyle w:val="Citation-AltC"/>
        <w:tabs>
          <w:tab w:val="left" w:pos="2250"/>
          <w:tab w:val="left" w:pos="2880"/>
        </w:tabs>
        <w:spacing w:after="240"/>
        <w:ind w:left="2880" w:hanging="1197"/>
        <w:contextualSpacing w:val="0"/>
        <w:rPr>
          <w:b/>
          <w:lang w:val="fr-CA"/>
        </w:rPr>
      </w:pPr>
      <w:r w:rsidRPr="008F040A">
        <w:rPr>
          <w:b/>
          <w:lang w:val="fr-CA"/>
        </w:rPr>
        <w:t>31</w:t>
      </w:r>
      <w:r w:rsidRPr="008F040A">
        <w:rPr>
          <w:b/>
          <w:lang w:val="fr-CA"/>
        </w:rPr>
        <w:tab/>
      </w:r>
      <w:r>
        <w:rPr>
          <w:lang w:val="fr-CA"/>
        </w:rPr>
        <w:t>(1)</w:t>
      </w:r>
      <w:r>
        <w:rPr>
          <w:lang w:val="fr-CA"/>
        </w:rPr>
        <w:tab/>
      </w:r>
      <w:r w:rsidRPr="008F040A">
        <w:rPr>
          <w:lang w:val="fr-CA"/>
        </w:rPr>
        <w:t xml:space="preserve">Une partie à l’arbitrage peut interjeter appel au tribunal sur toute question de droit découlant de la sentence si, selon le cas : </w:t>
      </w:r>
    </w:p>
    <w:p w:rsidR="00EC1E65" w:rsidRDefault="00EC1E65" w:rsidP="00EC1E65">
      <w:pPr>
        <w:pStyle w:val="Citation-AltC"/>
        <w:tabs>
          <w:tab w:val="left" w:pos="3330"/>
        </w:tabs>
        <w:spacing w:after="240"/>
        <w:ind w:left="3240" w:hanging="360"/>
        <w:contextualSpacing w:val="0"/>
        <w:rPr>
          <w:lang w:val="fr-CA"/>
        </w:rPr>
      </w:pPr>
      <w:r>
        <w:rPr>
          <w:lang w:val="fr-CA"/>
        </w:rPr>
        <w:t>(a)</w:t>
      </w:r>
      <w:r>
        <w:rPr>
          <w:lang w:val="fr-CA"/>
        </w:rPr>
        <w:tab/>
      </w:r>
      <w:r w:rsidRPr="00917926">
        <w:rPr>
          <w:lang w:val="fr-CA"/>
        </w:rPr>
        <w:t>toutes</w:t>
      </w:r>
      <w:r w:rsidRPr="008F040A">
        <w:rPr>
          <w:lang w:val="fr-CA"/>
        </w:rPr>
        <w:t xml:space="preserve"> les parties à l’arbitrage y consentent, </w:t>
      </w:r>
    </w:p>
    <w:p w:rsidR="00EC1E65" w:rsidRDefault="00EC1E65" w:rsidP="00EC1E65">
      <w:pPr>
        <w:pStyle w:val="Citation-AltC"/>
        <w:tabs>
          <w:tab w:val="left" w:pos="3330"/>
        </w:tabs>
        <w:spacing w:after="240"/>
        <w:ind w:left="3240" w:hanging="360"/>
        <w:contextualSpacing w:val="0"/>
        <w:rPr>
          <w:lang w:val="fr-CA"/>
        </w:rPr>
      </w:pPr>
      <w:r>
        <w:rPr>
          <w:lang w:val="fr-CA"/>
        </w:rPr>
        <w:t>(</w:t>
      </w:r>
      <w:r w:rsidRPr="008F040A">
        <w:rPr>
          <w:lang w:val="fr-CA"/>
        </w:rPr>
        <w:t>b)</w:t>
      </w:r>
      <w:r>
        <w:rPr>
          <w:lang w:val="fr-CA"/>
        </w:rPr>
        <w:tab/>
      </w:r>
      <w:r w:rsidRPr="008F040A">
        <w:rPr>
          <w:lang w:val="fr-CA"/>
        </w:rPr>
        <w:t xml:space="preserve">le </w:t>
      </w:r>
      <w:r w:rsidRPr="00917926">
        <w:rPr>
          <w:lang w:val="fr-CA"/>
        </w:rPr>
        <w:t>tribunal</w:t>
      </w:r>
      <w:r w:rsidRPr="008F040A">
        <w:rPr>
          <w:lang w:val="fr-CA"/>
        </w:rPr>
        <w:t xml:space="preserve"> accorde l’autorisation.</w:t>
      </w:r>
    </w:p>
    <w:p w:rsidR="00EC1E65" w:rsidRPr="008F040A" w:rsidRDefault="00EC1E65" w:rsidP="00EC1E65">
      <w:pPr>
        <w:pStyle w:val="Citation-AltC"/>
        <w:spacing w:after="240"/>
        <w:ind w:left="2835" w:hanging="567"/>
        <w:contextualSpacing w:val="0"/>
        <w:rPr>
          <w:lang w:val="fr-CA"/>
        </w:rPr>
      </w:pPr>
      <w:r w:rsidRPr="008F040A">
        <w:rPr>
          <w:lang w:val="fr-CA"/>
        </w:rPr>
        <w:t>(2)</w:t>
      </w:r>
      <w:r w:rsidRPr="008F040A">
        <w:rPr>
          <w:lang w:val="fr-CA"/>
        </w:rPr>
        <w:tab/>
        <w:t xml:space="preserve">Relativement à une demande d’autorisation présentée en vertu de l’alinéa (1)(b), le tribunal peut accorder l’autorisation s’il estime que, selon le cas : </w:t>
      </w:r>
    </w:p>
    <w:p w:rsidR="00EC1E65" w:rsidRDefault="00EC1E65" w:rsidP="00EC1E65">
      <w:pPr>
        <w:pStyle w:val="Citation-AltC"/>
        <w:tabs>
          <w:tab w:val="left" w:pos="3330"/>
        </w:tabs>
        <w:spacing w:after="240"/>
        <w:ind w:left="3240" w:hanging="360"/>
        <w:contextualSpacing w:val="0"/>
        <w:rPr>
          <w:lang w:val="fr-CA"/>
        </w:rPr>
      </w:pPr>
      <w:r w:rsidRPr="00917926">
        <w:rPr>
          <w:lang w:val="fr-CA"/>
        </w:rPr>
        <w:t>(a)</w:t>
      </w:r>
      <w:r w:rsidRPr="00917926">
        <w:rPr>
          <w:lang w:val="fr-CA"/>
        </w:rPr>
        <w:tab/>
        <w:t>l’importance</w:t>
      </w:r>
      <w:r w:rsidRPr="008F040A">
        <w:rPr>
          <w:lang w:val="fr-CA"/>
        </w:rPr>
        <w:t xml:space="preserve"> de l’issue de l’arbitrage pour les parties justifie son intervention et que le règlement de la question de droit peut permettre d’éviter une erreur judiciaire, </w:t>
      </w:r>
    </w:p>
    <w:p w:rsidR="00EC1E65" w:rsidRPr="008F040A" w:rsidRDefault="00EC1E65" w:rsidP="00EC1E65">
      <w:pPr>
        <w:pStyle w:val="Citation-AltC"/>
        <w:tabs>
          <w:tab w:val="left" w:pos="3330"/>
        </w:tabs>
        <w:spacing w:after="240"/>
        <w:ind w:left="3240" w:hanging="360"/>
        <w:contextualSpacing w:val="0"/>
        <w:rPr>
          <w:lang w:val="fr-CA"/>
        </w:rPr>
      </w:pPr>
      <w:r>
        <w:rPr>
          <w:lang w:val="fr-CA"/>
        </w:rPr>
        <w:t>(b)</w:t>
      </w:r>
      <w:r>
        <w:rPr>
          <w:lang w:val="fr-CA"/>
        </w:rPr>
        <w:tab/>
      </w:r>
      <w:r w:rsidRPr="008F040A">
        <w:rPr>
          <w:lang w:val="fr-CA"/>
        </w:rPr>
        <w:t xml:space="preserve">la question de droit revêt de l’importance pour une catégorie ou un groupe de personnes dont le demandeur fait partie, </w:t>
      </w:r>
    </w:p>
    <w:p w:rsidR="00EC1E65" w:rsidRPr="008F040A" w:rsidRDefault="00EC1E65" w:rsidP="00EC1E65">
      <w:pPr>
        <w:pStyle w:val="Citation-AltC"/>
        <w:tabs>
          <w:tab w:val="left" w:pos="3330"/>
        </w:tabs>
        <w:spacing w:after="240"/>
        <w:ind w:left="3240" w:hanging="360"/>
        <w:contextualSpacing w:val="0"/>
        <w:rPr>
          <w:lang w:val="fr-CA"/>
        </w:rPr>
      </w:pPr>
      <w:r>
        <w:rPr>
          <w:lang w:val="fr-CA"/>
        </w:rPr>
        <w:t>(c)</w:t>
      </w:r>
      <w:r>
        <w:rPr>
          <w:lang w:val="fr-CA"/>
        </w:rPr>
        <w:tab/>
      </w:r>
      <w:r w:rsidRPr="008F040A">
        <w:rPr>
          <w:lang w:val="fr-CA"/>
        </w:rPr>
        <w:t>la question de droit est d’importance publique.</w:t>
      </w:r>
    </w:p>
    <w:p w:rsidR="00EC1E65" w:rsidRPr="008F040A" w:rsidRDefault="00EC1E65" w:rsidP="00EC1E65">
      <w:pPr>
        <w:pStyle w:val="Citation-AltC"/>
        <w:spacing w:after="240"/>
        <w:ind w:left="2835" w:hanging="567"/>
        <w:contextualSpacing w:val="0"/>
        <w:rPr>
          <w:lang w:val="fr-CA"/>
        </w:rPr>
      </w:pPr>
      <w:r w:rsidRPr="008F040A">
        <w:rPr>
          <w:lang w:val="fr-CA"/>
        </w:rPr>
        <w:t>(3)</w:t>
      </w:r>
      <w:r w:rsidRPr="008F040A">
        <w:rPr>
          <w:lang w:val="fr-CA"/>
        </w:rPr>
        <w:tab/>
        <w:t>Si le tribunal accorde l’autorisation en vertu du présent article, il peut assortir des conditions qu’il estime équitables l’ordonnance accordant l’autorisation.</w:t>
      </w:r>
    </w:p>
    <w:p w:rsidR="00EC1E65" w:rsidRPr="008F040A" w:rsidRDefault="00EC1E65" w:rsidP="00EC1E65">
      <w:pPr>
        <w:pStyle w:val="Citation-AltC"/>
        <w:spacing w:after="240"/>
        <w:ind w:left="2835" w:hanging="567"/>
        <w:contextualSpacing w:val="0"/>
        <w:rPr>
          <w:lang w:val="fr-CA"/>
        </w:rPr>
      </w:pPr>
      <w:r w:rsidRPr="008F040A">
        <w:rPr>
          <w:lang w:val="fr-CA"/>
        </w:rPr>
        <w:t>(4)</w:t>
      </w:r>
      <w:r w:rsidRPr="008F040A">
        <w:rPr>
          <w:lang w:val="fr-CA"/>
        </w:rPr>
        <w:tab/>
        <w:t xml:space="preserve">En appel, le tribunal peut, selon le cas : </w:t>
      </w:r>
    </w:p>
    <w:p w:rsidR="00EC1E65" w:rsidRPr="008F040A" w:rsidRDefault="00EC1E65" w:rsidP="00EC1E65">
      <w:pPr>
        <w:pStyle w:val="Citation-AltC"/>
        <w:tabs>
          <w:tab w:val="left" w:pos="3330"/>
        </w:tabs>
        <w:spacing w:after="240"/>
        <w:ind w:left="3240" w:hanging="360"/>
        <w:contextualSpacing w:val="0"/>
        <w:rPr>
          <w:lang w:val="fr-CA"/>
        </w:rPr>
      </w:pPr>
      <w:r>
        <w:rPr>
          <w:lang w:val="fr-CA"/>
        </w:rPr>
        <w:t>(a)</w:t>
      </w:r>
      <w:r>
        <w:rPr>
          <w:lang w:val="fr-CA"/>
        </w:rPr>
        <w:tab/>
      </w:r>
      <w:r w:rsidRPr="008F040A">
        <w:rPr>
          <w:lang w:val="fr-CA"/>
        </w:rPr>
        <w:t>confirmer, modifier ou annuler la sentence,</w:t>
      </w:r>
    </w:p>
    <w:p w:rsidR="00EC1E65" w:rsidRPr="003C02CB" w:rsidRDefault="00EC1E65" w:rsidP="00EC1E65">
      <w:pPr>
        <w:pStyle w:val="Citation-AltC"/>
        <w:tabs>
          <w:tab w:val="left" w:pos="3330"/>
        </w:tabs>
        <w:ind w:left="3240" w:hanging="360"/>
        <w:contextualSpacing w:val="0"/>
        <w:rPr>
          <w:lang w:val="fr-CA"/>
        </w:rPr>
      </w:pPr>
      <w:r>
        <w:rPr>
          <w:lang w:val="fr-CA"/>
        </w:rPr>
        <w:lastRenderedPageBreak/>
        <w:t>(b)</w:t>
      </w:r>
      <w:r>
        <w:rPr>
          <w:lang w:val="fr-CA"/>
        </w:rPr>
        <w:tab/>
      </w:r>
      <w:r w:rsidRPr="003C02CB">
        <w:rPr>
          <w:lang w:val="fr-CA"/>
        </w:rPr>
        <w:t>renvoyer la sentence à l’arbitre avec l’opinion du tribunal sur la question de droit qui a fait l’objet de l’appel.</w:t>
      </w:r>
    </w:p>
    <w:p w:rsidR="00EC1E65" w:rsidRPr="005E608F" w:rsidRDefault="00EC1E65" w:rsidP="00EC1E65">
      <w:pPr>
        <w:pStyle w:val="SCCNormalDoubleSpacing"/>
        <w:spacing w:after="480"/>
        <w:rPr>
          <w:lang w:val="fr-CA"/>
        </w:rPr>
      </w:pPr>
      <w:r w:rsidRPr="005E608F">
        <w:rPr>
          <w:lang w:val="fr-CA"/>
        </w:rPr>
        <w:tab/>
      </w:r>
      <w:r w:rsidRPr="005E608F">
        <w:rPr>
          <w:i/>
          <w:lang w:val="fr-CA"/>
        </w:rPr>
        <w:t>Pourvoi accueilli avec dépens devant toutes les cours.</w:t>
      </w:r>
    </w:p>
    <w:p w:rsidR="00EC1E65" w:rsidRPr="005E608F" w:rsidRDefault="00EC1E65" w:rsidP="00EC1E65">
      <w:pPr>
        <w:pStyle w:val="SCCLawFirm"/>
        <w:spacing w:after="480"/>
        <w:rPr>
          <w:lang w:val="fr-CA"/>
        </w:rPr>
      </w:pPr>
      <w:r w:rsidRPr="005E608F">
        <w:rPr>
          <w:lang w:val="fr-CA"/>
        </w:rPr>
        <w:tab/>
        <w:t>Procureurs de l’appelante : McCarthy Tétrault, Vancouver.</w:t>
      </w:r>
    </w:p>
    <w:p w:rsidR="00EC1E65" w:rsidRPr="005E608F" w:rsidRDefault="00EC1E65" w:rsidP="00EC1E65">
      <w:pPr>
        <w:pStyle w:val="SCCLawFirm"/>
        <w:spacing w:after="480"/>
        <w:rPr>
          <w:lang w:val="fr-CA"/>
        </w:rPr>
      </w:pPr>
      <w:r w:rsidRPr="005E608F">
        <w:rPr>
          <w:lang w:val="fr-CA"/>
        </w:rPr>
        <w:tab/>
        <w:t>Procureurs de l’intimée : Miller Thomson, Vancouver.</w:t>
      </w:r>
    </w:p>
    <w:p w:rsidR="00EC1E65" w:rsidRPr="005E608F" w:rsidRDefault="00EC1E65" w:rsidP="00EC1E65">
      <w:pPr>
        <w:pStyle w:val="SCCLawFirm"/>
        <w:spacing w:after="480"/>
        <w:rPr>
          <w:lang w:val="fr-CA"/>
        </w:rPr>
      </w:pPr>
      <w:r w:rsidRPr="005E608F">
        <w:rPr>
          <w:lang w:val="fr-CA"/>
        </w:rPr>
        <w:tab/>
        <w:t>Procureur de l’intervenant le procureur général de la Colombie</w:t>
      </w:r>
      <w:r w:rsidRPr="005E608F">
        <w:rPr>
          <w:lang w:val="fr-CA"/>
        </w:rPr>
        <w:noBreakHyphen/>
        <w:t>Britannique : Procureur général de la Colombie</w:t>
      </w:r>
      <w:r w:rsidRPr="005E608F">
        <w:rPr>
          <w:lang w:val="fr-CA"/>
        </w:rPr>
        <w:noBreakHyphen/>
        <w:t>Britannique, Victoria.</w:t>
      </w:r>
    </w:p>
    <w:p w:rsidR="00EC1E65" w:rsidRPr="00917926" w:rsidRDefault="00EC1E65" w:rsidP="00EC1E65">
      <w:pPr>
        <w:pStyle w:val="SCCNormalDoubleSpacing"/>
        <w:spacing w:after="480"/>
        <w:rPr>
          <w:i/>
          <w:lang w:val="fr-CA"/>
        </w:rPr>
      </w:pPr>
      <w:r w:rsidRPr="00917926">
        <w:rPr>
          <w:i/>
          <w:lang w:val="fr-CA"/>
        </w:rPr>
        <w:tab/>
        <w:t>Procureurs de l’intervenante BCICAC Foundation : Fasken Martineau DuMoulin, Vancouver.</w:t>
      </w:r>
    </w:p>
    <w:sectPr w:rsidR="00EC1E65" w:rsidRPr="00917926" w:rsidSect="00B26CE0">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47" w:rsidRDefault="006D7447" w:rsidP="00F6503D">
      <w:r>
        <w:separator/>
      </w:r>
    </w:p>
  </w:endnote>
  <w:endnote w:type="continuationSeparator" w:id="0">
    <w:p w:rsidR="006D7447" w:rsidRDefault="006D7447" w:rsidP="00F6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47" w:rsidRDefault="006D7447" w:rsidP="00F6503D">
      <w:r>
        <w:separator/>
      </w:r>
    </w:p>
  </w:footnote>
  <w:footnote w:type="continuationSeparator" w:id="0">
    <w:p w:rsidR="006D7447" w:rsidRDefault="006D7447" w:rsidP="00F6503D">
      <w:r>
        <w:continuationSeparator/>
      </w:r>
    </w:p>
  </w:footnote>
  <w:footnote w:id="1">
    <w:p w:rsidR="0099430E" w:rsidRPr="0099430E" w:rsidRDefault="0099430E">
      <w:pPr>
        <w:pStyle w:val="FootnoteText"/>
        <w:rPr>
          <w:lang w:val="fr-CA"/>
        </w:rPr>
      </w:pPr>
      <w:r w:rsidRPr="0099430E">
        <w:rPr>
          <w:rStyle w:val="FootnoteReference"/>
          <w:lang w:val="fr-CA"/>
        </w:rPr>
        <w:t>*</w:t>
      </w:r>
      <w:r w:rsidRPr="0099430E">
        <w:rPr>
          <w:lang w:val="fr-CA"/>
        </w:rPr>
        <w:t xml:space="preserve"> </w:t>
      </w:r>
      <w:proofErr w:type="gramStart"/>
      <w:r>
        <w:rPr>
          <w:lang w:val="fr-CA"/>
        </w:rPr>
        <w:t>voir</w:t>
      </w:r>
      <w:proofErr w:type="gramEnd"/>
      <w:r>
        <w:rPr>
          <w:lang w:val="fr-CA"/>
        </w:rPr>
        <w:t xml:space="preserve"> Erratum [2016] 1 R.C.S. </w:t>
      </w:r>
      <w:r w:rsidR="004173F5">
        <w:rPr>
          <w:lang w:val="fr-CA"/>
        </w:rPr>
        <w:t>i</w:t>
      </w:r>
      <w:r w:rsidR="00D33076">
        <w:rPr>
          <w:lang w:val="fr-CA"/>
        </w:rPr>
        <w:t>v</w:t>
      </w:r>
    </w:p>
  </w:footnote>
  <w:footnote w:id="2">
    <w:p w:rsidR="00302D7A" w:rsidRPr="00302D7A" w:rsidRDefault="00302D7A">
      <w:pPr>
        <w:pStyle w:val="FootnoteText"/>
        <w:rPr>
          <w:lang w:val="fr-CA"/>
        </w:rPr>
      </w:pPr>
      <w:r w:rsidRPr="00302D7A">
        <w:rPr>
          <w:rStyle w:val="FootnoteReference"/>
          <w:lang w:val="fr-CA"/>
        </w:rPr>
        <w:t>*</w:t>
      </w:r>
      <w:r w:rsidRPr="00302D7A">
        <w:rPr>
          <w:lang w:val="fr-CA"/>
        </w:rPr>
        <w:t xml:space="preserve"> </w:t>
      </w:r>
      <w:r>
        <w:rPr>
          <w:lang w:val="fr-CA"/>
        </w:rPr>
        <w:t xml:space="preserve">voir Erratum [2016] 1 R.C.S. </w:t>
      </w:r>
      <w:r w:rsidR="004173F5">
        <w:rPr>
          <w:lang w:val="fr-CA"/>
        </w:rPr>
        <w:t>i</w:t>
      </w:r>
      <w:bookmarkStart w:id="119" w:name="_GoBack"/>
      <w:bookmarkEnd w:id="119"/>
      <w:r w:rsidR="00D33076">
        <w:rPr>
          <w:lang w:val="fr-CA"/>
        </w:rPr>
        <w:t>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47" w:rsidRPr="00450352" w:rsidRDefault="006D7447" w:rsidP="00B26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0318D"/>
    <w:multiLevelType w:val="hybridMultilevel"/>
    <w:tmpl w:val="33C6A6E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2B4C52"/>
    <w:multiLevelType w:val="hybridMultilevel"/>
    <w:tmpl w:val="5BCAD2BA"/>
    <w:lvl w:ilvl="0" w:tplc="AB0ED8B0">
      <w:start w:val="1"/>
      <w:numFmt w:val="bullet"/>
      <w:lvlText w:val="•"/>
      <w:lvlJc w:val="left"/>
      <w:pPr>
        <w:ind w:left="826" w:hanging="339"/>
      </w:pPr>
      <w:rPr>
        <w:rFonts w:ascii="Arial" w:eastAsia="Arial" w:hAnsi="Arial" w:hint="default"/>
        <w:w w:val="95"/>
        <w:position w:val="-5"/>
        <w:sz w:val="36"/>
        <w:szCs w:val="36"/>
      </w:rPr>
    </w:lvl>
    <w:lvl w:ilvl="1" w:tplc="7E4A51DA">
      <w:start w:val="1"/>
      <w:numFmt w:val="bullet"/>
      <w:lvlText w:val="•"/>
      <w:lvlJc w:val="left"/>
      <w:pPr>
        <w:ind w:left="1701" w:hanging="339"/>
      </w:pPr>
      <w:rPr>
        <w:rFonts w:hint="default"/>
      </w:rPr>
    </w:lvl>
    <w:lvl w:ilvl="2" w:tplc="AC1A1788">
      <w:start w:val="1"/>
      <w:numFmt w:val="bullet"/>
      <w:lvlText w:val="•"/>
      <w:lvlJc w:val="left"/>
      <w:pPr>
        <w:ind w:left="2577" w:hanging="339"/>
      </w:pPr>
      <w:rPr>
        <w:rFonts w:hint="default"/>
      </w:rPr>
    </w:lvl>
    <w:lvl w:ilvl="3" w:tplc="1F3C91DA">
      <w:start w:val="1"/>
      <w:numFmt w:val="bullet"/>
      <w:lvlText w:val="•"/>
      <w:lvlJc w:val="left"/>
      <w:pPr>
        <w:ind w:left="3452" w:hanging="339"/>
      </w:pPr>
      <w:rPr>
        <w:rFonts w:hint="default"/>
      </w:rPr>
    </w:lvl>
    <w:lvl w:ilvl="4" w:tplc="F2A8BA2A">
      <w:start w:val="1"/>
      <w:numFmt w:val="bullet"/>
      <w:lvlText w:val="•"/>
      <w:lvlJc w:val="left"/>
      <w:pPr>
        <w:ind w:left="4327" w:hanging="339"/>
      </w:pPr>
      <w:rPr>
        <w:rFonts w:hint="default"/>
      </w:rPr>
    </w:lvl>
    <w:lvl w:ilvl="5" w:tplc="7EB42BCA">
      <w:start w:val="1"/>
      <w:numFmt w:val="bullet"/>
      <w:lvlText w:val="•"/>
      <w:lvlJc w:val="left"/>
      <w:pPr>
        <w:ind w:left="5203" w:hanging="339"/>
      </w:pPr>
      <w:rPr>
        <w:rFonts w:hint="default"/>
      </w:rPr>
    </w:lvl>
    <w:lvl w:ilvl="6" w:tplc="2B0A63EC">
      <w:start w:val="1"/>
      <w:numFmt w:val="bullet"/>
      <w:lvlText w:val="•"/>
      <w:lvlJc w:val="left"/>
      <w:pPr>
        <w:ind w:left="6078" w:hanging="339"/>
      </w:pPr>
      <w:rPr>
        <w:rFonts w:hint="default"/>
      </w:rPr>
    </w:lvl>
    <w:lvl w:ilvl="7" w:tplc="BBB495AC">
      <w:start w:val="1"/>
      <w:numFmt w:val="bullet"/>
      <w:lvlText w:val="•"/>
      <w:lvlJc w:val="left"/>
      <w:pPr>
        <w:ind w:left="6953" w:hanging="339"/>
      </w:pPr>
      <w:rPr>
        <w:rFonts w:hint="default"/>
      </w:rPr>
    </w:lvl>
    <w:lvl w:ilvl="8" w:tplc="83B2E3CC">
      <w:start w:val="1"/>
      <w:numFmt w:val="bullet"/>
      <w:lvlText w:val="•"/>
      <w:lvlJc w:val="left"/>
      <w:pPr>
        <w:ind w:left="7829" w:hanging="339"/>
      </w:pPr>
      <w:rPr>
        <w:rFonts w:hint="default"/>
      </w:rPr>
    </w:lvl>
  </w:abstractNum>
  <w:abstractNum w:abstractNumId="13" w15:restartNumberingAfterBreak="0">
    <w:nsid w:val="0DBC1C20"/>
    <w:multiLevelType w:val="hybridMultilevel"/>
    <w:tmpl w:val="6E92366A"/>
    <w:lvl w:ilvl="0" w:tplc="FC200018">
      <w:start w:val="1"/>
      <w:numFmt w:val="bullet"/>
      <w:lvlText w:val="•"/>
      <w:lvlJc w:val="left"/>
      <w:pPr>
        <w:ind w:left="848" w:hanging="346"/>
      </w:pPr>
      <w:rPr>
        <w:rFonts w:ascii="Times New Roman" w:eastAsia="Times New Roman" w:hAnsi="Times New Roman" w:hint="default"/>
        <w:w w:val="151"/>
        <w:sz w:val="23"/>
        <w:szCs w:val="23"/>
      </w:rPr>
    </w:lvl>
    <w:lvl w:ilvl="1" w:tplc="D914637A">
      <w:start w:val="1"/>
      <w:numFmt w:val="bullet"/>
      <w:lvlText w:val="•"/>
      <w:lvlJc w:val="left"/>
      <w:pPr>
        <w:ind w:left="1721" w:hanging="346"/>
      </w:pPr>
      <w:rPr>
        <w:rFonts w:hint="default"/>
      </w:rPr>
    </w:lvl>
    <w:lvl w:ilvl="2" w:tplc="CBD4251E">
      <w:start w:val="1"/>
      <w:numFmt w:val="bullet"/>
      <w:lvlText w:val="•"/>
      <w:lvlJc w:val="left"/>
      <w:pPr>
        <w:ind w:left="2594" w:hanging="346"/>
      </w:pPr>
      <w:rPr>
        <w:rFonts w:hint="default"/>
      </w:rPr>
    </w:lvl>
    <w:lvl w:ilvl="3" w:tplc="48568CCC">
      <w:start w:val="1"/>
      <w:numFmt w:val="bullet"/>
      <w:lvlText w:val="•"/>
      <w:lvlJc w:val="left"/>
      <w:pPr>
        <w:ind w:left="3467" w:hanging="346"/>
      </w:pPr>
      <w:rPr>
        <w:rFonts w:hint="default"/>
      </w:rPr>
    </w:lvl>
    <w:lvl w:ilvl="4" w:tplc="D74E4872">
      <w:start w:val="1"/>
      <w:numFmt w:val="bullet"/>
      <w:lvlText w:val="•"/>
      <w:lvlJc w:val="left"/>
      <w:pPr>
        <w:ind w:left="4340" w:hanging="346"/>
      </w:pPr>
      <w:rPr>
        <w:rFonts w:hint="default"/>
      </w:rPr>
    </w:lvl>
    <w:lvl w:ilvl="5" w:tplc="D3DEA7EA">
      <w:start w:val="1"/>
      <w:numFmt w:val="bullet"/>
      <w:lvlText w:val="•"/>
      <w:lvlJc w:val="left"/>
      <w:pPr>
        <w:ind w:left="5214" w:hanging="346"/>
      </w:pPr>
      <w:rPr>
        <w:rFonts w:hint="default"/>
      </w:rPr>
    </w:lvl>
    <w:lvl w:ilvl="6" w:tplc="36BA0DF0">
      <w:start w:val="1"/>
      <w:numFmt w:val="bullet"/>
      <w:lvlText w:val="•"/>
      <w:lvlJc w:val="left"/>
      <w:pPr>
        <w:ind w:left="6087" w:hanging="346"/>
      </w:pPr>
      <w:rPr>
        <w:rFonts w:hint="default"/>
      </w:rPr>
    </w:lvl>
    <w:lvl w:ilvl="7" w:tplc="2C840DDC">
      <w:start w:val="1"/>
      <w:numFmt w:val="bullet"/>
      <w:lvlText w:val="•"/>
      <w:lvlJc w:val="left"/>
      <w:pPr>
        <w:ind w:left="6960" w:hanging="346"/>
      </w:pPr>
      <w:rPr>
        <w:rFonts w:hint="default"/>
      </w:rPr>
    </w:lvl>
    <w:lvl w:ilvl="8" w:tplc="1C60CFAC">
      <w:start w:val="1"/>
      <w:numFmt w:val="bullet"/>
      <w:lvlText w:val="•"/>
      <w:lvlJc w:val="left"/>
      <w:pPr>
        <w:ind w:left="7833" w:hanging="346"/>
      </w:pPr>
      <w:rPr>
        <w:rFont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11B41B8"/>
    <w:multiLevelType w:val="hybridMultilevel"/>
    <w:tmpl w:val="08482D9C"/>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6" w15:restartNumberingAfterBreak="0">
    <w:nsid w:val="25F844D6"/>
    <w:multiLevelType w:val="hybridMultilevel"/>
    <w:tmpl w:val="2C0C119C"/>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7" w15:restartNumberingAfterBreak="0">
    <w:nsid w:val="356A502B"/>
    <w:multiLevelType w:val="hybridMultilevel"/>
    <w:tmpl w:val="B0AE7DB2"/>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3130A"/>
    <w:multiLevelType w:val="multilevel"/>
    <w:tmpl w:val="01B6F926"/>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0"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76006"/>
    <w:multiLevelType w:val="hybridMultilevel"/>
    <w:tmpl w:val="A3AEDB50"/>
    <w:lvl w:ilvl="0" w:tplc="41A2616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2" w15:restartNumberingAfterBreak="0">
    <w:nsid w:val="4BDF77DD"/>
    <w:multiLevelType w:val="hybridMultilevel"/>
    <w:tmpl w:val="5A5E49E6"/>
    <w:lvl w:ilvl="0" w:tplc="62B2C722">
      <w:start w:val="28"/>
      <w:numFmt w:val="decimal"/>
      <w:lvlText w:val="%1."/>
      <w:lvlJc w:val="left"/>
      <w:pPr>
        <w:ind w:left="495" w:hanging="360"/>
      </w:pPr>
      <w:rPr>
        <w:rFonts w:ascii="Times New Roman" w:eastAsia="Times New Roman" w:hAnsi="Times New Roman" w:hint="default"/>
        <w:w w:val="103"/>
        <w:sz w:val="23"/>
        <w:szCs w:val="23"/>
      </w:rPr>
    </w:lvl>
    <w:lvl w:ilvl="1" w:tplc="198A4492">
      <w:start w:val="1"/>
      <w:numFmt w:val="upperRoman"/>
      <w:lvlText w:val="(%2)"/>
      <w:lvlJc w:val="left"/>
      <w:pPr>
        <w:ind w:left="977" w:hanging="332"/>
      </w:pPr>
      <w:rPr>
        <w:rFonts w:ascii="Times New Roman" w:eastAsia="Times New Roman" w:hAnsi="Times New Roman" w:hint="default"/>
        <w:w w:val="108"/>
        <w:sz w:val="24"/>
        <w:szCs w:val="24"/>
      </w:rPr>
    </w:lvl>
    <w:lvl w:ilvl="2" w:tplc="0C58CB84">
      <w:start w:val="1"/>
      <w:numFmt w:val="bullet"/>
      <w:lvlText w:val="•"/>
      <w:lvlJc w:val="left"/>
      <w:pPr>
        <w:ind w:left="1933" w:hanging="332"/>
      </w:pPr>
      <w:rPr>
        <w:rFonts w:hint="default"/>
      </w:rPr>
    </w:lvl>
    <w:lvl w:ilvl="3" w:tplc="3936301A">
      <w:start w:val="1"/>
      <w:numFmt w:val="bullet"/>
      <w:lvlText w:val="•"/>
      <w:lvlJc w:val="left"/>
      <w:pPr>
        <w:ind w:left="2889" w:hanging="332"/>
      </w:pPr>
      <w:rPr>
        <w:rFonts w:hint="default"/>
      </w:rPr>
    </w:lvl>
    <w:lvl w:ilvl="4" w:tplc="9AD696D4">
      <w:start w:val="1"/>
      <w:numFmt w:val="bullet"/>
      <w:lvlText w:val="•"/>
      <w:lvlJc w:val="left"/>
      <w:pPr>
        <w:ind w:left="3845" w:hanging="332"/>
      </w:pPr>
      <w:rPr>
        <w:rFonts w:hint="default"/>
      </w:rPr>
    </w:lvl>
    <w:lvl w:ilvl="5" w:tplc="A8EE2168">
      <w:start w:val="1"/>
      <w:numFmt w:val="bullet"/>
      <w:lvlText w:val="•"/>
      <w:lvlJc w:val="left"/>
      <w:pPr>
        <w:ind w:left="4800" w:hanging="332"/>
      </w:pPr>
      <w:rPr>
        <w:rFonts w:hint="default"/>
      </w:rPr>
    </w:lvl>
    <w:lvl w:ilvl="6" w:tplc="0B74BF64">
      <w:start w:val="1"/>
      <w:numFmt w:val="bullet"/>
      <w:lvlText w:val="•"/>
      <w:lvlJc w:val="left"/>
      <w:pPr>
        <w:ind w:left="5756" w:hanging="332"/>
      </w:pPr>
      <w:rPr>
        <w:rFonts w:hint="default"/>
      </w:rPr>
    </w:lvl>
    <w:lvl w:ilvl="7" w:tplc="D8D2A954">
      <w:start w:val="1"/>
      <w:numFmt w:val="bullet"/>
      <w:lvlText w:val="•"/>
      <w:lvlJc w:val="left"/>
      <w:pPr>
        <w:ind w:left="6712" w:hanging="332"/>
      </w:pPr>
      <w:rPr>
        <w:rFonts w:hint="default"/>
      </w:rPr>
    </w:lvl>
    <w:lvl w:ilvl="8" w:tplc="99B2B83A">
      <w:start w:val="1"/>
      <w:numFmt w:val="bullet"/>
      <w:lvlText w:val="•"/>
      <w:lvlJc w:val="left"/>
      <w:pPr>
        <w:ind w:left="7668" w:hanging="332"/>
      </w:pPr>
      <w:rPr>
        <w:rFonts w:hint="default"/>
      </w:r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283EE8"/>
    <w:multiLevelType w:val="multilevel"/>
    <w:tmpl w:val="B1966AAC"/>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062"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D77873"/>
    <w:multiLevelType w:val="hybridMultilevel"/>
    <w:tmpl w:val="449A377C"/>
    <w:lvl w:ilvl="0" w:tplc="F68855EC">
      <w:start w:val="1"/>
      <w:numFmt w:val="bullet"/>
      <w:lvlText w:val="•"/>
      <w:lvlJc w:val="left"/>
      <w:pPr>
        <w:ind w:left="826" w:hanging="346"/>
      </w:pPr>
      <w:rPr>
        <w:rFonts w:ascii="Times New Roman" w:eastAsia="Times New Roman" w:hAnsi="Times New Roman" w:hint="default"/>
        <w:w w:val="102"/>
        <w:position w:val="-4"/>
        <w:sz w:val="34"/>
        <w:szCs w:val="34"/>
      </w:rPr>
    </w:lvl>
    <w:lvl w:ilvl="1" w:tplc="D33059E8">
      <w:start w:val="1"/>
      <w:numFmt w:val="bullet"/>
      <w:lvlText w:val="•"/>
      <w:lvlJc w:val="left"/>
      <w:pPr>
        <w:ind w:left="1701" w:hanging="346"/>
      </w:pPr>
      <w:rPr>
        <w:rFonts w:hint="default"/>
      </w:rPr>
    </w:lvl>
    <w:lvl w:ilvl="2" w:tplc="7B421B78">
      <w:start w:val="1"/>
      <w:numFmt w:val="bullet"/>
      <w:lvlText w:val="•"/>
      <w:lvlJc w:val="left"/>
      <w:pPr>
        <w:ind w:left="2577" w:hanging="346"/>
      </w:pPr>
      <w:rPr>
        <w:rFonts w:hint="default"/>
      </w:rPr>
    </w:lvl>
    <w:lvl w:ilvl="3" w:tplc="3F947E9C">
      <w:start w:val="1"/>
      <w:numFmt w:val="bullet"/>
      <w:lvlText w:val="•"/>
      <w:lvlJc w:val="left"/>
      <w:pPr>
        <w:ind w:left="3452" w:hanging="346"/>
      </w:pPr>
      <w:rPr>
        <w:rFonts w:hint="default"/>
      </w:rPr>
    </w:lvl>
    <w:lvl w:ilvl="4" w:tplc="9BE0570C">
      <w:start w:val="1"/>
      <w:numFmt w:val="bullet"/>
      <w:lvlText w:val="•"/>
      <w:lvlJc w:val="left"/>
      <w:pPr>
        <w:ind w:left="4327" w:hanging="346"/>
      </w:pPr>
      <w:rPr>
        <w:rFonts w:hint="default"/>
      </w:rPr>
    </w:lvl>
    <w:lvl w:ilvl="5" w:tplc="EDB4D4FC">
      <w:start w:val="1"/>
      <w:numFmt w:val="bullet"/>
      <w:lvlText w:val="•"/>
      <w:lvlJc w:val="left"/>
      <w:pPr>
        <w:ind w:left="5203" w:hanging="346"/>
      </w:pPr>
      <w:rPr>
        <w:rFonts w:hint="default"/>
      </w:rPr>
    </w:lvl>
    <w:lvl w:ilvl="6" w:tplc="5DE229DC">
      <w:start w:val="1"/>
      <w:numFmt w:val="bullet"/>
      <w:lvlText w:val="•"/>
      <w:lvlJc w:val="left"/>
      <w:pPr>
        <w:ind w:left="6078" w:hanging="346"/>
      </w:pPr>
      <w:rPr>
        <w:rFonts w:hint="default"/>
      </w:rPr>
    </w:lvl>
    <w:lvl w:ilvl="7" w:tplc="2C32D334">
      <w:start w:val="1"/>
      <w:numFmt w:val="bullet"/>
      <w:lvlText w:val="•"/>
      <w:lvlJc w:val="left"/>
      <w:pPr>
        <w:ind w:left="6953" w:hanging="346"/>
      </w:pPr>
      <w:rPr>
        <w:rFonts w:hint="default"/>
      </w:rPr>
    </w:lvl>
    <w:lvl w:ilvl="8" w:tplc="281AD99E">
      <w:start w:val="1"/>
      <w:numFmt w:val="bullet"/>
      <w:lvlText w:val="•"/>
      <w:lvlJc w:val="left"/>
      <w:pPr>
        <w:ind w:left="7829" w:hanging="346"/>
      </w:pPr>
      <w:rPr>
        <w:rFonts w:hint="default"/>
      </w:rPr>
    </w:lvl>
  </w:abstractNum>
  <w:abstractNum w:abstractNumId="27" w15:restartNumberingAfterBreak="0">
    <w:nsid w:val="5F760891"/>
    <w:multiLevelType w:val="hybridMultilevel"/>
    <w:tmpl w:val="C128C28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8" w15:restartNumberingAfterBreak="0">
    <w:nsid w:val="5FF03218"/>
    <w:multiLevelType w:val="hybridMultilevel"/>
    <w:tmpl w:val="FEF6E312"/>
    <w:lvl w:ilvl="0" w:tplc="A6D01D76">
      <w:start w:val="26"/>
      <w:numFmt w:val="decimal"/>
      <w:lvlText w:val="%1."/>
      <w:lvlJc w:val="left"/>
      <w:pPr>
        <w:ind w:left="466" w:hanging="360"/>
      </w:pPr>
      <w:rPr>
        <w:rFonts w:ascii="Times New Roman" w:eastAsia="Times New Roman" w:hAnsi="Times New Roman" w:hint="default"/>
        <w:w w:val="108"/>
        <w:sz w:val="22"/>
        <w:szCs w:val="22"/>
      </w:rPr>
    </w:lvl>
    <w:lvl w:ilvl="1" w:tplc="AD52A966">
      <w:start w:val="1"/>
      <w:numFmt w:val="bullet"/>
      <w:lvlText w:val="•"/>
      <w:lvlJc w:val="left"/>
      <w:pPr>
        <w:ind w:left="819" w:hanging="339"/>
      </w:pPr>
      <w:rPr>
        <w:rFonts w:ascii="Arial" w:eastAsia="Arial" w:hAnsi="Arial" w:hint="default"/>
        <w:w w:val="104"/>
        <w:position w:val="-3"/>
        <w:sz w:val="30"/>
        <w:szCs w:val="30"/>
      </w:rPr>
    </w:lvl>
    <w:lvl w:ilvl="2" w:tplc="4A3E9724">
      <w:start w:val="1"/>
      <w:numFmt w:val="bullet"/>
      <w:lvlText w:val="•"/>
      <w:lvlJc w:val="left"/>
      <w:pPr>
        <w:ind w:left="1792" w:hanging="339"/>
      </w:pPr>
      <w:rPr>
        <w:rFonts w:hint="default"/>
      </w:rPr>
    </w:lvl>
    <w:lvl w:ilvl="3" w:tplc="D43446C0">
      <w:start w:val="1"/>
      <w:numFmt w:val="bullet"/>
      <w:lvlText w:val="•"/>
      <w:lvlJc w:val="left"/>
      <w:pPr>
        <w:ind w:left="2766" w:hanging="339"/>
      </w:pPr>
      <w:rPr>
        <w:rFonts w:hint="default"/>
      </w:rPr>
    </w:lvl>
    <w:lvl w:ilvl="4" w:tplc="AF447472">
      <w:start w:val="1"/>
      <w:numFmt w:val="bullet"/>
      <w:lvlText w:val="•"/>
      <w:lvlJc w:val="left"/>
      <w:pPr>
        <w:ind w:left="3739" w:hanging="339"/>
      </w:pPr>
      <w:rPr>
        <w:rFonts w:hint="default"/>
      </w:rPr>
    </w:lvl>
    <w:lvl w:ilvl="5" w:tplc="D03664FA">
      <w:start w:val="1"/>
      <w:numFmt w:val="bullet"/>
      <w:lvlText w:val="•"/>
      <w:lvlJc w:val="left"/>
      <w:pPr>
        <w:ind w:left="4712" w:hanging="339"/>
      </w:pPr>
      <w:rPr>
        <w:rFonts w:hint="default"/>
      </w:rPr>
    </w:lvl>
    <w:lvl w:ilvl="6" w:tplc="2B34B388">
      <w:start w:val="1"/>
      <w:numFmt w:val="bullet"/>
      <w:lvlText w:val="•"/>
      <w:lvlJc w:val="left"/>
      <w:pPr>
        <w:ind w:left="5686" w:hanging="339"/>
      </w:pPr>
      <w:rPr>
        <w:rFonts w:hint="default"/>
      </w:rPr>
    </w:lvl>
    <w:lvl w:ilvl="7" w:tplc="0EA2D62A">
      <w:start w:val="1"/>
      <w:numFmt w:val="bullet"/>
      <w:lvlText w:val="•"/>
      <w:lvlJc w:val="left"/>
      <w:pPr>
        <w:ind w:left="6659" w:hanging="339"/>
      </w:pPr>
      <w:rPr>
        <w:rFonts w:hint="default"/>
      </w:rPr>
    </w:lvl>
    <w:lvl w:ilvl="8" w:tplc="C4EC1DCC">
      <w:start w:val="1"/>
      <w:numFmt w:val="bullet"/>
      <w:lvlText w:val="•"/>
      <w:lvlJc w:val="left"/>
      <w:pPr>
        <w:ind w:left="7633" w:hanging="339"/>
      </w:pPr>
      <w:rPr>
        <w:rFonts w:hint="default"/>
      </w:rPr>
    </w:lvl>
  </w:abstractNum>
  <w:abstractNum w:abstractNumId="29" w15:restartNumberingAfterBreak="0">
    <w:nsid w:val="61886BD4"/>
    <w:multiLevelType w:val="hybridMultilevel"/>
    <w:tmpl w:val="0262C08C"/>
    <w:lvl w:ilvl="0" w:tplc="588C4B5A">
      <w:start w:val="1"/>
      <w:numFmt w:val="bullet"/>
      <w:lvlText w:val="•"/>
      <w:lvlJc w:val="left"/>
      <w:pPr>
        <w:ind w:left="833" w:hanging="346"/>
      </w:pPr>
      <w:rPr>
        <w:rFonts w:ascii="Times New Roman" w:eastAsia="Times New Roman" w:hAnsi="Times New Roman" w:hint="default"/>
        <w:w w:val="102"/>
        <w:position w:val="-4"/>
        <w:sz w:val="34"/>
        <w:szCs w:val="34"/>
      </w:rPr>
    </w:lvl>
    <w:lvl w:ilvl="1" w:tplc="2E2EE7AC">
      <w:start w:val="1"/>
      <w:numFmt w:val="bullet"/>
      <w:lvlText w:val="•"/>
      <w:lvlJc w:val="left"/>
      <w:pPr>
        <w:ind w:left="1708" w:hanging="346"/>
      </w:pPr>
      <w:rPr>
        <w:rFonts w:hint="default"/>
      </w:rPr>
    </w:lvl>
    <w:lvl w:ilvl="2" w:tplc="77DEEDBC">
      <w:start w:val="1"/>
      <w:numFmt w:val="bullet"/>
      <w:lvlText w:val="•"/>
      <w:lvlJc w:val="left"/>
      <w:pPr>
        <w:ind w:left="2582" w:hanging="346"/>
      </w:pPr>
      <w:rPr>
        <w:rFonts w:hint="default"/>
      </w:rPr>
    </w:lvl>
    <w:lvl w:ilvl="3" w:tplc="E880F3A4">
      <w:start w:val="1"/>
      <w:numFmt w:val="bullet"/>
      <w:lvlText w:val="•"/>
      <w:lvlJc w:val="left"/>
      <w:pPr>
        <w:ind w:left="3457" w:hanging="346"/>
      </w:pPr>
      <w:rPr>
        <w:rFonts w:hint="default"/>
      </w:rPr>
    </w:lvl>
    <w:lvl w:ilvl="4" w:tplc="7968FCDA">
      <w:start w:val="1"/>
      <w:numFmt w:val="bullet"/>
      <w:lvlText w:val="•"/>
      <w:lvlJc w:val="left"/>
      <w:pPr>
        <w:ind w:left="4332" w:hanging="346"/>
      </w:pPr>
      <w:rPr>
        <w:rFonts w:hint="default"/>
      </w:rPr>
    </w:lvl>
    <w:lvl w:ilvl="5" w:tplc="F7229164">
      <w:start w:val="1"/>
      <w:numFmt w:val="bullet"/>
      <w:lvlText w:val="•"/>
      <w:lvlJc w:val="left"/>
      <w:pPr>
        <w:ind w:left="5206" w:hanging="346"/>
      </w:pPr>
      <w:rPr>
        <w:rFonts w:hint="default"/>
      </w:rPr>
    </w:lvl>
    <w:lvl w:ilvl="6" w:tplc="4E3E00F6">
      <w:start w:val="1"/>
      <w:numFmt w:val="bullet"/>
      <w:lvlText w:val="•"/>
      <w:lvlJc w:val="left"/>
      <w:pPr>
        <w:ind w:left="6081" w:hanging="346"/>
      </w:pPr>
      <w:rPr>
        <w:rFonts w:hint="default"/>
      </w:rPr>
    </w:lvl>
    <w:lvl w:ilvl="7" w:tplc="319C94F6">
      <w:start w:val="1"/>
      <w:numFmt w:val="bullet"/>
      <w:lvlText w:val="•"/>
      <w:lvlJc w:val="left"/>
      <w:pPr>
        <w:ind w:left="6956" w:hanging="346"/>
      </w:pPr>
      <w:rPr>
        <w:rFonts w:hint="default"/>
      </w:rPr>
    </w:lvl>
    <w:lvl w:ilvl="8" w:tplc="06C2919E">
      <w:start w:val="1"/>
      <w:numFmt w:val="bullet"/>
      <w:lvlText w:val="•"/>
      <w:lvlJc w:val="left"/>
      <w:pPr>
        <w:ind w:left="7830" w:hanging="346"/>
      </w:pPr>
      <w:rPr>
        <w:rFonts w:hint="default"/>
      </w:rPr>
    </w:lvl>
  </w:abstractNum>
  <w:abstractNum w:abstractNumId="3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CE7D9A"/>
    <w:multiLevelType w:val="hybridMultilevel"/>
    <w:tmpl w:val="C5AAC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03563A"/>
    <w:multiLevelType w:val="hybridMultilevel"/>
    <w:tmpl w:val="6758F75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30"/>
  </w:num>
  <w:num w:numId="2">
    <w:abstractNumId w:val="14"/>
  </w:num>
  <w:num w:numId="3">
    <w:abstractNumId w:val="11"/>
  </w:num>
  <w:num w:numId="4">
    <w:abstractNumId w:val="23"/>
  </w:num>
  <w:num w:numId="5">
    <w:abstractNumId w:val="24"/>
  </w:num>
  <w:num w:numId="6">
    <w:abstractNumId w:val="25"/>
  </w:num>
  <w:num w:numId="7">
    <w:abstractNumId w:val="19"/>
  </w:num>
  <w:num w:numId="8">
    <w:abstractNumId w:val="26"/>
  </w:num>
  <w:num w:numId="9">
    <w:abstractNumId w:val="12"/>
  </w:num>
  <w:num w:numId="10">
    <w:abstractNumId w:val="29"/>
  </w:num>
  <w:num w:numId="11">
    <w:abstractNumId w:val="28"/>
  </w:num>
  <w:num w:numId="12">
    <w:abstractNumId w:val="13"/>
  </w:num>
  <w:num w:numId="13">
    <w:abstractNumId w:val="10"/>
  </w:num>
  <w:num w:numId="14">
    <w:abstractNumId w:val="22"/>
  </w:num>
  <w:num w:numId="15">
    <w:abstractNumId w:val="31"/>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6"/>
  </w:num>
  <w:num w:numId="29">
    <w:abstractNumId w:val="32"/>
  </w:num>
  <w:num w:numId="30">
    <w:abstractNumId w:val="21"/>
  </w:num>
  <w:num w:numId="31">
    <w:abstractNumId w:val="2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AB"/>
    <w:rsid w:val="00006CE0"/>
    <w:rsid w:val="00011C46"/>
    <w:rsid w:val="00017094"/>
    <w:rsid w:val="000303D5"/>
    <w:rsid w:val="00043B22"/>
    <w:rsid w:val="000518E8"/>
    <w:rsid w:val="000579B2"/>
    <w:rsid w:val="00062AC0"/>
    <w:rsid w:val="000757CC"/>
    <w:rsid w:val="00092AE0"/>
    <w:rsid w:val="000A45E1"/>
    <w:rsid w:val="000A69D0"/>
    <w:rsid w:val="000B3033"/>
    <w:rsid w:val="000B54F7"/>
    <w:rsid w:val="000B625B"/>
    <w:rsid w:val="000E3543"/>
    <w:rsid w:val="001122B2"/>
    <w:rsid w:val="0013481D"/>
    <w:rsid w:val="001355D0"/>
    <w:rsid w:val="00140030"/>
    <w:rsid w:val="00142BB0"/>
    <w:rsid w:val="00145655"/>
    <w:rsid w:val="00147A8C"/>
    <w:rsid w:val="00150E8F"/>
    <w:rsid w:val="00157E8B"/>
    <w:rsid w:val="00160E84"/>
    <w:rsid w:val="00173CCE"/>
    <w:rsid w:val="001833A4"/>
    <w:rsid w:val="00183AB5"/>
    <w:rsid w:val="00193F02"/>
    <w:rsid w:val="001A104F"/>
    <w:rsid w:val="001A32C5"/>
    <w:rsid w:val="001A7D84"/>
    <w:rsid w:val="001B31ED"/>
    <w:rsid w:val="001C3097"/>
    <w:rsid w:val="001E2ADB"/>
    <w:rsid w:val="001F0621"/>
    <w:rsid w:val="00203714"/>
    <w:rsid w:val="002139BB"/>
    <w:rsid w:val="0021458C"/>
    <w:rsid w:val="00217496"/>
    <w:rsid w:val="00225D1F"/>
    <w:rsid w:val="00230459"/>
    <w:rsid w:val="00241BB8"/>
    <w:rsid w:val="00242E70"/>
    <w:rsid w:val="00243822"/>
    <w:rsid w:val="00246469"/>
    <w:rsid w:val="00256F50"/>
    <w:rsid w:val="002600A7"/>
    <w:rsid w:val="002634C5"/>
    <w:rsid w:val="00272AAB"/>
    <w:rsid w:val="002768AE"/>
    <w:rsid w:val="002820B3"/>
    <w:rsid w:val="00282135"/>
    <w:rsid w:val="00286BCA"/>
    <w:rsid w:val="00292ED2"/>
    <w:rsid w:val="00293A64"/>
    <w:rsid w:val="00295F78"/>
    <w:rsid w:val="00297115"/>
    <w:rsid w:val="002A0198"/>
    <w:rsid w:val="002A2AE3"/>
    <w:rsid w:val="002C645F"/>
    <w:rsid w:val="002C6F04"/>
    <w:rsid w:val="00302D7A"/>
    <w:rsid w:val="0030585A"/>
    <w:rsid w:val="00321FCA"/>
    <w:rsid w:val="00325595"/>
    <w:rsid w:val="00327D0B"/>
    <w:rsid w:val="003329BF"/>
    <w:rsid w:val="003359E6"/>
    <w:rsid w:val="00336EEA"/>
    <w:rsid w:val="00352E16"/>
    <w:rsid w:val="00374C47"/>
    <w:rsid w:val="00381C38"/>
    <w:rsid w:val="00393D37"/>
    <w:rsid w:val="003A031B"/>
    <w:rsid w:val="003C02CB"/>
    <w:rsid w:val="003C39D4"/>
    <w:rsid w:val="003D4040"/>
    <w:rsid w:val="003E1AB8"/>
    <w:rsid w:val="003E2160"/>
    <w:rsid w:val="003E2DA0"/>
    <w:rsid w:val="003E539C"/>
    <w:rsid w:val="003E773E"/>
    <w:rsid w:val="00406986"/>
    <w:rsid w:val="00411876"/>
    <w:rsid w:val="004173F5"/>
    <w:rsid w:val="004223DA"/>
    <w:rsid w:val="00433028"/>
    <w:rsid w:val="00434C0D"/>
    <w:rsid w:val="00441A0A"/>
    <w:rsid w:val="0044535A"/>
    <w:rsid w:val="00445811"/>
    <w:rsid w:val="00454B53"/>
    <w:rsid w:val="00457877"/>
    <w:rsid w:val="004601E8"/>
    <w:rsid w:val="00460465"/>
    <w:rsid w:val="004624BF"/>
    <w:rsid w:val="00462BFA"/>
    <w:rsid w:val="0046344E"/>
    <w:rsid w:val="00465392"/>
    <w:rsid w:val="00471418"/>
    <w:rsid w:val="00483027"/>
    <w:rsid w:val="00494390"/>
    <w:rsid w:val="004A2198"/>
    <w:rsid w:val="004A289F"/>
    <w:rsid w:val="004A44F0"/>
    <w:rsid w:val="004B469A"/>
    <w:rsid w:val="004B6C29"/>
    <w:rsid w:val="004D4C6A"/>
    <w:rsid w:val="004E16AA"/>
    <w:rsid w:val="004E3CA8"/>
    <w:rsid w:val="0050518D"/>
    <w:rsid w:val="0051056D"/>
    <w:rsid w:val="005107F8"/>
    <w:rsid w:val="005149F3"/>
    <w:rsid w:val="00517C6F"/>
    <w:rsid w:val="0052167D"/>
    <w:rsid w:val="00521E71"/>
    <w:rsid w:val="005420EA"/>
    <w:rsid w:val="0054256C"/>
    <w:rsid w:val="0054459D"/>
    <w:rsid w:val="00550AEF"/>
    <w:rsid w:val="0055201F"/>
    <w:rsid w:val="0055276C"/>
    <w:rsid w:val="005564BE"/>
    <w:rsid w:val="00561DCD"/>
    <w:rsid w:val="00582052"/>
    <w:rsid w:val="00583A1A"/>
    <w:rsid w:val="005855DA"/>
    <w:rsid w:val="00585625"/>
    <w:rsid w:val="00587385"/>
    <w:rsid w:val="005951EE"/>
    <w:rsid w:val="00597BB8"/>
    <w:rsid w:val="005B0889"/>
    <w:rsid w:val="005B48D8"/>
    <w:rsid w:val="005B652A"/>
    <w:rsid w:val="005C0C8B"/>
    <w:rsid w:val="005C12F9"/>
    <w:rsid w:val="005C4F55"/>
    <w:rsid w:val="005C681B"/>
    <w:rsid w:val="005C73DF"/>
    <w:rsid w:val="005D6E57"/>
    <w:rsid w:val="005E5420"/>
    <w:rsid w:val="005E66E6"/>
    <w:rsid w:val="005F677E"/>
    <w:rsid w:val="0061564F"/>
    <w:rsid w:val="006173C1"/>
    <w:rsid w:val="006500DB"/>
    <w:rsid w:val="00652DCC"/>
    <w:rsid w:val="006537A6"/>
    <w:rsid w:val="006538E4"/>
    <w:rsid w:val="00653C1F"/>
    <w:rsid w:val="00654C8A"/>
    <w:rsid w:val="00663D8D"/>
    <w:rsid w:val="00664D36"/>
    <w:rsid w:val="006653E7"/>
    <w:rsid w:val="006672BA"/>
    <w:rsid w:val="00672C76"/>
    <w:rsid w:val="00673D25"/>
    <w:rsid w:val="00682E6A"/>
    <w:rsid w:val="0068388B"/>
    <w:rsid w:val="0069588E"/>
    <w:rsid w:val="00697D41"/>
    <w:rsid w:val="006A289B"/>
    <w:rsid w:val="006A584F"/>
    <w:rsid w:val="006B20A1"/>
    <w:rsid w:val="006B5AF5"/>
    <w:rsid w:val="006C4517"/>
    <w:rsid w:val="006D2438"/>
    <w:rsid w:val="006D5374"/>
    <w:rsid w:val="006D6D6B"/>
    <w:rsid w:val="006D7447"/>
    <w:rsid w:val="006E58E2"/>
    <w:rsid w:val="006E64AA"/>
    <w:rsid w:val="00700FF1"/>
    <w:rsid w:val="00711618"/>
    <w:rsid w:val="007153CF"/>
    <w:rsid w:val="0072277E"/>
    <w:rsid w:val="0072385A"/>
    <w:rsid w:val="007341EC"/>
    <w:rsid w:val="0074058A"/>
    <w:rsid w:val="00741C37"/>
    <w:rsid w:val="00746E75"/>
    <w:rsid w:val="00760ECD"/>
    <w:rsid w:val="00763C18"/>
    <w:rsid w:val="00764B05"/>
    <w:rsid w:val="00772D38"/>
    <w:rsid w:val="00790ADE"/>
    <w:rsid w:val="007929D6"/>
    <w:rsid w:val="007A66CE"/>
    <w:rsid w:val="007B55CF"/>
    <w:rsid w:val="007B5A8E"/>
    <w:rsid w:val="007C0205"/>
    <w:rsid w:val="007D28B6"/>
    <w:rsid w:val="007D43C3"/>
    <w:rsid w:val="007D5909"/>
    <w:rsid w:val="007F3451"/>
    <w:rsid w:val="007F68ED"/>
    <w:rsid w:val="008111D7"/>
    <w:rsid w:val="00825940"/>
    <w:rsid w:val="00827A48"/>
    <w:rsid w:val="008317F8"/>
    <w:rsid w:val="0085229E"/>
    <w:rsid w:val="00863D1F"/>
    <w:rsid w:val="00870F90"/>
    <w:rsid w:val="00871314"/>
    <w:rsid w:val="00876E4B"/>
    <w:rsid w:val="0089714B"/>
    <w:rsid w:val="008A03B7"/>
    <w:rsid w:val="008A660E"/>
    <w:rsid w:val="008B1DFA"/>
    <w:rsid w:val="008C0D5F"/>
    <w:rsid w:val="008D3BA5"/>
    <w:rsid w:val="008E0DAF"/>
    <w:rsid w:val="008E1178"/>
    <w:rsid w:val="008E6D14"/>
    <w:rsid w:val="008F3253"/>
    <w:rsid w:val="00900F2F"/>
    <w:rsid w:val="00903705"/>
    <w:rsid w:val="00904FCC"/>
    <w:rsid w:val="00907B29"/>
    <w:rsid w:val="00917926"/>
    <w:rsid w:val="009263C2"/>
    <w:rsid w:val="00955D3C"/>
    <w:rsid w:val="009624C1"/>
    <w:rsid w:val="00962C8A"/>
    <w:rsid w:val="0096582F"/>
    <w:rsid w:val="009658D0"/>
    <w:rsid w:val="00973C42"/>
    <w:rsid w:val="00980055"/>
    <w:rsid w:val="00986F2A"/>
    <w:rsid w:val="00991F58"/>
    <w:rsid w:val="0099430E"/>
    <w:rsid w:val="009A4252"/>
    <w:rsid w:val="009A5AE1"/>
    <w:rsid w:val="009B3DCE"/>
    <w:rsid w:val="009B7388"/>
    <w:rsid w:val="009C0675"/>
    <w:rsid w:val="009C69FE"/>
    <w:rsid w:val="009E5FFE"/>
    <w:rsid w:val="00A06B20"/>
    <w:rsid w:val="00A16E81"/>
    <w:rsid w:val="00A25751"/>
    <w:rsid w:val="00A25900"/>
    <w:rsid w:val="00A3238C"/>
    <w:rsid w:val="00A4742F"/>
    <w:rsid w:val="00A50A81"/>
    <w:rsid w:val="00A51AE0"/>
    <w:rsid w:val="00A60D90"/>
    <w:rsid w:val="00A643D4"/>
    <w:rsid w:val="00A73A1B"/>
    <w:rsid w:val="00A748AA"/>
    <w:rsid w:val="00A939C6"/>
    <w:rsid w:val="00AA048E"/>
    <w:rsid w:val="00AA0770"/>
    <w:rsid w:val="00AA58DE"/>
    <w:rsid w:val="00AD1865"/>
    <w:rsid w:val="00AD6C78"/>
    <w:rsid w:val="00AF52D8"/>
    <w:rsid w:val="00AF6593"/>
    <w:rsid w:val="00B26CE0"/>
    <w:rsid w:val="00B325E1"/>
    <w:rsid w:val="00B35EAF"/>
    <w:rsid w:val="00B46E74"/>
    <w:rsid w:val="00B55B7C"/>
    <w:rsid w:val="00B567CB"/>
    <w:rsid w:val="00B60F6B"/>
    <w:rsid w:val="00B71B15"/>
    <w:rsid w:val="00B85B7F"/>
    <w:rsid w:val="00BA18AC"/>
    <w:rsid w:val="00BB03C9"/>
    <w:rsid w:val="00BB177A"/>
    <w:rsid w:val="00BB1A6B"/>
    <w:rsid w:val="00BB7368"/>
    <w:rsid w:val="00BC2B4C"/>
    <w:rsid w:val="00BF2B5A"/>
    <w:rsid w:val="00C00EE5"/>
    <w:rsid w:val="00C04995"/>
    <w:rsid w:val="00C078BF"/>
    <w:rsid w:val="00C146B6"/>
    <w:rsid w:val="00C15631"/>
    <w:rsid w:val="00C244E4"/>
    <w:rsid w:val="00C3291A"/>
    <w:rsid w:val="00C334D8"/>
    <w:rsid w:val="00C43FBB"/>
    <w:rsid w:val="00C4441B"/>
    <w:rsid w:val="00C479B6"/>
    <w:rsid w:val="00C47A97"/>
    <w:rsid w:val="00C708AF"/>
    <w:rsid w:val="00C902B0"/>
    <w:rsid w:val="00C93003"/>
    <w:rsid w:val="00CA0FCF"/>
    <w:rsid w:val="00CA47EE"/>
    <w:rsid w:val="00CA4B3B"/>
    <w:rsid w:val="00CA6863"/>
    <w:rsid w:val="00CB04C1"/>
    <w:rsid w:val="00CB50F9"/>
    <w:rsid w:val="00CB54FB"/>
    <w:rsid w:val="00CC07D8"/>
    <w:rsid w:val="00CF4AFB"/>
    <w:rsid w:val="00D07750"/>
    <w:rsid w:val="00D33076"/>
    <w:rsid w:val="00D3647A"/>
    <w:rsid w:val="00D41641"/>
    <w:rsid w:val="00D46DC4"/>
    <w:rsid w:val="00D62B5D"/>
    <w:rsid w:val="00D6581F"/>
    <w:rsid w:val="00D72048"/>
    <w:rsid w:val="00D758D3"/>
    <w:rsid w:val="00DA3461"/>
    <w:rsid w:val="00DB0D62"/>
    <w:rsid w:val="00DB4085"/>
    <w:rsid w:val="00DD220D"/>
    <w:rsid w:val="00DD2AF4"/>
    <w:rsid w:val="00DD4390"/>
    <w:rsid w:val="00DD6428"/>
    <w:rsid w:val="00DE1D76"/>
    <w:rsid w:val="00E00487"/>
    <w:rsid w:val="00E005E9"/>
    <w:rsid w:val="00E00D6B"/>
    <w:rsid w:val="00E01E7A"/>
    <w:rsid w:val="00E04225"/>
    <w:rsid w:val="00E06CFD"/>
    <w:rsid w:val="00E167D0"/>
    <w:rsid w:val="00E23DE9"/>
    <w:rsid w:val="00E2461D"/>
    <w:rsid w:val="00E26570"/>
    <w:rsid w:val="00E27BB2"/>
    <w:rsid w:val="00E30A96"/>
    <w:rsid w:val="00E365F4"/>
    <w:rsid w:val="00E50DB4"/>
    <w:rsid w:val="00E576B0"/>
    <w:rsid w:val="00E576E9"/>
    <w:rsid w:val="00E65483"/>
    <w:rsid w:val="00E659D7"/>
    <w:rsid w:val="00E65C30"/>
    <w:rsid w:val="00E75986"/>
    <w:rsid w:val="00E851F9"/>
    <w:rsid w:val="00E92561"/>
    <w:rsid w:val="00E9375D"/>
    <w:rsid w:val="00EC1E65"/>
    <w:rsid w:val="00EC7011"/>
    <w:rsid w:val="00ED25F9"/>
    <w:rsid w:val="00EE3FC6"/>
    <w:rsid w:val="00EF26C7"/>
    <w:rsid w:val="00EF3900"/>
    <w:rsid w:val="00F0532D"/>
    <w:rsid w:val="00F1312C"/>
    <w:rsid w:val="00F17542"/>
    <w:rsid w:val="00F362C5"/>
    <w:rsid w:val="00F4425A"/>
    <w:rsid w:val="00F57980"/>
    <w:rsid w:val="00F62D58"/>
    <w:rsid w:val="00F63E92"/>
    <w:rsid w:val="00F6503D"/>
    <w:rsid w:val="00F66523"/>
    <w:rsid w:val="00F81AFB"/>
    <w:rsid w:val="00F82213"/>
    <w:rsid w:val="00F828FC"/>
    <w:rsid w:val="00F90C4F"/>
    <w:rsid w:val="00F92938"/>
    <w:rsid w:val="00F96416"/>
    <w:rsid w:val="00FD6840"/>
    <w:rsid w:val="00FD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C2D0FF-529A-42B1-A9EA-5F5FC8AC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AAB"/>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2AAB"/>
    <w:pPr>
      <w:keepNext/>
      <w:keepLines/>
      <w:spacing w:before="200"/>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272AA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272AA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272AA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272AA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272AA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272AA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272AA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272AAB"/>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272AAB"/>
    <w:rPr>
      <w:sz w:val="24"/>
    </w:rPr>
  </w:style>
  <w:style w:type="paragraph" w:styleId="Header">
    <w:name w:val="header"/>
    <w:basedOn w:val="Normal"/>
    <w:link w:val="HeaderChar"/>
    <w:uiPriority w:val="99"/>
    <w:unhideWhenUsed/>
    <w:rsid w:val="00272AAB"/>
    <w:pPr>
      <w:tabs>
        <w:tab w:val="center" w:pos="4680"/>
        <w:tab w:val="right" w:pos="9360"/>
      </w:tabs>
    </w:pPr>
  </w:style>
  <w:style w:type="character" w:customStyle="1" w:styleId="HeaderChar">
    <w:name w:val="Header Char"/>
    <w:basedOn w:val="DefaultParagraphFont"/>
    <w:link w:val="Header"/>
    <w:uiPriority w:val="99"/>
    <w:rsid w:val="00272AAB"/>
    <w:rPr>
      <w:sz w:val="24"/>
    </w:rPr>
  </w:style>
  <w:style w:type="paragraph" w:customStyle="1" w:styleId="SCCLsocParty">
    <w:name w:val="SCC.Lsoc.Party"/>
    <w:basedOn w:val="Normal"/>
    <w:next w:val="Normal"/>
    <w:link w:val="SCCLsocPartyChar"/>
    <w:rsid w:val="00272AAB"/>
    <w:pPr>
      <w:tabs>
        <w:tab w:val="right" w:pos="8222"/>
      </w:tabs>
      <w:jc w:val="both"/>
    </w:pPr>
    <w:rPr>
      <w:b/>
    </w:rPr>
  </w:style>
  <w:style w:type="character" w:customStyle="1" w:styleId="SCCLsocPartyChar">
    <w:name w:val="SCC.Lsoc.Party Char"/>
    <w:basedOn w:val="DefaultParagraphFont"/>
    <w:link w:val="SCCLsocParty"/>
    <w:rsid w:val="00272AAB"/>
    <w:rPr>
      <w:b/>
      <w:sz w:val="24"/>
    </w:rPr>
  </w:style>
  <w:style w:type="paragraph" w:customStyle="1" w:styleId="SCCLsocVersus">
    <w:name w:val="SCC.Lsoc.Versus"/>
    <w:basedOn w:val="Normal"/>
    <w:next w:val="Normal"/>
    <w:link w:val="SCCLsocVersusChar"/>
    <w:rsid w:val="00272AAB"/>
    <w:pPr>
      <w:spacing w:after="720"/>
    </w:pPr>
    <w:rPr>
      <w:i/>
    </w:rPr>
  </w:style>
  <w:style w:type="character" w:customStyle="1" w:styleId="SCCLsocVersusChar">
    <w:name w:val="SCC.Lsoc.Versus Char"/>
    <w:basedOn w:val="DefaultParagraphFont"/>
    <w:link w:val="SCCLsocVersus"/>
    <w:rsid w:val="00272AAB"/>
    <w:rPr>
      <w:i/>
      <w:sz w:val="24"/>
    </w:rPr>
  </w:style>
  <w:style w:type="character" w:customStyle="1" w:styleId="SCCLsocPartyRole">
    <w:name w:val="SCC.Lsoc.PartyRole"/>
    <w:basedOn w:val="SCCLsocLastPartyInRoleChar"/>
    <w:uiPriority w:val="1"/>
    <w:rsid w:val="00272AAB"/>
    <w:rPr>
      <w:b/>
      <w:i/>
      <w:sz w:val="24"/>
    </w:rPr>
  </w:style>
  <w:style w:type="character" w:customStyle="1" w:styleId="SCCLsocLastPartyInRoleChar">
    <w:name w:val="SCC.Lsoc.LastPartyInRole Char"/>
    <w:basedOn w:val="SCCLsocPartyChar"/>
    <w:link w:val="SCCLsocLastPartyInRole"/>
    <w:rsid w:val="00272AAB"/>
    <w:rPr>
      <w:b/>
      <w:sz w:val="24"/>
    </w:rPr>
  </w:style>
  <w:style w:type="paragraph" w:customStyle="1" w:styleId="SCCLsocLastPartyInRole">
    <w:name w:val="SCC.Lsoc.LastPartyInRole"/>
    <w:basedOn w:val="Normal"/>
    <w:next w:val="Normal"/>
    <w:link w:val="SCCLsocLastPartyInRoleChar"/>
    <w:qFormat/>
    <w:rsid w:val="00272AAB"/>
    <w:pPr>
      <w:tabs>
        <w:tab w:val="right" w:pos="8222"/>
      </w:tabs>
      <w:spacing w:after="720"/>
    </w:pPr>
    <w:rPr>
      <w:b/>
    </w:rPr>
  </w:style>
  <w:style w:type="paragraph" w:customStyle="1" w:styleId="SCCLsocOtherPartySeparator">
    <w:name w:val="SCC.Lsoc.OtherPartySeparator"/>
    <w:basedOn w:val="Normal"/>
    <w:next w:val="Normal"/>
    <w:link w:val="SCCLsocOtherPartySeparatorChar"/>
    <w:rsid w:val="00272AAB"/>
    <w:pPr>
      <w:spacing w:after="720"/>
    </w:pPr>
  </w:style>
  <w:style w:type="character" w:customStyle="1" w:styleId="SCCLsocOtherPartySeparatorChar">
    <w:name w:val="SCC.Lsoc.OtherPartySeparator Char"/>
    <w:basedOn w:val="DefaultParagraphFont"/>
    <w:link w:val="SCCLsocOtherPartySeparator"/>
    <w:rsid w:val="00272AAB"/>
    <w:rPr>
      <w:sz w:val="24"/>
    </w:rPr>
  </w:style>
  <w:style w:type="paragraph" w:customStyle="1" w:styleId="SCCSystemYear">
    <w:name w:val="SCC.SystemYear"/>
    <w:basedOn w:val="Normal"/>
    <w:next w:val="Normal"/>
    <w:link w:val="SCCSystemYearChar"/>
    <w:rsid w:val="00272AAB"/>
    <w:rPr>
      <w:b/>
    </w:rPr>
  </w:style>
  <w:style w:type="character" w:customStyle="1" w:styleId="SCCSystemYearChar">
    <w:name w:val="SCC.SystemYear Char"/>
    <w:basedOn w:val="DefaultParagraphFont"/>
    <w:link w:val="SCCSystemYear"/>
    <w:rsid w:val="00272AAB"/>
    <w:rPr>
      <w:b/>
      <w:sz w:val="24"/>
    </w:rPr>
  </w:style>
  <w:style w:type="paragraph" w:customStyle="1" w:styleId="SCCLowerCourtNameLowercase">
    <w:name w:val="SCC.LowerCourtNameLowercase"/>
    <w:basedOn w:val="SCCNormalDoubleSpacing"/>
    <w:next w:val="SCCNormalDoubleSpacing"/>
    <w:rsid w:val="00272AAB"/>
    <w:rPr>
      <w:smallCaps/>
    </w:rPr>
  </w:style>
  <w:style w:type="paragraph" w:customStyle="1" w:styleId="SCCLawFirm">
    <w:name w:val="SCC.LawFirm"/>
    <w:basedOn w:val="SCCNormalDoubleSpacing"/>
    <w:next w:val="SCCNormalDoubleSpacing"/>
    <w:link w:val="SCCLawFirmChar"/>
    <w:rsid w:val="00272AAB"/>
    <w:rPr>
      <w:i/>
    </w:rPr>
  </w:style>
  <w:style w:type="character" w:customStyle="1" w:styleId="SCCLawFirmChar">
    <w:name w:val="SCC.LawFirm Char"/>
    <w:basedOn w:val="SCCNormalDoubleSpacingChar"/>
    <w:link w:val="SCCLawFirm"/>
    <w:rsid w:val="00272AAB"/>
    <w:rPr>
      <w:i/>
      <w:sz w:val="24"/>
    </w:rPr>
  </w:style>
  <w:style w:type="character" w:customStyle="1" w:styleId="Heading2Char">
    <w:name w:val="Heading 2 Char"/>
    <w:basedOn w:val="DefaultParagraphFont"/>
    <w:link w:val="Heading2"/>
    <w:uiPriority w:val="9"/>
    <w:semiHidden/>
    <w:rsid w:val="00272AAB"/>
    <w:rPr>
      <w:rFonts w:asciiTheme="majorHAnsi" w:eastAsiaTheme="majorEastAsia" w:hAnsiTheme="majorHAnsi" w:cstheme="majorBidi"/>
      <w:b/>
      <w:bCs/>
      <w:color w:val="4F81BD" w:themeColor="accent1"/>
      <w:sz w:val="26"/>
      <w:szCs w:val="26"/>
      <w:lang w:val="en-US" w:eastAsia="en-US" w:bidi="en-US"/>
    </w:rPr>
  </w:style>
  <w:style w:type="character" w:customStyle="1" w:styleId="Heading3Char">
    <w:name w:val="Heading 3 Char"/>
    <w:basedOn w:val="DefaultParagraphFont"/>
    <w:link w:val="Heading3"/>
    <w:uiPriority w:val="9"/>
    <w:semiHidden/>
    <w:rsid w:val="00272AA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272AA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272AA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272AA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272AA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272AA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272AAB"/>
    <w:rPr>
      <w:rFonts w:asciiTheme="majorHAnsi" w:eastAsiaTheme="majorEastAsia" w:hAnsiTheme="majorHAnsi" w:cstheme="majorBidi"/>
      <w:i/>
      <w:iCs/>
      <w:color w:val="404040" w:themeColor="text1" w:themeTint="BF"/>
      <w:lang w:val="en-US" w:eastAsia="en-US" w:bidi="en-US"/>
    </w:rPr>
  </w:style>
  <w:style w:type="paragraph" w:styleId="Footer">
    <w:name w:val="footer"/>
    <w:basedOn w:val="Normal"/>
    <w:link w:val="FooterChar"/>
    <w:uiPriority w:val="99"/>
    <w:semiHidden/>
    <w:unhideWhenUsed/>
    <w:rsid w:val="00272AAB"/>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semiHidden/>
    <w:rsid w:val="00272AAB"/>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272AAB"/>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272AAB"/>
    <w:pPr>
      <w:pBdr>
        <w:bottom w:val="single" w:sz="4" w:space="1" w:color="auto"/>
      </w:pBdr>
    </w:pPr>
    <w:rPr>
      <w:rFonts w:eastAsiaTheme="minorHAnsi" w:cstheme="minorBidi"/>
      <w:szCs w:val="22"/>
      <w:lang w:val="en-US" w:eastAsia="en-US" w:bidi="en-US"/>
    </w:rPr>
  </w:style>
  <w:style w:type="paragraph" w:customStyle="1" w:styleId="SCCLsocSubfileSeparator">
    <w:name w:val="SCC.Lsoc.SubfileSeparator"/>
    <w:basedOn w:val="Normal"/>
    <w:next w:val="Normal"/>
    <w:link w:val="SCCLsocSubfileSeparatorChar"/>
    <w:rsid w:val="00272AAB"/>
    <w:pPr>
      <w:spacing w:after="480"/>
    </w:pPr>
    <w:rPr>
      <w:rFonts w:eastAsiaTheme="minorHAnsi" w:cstheme="minorBidi"/>
      <w:szCs w:val="22"/>
      <w:lang w:val="en-US" w:eastAsia="en-US" w:bidi="en-US"/>
    </w:rPr>
  </w:style>
  <w:style w:type="character" w:customStyle="1" w:styleId="SCCCoramChar">
    <w:name w:val="SCC.Coram Char"/>
    <w:basedOn w:val="DefaultParagraphFont"/>
    <w:link w:val="SCCCoram"/>
    <w:rsid w:val="00272AAB"/>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272AAB"/>
    <w:rPr>
      <w:rFonts w:eastAsiaTheme="minorHAnsi" w:cstheme="minorBidi"/>
      <w:sz w:val="24"/>
      <w:szCs w:val="22"/>
      <w:lang w:val="en-US" w:eastAsia="en-US" w:bidi="en-US"/>
    </w:rPr>
  </w:style>
  <w:style w:type="character" w:customStyle="1" w:styleId="SCCLsocSubfileSeparatorChar">
    <w:name w:val="SCC.Lsoc.SubfileSeparator Char"/>
    <w:basedOn w:val="DefaultParagraphFont"/>
    <w:link w:val="SCCLsocSubfileSeparator"/>
    <w:rsid w:val="00272AAB"/>
    <w:rPr>
      <w:rFonts w:eastAsiaTheme="minorHAnsi" w:cstheme="minorBidi"/>
      <w:sz w:val="24"/>
      <w:szCs w:val="22"/>
      <w:lang w:val="en-US" w:eastAsia="en-US" w:bidi="en-US"/>
    </w:rPr>
  </w:style>
  <w:style w:type="paragraph" w:customStyle="1" w:styleId="SCCBanSummary">
    <w:name w:val="SCC.BanSummary"/>
    <w:basedOn w:val="Normal"/>
    <w:next w:val="Normal"/>
    <w:link w:val="SCCBanSummaryChar"/>
    <w:rsid w:val="00272AAB"/>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272AAB"/>
    <w:rPr>
      <w:rFonts w:eastAsiaTheme="minorEastAsia" w:cstheme="minorBidi"/>
      <w:b/>
      <w:sz w:val="24"/>
      <w:szCs w:val="24"/>
      <w:lang w:val="en-US" w:eastAsia="en-US" w:bidi="en-US"/>
    </w:rPr>
  </w:style>
  <w:style w:type="character" w:styleId="PlaceholderText">
    <w:name w:val="Placeholder Text"/>
    <w:basedOn w:val="DefaultParagraphFont"/>
    <w:uiPriority w:val="99"/>
    <w:semiHidden/>
    <w:rsid w:val="00272AAB"/>
    <w:rPr>
      <w:color w:val="808080"/>
    </w:rPr>
  </w:style>
  <w:style w:type="paragraph" w:styleId="BalloonText">
    <w:name w:val="Balloon Text"/>
    <w:basedOn w:val="Normal"/>
    <w:link w:val="BalloonTextChar"/>
    <w:uiPriority w:val="99"/>
    <w:semiHidden/>
    <w:unhideWhenUsed/>
    <w:rsid w:val="00272AAB"/>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272AAB"/>
    <w:rPr>
      <w:rFonts w:eastAsiaTheme="minorHAnsi" w:cs="Tahoma"/>
      <w:sz w:val="28"/>
      <w:szCs w:val="16"/>
      <w:lang w:val="en-US" w:eastAsia="en-US" w:bidi="en-US"/>
    </w:rPr>
  </w:style>
  <w:style w:type="table" w:styleId="TableGrid">
    <w:name w:val="Table Grid"/>
    <w:basedOn w:val="TableNormal"/>
    <w:uiPriority w:val="59"/>
    <w:rsid w:val="00272A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72AA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72AA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72AAB"/>
    <w:pPr>
      <w:tabs>
        <w:tab w:val="left" w:pos="1260"/>
      </w:tabs>
      <w:spacing w:after="480" w:line="480" w:lineRule="auto"/>
    </w:pPr>
    <w:rPr>
      <w:smallCaps/>
      <w:sz w:val="24"/>
    </w:rPr>
  </w:style>
  <w:style w:type="paragraph" w:customStyle="1" w:styleId="ParaNoNdepar-AltN">
    <w:name w:val="Para. No. / Nº de par. - Alt N"/>
    <w:uiPriority w:val="99"/>
    <w:qFormat/>
    <w:rsid w:val="00272AAB"/>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72AAB"/>
    <w:pPr>
      <w:numPr>
        <w:numId w:val="7"/>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72AA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272AAB"/>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272AAB"/>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272AAB"/>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272AAB"/>
    <w:pPr>
      <w:tabs>
        <w:tab w:val="left" w:pos="540"/>
        <w:tab w:val="right" w:leader="dot" w:pos="8270"/>
      </w:tabs>
      <w:spacing w:before="120" w:after="120"/>
    </w:pPr>
    <w:rPr>
      <w:rFonts w:eastAsiaTheme="minorEastAsia" w:cstheme="minorBidi"/>
      <w:noProof/>
      <w:szCs w:val="22"/>
      <w:lang w:val="en-US" w:eastAsia="en-US" w:bidi="en-US"/>
    </w:rPr>
  </w:style>
  <w:style w:type="paragraph" w:styleId="TOC2">
    <w:name w:val="toc 2"/>
    <w:basedOn w:val="Normal"/>
    <w:next w:val="Normal"/>
    <w:autoRedefine/>
    <w:uiPriority w:val="39"/>
    <w:unhideWhenUsed/>
    <w:rsid w:val="00272AAB"/>
    <w:pPr>
      <w:tabs>
        <w:tab w:val="left" w:pos="540"/>
        <w:tab w:val="right" w:leader="dot" w:pos="8270"/>
      </w:tabs>
      <w:spacing w:before="120" w:after="120"/>
      <w:ind w:left="540" w:hanging="540"/>
    </w:pPr>
    <w:rPr>
      <w:rFonts w:eastAsiaTheme="minorEastAsia" w:cstheme="minorBidi"/>
      <w:i/>
      <w:noProof/>
      <w:szCs w:val="22"/>
      <w:lang w:val="en-US" w:eastAsia="en-US" w:bidi="en-US"/>
    </w:rPr>
  </w:style>
  <w:style w:type="paragraph" w:styleId="TOC3">
    <w:name w:val="toc 3"/>
    <w:basedOn w:val="Normal"/>
    <w:next w:val="Normal"/>
    <w:autoRedefine/>
    <w:uiPriority w:val="39"/>
    <w:unhideWhenUsed/>
    <w:rsid w:val="00272AAB"/>
    <w:pPr>
      <w:tabs>
        <w:tab w:val="left" w:pos="1080"/>
        <w:tab w:val="right" w:leader="dot" w:pos="8270"/>
      </w:tabs>
      <w:spacing w:before="120" w:after="120"/>
      <w:ind w:left="1080" w:hanging="540"/>
    </w:pPr>
    <w:rPr>
      <w:rFonts w:eastAsiaTheme="minorEastAsia" w:cstheme="minorBidi"/>
      <w:noProof/>
      <w:szCs w:val="22"/>
      <w:lang w:val="en-US" w:eastAsia="en-US" w:bidi="en-US"/>
    </w:rPr>
  </w:style>
  <w:style w:type="paragraph" w:styleId="TOC4">
    <w:name w:val="toc 4"/>
    <w:basedOn w:val="Normal"/>
    <w:next w:val="Normal"/>
    <w:autoRedefine/>
    <w:uiPriority w:val="39"/>
    <w:unhideWhenUsed/>
    <w:rsid w:val="00272AAB"/>
    <w:pPr>
      <w:tabs>
        <w:tab w:val="left" w:pos="1530"/>
        <w:tab w:val="right" w:leader="dot" w:pos="8270"/>
      </w:tabs>
      <w:spacing w:before="120" w:after="120"/>
      <w:ind w:left="153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272AAB"/>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272AAB"/>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272AA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72AAB"/>
    <w:pPr>
      <w:tabs>
        <w:tab w:val="left" w:pos="360"/>
      </w:tabs>
      <w:spacing w:before="480" w:after="720"/>
      <w:ind w:left="360" w:hanging="360"/>
      <w:jc w:val="both"/>
    </w:pPr>
    <w:rPr>
      <w:rFonts w:eastAsiaTheme="minorHAnsi" w:cstheme="minorBidi"/>
      <w:sz w:val="24"/>
      <w:szCs w:val="22"/>
      <w:lang w:eastAsia="en-US"/>
    </w:rPr>
  </w:style>
  <w:style w:type="paragraph" w:styleId="DocumentMap">
    <w:name w:val="Document Map"/>
    <w:basedOn w:val="Normal"/>
    <w:link w:val="DocumentMapChar"/>
    <w:uiPriority w:val="99"/>
    <w:semiHidden/>
    <w:unhideWhenUsed/>
    <w:rsid w:val="00272AAB"/>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272AAB"/>
    <w:rPr>
      <w:rFonts w:ascii="Tahoma" w:eastAsiaTheme="minorHAnsi" w:hAnsi="Tahoma" w:cs="Tahoma"/>
      <w:sz w:val="16"/>
      <w:szCs w:val="16"/>
      <w:lang w:val="en-US" w:eastAsia="en-US" w:bidi="en-US"/>
    </w:rPr>
  </w:style>
  <w:style w:type="paragraph" w:styleId="FootnoteText">
    <w:name w:val="footnote text"/>
    <w:basedOn w:val="Normal"/>
    <w:link w:val="FootnoteTextChar"/>
    <w:uiPriority w:val="99"/>
    <w:semiHidden/>
    <w:unhideWhenUsed/>
    <w:rsid w:val="00272AAB"/>
    <w:pPr>
      <w:spacing w:line="480" w:lineRule="auto"/>
    </w:pPr>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272AAB"/>
    <w:rPr>
      <w:rFonts w:eastAsiaTheme="minorHAnsi" w:cstheme="minorBidi"/>
      <w:lang w:val="en-US" w:eastAsia="en-US" w:bidi="en-US"/>
    </w:rPr>
  </w:style>
  <w:style w:type="character" w:styleId="FootnoteReference">
    <w:name w:val="footnote reference"/>
    <w:basedOn w:val="DefaultParagraphFont"/>
    <w:uiPriority w:val="99"/>
    <w:semiHidden/>
    <w:unhideWhenUsed/>
    <w:rsid w:val="00272AAB"/>
    <w:rPr>
      <w:vertAlign w:val="superscript"/>
    </w:rPr>
  </w:style>
  <w:style w:type="paragraph" w:customStyle="1" w:styleId="felsky11">
    <w:name w:val="felsky11"/>
    <w:basedOn w:val="Normal"/>
    <w:rsid w:val="00272AAB"/>
    <w:pPr>
      <w:autoSpaceDE w:val="0"/>
      <w:autoSpaceDN w:val="0"/>
    </w:pPr>
    <w:rPr>
      <w:rFonts w:eastAsiaTheme="minorHAnsi" w:cstheme="minorBidi"/>
      <w:szCs w:val="22"/>
      <w:lang w:val="en-US" w:eastAsia="en-US" w:bidi="en-US"/>
    </w:rPr>
  </w:style>
  <w:style w:type="character" w:customStyle="1" w:styleId="term110">
    <w:name w:val="term110"/>
    <w:basedOn w:val="DefaultParagraphFont"/>
    <w:rsid w:val="00272AAB"/>
    <w:rPr>
      <w:shd w:val="clear" w:color="auto" w:fill="F3BFFD"/>
    </w:rPr>
  </w:style>
  <w:style w:type="character" w:styleId="Hyperlink">
    <w:name w:val="Hyperlink"/>
    <w:basedOn w:val="DefaultParagraphFont"/>
    <w:uiPriority w:val="99"/>
    <w:unhideWhenUsed/>
    <w:rsid w:val="00272AAB"/>
    <w:rPr>
      <w:color w:val="0000FF" w:themeColor="hyperlink"/>
      <w:u w:val="single"/>
    </w:rPr>
  </w:style>
  <w:style w:type="character" w:styleId="Emphasis">
    <w:name w:val="Emphasis"/>
    <w:basedOn w:val="DefaultParagraphFont"/>
    <w:uiPriority w:val="20"/>
    <w:rsid w:val="00272AAB"/>
    <w:rPr>
      <w:i/>
      <w:iCs/>
    </w:rPr>
  </w:style>
  <w:style w:type="paragraph" w:customStyle="1" w:styleId="sec2">
    <w:name w:val="sec2"/>
    <w:basedOn w:val="Normal"/>
    <w:rsid w:val="00272AAB"/>
    <w:pPr>
      <w:spacing w:before="168" w:after="168" w:line="360" w:lineRule="atLeast"/>
      <w:ind w:left="1320" w:hanging="408"/>
    </w:pPr>
    <w:rPr>
      <w:rFonts w:ascii="Verdana" w:eastAsiaTheme="minorHAnsi" w:hAnsi="Verdana" w:cstheme="minorBidi"/>
      <w:color w:val="000000"/>
      <w:szCs w:val="22"/>
      <w:lang w:val="en-US" w:eastAsia="en-US" w:bidi="en-US"/>
    </w:rPr>
  </w:style>
  <w:style w:type="paragraph" w:customStyle="1" w:styleId="paranondepar-altn1">
    <w:name w:val="paranondepar-altn1"/>
    <w:basedOn w:val="Normal"/>
    <w:rsid w:val="00272AAB"/>
    <w:pPr>
      <w:spacing w:before="480" w:after="480"/>
      <w:jc w:val="both"/>
    </w:pPr>
    <w:rPr>
      <w:rFonts w:eastAsiaTheme="minorHAnsi" w:cstheme="minorBidi"/>
      <w:szCs w:val="22"/>
      <w:lang w:val="en-US" w:eastAsia="en-US" w:bidi="en-US"/>
    </w:rPr>
  </w:style>
  <w:style w:type="paragraph" w:styleId="BodyText">
    <w:name w:val="Body Text"/>
    <w:basedOn w:val="Normal"/>
    <w:link w:val="BodyTextChar"/>
    <w:uiPriority w:val="1"/>
    <w:qFormat/>
    <w:rsid w:val="00272AAB"/>
    <w:pPr>
      <w:widowControl w:val="0"/>
      <w:ind w:left="459"/>
    </w:pPr>
    <w:rPr>
      <w:rFonts w:eastAsiaTheme="minorHAnsi" w:cstheme="minorBidi"/>
      <w:sz w:val="23"/>
      <w:szCs w:val="23"/>
      <w:lang w:val="en-US" w:eastAsia="en-US" w:bidi="en-US"/>
    </w:rPr>
  </w:style>
  <w:style w:type="character" w:customStyle="1" w:styleId="BodyTextChar">
    <w:name w:val="Body Text Char"/>
    <w:basedOn w:val="DefaultParagraphFont"/>
    <w:link w:val="BodyText"/>
    <w:uiPriority w:val="1"/>
    <w:rsid w:val="00272AAB"/>
    <w:rPr>
      <w:rFonts w:eastAsiaTheme="minorHAnsi" w:cstheme="minorBidi"/>
      <w:sz w:val="23"/>
      <w:szCs w:val="23"/>
      <w:lang w:val="en-US" w:eastAsia="en-US" w:bidi="en-US"/>
    </w:rPr>
  </w:style>
  <w:style w:type="paragraph" w:customStyle="1" w:styleId="sub">
    <w:name w:val="sub"/>
    <w:basedOn w:val="Normal"/>
    <w:rsid w:val="00272AAB"/>
    <w:pPr>
      <w:spacing w:before="120" w:line="360" w:lineRule="atLeast"/>
      <w:ind w:left="1344"/>
    </w:pPr>
    <w:rPr>
      <w:rFonts w:ascii="Verdana" w:eastAsiaTheme="minorHAnsi" w:hAnsi="Verdana" w:cstheme="minorBidi"/>
      <w:color w:val="000000"/>
      <w:szCs w:val="22"/>
      <w:lang w:val="en-US" w:eastAsia="en-US" w:bidi="en-US"/>
    </w:rPr>
  </w:style>
  <w:style w:type="paragraph" w:customStyle="1" w:styleId="para">
    <w:name w:val="para"/>
    <w:basedOn w:val="Normal"/>
    <w:rsid w:val="00272AAB"/>
    <w:pPr>
      <w:spacing w:before="120" w:line="360" w:lineRule="atLeast"/>
      <w:ind w:left="2640"/>
    </w:pPr>
    <w:rPr>
      <w:rFonts w:ascii="Verdana" w:eastAsiaTheme="minorHAnsi" w:hAnsi="Verdana" w:cstheme="minorBidi"/>
      <w:color w:val="000000"/>
      <w:szCs w:val="22"/>
      <w:lang w:val="en-US" w:eastAsia="en-US" w:bidi="en-US"/>
    </w:rPr>
  </w:style>
  <w:style w:type="character" w:styleId="CommentReference">
    <w:name w:val="annotation reference"/>
    <w:basedOn w:val="DefaultParagraphFont"/>
    <w:uiPriority w:val="99"/>
    <w:semiHidden/>
    <w:unhideWhenUsed/>
    <w:rsid w:val="00272AAB"/>
    <w:rPr>
      <w:sz w:val="16"/>
      <w:szCs w:val="16"/>
    </w:rPr>
  </w:style>
  <w:style w:type="paragraph" w:styleId="CommentText">
    <w:name w:val="annotation text"/>
    <w:basedOn w:val="Normal"/>
    <w:link w:val="CommentTextChar"/>
    <w:uiPriority w:val="99"/>
    <w:semiHidden/>
    <w:unhideWhenUsed/>
    <w:rsid w:val="00272AAB"/>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272AAB"/>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272AAB"/>
    <w:rPr>
      <w:b/>
      <w:bCs/>
    </w:rPr>
  </w:style>
  <w:style w:type="character" w:customStyle="1" w:styleId="CommentSubjectChar">
    <w:name w:val="Comment Subject Char"/>
    <w:basedOn w:val="CommentTextChar"/>
    <w:link w:val="CommentSubject"/>
    <w:uiPriority w:val="99"/>
    <w:semiHidden/>
    <w:rsid w:val="00272AAB"/>
    <w:rPr>
      <w:rFonts w:eastAsiaTheme="minorHAnsi" w:cstheme="minorBidi"/>
      <w:b/>
      <w:bCs/>
      <w:szCs w:val="22"/>
      <w:lang w:val="en-US" w:eastAsia="en-US" w:bidi="en-US"/>
    </w:rPr>
  </w:style>
  <w:style w:type="character" w:styleId="FollowedHyperlink">
    <w:name w:val="FollowedHyperlink"/>
    <w:basedOn w:val="DefaultParagraphFont"/>
    <w:uiPriority w:val="99"/>
    <w:semiHidden/>
    <w:unhideWhenUsed/>
    <w:rsid w:val="00272AAB"/>
    <w:rPr>
      <w:color w:val="800080" w:themeColor="followedHyperlink"/>
      <w:u w:val="single"/>
    </w:rPr>
  </w:style>
  <w:style w:type="character" w:customStyle="1" w:styleId="JudgeJugeChar">
    <w:name w:val="Judge / Juge Char"/>
    <w:basedOn w:val="DefaultParagraphFont"/>
    <w:link w:val="JudgeJuge"/>
    <w:uiPriority w:val="3"/>
    <w:rsid w:val="00272AAB"/>
    <w:rPr>
      <w:smallCaps/>
      <w:sz w:val="24"/>
    </w:rPr>
  </w:style>
  <w:style w:type="paragraph" w:styleId="NoSpacing">
    <w:name w:val="No Spacing"/>
    <w:uiPriority w:val="1"/>
    <w:rsid w:val="00272AAB"/>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272AAB"/>
    <w:pPr>
      <w:outlineLvl w:val="9"/>
    </w:pPr>
    <w:rPr>
      <w:lang w:val="en-US" w:eastAsia="en-US" w:bidi="en-US"/>
    </w:rPr>
  </w:style>
  <w:style w:type="paragraph" w:styleId="Caption">
    <w:name w:val="caption"/>
    <w:basedOn w:val="Normal"/>
    <w:next w:val="Normal"/>
    <w:uiPriority w:val="35"/>
    <w:semiHidden/>
    <w:unhideWhenUsed/>
    <w:qFormat/>
    <w:rsid w:val="00272AAB"/>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272A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72AA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272AA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72AAB"/>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rsid w:val="00272AAB"/>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272AA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72AA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272AAB"/>
    <w:rPr>
      <w:i/>
      <w:iCs/>
      <w:color w:val="808080" w:themeColor="text1" w:themeTint="7F"/>
    </w:rPr>
  </w:style>
  <w:style w:type="character" w:styleId="IntenseEmphasis">
    <w:name w:val="Intense Emphasis"/>
    <w:basedOn w:val="DefaultParagraphFont"/>
    <w:uiPriority w:val="21"/>
    <w:rsid w:val="00272AAB"/>
    <w:rPr>
      <w:b/>
      <w:bCs/>
      <w:i/>
      <w:iCs/>
      <w:color w:val="4F81BD" w:themeColor="accent1"/>
    </w:rPr>
  </w:style>
  <w:style w:type="character" w:styleId="SubtleReference">
    <w:name w:val="Subtle Reference"/>
    <w:basedOn w:val="DefaultParagraphFont"/>
    <w:uiPriority w:val="31"/>
    <w:rsid w:val="00272AAB"/>
    <w:rPr>
      <w:smallCaps/>
      <w:color w:val="C0504D" w:themeColor="accent2"/>
      <w:u w:val="single"/>
    </w:rPr>
  </w:style>
  <w:style w:type="character" w:styleId="IntenseReference">
    <w:name w:val="Intense Reference"/>
    <w:basedOn w:val="DefaultParagraphFont"/>
    <w:uiPriority w:val="32"/>
    <w:rsid w:val="00272AAB"/>
    <w:rPr>
      <w:b/>
      <w:bCs/>
      <w:smallCaps/>
      <w:color w:val="C0504D" w:themeColor="accent2"/>
      <w:spacing w:val="5"/>
      <w:u w:val="single"/>
    </w:rPr>
  </w:style>
  <w:style w:type="character" w:styleId="BookTitle">
    <w:name w:val="Book Title"/>
    <w:basedOn w:val="DefaultParagraphFont"/>
    <w:uiPriority w:val="33"/>
    <w:rsid w:val="00272AAB"/>
    <w:rPr>
      <w:b/>
      <w:bCs/>
      <w:smallCaps/>
      <w:spacing w:val="5"/>
    </w:rPr>
  </w:style>
  <w:style w:type="paragraph" w:styleId="Revision">
    <w:name w:val="Revision"/>
    <w:hidden/>
    <w:uiPriority w:val="99"/>
    <w:semiHidden/>
    <w:rsid w:val="00272AAB"/>
    <w:rPr>
      <w:rFonts w:eastAsiaTheme="minorHAnsi" w:cstheme="minorBidi"/>
      <w:sz w:val="24"/>
      <w:szCs w:val="22"/>
      <w:lang w:val="en-US" w:eastAsia="en-US" w:bidi="en-US"/>
    </w:rPr>
  </w:style>
  <w:style w:type="character" w:customStyle="1" w:styleId="cohl1">
    <w:name w:val="co_hl1"/>
    <w:basedOn w:val="DefaultParagraphFont"/>
    <w:rsid w:val="00272AAB"/>
    <w:rPr>
      <w:color w:val="252525"/>
    </w:rPr>
  </w:style>
  <w:style w:type="character" w:customStyle="1" w:styleId="cohl2">
    <w:name w:val="co_hl2"/>
    <w:basedOn w:val="DefaultParagraphFont"/>
    <w:rsid w:val="00272AAB"/>
    <w:rPr>
      <w:color w:val="252525"/>
    </w:rPr>
  </w:style>
  <w:style w:type="character" w:customStyle="1" w:styleId="cohl3">
    <w:name w:val="co_hl3"/>
    <w:basedOn w:val="DefaultParagraphFont"/>
    <w:rsid w:val="00272AAB"/>
    <w:rPr>
      <w:color w:val="252525"/>
    </w:rPr>
  </w:style>
  <w:style w:type="paragraph" w:customStyle="1" w:styleId="normalnumber1">
    <w:name w:val="normalnumber1"/>
    <w:basedOn w:val="Normal"/>
    <w:rsid w:val="00272AAB"/>
    <w:pPr>
      <w:spacing w:after="240"/>
    </w:pPr>
    <w:rPr>
      <w:rFonts w:ascii="Courier New" w:hAnsi="Courier New" w:cs="Courier New"/>
      <w:szCs w:val="24"/>
    </w:rPr>
  </w:style>
  <w:style w:type="character" w:customStyle="1" w:styleId="SCCLsocPartyRoleChar">
    <w:name w:val="SCC.Lsoc.PartyRole Char"/>
    <w:basedOn w:val="DefaultParagraphFont"/>
    <w:rsid w:val="00582052"/>
    <w:rPr>
      <w:lang w:val="fr-CA"/>
    </w:rPr>
  </w:style>
  <w:style w:type="paragraph" w:customStyle="1" w:styleId="SCCLsocPrefix">
    <w:name w:val="SCC.Lsoc.Prefix"/>
    <w:basedOn w:val="Normal"/>
    <w:next w:val="Normal"/>
    <w:link w:val="SCCLsocPrefixChar"/>
    <w:rsid w:val="0058205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82052"/>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CAD6D-F5FA-439D-82A8-CA1E67B2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73</Pages>
  <Words>17561</Words>
  <Characters>100104</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po</cp:lastModifiedBy>
  <cp:revision>5</cp:revision>
  <cp:lastPrinted>2015-01-27T16:37:00Z</cp:lastPrinted>
  <dcterms:created xsi:type="dcterms:W3CDTF">2016-09-13T20:11:00Z</dcterms:created>
  <dcterms:modified xsi:type="dcterms:W3CDTF">2017-04-12T20:13:00Z</dcterms:modified>
</cp:coreProperties>
</file>