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D9" w:rsidRDefault="006C5FD9" w:rsidP="006C5FD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86461355" r:id="rId8"/>
        </w:object>
      </w:r>
      <w:r>
        <w:t xml:space="preserve"> </w:t>
      </w:r>
      <w:r>
        <w:ptab w:relativeTo="margin" w:alignment="right" w:leader="none"/>
      </w:r>
    </w:p>
    <w:p w:rsidR="006C5FD9" w:rsidRDefault="006C5FD9" w:rsidP="006C5FD9">
      <w:pPr>
        <w:pStyle w:val="Header"/>
      </w:pPr>
    </w:p>
    <w:p w:rsidR="006C5FD9" w:rsidRPr="001E12E2" w:rsidRDefault="006C5FD9" w:rsidP="006C5FD9">
      <w:pPr>
        <w:jc w:val="center"/>
        <w:rPr>
          <w:b/>
        </w:rPr>
      </w:pPr>
      <w:r w:rsidRPr="001E12E2">
        <w:rPr>
          <w:b/>
        </w:rPr>
        <w:t>COUR SUPRÊME DU CANADA</w:t>
      </w:r>
    </w:p>
    <w:p w:rsidR="006C5FD9" w:rsidRDefault="006C5FD9" w:rsidP="006C5FD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C5FD9" w:rsidRPr="001E12E2" w:rsidTr="002B419E">
        <w:trPr>
          <w:cantSplit/>
        </w:trPr>
        <w:tc>
          <w:tcPr>
            <w:tcW w:w="6768" w:type="dxa"/>
          </w:tcPr>
          <w:p w:rsidR="006C5FD9" w:rsidRPr="001E12E2" w:rsidRDefault="006C5FD9" w:rsidP="002B419E">
            <w:r>
              <w:rPr>
                <w:b/>
                <w:smallCaps/>
              </w:rPr>
              <w:t>Référence :</w:t>
            </w:r>
            <w:r w:rsidRPr="001E12E2">
              <w:t xml:space="preserve"> </w:t>
            </w:r>
            <w:r w:rsidRPr="0022476C">
              <w:t xml:space="preserve">Banque Amex du Canada </w:t>
            </w:r>
            <w:r w:rsidRPr="0022476C">
              <w:rPr>
                <w:i/>
              </w:rPr>
              <w:t>c.</w:t>
            </w:r>
            <w:r w:rsidRPr="0022476C">
              <w:t xml:space="preserve"> Adams</w:t>
            </w:r>
            <w:r>
              <w:t xml:space="preserve">, 2014 CSC 56, </w:t>
            </w:r>
            <w:r>
              <w:rPr>
                <w:smallCaps/>
              </w:rPr>
              <w:t>[2014] 2 R.C.S. 787</w:t>
            </w:r>
          </w:p>
        </w:tc>
        <w:tc>
          <w:tcPr>
            <w:tcW w:w="2808" w:type="dxa"/>
          </w:tcPr>
          <w:p w:rsidR="006C5FD9" w:rsidRPr="001E12E2" w:rsidRDefault="006C5FD9" w:rsidP="002B419E">
            <w:r w:rsidRPr="001E12E2">
              <w:rPr>
                <w:b/>
                <w:smallCaps/>
              </w:rPr>
              <w:t>Date</w:t>
            </w:r>
            <w:r>
              <w:rPr>
                <w:b/>
                <w:smallCaps/>
              </w:rPr>
              <w:t> :</w:t>
            </w:r>
            <w:r w:rsidRPr="001E12E2">
              <w:t xml:space="preserve"> </w:t>
            </w:r>
            <w:r>
              <w:t>20140919</w:t>
            </w:r>
          </w:p>
          <w:p w:rsidR="006C5FD9" w:rsidRPr="001E12E2" w:rsidRDefault="006C5FD9" w:rsidP="002B419E">
            <w:r w:rsidRPr="001E12E2">
              <w:rPr>
                <w:b/>
                <w:smallCaps/>
              </w:rPr>
              <w:t>Do</w:t>
            </w:r>
            <w:r>
              <w:rPr>
                <w:b/>
                <w:smallCaps/>
              </w:rPr>
              <w:t>ssier :</w:t>
            </w:r>
            <w:r w:rsidRPr="001E12E2">
              <w:t xml:space="preserve"> </w:t>
            </w:r>
            <w:r>
              <w:t>35033</w:t>
            </w:r>
          </w:p>
        </w:tc>
      </w:tr>
    </w:tbl>
    <w:p w:rsidR="006C5FD9" w:rsidRPr="001E12E2" w:rsidRDefault="006C5FD9" w:rsidP="006C5FD9"/>
    <w:p w:rsidR="006C5FD9" w:rsidRDefault="006C5FD9" w:rsidP="006C5FD9">
      <w:pPr>
        <w:pStyle w:val="SCCLsocPrefix"/>
      </w:pPr>
      <w:r>
        <w:t>Entre :</w:t>
      </w:r>
    </w:p>
    <w:p w:rsidR="006C5FD9" w:rsidRDefault="006C5FD9" w:rsidP="006C5FD9">
      <w:pPr>
        <w:pStyle w:val="SCCLsocParty"/>
        <w:jc w:val="center"/>
      </w:pPr>
      <w:proofErr w:type="spellStart"/>
      <w:r>
        <w:t>Banque</w:t>
      </w:r>
      <w:proofErr w:type="spellEnd"/>
      <w:r>
        <w:t xml:space="preserve"> Amex du Canada</w:t>
      </w:r>
    </w:p>
    <w:p w:rsidR="006C5FD9" w:rsidRDefault="006C5FD9" w:rsidP="006C5FD9">
      <w:pPr>
        <w:jc w:val="center"/>
      </w:pPr>
      <w:proofErr w:type="spellStart"/>
      <w:r>
        <w:t>Appelante</w:t>
      </w:r>
      <w:proofErr w:type="spellEnd"/>
    </w:p>
    <w:p w:rsidR="006C5FD9" w:rsidRPr="006C5FD9" w:rsidRDefault="006C5FD9" w:rsidP="006C5FD9">
      <w:pPr>
        <w:pStyle w:val="SCCLsocVersus"/>
        <w:spacing w:after="0"/>
        <w:jc w:val="center"/>
        <w:rPr>
          <w:lang w:val="fr-CA"/>
        </w:rPr>
      </w:pPr>
      <w:proofErr w:type="gramStart"/>
      <w:r w:rsidRPr="006C5FD9">
        <w:rPr>
          <w:lang w:val="fr-CA"/>
        </w:rPr>
        <w:t>et</w:t>
      </w:r>
      <w:proofErr w:type="gramEnd"/>
    </w:p>
    <w:p w:rsidR="006C5FD9" w:rsidRPr="006C5FD9" w:rsidRDefault="006C5FD9" w:rsidP="006C5FD9">
      <w:pPr>
        <w:pStyle w:val="SCCLsocParty"/>
        <w:jc w:val="center"/>
        <w:rPr>
          <w:lang w:val="fr-CA"/>
        </w:rPr>
      </w:pPr>
      <w:proofErr w:type="spellStart"/>
      <w:r w:rsidRPr="006C5FD9">
        <w:rPr>
          <w:lang w:val="fr-CA"/>
        </w:rPr>
        <w:t>Sylvan</w:t>
      </w:r>
      <w:proofErr w:type="spellEnd"/>
      <w:r w:rsidRPr="006C5FD9">
        <w:rPr>
          <w:lang w:val="fr-CA"/>
        </w:rPr>
        <w:t xml:space="preserve"> Adams, procureur général du Québec et</w:t>
      </w:r>
    </w:p>
    <w:p w:rsidR="006C5FD9" w:rsidRPr="006C5FD9" w:rsidRDefault="006C5FD9" w:rsidP="006C5FD9">
      <w:pPr>
        <w:pStyle w:val="SCCLsocParty"/>
        <w:jc w:val="center"/>
        <w:rPr>
          <w:lang w:val="fr-CA"/>
        </w:rPr>
      </w:pPr>
      <w:r w:rsidRPr="006C5FD9">
        <w:rPr>
          <w:lang w:val="fr-CA"/>
        </w:rPr>
        <w:t>Président de l’Office de la protection du consommateur</w:t>
      </w:r>
    </w:p>
    <w:p w:rsidR="006C5FD9" w:rsidRPr="006C5FD9" w:rsidRDefault="006C5FD9" w:rsidP="006C5FD9">
      <w:pPr>
        <w:jc w:val="center"/>
        <w:rPr>
          <w:lang w:val="fr-CA"/>
        </w:rPr>
      </w:pPr>
      <w:r w:rsidRPr="006C5FD9">
        <w:rPr>
          <w:lang w:val="fr-CA"/>
        </w:rPr>
        <w:t>Intimés</w:t>
      </w:r>
    </w:p>
    <w:p w:rsidR="006C5FD9" w:rsidRPr="006C5FD9" w:rsidRDefault="006C5FD9" w:rsidP="006C5FD9">
      <w:pPr>
        <w:pStyle w:val="SCCLsocOtherPartySeparator"/>
        <w:spacing w:after="0"/>
        <w:jc w:val="center"/>
        <w:rPr>
          <w:lang w:val="fr-CA"/>
        </w:rPr>
      </w:pPr>
      <w:r w:rsidRPr="006C5FD9">
        <w:rPr>
          <w:lang w:val="fr-CA"/>
        </w:rPr>
        <w:t>- et -</w:t>
      </w:r>
    </w:p>
    <w:p w:rsidR="006C5FD9" w:rsidRPr="006C5FD9" w:rsidRDefault="006C5FD9" w:rsidP="006C5FD9">
      <w:pPr>
        <w:pStyle w:val="SCCLsocParty"/>
        <w:jc w:val="center"/>
        <w:rPr>
          <w:lang w:val="fr-CA"/>
        </w:rPr>
      </w:pPr>
      <w:r w:rsidRPr="006C5FD9">
        <w:rPr>
          <w:lang w:val="fr-CA"/>
        </w:rPr>
        <w:t>Procureur général du Canada, procureur général de l’Ontario,</w:t>
      </w:r>
    </w:p>
    <w:p w:rsidR="006C5FD9" w:rsidRPr="006C5FD9" w:rsidRDefault="006C5FD9" w:rsidP="006C5FD9">
      <w:pPr>
        <w:pStyle w:val="SCCLsocParty"/>
        <w:jc w:val="center"/>
        <w:rPr>
          <w:lang w:val="fr-CA"/>
        </w:rPr>
      </w:pPr>
      <w:proofErr w:type="gramStart"/>
      <w:r w:rsidRPr="006C5FD9">
        <w:rPr>
          <w:lang w:val="fr-CA"/>
        </w:rPr>
        <w:t>procureur</w:t>
      </w:r>
      <w:proofErr w:type="gramEnd"/>
      <w:r w:rsidRPr="006C5FD9">
        <w:rPr>
          <w:lang w:val="fr-CA"/>
        </w:rPr>
        <w:t xml:space="preserve"> général de l’Alberta et Association des banquiers canadiens</w:t>
      </w:r>
    </w:p>
    <w:p w:rsidR="006C5FD9" w:rsidRPr="006C5FD9" w:rsidRDefault="006C5FD9" w:rsidP="006C5FD9">
      <w:pPr>
        <w:jc w:val="center"/>
        <w:rPr>
          <w:lang w:val="fr-CA"/>
        </w:rPr>
      </w:pPr>
      <w:r w:rsidRPr="006C5FD9">
        <w:rPr>
          <w:lang w:val="fr-CA"/>
        </w:rPr>
        <w:t>Intervenants</w:t>
      </w:r>
    </w:p>
    <w:p w:rsidR="006C5FD9" w:rsidRPr="006C5FD9" w:rsidRDefault="006C5FD9" w:rsidP="006C5FD9">
      <w:pPr>
        <w:rPr>
          <w:lang w:val="fr-CA"/>
        </w:rPr>
      </w:pPr>
    </w:p>
    <w:p w:rsidR="006C5FD9" w:rsidRPr="006C5FD9" w:rsidRDefault="006C5FD9" w:rsidP="006C5FD9">
      <w:pPr>
        <w:jc w:val="center"/>
        <w:rPr>
          <w:b/>
          <w:smallCaps/>
          <w:lang w:val="fr-CA"/>
        </w:rPr>
      </w:pPr>
      <w:r w:rsidRPr="006C5FD9">
        <w:rPr>
          <w:b/>
          <w:smallCaps/>
          <w:lang w:val="fr-CA"/>
        </w:rPr>
        <w:t>Traduction française officielle</w:t>
      </w:r>
    </w:p>
    <w:p w:rsidR="006C5FD9" w:rsidRPr="006C5FD9" w:rsidRDefault="006C5FD9" w:rsidP="006C5FD9">
      <w:pPr>
        <w:rPr>
          <w:lang w:val="fr-CA"/>
        </w:rPr>
      </w:pPr>
    </w:p>
    <w:p w:rsidR="006C5FD9" w:rsidRPr="006C5FD9" w:rsidRDefault="006C5FD9" w:rsidP="006C5FD9">
      <w:pPr>
        <w:rPr>
          <w:lang w:val="fr-CA"/>
        </w:rPr>
      </w:pPr>
      <w:r w:rsidRPr="006C5FD9">
        <w:rPr>
          <w:b/>
          <w:smallCaps/>
          <w:lang w:val="fr-CA"/>
        </w:rPr>
        <w:t>Coram :</w:t>
      </w:r>
      <w:r w:rsidRPr="006C5FD9">
        <w:rPr>
          <w:lang w:val="fr-CA"/>
        </w:rPr>
        <w:t xml:space="preserve"> La juge en chef </w:t>
      </w:r>
      <w:proofErr w:type="spellStart"/>
      <w:r w:rsidRPr="006C5FD9">
        <w:rPr>
          <w:lang w:val="fr-CA"/>
        </w:rPr>
        <w:t>McLachlin</w:t>
      </w:r>
      <w:proofErr w:type="spellEnd"/>
      <w:r w:rsidRPr="006C5FD9">
        <w:rPr>
          <w:lang w:val="fr-CA"/>
        </w:rPr>
        <w:t xml:space="preserve"> et les juges </w:t>
      </w:r>
      <w:proofErr w:type="spellStart"/>
      <w:r w:rsidRPr="006C5FD9">
        <w:rPr>
          <w:lang w:val="fr-CA"/>
        </w:rPr>
        <w:t>LeBel</w:t>
      </w:r>
      <w:proofErr w:type="spellEnd"/>
      <w:r w:rsidRPr="006C5FD9">
        <w:rPr>
          <w:lang w:val="fr-CA"/>
        </w:rPr>
        <w:t xml:space="preserve">, Abella, </w:t>
      </w:r>
      <w:proofErr w:type="spellStart"/>
      <w:r w:rsidRPr="006C5FD9">
        <w:rPr>
          <w:lang w:val="fr-CA"/>
        </w:rPr>
        <w:t>Rothstein</w:t>
      </w:r>
      <w:proofErr w:type="spellEnd"/>
      <w:r w:rsidRPr="006C5FD9">
        <w:rPr>
          <w:lang w:val="fr-CA"/>
        </w:rPr>
        <w:t xml:space="preserve">, Cromwell, </w:t>
      </w:r>
      <w:proofErr w:type="spellStart"/>
      <w:r w:rsidRPr="006C5FD9">
        <w:rPr>
          <w:lang w:val="fr-CA"/>
        </w:rPr>
        <w:t>Moldaver</w:t>
      </w:r>
      <w:proofErr w:type="spellEnd"/>
      <w:r w:rsidRPr="006C5FD9">
        <w:rPr>
          <w:lang w:val="fr-CA"/>
        </w:rPr>
        <w:t xml:space="preserve"> et Wagner</w:t>
      </w:r>
    </w:p>
    <w:p w:rsidR="006C5FD9" w:rsidRPr="006C5FD9" w:rsidRDefault="006C5FD9" w:rsidP="006C5FD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C5FD9" w:rsidRPr="006C5FD9" w:rsidTr="002B419E">
        <w:trPr>
          <w:cantSplit/>
        </w:trPr>
        <w:tc>
          <w:tcPr>
            <w:tcW w:w="3618" w:type="dxa"/>
          </w:tcPr>
          <w:p w:rsidR="006C5FD9" w:rsidRDefault="006C5FD9" w:rsidP="002B419E">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xml:space="preserve"> conjoints :</w:t>
            </w:r>
          </w:p>
          <w:p w:rsidR="006C5FD9" w:rsidRPr="001E12E2" w:rsidRDefault="006C5FD9" w:rsidP="002B419E">
            <w:r>
              <w:t>(par. 1 à 40)</w:t>
            </w:r>
          </w:p>
        </w:tc>
        <w:tc>
          <w:tcPr>
            <w:tcW w:w="5958" w:type="dxa"/>
          </w:tcPr>
          <w:p w:rsidR="006C5FD9" w:rsidRPr="001E12E2" w:rsidRDefault="006C5FD9" w:rsidP="002B419E">
            <w:r>
              <w:t xml:space="preserve">Les juges </w:t>
            </w:r>
            <w:proofErr w:type="spellStart"/>
            <w:r>
              <w:t>Rothstein</w:t>
            </w:r>
            <w:proofErr w:type="spellEnd"/>
            <w:r>
              <w:t xml:space="preserve"> et Wagner (avec l’accord de la juge en chef </w:t>
            </w:r>
            <w:proofErr w:type="spellStart"/>
            <w:r>
              <w:t>McLachlin</w:t>
            </w:r>
            <w:proofErr w:type="spellEnd"/>
            <w:r>
              <w:t xml:space="preserve"> et des juges </w:t>
            </w:r>
            <w:proofErr w:type="spellStart"/>
            <w:r>
              <w:t>LeBel</w:t>
            </w:r>
            <w:proofErr w:type="spellEnd"/>
            <w:r>
              <w:t xml:space="preserve">, Abella, Cromwell et </w:t>
            </w:r>
            <w:proofErr w:type="spellStart"/>
            <w:r>
              <w:t>Moldaver</w:t>
            </w:r>
            <w:proofErr w:type="spellEnd"/>
            <w:r>
              <w:t>)</w:t>
            </w:r>
          </w:p>
        </w:tc>
      </w:tr>
    </w:tbl>
    <w:p w:rsidR="006C5FD9" w:rsidRPr="006C5FD9" w:rsidRDefault="006C5FD9" w:rsidP="006C5FD9">
      <w:pPr>
        <w:rPr>
          <w:lang w:val="fr-CA"/>
        </w:rPr>
      </w:pPr>
    </w:p>
    <w:p w:rsidR="006C5FD9" w:rsidRPr="006C5FD9" w:rsidRDefault="006C5FD9" w:rsidP="006C5FD9">
      <w:pPr>
        <w:rPr>
          <w:lang w:val="fr-CA"/>
        </w:rPr>
      </w:pPr>
      <w:r w:rsidRPr="00BC1E1C">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6C5FD9" w:rsidRDefault="006C5FD9" w:rsidP="005E000D">
      <w:pPr>
        <w:widowControl w:val="0"/>
        <w:spacing w:after="720"/>
        <w:jc w:val="both"/>
        <w:rPr>
          <w:smallCaps/>
          <w:lang w:val="fr-CA"/>
        </w:rPr>
      </w:pPr>
    </w:p>
    <w:p w:rsidR="004D7D95" w:rsidRPr="002004BD" w:rsidRDefault="00A550D3" w:rsidP="005E000D">
      <w:pPr>
        <w:widowControl w:val="0"/>
        <w:spacing w:after="720"/>
        <w:jc w:val="both"/>
        <w:rPr>
          <w:lang w:val="fr-CA"/>
        </w:rPr>
      </w:pPr>
      <w:r w:rsidRPr="002004BD">
        <w:rPr>
          <w:smallCaps/>
          <w:lang w:val="fr-CA"/>
        </w:rPr>
        <w:t>b</w:t>
      </w:r>
      <w:r w:rsidR="004D7D95" w:rsidRPr="002004BD">
        <w:rPr>
          <w:smallCaps/>
          <w:lang w:val="fr-CA"/>
        </w:rPr>
        <w:t xml:space="preserve">anque </w:t>
      </w:r>
      <w:proofErr w:type="spellStart"/>
      <w:r w:rsidRPr="002004BD">
        <w:rPr>
          <w:smallCaps/>
          <w:lang w:val="fr-CA"/>
        </w:rPr>
        <w:t>a</w:t>
      </w:r>
      <w:r w:rsidR="004D7D95" w:rsidRPr="002004BD">
        <w:rPr>
          <w:smallCaps/>
          <w:lang w:val="fr-CA"/>
        </w:rPr>
        <w:t>mex</w:t>
      </w:r>
      <w:proofErr w:type="spellEnd"/>
      <w:r w:rsidR="004D7D95" w:rsidRPr="002004BD">
        <w:rPr>
          <w:smallCaps/>
          <w:lang w:val="fr-CA"/>
        </w:rPr>
        <w:t xml:space="preserve"> du </w:t>
      </w:r>
      <w:r w:rsidRPr="002004BD">
        <w:rPr>
          <w:smallCaps/>
          <w:lang w:val="fr-CA"/>
        </w:rPr>
        <w:t>c</w:t>
      </w:r>
      <w:r w:rsidR="004D7D95" w:rsidRPr="002004BD">
        <w:rPr>
          <w:smallCaps/>
          <w:lang w:val="fr-CA"/>
        </w:rPr>
        <w:t>anada</w:t>
      </w:r>
      <w:r w:rsidR="004D7D95" w:rsidRPr="002004BD">
        <w:rPr>
          <w:lang w:val="fr-CA"/>
        </w:rPr>
        <w:t xml:space="preserve"> </w:t>
      </w:r>
      <w:r w:rsidR="004D7D95" w:rsidRPr="002004BD">
        <w:rPr>
          <w:i/>
          <w:lang w:val="fr-CA"/>
        </w:rPr>
        <w:t>c.</w:t>
      </w:r>
      <w:r w:rsidR="004D7D95" w:rsidRPr="002004BD">
        <w:rPr>
          <w:lang w:val="fr-CA"/>
        </w:rPr>
        <w:t xml:space="preserve"> </w:t>
      </w:r>
      <w:proofErr w:type="spellStart"/>
      <w:r w:rsidRPr="002004BD">
        <w:rPr>
          <w:smallCaps/>
          <w:lang w:val="fr-CA"/>
        </w:rPr>
        <w:t>a</w:t>
      </w:r>
      <w:r w:rsidR="004D7D95" w:rsidRPr="002004BD">
        <w:rPr>
          <w:smallCaps/>
          <w:lang w:val="fr-CA"/>
        </w:rPr>
        <w:t>dams</w:t>
      </w:r>
      <w:proofErr w:type="spellEnd"/>
      <w:r w:rsidR="00020580">
        <w:rPr>
          <w:smallCaps/>
          <w:lang w:val="fr-CA"/>
        </w:rPr>
        <w:t>, 2014 CSC 56, [2014] 2 R.C.S. 787</w:t>
      </w:r>
    </w:p>
    <w:p w:rsidR="00826C41" w:rsidRPr="002004BD" w:rsidRDefault="006B56F7" w:rsidP="005E000D">
      <w:pPr>
        <w:pStyle w:val="SCCLsocLastPartyInRole"/>
        <w:widowControl w:val="0"/>
        <w:rPr>
          <w:lang w:val="fr-CA"/>
        </w:rPr>
      </w:pPr>
      <w:r w:rsidRPr="002004BD">
        <w:rPr>
          <w:lang w:val="fr-CA"/>
        </w:rPr>
        <w:t>Banque Amex du Canada</w:t>
      </w:r>
      <w:r w:rsidR="00A550D3" w:rsidRPr="002004BD">
        <w:rPr>
          <w:rStyle w:val="SCCLsocPartyRole"/>
          <w:lang w:val="fr-CA"/>
        </w:rPr>
        <w:tab/>
        <w:t>Appelant</w:t>
      </w:r>
      <w:r w:rsidRPr="002004BD">
        <w:rPr>
          <w:rStyle w:val="SCCLsocPartyRole"/>
          <w:lang w:val="fr-CA"/>
        </w:rPr>
        <w:t>e</w:t>
      </w:r>
    </w:p>
    <w:p w:rsidR="00826C41" w:rsidRPr="002004BD" w:rsidRDefault="006B56F7" w:rsidP="005E000D">
      <w:pPr>
        <w:pStyle w:val="SCCLsocVersus"/>
        <w:widowControl w:val="0"/>
        <w:rPr>
          <w:lang w:val="fr-CA"/>
        </w:rPr>
      </w:pPr>
      <w:proofErr w:type="gramStart"/>
      <w:r w:rsidRPr="002004BD">
        <w:rPr>
          <w:lang w:val="fr-CA"/>
        </w:rPr>
        <w:t>c</w:t>
      </w:r>
      <w:proofErr w:type="gramEnd"/>
      <w:r w:rsidRPr="002004BD">
        <w:rPr>
          <w:lang w:val="fr-CA"/>
        </w:rPr>
        <w:t>.</w:t>
      </w:r>
    </w:p>
    <w:p w:rsidR="00826C41" w:rsidRPr="002004BD" w:rsidRDefault="006B56F7" w:rsidP="005E000D">
      <w:pPr>
        <w:pStyle w:val="SCCLsocParty"/>
        <w:widowControl w:val="0"/>
        <w:rPr>
          <w:lang w:val="fr-CA"/>
        </w:rPr>
      </w:pPr>
      <w:proofErr w:type="spellStart"/>
      <w:r w:rsidRPr="002004BD">
        <w:rPr>
          <w:lang w:val="fr-CA"/>
        </w:rPr>
        <w:lastRenderedPageBreak/>
        <w:t>Sylvan</w:t>
      </w:r>
      <w:proofErr w:type="spellEnd"/>
      <w:r w:rsidRPr="002004BD">
        <w:rPr>
          <w:lang w:val="fr-CA"/>
        </w:rPr>
        <w:t xml:space="preserve"> Adams</w:t>
      </w:r>
      <w:r w:rsidR="00BE6E7C">
        <w:rPr>
          <w:lang w:val="fr-CA"/>
        </w:rPr>
        <w:t>,</w:t>
      </w:r>
      <w:r w:rsidR="00A550D3" w:rsidRPr="002004BD">
        <w:rPr>
          <w:lang w:val="fr-CA"/>
        </w:rPr>
        <w:t xml:space="preserve"> p</w:t>
      </w:r>
      <w:r w:rsidRPr="002004BD">
        <w:rPr>
          <w:lang w:val="fr-CA"/>
        </w:rPr>
        <w:t>rocureur général du Québec</w:t>
      </w:r>
      <w:r w:rsidR="00A550D3" w:rsidRPr="002004BD">
        <w:rPr>
          <w:lang w:val="fr-CA"/>
        </w:rPr>
        <w:t xml:space="preserve"> et </w:t>
      </w:r>
    </w:p>
    <w:p w:rsidR="00826C41" w:rsidRPr="002004BD" w:rsidRDefault="004C7F6C" w:rsidP="005E000D">
      <w:pPr>
        <w:pStyle w:val="SCCLsocLastPartyInRole"/>
        <w:widowControl w:val="0"/>
        <w:rPr>
          <w:lang w:val="fr-CA"/>
        </w:rPr>
      </w:pPr>
      <w:proofErr w:type="gramStart"/>
      <w:r>
        <w:rPr>
          <w:lang w:val="fr-CA"/>
        </w:rPr>
        <w:t>p</w:t>
      </w:r>
      <w:r w:rsidR="006B56F7" w:rsidRPr="002004BD">
        <w:rPr>
          <w:lang w:val="fr-CA"/>
        </w:rPr>
        <w:t>résident</w:t>
      </w:r>
      <w:proofErr w:type="gramEnd"/>
      <w:r w:rsidR="006B56F7" w:rsidRPr="002004BD">
        <w:rPr>
          <w:lang w:val="fr-CA"/>
        </w:rPr>
        <w:t xml:space="preserve"> de l</w:t>
      </w:r>
      <w:r w:rsidR="009638A7">
        <w:rPr>
          <w:lang w:val="fr-CA"/>
        </w:rPr>
        <w:t>’</w:t>
      </w:r>
      <w:r w:rsidR="006B56F7" w:rsidRPr="002004BD">
        <w:rPr>
          <w:lang w:val="fr-CA"/>
        </w:rPr>
        <w:t>Office de la protection du consommateur</w:t>
      </w:r>
      <w:r w:rsidR="006B56F7" w:rsidRPr="002004BD">
        <w:rPr>
          <w:rStyle w:val="SCCLsocPartyRole"/>
          <w:lang w:val="fr-CA"/>
        </w:rPr>
        <w:tab/>
      </w:r>
      <w:r w:rsidR="00A550D3" w:rsidRPr="002004BD">
        <w:rPr>
          <w:rStyle w:val="SCCLsocPartyRole"/>
          <w:lang w:val="fr-CA"/>
        </w:rPr>
        <w:t>Intimé</w:t>
      </w:r>
      <w:r w:rsidR="006B56F7" w:rsidRPr="002004BD">
        <w:rPr>
          <w:rStyle w:val="SCCLsocPartyRole"/>
          <w:lang w:val="fr-CA"/>
        </w:rPr>
        <w:t>s</w:t>
      </w:r>
    </w:p>
    <w:p w:rsidR="00826C41" w:rsidRPr="002004BD" w:rsidRDefault="006B56F7" w:rsidP="005E000D">
      <w:pPr>
        <w:pStyle w:val="SCCLsocOtherPartySeparator"/>
        <w:widowControl w:val="0"/>
        <w:rPr>
          <w:lang w:val="fr-CA"/>
        </w:rPr>
      </w:pPr>
      <w:proofErr w:type="gramStart"/>
      <w:r w:rsidRPr="002004BD">
        <w:rPr>
          <w:lang w:val="fr-CA"/>
        </w:rPr>
        <w:t>et</w:t>
      </w:r>
      <w:proofErr w:type="gramEnd"/>
    </w:p>
    <w:p w:rsidR="00A550D3" w:rsidRPr="002004BD" w:rsidRDefault="006B56F7" w:rsidP="005E000D">
      <w:pPr>
        <w:pStyle w:val="SCCLsocParty"/>
        <w:widowControl w:val="0"/>
        <w:rPr>
          <w:lang w:val="fr-CA"/>
        </w:rPr>
      </w:pPr>
      <w:r w:rsidRPr="002004BD">
        <w:rPr>
          <w:lang w:val="fr-CA"/>
        </w:rPr>
        <w:t>Procureur général du Canada,</w:t>
      </w:r>
      <w:r w:rsidR="00A550D3" w:rsidRPr="002004BD">
        <w:rPr>
          <w:lang w:val="fr-CA"/>
        </w:rPr>
        <w:t xml:space="preserve"> p</w:t>
      </w:r>
      <w:r w:rsidRPr="002004BD">
        <w:rPr>
          <w:lang w:val="fr-CA"/>
        </w:rPr>
        <w:t xml:space="preserve">rocureur général </w:t>
      </w:r>
    </w:p>
    <w:p w:rsidR="00826C41" w:rsidRPr="002004BD" w:rsidRDefault="006B56F7" w:rsidP="005E000D">
      <w:pPr>
        <w:pStyle w:val="SCCLsocParty"/>
        <w:widowControl w:val="0"/>
        <w:rPr>
          <w:lang w:val="fr-CA"/>
        </w:rPr>
      </w:pPr>
      <w:proofErr w:type="gramStart"/>
      <w:r w:rsidRPr="002004BD">
        <w:rPr>
          <w:lang w:val="fr-CA"/>
        </w:rPr>
        <w:t>de</w:t>
      </w:r>
      <w:proofErr w:type="gramEnd"/>
      <w:r w:rsidRPr="002004BD">
        <w:rPr>
          <w:lang w:val="fr-CA"/>
        </w:rPr>
        <w:t xml:space="preserve"> l</w:t>
      </w:r>
      <w:r w:rsidR="009638A7">
        <w:rPr>
          <w:lang w:val="fr-CA"/>
        </w:rPr>
        <w:t>’</w:t>
      </w:r>
      <w:r w:rsidRPr="002004BD">
        <w:rPr>
          <w:lang w:val="fr-CA"/>
        </w:rPr>
        <w:t>Ontario,</w:t>
      </w:r>
      <w:r w:rsidR="00A550D3" w:rsidRPr="002004BD">
        <w:rPr>
          <w:lang w:val="fr-CA"/>
        </w:rPr>
        <w:t xml:space="preserve"> p</w:t>
      </w:r>
      <w:r w:rsidRPr="002004BD">
        <w:rPr>
          <w:lang w:val="fr-CA"/>
        </w:rPr>
        <w:t>rocureur général de l</w:t>
      </w:r>
      <w:r w:rsidR="009638A7">
        <w:rPr>
          <w:lang w:val="fr-CA"/>
        </w:rPr>
        <w:t>’</w:t>
      </w:r>
      <w:r w:rsidRPr="002004BD">
        <w:rPr>
          <w:lang w:val="fr-CA"/>
        </w:rPr>
        <w:t>Alberta</w:t>
      </w:r>
      <w:r w:rsidR="00A550D3" w:rsidRPr="002004BD">
        <w:rPr>
          <w:lang w:val="fr-CA"/>
        </w:rPr>
        <w:t xml:space="preserve"> et </w:t>
      </w:r>
    </w:p>
    <w:p w:rsidR="00826C41" w:rsidRPr="002004BD" w:rsidRDefault="00A550D3" w:rsidP="005E000D">
      <w:pPr>
        <w:pStyle w:val="SCCLsocLastPartyInRole"/>
        <w:widowControl w:val="0"/>
        <w:rPr>
          <w:lang w:val="fr-CA"/>
        </w:rPr>
      </w:pPr>
      <w:r w:rsidRPr="002004BD">
        <w:rPr>
          <w:lang w:val="fr-CA"/>
        </w:rPr>
        <w:t>Association des b</w:t>
      </w:r>
      <w:r w:rsidR="006B56F7" w:rsidRPr="002004BD">
        <w:rPr>
          <w:lang w:val="fr-CA"/>
        </w:rPr>
        <w:t xml:space="preserve">anquiers </w:t>
      </w:r>
      <w:r w:rsidRPr="002004BD">
        <w:rPr>
          <w:lang w:val="fr-CA"/>
        </w:rPr>
        <w:t>c</w:t>
      </w:r>
      <w:r w:rsidR="006B56F7" w:rsidRPr="002004BD">
        <w:rPr>
          <w:lang w:val="fr-CA"/>
        </w:rPr>
        <w:t>anadiens</w:t>
      </w:r>
      <w:r w:rsidRPr="002004BD">
        <w:rPr>
          <w:rStyle w:val="SCCLsocPartyRole"/>
          <w:lang w:val="fr-CA"/>
        </w:rPr>
        <w:tab/>
        <w:t>Intervenant</w:t>
      </w:r>
      <w:r w:rsidR="006B56F7" w:rsidRPr="002004BD">
        <w:rPr>
          <w:rStyle w:val="SCCLsocPartyRole"/>
          <w:lang w:val="fr-CA"/>
        </w:rPr>
        <w:t>s</w:t>
      </w:r>
    </w:p>
    <w:p w:rsidR="004D7D95" w:rsidRPr="002004BD" w:rsidRDefault="004D7D95" w:rsidP="005E000D">
      <w:pPr>
        <w:widowControl w:val="0"/>
        <w:spacing w:after="720"/>
        <w:jc w:val="both"/>
        <w:rPr>
          <w:b/>
          <w:lang w:val="fr-CA"/>
        </w:rPr>
      </w:pPr>
      <w:r w:rsidRPr="002004BD">
        <w:rPr>
          <w:b/>
          <w:lang w:val="fr-CA"/>
        </w:rPr>
        <w:t>Répertorié</w:t>
      </w:r>
      <w:r w:rsidR="00BE6E7C">
        <w:rPr>
          <w:b/>
          <w:lang w:val="fr-CA"/>
        </w:rPr>
        <w:t xml:space="preserve"> : </w:t>
      </w:r>
      <w:r w:rsidRPr="002004BD">
        <w:rPr>
          <w:b/>
          <w:lang w:val="fr-CA"/>
        </w:rPr>
        <w:t xml:space="preserve">Banque Amex du Canada </w:t>
      </w:r>
      <w:r w:rsidRPr="002004BD">
        <w:rPr>
          <w:b/>
          <w:i/>
          <w:lang w:val="fr-CA"/>
        </w:rPr>
        <w:t>c.</w:t>
      </w:r>
      <w:r w:rsidRPr="002004BD">
        <w:rPr>
          <w:b/>
          <w:lang w:val="fr-CA"/>
        </w:rPr>
        <w:t xml:space="preserve"> Adams</w:t>
      </w:r>
    </w:p>
    <w:p w:rsidR="004D7D95" w:rsidRPr="002004BD" w:rsidRDefault="00F62639" w:rsidP="005E000D">
      <w:pPr>
        <w:pStyle w:val="SCCSystemYear"/>
        <w:widowControl w:val="0"/>
        <w:spacing w:after="720"/>
        <w:jc w:val="both"/>
        <w:rPr>
          <w:lang w:val="fr-CA"/>
        </w:rPr>
      </w:pPr>
      <w:r w:rsidRPr="002004BD">
        <w:rPr>
          <w:lang w:val="fr-CA"/>
        </w:rPr>
        <w:t>2014</w:t>
      </w:r>
      <w:r w:rsidR="008D51FF" w:rsidRPr="002004BD">
        <w:rPr>
          <w:lang w:val="fr-CA"/>
        </w:rPr>
        <w:t xml:space="preserve"> CSC</w:t>
      </w:r>
      <w:r w:rsidR="00BE6E7C">
        <w:rPr>
          <w:lang w:val="fr-CA"/>
        </w:rPr>
        <w:t xml:space="preserve"> </w:t>
      </w:r>
      <w:r w:rsidR="008D51FF" w:rsidRPr="002004BD">
        <w:rPr>
          <w:lang w:val="fr-CA"/>
        </w:rPr>
        <w:t>56</w:t>
      </w:r>
    </w:p>
    <w:p w:rsidR="004D7D95" w:rsidRPr="002004BD" w:rsidRDefault="004D7D95" w:rsidP="005E000D">
      <w:pPr>
        <w:widowControl w:val="0"/>
        <w:spacing w:after="720"/>
        <w:jc w:val="both"/>
        <w:rPr>
          <w:lang w:val="fr-CA"/>
        </w:rPr>
      </w:pPr>
      <w:r w:rsidRPr="002004BD">
        <w:rPr>
          <w:lang w:val="fr-CA"/>
        </w:rPr>
        <w:t>N</w:t>
      </w:r>
      <w:r w:rsidRPr="002004BD">
        <w:rPr>
          <w:vertAlign w:val="superscript"/>
          <w:lang w:val="fr-CA"/>
        </w:rPr>
        <w:t>o</w:t>
      </w:r>
      <w:r w:rsidRPr="002004BD">
        <w:rPr>
          <w:lang w:val="fr-CA"/>
        </w:rPr>
        <w:t xml:space="preserve"> du greffe</w:t>
      </w:r>
      <w:r w:rsidR="00BE6E7C">
        <w:rPr>
          <w:lang w:val="fr-CA"/>
        </w:rPr>
        <w:t xml:space="preserve"> : </w:t>
      </w:r>
      <w:r w:rsidRPr="002004BD">
        <w:rPr>
          <w:lang w:val="fr-CA"/>
        </w:rPr>
        <w:t>35033.</w:t>
      </w:r>
    </w:p>
    <w:p w:rsidR="004D7D95" w:rsidRPr="002004BD" w:rsidRDefault="00F62639" w:rsidP="005E000D">
      <w:pPr>
        <w:widowControl w:val="0"/>
        <w:spacing w:after="720"/>
        <w:jc w:val="both"/>
        <w:rPr>
          <w:lang w:val="fr-CA"/>
        </w:rPr>
      </w:pPr>
      <w:r w:rsidRPr="002004BD">
        <w:rPr>
          <w:lang w:val="fr-CA"/>
        </w:rPr>
        <w:t>2014</w:t>
      </w:r>
      <w:r w:rsidR="00BE6E7C">
        <w:rPr>
          <w:lang w:val="fr-CA"/>
        </w:rPr>
        <w:t xml:space="preserve"> : </w:t>
      </w:r>
      <w:r w:rsidRPr="002004BD">
        <w:rPr>
          <w:lang w:val="fr-CA"/>
        </w:rPr>
        <w:t>13</w:t>
      </w:r>
      <w:r w:rsidR="00BE6E7C">
        <w:rPr>
          <w:lang w:val="fr-CA"/>
        </w:rPr>
        <w:t xml:space="preserve"> </w:t>
      </w:r>
      <w:r w:rsidRPr="002004BD">
        <w:rPr>
          <w:lang w:val="fr-CA"/>
        </w:rPr>
        <w:t>février</w:t>
      </w:r>
      <w:r w:rsidR="00093D23" w:rsidRPr="002004BD">
        <w:rPr>
          <w:lang w:val="fr-CA"/>
        </w:rPr>
        <w:t>; 2014</w:t>
      </w:r>
      <w:r w:rsidR="00BE6E7C">
        <w:rPr>
          <w:lang w:val="fr-CA"/>
        </w:rPr>
        <w:t xml:space="preserve"> : </w:t>
      </w:r>
      <w:r w:rsidR="00093D23" w:rsidRPr="002004BD">
        <w:rPr>
          <w:lang w:val="fr-CA"/>
        </w:rPr>
        <w:t>19</w:t>
      </w:r>
      <w:r w:rsidR="00BE6E7C">
        <w:rPr>
          <w:lang w:val="fr-CA"/>
        </w:rPr>
        <w:t xml:space="preserve"> </w:t>
      </w:r>
      <w:r w:rsidR="00093D23" w:rsidRPr="002004BD">
        <w:rPr>
          <w:lang w:val="fr-CA"/>
        </w:rPr>
        <w:t>septembre</w:t>
      </w:r>
      <w:r w:rsidR="004D7D95" w:rsidRPr="002004BD">
        <w:rPr>
          <w:lang w:val="fr-CA"/>
        </w:rPr>
        <w:t>.</w:t>
      </w:r>
    </w:p>
    <w:p w:rsidR="004D7D95" w:rsidRPr="002004BD" w:rsidRDefault="004D7D95" w:rsidP="005E000D">
      <w:pPr>
        <w:widowControl w:val="0"/>
        <w:spacing w:after="720"/>
        <w:jc w:val="both"/>
        <w:rPr>
          <w:lang w:val="fr-CA"/>
        </w:rPr>
      </w:pPr>
      <w:r w:rsidRPr="002004BD">
        <w:rPr>
          <w:lang w:val="fr-CA"/>
        </w:rPr>
        <w:t>Présents</w:t>
      </w:r>
      <w:r w:rsidR="00BE6E7C">
        <w:rPr>
          <w:lang w:val="fr-CA"/>
        </w:rPr>
        <w:t xml:space="preserve"> : </w:t>
      </w:r>
      <w:r w:rsidRPr="002004BD">
        <w:rPr>
          <w:lang w:val="fr-CA"/>
        </w:rPr>
        <w:t xml:space="preserve">La juge en chef </w:t>
      </w:r>
      <w:proofErr w:type="spellStart"/>
      <w:r w:rsidRPr="002004BD">
        <w:rPr>
          <w:lang w:val="fr-CA"/>
        </w:rPr>
        <w:t>McLachlin</w:t>
      </w:r>
      <w:proofErr w:type="spellEnd"/>
      <w:r w:rsidRPr="002004BD">
        <w:rPr>
          <w:lang w:val="fr-CA"/>
        </w:rPr>
        <w:t xml:space="preserve"> et les juges </w:t>
      </w:r>
      <w:proofErr w:type="spellStart"/>
      <w:r w:rsidRPr="002004BD">
        <w:rPr>
          <w:lang w:val="fr-CA"/>
        </w:rPr>
        <w:t>LeBel</w:t>
      </w:r>
      <w:proofErr w:type="spellEnd"/>
      <w:r w:rsidRPr="002004BD">
        <w:rPr>
          <w:lang w:val="fr-CA"/>
        </w:rPr>
        <w:t xml:space="preserve">, Abella, </w:t>
      </w:r>
      <w:proofErr w:type="spellStart"/>
      <w:r w:rsidRPr="002004BD">
        <w:rPr>
          <w:lang w:val="fr-CA"/>
        </w:rPr>
        <w:t>Rothstein</w:t>
      </w:r>
      <w:proofErr w:type="spellEnd"/>
      <w:r w:rsidRPr="002004BD">
        <w:rPr>
          <w:lang w:val="fr-CA"/>
        </w:rPr>
        <w:t xml:space="preserve">, Cromwell, </w:t>
      </w:r>
      <w:proofErr w:type="spellStart"/>
      <w:r w:rsidRPr="002004BD">
        <w:rPr>
          <w:lang w:val="fr-CA"/>
        </w:rPr>
        <w:t>Moldaver</w:t>
      </w:r>
      <w:proofErr w:type="spellEnd"/>
      <w:r w:rsidRPr="002004BD">
        <w:rPr>
          <w:lang w:val="fr-CA"/>
        </w:rPr>
        <w:t xml:space="preserve"> et Wagner.</w:t>
      </w:r>
    </w:p>
    <w:p w:rsidR="004D7D95" w:rsidRPr="002004BD" w:rsidRDefault="004D7D95" w:rsidP="005E000D">
      <w:pPr>
        <w:widowControl w:val="0"/>
        <w:spacing w:after="720"/>
        <w:jc w:val="both"/>
        <w:rPr>
          <w:smallCaps/>
          <w:lang w:val="fr-CA"/>
        </w:rPr>
      </w:pPr>
      <w:r w:rsidRPr="002004BD">
        <w:rPr>
          <w:smallCaps/>
          <w:lang w:val="fr-CA"/>
        </w:rPr>
        <w:t>en appel de la c</w:t>
      </w:r>
      <w:r w:rsidR="00A550D3" w:rsidRPr="002004BD">
        <w:rPr>
          <w:smallCaps/>
          <w:lang w:val="fr-CA"/>
        </w:rPr>
        <w:t>our d</w:t>
      </w:r>
      <w:r w:rsidR="009638A7">
        <w:rPr>
          <w:smallCaps/>
          <w:lang w:val="fr-CA"/>
        </w:rPr>
        <w:t>’</w:t>
      </w:r>
      <w:r w:rsidR="00A550D3" w:rsidRPr="002004BD">
        <w:rPr>
          <w:smallCaps/>
          <w:lang w:val="fr-CA"/>
        </w:rPr>
        <w:t xml:space="preserve">appel du </w:t>
      </w:r>
      <w:proofErr w:type="spellStart"/>
      <w:r w:rsidR="00A550D3" w:rsidRPr="002004BD">
        <w:rPr>
          <w:smallCaps/>
          <w:lang w:val="fr-CA"/>
        </w:rPr>
        <w:t>québec</w:t>
      </w:r>
      <w:proofErr w:type="spellEnd"/>
      <w:r w:rsidR="00A550D3" w:rsidRPr="002004BD">
        <w:rPr>
          <w:smallCaps/>
          <w:lang w:val="fr-CA"/>
        </w:rPr>
        <w:t xml:space="preserve"> </w:t>
      </w:r>
    </w:p>
    <w:p w:rsidR="00F67216" w:rsidRPr="002004BD" w:rsidRDefault="00F67216" w:rsidP="005E000D">
      <w:pPr>
        <w:pStyle w:val="SCCNormalDoubleSpacing"/>
        <w:widowControl w:val="0"/>
        <w:spacing w:after="480"/>
        <w:rPr>
          <w:i/>
          <w:lang w:val="fr-CA"/>
        </w:rPr>
      </w:pPr>
      <w:r w:rsidRPr="002004BD">
        <w:rPr>
          <w:lang w:val="fr-CA"/>
        </w:rPr>
        <w:tab/>
      </w:r>
      <w:r w:rsidRPr="002004BD">
        <w:rPr>
          <w:i/>
          <w:lang w:val="fr-CA"/>
        </w:rPr>
        <w:t>Protection du consommateur — Contrats de crédit — Contrats de crédit variable — Cartes de crédit et cartes de paiement — Obligation d</w:t>
      </w:r>
      <w:r w:rsidR="009638A7">
        <w:rPr>
          <w:i/>
          <w:lang w:val="fr-CA"/>
        </w:rPr>
        <w:t>’</w:t>
      </w:r>
      <w:r w:rsidRPr="002004BD">
        <w:rPr>
          <w:i/>
          <w:lang w:val="fr-CA"/>
        </w:rPr>
        <w:t xml:space="preserve">indiquer les frais applicables dans un contrat — Réparation appropriée en cas de manquement à cette obligation — </w:t>
      </w:r>
      <w:r w:rsidRPr="002004BD">
        <w:rPr>
          <w:i/>
          <w:iCs/>
          <w:lang w:val="fr-CA"/>
        </w:rPr>
        <w:t xml:space="preserve">Frais de conversion sur les opérations en devises étrangères imposés par des institutions financières aux titulaires de cartes </w:t>
      </w:r>
      <w:r w:rsidRPr="002004BD">
        <w:rPr>
          <w:i/>
          <w:lang w:val="fr-CA"/>
        </w:rPr>
        <w:t xml:space="preserve">— Recours collectifs — Amex </w:t>
      </w:r>
      <w:r w:rsidRPr="002004BD">
        <w:rPr>
          <w:i/>
          <w:lang w:val="fr-CA"/>
        </w:rPr>
        <w:lastRenderedPageBreak/>
        <w:t>a</w:t>
      </w:r>
      <w:r w:rsidR="005246F9">
        <w:rPr>
          <w:i/>
          <w:lang w:val="fr-CA"/>
        </w:rPr>
        <w:t>-</w:t>
      </w:r>
      <w:r w:rsidRPr="002004BD">
        <w:rPr>
          <w:i/>
          <w:lang w:val="fr-CA"/>
        </w:rPr>
        <w:t>t</w:t>
      </w:r>
      <w:r w:rsidR="005246F9">
        <w:rPr>
          <w:i/>
          <w:lang w:val="fr-CA"/>
        </w:rPr>
        <w:t>-</w:t>
      </w:r>
      <w:r w:rsidRPr="002004BD">
        <w:rPr>
          <w:i/>
          <w:lang w:val="fr-CA"/>
        </w:rPr>
        <w:t xml:space="preserve">elle omis </w:t>
      </w:r>
      <w:r w:rsidRPr="002004BD">
        <w:rPr>
          <w:i/>
          <w:iCs/>
          <w:lang w:val="fr-CA"/>
        </w:rPr>
        <w:t>d</w:t>
      </w:r>
      <w:r w:rsidR="009638A7">
        <w:rPr>
          <w:i/>
          <w:iCs/>
          <w:lang w:val="fr-CA"/>
        </w:rPr>
        <w:t>’</w:t>
      </w:r>
      <w:r w:rsidRPr="002004BD">
        <w:rPr>
          <w:i/>
          <w:iCs/>
          <w:lang w:val="fr-CA"/>
        </w:rPr>
        <w:t xml:space="preserve">indiquer les frais de conversion aux titulaires de cartes? </w:t>
      </w:r>
      <w:r w:rsidRPr="002004BD">
        <w:rPr>
          <w:i/>
          <w:lang w:val="fr-CA"/>
        </w:rPr>
        <w:t xml:space="preserve">— </w:t>
      </w:r>
      <w:r w:rsidRPr="002004BD">
        <w:rPr>
          <w:i/>
          <w:iCs/>
          <w:lang w:val="fr-CA"/>
        </w:rPr>
        <w:t>Le remboursement des frais de conversion perçus des membres du groupe qui sont des consommateurs d</w:t>
      </w:r>
      <w:r w:rsidR="00B30F5B">
        <w:rPr>
          <w:i/>
          <w:iCs/>
          <w:lang w:val="fr-CA"/>
        </w:rPr>
        <w:t>o</w:t>
      </w:r>
      <w:r w:rsidRPr="002004BD">
        <w:rPr>
          <w:i/>
          <w:iCs/>
          <w:lang w:val="fr-CA"/>
        </w:rPr>
        <w:t>it</w:t>
      </w:r>
      <w:r w:rsidR="005246F9">
        <w:rPr>
          <w:i/>
          <w:iCs/>
          <w:lang w:val="fr-CA"/>
        </w:rPr>
        <w:t>-</w:t>
      </w:r>
      <w:r w:rsidRPr="002004BD">
        <w:rPr>
          <w:i/>
          <w:iCs/>
          <w:lang w:val="fr-CA"/>
        </w:rPr>
        <w:t xml:space="preserve">il être ordonné? </w:t>
      </w:r>
      <w:r w:rsidRPr="002004BD">
        <w:rPr>
          <w:i/>
          <w:lang w:val="fr-CA"/>
        </w:rPr>
        <w:t xml:space="preserve">— </w:t>
      </w:r>
      <w:r w:rsidRPr="002004BD">
        <w:rPr>
          <w:i/>
          <w:iCs/>
          <w:lang w:val="fr-CA"/>
        </w:rPr>
        <w:t>Loi sur la protection du consommateur, RLRQ,</w:t>
      </w:r>
      <w:r w:rsidRPr="002004BD">
        <w:rPr>
          <w:i/>
          <w:lang w:val="fr-CA"/>
        </w:rPr>
        <w:t xml:space="preserve"> </w:t>
      </w:r>
      <w:r w:rsidR="002004BD">
        <w:rPr>
          <w:i/>
          <w:lang w:val="fr-CA"/>
        </w:rPr>
        <w:t>ch.</w:t>
      </w:r>
      <w:r w:rsidR="00BE6E7C">
        <w:rPr>
          <w:i/>
          <w:lang w:val="fr-CA"/>
        </w:rPr>
        <w:t xml:space="preserve"> </w:t>
      </w:r>
      <w:r w:rsidRPr="002004BD">
        <w:rPr>
          <w:i/>
          <w:lang w:val="fr-CA"/>
        </w:rPr>
        <w:t>P</w:t>
      </w:r>
      <w:r w:rsidR="005246F9">
        <w:rPr>
          <w:i/>
          <w:lang w:val="fr-CA"/>
        </w:rPr>
        <w:t>-</w:t>
      </w:r>
      <w:r w:rsidRPr="002004BD">
        <w:rPr>
          <w:i/>
          <w:lang w:val="fr-CA"/>
        </w:rPr>
        <w:t xml:space="preserve">40.1, </w:t>
      </w:r>
      <w:r w:rsidR="002004BD">
        <w:rPr>
          <w:i/>
          <w:lang w:val="fr-CA"/>
        </w:rPr>
        <w:t>art.</w:t>
      </w:r>
      <w:r w:rsidR="00BE6E7C">
        <w:rPr>
          <w:i/>
          <w:lang w:val="fr-CA"/>
        </w:rPr>
        <w:t xml:space="preserve"> </w:t>
      </w:r>
      <w:r w:rsidRPr="002004BD">
        <w:rPr>
          <w:i/>
          <w:lang w:val="fr-CA"/>
        </w:rPr>
        <w:t>12</w:t>
      </w:r>
      <w:r w:rsidR="004C7F6C">
        <w:rPr>
          <w:i/>
          <w:lang w:val="fr-CA"/>
        </w:rPr>
        <w:t>,</w:t>
      </w:r>
      <w:r w:rsidRPr="002004BD">
        <w:rPr>
          <w:i/>
          <w:lang w:val="fr-CA"/>
        </w:rPr>
        <w:t xml:space="preserve"> 272.</w:t>
      </w:r>
    </w:p>
    <w:p w:rsidR="00F67216" w:rsidRPr="002004BD" w:rsidRDefault="00F67216" w:rsidP="005E000D">
      <w:pPr>
        <w:pStyle w:val="SCCNormalDoubleSpacing"/>
        <w:widowControl w:val="0"/>
        <w:spacing w:after="480"/>
        <w:rPr>
          <w:i/>
          <w:lang w:val="fr-CA"/>
        </w:rPr>
      </w:pPr>
      <w:r w:rsidRPr="002004BD">
        <w:rPr>
          <w:i/>
          <w:lang w:val="fr-CA"/>
        </w:rPr>
        <w:tab/>
        <w:t>Réception de l</w:t>
      </w:r>
      <w:r w:rsidR="009638A7">
        <w:rPr>
          <w:i/>
          <w:lang w:val="fr-CA"/>
        </w:rPr>
        <w:t>’</w:t>
      </w:r>
      <w:r w:rsidRPr="002004BD">
        <w:rPr>
          <w:i/>
          <w:lang w:val="fr-CA"/>
        </w:rPr>
        <w:t>indu — Contrats de crédit — Cartes de crédit et cartes de paiement — Paiement fait par erreur — Recours collectifs — Les conventions régissant l</w:t>
      </w:r>
      <w:r w:rsidR="009638A7">
        <w:rPr>
          <w:i/>
          <w:lang w:val="fr-CA"/>
        </w:rPr>
        <w:t>’</w:t>
      </w:r>
      <w:r w:rsidRPr="002004BD">
        <w:rPr>
          <w:i/>
          <w:lang w:val="fr-CA"/>
        </w:rPr>
        <w:t>utilisation des cartes prévoyaient</w:t>
      </w:r>
      <w:r w:rsidR="00A40260">
        <w:rPr>
          <w:i/>
          <w:lang w:val="fr-CA"/>
        </w:rPr>
        <w:t>-</w:t>
      </w:r>
      <w:r w:rsidRPr="002004BD">
        <w:rPr>
          <w:i/>
          <w:lang w:val="fr-CA"/>
        </w:rPr>
        <w:t>elles l</w:t>
      </w:r>
      <w:r w:rsidR="009638A7">
        <w:rPr>
          <w:i/>
          <w:lang w:val="fr-CA"/>
        </w:rPr>
        <w:t>’</w:t>
      </w:r>
      <w:r w:rsidRPr="002004BD">
        <w:rPr>
          <w:i/>
          <w:lang w:val="fr-CA"/>
        </w:rPr>
        <w:t>obligation de payer des frais de conversion? — Amex doit</w:t>
      </w:r>
      <w:r w:rsidR="00BE6E7C">
        <w:rPr>
          <w:i/>
          <w:lang w:val="fr-CA"/>
        </w:rPr>
        <w:t>-</w:t>
      </w:r>
      <w:r w:rsidRPr="002004BD">
        <w:rPr>
          <w:i/>
          <w:lang w:val="fr-CA"/>
        </w:rPr>
        <w:t>elle restituer aux membres du groupe qui ne sont pas des consommateurs les frais de conversion payés? — La restitution aurait</w:t>
      </w:r>
      <w:r w:rsidR="00BE6E7C">
        <w:rPr>
          <w:i/>
          <w:lang w:val="fr-CA"/>
        </w:rPr>
        <w:t>-</w:t>
      </w:r>
      <w:r w:rsidRPr="002004BD">
        <w:rPr>
          <w:i/>
          <w:lang w:val="fr-CA"/>
        </w:rPr>
        <w:t>elle pour effet d</w:t>
      </w:r>
      <w:r w:rsidR="009638A7">
        <w:rPr>
          <w:i/>
          <w:lang w:val="fr-CA"/>
        </w:rPr>
        <w:t>’</w:t>
      </w:r>
      <w:r w:rsidRPr="002004BD">
        <w:rPr>
          <w:i/>
          <w:lang w:val="fr-CA"/>
        </w:rPr>
        <w:t xml:space="preserve">accorder un avantage indu aux adhérents? — Code civil du Québec, </w:t>
      </w:r>
      <w:r w:rsidR="002004BD">
        <w:rPr>
          <w:i/>
          <w:lang w:val="fr-CA"/>
        </w:rPr>
        <w:t>art.</w:t>
      </w:r>
      <w:r w:rsidR="00BE6E7C">
        <w:rPr>
          <w:i/>
          <w:lang w:val="fr-CA"/>
        </w:rPr>
        <w:t xml:space="preserve"> </w:t>
      </w:r>
      <w:r w:rsidRPr="002004BD">
        <w:rPr>
          <w:i/>
          <w:lang w:val="fr-CA"/>
        </w:rPr>
        <w:t>1491, 1492, 1554</w:t>
      </w:r>
      <w:r w:rsidR="004C7F6C">
        <w:rPr>
          <w:i/>
          <w:lang w:val="fr-CA"/>
        </w:rPr>
        <w:t>,</w:t>
      </w:r>
      <w:r w:rsidRPr="002004BD">
        <w:rPr>
          <w:i/>
          <w:lang w:val="fr-CA"/>
        </w:rPr>
        <w:t xml:space="preserve"> 1699.</w:t>
      </w:r>
    </w:p>
    <w:p w:rsidR="00F67216" w:rsidRPr="002004BD" w:rsidRDefault="00F67216" w:rsidP="005E000D">
      <w:pPr>
        <w:pStyle w:val="SCCNormalDoubleSpacing"/>
        <w:widowControl w:val="0"/>
        <w:spacing w:after="480"/>
        <w:rPr>
          <w:i/>
          <w:lang w:val="fr-CA"/>
        </w:rPr>
      </w:pPr>
      <w:r w:rsidRPr="002004BD">
        <w:rPr>
          <w:i/>
          <w:lang w:val="fr-CA"/>
        </w:rPr>
        <w:tab/>
        <w:t xml:space="preserve">Droit constitutionnel — Partage des </w:t>
      </w:r>
      <w:r w:rsidR="00B30F5B">
        <w:rPr>
          <w:i/>
          <w:lang w:val="fr-CA"/>
        </w:rPr>
        <w:t>compétences</w:t>
      </w:r>
      <w:r w:rsidRPr="002004BD">
        <w:rPr>
          <w:i/>
          <w:lang w:val="fr-CA"/>
        </w:rPr>
        <w:t xml:space="preserve"> — Banques —</w:t>
      </w:r>
      <w:r w:rsidR="00115B13" w:rsidRPr="002004BD">
        <w:rPr>
          <w:i/>
          <w:lang w:val="fr-CA"/>
        </w:rPr>
        <w:t xml:space="preserve"> Doctrine de l</w:t>
      </w:r>
      <w:r w:rsidR="009638A7">
        <w:rPr>
          <w:i/>
          <w:lang w:val="fr-CA"/>
        </w:rPr>
        <w:t>’</w:t>
      </w:r>
      <w:r w:rsidR="00115B13" w:rsidRPr="002004BD">
        <w:rPr>
          <w:i/>
          <w:lang w:val="fr-CA"/>
        </w:rPr>
        <w:t>e</w:t>
      </w:r>
      <w:r w:rsidRPr="002004BD">
        <w:rPr>
          <w:i/>
          <w:lang w:val="fr-CA"/>
        </w:rPr>
        <w:t>xclusivité des compétences — Prépondérance fédérale —</w:t>
      </w:r>
      <w:r w:rsidR="00115B13" w:rsidRPr="002004BD">
        <w:rPr>
          <w:i/>
          <w:lang w:val="fr-CA"/>
        </w:rPr>
        <w:t xml:space="preserve"> </w:t>
      </w:r>
      <w:r w:rsidRPr="002004BD">
        <w:rPr>
          <w:i/>
          <w:iCs/>
          <w:lang w:val="fr-CA"/>
        </w:rPr>
        <w:t>Loi québécoise sur la protection du consommateur régissant la mention des frais de conversion applicables dans les contrats de crédit</w:t>
      </w:r>
      <w:r w:rsidRPr="002004BD">
        <w:rPr>
          <w:i/>
          <w:lang w:val="fr-CA"/>
        </w:rPr>
        <w:t xml:space="preserve"> — </w:t>
      </w:r>
      <w:r w:rsidRPr="002004BD">
        <w:rPr>
          <w:i/>
          <w:iCs/>
          <w:lang w:val="fr-CA"/>
        </w:rPr>
        <w:t>La loi provinciale est</w:t>
      </w:r>
      <w:r w:rsidR="003D5D01">
        <w:rPr>
          <w:i/>
          <w:iCs/>
          <w:lang w:val="fr-CA"/>
        </w:rPr>
        <w:t>-</w:t>
      </w:r>
      <w:r w:rsidRPr="002004BD">
        <w:rPr>
          <w:i/>
          <w:iCs/>
          <w:lang w:val="fr-CA"/>
        </w:rPr>
        <w:t>elle constitutionnellement inapplicable ou inopérante à l</w:t>
      </w:r>
      <w:r w:rsidR="009638A7">
        <w:rPr>
          <w:i/>
          <w:iCs/>
          <w:lang w:val="fr-CA"/>
        </w:rPr>
        <w:t>’</w:t>
      </w:r>
      <w:r w:rsidRPr="002004BD">
        <w:rPr>
          <w:i/>
          <w:iCs/>
          <w:lang w:val="fr-CA"/>
        </w:rPr>
        <w:t>égard des cartes de crédit et des cartes de paiement émises par des banques en raison des doctrines de l</w:t>
      </w:r>
      <w:r w:rsidR="009638A7">
        <w:rPr>
          <w:i/>
          <w:iCs/>
          <w:lang w:val="fr-CA"/>
        </w:rPr>
        <w:t>’</w:t>
      </w:r>
      <w:r w:rsidRPr="002004BD">
        <w:rPr>
          <w:i/>
          <w:iCs/>
          <w:lang w:val="fr-CA"/>
        </w:rPr>
        <w:t>exclusivité des compétences et de la prépondérance fédérale?</w:t>
      </w:r>
      <w:r w:rsidRPr="002004BD">
        <w:rPr>
          <w:i/>
          <w:lang w:val="fr-CA"/>
        </w:rPr>
        <w:t xml:space="preserve"> — Loi constitutionnelle de 1867, </w:t>
      </w:r>
      <w:r w:rsidR="002004BD">
        <w:rPr>
          <w:i/>
          <w:lang w:val="fr-CA"/>
        </w:rPr>
        <w:t>art.</w:t>
      </w:r>
      <w:r w:rsidR="00BE6E7C">
        <w:rPr>
          <w:i/>
          <w:lang w:val="fr-CA"/>
        </w:rPr>
        <w:t xml:space="preserve"> </w:t>
      </w:r>
      <w:r w:rsidRPr="002004BD">
        <w:rPr>
          <w:i/>
          <w:lang w:val="fr-CA"/>
        </w:rPr>
        <w:t>91(15)</w:t>
      </w:r>
      <w:r w:rsidR="005E000D" w:rsidRPr="005E000D">
        <w:rPr>
          <w:i/>
          <w:lang w:val="fr-CA"/>
        </w:rPr>
        <w:t xml:space="preserve"> </w:t>
      </w:r>
      <w:r w:rsidR="003D5D01">
        <w:rPr>
          <w:i/>
          <w:lang w:val="fr-CA"/>
        </w:rPr>
        <w:t>—</w:t>
      </w:r>
      <w:r w:rsidRPr="002004BD">
        <w:rPr>
          <w:i/>
          <w:lang w:val="fr-CA"/>
        </w:rPr>
        <w:t xml:space="preserve"> Loi sur la protection du consommateur, </w:t>
      </w:r>
      <w:r w:rsidRPr="002004BD">
        <w:rPr>
          <w:i/>
          <w:iCs/>
          <w:lang w:val="fr-CA"/>
        </w:rPr>
        <w:t>RLRQ</w:t>
      </w:r>
      <w:r w:rsidRPr="002004BD">
        <w:rPr>
          <w:i/>
          <w:lang w:val="fr-CA"/>
        </w:rPr>
        <w:t xml:space="preserve">, </w:t>
      </w:r>
      <w:r w:rsidR="002004BD">
        <w:rPr>
          <w:i/>
          <w:lang w:val="fr-CA"/>
        </w:rPr>
        <w:t>ch.</w:t>
      </w:r>
      <w:r w:rsidR="00BE6E7C">
        <w:rPr>
          <w:i/>
          <w:lang w:val="fr-CA"/>
        </w:rPr>
        <w:t xml:space="preserve"> </w:t>
      </w:r>
      <w:r w:rsidRPr="002004BD">
        <w:rPr>
          <w:i/>
          <w:lang w:val="fr-CA"/>
        </w:rPr>
        <w:t>P</w:t>
      </w:r>
      <w:r w:rsidR="00BE6E7C">
        <w:rPr>
          <w:i/>
          <w:lang w:val="fr-CA"/>
        </w:rPr>
        <w:t>-</w:t>
      </w:r>
      <w:r w:rsidRPr="002004BD">
        <w:rPr>
          <w:i/>
          <w:lang w:val="fr-CA"/>
        </w:rPr>
        <w:t xml:space="preserve">40.1, </w:t>
      </w:r>
      <w:r w:rsidR="002004BD">
        <w:rPr>
          <w:i/>
          <w:lang w:val="fr-CA"/>
        </w:rPr>
        <w:t>art.</w:t>
      </w:r>
      <w:r w:rsidR="00BE6E7C">
        <w:rPr>
          <w:i/>
          <w:lang w:val="fr-CA"/>
        </w:rPr>
        <w:t xml:space="preserve"> </w:t>
      </w:r>
      <w:r w:rsidRPr="002004BD">
        <w:rPr>
          <w:i/>
          <w:lang w:val="fr-CA"/>
        </w:rPr>
        <w:t>12</w:t>
      </w:r>
      <w:r w:rsidR="00061EB3">
        <w:rPr>
          <w:i/>
          <w:lang w:val="fr-CA"/>
        </w:rPr>
        <w:t>,</w:t>
      </w:r>
      <w:r w:rsidRPr="002004BD">
        <w:rPr>
          <w:i/>
          <w:lang w:val="fr-CA"/>
        </w:rPr>
        <w:t xml:space="preserve"> 272.</w:t>
      </w:r>
    </w:p>
    <w:p w:rsidR="00F67216" w:rsidRPr="002004BD" w:rsidRDefault="00F67216" w:rsidP="005E000D">
      <w:pPr>
        <w:pStyle w:val="SCCNormalDoubleSpacing"/>
        <w:widowControl w:val="0"/>
        <w:spacing w:after="480"/>
        <w:rPr>
          <w:lang w:val="fr-CA"/>
        </w:rPr>
      </w:pPr>
      <w:r w:rsidRPr="002004BD">
        <w:rPr>
          <w:lang w:val="fr-CA"/>
        </w:rPr>
        <w:tab/>
        <w:t>Les cartes de crédit et les cartes de paiement d</w:t>
      </w:r>
      <w:r w:rsidR="009638A7">
        <w:rPr>
          <w:lang w:val="fr-CA"/>
        </w:rPr>
        <w:t>’</w:t>
      </w:r>
      <w:r w:rsidRPr="002004BD">
        <w:rPr>
          <w:lang w:val="fr-CA"/>
        </w:rPr>
        <w:t>Amex permettent à leurs titulaires de faire des achats en devises étrangères</w:t>
      </w:r>
      <w:r w:rsidR="009638A7">
        <w:rPr>
          <w:lang w:val="fr-CA"/>
        </w:rPr>
        <w:t xml:space="preserve">.  </w:t>
      </w:r>
      <w:r w:rsidRPr="002004BD">
        <w:rPr>
          <w:lang w:val="fr-CA"/>
        </w:rPr>
        <w:t xml:space="preserve">Des frais de conversion </w:t>
      </w:r>
      <w:r w:rsidRPr="002004BD">
        <w:rPr>
          <w:lang w:val="fr-CA"/>
        </w:rPr>
        <w:lastRenderedPageBreak/>
        <w:t>s</w:t>
      </w:r>
      <w:r w:rsidR="009638A7">
        <w:rPr>
          <w:lang w:val="fr-CA"/>
        </w:rPr>
        <w:t>’</w:t>
      </w:r>
      <w:r w:rsidRPr="002004BD">
        <w:rPr>
          <w:lang w:val="fr-CA"/>
        </w:rPr>
        <w:t>appliquent à ces opérations, c</w:t>
      </w:r>
      <w:r w:rsidR="009638A7">
        <w:rPr>
          <w:lang w:val="fr-CA"/>
        </w:rPr>
        <w:t>’</w:t>
      </w:r>
      <w:r w:rsidRPr="002004BD">
        <w:rPr>
          <w:lang w:val="fr-CA"/>
        </w:rPr>
        <w:t>est</w:t>
      </w:r>
      <w:r w:rsidR="00935023">
        <w:rPr>
          <w:lang w:val="fr-CA"/>
        </w:rPr>
        <w:t>-</w:t>
      </w:r>
      <w:r w:rsidRPr="002004BD">
        <w:rPr>
          <w:lang w:val="fr-CA"/>
        </w:rPr>
        <w:t>à</w:t>
      </w:r>
      <w:r w:rsidR="00935023">
        <w:rPr>
          <w:lang w:val="fr-CA"/>
        </w:rPr>
        <w:t>-</w:t>
      </w:r>
      <w:r w:rsidRPr="002004BD">
        <w:rPr>
          <w:lang w:val="fr-CA"/>
        </w:rPr>
        <w:t>dire qu</w:t>
      </w:r>
      <w:r w:rsidR="009638A7">
        <w:rPr>
          <w:lang w:val="fr-CA"/>
        </w:rPr>
        <w:t>’</w:t>
      </w:r>
      <w:r w:rsidRPr="002004BD">
        <w:rPr>
          <w:lang w:val="fr-CA"/>
        </w:rPr>
        <w:t>un pourcentage de la somme convertie est exigé en sus pour ce service de conversion</w:t>
      </w:r>
      <w:r w:rsidR="009638A7">
        <w:rPr>
          <w:lang w:val="fr-CA"/>
        </w:rPr>
        <w:t xml:space="preserve">.  </w:t>
      </w:r>
      <w:r w:rsidRPr="002004BD">
        <w:rPr>
          <w:lang w:val="fr-CA"/>
        </w:rPr>
        <w:t xml:space="preserve">La </w:t>
      </w:r>
      <w:r w:rsidRPr="002004BD">
        <w:rPr>
          <w:i/>
          <w:lang w:val="fr-CA"/>
        </w:rPr>
        <w:t>Loi sur la protection du consommateur</w:t>
      </w:r>
      <w:r w:rsidRPr="002004BD">
        <w:rPr>
          <w:lang w:val="fr-CA"/>
        </w:rPr>
        <w:t xml:space="preserve"> du Québec (</w:t>
      </w:r>
      <w:r w:rsidR="00BE6E7C">
        <w:rPr>
          <w:lang w:val="fr-CA"/>
        </w:rPr>
        <w:t>« </w:t>
      </w:r>
      <w:proofErr w:type="spellStart"/>
      <w:r w:rsidRPr="002004BD">
        <w:rPr>
          <w:i/>
          <w:lang w:val="fr-CA"/>
        </w:rPr>
        <w:t>L.p.c</w:t>
      </w:r>
      <w:proofErr w:type="spellEnd"/>
      <w:r w:rsidRPr="002004BD">
        <w:rPr>
          <w:i/>
          <w:lang w:val="fr-CA"/>
        </w:rPr>
        <w:t>.</w:t>
      </w:r>
      <w:r w:rsidR="00BE6E7C">
        <w:rPr>
          <w:i/>
          <w:lang w:val="fr-CA"/>
        </w:rPr>
        <w:t> </w:t>
      </w:r>
      <w:r w:rsidR="00BE6E7C" w:rsidRPr="00935023">
        <w:rPr>
          <w:lang w:val="fr-CA"/>
        </w:rPr>
        <w:t>»</w:t>
      </w:r>
      <w:r w:rsidRPr="002004BD">
        <w:rPr>
          <w:lang w:val="fr-CA"/>
        </w:rPr>
        <w:t>) impose différentes règles sur la teneur et la mention des frais et droits dans les contrats de crédit variable</w:t>
      </w:r>
      <w:r w:rsidR="009638A7">
        <w:rPr>
          <w:lang w:val="fr-CA"/>
        </w:rPr>
        <w:t xml:space="preserve">.  </w:t>
      </w:r>
      <w:r w:rsidRPr="002004BD">
        <w:rPr>
          <w:lang w:val="fr-CA"/>
        </w:rPr>
        <w:t>Les frais de conversion n</w:t>
      </w:r>
      <w:r w:rsidR="009638A7">
        <w:rPr>
          <w:lang w:val="fr-CA"/>
        </w:rPr>
        <w:t>’</w:t>
      </w:r>
      <w:r w:rsidRPr="002004BD">
        <w:rPr>
          <w:lang w:val="fr-CA"/>
        </w:rPr>
        <w:t>étaient pas indiqués dans les conventions régissant l</w:t>
      </w:r>
      <w:r w:rsidR="009638A7">
        <w:rPr>
          <w:lang w:val="fr-CA"/>
        </w:rPr>
        <w:t>’</w:t>
      </w:r>
      <w:r w:rsidRPr="002004BD">
        <w:rPr>
          <w:lang w:val="fr-CA"/>
        </w:rPr>
        <w:t>utilisation des cartes émises par Amex entre 1993 et 2003</w:t>
      </w:r>
      <w:r w:rsidR="009638A7">
        <w:rPr>
          <w:lang w:val="fr-CA"/>
        </w:rPr>
        <w:t xml:space="preserve">.  </w:t>
      </w:r>
      <w:r w:rsidRPr="002004BD">
        <w:rPr>
          <w:lang w:val="fr-CA"/>
        </w:rPr>
        <w:t xml:space="preserve">A, le représentant des demandeurs, a intenté un recours collectif contre Amex pour obtenir le remboursement des frais de conversion imposés par cette institution sur les opérations par carte de crédit ou par carte de paiement en devises étrangères au motif que ces frais contrevenaient aux dispositions de la </w:t>
      </w:r>
      <w:proofErr w:type="spellStart"/>
      <w:r w:rsidRPr="002004BD">
        <w:rPr>
          <w:i/>
          <w:lang w:val="fr-CA"/>
        </w:rPr>
        <w:t>L.p.c</w:t>
      </w:r>
      <w:proofErr w:type="spellEnd"/>
      <w:r w:rsidRPr="002004BD">
        <w:rPr>
          <w:i/>
          <w:lang w:val="fr-CA"/>
        </w:rPr>
        <w:t>.</w:t>
      </w:r>
      <w:r w:rsidRPr="002004BD">
        <w:rPr>
          <w:lang w:val="fr-CA"/>
        </w:rPr>
        <w:t xml:space="preserve"> et du </w:t>
      </w:r>
      <w:r w:rsidRPr="002004BD">
        <w:rPr>
          <w:i/>
          <w:lang w:val="fr-CA"/>
        </w:rPr>
        <w:t>Code civil du Québe</w:t>
      </w:r>
      <w:r w:rsidR="006E5211" w:rsidRPr="002004BD">
        <w:rPr>
          <w:i/>
          <w:lang w:val="fr-CA"/>
        </w:rPr>
        <w:t>c</w:t>
      </w:r>
      <w:r w:rsidR="009638A7">
        <w:rPr>
          <w:lang w:val="fr-CA"/>
        </w:rPr>
        <w:t xml:space="preserve">.  </w:t>
      </w:r>
      <w:r w:rsidRPr="002004BD">
        <w:rPr>
          <w:lang w:val="fr-CA"/>
        </w:rPr>
        <w:t>Le groupe en cause est composé de consommateurs et de non</w:t>
      </w:r>
      <w:r w:rsidR="00BE6E7C">
        <w:rPr>
          <w:lang w:val="fr-CA"/>
        </w:rPr>
        <w:t>-</w:t>
      </w:r>
      <w:r w:rsidRPr="002004BD">
        <w:rPr>
          <w:lang w:val="fr-CA"/>
        </w:rPr>
        <w:t>consommateurs qui sont titulaires de cartes de crédit ou de cartes de paiement</w:t>
      </w:r>
      <w:r w:rsidR="009638A7">
        <w:rPr>
          <w:lang w:val="fr-CA"/>
        </w:rPr>
        <w:t xml:space="preserve">.  </w:t>
      </w:r>
      <w:r w:rsidRPr="002004BD">
        <w:rPr>
          <w:lang w:val="fr-CA"/>
        </w:rPr>
        <w:t xml:space="preserve">Amex a fait valoir que la </w:t>
      </w:r>
      <w:proofErr w:type="spellStart"/>
      <w:r w:rsidRPr="002004BD">
        <w:rPr>
          <w:i/>
          <w:lang w:val="fr-CA"/>
        </w:rPr>
        <w:t>L.p.c</w:t>
      </w:r>
      <w:proofErr w:type="spellEnd"/>
      <w:r w:rsidRPr="002004BD">
        <w:rPr>
          <w:i/>
          <w:lang w:val="fr-CA"/>
        </w:rPr>
        <w:t>.</w:t>
      </w:r>
      <w:r w:rsidRPr="002004BD">
        <w:rPr>
          <w:lang w:val="fr-CA"/>
        </w:rPr>
        <w:t xml:space="preserve"> était constitutionnellement inapplicable à une banque comme Amex et qu</w:t>
      </w:r>
      <w:r w:rsidR="009638A7">
        <w:rPr>
          <w:lang w:val="fr-CA"/>
        </w:rPr>
        <w:t>’</w:t>
      </w:r>
      <w:r w:rsidRPr="002004BD">
        <w:rPr>
          <w:lang w:val="fr-CA"/>
        </w:rPr>
        <w:t>elle n</w:t>
      </w:r>
      <w:r w:rsidR="009638A7">
        <w:rPr>
          <w:lang w:val="fr-CA"/>
        </w:rPr>
        <w:t>’</w:t>
      </w:r>
      <w:r w:rsidRPr="002004BD">
        <w:rPr>
          <w:lang w:val="fr-CA"/>
        </w:rPr>
        <w:t>était pas tenue au remboursement des frais de conversion</w:t>
      </w:r>
      <w:r w:rsidR="009638A7">
        <w:rPr>
          <w:lang w:val="fr-CA"/>
        </w:rPr>
        <w:t xml:space="preserve">.  </w:t>
      </w:r>
      <w:r w:rsidRPr="002004BD">
        <w:rPr>
          <w:lang w:val="fr-CA"/>
        </w:rPr>
        <w:t>La Cour supérieure a accueilli le recours collectif et a condamné Amex à rembourser les frais de conversion perçus de tous les titulaires de carte entre 1993 et 2003</w:t>
      </w:r>
      <w:r w:rsidR="009638A7">
        <w:rPr>
          <w:lang w:val="fr-CA"/>
        </w:rPr>
        <w:t xml:space="preserve">.  </w:t>
      </w:r>
      <w:r w:rsidRPr="002004BD">
        <w:rPr>
          <w:lang w:val="fr-CA"/>
        </w:rPr>
        <w:t>La Cour d</w:t>
      </w:r>
      <w:r w:rsidR="009638A7">
        <w:rPr>
          <w:lang w:val="fr-CA"/>
        </w:rPr>
        <w:t>’</w:t>
      </w:r>
      <w:r w:rsidRPr="002004BD">
        <w:rPr>
          <w:lang w:val="fr-CA"/>
        </w:rPr>
        <w:t>appel a accueilli l</w:t>
      </w:r>
      <w:r w:rsidR="009638A7">
        <w:rPr>
          <w:lang w:val="fr-CA"/>
        </w:rPr>
        <w:t>’</w:t>
      </w:r>
      <w:r w:rsidRPr="002004BD">
        <w:rPr>
          <w:lang w:val="fr-CA"/>
        </w:rPr>
        <w:t>appel, mais seulement pour annuler les dommages</w:t>
      </w:r>
      <w:r w:rsidR="00BE6E7C">
        <w:rPr>
          <w:lang w:val="fr-CA"/>
        </w:rPr>
        <w:t>-</w:t>
      </w:r>
      <w:r w:rsidRPr="002004BD">
        <w:rPr>
          <w:lang w:val="fr-CA"/>
        </w:rPr>
        <w:t>intérêts punitifs accordés en première instance.</w:t>
      </w:r>
    </w:p>
    <w:p w:rsidR="00F67216" w:rsidRPr="002004BD" w:rsidRDefault="00F67216" w:rsidP="005E000D">
      <w:pPr>
        <w:pStyle w:val="SCCNormalDoubleSpacing"/>
        <w:widowControl w:val="0"/>
        <w:spacing w:after="480"/>
        <w:rPr>
          <w:lang w:val="fr-CA"/>
        </w:rPr>
      </w:pPr>
      <w:r w:rsidRPr="002004BD">
        <w:rPr>
          <w:lang w:val="fr-CA"/>
        </w:rPr>
        <w:tab/>
      </w:r>
      <w:r w:rsidRPr="002004BD">
        <w:rPr>
          <w:i/>
          <w:lang w:val="fr-CA"/>
        </w:rPr>
        <w:t>Arrêt</w:t>
      </w:r>
      <w:r w:rsidR="00BE6E7C">
        <w:rPr>
          <w:i/>
          <w:lang w:val="fr-CA"/>
        </w:rPr>
        <w:t> </w:t>
      </w:r>
      <w:r w:rsidR="00BE6E7C" w:rsidRPr="00935023">
        <w:rPr>
          <w:lang w:val="fr-CA"/>
        </w:rPr>
        <w:t>:</w:t>
      </w:r>
      <w:r w:rsidRPr="00935023">
        <w:rPr>
          <w:lang w:val="fr-CA"/>
        </w:rPr>
        <w:t xml:space="preserve"> </w:t>
      </w:r>
      <w:r w:rsidRPr="002004BD">
        <w:rPr>
          <w:lang w:val="fr-CA"/>
        </w:rPr>
        <w:t>L</w:t>
      </w:r>
      <w:r w:rsidR="009638A7">
        <w:rPr>
          <w:lang w:val="fr-CA"/>
        </w:rPr>
        <w:t>’</w:t>
      </w:r>
      <w:r w:rsidRPr="002004BD">
        <w:rPr>
          <w:lang w:val="fr-CA"/>
        </w:rPr>
        <w:t>appel est rejeté.</w:t>
      </w:r>
    </w:p>
    <w:p w:rsidR="00F67216" w:rsidRPr="002004BD" w:rsidRDefault="00F67216" w:rsidP="005E000D">
      <w:pPr>
        <w:pStyle w:val="SCCNormalDoubleSpacing"/>
        <w:widowControl w:val="0"/>
        <w:spacing w:after="480"/>
        <w:rPr>
          <w:lang w:val="fr-CA"/>
        </w:rPr>
      </w:pPr>
      <w:r w:rsidRPr="002004BD">
        <w:rPr>
          <w:lang w:val="fr-CA"/>
        </w:rPr>
        <w:tab/>
        <w:t>Pour les motifs exposés dans l</w:t>
      </w:r>
      <w:r w:rsidR="009638A7">
        <w:rPr>
          <w:lang w:val="fr-CA"/>
        </w:rPr>
        <w:t>’</w:t>
      </w:r>
      <w:r w:rsidRPr="002004BD">
        <w:rPr>
          <w:lang w:val="fr-CA"/>
        </w:rPr>
        <w:t xml:space="preserve">arrêt connexe </w:t>
      </w:r>
      <w:r w:rsidRPr="002004BD">
        <w:rPr>
          <w:i/>
          <w:lang w:val="fr-CA"/>
        </w:rPr>
        <w:t>Banque de Montréal c. Marcotte</w:t>
      </w:r>
      <w:r w:rsidRPr="002004BD">
        <w:rPr>
          <w:lang w:val="fr-CA"/>
        </w:rPr>
        <w:t xml:space="preserve">, 2014 CSC </w:t>
      </w:r>
      <w:r w:rsidR="00115B13" w:rsidRPr="002004BD">
        <w:rPr>
          <w:lang w:val="fr-CA"/>
        </w:rPr>
        <w:t>55</w:t>
      </w:r>
      <w:r w:rsidRPr="002004BD">
        <w:rPr>
          <w:lang w:val="fr-CA"/>
        </w:rPr>
        <w:t>,</w:t>
      </w:r>
      <w:r w:rsidR="00082F36">
        <w:rPr>
          <w:lang w:val="fr-CA"/>
        </w:rPr>
        <w:t xml:space="preserve"> [2014] 2 R.C.S. 726,</w:t>
      </w:r>
      <w:r w:rsidRPr="002004BD">
        <w:rPr>
          <w:lang w:val="fr-CA"/>
        </w:rPr>
        <w:t xml:space="preserve"> les dispositions pertinentes de la </w:t>
      </w:r>
      <w:proofErr w:type="spellStart"/>
      <w:r w:rsidRPr="002004BD">
        <w:rPr>
          <w:i/>
          <w:lang w:val="fr-CA"/>
        </w:rPr>
        <w:t>L.p.c</w:t>
      </w:r>
      <w:proofErr w:type="spellEnd"/>
      <w:r w:rsidRPr="002004BD">
        <w:rPr>
          <w:i/>
          <w:lang w:val="fr-CA"/>
        </w:rPr>
        <w:t>.</w:t>
      </w:r>
      <w:r w:rsidRPr="002004BD">
        <w:rPr>
          <w:lang w:val="fr-CA"/>
        </w:rPr>
        <w:t xml:space="preserve"> ne sont ni inapplicables ni inopérantes en raison de la doctrine de l</w:t>
      </w:r>
      <w:r w:rsidR="009638A7">
        <w:rPr>
          <w:lang w:val="fr-CA"/>
        </w:rPr>
        <w:t>’</w:t>
      </w:r>
      <w:r w:rsidRPr="002004BD">
        <w:rPr>
          <w:lang w:val="fr-CA"/>
        </w:rPr>
        <w:t xml:space="preserve">exclusivité des </w:t>
      </w:r>
      <w:r w:rsidRPr="002004BD">
        <w:rPr>
          <w:lang w:val="fr-CA"/>
        </w:rPr>
        <w:lastRenderedPageBreak/>
        <w:t>compétences ou de celle de la prépondérance fédérale.</w:t>
      </w:r>
    </w:p>
    <w:p w:rsidR="00F67216" w:rsidRPr="002004BD" w:rsidRDefault="00F67216" w:rsidP="005E000D">
      <w:pPr>
        <w:pStyle w:val="SCCNormalDoubleSpacing"/>
        <w:widowControl w:val="0"/>
        <w:spacing w:after="480"/>
        <w:rPr>
          <w:lang w:val="fr-CA"/>
        </w:rPr>
      </w:pPr>
      <w:r w:rsidRPr="002004BD">
        <w:rPr>
          <w:lang w:val="fr-CA"/>
        </w:rPr>
        <w:tab/>
        <w:t>La conclusion du juge de première instance suivant laquelle les frais de conversion étaient distincts du taux de change, et n</w:t>
      </w:r>
      <w:r w:rsidR="009638A7">
        <w:rPr>
          <w:lang w:val="fr-CA"/>
        </w:rPr>
        <w:t>’</w:t>
      </w:r>
      <w:r w:rsidRPr="002004BD">
        <w:rPr>
          <w:lang w:val="fr-CA"/>
        </w:rPr>
        <w:t>en faisaient pas partie, était une conclusion de fait ou, au mieux, une question mixte de fait et de droit, et ne devrait donc pas être modifiée en l</w:t>
      </w:r>
      <w:r w:rsidR="009638A7">
        <w:rPr>
          <w:lang w:val="fr-CA"/>
        </w:rPr>
        <w:t>’</w:t>
      </w:r>
      <w:r w:rsidRPr="002004BD">
        <w:rPr>
          <w:lang w:val="fr-CA"/>
        </w:rPr>
        <w:t>absence d</w:t>
      </w:r>
      <w:r w:rsidR="009638A7">
        <w:rPr>
          <w:lang w:val="fr-CA"/>
        </w:rPr>
        <w:t>’</w:t>
      </w:r>
      <w:r w:rsidRPr="002004BD">
        <w:rPr>
          <w:lang w:val="fr-CA"/>
        </w:rPr>
        <w:t>une erreur manifeste et dominante</w:t>
      </w:r>
      <w:r w:rsidR="009638A7">
        <w:rPr>
          <w:lang w:val="fr-CA"/>
        </w:rPr>
        <w:t xml:space="preserve">.  </w:t>
      </w:r>
      <w:r w:rsidRPr="002004BD">
        <w:rPr>
          <w:lang w:val="fr-CA"/>
        </w:rPr>
        <w:t>En conséquence, Amex a manqué aux obligations mentionnées à l</w:t>
      </w:r>
      <w:r w:rsidR="009638A7">
        <w:rPr>
          <w:lang w:val="fr-CA"/>
        </w:rPr>
        <w:t>’</w:t>
      </w:r>
      <w:r w:rsidR="002004BD">
        <w:rPr>
          <w:lang w:val="fr-CA"/>
        </w:rPr>
        <w:t>art.</w:t>
      </w:r>
      <w:r w:rsidR="00BE6E7C">
        <w:rPr>
          <w:lang w:val="fr-CA"/>
        </w:rPr>
        <w:t xml:space="preserve"> </w:t>
      </w:r>
      <w:r w:rsidRPr="002004BD">
        <w:rPr>
          <w:lang w:val="fr-CA"/>
        </w:rPr>
        <w:t xml:space="preserve">12 </w:t>
      </w:r>
      <w:proofErr w:type="spellStart"/>
      <w:r w:rsidRPr="002004BD">
        <w:rPr>
          <w:i/>
          <w:lang w:val="fr-CA"/>
        </w:rPr>
        <w:t>L.p.c</w:t>
      </w:r>
      <w:proofErr w:type="spellEnd"/>
      <w:r w:rsidRPr="002004BD">
        <w:rPr>
          <w:i/>
          <w:lang w:val="fr-CA"/>
        </w:rPr>
        <w:t xml:space="preserve">. </w:t>
      </w:r>
      <w:r w:rsidRPr="002004BD">
        <w:rPr>
          <w:lang w:val="fr-CA"/>
        </w:rPr>
        <w:t>et elle est tenue, en application de l</w:t>
      </w:r>
      <w:r w:rsidR="009638A7">
        <w:rPr>
          <w:lang w:val="fr-CA"/>
        </w:rPr>
        <w:t>’</w:t>
      </w:r>
      <w:r w:rsidR="002004BD">
        <w:rPr>
          <w:lang w:val="fr-CA"/>
        </w:rPr>
        <w:t>al.</w:t>
      </w:r>
      <w:r w:rsidR="00BE6E7C">
        <w:rPr>
          <w:lang w:val="fr-CA"/>
        </w:rPr>
        <w:t xml:space="preserve"> </w:t>
      </w:r>
      <w:r w:rsidRPr="002004BD">
        <w:rPr>
          <w:lang w:val="fr-CA"/>
        </w:rPr>
        <w:t>272</w:t>
      </w:r>
      <w:r w:rsidRPr="002004BD">
        <w:rPr>
          <w:i/>
          <w:lang w:val="fr-CA"/>
        </w:rPr>
        <w:t>c</w:t>
      </w:r>
      <w:r w:rsidRPr="002004BD">
        <w:rPr>
          <w:lang w:val="fr-CA"/>
        </w:rPr>
        <w:t>), de rembourser les frais de conversion qu</w:t>
      </w:r>
      <w:r w:rsidR="009638A7">
        <w:rPr>
          <w:lang w:val="fr-CA"/>
        </w:rPr>
        <w:t>’</w:t>
      </w:r>
      <w:r w:rsidRPr="002004BD">
        <w:rPr>
          <w:lang w:val="fr-CA"/>
        </w:rPr>
        <w:t>elle a perçus entre 1993 et 2003 des membres du groupe qui sont des consommateurs, suivant la description qu</w:t>
      </w:r>
      <w:r w:rsidR="009638A7">
        <w:rPr>
          <w:lang w:val="fr-CA"/>
        </w:rPr>
        <w:t>’</w:t>
      </w:r>
      <w:r w:rsidRPr="002004BD">
        <w:rPr>
          <w:lang w:val="fr-CA"/>
        </w:rPr>
        <w:t xml:space="preserve">en </w:t>
      </w:r>
      <w:r w:rsidR="00AF40DB" w:rsidRPr="002004BD">
        <w:rPr>
          <w:lang w:val="fr-CA"/>
        </w:rPr>
        <w:t xml:space="preserve">a </w:t>
      </w:r>
      <w:r w:rsidRPr="002004BD">
        <w:rPr>
          <w:lang w:val="fr-CA"/>
        </w:rPr>
        <w:t>fait le juge du procès.</w:t>
      </w:r>
    </w:p>
    <w:p w:rsidR="00F67216" w:rsidRPr="002004BD" w:rsidRDefault="00F67216" w:rsidP="005E000D">
      <w:pPr>
        <w:pStyle w:val="ParaNoNdepar-AltN"/>
        <w:widowControl w:val="0"/>
        <w:numPr>
          <w:ilvl w:val="0"/>
          <w:numId w:val="0"/>
        </w:numPr>
        <w:tabs>
          <w:tab w:val="left" w:pos="1166"/>
        </w:tabs>
        <w:rPr>
          <w:lang w:val="fr-CA"/>
        </w:rPr>
      </w:pPr>
      <w:r w:rsidRPr="002004BD">
        <w:rPr>
          <w:lang w:val="fr-CA"/>
        </w:rPr>
        <w:tab/>
        <w:t xml:space="preserve">La </w:t>
      </w:r>
      <w:proofErr w:type="spellStart"/>
      <w:r w:rsidRPr="002004BD">
        <w:rPr>
          <w:i/>
          <w:lang w:val="fr-CA"/>
        </w:rPr>
        <w:t>L.p.c</w:t>
      </w:r>
      <w:proofErr w:type="spellEnd"/>
      <w:r w:rsidRPr="002004BD">
        <w:rPr>
          <w:i/>
          <w:lang w:val="fr-CA"/>
        </w:rPr>
        <w:t>.</w:t>
      </w:r>
      <w:r w:rsidRPr="002004BD">
        <w:rPr>
          <w:lang w:val="fr-CA"/>
        </w:rPr>
        <w:t xml:space="preserve"> ne s</w:t>
      </w:r>
      <w:r w:rsidR="009638A7">
        <w:rPr>
          <w:lang w:val="fr-CA"/>
        </w:rPr>
        <w:t>’</w:t>
      </w:r>
      <w:r w:rsidRPr="002004BD">
        <w:rPr>
          <w:lang w:val="fr-CA"/>
        </w:rPr>
        <w:t>applique pas aux membres du groupe qui ne sont pas des consommateurs</w:t>
      </w:r>
      <w:r w:rsidR="009638A7">
        <w:rPr>
          <w:lang w:val="fr-CA"/>
        </w:rPr>
        <w:t xml:space="preserve">.  </w:t>
      </w:r>
      <w:r w:rsidRPr="002004BD">
        <w:rPr>
          <w:lang w:val="fr-CA"/>
        </w:rPr>
        <w:t xml:space="preserve">Dans leur cas, Amex est plutôt tenue à la restitution des frais de conversion en application du </w:t>
      </w:r>
      <w:r w:rsidR="00BE6E7C">
        <w:rPr>
          <w:i/>
          <w:lang w:val="fr-CA"/>
        </w:rPr>
        <w:t>Code civil du Québec</w:t>
      </w:r>
      <w:r w:rsidR="009638A7">
        <w:rPr>
          <w:i/>
          <w:lang w:val="fr-CA"/>
        </w:rPr>
        <w:t xml:space="preserve">.  </w:t>
      </w:r>
      <w:r w:rsidRPr="002004BD">
        <w:rPr>
          <w:lang w:val="fr-CA"/>
        </w:rPr>
        <w:t>Les dispositions relatives à la réception de l</w:t>
      </w:r>
      <w:r w:rsidR="009638A7">
        <w:rPr>
          <w:lang w:val="fr-CA"/>
        </w:rPr>
        <w:t>’</w:t>
      </w:r>
      <w:r w:rsidRPr="002004BD">
        <w:rPr>
          <w:lang w:val="fr-CA"/>
        </w:rPr>
        <w:t>indu permettent à quiconque de recouvrer un paiement effectué en trop en imposant à la partie qui l</w:t>
      </w:r>
      <w:r w:rsidR="009638A7">
        <w:rPr>
          <w:lang w:val="fr-CA"/>
        </w:rPr>
        <w:t>’</w:t>
      </w:r>
      <w:r w:rsidRPr="002004BD">
        <w:rPr>
          <w:lang w:val="fr-CA"/>
        </w:rPr>
        <w:t>a reçu indûment l</w:t>
      </w:r>
      <w:r w:rsidR="009638A7">
        <w:rPr>
          <w:lang w:val="fr-CA"/>
        </w:rPr>
        <w:t>’</w:t>
      </w:r>
      <w:r w:rsidRPr="002004BD">
        <w:rPr>
          <w:lang w:val="fr-CA"/>
        </w:rPr>
        <w:t>obligation de le restituer</w:t>
      </w:r>
      <w:r w:rsidR="009638A7">
        <w:rPr>
          <w:lang w:val="fr-CA"/>
        </w:rPr>
        <w:t xml:space="preserve">.  </w:t>
      </w:r>
      <w:r w:rsidRPr="002004BD">
        <w:rPr>
          <w:lang w:val="fr-CA"/>
        </w:rPr>
        <w:t>En l</w:t>
      </w:r>
      <w:r w:rsidR="009638A7">
        <w:rPr>
          <w:lang w:val="fr-CA"/>
        </w:rPr>
        <w:t>’</w:t>
      </w:r>
      <w:r w:rsidRPr="002004BD">
        <w:rPr>
          <w:lang w:val="fr-CA"/>
        </w:rPr>
        <w:t>espèce, la preuve établissait clairement que, de 1993 à 2003, les conventions régissant l</w:t>
      </w:r>
      <w:r w:rsidR="009638A7">
        <w:rPr>
          <w:lang w:val="fr-CA"/>
        </w:rPr>
        <w:t>’</w:t>
      </w:r>
      <w:r w:rsidRPr="002004BD">
        <w:rPr>
          <w:lang w:val="fr-CA"/>
        </w:rPr>
        <w:t>utilisation des cartes ne faisaient aucune mention des frais de conversion parce qu</w:t>
      </w:r>
      <w:r w:rsidR="009638A7">
        <w:rPr>
          <w:lang w:val="fr-CA"/>
        </w:rPr>
        <w:t>’</w:t>
      </w:r>
      <w:r w:rsidRPr="002004BD">
        <w:rPr>
          <w:lang w:val="fr-CA"/>
        </w:rPr>
        <w:t xml:space="preserve">on ne peut prétendre que de tels frais étaient inclus dans le </w:t>
      </w:r>
      <w:r w:rsidR="00BE6E7C">
        <w:rPr>
          <w:lang w:val="fr-CA"/>
        </w:rPr>
        <w:t>« </w:t>
      </w:r>
      <w:r w:rsidRPr="002004BD">
        <w:rPr>
          <w:lang w:val="fr-CA"/>
        </w:rPr>
        <w:t>taux de change déterminé par Amex</w:t>
      </w:r>
      <w:r w:rsidR="00BE6E7C">
        <w:rPr>
          <w:lang w:val="fr-CA"/>
        </w:rPr>
        <w:t> »</w:t>
      </w:r>
      <w:r w:rsidR="009638A7">
        <w:rPr>
          <w:lang w:val="fr-CA"/>
        </w:rPr>
        <w:t xml:space="preserve">.  </w:t>
      </w:r>
      <w:r w:rsidR="008E76F9" w:rsidRPr="002004BD">
        <w:rPr>
          <w:lang w:val="fr-CA"/>
        </w:rPr>
        <w:t>Ainsi, a</w:t>
      </w:r>
      <w:r w:rsidRPr="002004BD">
        <w:rPr>
          <w:lang w:val="fr-CA"/>
        </w:rPr>
        <w:t>ucune obligation de payer ces frais n</w:t>
      </w:r>
      <w:r w:rsidR="009638A7">
        <w:rPr>
          <w:lang w:val="fr-CA"/>
        </w:rPr>
        <w:t>’</w:t>
      </w:r>
      <w:r w:rsidRPr="002004BD">
        <w:rPr>
          <w:lang w:val="fr-CA"/>
        </w:rPr>
        <w:t>incombait aux titulaires</w:t>
      </w:r>
      <w:r w:rsidR="009638A7">
        <w:rPr>
          <w:lang w:val="fr-CA"/>
        </w:rPr>
        <w:t xml:space="preserve">.  </w:t>
      </w:r>
      <w:r w:rsidRPr="002004BD">
        <w:rPr>
          <w:lang w:val="fr-CA"/>
        </w:rPr>
        <w:t xml:space="preserve">Tous les paiements </w:t>
      </w:r>
      <w:r w:rsidR="00AF40DB" w:rsidRPr="002004BD">
        <w:rPr>
          <w:lang w:val="fr-CA"/>
        </w:rPr>
        <w:t xml:space="preserve">des frais de conversion </w:t>
      </w:r>
      <w:r w:rsidRPr="002004BD">
        <w:rPr>
          <w:lang w:val="fr-CA"/>
        </w:rPr>
        <w:t>faits par les titulaires de cartes l</w:t>
      </w:r>
      <w:r w:rsidR="009638A7">
        <w:rPr>
          <w:lang w:val="fr-CA"/>
        </w:rPr>
        <w:t>’</w:t>
      </w:r>
      <w:r w:rsidRPr="002004BD">
        <w:rPr>
          <w:lang w:val="fr-CA"/>
        </w:rPr>
        <w:t>ont donc été par erreur et, en conséquence, Amex doit restituer aux membres du groupe qui ne sont pas des consommateurs les frais de conversion qu</w:t>
      </w:r>
      <w:r w:rsidR="009638A7">
        <w:rPr>
          <w:lang w:val="fr-CA"/>
        </w:rPr>
        <w:t>’</w:t>
      </w:r>
      <w:r w:rsidRPr="002004BD">
        <w:rPr>
          <w:lang w:val="fr-CA"/>
        </w:rPr>
        <w:t>ils ont payés</w:t>
      </w:r>
      <w:r w:rsidR="009638A7">
        <w:rPr>
          <w:lang w:val="fr-CA"/>
        </w:rPr>
        <w:t xml:space="preserve">.  </w:t>
      </w:r>
      <w:r w:rsidRPr="002004BD">
        <w:rPr>
          <w:lang w:val="fr-CA"/>
        </w:rPr>
        <w:lastRenderedPageBreak/>
        <w:t>Le pouvoir de ne pas ordonner la restitution que confère le deuxième paragraphe de l</w:t>
      </w:r>
      <w:r w:rsidR="009638A7">
        <w:rPr>
          <w:lang w:val="fr-CA"/>
        </w:rPr>
        <w:t>’</w:t>
      </w:r>
      <w:r w:rsidR="002004BD">
        <w:rPr>
          <w:lang w:val="fr-CA"/>
        </w:rPr>
        <w:t>art.</w:t>
      </w:r>
      <w:r w:rsidR="00BE6E7C">
        <w:rPr>
          <w:lang w:val="fr-CA"/>
        </w:rPr>
        <w:t xml:space="preserve"> </w:t>
      </w:r>
      <w:r w:rsidRPr="002004BD">
        <w:rPr>
          <w:lang w:val="fr-CA"/>
        </w:rPr>
        <w:t xml:space="preserve">1699 </w:t>
      </w:r>
      <w:r w:rsidR="00BE6E7C" w:rsidRPr="00BE6E7C">
        <w:rPr>
          <w:lang w:val="fr-CA"/>
        </w:rPr>
        <w:t>du</w:t>
      </w:r>
      <w:r w:rsidR="00BE6E7C">
        <w:rPr>
          <w:i/>
          <w:lang w:val="fr-CA"/>
        </w:rPr>
        <w:t xml:space="preserve"> Code civil</w:t>
      </w:r>
      <w:r w:rsidRPr="002004BD">
        <w:rPr>
          <w:lang w:val="fr-CA"/>
        </w:rPr>
        <w:t xml:space="preserve"> dans le cas où celle</w:t>
      </w:r>
      <w:r w:rsidR="00BE6E7C">
        <w:rPr>
          <w:lang w:val="fr-CA"/>
        </w:rPr>
        <w:t xml:space="preserve"> </w:t>
      </w:r>
      <w:r w:rsidRPr="002004BD">
        <w:rPr>
          <w:lang w:val="fr-CA"/>
        </w:rPr>
        <w:t>ci aurait pour effet d</w:t>
      </w:r>
      <w:r w:rsidR="009638A7">
        <w:rPr>
          <w:lang w:val="fr-CA"/>
        </w:rPr>
        <w:t>’</w:t>
      </w:r>
      <w:r w:rsidRPr="002004BD">
        <w:rPr>
          <w:lang w:val="fr-CA"/>
        </w:rPr>
        <w:t>accorder à l</w:t>
      </w:r>
      <w:r w:rsidR="009638A7">
        <w:rPr>
          <w:lang w:val="fr-CA"/>
        </w:rPr>
        <w:t>’</w:t>
      </w:r>
      <w:r w:rsidRPr="002004BD">
        <w:rPr>
          <w:lang w:val="fr-CA"/>
        </w:rPr>
        <w:t>une des parties un avantage indu est un pouvoir tout à fait exceptionnel qui doit être exercé avec circonspection</w:t>
      </w:r>
      <w:r w:rsidR="009638A7">
        <w:rPr>
          <w:lang w:val="fr-CA"/>
        </w:rPr>
        <w:t xml:space="preserve">.  </w:t>
      </w:r>
      <w:r w:rsidRPr="002004BD">
        <w:rPr>
          <w:lang w:val="fr-CA"/>
        </w:rPr>
        <w:t>En l</w:t>
      </w:r>
      <w:r w:rsidR="009638A7">
        <w:rPr>
          <w:lang w:val="fr-CA"/>
        </w:rPr>
        <w:t>’</w:t>
      </w:r>
      <w:r w:rsidRPr="002004BD">
        <w:rPr>
          <w:lang w:val="fr-CA"/>
        </w:rPr>
        <w:t xml:space="preserve">espèce, rien ne permet de croire que le juge du procès a eu tort de </w:t>
      </w:r>
      <w:r w:rsidR="00AF40DB" w:rsidRPr="002004BD">
        <w:rPr>
          <w:lang w:val="fr-CA"/>
        </w:rPr>
        <w:t>décliner d</w:t>
      </w:r>
      <w:r w:rsidR="009638A7">
        <w:rPr>
          <w:lang w:val="fr-CA"/>
        </w:rPr>
        <w:t>’</w:t>
      </w:r>
      <w:r w:rsidR="00AF40DB" w:rsidRPr="002004BD">
        <w:rPr>
          <w:lang w:val="fr-CA"/>
        </w:rPr>
        <w:t>exercer le pouvoir discrétionnaire qui l</w:t>
      </w:r>
      <w:r w:rsidR="009638A7">
        <w:rPr>
          <w:lang w:val="fr-CA"/>
        </w:rPr>
        <w:t>’</w:t>
      </w:r>
      <w:r w:rsidR="00AF40DB" w:rsidRPr="002004BD">
        <w:rPr>
          <w:lang w:val="fr-CA"/>
        </w:rPr>
        <w:t xml:space="preserve">habilite à </w:t>
      </w:r>
      <w:r w:rsidRPr="002004BD">
        <w:rPr>
          <w:lang w:val="fr-CA"/>
        </w:rPr>
        <w:t>refuser d</w:t>
      </w:r>
      <w:r w:rsidR="009638A7">
        <w:rPr>
          <w:lang w:val="fr-CA"/>
        </w:rPr>
        <w:t>’</w:t>
      </w:r>
      <w:r w:rsidRPr="002004BD">
        <w:rPr>
          <w:lang w:val="fr-CA"/>
        </w:rPr>
        <w:t>ordonner la restitution.</w:t>
      </w:r>
    </w:p>
    <w:p w:rsidR="004D7D95" w:rsidRPr="002004BD" w:rsidRDefault="004D7D95" w:rsidP="005E000D">
      <w:pPr>
        <w:pStyle w:val="SCCNormalDoubleSpacing"/>
        <w:widowControl w:val="0"/>
        <w:spacing w:after="480"/>
        <w:rPr>
          <w:b/>
          <w:lang w:val="fr-CA"/>
        </w:rPr>
      </w:pPr>
      <w:r w:rsidRPr="002004BD">
        <w:rPr>
          <w:b/>
          <w:lang w:val="fr-CA"/>
        </w:rPr>
        <w:t>Jurisprudence</w:t>
      </w:r>
    </w:p>
    <w:p w:rsidR="004D7D95" w:rsidRPr="002004BD" w:rsidRDefault="004D7D95" w:rsidP="005E000D">
      <w:pPr>
        <w:pStyle w:val="SCCNormalDoubleSpacing"/>
        <w:widowControl w:val="0"/>
        <w:spacing w:after="480"/>
        <w:rPr>
          <w:b/>
          <w:lang w:val="fr-CA"/>
        </w:rPr>
      </w:pPr>
      <w:r w:rsidRPr="002004BD">
        <w:rPr>
          <w:lang w:val="fr-CA"/>
        </w:rPr>
        <w:tab/>
      </w:r>
      <w:r w:rsidR="00CD20F0" w:rsidRPr="002004BD">
        <w:rPr>
          <w:b/>
          <w:lang w:val="fr-CA"/>
        </w:rPr>
        <w:t>Arrêt appliqué</w:t>
      </w:r>
      <w:r w:rsidR="00BE6E7C">
        <w:rPr>
          <w:b/>
          <w:lang w:val="fr-CA"/>
        </w:rPr>
        <w:t> :</w:t>
      </w:r>
      <w:r w:rsidR="00CD20F0" w:rsidRPr="002004BD">
        <w:rPr>
          <w:lang w:val="fr-CA"/>
        </w:rPr>
        <w:t xml:space="preserve"> </w:t>
      </w:r>
      <w:r w:rsidR="00E03F98" w:rsidRPr="002004BD">
        <w:rPr>
          <w:i/>
          <w:lang w:val="fr-CA"/>
        </w:rPr>
        <w:t>Banque de Montréal c. Marcotte</w:t>
      </w:r>
      <w:r w:rsidR="00093D23" w:rsidRPr="002004BD">
        <w:rPr>
          <w:lang w:val="fr-CA"/>
        </w:rPr>
        <w:t>, 2014 CSC 55</w:t>
      </w:r>
      <w:r w:rsidR="00494D87">
        <w:rPr>
          <w:lang w:val="fr-CA"/>
        </w:rPr>
        <w:t>, [2014] 2 R.C.S. 726</w:t>
      </w:r>
      <w:r w:rsidR="00E03F98" w:rsidRPr="002004BD">
        <w:rPr>
          <w:lang w:val="fr-CA"/>
        </w:rPr>
        <w:t xml:space="preserve">; </w:t>
      </w:r>
      <w:r w:rsidR="00CD20F0" w:rsidRPr="002004BD">
        <w:rPr>
          <w:b/>
          <w:lang w:val="fr-CA"/>
        </w:rPr>
        <w:t>arrêts mentionnés</w:t>
      </w:r>
      <w:r w:rsidR="00BE6E7C">
        <w:rPr>
          <w:b/>
          <w:lang w:val="fr-CA"/>
        </w:rPr>
        <w:t> :</w:t>
      </w:r>
      <w:r w:rsidR="00CD20F0" w:rsidRPr="002004BD">
        <w:rPr>
          <w:lang w:val="fr-CA"/>
        </w:rPr>
        <w:t xml:space="preserve"> </w:t>
      </w:r>
      <w:r w:rsidR="00E03F98" w:rsidRPr="002004BD">
        <w:rPr>
          <w:i/>
          <w:lang w:val="fr-CA"/>
        </w:rPr>
        <w:t>Marcotte c. Fédération des caisses Desjardins du Québec</w:t>
      </w:r>
      <w:r w:rsidR="00E03F98" w:rsidRPr="002004BD">
        <w:rPr>
          <w:lang w:val="fr-CA"/>
        </w:rPr>
        <w:t xml:space="preserve">, 2014 CSC </w:t>
      </w:r>
      <w:r w:rsidR="008D51FF" w:rsidRPr="002004BD">
        <w:rPr>
          <w:lang w:val="fr-CA"/>
        </w:rPr>
        <w:t>57</w:t>
      </w:r>
      <w:r w:rsidR="00494D87">
        <w:rPr>
          <w:lang w:val="fr-CA"/>
        </w:rPr>
        <w:t xml:space="preserve">, [2014] 2 R.C.S. </w:t>
      </w:r>
      <w:r w:rsidR="00935023">
        <w:rPr>
          <w:lang w:val="fr-CA"/>
        </w:rPr>
        <w:t>806</w:t>
      </w:r>
      <w:r w:rsidR="00E03F98" w:rsidRPr="002004BD">
        <w:rPr>
          <w:lang w:val="fr-CA"/>
        </w:rPr>
        <w:t xml:space="preserve">; </w:t>
      </w:r>
      <w:r w:rsidR="001D5315" w:rsidRPr="002004BD">
        <w:rPr>
          <w:i/>
          <w:lang w:val="fr-CA"/>
        </w:rPr>
        <w:t xml:space="preserve">Service aux marchands détaillants </w:t>
      </w:r>
      <w:proofErr w:type="spellStart"/>
      <w:r w:rsidR="001D5315" w:rsidRPr="002004BD">
        <w:rPr>
          <w:i/>
          <w:lang w:val="fr-CA"/>
        </w:rPr>
        <w:t>ltée</w:t>
      </w:r>
      <w:proofErr w:type="spellEnd"/>
      <w:r w:rsidR="001D5315" w:rsidRPr="002004BD">
        <w:rPr>
          <w:i/>
          <w:lang w:val="fr-CA"/>
        </w:rPr>
        <w:t xml:space="preserve"> (</w:t>
      </w:r>
      <w:proofErr w:type="spellStart"/>
      <w:r w:rsidR="001D5315" w:rsidRPr="002004BD">
        <w:rPr>
          <w:i/>
          <w:lang w:val="fr-CA"/>
        </w:rPr>
        <w:t>Household</w:t>
      </w:r>
      <w:proofErr w:type="spellEnd"/>
      <w:r w:rsidR="001D5315" w:rsidRPr="002004BD">
        <w:rPr>
          <w:i/>
          <w:lang w:val="fr-CA"/>
        </w:rPr>
        <w:t xml:space="preserve"> Finance) c. Option consommateurs</w:t>
      </w:r>
      <w:r w:rsidR="001D5315" w:rsidRPr="002004BD">
        <w:rPr>
          <w:lang w:val="fr-CA"/>
        </w:rPr>
        <w:t>, 2006 QCCA 1319 (</w:t>
      </w:r>
      <w:proofErr w:type="spellStart"/>
      <w:r w:rsidR="001D5315" w:rsidRPr="002004BD">
        <w:rPr>
          <w:lang w:val="fr-CA"/>
        </w:rPr>
        <w:t>CanLII</w:t>
      </w:r>
      <w:proofErr w:type="spellEnd"/>
      <w:r w:rsidR="001D5315" w:rsidRPr="002004BD">
        <w:rPr>
          <w:lang w:val="fr-CA"/>
        </w:rPr>
        <w:t>), autorisation d</w:t>
      </w:r>
      <w:r w:rsidR="009638A7">
        <w:rPr>
          <w:lang w:val="fr-CA"/>
        </w:rPr>
        <w:t>’</w:t>
      </w:r>
      <w:r w:rsidR="001D5315" w:rsidRPr="002004BD">
        <w:rPr>
          <w:lang w:val="fr-CA"/>
        </w:rPr>
        <w:t xml:space="preserve">appel refusée, [2007] 1 R.C.S. xi; </w:t>
      </w:r>
      <w:r w:rsidR="001D5315" w:rsidRPr="002004BD">
        <w:rPr>
          <w:i/>
          <w:lang w:val="fr-CA"/>
        </w:rPr>
        <w:t xml:space="preserve">International </w:t>
      </w:r>
      <w:proofErr w:type="spellStart"/>
      <w:r w:rsidR="001D5315" w:rsidRPr="002004BD">
        <w:rPr>
          <w:i/>
          <w:lang w:val="fr-CA"/>
        </w:rPr>
        <w:t>Paper</w:t>
      </w:r>
      <w:proofErr w:type="spellEnd"/>
      <w:r w:rsidR="001D5315" w:rsidRPr="002004BD">
        <w:rPr>
          <w:i/>
          <w:lang w:val="fr-CA"/>
        </w:rPr>
        <w:t xml:space="preserve"> Co. c. Valeurs </w:t>
      </w:r>
      <w:proofErr w:type="spellStart"/>
      <w:r w:rsidR="001D5315" w:rsidRPr="002004BD">
        <w:rPr>
          <w:i/>
          <w:lang w:val="fr-CA"/>
        </w:rPr>
        <w:t>Trimont</w:t>
      </w:r>
      <w:proofErr w:type="spellEnd"/>
      <w:r w:rsidR="001D5315" w:rsidRPr="002004BD">
        <w:rPr>
          <w:i/>
          <w:lang w:val="fr-CA"/>
        </w:rPr>
        <w:t xml:space="preserve"> </w:t>
      </w:r>
      <w:proofErr w:type="spellStart"/>
      <w:r w:rsidR="001D5315" w:rsidRPr="002004BD">
        <w:rPr>
          <w:i/>
          <w:lang w:val="fr-CA"/>
        </w:rPr>
        <w:t>Ltée</w:t>
      </w:r>
      <w:proofErr w:type="spellEnd"/>
      <w:r w:rsidR="001D5315" w:rsidRPr="002004BD">
        <w:rPr>
          <w:lang w:val="fr-CA"/>
        </w:rPr>
        <w:t>, [1989] R.J.Q. 1187.</w:t>
      </w:r>
    </w:p>
    <w:p w:rsidR="004D7D95" w:rsidRPr="002004BD" w:rsidRDefault="004D7D95" w:rsidP="005E000D">
      <w:pPr>
        <w:pStyle w:val="SCCNormalDoubleSpacing"/>
        <w:widowControl w:val="0"/>
        <w:spacing w:after="720" w:line="240" w:lineRule="auto"/>
        <w:rPr>
          <w:b/>
          <w:lang w:val="fr-CA"/>
        </w:rPr>
      </w:pPr>
      <w:r w:rsidRPr="002004BD">
        <w:rPr>
          <w:b/>
          <w:lang w:val="fr-CA"/>
        </w:rPr>
        <w:t>Lois et règlements cités</w:t>
      </w:r>
    </w:p>
    <w:p w:rsidR="00D0369E" w:rsidRPr="002004BD" w:rsidRDefault="00D0369E" w:rsidP="005E000D">
      <w:pPr>
        <w:pStyle w:val="SCCNormalDoubleSpacing"/>
        <w:widowControl w:val="0"/>
        <w:spacing w:after="240" w:line="240" w:lineRule="auto"/>
        <w:ind w:left="539" w:hanging="539"/>
        <w:rPr>
          <w:lang w:val="fr-CA"/>
        </w:rPr>
      </w:pPr>
      <w:r w:rsidRPr="002004BD">
        <w:rPr>
          <w:i/>
          <w:lang w:val="fr-CA"/>
        </w:rPr>
        <w:t>Code civil du Québec</w:t>
      </w:r>
      <w:r w:rsidRPr="002004BD">
        <w:rPr>
          <w:lang w:val="fr-CA"/>
        </w:rPr>
        <w:t xml:space="preserve">, </w:t>
      </w:r>
      <w:r w:rsidR="002004BD">
        <w:rPr>
          <w:lang w:val="fr-CA"/>
        </w:rPr>
        <w:t>art.</w:t>
      </w:r>
      <w:r w:rsidR="00BE6E7C">
        <w:rPr>
          <w:lang w:val="fr-CA"/>
        </w:rPr>
        <w:t xml:space="preserve"> </w:t>
      </w:r>
      <w:r w:rsidRPr="002004BD">
        <w:rPr>
          <w:lang w:val="fr-CA"/>
        </w:rPr>
        <w:t>1422, 1491, 1492, 1554, 1699.</w:t>
      </w:r>
    </w:p>
    <w:p w:rsidR="00D0369E" w:rsidRPr="002004BD" w:rsidRDefault="00D0369E" w:rsidP="005E000D">
      <w:pPr>
        <w:pStyle w:val="SCCNormalDoubleSpacing"/>
        <w:widowControl w:val="0"/>
        <w:spacing w:after="240" w:line="240" w:lineRule="auto"/>
        <w:ind w:left="539" w:hanging="539"/>
        <w:rPr>
          <w:lang w:val="fr-CA"/>
        </w:rPr>
      </w:pPr>
      <w:r w:rsidRPr="002004BD">
        <w:rPr>
          <w:i/>
          <w:lang w:val="fr-CA"/>
        </w:rPr>
        <w:t>Loi sur la protection du consommateur</w:t>
      </w:r>
      <w:r w:rsidRPr="002004BD">
        <w:rPr>
          <w:lang w:val="fr-CA"/>
        </w:rPr>
        <w:t xml:space="preserve">, RLRQ, </w:t>
      </w:r>
      <w:r w:rsidR="002004BD">
        <w:rPr>
          <w:lang w:val="fr-CA"/>
        </w:rPr>
        <w:t>ch.</w:t>
      </w:r>
      <w:r w:rsidR="00BE6E7C">
        <w:rPr>
          <w:lang w:val="fr-CA"/>
        </w:rPr>
        <w:t xml:space="preserve"> </w:t>
      </w:r>
      <w:r w:rsidRPr="002004BD">
        <w:rPr>
          <w:lang w:val="fr-CA"/>
        </w:rPr>
        <w:t>P</w:t>
      </w:r>
      <w:r w:rsidR="00BE6E7C">
        <w:rPr>
          <w:lang w:val="fr-CA"/>
        </w:rPr>
        <w:t>-</w:t>
      </w:r>
      <w:r w:rsidRPr="002004BD">
        <w:rPr>
          <w:lang w:val="fr-CA"/>
        </w:rPr>
        <w:t xml:space="preserve">40.1, </w:t>
      </w:r>
      <w:r w:rsidR="002004BD">
        <w:rPr>
          <w:lang w:val="fr-CA"/>
        </w:rPr>
        <w:t>art.</w:t>
      </w:r>
      <w:r w:rsidR="00BE6E7C">
        <w:rPr>
          <w:lang w:val="fr-CA"/>
        </w:rPr>
        <w:t xml:space="preserve"> </w:t>
      </w:r>
      <w:r w:rsidRPr="002004BD">
        <w:rPr>
          <w:lang w:val="fr-CA"/>
        </w:rPr>
        <w:t>12, 219, 271, 272.</w:t>
      </w:r>
    </w:p>
    <w:p w:rsidR="004D7D95" w:rsidRPr="002004BD" w:rsidRDefault="00D0369E" w:rsidP="005E000D">
      <w:pPr>
        <w:pStyle w:val="SCCNormalDoubleSpacing"/>
        <w:widowControl w:val="0"/>
        <w:spacing w:after="480"/>
        <w:ind w:left="540" w:hanging="540"/>
        <w:rPr>
          <w:lang w:val="fr-CA"/>
        </w:rPr>
      </w:pPr>
      <w:r w:rsidRPr="002004BD">
        <w:rPr>
          <w:i/>
          <w:lang w:val="fr-CA"/>
        </w:rPr>
        <w:t>Loi sur les banques</w:t>
      </w:r>
      <w:r w:rsidRPr="002004BD">
        <w:rPr>
          <w:lang w:val="fr-CA"/>
        </w:rPr>
        <w:t xml:space="preserve">, L.C. 1991, </w:t>
      </w:r>
      <w:r w:rsidR="002004BD">
        <w:rPr>
          <w:lang w:val="fr-CA"/>
        </w:rPr>
        <w:t>ch.</w:t>
      </w:r>
      <w:r w:rsidR="00BE6E7C">
        <w:rPr>
          <w:lang w:val="fr-CA"/>
        </w:rPr>
        <w:t xml:space="preserve"> </w:t>
      </w:r>
      <w:r w:rsidRPr="002004BD">
        <w:rPr>
          <w:lang w:val="fr-CA"/>
        </w:rPr>
        <w:t xml:space="preserve">46, </w:t>
      </w:r>
      <w:r w:rsidR="002004BD">
        <w:rPr>
          <w:lang w:val="fr-CA"/>
        </w:rPr>
        <w:t>art.</w:t>
      </w:r>
      <w:r w:rsidR="00BE6E7C">
        <w:rPr>
          <w:lang w:val="fr-CA"/>
        </w:rPr>
        <w:t xml:space="preserve"> </w:t>
      </w:r>
      <w:r w:rsidRPr="002004BD">
        <w:rPr>
          <w:lang w:val="fr-CA"/>
        </w:rPr>
        <w:t>452(2)</w:t>
      </w:r>
      <w:r w:rsidRPr="002004BD">
        <w:rPr>
          <w:i/>
          <w:lang w:val="fr-CA"/>
        </w:rPr>
        <w:t>c</w:t>
      </w:r>
      <w:r w:rsidRPr="002004BD">
        <w:rPr>
          <w:lang w:val="fr-CA"/>
        </w:rPr>
        <w:t>)</w:t>
      </w:r>
      <w:r w:rsidR="00A806B9">
        <w:rPr>
          <w:lang w:val="fr-CA"/>
        </w:rPr>
        <w:t>, annexe II</w:t>
      </w:r>
      <w:r w:rsidRPr="002004BD">
        <w:rPr>
          <w:lang w:val="fr-CA"/>
        </w:rPr>
        <w:t>.</w:t>
      </w:r>
    </w:p>
    <w:p w:rsidR="004D7D95" w:rsidRPr="002004BD" w:rsidRDefault="004D7D95" w:rsidP="005E000D">
      <w:pPr>
        <w:pStyle w:val="SCCNormalDoubleSpacing"/>
        <w:widowControl w:val="0"/>
        <w:spacing w:after="720" w:line="240" w:lineRule="auto"/>
        <w:rPr>
          <w:b/>
          <w:lang w:val="fr-CA"/>
        </w:rPr>
      </w:pPr>
      <w:r w:rsidRPr="002004BD">
        <w:rPr>
          <w:b/>
          <w:lang w:val="fr-CA"/>
        </w:rPr>
        <w:t>Doctrine et autres documents cités</w:t>
      </w:r>
    </w:p>
    <w:p w:rsidR="001D5315" w:rsidRPr="002004BD" w:rsidRDefault="001D5315" w:rsidP="005E000D">
      <w:pPr>
        <w:pStyle w:val="SCCNormalDoubleSpacing"/>
        <w:widowControl w:val="0"/>
        <w:spacing w:after="240" w:line="240" w:lineRule="auto"/>
        <w:ind w:left="539" w:hanging="539"/>
        <w:rPr>
          <w:lang w:val="fr-CA"/>
        </w:rPr>
      </w:pPr>
      <w:r w:rsidRPr="002004BD">
        <w:rPr>
          <w:lang w:val="fr-CA"/>
        </w:rPr>
        <w:lastRenderedPageBreak/>
        <w:t>Baudouin, Jean</w:t>
      </w:r>
      <w:r w:rsidR="000D66C1">
        <w:rPr>
          <w:lang w:val="fr-CA"/>
        </w:rPr>
        <w:t>-</w:t>
      </w:r>
      <w:r w:rsidRPr="002004BD">
        <w:rPr>
          <w:lang w:val="fr-CA"/>
        </w:rPr>
        <w:t>Louis, et Pierre</w:t>
      </w:r>
      <w:r w:rsidR="000D66C1">
        <w:rPr>
          <w:lang w:val="fr-CA"/>
        </w:rPr>
        <w:t>-</w:t>
      </w:r>
      <w:r w:rsidRPr="002004BD">
        <w:rPr>
          <w:lang w:val="fr-CA"/>
        </w:rPr>
        <w:t xml:space="preserve">Gabriel </w:t>
      </w:r>
      <w:proofErr w:type="spellStart"/>
      <w:r w:rsidRPr="002004BD">
        <w:rPr>
          <w:lang w:val="fr-CA"/>
        </w:rPr>
        <w:t>Jobin</w:t>
      </w:r>
      <w:proofErr w:type="spellEnd"/>
      <w:r w:rsidRPr="002004BD">
        <w:rPr>
          <w:lang w:val="fr-CA"/>
        </w:rPr>
        <w:t xml:space="preserve">.  </w:t>
      </w:r>
      <w:r w:rsidRPr="002004BD">
        <w:rPr>
          <w:i/>
          <w:lang w:val="fr-CA"/>
        </w:rPr>
        <w:t>Les obligations</w:t>
      </w:r>
      <w:r w:rsidRPr="002004BD">
        <w:rPr>
          <w:lang w:val="fr-CA"/>
        </w:rPr>
        <w:t>, 7</w:t>
      </w:r>
      <w:r w:rsidRPr="002004BD">
        <w:rPr>
          <w:vertAlign w:val="superscript"/>
          <w:lang w:val="fr-CA"/>
        </w:rPr>
        <w:t>e</w:t>
      </w:r>
      <w:r w:rsidRPr="002004BD">
        <w:rPr>
          <w:lang w:val="fr-CA"/>
        </w:rPr>
        <w:t xml:space="preserve"> éd. par Pierre</w:t>
      </w:r>
      <w:r w:rsidR="003D5D01">
        <w:rPr>
          <w:lang w:val="fr-CA"/>
        </w:rPr>
        <w:t>-</w:t>
      </w:r>
      <w:r w:rsidRPr="002004BD">
        <w:rPr>
          <w:lang w:val="fr-CA"/>
        </w:rPr>
        <w:t xml:space="preserve">Gabriel </w:t>
      </w:r>
      <w:proofErr w:type="spellStart"/>
      <w:r w:rsidRPr="002004BD">
        <w:rPr>
          <w:lang w:val="fr-CA"/>
        </w:rPr>
        <w:t>Jobin</w:t>
      </w:r>
      <w:proofErr w:type="spellEnd"/>
      <w:r w:rsidRPr="002004BD">
        <w:rPr>
          <w:lang w:val="fr-CA"/>
        </w:rPr>
        <w:t xml:space="preserve"> et Nathalie </w:t>
      </w:r>
      <w:proofErr w:type="spellStart"/>
      <w:r w:rsidRPr="002004BD">
        <w:rPr>
          <w:lang w:val="fr-CA"/>
        </w:rPr>
        <w:t>Vézina</w:t>
      </w:r>
      <w:proofErr w:type="spellEnd"/>
      <w:r w:rsidRPr="002004BD">
        <w:rPr>
          <w:lang w:val="fr-CA"/>
        </w:rPr>
        <w:t xml:space="preserve">.  </w:t>
      </w:r>
      <w:proofErr w:type="spellStart"/>
      <w:r w:rsidRPr="002004BD">
        <w:rPr>
          <w:lang w:val="fr-CA"/>
        </w:rPr>
        <w:t>Cowansville</w:t>
      </w:r>
      <w:proofErr w:type="spellEnd"/>
      <w:r w:rsidRPr="002004BD">
        <w:rPr>
          <w:lang w:val="fr-CA"/>
        </w:rPr>
        <w:t xml:space="preserve">, </w:t>
      </w:r>
      <w:proofErr w:type="spellStart"/>
      <w:r w:rsidRPr="002004BD">
        <w:rPr>
          <w:lang w:val="fr-CA"/>
        </w:rPr>
        <w:t>Qué</w:t>
      </w:r>
      <w:proofErr w:type="spellEnd"/>
      <w:r w:rsidRPr="002004BD">
        <w:rPr>
          <w:lang w:val="fr-CA"/>
        </w:rPr>
        <w:t>.</w:t>
      </w:r>
      <w:r w:rsidR="00BE6E7C">
        <w:rPr>
          <w:lang w:val="fr-CA"/>
        </w:rPr>
        <w:t> :</w:t>
      </w:r>
      <w:r w:rsidRPr="002004BD">
        <w:rPr>
          <w:lang w:val="fr-CA"/>
        </w:rPr>
        <w:t xml:space="preserve"> Yvon Blais, 2013</w:t>
      </w:r>
      <w:r w:rsidR="00525432" w:rsidRPr="002004BD">
        <w:rPr>
          <w:lang w:val="fr-CA"/>
        </w:rPr>
        <w:t>.</w:t>
      </w:r>
    </w:p>
    <w:p w:rsidR="001D5315" w:rsidRPr="002004BD" w:rsidRDefault="001D5315" w:rsidP="005E000D">
      <w:pPr>
        <w:pStyle w:val="SCCNormalDoubleSpacing"/>
        <w:widowControl w:val="0"/>
        <w:spacing w:after="480" w:line="240" w:lineRule="auto"/>
        <w:ind w:left="539" w:hanging="539"/>
        <w:rPr>
          <w:lang w:val="fr-CA"/>
        </w:rPr>
      </w:pPr>
      <w:proofErr w:type="spellStart"/>
      <w:r w:rsidRPr="002004BD">
        <w:rPr>
          <w:lang w:val="fr-CA"/>
        </w:rPr>
        <w:t>Lluelles</w:t>
      </w:r>
      <w:proofErr w:type="spellEnd"/>
      <w:r w:rsidRPr="002004BD">
        <w:rPr>
          <w:lang w:val="fr-CA"/>
        </w:rPr>
        <w:t xml:space="preserve">, Didier, et Benoît Moore.  </w:t>
      </w:r>
      <w:r w:rsidRPr="002004BD">
        <w:rPr>
          <w:i/>
          <w:lang w:val="fr-CA"/>
        </w:rPr>
        <w:t>Droit des obligations</w:t>
      </w:r>
      <w:r w:rsidRPr="002004BD">
        <w:rPr>
          <w:lang w:val="fr-CA"/>
        </w:rPr>
        <w:t>, 2</w:t>
      </w:r>
      <w:r w:rsidRPr="002004BD">
        <w:rPr>
          <w:vertAlign w:val="superscript"/>
          <w:lang w:val="fr-CA"/>
        </w:rPr>
        <w:t>e</w:t>
      </w:r>
      <w:r w:rsidRPr="002004BD">
        <w:rPr>
          <w:lang w:val="fr-CA"/>
        </w:rPr>
        <w:t xml:space="preserve"> éd.  Montréal</w:t>
      </w:r>
      <w:r w:rsidR="00BE6E7C">
        <w:rPr>
          <w:lang w:val="fr-CA"/>
        </w:rPr>
        <w:t> :</w:t>
      </w:r>
      <w:r w:rsidR="00DA5CC9">
        <w:rPr>
          <w:lang w:val="fr-CA"/>
        </w:rPr>
        <w:t xml:space="preserve"> Thémis, </w:t>
      </w:r>
      <w:r w:rsidRPr="002004BD">
        <w:rPr>
          <w:lang w:val="fr-CA"/>
        </w:rPr>
        <w:t>2012</w:t>
      </w:r>
      <w:r w:rsidR="00525432" w:rsidRPr="002004BD">
        <w:rPr>
          <w:lang w:val="fr-CA"/>
        </w:rPr>
        <w:t>.</w:t>
      </w:r>
    </w:p>
    <w:p w:rsidR="004D7D95" w:rsidRPr="002004BD" w:rsidRDefault="004D7D95" w:rsidP="005E000D">
      <w:pPr>
        <w:pStyle w:val="SCCNormalDoubleSpacing"/>
        <w:widowControl w:val="0"/>
        <w:spacing w:after="480"/>
        <w:rPr>
          <w:lang w:val="fr-CA"/>
        </w:rPr>
      </w:pPr>
      <w:r w:rsidRPr="002004BD">
        <w:rPr>
          <w:lang w:val="fr-CA"/>
        </w:rPr>
        <w:tab/>
        <w:t>POURVOI contre un arrêt de la C</w:t>
      </w:r>
      <w:r w:rsidR="0038427F" w:rsidRPr="002004BD">
        <w:rPr>
          <w:lang w:val="fr-CA"/>
        </w:rPr>
        <w:t>our d</w:t>
      </w:r>
      <w:r w:rsidR="009638A7">
        <w:rPr>
          <w:lang w:val="fr-CA"/>
        </w:rPr>
        <w:t>’</w:t>
      </w:r>
      <w:r w:rsidR="0038427F" w:rsidRPr="002004BD">
        <w:rPr>
          <w:lang w:val="fr-CA"/>
        </w:rPr>
        <w:t>appel du Québec (les juge</w:t>
      </w:r>
      <w:r w:rsidR="00745E4F" w:rsidRPr="002004BD">
        <w:rPr>
          <w:lang w:val="fr-CA"/>
        </w:rPr>
        <w:t>s</w:t>
      </w:r>
      <w:r w:rsidR="0038427F" w:rsidRPr="002004BD">
        <w:rPr>
          <w:lang w:val="fr-CA"/>
        </w:rPr>
        <w:t xml:space="preserve"> Forget, </w:t>
      </w:r>
      <w:proofErr w:type="spellStart"/>
      <w:r w:rsidR="0038427F" w:rsidRPr="002004BD">
        <w:rPr>
          <w:lang w:val="fr-CA"/>
        </w:rPr>
        <w:t>Dalphond</w:t>
      </w:r>
      <w:proofErr w:type="spellEnd"/>
      <w:r w:rsidR="0038427F" w:rsidRPr="002004BD">
        <w:rPr>
          <w:lang w:val="fr-CA"/>
        </w:rPr>
        <w:t xml:space="preserve"> et </w:t>
      </w:r>
      <w:proofErr w:type="spellStart"/>
      <w:r w:rsidR="0038427F" w:rsidRPr="002004BD">
        <w:rPr>
          <w:lang w:val="fr-CA"/>
        </w:rPr>
        <w:t>Bich</w:t>
      </w:r>
      <w:proofErr w:type="spellEnd"/>
      <w:r w:rsidR="0038427F" w:rsidRPr="002004BD">
        <w:rPr>
          <w:lang w:val="fr-CA"/>
        </w:rPr>
        <w:t>), 2012 QCCA 1394, [2012] R.J.Q. 1512</w:t>
      </w:r>
      <w:r w:rsidR="005C14BE" w:rsidRPr="002004BD">
        <w:rPr>
          <w:lang w:val="fr-CA"/>
        </w:rPr>
        <w:t xml:space="preserve">, 353 D.L.R. (4th) 296, </w:t>
      </w:r>
      <w:r w:rsidR="00CD0EEB" w:rsidRPr="002004BD">
        <w:rPr>
          <w:lang w:val="fr-CA"/>
        </w:rPr>
        <w:t>[2012]</w:t>
      </w:r>
      <w:r w:rsidR="005C14BE" w:rsidRPr="002004BD">
        <w:rPr>
          <w:lang w:val="fr-CA"/>
        </w:rPr>
        <w:t xml:space="preserve"> AZ</w:t>
      </w:r>
      <w:r w:rsidR="00A806B9">
        <w:rPr>
          <w:lang w:val="fr-CA"/>
        </w:rPr>
        <w:t>-</w:t>
      </w:r>
      <w:r w:rsidR="005C14BE" w:rsidRPr="002004BD">
        <w:rPr>
          <w:lang w:val="fr-CA"/>
        </w:rPr>
        <w:t>50881447</w:t>
      </w:r>
      <w:r w:rsidR="0038427F" w:rsidRPr="002004BD">
        <w:rPr>
          <w:lang w:val="fr-CA"/>
        </w:rPr>
        <w:t xml:space="preserve">, </w:t>
      </w:r>
      <w:r w:rsidR="005C14BE" w:rsidRPr="002004BD">
        <w:rPr>
          <w:lang w:val="fr-CA"/>
        </w:rPr>
        <w:t xml:space="preserve">[2012] Q.J. </w:t>
      </w:r>
      <w:r w:rsidR="002004BD">
        <w:rPr>
          <w:lang w:val="fr-CA"/>
        </w:rPr>
        <w:t>No.</w:t>
      </w:r>
      <w:r w:rsidR="00BE6E7C">
        <w:rPr>
          <w:lang w:val="fr-CA"/>
        </w:rPr>
        <w:t xml:space="preserve"> </w:t>
      </w:r>
      <w:r w:rsidR="005C14BE" w:rsidRPr="002004BD">
        <w:rPr>
          <w:lang w:val="fr-CA"/>
        </w:rPr>
        <w:t>7426 (</w:t>
      </w:r>
      <w:r w:rsidR="0038427F" w:rsidRPr="002004BD">
        <w:rPr>
          <w:lang w:val="fr-CA"/>
        </w:rPr>
        <w:t>QL</w:t>
      </w:r>
      <w:r w:rsidR="005C14BE" w:rsidRPr="002004BD">
        <w:rPr>
          <w:lang w:val="fr-CA"/>
        </w:rPr>
        <w:t>)</w:t>
      </w:r>
      <w:r w:rsidR="0038427F" w:rsidRPr="002004BD">
        <w:rPr>
          <w:lang w:val="fr-CA"/>
        </w:rPr>
        <w:t xml:space="preserve">, 2012 </w:t>
      </w:r>
      <w:proofErr w:type="spellStart"/>
      <w:r w:rsidR="0038427F" w:rsidRPr="002004BD">
        <w:rPr>
          <w:lang w:val="fr-CA"/>
        </w:rPr>
        <w:t>CarswellQue</w:t>
      </w:r>
      <w:proofErr w:type="spellEnd"/>
      <w:r w:rsidR="0038427F" w:rsidRPr="002004BD">
        <w:rPr>
          <w:lang w:val="fr-CA"/>
        </w:rPr>
        <w:t xml:space="preserve"> 7779, </w:t>
      </w:r>
      <w:r w:rsidR="005C14BE" w:rsidRPr="002004BD">
        <w:rPr>
          <w:lang w:val="fr-CA"/>
        </w:rPr>
        <w:t xml:space="preserve">qui a infirmé en partie une décision du juge Gascon, 2009 QCCS 2695, [2009] R.J.Q. 1746, </w:t>
      </w:r>
      <w:r w:rsidR="00CD0EEB" w:rsidRPr="002004BD">
        <w:rPr>
          <w:lang w:val="fr-CA"/>
        </w:rPr>
        <w:t>[2009]</w:t>
      </w:r>
      <w:r w:rsidR="005C14BE" w:rsidRPr="002004BD">
        <w:rPr>
          <w:lang w:val="fr-CA"/>
        </w:rPr>
        <w:t xml:space="preserve"> AZ</w:t>
      </w:r>
      <w:r w:rsidR="00A806B9">
        <w:rPr>
          <w:lang w:val="fr-CA"/>
        </w:rPr>
        <w:t>-</w:t>
      </w:r>
      <w:r w:rsidR="005C14BE" w:rsidRPr="002004BD">
        <w:rPr>
          <w:lang w:val="fr-CA"/>
        </w:rPr>
        <w:t xml:space="preserve">50560798, [2009] Q.J. </w:t>
      </w:r>
      <w:r w:rsidR="002004BD">
        <w:rPr>
          <w:lang w:val="fr-CA"/>
        </w:rPr>
        <w:t>No.</w:t>
      </w:r>
      <w:r w:rsidR="00BE6E7C">
        <w:rPr>
          <w:lang w:val="fr-CA"/>
        </w:rPr>
        <w:t xml:space="preserve"> </w:t>
      </w:r>
      <w:r w:rsidR="005C14BE" w:rsidRPr="002004BD">
        <w:rPr>
          <w:lang w:val="fr-CA"/>
        </w:rPr>
        <w:t>5769</w:t>
      </w:r>
      <w:r w:rsidR="00CD0EEB" w:rsidRPr="002004BD">
        <w:rPr>
          <w:lang w:val="fr-CA"/>
        </w:rPr>
        <w:t xml:space="preserve"> (QL)</w:t>
      </w:r>
      <w:r w:rsidR="005C14BE" w:rsidRPr="002004BD">
        <w:rPr>
          <w:lang w:val="fr-CA"/>
        </w:rPr>
        <w:t xml:space="preserve">, 2009 </w:t>
      </w:r>
      <w:proofErr w:type="spellStart"/>
      <w:r w:rsidR="005C14BE" w:rsidRPr="002004BD">
        <w:rPr>
          <w:lang w:val="fr-CA"/>
        </w:rPr>
        <w:t>CarswellQue</w:t>
      </w:r>
      <w:proofErr w:type="spellEnd"/>
      <w:r w:rsidR="005C14BE" w:rsidRPr="002004BD">
        <w:rPr>
          <w:lang w:val="fr-CA"/>
        </w:rPr>
        <w:t xml:space="preserve"> 6873.  Pourvoi </w:t>
      </w:r>
      <w:r w:rsidR="00093D23" w:rsidRPr="002004BD">
        <w:rPr>
          <w:lang w:val="fr-CA"/>
        </w:rPr>
        <w:t>rejeté</w:t>
      </w:r>
      <w:r w:rsidR="005C14BE" w:rsidRPr="002004BD">
        <w:rPr>
          <w:lang w:val="fr-CA"/>
        </w:rPr>
        <w:t>.</w:t>
      </w:r>
    </w:p>
    <w:p w:rsidR="00826C41" w:rsidRPr="002004BD" w:rsidRDefault="006B56F7" w:rsidP="005E000D">
      <w:pPr>
        <w:pStyle w:val="SCCNormalDoubleSpacing"/>
        <w:widowControl w:val="0"/>
        <w:spacing w:after="480"/>
        <w:rPr>
          <w:lang w:val="fr-CA"/>
        </w:rPr>
      </w:pPr>
      <w:r w:rsidRPr="002004BD">
        <w:rPr>
          <w:i/>
          <w:lang w:val="fr-CA"/>
        </w:rPr>
        <w:tab/>
      </w:r>
      <w:r w:rsidR="00AA7405" w:rsidRPr="002004BD">
        <w:rPr>
          <w:i/>
          <w:lang w:val="fr-CA"/>
        </w:rPr>
        <w:t>Mahmud Jamal</w:t>
      </w:r>
      <w:r w:rsidR="00AA7405" w:rsidRPr="002004BD">
        <w:rPr>
          <w:lang w:val="fr-CA"/>
        </w:rPr>
        <w:t xml:space="preserve">, </w:t>
      </w:r>
      <w:r w:rsidR="00AA7405" w:rsidRPr="002004BD">
        <w:rPr>
          <w:i/>
          <w:lang w:val="fr-CA"/>
        </w:rPr>
        <w:t xml:space="preserve">Sylvain </w:t>
      </w:r>
      <w:proofErr w:type="spellStart"/>
      <w:r w:rsidR="00AA7405" w:rsidRPr="002004BD">
        <w:rPr>
          <w:i/>
          <w:lang w:val="fr-CA"/>
        </w:rPr>
        <w:t>Deslauriers</w:t>
      </w:r>
      <w:proofErr w:type="spellEnd"/>
      <w:r w:rsidR="00AA7405" w:rsidRPr="002004BD">
        <w:rPr>
          <w:lang w:val="fr-CA"/>
        </w:rPr>
        <w:t xml:space="preserve">, </w:t>
      </w:r>
      <w:r w:rsidR="00AA7405" w:rsidRPr="002004BD">
        <w:rPr>
          <w:i/>
          <w:lang w:val="fr-CA"/>
        </w:rPr>
        <w:t>S</w:t>
      </w:r>
      <w:r w:rsidR="00877B3A" w:rsidRPr="002004BD">
        <w:rPr>
          <w:i/>
          <w:lang w:val="fr-CA"/>
        </w:rPr>
        <w:t>i</w:t>
      </w:r>
      <w:r w:rsidR="00AA7405" w:rsidRPr="002004BD">
        <w:rPr>
          <w:i/>
          <w:lang w:val="fr-CA"/>
        </w:rPr>
        <w:t>lvana Conte</w:t>
      </w:r>
      <w:r w:rsidR="00AA7405" w:rsidRPr="002004BD">
        <w:rPr>
          <w:lang w:val="fr-CA"/>
        </w:rPr>
        <w:t xml:space="preserve">, </w:t>
      </w:r>
      <w:r w:rsidR="00AA7405" w:rsidRPr="002004BD">
        <w:rPr>
          <w:i/>
          <w:lang w:val="fr-CA"/>
        </w:rPr>
        <w:t>Alberto Martinez</w:t>
      </w:r>
      <w:r w:rsidR="00AA7405" w:rsidRPr="002004BD">
        <w:rPr>
          <w:lang w:val="fr-CA"/>
        </w:rPr>
        <w:t xml:space="preserve">, </w:t>
      </w:r>
      <w:r w:rsidR="00AA7405" w:rsidRPr="002004BD">
        <w:rPr>
          <w:i/>
          <w:lang w:val="fr-CA"/>
        </w:rPr>
        <w:t xml:space="preserve">W. David </w:t>
      </w:r>
      <w:proofErr w:type="spellStart"/>
      <w:r w:rsidR="00AA7405" w:rsidRPr="002004BD">
        <w:rPr>
          <w:i/>
          <w:lang w:val="fr-CA"/>
        </w:rPr>
        <w:t>Rankin</w:t>
      </w:r>
      <w:proofErr w:type="spellEnd"/>
      <w:r w:rsidR="00AA7405" w:rsidRPr="002004BD">
        <w:rPr>
          <w:lang w:val="fr-CA"/>
        </w:rPr>
        <w:t xml:space="preserve">, </w:t>
      </w:r>
      <w:r w:rsidR="00AA7405" w:rsidRPr="002004BD">
        <w:rPr>
          <w:i/>
          <w:lang w:val="fr-CA"/>
        </w:rPr>
        <w:t>Anne</w:t>
      </w:r>
      <w:r w:rsidR="00BE6E7C">
        <w:rPr>
          <w:i/>
          <w:lang w:val="fr-CA"/>
        </w:rPr>
        <w:t>-</w:t>
      </w:r>
      <w:r w:rsidR="00AA7405" w:rsidRPr="002004BD">
        <w:rPr>
          <w:i/>
          <w:lang w:val="fr-CA"/>
        </w:rPr>
        <w:t xml:space="preserve">Marie </w:t>
      </w:r>
      <w:proofErr w:type="spellStart"/>
      <w:r w:rsidR="00AA7405" w:rsidRPr="002004BD">
        <w:rPr>
          <w:i/>
          <w:lang w:val="fr-CA"/>
        </w:rPr>
        <w:t>Lizotte</w:t>
      </w:r>
      <w:proofErr w:type="spellEnd"/>
      <w:r w:rsidR="00AA7405" w:rsidRPr="002004BD">
        <w:rPr>
          <w:i/>
          <w:lang w:val="fr-CA"/>
        </w:rPr>
        <w:t xml:space="preserve"> </w:t>
      </w:r>
      <w:r w:rsidR="00AA7405" w:rsidRPr="002004BD">
        <w:rPr>
          <w:lang w:val="fr-CA"/>
        </w:rPr>
        <w:t xml:space="preserve">et </w:t>
      </w:r>
      <w:r w:rsidR="00AA7405" w:rsidRPr="002004BD">
        <w:rPr>
          <w:i/>
          <w:lang w:val="fr-CA"/>
        </w:rPr>
        <w:t>Alexandre Fallon</w:t>
      </w:r>
      <w:r w:rsidR="00AA7405" w:rsidRPr="002004BD">
        <w:rPr>
          <w:lang w:val="fr-CA"/>
        </w:rPr>
        <w:t xml:space="preserve">, </w:t>
      </w:r>
      <w:r w:rsidRPr="002004BD">
        <w:rPr>
          <w:lang w:val="fr-CA"/>
        </w:rPr>
        <w:t>pour l</w:t>
      </w:r>
      <w:r w:rsidR="009638A7">
        <w:rPr>
          <w:lang w:val="fr-CA"/>
        </w:rPr>
        <w:t>’</w:t>
      </w:r>
      <w:r w:rsidRPr="002004BD">
        <w:rPr>
          <w:lang w:val="fr-CA"/>
        </w:rPr>
        <w:t>appelante.</w:t>
      </w:r>
    </w:p>
    <w:p w:rsidR="00826C41" w:rsidRPr="002004BD" w:rsidRDefault="006B56F7" w:rsidP="005E000D">
      <w:pPr>
        <w:pStyle w:val="SCCNormalDoubleSpacing"/>
        <w:widowControl w:val="0"/>
        <w:spacing w:after="480"/>
        <w:rPr>
          <w:lang w:val="fr-CA"/>
        </w:rPr>
      </w:pPr>
      <w:r w:rsidRPr="002004BD">
        <w:rPr>
          <w:i/>
          <w:lang w:val="fr-CA"/>
        </w:rPr>
        <w:tab/>
        <w:t xml:space="preserve">Peter </w:t>
      </w:r>
      <w:proofErr w:type="spellStart"/>
      <w:r w:rsidRPr="002004BD">
        <w:rPr>
          <w:i/>
          <w:lang w:val="fr-CA"/>
        </w:rPr>
        <w:t>Kalichman</w:t>
      </w:r>
      <w:proofErr w:type="spellEnd"/>
      <w:r w:rsidRPr="002004BD">
        <w:rPr>
          <w:lang w:val="fr-CA"/>
        </w:rPr>
        <w:t xml:space="preserve">, </w:t>
      </w:r>
      <w:r w:rsidR="00AA7405" w:rsidRPr="002004BD">
        <w:rPr>
          <w:i/>
          <w:lang w:val="fr-CA"/>
        </w:rPr>
        <w:t>Catherine McKenzie</w:t>
      </w:r>
      <w:r w:rsidR="00AA7405" w:rsidRPr="002004BD">
        <w:rPr>
          <w:lang w:val="fr-CA"/>
        </w:rPr>
        <w:t xml:space="preserve"> et </w:t>
      </w:r>
      <w:r w:rsidRPr="002004BD">
        <w:rPr>
          <w:i/>
          <w:lang w:val="fr-CA"/>
        </w:rPr>
        <w:t>Mathieu Bouchard</w:t>
      </w:r>
      <w:r w:rsidR="00AA7405" w:rsidRPr="002004BD">
        <w:rPr>
          <w:lang w:val="fr-CA"/>
        </w:rPr>
        <w:t xml:space="preserve">, </w:t>
      </w:r>
      <w:r w:rsidRPr="002004BD">
        <w:rPr>
          <w:lang w:val="fr-CA"/>
        </w:rPr>
        <w:t>pour l</w:t>
      </w:r>
      <w:r w:rsidR="009638A7">
        <w:rPr>
          <w:lang w:val="fr-CA"/>
        </w:rPr>
        <w:t>’</w:t>
      </w:r>
      <w:r w:rsidRPr="002004BD">
        <w:rPr>
          <w:lang w:val="fr-CA"/>
        </w:rPr>
        <w:t>intimé</w:t>
      </w:r>
      <w:r w:rsidR="00AA7405" w:rsidRPr="002004BD">
        <w:rPr>
          <w:lang w:val="fr-CA"/>
        </w:rPr>
        <w:t xml:space="preserve"> </w:t>
      </w:r>
      <w:proofErr w:type="spellStart"/>
      <w:r w:rsidR="00AA7405" w:rsidRPr="002004BD">
        <w:rPr>
          <w:lang w:val="fr-CA"/>
        </w:rPr>
        <w:t>Sylvan</w:t>
      </w:r>
      <w:proofErr w:type="spellEnd"/>
      <w:r w:rsidR="00AA7405" w:rsidRPr="002004BD">
        <w:rPr>
          <w:lang w:val="fr-CA"/>
        </w:rPr>
        <w:t xml:space="preserve"> Adams</w:t>
      </w:r>
      <w:r w:rsidRPr="002004BD">
        <w:rPr>
          <w:lang w:val="fr-CA"/>
        </w:rPr>
        <w:t>.</w:t>
      </w:r>
    </w:p>
    <w:p w:rsidR="00826C41" w:rsidRPr="002004BD" w:rsidRDefault="006B56F7" w:rsidP="005E000D">
      <w:pPr>
        <w:pStyle w:val="SCCNormalDoubleSpacing"/>
        <w:widowControl w:val="0"/>
        <w:spacing w:after="480"/>
        <w:rPr>
          <w:lang w:val="fr-CA"/>
        </w:rPr>
      </w:pPr>
      <w:r w:rsidRPr="002004BD">
        <w:rPr>
          <w:i/>
          <w:lang w:val="fr-CA"/>
        </w:rPr>
        <w:tab/>
        <w:t>Jean</w:t>
      </w:r>
      <w:r w:rsidR="00BE6E7C">
        <w:rPr>
          <w:i/>
          <w:lang w:val="fr-CA"/>
        </w:rPr>
        <w:t>-</w:t>
      </w:r>
      <w:r w:rsidRPr="002004BD">
        <w:rPr>
          <w:i/>
          <w:lang w:val="fr-CA"/>
        </w:rPr>
        <w:t xml:space="preserve">François </w:t>
      </w:r>
      <w:proofErr w:type="spellStart"/>
      <w:r w:rsidRPr="002004BD">
        <w:rPr>
          <w:i/>
          <w:lang w:val="fr-CA"/>
        </w:rPr>
        <w:t>Jobin</w:t>
      </w:r>
      <w:proofErr w:type="spellEnd"/>
      <w:r w:rsidRPr="002004BD">
        <w:rPr>
          <w:lang w:val="fr-CA"/>
        </w:rPr>
        <w:t xml:space="preserve">, </w:t>
      </w:r>
      <w:r w:rsidRPr="002004BD">
        <w:rPr>
          <w:i/>
          <w:lang w:val="fr-CA"/>
        </w:rPr>
        <w:t>Francis Demers</w:t>
      </w:r>
      <w:r w:rsidRPr="002004BD">
        <w:rPr>
          <w:lang w:val="fr-CA"/>
        </w:rPr>
        <w:t xml:space="preserve"> et </w:t>
      </w:r>
      <w:r w:rsidRPr="002004BD">
        <w:rPr>
          <w:i/>
          <w:lang w:val="fr-CA"/>
        </w:rPr>
        <w:t>Samuel Chayer</w:t>
      </w:r>
      <w:r w:rsidRPr="002004BD">
        <w:rPr>
          <w:lang w:val="fr-CA"/>
        </w:rPr>
        <w:t>, pour l</w:t>
      </w:r>
      <w:r w:rsidR="009638A7">
        <w:rPr>
          <w:lang w:val="fr-CA"/>
        </w:rPr>
        <w:t>’</w:t>
      </w:r>
      <w:r w:rsidRPr="002004BD">
        <w:rPr>
          <w:lang w:val="fr-CA"/>
        </w:rPr>
        <w:t>intimé</w:t>
      </w:r>
      <w:r w:rsidR="00AA7405" w:rsidRPr="002004BD">
        <w:rPr>
          <w:lang w:val="fr-CA"/>
        </w:rPr>
        <w:t xml:space="preserve"> le procureur général du Québec</w:t>
      </w:r>
      <w:r w:rsidRPr="002004BD">
        <w:rPr>
          <w:lang w:val="fr-CA"/>
        </w:rPr>
        <w:t>.</w:t>
      </w:r>
    </w:p>
    <w:p w:rsidR="00826C41" w:rsidRPr="002004BD" w:rsidRDefault="006B56F7" w:rsidP="005E000D">
      <w:pPr>
        <w:pStyle w:val="SCCNormalDoubleSpacing"/>
        <w:widowControl w:val="0"/>
        <w:spacing w:after="480"/>
        <w:rPr>
          <w:lang w:val="fr-CA"/>
        </w:rPr>
      </w:pPr>
      <w:r w:rsidRPr="002004BD">
        <w:rPr>
          <w:i/>
          <w:lang w:val="fr-CA"/>
        </w:rPr>
        <w:tab/>
        <w:t>Marc Migneault</w:t>
      </w:r>
      <w:r w:rsidR="00AA7405" w:rsidRPr="002004BD">
        <w:rPr>
          <w:lang w:val="fr-CA"/>
        </w:rPr>
        <w:t xml:space="preserve"> et </w:t>
      </w:r>
      <w:r w:rsidR="00AA7405" w:rsidRPr="002004BD">
        <w:rPr>
          <w:i/>
          <w:lang w:val="fr-CA"/>
        </w:rPr>
        <w:t>Joël Simard</w:t>
      </w:r>
      <w:r w:rsidRPr="002004BD">
        <w:rPr>
          <w:lang w:val="fr-CA"/>
        </w:rPr>
        <w:t>, pour l</w:t>
      </w:r>
      <w:r w:rsidR="009638A7">
        <w:rPr>
          <w:lang w:val="fr-CA"/>
        </w:rPr>
        <w:t>’</w:t>
      </w:r>
      <w:r w:rsidRPr="002004BD">
        <w:rPr>
          <w:lang w:val="fr-CA"/>
        </w:rPr>
        <w:t>intimé</w:t>
      </w:r>
      <w:r w:rsidR="00A51886">
        <w:rPr>
          <w:lang w:val="fr-CA"/>
        </w:rPr>
        <w:t xml:space="preserve"> le p</w:t>
      </w:r>
      <w:r w:rsidR="00AA7405" w:rsidRPr="002004BD">
        <w:rPr>
          <w:lang w:val="fr-CA"/>
        </w:rPr>
        <w:t>résident de l</w:t>
      </w:r>
      <w:r w:rsidR="009638A7">
        <w:rPr>
          <w:lang w:val="fr-CA"/>
        </w:rPr>
        <w:t>’</w:t>
      </w:r>
      <w:r w:rsidR="00AA7405" w:rsidRPr="002004BD">
        <w:rPr>
          <w:lang w:val="fr-CA"/>
        </w:rPr>
        <w:t>Office de la protection du consommateur</w:t>
      </w:r>
      <w:r w:rsidRPr="002004BD">
        <w:rPr>
          <w:lang w:val="fr-CA"/>
        </w:rPr>
        <w:t>.</w:t>
      </w:r>
    </w:p>
    <w:p w:rsidR="00826C41" w:rsidRPr="002004BD" w:rsidRDefault="006B56F7" w:rsidP="005E000D">
      <w:pPr>
        <w:pStyle w:val="SCCNormalDoubleSpacing"/>
        <w:widowControl w:val="0"/>
        <w:spacing w:after="480"/>
        <w:rPr>
          <w:lang w:val="fr-CA"/>
        </w:rPr>
      </w:pPr>
      <w:r w:rsidRPr="002004BD">
        <w:rPr>
          <w:i/>
          <w:lang w:val="fr-CA"/>
        </w:rPr>
        <w:tab/>
        <w:t xml:space="preserve">Bernard </w:t>
      </w:r>
      <w:proofErr w:type="spellStart"/>
      <w:r w:rsidRPr="002004BD">
        <w:rPr>
          <w:i/>
          <w:lang w:val="fr-CA"/>
        </w:rPr>
        <w:t>Letarte</w:t>
      </w:r>
      <w:proofErr w:type="spellEnd"/>
      <w:r w:rsidR="00AA7405" w:rsidRPr="002004BD">
        <w:rPr>
          <w:lang w:val="fr-CA"/>
        </w:rPr>
        <w:t xml:space="preserve"> et </w:t>
      </w:r>
      <w:r w:rsidR="00AA7405" w:rsidRPr="002004BD">
        <w:rPr>
          <w:i/>
          <w:lang w:val="fr-CA"/>
        </w:rPr>
        <w:t xml:space="preserve">Pierre </w:t>
      </w:r>
      <w:proofErr w:type="spellStart"/>
      <w:r w:rsidR="00AA7405" w:rsidRPr="002004BD">
        <w:rPr>
          <w:i/>
          <w:lang w:val="fr-CA"/>
        </w:rPr>
        <w:t>S</w:t>
      </w:r>
      <w:r w:rsidR="004241EF" w:rsidRPr="002004BD">
        <w:rPr>
          <w:i/>
          <w:lang w:val="fr-CA"/>
        </w:rPr>
        <w:t>al</w:t>
      </w:r>
      <w:r w:rsidR="00AA7405" w:rsidRPr="002004BD">
        <w:rPr>
          <w:i/>
          <w:lang w:val="fr-CA"/>
        </w:rPr>
        <w:t>ois</w:t>
      </w:r>
      <w:proofErr w:type="spellEnd"/>
      <w:r w:rsidRPr="002004BD">
        <w:rPr>
          <w:lang w:val="fr-CA"/>
        </w:rPr>
        <w:t>, pour l</w:t>
      </w:r>
      <w:r w:rsidR="009638A7">
        <w:rPr>
          <w:lang w:val="fr-CA"/>
        </w:rPr>
        <w:t>’</w:t>
      </w:r>
      <w:r w:rsidRPr="002004BD">
        <w:rPr>
          <w:lang w:val="fr-CA"/>
        </w:rPr>
        <w:t>intervenant</w:t>
      </w:r>
      <w:r w:rsidR="00AA7405" w:rsidRPr="002004BD">
        <w:rPr>
          <w:lang w:val="fr-CA"/>
        </w:rPr>
        <w:t xml:space="preserve"> le p</w:t>
      </w:r>
      <w:r w:rsidRPr="002004BD">
        <w:rPr>
          <w:lang w:val="fr-CA"/>
        </w:rPr>
        <w:t xml:space="preserve">rocureur général </w:t>
      </w:r>
      <w:r w:rsidRPr="002004BD">
        <w:rPr>
          <w:lang w:val="fr-CA"/>
        </w:rPr>
        <w:lastRenderedPageBreak/>
        <w:t>du Canada.</w:t>
      </w:r>
    </w:p>
    <w:p w:rsidR="00826C41" w:rsidRPr="002004BD" w:rsidRDefault="00EA62A7" w:rsidP="005E000D">
      <w:pPr>
        <w:pStyle w:val="SCCNormalDoubleSpacing"/>
        <w:widowControl w:val="0"/>
        <w:spacing w:after="480"/>
        <w:rPr>
          <w:lang w:val="fr-CA"/>
        </w:rPr>
      </w:pPr>
      <w:r w:rsidRPr="002004BD">
        <w:rPr>
          <w:i/>
          <w:lang w:val="fr-CA"/>
        </w:rPr>
        <w:tab/>
        <w:t>Janet</w:t>
      </w:r>
      <w:r w:rsidR="00BE6E7C">
        <w:rPr>
          <w:i/>
          <w:lang w:val="fr-CA"/>
        </w:rPr>
        <w:t xml:space="preserve"> </w:t>
      </w:r>
      <w:r w:rsidR="006B56F7" w:rsidRPr="002004BD">
        <w:rPr>
          <w:i/>
          <w:lang w:val="fr-CA"/>
        </w:rPr>
        <w:t xml:space="preserve">E. </w:t>
      </w:r>
      <w:proofErr w:type="spellStart"/>
      <w:r w:rsidR="006B56F7" w:rsidRPr="002004BD">
        <w:rPr>
          <w:i/>
          <w:lang w:val="fr-CA"/>
        </w:rPr>
        <w:t>Minor</w:t>
      </w:r>
      <w:proofErr w:type="spellEnd"/>
      <w:r w:rsidR="006B56F7" w:rsidRPr="002004BD">
        <w:rPr>
          <w:lang w:val="fr-CA"/>
        </w:rPr>
        <w:t xml:space="preserve"> et </w:t>
      </w:r>
      <w:r w:rsidRPr="002004BD">
        <w:rPr>
          <w:i/>
          <w:lang w:val="fr-CA"/>
        </w:rPr>
        <w:t>Robert</w:t>
      </w:r>
      <w:r w:rsidR="00BE6E7C">
        <w:rPr>
          <w:i/>
          <w:lang w:val="fr-CA"/>
        </w:rPr>
        <w:t xml:space="preserve"> </w:t>
      </w:r>
      <w:r w:rsidR="006B56F7" w:rsidRPr="002004BD">
        <w:rPr>
          <w:i/>
          <w:lang w:val="fr-CA"/>
        </w:rPr>
        <w:t>A. Donato</w:t>
      </w:r>
      <w:r w:rsidR="006B56F7" w:rsidRPr="002004BD">
        <w:rPr>
          <w:lang w:val="fr-CA"/>
        </w:rPr>
        <w:t>, pour l</w:t>
      </w:r>
      <w:r w:rsidR="009638A7">
        <w:rPr>
          <w:lang w:val="fr-CA"/>
        </w:rPr>
        <w:t>’</w:t>
      </w:r>
      <w:r w:rsidR="006B56F7" w:rsidRPr="002004BD">
        <w:rPr>
          <w:lang w:val="fr-CA"/>
        </w:rPr>
        <w:t>intervenant</w:t>
      </w:r>
      <w:r w:rsidR="00AA7405" w:rsidRPr="002004BD">
        <w:rPr>
          <w:lang w:val="fr-CA"/>
        </w:rPr>
        <w:t xml:space="preserve"> le p</w:t>
      </w:r>
      <w:r w:rsidR="006B56F7" w:rsidRPr="002004BD">
        <w:rPr>
          <w:lang w:val="fr-CA"/>
        </w:rPr>
        <w:t>rocureur général de l</w:t>
      </w:r>
      <w:r w:rsidR="009638A7">
        <w:rPr>
          <w:lang w:val="fr-CA"/>
        </w:rPr>
        <w:t>’</w:t>
      </w:r>
      <w:r w:rsidR="006B56F7" w:rsidRPr="002004BD">
        <w:rPr>
          <w:lang w:val="fr-CA"/>
        </w:rPr>
        <w:t>Ontario.</w:t>
      </w:r>
    </w:p>
    <w:p w:rsidR="00826C41" w:rsidRPr="002004BD" w:rsidRDefault="00EA62A7" w:rsidP="005E000D">
      <w:pPr>
        <w:pStyle w:val="SCCNormalDoubleSpacing"/>
        <w:widowControl w:val="0"/>
        <w:spacing w:after="480"/>
        <w:rPr>
          <w:lang w:val="fr-CA"/>
        </w:rPr>
      </w:pPr>
      <w:r w:rsidRPr="002004BD">
        <w:rPr>
          <w:i/>
          <w:lang w:val="fr-CA"/>
        </w:rPr>
        <w:tab/>
        <w:t>Robert</w:t>
      </w:r>
      <w:r w:rsidR="00BE6E7C">
        <w:rPr>
          <w:i/>
          <w:lang w:val="fr-CA"/>
        </w:rPr>
        <w:t xml:space="preserve"> </w:t>
      </w:r>
      <w:r w:rsidR="006B56F7" w:rsidRPr="002004BD">
        <w:rPr>
          <w:i/>
          <w:lang w:val="fr-CA"/>
        </w:rPr>
        <w:t xml:space="preserve">J. </w:t>
      </w:r>
      <w:proofErr w:type="spellStart"/>
      <w:r w:rsidR="006B56F7" w:rsidRPr="002004BD">
        <w:rPr>
          <w:i/>
          <w:lang w:val="fr-CA"/>
        </w:rPr>
        <w:t>Normey</w:t>
      </w:r>
      <w:proofErr w:type="spellEnd"/>
      <w:r w:rsidR="006B56F7" w:rsidRPr="002004BD">
        <w:rPr>
          <w:lang w:val="fr-CA"/>
        </w:rPr>
        <w:t>, pour l</w:t>
      </w:r>
      <w:r w:rsidR="009638A7">
        <w:rPr>
          <w:lang w:val="fr-CA"/>
        </w:rPr>
        <w:t>’</w:t>
      </w:r>
      <w:r w:rsidR="006B56F7" w:rsidRPr="002004BD">
        <w:rPr>
          <w:lang w:val="fr-CA"/>
        </w:rPr>
        <w:t>intervenant</w:t>
      </w:r>
      <w:r w:rsidR="00AA7405" w:rsidRPr="002004BD">
        <w:rPr>
          <w:lang w:val="fr-CA"/>
        </w:rPr>
        <w:t xml:space="preserve"> le procureur général de l</w:t>
      </w:r>
      <w:r w:rsidR="009638A7">
        <w:rPr>
          <w:lang w:val="fr-CA"/>
        </w:rPr>
        <w:t>’</w:t>
      </w:r>
      <w:r w:rsidR="006B56F7" w:rsidRPr="002004BD">
        <w:rPr>
          <w:lang w:val="fr-CA"/>
        </w:rPr>
        <w:t>Alberta.</w:t>
      </w:r>
    </w:p>
    <w:p w:rsidR="00826C41" w:rsidRPr="002004BD" w:rsidRDefault="00EA62A7" w:rsidP="005E000D">
      <w:pPr>
        <w:pStyle w:val="SCCNormalDoubleSpacing"/>
        <w:widowControl w:val="0"/>
        <w:spacing w:after="480"/>
        <w:rPr>
          <w:lang w:val="fr-CA"/>
        </w:rPr>
      </w:pPr>
      <w:r w:rsidRPr="002004BD">
        <w:rPr>
          <w:i/>
          <w:lang w:val="fr-CA"/>
        </w:rPr>
        <w:tab/>
        <w:t>John</w:t>
      </w:r>
      <w:r w:rsidR="00BE6E7C">
        <w:rPr>
          <w:i/>
          <w:lang w:val="fr-CA"/>
        </w:rPr>
        <w:t xml:space="preserve"> </w:t>
      </w:r>
      <w:r w:rsidR="006B56F7" w:rsidRPr="002004BD">
        <w:rPr>
          <w:i/>
          <w:lang w:val="fr-CA"/>
        </w:rPr>
        <w:t xml:space="preserve">B. </w:t>
      </w:r>
      <w:proofErr w:type="spellStart"/>
      <w:r w:rsidR="006B56F7" w:rsidRPr="002004BD">
        <w:rPr>
          <w:i/>
          <w:lang w:val="fr-CA"/>
        </w:rPr>
        <w:t>Laskin</w:t>
      </w:r>
      <w:proofErr w:type="spellEnd"/>
      <w:r w:rsidR="006B56F7" w:rsidRPr="002004BD">
        <w:rPr>
          <w:lang w:val="fr-CA"/>
        </w:rPr>
        <w:t xml:space="preserve"> et </w:t>
      </w:r>
      <w:r w:rsidRPr="002004BD">
        <w:rPr>
          <w:i/>
          <w:lang w:val="fr-CA"/>
        </w:rPr>
        <w:t>Myriam</w:t>
      </w:r>
      <w:r w:rsidR="00BE6E7C">
        <w:rPr>
          <w:i/>
          <w:lang w:val="fr-CA"/>
        </w:rPr>
        <w:t xml:space="preserve"> </w:t>
      </w:r>
      <w:r w:rsidR="006B56F7" w:rsidRPr="002004BD">
        <w:rPr>
          <w:i/>
          <w:lang w:val="fr-CA"/>
        </w:rPr>
        <w:t xml:space="preserve">M. </w:t>
      </w:r>
      <w:proofErr w:type="spellStart"/>
      <w:r w:rsidR="006B56F7" w:rsidRPr="002004BD">
        <w:rPr>
          <w:i/>
          <w:lang w:val="fr-CA"/>
        </w:rPr>
        <w:t>Seers</w:t>
      </w:r>
      <w:proofErr w:type="spellEnd"/>
      <w:r w:rsidR="006B56F7" w:rsidRPr="002004BD">
        <w:rPr>
          <w:lang w:val="fr-CA"/>
        </w:rPr>
        <w:t>, pour l</w:t>
      </w:r>
      <w:r w:rsidR="009638A7">
        <w:rPr>
          <w:lang w:val="fr-CA"/>
        </w:rPr>
        <w:t>’</w:t>
      </w:r>
      <w:r w:rsidR="006B56F7" w:rsidRPr="002004BD">
        <w:rPr>
          <w:lang w:val="fr-CA"/>
        </w:rPr>
        <w:t>intervenant</w:t>
      </w:r>
      <w:r w:rsidR="00AA7405" w:rsidRPr="002004BD">
        <w:rPr>
          <w:lang w:val="fr-CA"/>
        </w:rPr>
        <w:t>e l</w:t>
      </w:r>
      <w:r w:rsidR="009638A7">
        <w:rPr>
          <w:lang w:val="fr-CA"/>
        </w:rPr>
        <w:t>’</w:t>
      </w:r>
      <w:r w:rsidR="00AA7405" w:rsidRPr="002004BD">
        <w:rPr>
          <w:lang w:val="fr-CA"/>
        </w:rPr>
        <w:t>Association des b</w:t>
      </w:r>
      <w:r w:rsidR="006B56F7" w:rsidRPr="002004BD">
        <w:rPr>
          <w:lang w:val="fr-CA"/>
        </w:rPr>
        <w:t xml:space="preserve">anquiers </w:t>
      </w:r>
      <w:r w:rsidR="00AA7405" w:rsidRPr="002004BD">
        <w:rPr>
          <w:lang w:val="fr-CA"/>
        </w:rPr>
        <w:t>c</w:t>
      </w:r>
      <w:r w:rsidR="006B56F7" w:rsidRPr="002004BD">
        <w:rPr>
          <w:lang w:val="fr-CA"/>
        </w:rPr>
        <w:t>anadiens.</w:t>
      </w:r>
    </w:p>
    <w:p w:rsidR="004708DC" w:rsidRPr="009556A0" w:rsidRDefault="009556A0" w:rsidP="005E000D">
      <w:pPr>
        <w:pStyle w:val="JudgeJuge"/>
        <w:widowControl w:val="0"/>
        <w:spacing w:before="480"/>
        <w:rPr>
          <w:smallCaps w:val="0"/>
          <w:lang w:val="fr-CA"/>
        </w:rPr>
      </w:pPr>
      <w:r w:rsidRPr="009556A0">
        <w:rPr>
          <w:smallCaps w:val="0"/>
          <w:lang w:val="fr-CA"/>
        </w:rPr>
        <w:tab/>
        <w:t>Version</w:t>
      </w:r>
      <w:r>
        <w:rPr>
          <w:smallCaps w:val="0"/>
          <w:lang w:val="fr-CA"/>
        </w:rPr>
        <w:t xml:space="preserve"> française du jugement de la Cour rendu par</w:t>
      </w:r>
    </w:p>
    <w:p w:rsidR="004708DC" w:rsidRPr="0081699D" w:rsidRDefault="004708DC" w:rsidP="005E000D">
      <w:pPr>
        <w:pStyle w:val="JudgeJuge"/>
        <w:widowControl w:val="0"/>
        <w:spacing w:before="480"/>
        <w:rPr>
          <w:lang w:val="fr-CA"/>
        </w:rPr>
      </w:pPr>
      <w:r w:rsidRPr="0081699D">
        <w:rPr>
          <w:lang w:val="fr-CA"/>
        </w:rPr>
        <w:tab/>
        <w:t xml:space="preserve">Les juges </w:t>
      </w:r>
      <w:proofErr w:type="spellStart"/>
      <w:r w:rsidRPr="0081699D">
        <w:rPr>
          <w:lang w:val="fr-CA"/>
        </w:rPr>
        <w:t>Rothstein</w:t>
      </w:r>
      <w:proofErr w:type="spellEnd"/>
      <w:r w:rsidRPr="0081699D">
        <w:rPr>
          <w:lang w:val="fr-CA"/>
        </w:rPr>
        <w:t xml:space="preserve"> et Wagner — </w:t>
      </w:r>
    </w:p>
    <w:p w:rsidR="004708DC" w:rsidRPr="0081699D" w:rsidRDefault="004708DC" w:rsidP="005E000D">
      <w:pPr>
        <w:pStyle w:val="Title1LevelTitre1Niveau-AltL"/>
        <w:widowControl w:val="0"/>
        <w:rPr>
          <w:lang w:val="fr-CA"/>
        </w:rPr>
      </w:pPr>
      <w:r w:rsidRPr="0081699D">
        <w:rPr>
          <w:lang w:val="fr-CA"/>
        </w:rPr>
        <w:t>Introduction</w:t>
      </w:r>
    </w:p>
    <w:p w:rsidR="004708DC" w:rsidRPr="0081699D" w:rsidRDefault="004708DC" w:rsidP="005E000D">
      <w:pPr>
        <w:pStyle w:val="ParaNoNdepar-AltN"/>
        <w:widowControl w:val="0"/>
        <w:rPr>
          <w:lang w:val="fr-CA"/>
        </w:rPr>
      </w:pPr>
      <w:r w:rsidRPr="0081699D">
        <w:rPr>
          <w:lang w:val="fr-CA"/>
        </w:rPr>
        <w:t>La Banque Amex du Canada (</w:t>
      </w:r>
      <w:r w:rsidR="00BE6E7C">
        <w:rPr>
          <w:lang w:val="fr-CA"/>
        </w:rPr>
        <w:t>« </w:t>
      </w:r>
      <w:r w:rsidRPr="0081699D">
        <w:rPr>
          <w:lang w:val="fr-CA"/>
        </w:rPr>
        <w:t>Amex</w:t>
      </w:r>
      <w:r w:rsidR="00BE6E7C">
        <w:rPr>
          <w:lang w:val="fr-CA"/>
        </w:rPr>
        <w:t> »</w:t>
      </w:r>
      <w:r w:rsidRPr="0081699D">
        <w:rPr>
          <w:lang w:val="fr-CA"/>
        </w:rPr>
        <w:t>) est une banque énumérée à l</w:t>
      </w:r>
      <w:r>
        <w:rPr>
          <w:lang w:val="fr-CA"/>
        </w:rPr>
        <w:t>’</w:t>
      </w:r>
      <w:r w:rsidRPr="0081699D">
        <w:rPr>
          <w:lang w:val="fr-CA"/>
        </w:rPr>
        <w:t>annexe</w:t>
      </w:r>
      <w:r w:rsidR="00BE6E7C">
        <w:rPr>
          <w:lang w:val="fr-CA"/>
        </w:rPr>
        <w:t xml:space="preserve"> </w:t>
      </w:r>
      <w:r w:rsidRPr="0081699D">
        <w:rPr>
          <w:lang w:val="fr-CA"/>
        </w:rPr>
        <w:t xml:space="preserve">II de la </w:t>
      </w:r>
      <w:r w:rsidRPr="0081699D">
        <w:rPr>
          <w:i/>
          <w:lang w:val="fr-CA"/>
        </w:rPr>
        <w:t>Loi sur les banques</w:t>
      </w:r>
      <w:r w:rsidRPr="0081699D">
        <w:rPr>
          <w:lang w:val="fr-CA"/>
        </w:rPr>
        <w:t xml:space="preserve">, L.C. 1991, </w:t>
      </w:r>
      <w:r>
        <w:rPr>
          <w:lang w:val="fr-CA"/>
        </w:rPr>
        <w:t>ch.</w:t>
      </w:r>
      <w:r w:rsidR="00BE6E7C">
        <w:rPr>
          <w:lang w:val="fr-CA"/>
        </w:rPr>
        <w:t xml:space="preserve"> </w:t>
      </w:r>
      <w:r w:rsidRPr="0081699D">
        <w:rPr>
          <w:lang w:val="fr-CA"/>
        </w:rPr>
        <w:t>46. Sa principale fonction consiste à émettre des cartes de crédit et des cartes de paiement, ce qui représente environ 98</w:t>
      </w:r>
      <w:r w:rsidR="00BE6E7C">
        <w:rPr>
          <w:lang w:val="fr-CA"/>
        </w:rPr>
        <w:t xml:space="preserve"> </w:t>
      </w:r>
      <w:r w:rsidRPr="0081699D">
        <w:rPr>
          <w:lang w:val="fr-CA"/>
        </w:rPr>
        <w:t>pour</w:t>
      </w:r>
      <w:r w:rsidR="00BE6E7C">
        <w:rPr>
          <w:lang w:val="fr-CA"/>
        </w:rPr>
        <w:t xml:space="preserve"> </w:t>
      </w:r>
      <w:r w:rsidRPr="0081699D">
        <w:rPr>
          <w:lang w:val="fr-CA"/>
        </w:rPr>
        <w:t>100 de ses activités. Ces cartes permettent entre autres à leurs titulaires de faire des achats en devises étrangères. Des frais de conversion s</w:t>
      </w:r>
      <w:r>
        <w:rPr>
          <w:lang w:val="fr-CA"/>
        </w:rPr>
        <w:t>’</w:t>
      </w:r>
      <w:r w:rsidRPr="0081699D">
        <w:rPr>
          <w:lang w:val="fr-CA"/>
        </w:rPr>
        <w:t>appliquent à ces opérations, c</w:t>
      </w:r>
      <w:r>
        <w:rPr>
          <w:lang w:val="fr-CA"/>
        </w:rPr>
        <w:t>’</w:t>
      </w:r>
      <w:r w:rsidRPr="0081699D">
        <w:rPr>
          <w:lang w:val="fr-CA"/>
        </w:rPr>
        <w:t>est</w:t>
      </w:r>
      <w:r w:rsidR="00BE6E7C">
        <w:rPr>
          <w:lang w:val="fr-CA"/>
        </w:rPr>
        <w:t>-</w:t>
      </w:r>
      <w:r w:rsidRPr="0081699D">
        <w:rPr>
          <w:lang w:val="fr-CA"/>
        </w:rPr>
        <w:t>à</w:t>
      </w:r>
      <w:r w:rsidR="00BE6E7C">
        <w:rPr>
          <w:lang w:val="fr-CA"/>
        </w:rPr>
        <w:t>-</w:t>
      </w:r>
      <w:r w:rsidRPr="0081699D">
        <w:rPr>
          <w:lang w:val="fr-CA"/>
        </w:rPr>
        <w:t>dire qu</w:t>
      </w:r>
      <w:r>
        <w:rPr>
          <w:lang w:val="fr-CA"/>
        </w:rPr>
        <w:t>’</w:t>
      </w:r>
      <w:r w:rsidRPr="0081699D">
        <w:rPr>
          <w:lang w:val="fr-CA"/>
        </w:rPr>
        <w:t xml:space="preserve">un pourcentage de la somme convertie est exigé en sus pour ce service de conversion. La </w:t>
      </w:r>
      <w:r w:rsidRPr="0081699D">
        <w:rPr>
          <w:i/>
          <w:lang w:val="fr-CA"/>
        </w:rPr>
        <w:t>Loi sur la protection du consommateur</w:t>
      </w:r>
      <w:r w:rsidRPr="0081699D">
        <w:rPr>
          <w:lang w:val="fr-CA"/>
        </w:rPr>
        <w:t xml:space="preserve"> du Québec, RLRQ</w:t>
      </w:r>
      <w:r w:rsidR="009556A0">
        <w:rPr>
          <w:lang w:val="fr-CA"/>
        </w:rPr>
        <w:t>,</w:t>
      </w:r>
      <w:r w:rsidRPr="0081699D">
        <w:rPr>
          <w:lang w:val="fr-CA"/>
        </w:rPr>
        <w:t xml:space="preserve"> </w:t>
      </w:r>
      <w:r>
        <w:rPr>
          <w:lang w:val="fr-CA"/>
        </w:rPr>
        <w:t>ch.</w:t>
      </w:r>
      <w:r w:rsidR="00BE6E7C">
        <w:rPr>
          <w:lang w:val="fr-CA"/>
        </w:rPr>
        <w:t xml:space="preserve"> </w:t>
      </w:r>
      <w:r w:rsidRPr="0081699D">
        <w:rPr>
          <w:lang w:val="fr-CA"/>
        </w:rPr>
        <w:t>P</w:t>
      </w:r>
      <w:r w:rsidR="00A806B9">
        <w:rPr>
          <w:lang w:val="fr-CA"/>
        </w:rPr>
        <w:t>-</w:t>
      </w:r>
      <w:r w:rsidRPr="0081699D">
        <w:rPr>
          <w:lang w:val="fr-CA"/>
        </w:rPr>
        <w:t>40.1 (</w:t>
      </w:r>
      <w:r w:rsidR="00BE6E7C">
        <w:rPr>
          <w:lang w:val="fr-CA"/>
        </w:rPr>
        <w:t>« </w:t>
      </w:r>
      <w:proofErr w:type="spellStart"/>
      <w:r w:rsidRPr="0081699D">
        <w:rPr>
          <w:i/>
          <w:lang w:val="fr-CA"/>
        </w:rPr>
        <w:t>L.p.c</w:t>
      </w:r>
      <w:proofErr w:type="spellEnd"/>
      <w:r w:rsidRPr="0081699D">
        <w:rPr>
          <w:i/>
          <w:lang w:val="fr-CA"/>
        </w:rPr>
        <w:t>.</w:t>
      </w:r>
      <w:r w:rsidR="00BE6E7C" w:rsidRPr="009F48EF">
        <w:rPr>
          <w:lang w:val="fr-CA"/>
        </w:rPr>
        <w:t> »</w:t>
      </w:r>
      <w:r w:rsidRPr="0081699D">
        <w:rPr>
          <w:lang w:val="fr-CA"/>
        </w:rPr>
        <w:t xml:space="preserve">), impose différentes règles </w:t>
      </w:r>
      <w:r w:rsidRPr="0081699D">
        <w:rPr>
          <w:lang w:val="fr-CA"/>
        </w:rPr>
        <w:lastRenderedPageBreak/>
        <w:t>sur la teneur et la mention des frais et droits dans les contrats de crédit variable, tels que les contrats de cartes de crédit et de cartes de paiement. À l</w:t>
      </w:r>
      <w:r>
        <w:rPr>
          <w:lang w:val="fr-CA"/>
        </w:rPr>
        <w:t>’</w:t>
      </w:r>
      <w:r w:rsidRPr="0081699D">
        <w:rPr>
          <w:lang w:val="fr-CA"/>
        </w:rPr>
        <w:t xml:space="preserve">instar des pourvois connexes </w:t>
      </w:r>
      <w:r w:rsidRPr="0081699D">
        <w:rPr>
          <w:i/>
          <w:lang w:val="fr-CA"/>
        </w:rPr>
        <w:t>Banque de Montréal c. Marcotte</w:t>
      </w:r>
      <w:r w:rsidRPr="0081699D">
        <w:rPr>
          <w:lang w:val="fr-CA"/>
        </w:rPr>
        <w:t>, 2014 CSC 55</w:t>
      </w:r>
      <w:r w:rsidR="00B410BA">
        <w:rPr>
          <w:lang w:val="fr-CA"/>
        </w:rPr>
        <w:t>, [2014] 2 R.C.S. 726</w:t>
      </w:r>
      <w:r w:rsidRPr="0081699D">
        <w:rPr>
          <w:lang w:val="fr-CA"/>
        </w:rPr>
        <w:t xml:space="preserve"> (</w:t>
      </w:r>
      <w:r w:rsidR="00BE6E7C">
        <w:rPr>
          <w:lang w:val="fr-CA"/>
        </w:rPr>
        <w:t>« </w:t>
      </w:r>
      <w:r w:rsidRPr="0081699D">
        <w:rPr>
          <w:lang w:val="fr-CA"/>
        </w:rPr>
        <w:t>arrêt BMO</w:t>
      </w:r>
      <w:r w:rsidR="00BE6E7C">
        <w:rPr>
          <w:lang w:val="fr-CA"/>
        </w:rPr>
        <w:t> »</w:t>
      </w:r>
      <w:r w:rsidRPr="0081699D">
        <w:rPr>
          <w:lang w:val="fr-CA"/>
        </w:rPr>
        <w:t>)</w:t>
      </w:r>
      <w:r>
        <w:rPr>
          <w:lang w:val="fr-CA"/>
        </w:rPr>
        <w:t>,</w:t>
      </w:r>
      <w:r w:rsidRPr="0081699D">
        <w:rPr>
          <w:lang w:val="fr-CA"/>
        </w:rPr>
        <w:t xml:space="preserve"> et </w:t>
      </w:r>
      <w:r w:rsidRPr="0081699D">
        <w:rPr>
          <w:i/>
          <w:lang w:val="fr-CA"/>
        </w:rPr>
        <w:t>Marcotte c. Fédération des caisses Desjardins du Québec</w:t>
      </w:r>
      <w:r w:rsidRPr="0081699D">
        <w:rPr>
          <w:lang w:val="fr-CA"/>
        </w:rPr>
        <w:t>, 2014 CSC 57</w:t>
      </w:r>
      <w:r w:rsidR="00B410BA">
        <w:rPr>
          <w:lang w:val="fr-CA"/>
        </w:rPr>
        <w:t xml:space="preserve">, [2014] 2 R.C.S. </w:t>
      </w:r>
      <w:r w:rsidR="00A806B9">
        <w:rPr>
          <w:lang w:val="fr-CA"/>
        </w:rPr>
        <w:t>806</w:t>
      </w:r>
      <w:r w:rsidRPr="0081699D">
        <w:rPr>
          <w:lang w:val="fr-CA"/>
        </w:rPr>
        <w:t xml:space="preserve"> (</w:t>
      </w:r>
      <w:r w:rsidR="00BE6E7C">
        <w:rPr>
          <w:lang w:val="fr-CA"/>
        </w:rPr>
        <w:t>« </w:t>
      </w:r>
      <w:r w:rsidRPr="0081699D">
        <w:rPr>
          <w:lang w:val="fr-CA"/>
        </w:rPr>
        <w:t>arrêt Desjardins</w:t>
      </w:r>
      <w:r w:rsidR="00BE6E7C">
        <w:rPr>
          <w:lang w:val="fr-CA"/>
        </w:rPr>
        <w:t> »</w:t>
      </w:r>
      <w:r w:rsidRPr="0081699D">
        <w:rPr>
          <w:lang w:val="fr-CA"/>
        </w:rPr>
        <w:t xml:space="preserve">), le présent pourvoi soulève la question de savoir si les frais de conversion ont été mentionnés et imposés par Amex en conformité avec la </w:t>
      </w:r>
      <w:proofErr w:type="spellStart"/>
      <w:r w:rsidRPr="0081699D">
        <w:rPr>
          <w:i/>
          <w:lang w:val="fr-CA"/>
        </w:rPr>
        <w:t>L.p.c</w:t>
      </w:r>
      <w:proofErr w:type="spellEnd"/>
      <w:r w:rsidRPr="0081699D">
        <w:rPr>
          <w:i/>
          <w:lang w:val="fr-CA"/>
        </w:rPr>
        <w:t>.</w:t>
      </w:r>
      <w:r w:rsidRPr="0081699D">
        <w:rPr>
          <w:lang w:val="fr-CA"/>
        </w:rPr>
        <w:t xml:space="preserve"> </w:t>
      </w:r>
    </w:p>
    <w:p w:rsidR="004708DC" w:rsidRPr="0081699D" w:rsidRDefault="004708DC" w:rsidP="005E000D">
      <w:pPr>
        <w:pStyle w:val="ParaNoNdepar-AltN"/>
        <w:widowControl w:val="0"/>
        <w:rPr>
          <w:lang w:val="fr-CA"/>
        </w:rPr>
      </w:pPr>
      <w:r w:rsidRPr="0081699D">
        <w:rPr>
          <w:lang w:val="fr-CA"/>
        </w:rPr>
        <w:t>La plupart des questions que soulève le présent pourvoi sont abordées dans l</w:t>
      </w:r>
      <w:r>
        <w:rPr>
          <w:lang w:val="fr-CA"/>
        </w:rPr>
        <w:t>’</w:t>
      </w:r>
      <w:r w:rsidRPr="0081699D">
        <w:rPr>
          <w:lang w:val="fr-CA"/>
        </w:rPr>
        <w:t>arrêt BMO. En l</w:t>
      </w:r>
      <w:r>
        <w:rPr>
          <w:lang w:val="fr-CA"/>
        </w:rPr>
        <w:t>’</w:t>
      </w:r>
      <w:r w:rsidRPr="0081699D">
        <w:rPr>
          <w:lang w:val="fr-CA"/>
        </w:rPr>
        <w:t>espèce, nous appliquons les principes de droit examinés dans cet arrêt aux conventions régissant l</w:t>
      </w:r>
      <w:r>
        <w:rPr>
          <w:lang w:val="fr-CA"/>
        </w:rPr>
        <w:t>’</w:t>
      </w:r>
      <w:r w:rsidRPr="0081699D">
        <w:rPr>
          <w:lang w:val="fr-CA"/>
        </w:rPr>
        <w:t>utilisation des cartes émises par Amex.</w:t>
      </w:r>
    </w:p>
    <w:p w:rsidR="004708DC" w:rsidRPr="0081699D" w:rsidRDefault="004708DC" w:rsidP="005E000D">
      <w:pPr>
        <w:pStyle w:val="Title1LevelTitre1Niveau-AltL"/>
        <w:widowControl w:val="0"/>
        <w:rPr>
          <w:lang w:val="fr-CA"/>
        </w:rPr>
      </w:pPr>
      <w:r w:rsidRPr="0081699D">
        <w:rPr>
          <w:lang w:val="fr-CA"/>
        </w:rPr>
        <w:t>Les faits</w:t>
      </w:r>
    </w:p>
    <w:p w:rsidR="004708DC" w:rsidRPr="0081699D" w:rsidRDefault="004708DC" w:rsidP="005E000D">
      <w:pPr>
        <w:pStyle w:val="Title2LevelTitre2Niveau"/>
        <w:widowControl w:val="0"/>
        <w:numPr>
          <w:ilvl w:val="0"/>
          <w:numId w:val="0"/>
        </w:numPr>
        <w:rPr>
          <w:lang w:val="fr-CA"/>
        </w:rPr>
      </w:pPr>
      <w:r w:rsidRPr="0081699D">
        <w:rPr>
          <w:lang w:val="fr-CA"/>
        </w:rPr>
        <w:t>Conventions régissant l</w:t>
      </w:r>
      <w:r>
        <w:rPr>
          <w:lang w:val="fr-CA"/>
        </w:rPr>
        <w:t>’</w:t>
      </w:r>
      <w:r w:rsidRPr="0081699D">
        <w:rPr>
          <w:lang w:val="fr-CA"/>
        </w:rPr>
        <w:t>utilisation des cartes émises par Amex</w:t>
      </w:r>
    </w:p>
    <w:p w:rsidR="004708DC" w:rsidRPr="0081699D" w:rsidRDefault="004708DC" w:rsidP="005E000D">
      <w:pPr>
        <w:pStyle w:val="ParaNoNdepar-AltN"/>
        <w:widowControl w:val="0"/>
        <w:rPr>
          <w:lang w:val="fr-CA"/>
        </w:rPr>
      </w:pPr>
      <w:r w:rsidRPr="0081699D">
        <w:rPr>
          <w:lang w:val="fr-CA"/>
        </w:rPr>
        <w:t>L</w:t>
      </w:r>
      <w:r>
        <w:rPr>
          <w:lang w:val="fr-CA"/>
        </w:rPr>
        <w:t>’</w:t>
      </w:r>
      <w:r w:rsidRPr="0081699D">
        <w:rPr>
          <w:lang w:val="fr-CA"/>
        </w:rPr>
        <w:t>arrêt BMO présente un survol du mécanisme des cartes de crédit et des frais de conversion ainsi que l</w:t>
      </w:r>
      <w:r>
        <w:rPr>
          <w:lang w:val="fr-CA"/>
        </w:rPr>
        <w:t>’</w:t>
      </w:r>
      <w:r w:rsidRPr="0081699D">
        <w:rPr>
          <w:lang w:val="fr-CA"/>
        </w:rPr>
        <w:t xml:space="preserve">historique procédural des recours collectifs entrepris contre les neuf banques, Desjardins et Amex (respectivement, le </w:t>
      </w:r>
      <w:r w:rsidR="00BE6E7C">
        <w:rPr>
          <w:lang w:val="fr-CA"/>
        </w:rPr>
        <w:t>« </w:t>
      </w:r>
      <w:r w:rsidRPr="0081699D">
        <w:rPr>
          <w:lang w:val="fr-CA"/>
        </w:rPr>
        <w:t>recours contre BMO</w:t>
      </w:r>
      <w:r w:rsidR="00BE6E7C">
        <w:rPr>
          <w:lang w:val="fr-CA"/>
        </w:rPr>
        <w:t> »</w:t>
      </w:r>
      <w:r w:rsidRPr="0081699D">
        <w:rPr>
          <w:lang w:val="fr-CA"/>
        </w:rPr>
        <w:t xml:space="preserve">, le </w:t>
      </w:r>
      <w:r w:rsidR="00BE6E7C">
        <w:rPr>
          <w:lang w:val="fr-CA"/>
        </w:rPr>
        <w:t>« </w:t>
      </w:r>
      <w:r w:rsidRPr="0081699D">
        <w:rPr>
          <w:lang w:val="fr-CA"/>
        </w:rPr>
        <w:t>recours contre Desjardins</w:t>
      </w:r>
      <w:r w:rsidR="00BE6E7C">
        <w:rPr>
          <w:lang w:val="fr-CA"/>
        </w:rPr>
        <w:t> »</w:t>
      </w:r>
      <w:r w:rsidRPr="0081699D">
        <w:rPr>
          <w:lang w:val="fr-CA"/>
        </w:rPr>
        <w:t xml:space="preserve"> et le </w:t>
      </w:r>
      <w:r w:rsidR="00BE6E7C">
        <w:rPr>
          <w:lang w:val="fr-CA"/>
        </w:rPr>
        <w:t>« </w:t>
      </w:r>
      <w:r w:rsidRPr="0081699D">
        <w:rPr>
          <w:lang w:val="fr-CA"/>
        </w:rPr>
        <w:t>recours contre Amex</w:t>
      </w:r>
      <w:r w:rsidR="00BE6E7C">
        <w:rPr>
          <w:lang w:val="fr-CA"/>
        </w:rPr>
        <w:t> »</w:t>
      </w:r>
      <w:r w:rsidRPr="0081699D">
        <w:rPr>
          <w:lang w:val="fr-CA"/>
        </w:rPr>
        <w:t>). Les cartes de paiement, dont le mécanisme n</w:t>
      </w:r>
      <w:r>
        <w:rPr>
          <w:lang w:val="fr-CA"/>
        </w:rPr>
        <w:t>’</w:t>
      </w:r>
      <w:r w:rsidRPr="0081699D">
        <w:rPr>
          <w:lang w:val="fr-CA"/>
        </w:rPr>
        <w:t>est pas analysé dans les arrêts BMO et Desjardins, sont semblables aux cartes de crédit, à l</w:t>
      </w:r>
      <w:r>
        <w:rPr>
          <w:lang w:val="fr-CA"/>
        </w:rPr>
        <w:t>’</w:t>
      </w:r>
      <w:r w:rsidRPr="0081699D">
        <w:rPr>
          <w:lang w:val="fr-CA"/>
        </w:rPr>
        <w:t>exception du solde à payer à l</w:t>
      </w:r>
      <w:r>
        <w:rPr>
          <w:lang w:val="fr-CA"/>
        </w:rPr>
        <w:t>’</w:t>
      </w:r>
      <w:r w:rsidRPr="0081699D">
        <w:rPr>
          <w:lang w:val="fr-CA"/>
        </w:rPr>
        <w:t xml:space="preserve">expiration du délai qui doit être acquitté en totalité; aucun découvert ne peut être reporté au mois suivant. </w:t>
      </w:r>
    </w:p>
    <w:p w:rsidR="004708DC" w:rsidRPr="0081699D" w:rsidRDefault="004708DC" w:rsidP="005E000D">
      <w:pPr>
        <w:pStyle w:val="ParaNoNdepar-AltN"/>
        <w:widowControl w:val="0"/>
        <w:rPr>
          <w:lang w:val="fr-CA"/>
        </w:rPr>
      </w:pPr>
      <w:r w:rsidRPr="0081699D">
        <w:rPr>
          <w:lang w:val="fr-CA"/>
        </w:rPr>
        <w:lastRenderedPageBreak/>
        <w:t>De 1990 à mars</w:t>
      </w:r>
      <w:r w:rsidR="00BE6E7C">
        <w:rPr>
          <w:lang w:val="fr-CA"/>
        </w:rPr>
        <w:t xml:space="preserve"> </w:t>
      </w:r>
      <w:r w:rsidRPr="0081699D">
        <w:rPr>
          <w:lang w:val="fr-CA"/>
        </w:rPr>
        <w:t>1993, la clause suivante figurait dans les conventions régissant l</w:t>
      </w:r>
      <w:r>
        <w:rPr>
          <w:lang w:val="fr-CA"/>
        </w:rPr>
        <w:t>’</w:t>
      </w:r>
      <w:r w:rsidRPr="0081699D">
        <w:rPr>
          <w:lang w:val="fr-CA"/>
        </w:rPr>
        <w:t>utilisation des cartes Amex</w:t>
      </w:r>
      <w:r w:rsidR="00BE6E7C">
        <w:rPr>
          <w:lang w:val="fr-CA"/>
        </w:rPr>
        <w:t> :</w:t>
      </w:r>
    </w:p>
    <w:p w:rsidR="004708DC" w:rsidRPr="001A6AC9" w:rsidRDefault="001A6AC9" w:rsidP="005E000D">
      <w:pPr>
        <w:pStyle w:val="Citation-AltC"/>
        <w:widowControl w:val="0"/>
        <w:spacing w:after="240"/>
        <w:ind w:left="1168" w:hanging="1168"/>
        <w:contextualSpacing w:val="0"/>
        <w:rPr>
          <w:smallCaps/>
          <w:lang w:val="fr-CA"/>
        </w:rPr>
      </w:pPr>
      <w:r>
        <w:rPr>
          <w:b/>
          <w:lang w:val="fr-CA"/>
        </w:rPr>
        <w:tab/>
      </w:r>
      <w:r w:rsidRPr="001A6AC9">
        <w:rPr>
          <w:smallCaps/>
          <w:lang w:val="fr-CA"/>
        </w:rPr>
        <w:t>f</w:t>
      </w:r>
      <w:r w:rsidR="004708DC" w:rsidRPr="001A6AC9">
        <w:rPr>
          <w:smallCaps/>
          <w:lang w:val="fr-CA"/>
        </w:rPr>
        <w:t>rais engagés à l’étranger</w:t>
      </w:r>
    </w:p>
    <w:p w:rsidR="004708DC" w:rsidRPr="0081699D" w:rsidRDefault="004708DC" w:rsidP="005E000D">
      <w:pPr>
        <w:pStyle w:val="Citation-AltC"/>
        <w:widowControl w:val="0"/>
        <w:ind w:hanging="1166"/>
        <w:rPr>
          <w:lang w:val="fr-CA"/>
        </w:rPr>
      </w:pPr>
      <w:r w:rsidRPr="0081699D">
        <w:rPr>
          <w:lang w:val="fr-CA"/>
        </w:rPr>
        <w:tab/>
        <w:t>Les frais engagés en monnaies étrangères seront convertis en dollars canadiens.</w:t>
      </w:r>
      <w:r w:rsidR="00BE6E7C">
        <w:rPr>
          <w:lang w:val="fr-CA"/>
        </w:rPr>
        <w:t xml:space="preserve"> </w:t>
      </w:r>
      <w:r w:rsidRPr="0081699D">
        <w:rPr>
          <w:lang w:val="fr-CA"/>
        </w:rPr>
        <w:t xml:space="preserve"> </w:t>
      </w:r>
      <w:r w:rsidRPr="0081699D">
        <w:rPr>
          <w:u w:val="single"/>
          <w:lang w:val="fr-CA"/>
        </w:rPr>
        <w:t>Le taux de conversion vous sera au moins aussi favorable que le taux interbancaire, le taux exigé des touristes ou, lorsque la loi l</w:t>
      </w:r>
      <w:r>
        <w:rPr>
          <w:u w:val="single"/>
          <w:lang w:val="fr-CA"/>
        </w:rPr>
        <w:t>’</w:t>
      </w:r>
      <w:r w:rsidRPr="0081699D">
        <w:rPr>
          <w:u w:val="single"/>
          <w:lang w:val="fr-CA"/>
        </w:rPr>
        <w:t>oblige, le taux officiel</w:t>
      </w:r>
      <w:r w:rsidRPr="0081699D">
        <w:rPr>
          <w:lang w:val="fr-CA"/>
        </w:rPr>
        <w:t xml:space="preserve"> en vigueur dans les 24 heures du traitement des frais par nous</w:t>
      </w:r>
      <w:r w:rsidR="00760674">
        <w:rPr>
          <w:lang w:val="fr-CA"/>
        </w:rPr>
        <w:t>-</w:t>
      </w:r>
      <w:r w:rsidRPr="0081699D">
        <w:rPr>
          <w:lang w:val="fr-CA"/>
        </w:rPr>
        <w:t xml:space="preserve">mêmes ou par nos agents autorisés, </w:t>
      </w:r>
      <w:r w:rsidRPr="0081699D">
        <w:rPr>
          <w:u w:val="single"/>
          <w:lang w:val="fr-CA"/>
        </w:rPr>
        <w:t>plus 1</w:t>
      </w:r>
      <w:r w:rsidR="00BE6E7C">
        <w:rPr>
          <w:u w:val="single"/>
          <w:lang w:val="fr-CA"/>
        </w:rPr>
        <w:t xml:space="preserve"> </w:t>
      </w:r>
      <w:r w:rsidRPr="0081699D">
        <w:rPr>
          <w:u w:val="single"/>
          <w:lang w:val="fr-CA"/>
        </w:rPr>
        <w:t>% du montant converti</w:t>
      </w:r>
      <w:r w:rsidRPr="0081699D">
        <w:rPr>
          <w:lang w:val="fr-CA"/>
        </w:rPr>
        <w:t>. Les montants convertis par des établissements</w:t>
      </w:r>
      <w:r w:rsidR="001A6AC9">
        <w:rPr>
          <w:lang w:val="fr-CA"/>
        </w:rPr>
        <w:t>,</w:t>
      </w:r>
      <w:r w:rsidRPr="0081699D">
        <w:rPr>
          <w:lang w:val="fr-CA"/>
        </w:rPr>
        <w:t xml:space="preserve"> comme des lignes aériennes</w:t>
      </w:r>
      <w:r w:rsidR="001A6AC9">
        <w:rPr>
          <w:lang w:val="fr-CA"/>
        </w:rPr>
        <w:t>,</w:t>
      </w:r>
      <w:r w:rsidRPr="0081699D">
        <w:rPr>
          <w:lang w:val="fr-CA"/>
        </w:rPr>
        <w:t xml:space="preserve"> vous seront facturés au taux utilisé par l</w:t>
      </w:r>
      <w:r>
        <w:rPr>
          <w:lang w:val="fr-CA"/>
        </w:rPr>
        <w:t>’</w:t>
      </w:r>
      <w:r w:rsidRPr="0081699D">
        <w:rPr>
          <w:lang w:val="fr-CA"/>
        </w:rPr>
        <w:t>établissement. [Nous soulignons.]</w:t>
      </w:r>
    </w:p>
    <w:p w:rsidR="004708DC" w:rsidRPr="0081699D" w:rsidRDefault="004708DC" w:rsidP="005E000D">
      <w:pPr>
        <w:pStyle w:val="ParaNoNdepar-AltN"/>
        <w:widowControl w:val="0"/>
        <w:rPr>
          <w:lang w:val="fr-CA"/>
        </w:rPr>
      </w:pPr>
      <w:r w:rsidRPr="0081699D">
        <w:rPr>
          <w:lang w:val="fr-CA"/>
        </w:rPr>
        <w:t>À compter de mars</w:t>
      </w:r>
      <w:r w:rsidR="00BE6E7C">
        <w:rPr>
          <w:lang w:val="fr-CA"/>
        </w:rPr>
        <w:t xml:space="preserve"> </w:t>
      </w:r>
      <w:r w:rsidRPr="0081699D">
        <w:rPr>
          <w:lang w:val="fr-CA"/>
        </w:rPr>
        <w:t>1993, cette clause a été remplacée par la suivante</w:t>
      </w:r>
      <w:r w:rsidR="00BE6E7C">
        <w:rPr>
          <w:lang w:val="fr-CA"/>
        </w:rPr>
        <w:t> :</w:t>
      </w:r>
    </w:p>
    <w:p w:rsidR="004708DC" w:rsidRPr="0081699D" w:rsidRDefault="004708DC" w:rsidP="005E000D">
      <w:pPr>
        <w:pStyle w:val="Citation-AltC"/>
        <w:widowControl w:val="0"/>
        <w:ind w:hanging="1166"/>
        <w:rPr>
          <w:lang w:val="fr-CA"/>
        </w:rPr>
      </w:pPr>
      <w:r w:rsidRPr="0081699D">
        <w:rPr>
          <w:lang w:val="fr-CA"/>
        </w:rPr>
        <w:tab/>
        <w:t>Si vous portez à la Carte des frais en devises étrangères, ceux</w:t>
      </w:r>
      <w:r w:rsidR="000D66C1">
        <w:rPr>
          <w:lang w:val="fr-CA"/>
        </w:rPr>
        <w:t>-</w:t>
      </w:r>
      <w:r w:rsidRPr="0081699D">
        <w:rPr>
          <w:lang w:val="fr-CA"/>
        </w:rPr>
        <w:t xml:space="preserve">ci seront convertis en dollars canadiens </w:t>
      </w:r>
      <w:r w:rsidRPr="0081699D">
        <w:rPr>
          <w:u w:val="single"/>
          <w:lang w:val="fr-CA"/>
        </w:rPr>
        <w:t>au taux de change que nous aurons déterminé</w:t>
      </w:r>
      <w:r w:rsidRPr="0081699D">
        <w:rPr>
          <w:lang w:val="fr-CA"/>
        </w:rPr>
        <w:t xml:space="preserve"> à la date où nous ou nos représentants autorisés traitons l</w:t>
      </w:r>
      <w:r>
        <w:rPr>
          <w:lang w:val="fr-CA"/>
        </w:rPr>
        <w:t>’</w:t>
      </w:r>
      <w:r w:rsidRPr="0081699D">
        <w:rPr>
          <w:lang w:val="fr-CA"/>
        </w:rPr>
        <w:t>opération. Ce taux peut différer de celui qui était en vigueur à la date où vous avez porté les frais à la Carte.</w:t>
      </w:r>
      <w:r w:rsidR="00BE6E7C">
        <w:rPr>
          <w:lang w:val="fr-CA"/>
        </w:rPr>
        <w:t xml:space="preserve"> </w:t>
      </w:r>
      <w:r w:rsidRPr="0081699D">
        <w:rPr>
          <w:lang w:val="fr-CA"/>
        </w:rPr>
        <w:t xml:space="preserve"> Les montants convertis par des établissements — comme des sociétés aériennes — vous seront facturés au taux utilisé par ces établissements. [Nous soulignons.]</w:t>
      </w:r>
    </w:p>
    <w:p w:rsidR="004708DC" w:rsidRPr="0081699D" w:rsidRDefault="004708DC" w:rsidP="005E000D">
      <w:pPr>
        <w:pStyle w:val="ParaNoNdepar-AltN"/>
        <w:widowControl w:val="0"/>
        <w:rPr>
          <w:lang w:val="fr-CA"/>
        </w:rPr>
      </w:pPr>
      <w:r w:rsidRPr="0081699D">
        <w:rPr>
          <w:lang w:val="fr-CA"/>
        </w:rPr>
        <w:t>En décembre</w:t>
      </w:r>
      <w:r w:rsidR="00BE6E7C">
        <w:rPr>
          <w:lang w:val="fr-CA"/>
        </w:rPr>
        <w:t xml:space="preserve"> </w:t>
      </w:r>
      <w:r w:rsidRPr="0081699D">
        <w:rPr>
          <w:lang w:val="fr-CA"/>
        </w:rPr>
        <w:t>2002, l</w:t>
      </w:r>
      <w:r>
        <w:rPr>
          <w:lang w:val="fr-CA"/>
        </w:rPr>
        <w:t>’</w:t>
      </w:r>
      <w:r w:rsidRPr="0081699D">
        <w:rPr>
          <w:lang w:val="fr-CA"/>
        </w:rPr>
        <w:t>Agence de la consommation en matière financière du Canada (</w:t>
      </w:r>
      <w:r w:rsidR="00BE6E7C">
        <w:rPr>
          <w:lang w:val="fr-CA"/>
        </w:rPr>
        <w:t>« </w:t>
      </w:r>
      <w:r w:rsidRPr="0081699D">
        <w:rPr>
          <w:lang w:val="fr-CA"/>
        </w:rPr>
        <w:t>ACFC</w:t>
      </w:r>
      <w:r w:rsidR="00BE6E7C">
        <w:rPr>
          <w:lang w:val="fr-CA"/>
        </w:rPr>
        <w:t> »</w:t>
      </w:r>
      <w:r w:rsidRPr="0081699D">
        <w:rPr>
          <w:lang w:val="fr-CA"/>
        </w:rPr>
        <w:t>) a conclu qu</w:t>
      </w:r>
      <w:r>
        <w:rPr>
          <w:lang w:val="fr-CA"/>
        </w:rPr>
        <w:t>’</w:t>
      </w:r>
      <w:r w:rsidRPr="0081699D">
        <w:rPr>
          <w:lang w:val="fr-CA"/>
        </w:rPr>
        <w:t>Amex n</w:t>
      </w:r>
      <w:r>
        <w:rPr>
          <w:lang w:val="fr-CA"/>
        </w:rPr>
        <w:t>’</w:t>
      </w:r>
      <w:r w:rsidRPr="0081699D">
        <w:rPr>
          <w:lang w:val="fr-CA"/>
        </w:rPr>
        <w:t>avait pas respecté, pour ce qui est de la communication à la personne physique des frais de conversion, l</w:t>
      </w:r>
      <w:r>
        <w:rPr>
          <w:lang w:val="fr-CA"/>
        </w:rPr>
        <w:t>’al.</w:t>
      </w:r>
      <w:r w:rsidR="00BE6E7C">
        <w:rPr>
          <w:lang w:val="fr-CA"/>
        </w:rPr>
        <w:t xml:space="preserve"> </w:t>
      </w:r>
      <w:r w:rsidRPr="0081699D">
        <w:rPr>
          <w:lang w:val="fr-CA"/>
        </w:rPr>
        <w:t>452(2)</w:t>
      </w:r>
      <w:r w:rsidRPr="0081699D">
        <w:rPr>
          <w:i/>
          <w:lang w:val="fr-CA"/>
        </w:rPr>
        <w:t>c</w:t>
      </w:r>
      <w:r w:rsidRPr="0081699D">
        <w:rPr>
          <w:lang w:val="fr-CA"/>
        </w:rPr>
        <w:t xml:space="preserve">) de la </w:t>
      </w:r>
      <w:r w:rsidRPr="0081699D">
        <w:rPr>
          <w:i/>
          <w:lang w:val="fr-CA"/>
        </w:rPr>
        <w:t>Loi sur les banques</w:t>
      </w:r>
      <w:r w:rsidRPr="0081699D">
        <w:rPr>
          <w:lang w:val="fr-CA"/>
        </w:rPr>
        <w:t xml:space="preserve">, qui exige que tous les frais autres que ceux relatifs aux intérêts </w:t>
      </w:r>
      <w:r w:rsidR="00BE6E7C">
        <w:rPr>
          <w:lang w:val="fr-CA"/>
        </w:rPr>
        <w:t>« </w:t>
      </w:r>
      <w:r w:rsidRPr="0081699D">
        <w:rPr>
          <w:lang w:val="fr-CA"/>
        </w:rPr>
        <w:t>qui lui incombent pour l</w:t>
      </w:r>
      <w:r>
        <w:rPr>
          <w:lang w:val="fr-CA"/>
        </w:rPr>
        <w:t>’</w:t>
      </w:r>
      <w:r w:rsidRPr="0081699D">
        <w:rPr>
          <w:lang w:val="fr-CA"/>
        </w:rPr>
        <w:t>acceptation ou l</w:t>
      </w:r>
      <w:r>
        <w:rPr>
          <w:lang w:val="fr-CA"/>
        </w:rPr>
        <w:t>’</w:t>
      </w:r>
      <w:r w:rsidRPr="0081699D">
        <w:rPr>
          <w:lang w:val="fr-CA"/>
        </w:rPr>
        <w:t>utilisation de la carte</w:t>
      </w:r>
      <w:r w:rsidR="00BE6E7C">
        <w:rPr>
          <w:lang w:val="fr-CA"/>
        </w:rPr>
        <w:t> »</w:t>
      </w:r>
      <w:r w:rsidRPr="0081699D">
        <w:rPr>
          <w:lang w:val="fr-CA"/>
        </w:rPr>
        <w:t xml:space="preserve"> soient communiqués conformément aux règlements. </w:t>
      </w:r>
    </w:p>
    <w:p w:rsidR="004708DC" w:rsidRPr="0081699D" w:rsidRDefault="004708DC" w:rsidP="005E000D">
      <w:pPr>
        <w:pStyle w:val="ParaNoNdepar-AltN"/>
        <w:widowControl w:val="0"/>
        <w:rPr>
          <w:lang w:val="fr-CA"/>
        </w:rPr>
      </w:pPr>
      <w:r w:rsidRPr="0081699D">
        <w:rPr>
          <w:lang w:val="fr-CA"/>
        </w:rPr>
        <w:lastRenderedPageBreak/>
        <w:t>En février</w:t>
      </w:r>
      <w:r w:rsidR="00BE6E7C">
        <w:rPr>
          <w:lang w:val="fr-CA"/>
        </w:rPr>
        <w:t xml:space="preserve"> </w:t>
      </w:r>
      <w:r w:rsidRPr="0081699D">
        <w:rPr>
          <w:lang w:val="fr-CA"/>
        </w:rPr>
        <w:t xml:space="preserve">2003, Amex a modifié ainsi la clause </w:t>
      </w:r>
      <w:r w:rsidR="00BE6E7C">
        <w:rPr>
          <w:lang w:val="fr-CA"/>
        </w:rPr>
        <w:t>« </w:t>
      </w:r>
      <w:r w:rsidRPr="0081699D">
        <w:rPr>
          <w:lang w:val="fr-CA"/>
        </w:rPr>
        <w:t>Frais engagés à l</w:t>
      </w:r>
      <w:r>
        <w:rPr>
          <w:lang w:val="fr-CA"/>
        </w:rPr>
        <w:t>’</w:t>
      </w:r>
      <w:r w:rsidRPr="0081699D">
        <w:rPr>
          <w:lang w:val="fr-CA"/>
        </w:rPr>
        <w:t>étranger</w:t>
      </w:r>
      <w:r w:rsidR="00BE6E7C">
        <w:rPr>
          <w:lang w:val="fr-CA"/>
        </w:rPr>
        <w:t> » :</w:t>
      </w:r>
    </w:p>
    <w:p w:rsidR="004708DC" w:rsidRPr="0081699D" w:rsidRDefault="004708DC" w:rsidP="005E000D">
      <w:pPr>
        <w:pStyle w:val="Citation-AltC"/>
        <w:widowControl w:val="0"/>
        <w:ind w:hanging="1166"/>
        <w:rPr>
          <w:lang w:val="fr-CA"/>
        </w:rPr>
      </w:pPr>
      <w:r w:rsidRPr="0081699D">
        <w:rPr>
          <w:lang w:val="fr-CA"/>
        </w:rPr>
        <w:tab/>
      </w:r>
      <w:r w:rsidR="00D44D5A">
        <w:rPr>
          <w:lang w:val="fr-CA"/>
        </w:rPr>
        <w:t>. . . s</w:t>
      </w:r>
      <w:r w:rsidRPr="0081699D">
        <w:rPr>
          <w:lang w:val="fr-CA"/>
        </w:rPr>
        <w:t xml:space="preserve">i vous effectuez des opérations en devises étrangères avec la Carte, </w:t>
      </w:r>
      <w:r w:rsidRPr="009F0855">
        <w:rPr>
          <w:lang w:val="fr-CA"/>
        </w:rPr>
        <w:t xml:space="preserve">elles seront converties en dollars canadiens </w:t>
      </w:r>
      <w:r w:rsidRPr="0081699D">
        <w:rPr>
          <w:u w:val="single"/>
          <w:lang w:val="fr-CA"/>
        </w:rPr>
        <w:t>au taux de change</w:t>
      </w:r>
      <w:r w:rsidRPr="009F0855">
        <w:rPr>
          <w:u w:val="single"/>
          <w:lang w:val="fr-CA"/>
        </w:rPr>
        <w:t xml:space="preserve"> que nous déterminons</w:t>
      </w:r>
      <w:r w:rsidRPr="0081699D">
        <w:rPr>
          <w:lang w:val="fr-CA"/>
        </w:rPr>
        <w:t xml:space="preserve"> à la date où nous ou nos agents autorisés traitons l</w:t>
      </w:r>
      <w:r>
        <w:rPr>
          <w:lang w:val="fr-CA"/>
        </w:rPr>
        <w:t>’</w:t>
      </w:r>
      <w:r w:rsidRPr="0081699D">
        <w:rPr>
          <w:lang w:val="fr-CA"/>
        </w:rPr>
        <w:t>opération. Ce taux peut différer de celui qui était en vigueur à la date où vous avez porté l</w:t>
      </w:r>
      <w:r>
        <w:rPr>
          <w:lang w:val="fr-CA"/>
        </w:rPr>
        <w:t>’</w:t>
      </w:r>
      <w:r w:rsidRPr="0081699D">
        <w:rPr>
          <w:lang w:val="fr-CA"/>
        </w:rPr>
        <w:t>opération à la Carte.</w:t>
      </w:r>
      <w:r w:rsidR="00BE6E7C">
        <w:rPr>
          <w:lang w:val="fr-CA"/>
        </w:rPr>
        <w:t xml:space="preserve"> </w:t>
      </w:r>
      <w:r w:rsidRPr="0081699D">
        <w:rPr>
          <w:lang w:val="fr-CA"/>
        </w:rPr>
        <w:t xml:space="preserve"> </w:t>
      </w:r>
      <w:r w:rsidRPr="0081699D">
        <w:rPr>
          <w:u w:val="single"/>
          <w:lang w:val="fr-CA"/>
        </w:rPr>
        <w:t>Ce taux de change inclut un rajustement du taux de conversion</w:t>
      </w:r>
      <w:r w:rsidRPr="0081699D">
        <w:rPr>
          <w:lang w:val="fr-CA"/>
        </w:rPr>
        <w:t>, comme nous l</w:t>
      </w:r>
      <w:r>
        <w:rPr>
          <w:lang w:val="fr-CA"/>
        </w:rPr>
        <w:t>’</w:t>
      </w:r>
      <w:r w:rsidRPr="0081699D">
        <w:rPr>
          <w:lang w:val="fr-CA"/>
        </w:rPr>
        <w:t>indiquons sur la fiche d</w:t>
      </w:r>
      <w:r>
        <w:rPr>
          <w:lang w:val="fr-CA"/>
        </w:rPr>
        <w:t>’</w:t>
      </w:r>
      <w:r w:rsidRPr="0081699D">
        <w:rPr>
          <w:lang w:val="fr-CA"/>
        </w:rPr>
        <w:t>information ou autrement.</w:t>
      </w:r>
      <w:r w:rsidR="00BE6E7C">
        <w:rPr>
          <w:lang w:val="fr-CA"/>
        </w:rPr>
        <w:t xml:space="preserve"> </w:t>
      </w:r>
      <w:r w:rsidRPr="0081699D">
        <w:rPr>
          <w:lang w:val="fr-CA"/>
        </w:rPr>
        <w:t xml:space="preserve"> Les montants convertis par des établissements — comme les sociétés aériennes — seront facturés au taux utilisé par ces établissements.</w:t>
      </w:r>
      <w:r w:rsidR="00BE6E7C">
        <w:rPr>
          <w:lang w:val="fr-CA"/>
        </w:rPr>
        <w:t xml:space="preserve"> </w:t>
      </w:r>
      <w:r w:rsidRPr="0081699D">
        <w:rPr>
          <w:lang w:val="fr-CA"/>
        </w:rPr>
        <w:t xml:space="preserve"> </w:t>
      </w:r>
      <w:r w:rsidRPr="0081699D">
        <w:rPr>
          <w:u w:val="single"/>
          <w:lang w:val="fr-CA"/>
        </w:rPr>
        <w:t>Le rajustement est de 2,2%</w:t>
      </w:r>
      <w:r w:rsidRPr="00D44D5A">
        <w:rPr>
          <w:u w:val="single"/>
          <w:lang w:val="fr-CA"/>
        </w:rPr>
        <w:t>.</w:t>
      </w:r>
      <w:r w:rsidRPr="00D44D5A">
        <w:rPr>
          <w:lang w:val="fr-CA"/>
        </w:rPr>
        <w:t xml:space="preserve"> </w:t>
      </w:r>
      <w:r w:rsidRPr="0081699D">
        <w:rPr>
          <w:lang w:val="fr-CA"/>
        </w:rPr>
        <w:t>[Nous soulignons.]</w:t>
      </w:r>
    </w:p>
    <w:p w:rsidR="004708DC" w:rsidRPr="0081699D" w:rsidRDefault="004708DC" w:rsidP="005E000D">
      <w:pPr>
        <w:pStyle w:val="ParaNoNdepar-AltN"/>
        <w:widowControl w:val="0"/>
        <w:rPr>
          <w:lang w:val="fr-CA"/>
        </w:rPr>
      </w:pPr>
      <w:r w:rsidRPr="0081699D">
        <w:rPr>
          <w:lang w:val="fr-CA"/>
        </w:rPr>
        <w:t>En septembre</w:t>
      </w:r>
      <w:r w:rsidR="00BE6E7C">
        <w:rPr>
          <w:lang w:val="fr-CA"/>
        </w:rPr>
        <w:t xml:space="preserve"> </w:t>
      </w:r>
      <w:r w:rsidRPr="0081699D">
        <w:rPr>
          <w:lang w:val="fr-CA"/>
        </w:rPr>
        <w:t>2003, Amex a substitué à cette clause la suivante</w:t>
      </w:r>
      <w:r w:rsidR="00BE6E7C">
        <w:rPr>
          <w:lang w:val="fr-CA"/>
        </w:rPr>
        <w:t> :</w:t>
      </w:r>
    </w:p>
    <w:p w:rsidR="004708DC" w:rsidRPr="00D44D5A" w:rsidRDefault="00D44D5A" w:rsidP="005E000D">
      <w:pPr>
        <w:pStyle w:val="Citation-AltC"/>
        <w:widowControl w:val="0"/>
        <w:spacing w:after="240"/>
        <w:ind w:left="1168" w:hanging="1168"/>
        <w:contextualSpacing w:val="0"/>
        <w:rPr>
          <w:smallCaps/>
          <w:lang w:val="fr-CA"/>
        </w:rPr>
      </w:pPr>
      <w:r>
        <w:rPr>
          <w:lang w:val="fr-CA"/>
        </w:rPr>
        <w:tab/>
      </w:r>
      <w:r w:rsidRPr="00D44D5A">
        <w:rPr>
          <w:smallCaps/>
          <w:lang w:val="fr-CA"/>
        </w:rPr>
        <w:t>o</w:t>
      </w:r>
      <w:r w:rsidR="004708DC" w:rsidRPr="00D44D5A">
        <w:rPr>
          <w:smallCaps/>
          <w:lang w:val="fr-CA"/>
        </w:rPr>
        <w:t>pérations en devises</w:t>
      </w:r>
    </w:p>
    <w:p w:rsidR="004708DC" w:rsidRPr="0081699D" w:rsidRDefault="004708DC" w:rsidP="005E000D">
      <w:pPr>
        <w:pStyle w:val="Citation-AltC"/>
        <w:widowControl w:val="0"/>
        <w:spacing w:after="240"/>
        <w:ind w:left="1168" w:hanging="1168"/>
        <w:contextualSpacing w:val="0"/>
        <w:rPr>
          <w:lang w:val="fr-CA"/>
        </w:rPr>
      </w:pPr>
      <w:r w:rsidRPr="0081699D">
        <w:rPr>
          <w:lang w:val="fr-CA"/>
        </w:rPr>
        <w:tab/>
        <w:t>Les opérations effectuées dans une autre monnaie que le dollar canadien sont converties en dollars canadiens. La conversion s</w:t>
      </w:r>
      <w:r>
        <w:rPr>
          <w:lang w:val="fr-CA"/>
        </w:rPr>
        <w:t>’</w:t>
      </w:r>
      <w:r w:rsidRPr="0081699D">
        <w:rPr>
          <w:lang w:val="fr-CA"/>
        </w:rPr>
        <w:t>effectue à la date à laquelle nous traitons l</w:t>
      </w:r>
      <w:r>
        <w:rPr>
          <w:lang w:val="fr-CA"/>
        </w:rPr>
        <w:t>’</w:t>
      </w:r>
      <w:r w:rsidRPr="0081699D">
        <w:rPr>
          <w:lang w:val="fr-CA"/>
        </w:rPr>
        <w:t>opération, qui peut différer de celle à laquelle vous avez effectué l</w:t>
      </w:r>
      <w:r>
        <w:rPr>
          <w:lang w:val="fr-CA"/>
        </w:rPr>
        <w:t>’</w:t>
      </w:r>
      <w:r w:rsidRPr="0081699D">
        <w:rPr>
          <w:lang w:val="fr-CA"/>
        </w:rPr>
        <w:t>opération, car celle</w:t>
      </w:r>
      <w:r w:rsidR="00BE6E7C">
        <w:rPr>
          <w:lang w:val="fr-CA"/>
        </w:rPr>
        <w:t>-</w:t>
      </w:r>
      <w:r w:rsidRPr="0081699D">
        <w:rPr>
          <w:lang w:val="fr-CA"/>
        </w:rPr>
        <w:t>ci peut nous avoir été présentée à une autre date. Les opérations effectuées dans une autre monnaie que le dollar américain sont d</w:t>
      </w:r>
      <w:r>
        <w:rPr>
          <w:lang w:val="fr-CA"/>
        </w:rPr>
        <w:t>’</w:t>
      </w:r>
      <w:r w:rsidRPr="0081699D">
        <w:rPr>
          <w:lang w:val="fr-CA"/>
        </w:rPr>
        <w:t xml:space="preserve">abord converties en dollars américains, puis en dollars canadiens. Les opérations effectuées en dollars américains sont converties directement en dollars canadiens. </w:t>
      </w:r>
    </w:p>
    <w:p w:rsidR="004708DC" w:rsidRPr="0081699D" w:rsidRDefault="004708DC" w:rsidP="005E000D">
      <w:pPr>
        <w:pStyle w:val="Citation-AltC"/>
        <w:widowControl w:val="0"/>
        <w:ind w:hanging="1166"/>
        <w:rPr>
          <w:lang w:val="fr-CA"/>
        </w:rPr>
      </w:pPr>
      <w:r w:rsidRPr="0081699D">
        <w:rPr>
          <w:lang w:val="fr-CA"/>
        </w:rPr>
        <w:tab/>
        <w:t>À moins qu</w:t>
      </w:r>
      <w:r>
        <w:rPr>
          <w:lang w:val="fr-CA"/>
        </w:rPr>
        <w:t>’</w:t>
      </w:r>
      <w:r w:rsidRPr="0081699D">
        <w:rPr>
          <w:lang w:val="fr-CA"/>
        </w:rPr>
        <w:t>une loi applicable exige un taux particulier, vous comprenez et convenez que le système de trésorerie d</w:t>
      </w:r>
      <w:r>
        <w:rPr>
          <w:lang w:val="fr-CA"/>
        </w:rPr>
        <w:t>’</w:t>
      </w:r>
      <w:r w:rsidRPr="0081699D">
        <w:rPr>
          <w:lang w:val="fr-CA"/>
        </w:rPr>
        <w:t xml:space="preserve">American Express utilisera </w:t>
      </w:r>
      <w:r w:rsidRPr="0081699D">
        <w:rPr>
          <w:u w:val="single"/>
          <w:lang w:val="fr-CA"/>
        </w:rPr>
        <w:t>les taux de conversion établis d</w:t>
      </w:r>
      <w:r>
        <w:rPr>
          <w:u w:val="single"/>
          <w:lang w:val="fr-CA"/>
        </w:rPr>
        <w:t>’</w:t>
      </w:r>
      <w:r w:rsidRPr="0081699D">
        <w:rPr>
          <w:u w:val="single"/>
          <w:lang w:val="fr-CA"/>
        </w:rPr>
        <w:t>après un taux interbancaire</w:t>
      </w:r>
      <w:r w:rsidRPr="0081699D">
        <w:rPr>
          <w:lang w:val="fr-CA"/>
        </w:rPr>
        <w:t xml:space="preserve"> qu</w:t>
      </w:r>
      <w:r>
        <w:rPr>
          <w:lang w:val="fr-CA"/>
        </w:rPr>
        <w:t>’</w:t>
      </w:r>
      <w:r w:rsidRPr="0081699D">
        <w:rPr>
          <w:lang w:val="fr-CA"/>
        </w:rPr>
        <w:t>il choisit parmi les sources financières usuelles le jour ouvrable précédant la date du traitement de l</w:t>
      </w:r>
      <w:r>
        <w:rPr>
          <w:lang w:val="fr-CA"/>
        </w:rPr>
        <w:t>’</w:t>
      </w:r>
      <w:r w:rsidRPr="0081699D">
        <w:rPr>
          <w:lang w:val="fr-CA"/>
        </w:rPr>
        <w:t xml:space="preserve">opération, </w:t>
      </w:r>
      <w:r w:rsidRPr="0081699D">
        <w:rPr>
          <w:u w:val="single"/>
          <w:lang w:val="fr-CA"/>
        </w:rPr>
        <w:t>majoré d</w:t>
      </w:r>
      <w:r>
        <w:rPr>
          <w:u w:val="single"/>
          <w:lang w:val="fr-CA"/>
        </w:rPr>
        <w:t>’</w:t>
      </w:r>
      <w:r w:rsidRPr="0081699D">
        <w:rPr>
          <w:u w:val="single"/>
          <w:lang w:val="fr-CA"/>
        </w:rPr>
        <w:t>une commission unique de conversion, comme nous vous l</w:t>
      </w:r>
      <w:r>
        <w:rPr>
          <w:u w:val="single"/>
          <w:lang w:val="fr-CA"/>
        </w:rPr>
        <w:t>’</w:t>
      </w:r>
      <w:r w:rsidRPr="0081699D">
        <w:rPr>
          <w:u w:val="single"/>
          <w:lang w:val="fr-CA"/>
        </w:rPr>
        <w:t>expliquons dans la fiche d</w:t>
      </w:r>
      <w:r>
        <w:rPr>
          <w:u w:val="single"/>
          <w:lang w:val="fr-CA"/>
        </w:rPr>
        <w:t>’</w:t>
      </w:r>
      <w:r w:rsidRPr="0081699D">
        <w:rPr>
          <w:u w:val="single"/>
          <w:lang w:val="fr-CA"/>
        </w:rPr>
        <w:t>information ou autrement</w:t>
      </w:r>
      <w:r w:rsidRPr="0081699D">
        <w:rPr>
          <w:lang w:val="fr-CA"/>
        </w:rPr>
        <w:t>. [Nous soulignons.]</w:t>
      </w:r>
    </w:p>
    <w:p w:rsidR="004708DC" w:rsidRPr="0081699D" w:rsidRDefault="004708DC" w:rsidP="005E000D">
      <w:pPr>
        <w:pStyle w:val="ParaNoNdepar-AltN"/>
        <w:widowControl w:val="0"/>
        <w:rPr>
          <w:lang w:val="fr-CA"/>
        </w:rPr>
      </w:pPr>
      <w:r w:rsidRPr="0081699D">
        <w:rPr>
          <w:lang w:val="fr-CA"/>
        </w:rPr>
        <w:t>Ce n</w:t>
      </w:r>
      <w:r>
        <w:rPr>
          <w:lang w:val="fr-CA"/>
        </w:rPr>
        <w:t>’</w:t>
      </w:r>
      <w:r w:rsidRPr="0081699D">
        <w:rPr>
          <w:lang w:val="fr-CA"/>
        </w:rPr>
        <w:t>est qu</w:t>
      </w:r>
      <w:r>
        <w:rPr>
          <w:lang w:val="fr-CA"/>
        </w:rPr>
        <w:t>’</w:t>
      </w:r>
      <w:r w:rsidRPr="0081699D">
        <w:rPr>
          <w:lang w:val="fr-CA"/>
        </w:rPr>
        <w:t>en décembre 2003 que le taux de conversion a commencé à figurer sur le relevé mensuel envoyé aux titulaires de cartes Amex.</w:t>
      </w:r>
    </w:p>
    <w:p w:rsidR="004708DC" w:rsidRPr="0081699D" w:rsidRDefault="004708DC" w:rsidP="005E000D">
      <w:pPr>
        <w:pStyle w:val="ParaNoNdepar-AltN"/>
        <w:widowControl w:val="0"/>
        <w:rPr>
          <w:lang w:val="fr-CA"/>
        </w:rPr>
      </w:pPr>
      <w:proofErr w:type="spellStart"/>
      <w:r w:rsidRPr="0081699D">
        <w:rPr>
          <w:lang w:val="fr-CA"/>
        </w:rPr>
        <w:lastRenderedPageBreak/>
        <w:t>Sylvan</w:t>
      </w:r>
      <w:proofErr w:type="spellEnd"/>
      <w:r w:rsidRPr="0081699D">
        <w:rPr>
          <w:lang w:val="fr-CA"/>
        </w:rPr>
        <w:t xml:space="preserve"> Adams, le représentant des demandeurs dans l</w:t>
      </w:r>
      <w:r>
        <w:rPr>
          <w:lang w:val="fr-CA"/>
        </w:rPr>
        <w:t>’</w:t>
      </w:r>
      <w:r w:rsidRPr="0081699D">
        <w:rPr>
          <w:lang w:val="fr-CA"/>
        </w:rPr>
        <w:t>affaire Amex, a appris l</w:t>
      </w:r>
      <w:r>
        <w:rPr>
          <w:lang w:val="fr-CA"/>
        </w:rPr>
        <w:t>’</w:t>
      </w:r>
      <w:r w:rsidRPr="0081699D">
        <w:rPr>
          <w:lang w:val="fr-CA"/>
        </w:rPr>
        <w:t>existence des frais de conversion en 2004, lorsqu</w:t>
      </w:r>
      <w:r>
        <w:rPr>
          <w:lang w:val="fr-CA"/>
        </w:rPr>
        <w:t>’</w:t>
      </w:r>
      <w:r w:rsidRPr="0081699D">
        <w:rPr>
          <w:lang w:val="fr-CA"/>
        </w:rPr>
        <w:t>on lui a demandé de représenter le groupe. Ce groupe est composé de consommateurs et de non</w:t>
      </w:r>
      <w:r w:rsidR="00BE6E7C">
        <w:rPr>
          <w:lang w:val="fr-CA"/>
        </w:rPr>
        <w:t>-</w:t>
      </w:r>
      <w:r w:rsidRPr="0081699D">
        <w:rPr>
          <w:lang w:val="fr-CA"/>
        </w:rPr>
        <w:t>consommateurs qui sont titulaires de cartes de crédit ou de cartes de paiement. Le recours collectif a été autorisé le 1</w:t>
      </w:r>
      <w:r w:rsidRPr="0081699D">
        <w:rPr>
          <w:vertAlign w:val="superscript"/>
          <w:lang w:val="fr-CA"/>
        </w:rPr>
        <w:t>er</w:t>
      </w:r>
      <w:r w:rsidR="00BE6E7C">
        <w:rPr>
          <w:vertAlign w:val="superscript"/>
          <w:lang w:val="fr-CA"/>
        </w:rPr>
        <w:t xml:space="preserve"> </w:t>
      </w:r>
      <w:r w:rsidRPr="0081699D">
        <w:rPr>
          <w:lang w:val="fr-CA"/>
        </w:rPr>
        <w:t>novembre</w:t>
      </w:r>
      <w:r w:rsidR="00BE6E7C">
        <w:rPr>
          <w:lang w:val="fr-CA"/>
        </w:rPr>
        <w:t xml:space="preserve"> </w:t>
      </w:r>
      <w:r w:rsidRPr="0081699D">
        <w:rPr>
          <w:lang w:val="fr-CA"/>
        </w:rPr>
        <w:t>2006, et l</w:t>
      </w:r>
      <w:r>
        <w:rPr>
          <w:lang w:val="fr-CA"/>
        </w:rPr>
        <w:t>’</w:t>
      </w:r>
      <w:r w:rsidRPr="0081699D">
        <w:rPr>
          <w:lang w:val="fr-CA"/>
        </w:rPr>
        <w:t>instruction sur le fond a eu lieu après celle des recours contre BMO et Desjardins.</w:t>
      </w:r>
    </w:p>
    <w:p w:rsidR="004708DC" w:rsidRPr="0081699D" w:rsidRDefault="004708DC" w:rsidP="005E000D">
      <w:pPr>
        <w:pStyle w:val="Title1LevelTitre1Niveau-AltL"/>
        <w:widowControl w:val="0"/>
        <w:rPr>
          <w:lang w:val="fr-CA"/>
        </w:rPr>
      </w:pPr>
      <w:r w:rsidRPr="0081699D">
        <w:rPr>
          <w:lang w:val="fr-CA"/>
        </w:rPr>
        <w:t>Historique judiciaire</w:t>
      </w:r>
    </w:p>
    <w:p w:rsidR="004708DC" w:rsidRPr="0081699D" w:rsidRDefault="004708DC" w:rsidP="005E000D">
      <w:pPr>
        <w:pStyle w:val="ParaNoNdepar-AltN"/>
        <w:widowControl w:val="0"/>
        <w:rPr>
          <w:lang w:val="fr-CA"/>
        </w:rPr>
      </w:pPr>
      <w:r w:rsidRPr="0081699D">
        <w:rPr>
          <w:lang w:val="fr-CA"/>
        </w:rPr>
        <w:t>Comme nous l</w:t>
      </w:r>
      <w:r>
        <w:rPr>
          <w:lang w:val="fr-CA"/>
        </w:rPr>
        <w:t>’</w:t>
      </w:r>
      <w:r w:rsidRPr="0081699D">
        <w:rPr>
          <w:lang w:val="fr-CA"/>
        </w:rPr>
        <w:t>expliquons dans l</w:t>
      </w:r>
      <w:r>
        <w:rPr>
          <w:lang w:val="fr-CA"/>
        </w:rPr>
        <w:t>’</w:t>
      </w:r>
      <w:r w:rsidRPr="0081699D">
        <w:rPr>
          <w:lang w:val="fr-CA"/>
        </w:rPr>
        <w:t>arrêt BMO, des décisions distinctes ont été rendues en première instance et en appel dans les recours contre BMO, Desjardins et Amex. Cependant, ces décisions se recoupent et renvoient donc les unes aux autres au besoin. Nous nous attarderons ci</w:t>
      </w:r>
      <w:r w:rsidR="00BE6E7C">
        <w:rPr>
          <w:lang w:val="fr-CA"/>
        </w:rPr>
        <w:t>-</w:t>
      </w:r>
      <w:r w:rsidRPr="0081699D">
        <w:rPr>
          <w:lang w:val="fr-CA"/>
        </w:rPr>
        <w:t>après aux parties des décisions des juridictions inférieures qui ne sont pas résumées dans l</w:t>
      </w:r>
      <w:r>
        <w:rPr>
          <w:lang w:val="fr-CA"/>
        </w:rPr>
        <w:t>’</w:t>
      </w:r>
      <w:r w:rsidRPr="0081699D">
        <w:rPr>
          <w:lang w:val="fr-CA"/>
        </w:rPr>
        <w:t>arrêt BMO.</w:t>
      </w:r>
    </w:p>
    <w:p w:rsidR="004708DC" w:rsidRPr="0081699D" w:rsidRDefault="004708DC" w:rsidP="005E000D">
      <w:pPr>
        <w:pStyle w:val="Title2LevelTitre2Niveau"/>
        <w:widowControl w:val="0"/>
        <w:ind w:left="576" w:hanging="576"/>
        <w:rPr>
          <w:lang w:val="fr-CA"/>
        </w:rPr>
      </w:pPr>
      <w:r w:rsidRPr="0081699D">
        <w:rPr>
          <w:lang w:val="fr-CA"/>
        </w:rPr>
        <w:t>Cour supérieure du Québec, 2009 QCCS 2695, [2009] R.J.Q. 1746</w:t>
      </w:r>
    </w:p>
    <w:p w:rsidR="004708DC" w:rsidRPr="0081699D" w:rsidRDefault="004708DC" w:rsidP="005E000D">
      <w:pPr>
        <w:pStyle w:val="ParaNoNdepar-AltN"/>
        <w:widowControl w:val="0"/>
        <w:rPr>
          <w:lang w:val="fr-CA"/>
        </w:rPr>
      </w:pPr>
      <w:r w:rsidRPr="0081699D">
        <w:rPr>
          <w:lang w:val="fr-CA"/>
        </w:rPr>
        <w:t>Le juge</w:t>
      </w:r>
      <w:r w:rsidR="00BE6E7C">
        <w:rPr>
          <w:lang w:val="fr-CA"/>
        </w:rPr>
        <w:t xml:space="preserve"> </w:t>
      </w:r>
      <w:r w:rsidRPr="0081699D">
        <w:rPr>
          <w:lang w:val="fr-CA"/>
        </w:rPr>
        <w:t>Gascon, maintenant juge de notre Cour, a rejeté l</w:t>
      </w:r>
      <w:r>
        <w:rPr>
          <w:lang w:val="fr-CA"/>
        </w:rPr>
        <w:t>’</w:t>
      </w:r>
      <w:r w:rsidRPr="0081699D">
        <w:rPr>
          <w:lang w:val="fr-CA"/>
        </w:rPr>
        <w:t>argument d</w:t>
      </w:r>
      <w:r>
        <w:rPr>
          <w:lang w:val="fr-CA"/>
        </w:rPr>
        <w:t>’</w:t>
      </w:r>
      <w:r w:rsidRPr="0081699D">
        <w:rPr>
          <w:lang w:val="fr-CA"/>
        </w:rPr>
        <w:t>Amex, qui prétendait que M.</w:t>
      </w:r>
      <w:r w:rsidR="00BE6E7C">
        <w:rPr>
          <w:lang w:val="fr-CA"/>
        </w:rPr>
        <w:t xml:space="preserve"> </w:t>
      </w:r>
      <w:r w:rsidRPr="0081699D">
        <w:rPr>
          <w:lang w:val="fr-CA"/>
        </w:rPr>
        <w:t>Adams n</w:t>
      </w:r>
      <w:r>
        <w:rPr>
          <w:lang w:val="fr-CA"/>
        </w:rPr>
        <w:t>’</w:t>
      </w:r>
      <w:r w:rsidRPr="0081699D">
        <w:rPr>
          <w:lang w:val="fr-CA"/>
        </w:rPr>
        <w:t>avait pas qualité pour intenter le recours collectif. Il importe peu que M.</w:t>
      </w:r>
      <w:r w:rsidR="00BE6E7C">
        <w:rPr>
          <w:lang w:val="fr-CA"/>
        </w:rPr>
        <w:t xml:space="preserve"> </w:t>
      </w:r>
      <w:r w:rsidRPr="0081699D">
        <w:rPr>
          <w:lang w:val="fr-CA"/>
        </w:rPr>
        <w:t>Adams connût ou non l</w:t>
      </w:r>
      <w:r>
        <w:rPr>
          <w:lang w:val="fr-CA"/>
        </w:rPr>
        <w:t>’</w:t>
      </w:r>
      <w:r w:rsidRPr="0081699D">
        <w:rPr>
          <w:lang w:val="fr-CA"/>
        </w:rPr>
        <w:t>existence des frais de conversion au cours de la période visée par le recours collectif ou qu</w:t>
      </w:r>
      <w:r>
        <w:rPr>
          <w:lang w:val="fr-CA"/>
        </w:rPr>
        <w:t>’</w:t>
      </w:r>
      <w:r w:rsidRPr="0081699D">
        <w:rPr>
          <w:lang w:val="fr-CA"/>
        </w:rPr>
        <w:t>une tierce partie — en l</w:t>
      </w:r>
      <w:r>
        <w:rPr>
          <w:lang w:val="fr-CA"/>
        </w:rPr>
        <w:t>’</w:t>
      </w:r>
      <w:r w:rsidRPr="0081699D">
        <w:rPr>
          <w:lang w:val="fr-CA"/>
        </w:rPr>
        <w:t>occurrence son entreprise — ait réglé son compte mensuel. Certes, ces questions pourraient compromettre ses chances d</w:t>
      </w:r>
      <w:r>
        <w:rPr>
          <w:lang w:val="fr-CA"/>
        </w:rPr>
        <w:t>’</w:t>
      </w:r>
      <w:r w:rsidRPr="0081699D">
        <w:rPr>
          <w:lang w:val="fr-CA"/>
        </w:rPr>
        <w:t xml:space="preserve">avoir gain de cause dans sa réclamation personnelle, mais elles ne diminuent en rien son intérêt juridique ou sa </w:t>
      </w:r>
      <w:r w:rsidRPr="0081699D">
        <w:rPr>
          <w:lang w:val="fr-CA"/>
        </w:rPr>
        <w:lastRenderedPageBreak/>
        <w:t xml:space="preserve">qualité pour agir dans la présente affaire. </w:t>
      </w:r>
    </w:p>
    <w:p w:rsidR="004708DC" w:rsidRPr="0081699D" w:rsidRDefault="004708DC" w:rsidP="005E000D">
      <w:pPr>
        <w:pStyle w:val="ParaNoNdepar-AltN"/>
        <w:widowControl w:val="0"/>
        <w:rPr>
          <w:lang w:val="fr-CA"/>
        </w:rPr>
      </w:pPr>
      <w:r w:rsidRPr="0081699D">
        <w:rPr>
          <w:lang w:val="fr-CA"/>
        </w:rPr>
        <w:t>Le juge Gascon a également rejeté l</w:t>
      </w:r>
      <w:r>
        <w:rPr>
          <w:lang w:val="fr-CA"/>
        </w:rPr>
        <w:t>’</w:t>
      </w:r>
      <w:r w:rsidRPr="0081699D">
        <w:rPr>
          <w:lang w:val="fr-CA"/>
        </w:rPr>
        <w:t>argument d</w:t>
      </w:r>
      <w:r>
        <w:rPr>
          <w:lang w:val="fr-CA"/>
        </w:rPr>
        <w:t>’</w:t>
      </w:r>
      <w:r w:rsidRPr="0081699D">
        <w:rPr>
          <w:lang w:val="fr-CA"/>
        </w:rPr>
        <w:t xml:space="preserve">Amex selon lequel les frais de conversion étaient compris dans le </w:t>
      </w:r>
      <w:r w:rsidR="00BE6E7C">
        <w:rPr>
          <w:lang w:val="fr-CA"/>
        </w:rPr>
        <w:t>« </w:t>
      </w:r>
      <w:r w:rsidRPr="0081699D">
        <w:rPr>
          <w:lang w:val="fr-CA"/>
        </w:rPr>
        <w:t>taux de change</w:t>
      </w:r>
      <w:r w:rsidR="00BE6E7C">
        <w:rPr>
          <w:lang w:val="fr-CA"/>
        </w:rPr>
        <w:t> »</w:t>
      </w:r>
      <w:r w:rsidRPr="0081699D">
        <w:rPr>
          <w:lang w:val="fr-CA"/>
        </w:rPr>
        <w:t xml:space="preserve"> mentionné et imposé aux titulaires de cartes. La conversion des achats en devises étrangères se fait en deux étapes</w:t>
      </w:r>
      <w:r w:rsidR="00BE6E7C">
        <w:rPr>
          <w:lang w:val="fr-CA"/>
        </w:rPr>
        <w:t> :</w:t>
      </w:r>
      <w:r w:rsidRPr="0081699D">
        <w:rPr>
          <w:lang w:val="fr-CA"/>
        </w:rPr>
        <w:t xml:space="preserve"> premièrement, le montant de l</w:t>
      </w:r>
      <w:r>
        <w:rPr>
          <w:lang w:val="fr-CA"/>
        </w:rPr>
        <w:t>’</w:t>
      </w:r>
      <w:r w:rsidRPr="0081699D">
        <w:rPr>
          <w:lang w:val="fr-CA"/>
        </w:rPr>
        <w:t>achat est converti en fonction du taux de change du jour, qui est fondé sur le taux interbancaire; deuxièmement, les frais de conversion sont appliqués à la somme ainsi convertie. Avant mars</w:t>
      </w:r>
      <w:r w:rsidR="00BE6E7C">
        <w:rPr>
          <w:lang w:val="fr-CA"/>
        </w:rPr>
        <w:t xml:space="preserve"> </w:t>
      </w:r>
      <w:r w:rsidRPr="0081699D">
        <w:rPr>
          <w:lang w:val="fr-CA"/>
        </w:rPr>
        <w:t>1993 et après mars 2003, compte tenu du processus en deux étapes, les conventions régissant l</w:t>
      </w:r>
      <w:r>
        <w:rPr>
          <w:lang w:val="fr-CA"/>
        </w:rPr>
        <w:t>’</w:t>
      </w:r>
      <w:r w:rsidRPr="0081699D">
        <w:rPr>
          <w:lang w:val="fr-CA"/>
        </w:rPr>
        <w:t>utilisation des cartes indiquaient le taux de conversion et le taux de change séparément. L</w:t>
      </w:r>
      <w:r>
        <w:rPr>
          <w:lang w:val="fr-CA"/>
        </w:rPr>
        <w:t>’</w:t>
      </w:r>
      <w:r w:rsidRPr="0081699D">
        <w:rPr>
          <w:lang w:val="fr-CA"/>
        </w:rPr>
        <w:t>ACFC a également conclu que les frais de conversion s</w:t>
      </w:r>
      <w:r>
        <w:rPr>
          <w:lang w:val="fr-CA"/>
        </w:rPr>
        <w:t>’</w:t>
      </w:r>
      <w:r w:rsidRPr="0081699D">
        <w:rPr>
          <w:lang w:val="fr-CA"/>
        </w:rPr>
        <w:t>apparentaient aux frais appliqués aux avances de fonds, aux mandats ou aux chèques annulés ou sans provision et qu</w:t>
      </w:r>
      <w:r>
        <w:rPr>
          <w:lang w:val="fr-CA"/>
        </w:rPr>
        <w:t>’</w:t>
      </w:r>
      <w:r w:rsidRPr="0081699D">
        <w:rPr>
          <w:lang w:val="fr-CA"/>
        </w:rPr>
        <w:t xml:space="preserve">ils se distinguaient du taux de change. </w:t>
      </w:r>
    </w:p>
    <w:p w:rsidR="004708DC" w:rsidRPr="0081699D" w:rsidRDefault="004708DC" w:rsidP="005E000D">
      <w:pPr>
        <w:pStyle w:val="ParaNoNdepar-AltN"/>
        <w:widowControl w:val="0"/>
        <w:rPr>
          <w:lang w:val="fr-CA"/>
        </w:rPr>
      </w:pPr>
      <w:r w:rsidRPr="0081699D">
        <w:rPr>
          <w:lang w:val="fr-CA"/>
        </w:rPr>
        <w:t>En conséquence, le juge Gascon a conclu qu</w:t>
      </w:r>
      <w:r>
        <w:rPr>
          <w:lang w:val="fr-CA"/>
        </w:rPr>
        <w:t>’</w:t>
      </w:r>
      <w:r w:rsidRPr="0081699D">
        <w:rPr>
          <w:lang w:val="fr-CA"/>
        </w:rPr>
        <w:t>Amex contrevenait à l</w:t>
      </w:r>
      <w:r>
        <w:rPr>
          <w:lang w:val="fr-CA"/>
        </w:rPr>
        <w:t>’</w:t>
      </w:r>
      <w:r w:rsidRPr="0081699D">
        <w:rPr>
          <w:lang w:val="fr-CA"/>
        </w:rPr>
        <w:t>obligation générale qu</w:t>
      </w:r>
      <w:r>
        <w:rPr>
          <w:lang w:val="fr-CA"/>
        </w:rPr>
        <w:t>’</w:t>
      </w:r>
      <w:r w:rsidRPr="0081699D">
        <w:rPr>
          <w:lang w:val="fr-CA"/>
        </w:rPr>
        <w:t>impose l</w:t>
      </w:r>
      <w:r>
        <w:rPr>
          <w:lang w:val="fr-CA"/>
        </w:rPr>
        <w:t>’art.</w:t>
      </w:r>
      <w:r w:rsidR="00BE6E7C">
        <w:rPr>
          <w:lang w:val="fr-CA"/>
        </w:rPr>
        <w:t xml:space="preserve"> </w:t>
      </w:r>
      <w:r w:rsidRPr="0081699D">
        <w:rPr>
          <w:lang w:val="fr-CA"/>
        </w:rPr>
        <w:t xml:space="preserve">12 </w:t>
      </w:r>
      <w:proofErr w:type="spellStart"/>
      <w:r w:rsidRPr="0081699D">
        <w:rPr>
          <w:i/>
          <w:lang w:val="fr-CA"/>
        </w:rPr>
        <w:t>L.p.c</w:t>
      </w:r>
      <w:proofErr w:type="spellEnd"/>
      <w:r w:rsidRPr="0081699D">
        <w:rPr>
          <w:i/>
          <w:lang w:val="fr-CA"/>
        </w:rPr>
        <w:t>.</w:t>
      </w:r>
      <w:r w:rsidRPr="0081699D">
        <w:rPr>
          <w:lang w:val="fr-CA"/>
        </w:rPr>
        <w:t xml:space="preserve"> quant à la mention des frais. Il a également conclu qu</w:t>
      </w:r>
      <w:r>
        <w:rPr>
          <w:lang w:val="fr-CA"/>
        </w:rPr>
        <w:t>’</w:t>
      </w:r>
      <w:r w:rsidRPr="0081699D">
        <w:rPr>
          <w:lang w:val="fr-CA"/>
        </w:rPr>
        <w:t>Amex avait contrevenu à l</w:t>
      </w:r>
      <w:r>
        <w:rPr>
          <w:lang w:val="fr-CA"/>
        </w:rPr>
        <w:t>’art.</w:t>
      </w:r>
      <w:r w:rsidR="00BE6E7C">
        <w:rPr>
          <w:lang w:val="fr-CA"/>
        </w:rPr>
        <w:t xml:space="preserve"> </w:t>
      </w:r>
      <w:r w:rsidRPr="0081699D">
        <w:rPr>
          <w:lang w:val="fr-CA"/>
        </w:rPr>
        <w:t xml:space="preserve">219 </w:t>
      </w:r>
      <w:r w:rsidRPr="0081699D">
        <w:rPr>
          <w:i/>
          <w:lang w:val="fr-CA"/>
        </w:rPr>
        <w:t>L.p.c.</w:t>
      </w:r>
      <w:r w:rsidRPr="0081699D">
        <w:rPr>
          <w:lang w:val="fr-CA"/>
        </w:rPr>
        <w:t xml:space="preserve">, qui interdit de faire </w:t>
      </w:r>
      <w:r w:rsidR="00BE6E7C">
        <w:rPr>
          <w:lang w:val="fr-CA"/>
        </w:rPr>
        <w:t>« </w:t>
      </w:r>
      <w:r w:rsidRPr="0081699D">
        <w:rPr>
          <w:lang w:val="fr-CA"/>
        </w:rPr>
        <w:t>une représentation fausse ou trompeuse à un consommateur</w:t>
      </w:r>
      <w:r w:rsidR="00BE6E7C">
        <w:rPr>
          <w:lang w:val="fr-CA"/>
        </w:rPr>
        <w:t> »</w:t>
      </w:r>
      <w:r w:rsidRPr="0081699D">
        <w:rPr>
          <w:lang w:val="fr-CA"/>
        </w:rPr>
        <w:t>, parce qu</w:t>
      </w:r>
      <w:r>
        <w:rPr>
          <w:lang w:val="fr-CA"/>
        </w:rPr>
        <w:t>’</w:t>
      </w:r>
      <w:r w:rsidRPr="0081699D">
        <w:rPr>
          <w:lang w:val="fr-CA"/>
        </w:rPr>
        <w:t>elle avait supprimé [</w:t>
      </w:r>
      <w:r w:rsidRPr="0081699D">
        <w:rPr>
          <w:smallCaps/>
          <w:lang w:val="fr-CA"/>
        </w:rPr>
        <w:t>traduction</w:t>
      </w:r>
      <w:r w:rsidRPr="0081699D">
        <w:rPr>
          <w:lang w:val="fr-CA"/>
        </w:rPr>
        <w:t xml:space="preserve">] </w:t>
      </w:r>
      <w:r w:rsidR="00BE6E7C">
        <w:rPr>
          <w:lang w:val="fr-CA"/>
        </w:rPr>
        <w:t>« </w:t>
      </w:r>
      <w:r w:rsidRPr="0081699D">
        <w:rPr>
          <w:lang w:val="fr-CA"/>
        </w:rPr>
        <w:t>de façon délibérée et en toute connaissance de cause</w:t>
      </w:r>
      <w:r w:rsidR="00BE6E7C">
        <w:rPr>
          <w:lang w:val="fr-CA"/>
        </w:rPr>
        <w:t> »</w:t>
      </w:r>
      <w:r w:rsidRPr="0081699D">
        <w:rPr>
          <w:lang w:val="fr-CA"/>
        </w:rPr>
        <w:t xml:space="preserve"> toute mention des frais de conversion dans les conventions régissant l</w:t>
      </w:r>
      <w:r>
        <w:rPr>
          <w:lang w:val="fr-CA"/>
        </w:rPr>
        <w:t>’</w:t>
      </w:r>
      <w:r w:rsidRPr="0081699D">
        <w:rPr>
          <w:lang w:val="fr-CA"/>
        </w:rPr>
        <w:t>utilisation des cartes. Ainsi, ces conventions étaient trompeuses pour les consommateurs crédules et inexpérimentés (</w:t>
      </w:r>
      <w:r>
        <w:rPr>
          <w:lang w:val="fr-CA"/>
        </w:rPr>
        <w:t>par.</w:t>
      </w:r>
      <w:r w:rsidR="00BE6E7C">
        <w:rPr>
          <w:lang w:val="fr-CA"/>
        </w:rPr>
        <w:t xml:space="preserve"> </w:t>
      </w:r>
      <w:r w:rsidRPr="0081699D">
        <w:rPr>
          <w:lang w:val="fr-CA"/>
        </w:rPr>
        <w:t xml:space="preserve">181). Selon le juge, </w:t>
      </w:r>
      <w:r w:rsidR="00BE6E7C">
        <w:rPr>
          <w:lang w:val="fr-CA"/>
        </w:rPr>
        <w:t>« </w:t>
      </w:r>
      <w:r w:rsidRPr="0081699D">
        <w:rPr>
          <w:lang w:val="fr-CA"/>
        </w:rPr>
        <w:t>Amex a ainsi imposé sans droit les [frais de conversion] puisqu</w:t>
      </w:r>
      <w:r>
        <w:rPr>
          <w:lang w:val="fr-CA"/>
        </w:rPr>
        <w:t>’</w:t>
      </w:r>
      <w:r w:rsidRPr="0081699D">
        <w:rPr>
          <w:lang w:val="fr-CA"/>
        </w:rPr>
        <w:t>elle ne les avait pas indiqués au préalable</w:t>
      </w:r>
      <w:r w:rsidR="00BE6E7C">
        <w:rPr>
          <w:lang w:val="fr-CA"/>
        </w:rPr>
        <w:t> »</w:t>
      </w:r>
      <w:r w:rsidRPr="0081699D">
        <w:rPr>
          <w:lang w:val="fr-CA"/>
        </w:rPr>
        <w:t xml:space="preserve"> (</w:t>
      </w:r>
      <w:r>
        <w:rPr>
          <w:lang w:val="fr-CA"/>
        </w:rPr>
        <w:t>par.</w:t>
      </w:r>
      <w:r w:rsidR="00BE6E7C">
        <w:rPr>
          <w:lang w:val="fr-CA"/>
        </w:rPr>
        <w:t xml:space="preserve"> </w:t>
      </w:r>
      <w:r w:rsidRPr="0081699D">
        <w:rPr>
          <w:lang w:val="fr-CA"/>
        </w:rPr>
        <w:t xml:space="preserve">197). </w:t>
      </w:r>
      <w:r w:rsidRPr="0081699D">
        <w:rPr>
          <w:lang w:val="fr-CA"/>
        </w:rPr>
        <w:lastRenderedPageBreak/>
        <w:t xml:space="preserve">Cependant, après mars 2003, les frais de conversion avaient été imposés conformément </w:t>
      </w:r>
      <w:proofErr w:type="gramStart"/>
      <w:r w:rsidRPr="0081699D">
        <w:rPr>
          <w:lang w:val="fr-CA"/>
        </w:rPr>
        <w:t xml:space="preserve">aux </w:t>
      </w:r>
      <w:r>
        <w:rPr>
          <w:lang w:val="fr-CA"/>
        </w:rPr>
        <w:t>art</w:t>
      </w:r>
      <w:proofErr w:type="gramEnd"/>
      <w:r>
        <w:rPr>
          <w:lang w:val="fr-CA"/>
        </w:rPr>
        <w:t>.</w:t>
      </w:r>
      <w:r w:rsidR="00BE6E7C">
        <w:rPr>
          <w:lang w:val="fr-CA"/>
        </w:rPr>
        <w:t xml:space="preserve"> </w:t>
      </w:r>
      <w:r w:rsidRPr="0081699D">
        <w:rPr>
          <w:lang w:val="fr-CA"/>
        </w:rPr>
        <w:t>12 et 219, et ce même si les relevés mensuels n</w:t>
      </w:r>
      <w:r>
        <w:rPr>
          <w:lang w:val="fr-CA"/>
        </w:rPr>
        <w:t>’</w:t>
      </w:r>
      <w:r w:rsidRPr="0081699D">
        <w:rPr>
          <w:lang w:val="fr-CA"/>
        </w:rPr>
        <w:t>ont commencé à en faire état qu</w:t>
      </w:r>
      <w:r>
        <w:rPr>
          <w:lang w:val="fr-CA"/>
        </w:rPr>
        <w:t>’</w:t>
      </w:r>
      <w:r w:rsidRPr="0081699D">
        <w:rPr>
          <w:lang w:val="fr-CA"/>
        </w:rPr>
        <w:t>en décembre</w:t>
      </w:r>
      <w:r w:rsidR="00BE6E7C">
        <w:rPr>
          <w:lang w:val="fr-CA"/>
        </w:rPr>
        <w:t xml:space="preserve"> </w:t>
      </w:r>
      <w:r w:rsidRPr="0081699D">
        <w:rPr>
          <w:lang w:val="fr-CA"/>
        </w:rPr>
        <w:t>2003, parce qu</w:t>
      </w:r>
      <w:r>
        <w:rPr>
          <w:lang w:val="fr-CA"/>
        </w:rPr>
        <w:t>’</w:t>
      </w:r>
      <w:r w:rsidR="00D44D5A">
        <w:rPr>
          <w:lang w:val="fr-CA"/>
        </w:rPr>
        <w:t>Amex les avai</w:t>
      </w:r>
      <w:r w:rsidRPr="0081699D">
        <w:rPr>
          <w:lang w:val="fr-CA"/>
        </w:rPr>
        <w:t>t indiqués dans un avis aux titulaires de cartes en février</w:t>
      </w:r>
      <w:r w:rsidR="00BE6E7C">
        <w:rPr>
          <w:lang w:val="fr-CA"/>
        </w:rPr>
        <w:t xml:space="preserve"> </w:t>
      </w:r>
      <w:r w:rsidRPr="0081699D">
        <w:rPr>
          <w:lang w:val="fr-CA"/>
        </w:rPr>
        <w:t xml:space="preserve">2003. </w:t>
      </w:r>
    </w:p>
    <w:p w:rsidR="004708DC" w:rsidRPr="0081699D" w:rsidRDefault="004708DC" w:rsidP="005E000D">
      <w:pPr>
        <w:pStyle w:val="ParaNoNdepar-AltN"/>
        <w:widowControl w:val="0"/>
        <w:rPr>
          <w:lang w:val="fr-CA"/>
        </w:rPr>
      </w:pPr>
      <w:r w:rsidRPr="0081699D">
        <w:rPr>
          <w:lang w:val="fr-CA"/>
        </w:rPr>
        <w:t>Le remboursement des frais de conversion perçus entre le 1</w:t>
      </w:r>
      <w:r w:rsidRPr="0081699D">
        <w:rPr>
          <w:vertAlign w:val="superscript"/>
          <w:lang w:val="fr-CA"/>
        </w:rPr>
        <w:t>er</w:t>
      </w:r>
      <w:r w:rsidR="00BE6E7C">
        <w:rPr>
          <w:lang w:val="fr-CA"/>
        </w:rPr>
        <w:t xml:space="preserve"> </w:t>
      </w:r>
      <w:r w:rsidRPr="0081699D">
        <w:rPr>
          <w:lang w:val="fr-CA"/>
        </w:rPr>
        <w:t>mars 1993 et le 1</w:t>
      </w:r>
      <w:r w:rsidRPr="0081699D">
        <w:rPr>
          <w:vertAlign w:val="superscript"/>
          <w:lang w:val="fr-CA"/>
        </w:rPr>
        <w:t>er</w:t>
      </w:r>
      <w:r w:rsidR="00BE6E7C">
        <w:rPr>
          <w:lang w:val="fr-CA"/>
        </w:rPr>
        <w:t xml:space="preserve"> </w:t>
      </w:r>
      <w:r w:rsidRPr="0081699D">
        <w:rPr>
          <w:lang w:val="fr-CA"/>
        </w:rPr>
        <w:t>mars 2003 des titulaires de cartes qui sont des consommateurs a été ordonné par le juge</w:t>
      </w:r>
      <w:r w:rsidR="00BE6E7C">
        <w:rPr>
          <w:lang w:val="fr-CA"/>
        </w:rPr>
        <w:t xml:space="preserve"> </w:t>
      </w:r>
      <w:r w:rsidRPr="0081699D">
        <w:rPr>
          <w:lang w:val="fr-CA"/>
        </w:rPr>
        <w:t>Gascon sur la base de l</w:t>
      </w:r>
      <w:r>
        <w:rPr>
          <w:lang w:val="fr-CA"/>
        </w:rPr>
        <w:t>’art.</w:t>
      </w:r>
      <w:r w:rsidR="00BE6E7C">
        <w:rPr>
          <w:lang w:val="fr-CA"/>
        </w:rPr>
        <w:t xml:space="preserve"> </w:t>
      </w:r>
      <w:r w:rsidRPr="0081699D">
        <w:rPr>
          <w:lang w:val="fr-CA"/>
        </w:rPr>
        <w:t xml:space="preserve">272 </w:t>
      </w:r>
      <w:proofErr w:type="spellStart"/>
      <w:r w:rsidRPr="0081699D">
        <w:rPr>
          <w:i/>
          <w:lang w:val="fr-CA"/>
        </w:rPr>
        <w:t>L.p.c</w:t>
      </w:r>
      <w:proofErr w:type="spellEnd"/>
      <w:r w:rsidRPr="0081699D">
        <w:rPr>
          <w:i/>
          <w:lang w:val="fr-CA"/>
        </w:rPr>
        <w:t xml:space="preserve">. </w:t>
      </w:r>
      <w:r w:rsidRPr="0081699D">
        <w:rPr>
          <w:lang w:val="fr-CA"/>
        </w:rPr>
        <w:t>Dans l</w:t>
      </w:r>
      <w:r>
        <w:rPr>
          <w:lang w:val="fr-CA"/>
        </w:rPr>
        <w:t>’</w:t>
      </w:r>
      <w:r w:rsidRPr="0081699D">
        <w:rPr>
          <w:lang w:val="fr-CA"/>
        </w:rPr>
        <w:t xml:space="preserve">arrêt </w:t>
      </w:r>
      <w:r w:rsidRPr="0081699D">
        <w:rPr>
          <w:i/>
          <w:lang w:val="fr-CA"/>
        </w:rPr>
        <w:t xml:space="preserve">Service aux marchands détaillants </w:t>
      </w:r>
      <w:proofErr w:type="spellStart"/>
      <w:r w:rsidRPr="0081699D">
        <w:rPr>
          <w:i/>
          <w:lang w:val="fr-CA"/>
        </w:rPr>
        <w:t>ltée</w:t>
      </w:r>
      <w:proofErr w:type="spellEnd"/>
      <w:r w:rsidRPr="0081699D">
        <w:rPr>
          <w:i/>
          <w:lang w:val="fr-CA"/>
        </w:rPr>
        <w:t xml:space="preserve"> (</w:t>
      </w:r>
      <w:proofErr w:type="spellStart"/>
      <w:r w:rsidRPr="0081699D">
        <w:rPr>
          <w:i/>
          <w:lang w:val="fr-CA"/>
        </w:rPr>
        <w:t>Household</w:t>
      </w:r>
      <w:proofErr w:type="spellEnd"/>
      <w:r w:rsidRPr="0081699D">
        <w:rPr>
          <w:i/>
          <w:lang w:val="fr-CA"/>
        </w:rPr>
        <w:t xml:space="preserve"> Finance) c. Option consommateurs</w:t>
      </w:r>
      <w:r w:rsidRPr="0081699D">
        <w:rPr>
          <w:lang w:val="fr-CA"/>
        </w:rPr>
        <w:t>, 2006 QCCA 1319 (</w:t>
      </w:r>
      <w:proofErr w:type="spellStart"/>
      <w:r w:rsidRPr="0081699D">
        <w:rPr>
          <w:lang w:val="fr-CA"/>
        </w:rPr>
        <w:t>CanLII</w:t>
      </w:r>
      <w:proofErr w:type="spellEnd"/>
      <w:r w:rsidRPr="0081699D">
        <w:rPr>
          <w:lang w:val="fr-CA"/>
        </w:rPr>
        <w:t>), autorisation de pourvoi refusée, [2007] 1 R.C.S. xi, la Cour d</w:t>
      </w:r>
      <w:r>
        <w:rPr>
          <w:lang w:val="fr-CA"/>
        </w:rPr>
        <w:t>’</w:t>
      </w:r>
      <w:r w:rsidRPr="0081699D">
        <w:rPr>
          <w:lang w:val="fr-CA"/>
        </w:rPr>
        <w:t xml:space="preserve">appel du Québec a conclu que </w:t>
      </w:r>
      <w:proofErr w:type="gramStart"/>
      <w:r w:rsidRPr="0081699D">
        <w:rPr>
          <w:lang w:val="fr-CA"/>
        </w:rPr>
        <w:t xml:space="preserve">les </w:t>
      </w:r>
      <w:r>
        <w:rPr>
          <w:lang w:val="fr-CA"/>
        </w:rPr>
        <w:t>art</w:t>
      </w:r>
      <w:proofErr w:type="gramEnd"/>
      <w:r>
        <w:rPr>
          <w:lang w:val="fr-CA"/>
        </w:rPr>
        <w:t>.</w:t>
      </w:r>
      <w:r w:rsidR="00BE6E7C">
        <w:rPr>
          <w:lang w:val="fr-CA"/>
        </w:rPr>
        <w:t xml:space="preserve"> </w:t>
      </w:r>
      <w:r w:rsidRPr="0081699D">
        <w:rPr>
          <w:lang w:val="fr-CA"/>
        </w:rPr>
        <w:t>271 et 272 s</w:t>
      </w:r>
      <w:r>
        <w:rPr>
          <w:lang w:val="fr-CA"/>
        </w:rPr>
        <w:t>’</w:t>
      </w:r>
      <w:r w:rsidRPr="0081699D">
        <w:rPr>
          <w:lang w:val="fr-CA"/>
        </w:rPr>
        <w:t>excluent mutuellement. Si les recours prévus à l</w:t>
      </w:r>
      <w:r>
        <w:rPr>
          <w:lang w:val="fr-CA"/>
        </w:rPr>
        <w:t>’art.</w:t>
      </w:r>
      <w:r w:rsidR="00BE6E7C">
        <w:rPr>
          <w:lang w:val="fr-CA"/>
        </w:rPr>
        <w:t xml:space="preserve"> </w:t>
      </w:r>
      <w:r w:rsidRPr="0081699D">
        <w:rPr>
          <w:lang w:val="fr-CA"/>
        </w:rPr>
        <w:t>271 s</w:t>
      </w:r>
      <w:r>
        <w:rPr>
          <w:lang w:val="fr-CA"/>
        </w:rPr>
        <w:t>’</w:t>
      </w:r>
      <w:r w:rsidRPr="0081699D">
        <w:rPr>
          <w:lang w:val="fr-CA"/>
        </w:rPr>
        <w:t>appliquent en cas de [</w:t>
      </w:r>
      <w:r w:rsidRPr="0081699D">
        <w:rPr>
          <w:smallCaps/>
          <w:lang w:val="fr-CA"/>
        </w:rPr>
        <w:t>traduction</w:t>
      </w:r>
      <w:r w:rsidRPr="0081699D">
        <w:rPr>
          <w:lang w:val="fr-CA"/>
        </w:rPr>
        <w:t xml:space="preserve">] </w:t>
      </w:r>
      <w:r w:rsidR="00BE6E7C">
        <w:rPr>
          <w:lang w:val="fr-CA"/>
        </w:rPr>
        <w:t>« </w:t>
      </w:r>
      <w:r w:rsidRPr="0081699D">
        <w:rPr>
          <w:lang w:val="fr-CA"/>
        </w:rPr>
        <w:t>manquement aux règles de formation du contrat ou à une exigence de forme</w:t>
      </w:r>
      <w:r w:rsidR="00BE6E7C">
        <w:rPr>
          <w:lang w:val="fr-CA"/>
        </w:rPr>
        <w:t> »</w:t>
      </w:r>
      <w:r w:rsidRPr="0081699D">
        <w:rPr>
          <w:lang w:val="fr-CA"/>
        </w:rPr>
        <w:t>, ceux de l</w:t>
      </w:r>
      <w:r>
        <w:rPr>
          <w:lang w:val="fr-CA"/>
        </w:rPr>
        <w:t>’art.</w:t>
      </w:r>
      <w:r w:rsidR="00BE6E7C">
        <w:rPr>
          <w:lang w:val="fr-CA"/>
        </w:rPr>
        <w:t xml:space="preserve"> </w:t>
      </w:r>
      <w:r w:rsidRPr="0081699D">
        <w:rPr>
          <w:lang w:val="fr-CA"/>
        </w:rPr>
        <w:t>272 s</w:t>
      </w:r>
      <w:r>
        <w:rPr>
          <w:lang w:val="fr-CA"/>
        </w:rPr>
        <w:t>’</w:t>
      </w:r>
      <w:r w:rsidRPr="0081699D">
        <w:rPr>
          <w:lang w:val="fr-CA"/>
        </w:rPr>
        <w:t xml:space="preserve">appliquent en cas de </w:t>
      </w:r>
      <w:r w:rsidR="00BE6E7C">
        <w:rPr>
          <w:lang w:val="fr-CA"/>
        </w:rPr>
        <w:t>« </w:t>
      </w:r>
      <w:r w:rsidRPr="0081699D">
        <w:rPr>
          <w:lang w:val="fr-CA"/>
        </w:rPr>
        <w:t xml:space="preserve">manquement aux obligations générales imposées par la </w:t>
      </w:r>
      <w:proofErr w:type="spellStart"/>
      <w:r w:rsidRPr="0081699D">
        <w:rPr>
          <w:lang w:val="fr-CA"/>
        </w:rPr>
        <w:t>L.p.c</w:t>
      </w:r>
      <w:proofErr w:type="spellEnd"/>
      <w:r w:rsidRPr="0081699D">
        <w:rPr>
          <w:lang w:val="fr-CA"/>
        </w:rPr>
        <w:t>.</w:t>
      </w:r>
      <w:r w:rsidR="00BE6E7C">
        <w:rPr>
          <w:i/>
          <w:lang w:val="fr-CA"/>
        </w:rPr>
        <w:t> »</w:t>
      </w:r>
      <w:r w:rsidRPr="0081699D">
        <w:rPr>
          <w:lang w:val="fr-CA"/>
        </w:rPr>
        <w:t xml:space="preserve"> (motifs de première</w:t>
      </w:r>
      <w:r w:rsidR="00BE6E7C">
        <w:rPr>
          <w:lang w:val="fr-CA"/>
        </w:rPr>
        <w:t xml:space="preserve"> </w:t>
      </w:r>
      <w:r w:rsidRPr="0081699D">
        <w:rPr>
          <w:lang w:val="fr-CA"/>
        </w:rPr>
        <w:t xml:space="preserve">instance, </w:t>
      </w:r>
      <w:r>
        <w:rPr>
          <w:lang w:val="fr-CA"/>
        </w:rPr>
        <w:t>par.</w:t>
      </w:r>
      <w:r w:rsidR="00BE6E7C">
        <w:rPr>
          <w:lang w:val="fr-CA"/>
        </w:rPr>
        <w:t xml:space="preserve"> </w:t>
      </w:r>
      <w:r w:rsidRPr="0081699D">
        <w:rPr>
          <w:lang w:val="fr-CA"/>
        </w:rPr>
        <w:t>211). Selon le juge Gascon, le manquement d</w:t>
      </w:r>
      <w:r>
        <w:rPr>
          <w:lang w:val="fr-CA"/>
        </w:rPr>
        <w:t>’</w:t>
      </w:r>
      <w:r w:rsidRPr="0081699D">
        <w:rPr>
          <w:lang w:val="fr-CA"/>
        </w:rPr>
        <w:t>Amex à l</w:t>
      </w:r>
      <w:r>
        <w:rPr>
          <w:lang w:val="fr-CA"/>
        </w:rPr>
        <w:t>’art.</w:t>
      </w:r>
      <w:r w:rsidR="00BE6E7C">
        <w:rPr>
          <w:lang w:val="fr-CA"/>
        </w:rPr>
        <w:t xml:space="preserve"> </w:t>
      </w:r>
      <w:r w:rsidRPr="0081699D">
        <w:rPr>
          <w:lang w:val="fr-CA"/>
        </w:rPr>
        <w:t xml:space="preserve">12 </w:t>
      </w:r>
      <w:proofErr w:type="spellStart"/>
      <w:r w:rsidRPr="0081699D">
        <w:rPr>
          <w:i/>
          <w:lang w:val="fr-CA"/>
        </w:rPr>
        <w:t>L.p.c</w:t>
      </w:r>
      <w:proofErr w:type="spellEnd"/>
      <w:r w:rsidRPr="0081699D">
        <w:rPr>
          <w:i/>
          <w:lang w:val="fr-CA"/>
        </w:rPr>
        <w:t xml:space="preserve">. </w:t>
      </w:r>
      <w:r w:rsidRPr="0081699D">
        <w:rPr>
          <w:lang w:val="fr-CA"/>
        </w:rPr>
        <w:t xml:space="preserve">tenait </w:t>
      </w:r>
      <w:r w:rsidR="00BE6E7C">
        <w:rPr>
          <w:lang w:val="fr-CA"/>
        </w:rPr>
        <w:t>« </w:t>
      </w:r>
      <w:r w:rsidRPr="0081699D">
        <w:rPr>
          <w:lang w:val="fr-CA"/>
        </w:rPr>
        <w:t>davantage de la question de fond que de la simple question de forme</w:t>
      </w:r>
      <w:r w:rsidR="00BE6E7C">
        <w:rPr>
          <w:lang w:val="fr-CA"/>
        </w:rPr>
        <w:t> »</w:t>
      </w:r>
      <w:r w:rsidRPr="0081699D">
        <w:rPr>
          <w:lang w:val="fr-CA"/>
        </w:rPr>
        <w:t>, de sorte que l</w:t>
      </w:r>
      <w:r>
        <w:rPr>
          <w:lang w:val="fr-CA"/>
        </w:rPr>
        <w:t>’art.</w:t>
      </w:r>
      <w:r w:rsidR="00BE6E7C">
        <w:rPr>
          <w:lang w:val="fr-CA"/>
        </w:rPr>
        <w:t xml:space="preserve"> </w:t>
      </w:r>
      <w:r w:rsidRPr="0081699D">
        <w:rPr>
          <w:lang w:val="fr-CA"/>
        </w:rPr>
        <w:t>272 devait s</w:t>
      </w:r>
      <w:r>
        <w:rPr>
          <w:lang w:val="fr-CA"/>
        </w:rPr>
        <w:t>’</w:t>
      </w:r>
      <w:r w:rsidRPr="0081699D">
        <w:rPr>
          <w:lang w:val="fr-CA"/>
        </w:rPr>
        <w:t>appliquer (</w:t>
      </w:r>
      <w:r>
        <w:rPr>
          <w:lang w:val="fr-CA"/>
        </w:rPr>
        <w:t>par.</w:t>
      </w:r>
      <w:r w:rsidR="00BE6E7C">
        <w:rPr>
          <w:lang w:val="fr-CA"/>
        </w:rPr>
        <w:t xml:space="preserve"> </w:t>
      </w:r>
      <w:r w:rsidRPr="0081699D">
        <w:rPr>
          <w:lang w:val="fr-CA"/>
        </w:rPr>
        <w:t>215). Quant à l</w:t>
      </w:r>
      <w:r>
        <w:rPr>
          <w:lang w:val="fr-CA"/>
        </w:rPr>
        <w:t>’art.</w:t>
      </w:r>
      <w:r w:rsidR="00BE6E7C">
        <w:rPr>
          <w:lang w:val="fr-CA"/>
        </w:rPr>
        <w:t xml:space="preserve"> </w:t>
      </w:r>
      <w:r w:rsidRPr="0081699D">
        <w:rPr>
          <w:lang w:val="fr-CA"/>
        </w:rPr>
        <w:t>219, la Cour d</w:t>
      </w:r>
      <w:r>
        <w:rPr>
          <w:lang w:val="fr-CA"/>
        </w:rPr>
        <w:t>’</w:t>
      </w:r>
      <w:r w:rsidRPr="0081699D">
        <w:rPr>
          <w:lang w:val="fr-CA"/>
        </w:rPr>
        <w:t>appel du Québec a déjà conclu qu</w:t>
      </w:r>
      <w:r>
        <w:rPr>
          <w:lang w:val="fr-CA"/>
        </w:rPr>
        <w:t>’</w:t>
      </w:r>
      <w:r w:rsidRPr="0081699D">
        <w:rPr>
          <w:lang w:val="fr-CA"/>
        </w:rPr>
        <w:t>il convenait d</w:t>
      </w:r>
      <w:r>
        <w:rPr>
          <w:lang w:val="fr-CA"/>
        </w:rPr>
        <w:t>’</w:t>
      </w:r>
      <w:r w:rsidRPr="0081699D">
        <w:rPr>
          <w:lang w:val="fr-CA"/>
        </w:rPr>
        <w:t>ordonner les sanctions prévues à l</w:t>
      </w:r>
      <w:r>
        <w:rPr>
          <w:lang w:val="fr-CA"/>
        </w:rPr>
        <w:t>’art.</w:t>
      </w:r>
      <w:r w:rsidR="00BE6E7C">
        <w:rPr>
          <w:lang w:val="fr-CA"/>
        </w:rPr>
        <w:t xml:space="preserve"> </w:t>
      </w:r>
      <w:r w:rsidRPr="0081699D">
        <w:rPr>
          <w:lang w:val="fr-CA"/>
        </w:rPr>
        <w:t>272 dans les cas de manquement aux dispositions relatives aux pratiques commerciales telles l</w:t>
      </w:r>
      <w:r>
        <w:rPr>
          <w:lang w:val="fr-CA"/>
        </w:rPr>
        <w:t>’art.</w:t>
      </w:r>
      <w:r w:rsidR="00BE6E7C">
        <w:rPr>
          <w:lang w:val="fr-CA"/>
        </w:rPr>
        <w:t xml:space="preserve"> </w:t>
      </w:r>
      <w:r w:rsidRPr="0081699D">
        <w:rPr>
          <w:lang w:val="fr-CA"/>
        </w:rPr>
        <w:t xml:space="preserve">219. </w:t>
      </w:r>
    </w:p>
    <w:p w:rsidR="004708DC" w:rsidRPr="0081699D" w:rsidRDefault="004708DC" w:rsidP="005E000D">
      <w:pPr>
        <w:pStyle w:val="ParaNoNdepar-AltN"/>
        <w:widowControl w:val="0"/>
        <w:rPr>
          <w:lang w:val="fr-CA"/>
        </w:rPr>
      </w:pPr>
      <w:r w:rsidRPr="0081699D">
        <w:rPr>
          <w:lang w:val="fr-CA"/>
        </w:rPr>
        <w:t>L</w:t>
      </w:r>
      <w:r>
        <w:rPr>
          <w:lang w:val="fr-CA"/>
        </w:rPr>
        <w:t>’</w:t>
      </w:r>
      <w:r w:rsidRPr="0081699D">
        <w:rPr>
          <w:lang w:val="fr-CA"/>
        </w:rPr>
        <w:t>absence de préjudice aux consommateurs n</w:t>
      </w:r>
      <w:r>
        <w:rPr>
          <w:lang w:val="fr-CA"/>
        </w:rPr>
        <w:t>’</w:t>
      </w:r>
      <w:r w:rsidRPr="0081699D">
        <w:rPr>
          <w:lang w:val="fr-CA"/>
        </w:rPr>
        <w:t>est pas une défense valable au recours fondé sur l</w:t>
      </w:r>
      <w:r>
        <w:rPr>
          <w:lang w:val="fr-CA"/>
        </w:rPr>
        <w:t>’art.</w:t>
      </w:r>
      <w:r w:rsidR="00BE6E7C">
        <w:rPr>
          <w:lang w:val="fr-CA"/>
        </w:rPr>
        <w:t xml:space="preserve"> </w:t>
      </w:r>
      <w:r w:rsidRPr="0081699D">
        <w:rPr>
          <w:lang w:val="fr-CA"/>
        </w:rPr>
        <w:t xml:space="preserve">272, conformément aux principes juridiques généraux </w:t>
      </w:r>
      <w:r w:rsidRPr="0081699D">
        <w:rPr>
          <w:lang w:val="fr-CA"/>
        </w:rPr>
        <w:lastRenderedPageBreak/>
        <w:t>applicables en matière de restitution de l</w:t>
      </w:r>
      <w:r>
        <w:rPr>
          <w:lang w:val="fr-CA"/>
        </w:rPr>
        <w:t>’</w:t>
      </w:r>
      <w:r w:rsidRPr="0081699D">
        <w:rPr>
          <w:lang w:val="fr-CA"/>
        </w:rPr>
        <w:t xml:space="preserve">indu. </w:t>
      </w:r>
    </w:p>
    <w:p w:rsidR="004708DC" w:rsidRPr="0081699D" w:rsidRDefault="004708DC" w:rsidP="005E000D">
      <w:pPr>
        <w:pStyle w:val="ParaNoNdepar-AltN"/>
        <w:widowControl w:val="0"/>
        <w:rPr>
          <w:lang w:val="fr-CA"/>
        </w:rPr>
      </w:pPr>
      <w:r w:rsidRPr="0081699D">
        <w:rPr>
          <w:lang w:val="fr-CA"/>
        </w:rPr>
        <w:t>Pour les mêmes motifs que ceux qu</w:t>
      </w:r>
      <w:r>
        <w:rPr>
          <w:lang w:val="fr-CA"/>
        </w:rPr>
        <w:t>’</w:t>
      </w:r>
      <w:r w:rsidRPr="0081699D">
        <w:rPr>
          <w:lang w:val="fr-CA"/>
        </w:rPr>
        <w:t>il a exprimés dans le recours contre BMO, le juge</w:t>
      </w:r>
      <w:r w:rsidR="00BE6E7C">
        <w:rPr>
          <w:lang w:val="fr-CA"/>
        </w:rPr>
        <w:t xml:space="preserve"> </w:t>
      </w:r>
      <w:r w:rsidRPr="0081699D">
        <w:rPr>
          <w:lang w:val="fr-CA"/>
        </w:rPr>
        <w:t>Gascon a conclu que les demandes des titulaires de cartes n</w:t>
      </w:r>
      <w:r>
        <w:rPr>
          <w:lang w:val="fr-CA"/>
        </w:rPr>
        <w:t>’</w:t>
      </w:r>
      <w:r w:rsidRPr="0081699D">
        <w:rPr>
          <w:lang w:val="fr-CA"/>
        </w:rPr>
        <w:t>étaient pas prescrites. La prescription a cessé de courir pendant la période où les conventions ne mentionnaient pas les frais de conversion et, quoi qu</w:t>
      </w:r>
      <w:r>
        <w:rPr>
          <w:lang w:val="fr-CA"/>
        </w:rPr>
        <w:t>’</w:t>
      </w:r>
      <w:r w:rsidRPr="0081699D">
        <w:rPr>
          <w:lang w:val="fr-CA"/>
        </w:rPr>
        <w:t>il en soit, un nouveau contrat est formé chaque fois qu</w:t>
      </w:r>
      <w:r>
        <w:rPr>
          <w:lang w:val="fr-CA"/>
        </w:rPr>
        <w:t>’</w:t>
      </w:r>
      <w:r w:rsidRPr="0081699D">
        <w:rPr>
          <w:lang w:val="fr-CA"/>
        </w:rPr>
        <w:t xml:space="preserve">un titulaire renouvelle sa carte. </w:t>
      </w:r>
    </w:p>
    <w:p w:rsidR="004708DC" w:rsidRPr="0081699D" w:rsidRDefault="004708DC" w:rsidP="005E000D">
      <w:pPr>
        <w:pStyle w:val="ParaNoNdepar-AltN"/>
        <w:widowControl w:val="0"/>
        <w:rPr>
          <w:lang w:val="fr-CA"/>
        </w:rPr>
      </w:pPr>
      <w:r w:rsidRPr="0081699D">
        <w:rPr>
          <w:lang w:val="fr-CA"/>
        </w:rPr>
        <w:t>Renvoyant à sa décision dans le recours contre BMO, le juge</w:t>
      </w:r>
      <w:r w:rsidR="00BE6E7C">
        <w:rPr>
          <w:lang w:val="fr-CA"/>
        </w:rPr>
        <w:t xml:space="preserve"> </w:t>
      </w:r>
      <w:r w:rsidRPr="0081699D">
        <w:rPr>
          <w:lang w:val="fr-CA"/>
        </w:rPr>
        <w:t>Gascon a rejeté les arguments constitutionnels d</w:t>
      </w:r>
      <w:r>
        <w:rPr>
          <w:lang w:val="fr-CA"/>
        </w:rPr>
        <w:t>’</w:t>
      </w:r>
      <w:r w:rsidRPr="0081699D">
        <w:rPr>
          <w:lang w:val="fr-CA"/>
        </w:rPr>
        <w:t xml:space="preserve">Amex selon lesquels la </w:t>
      </w:r>
      <w:proofErr w:type="spellStart"/>
      <w:r w:rsidRPr="0081699D">
        <w:rPr>
          <w:i/>
          <w:lang w:val="fr-CA"/>
        </w:rPr>
        <w:t>L.p.c</w:t>
      </w:r>
      <w:proofErr w:type="spellEnd"/>
      <w:r w:rsidRPr="0081699D">
        <w:rPr>
          <w:i/>
          <w:lang w:val="fr-CA"/>
        </w:rPr>
        <w:t>.</w:t>
      </w:r>
      <w:r w:rsidRPr="0081699D">
        <w:rPr>
          <w:lang w:val="fr-CA"/>
        </w:rPr>
        <w:t xml:space="preserve"> ne s</w:t>
      </w:r>
      <w:r>
        <w:rPr>
          <w:lang w:val="fr-CA"/>
        </w:rPr>
        <w:t>’</w:t>
      </w:r>
      <w:r w:rsidRPr="0081699D">
        <w:rPr>
          <w:lang w:val="fr-CA"/>
        </w:rPr>
        <w:t>appliquait pas à elle en raison des doctrines de l</w:t>
      </w:r>
      <w:r>
        <w:rPr>
          <w:lang w:val="fr-CA"/>
        </w:rPr>
        <w:t>’</w:t>
      </w:r>
      <w:r w:rsidRPr="0081699D">
        <w:rPr>
          <w:lang w:val="fr-CA"/>
        </w:rPr>
        <w:t>exclusivité des compétences et de la prépondérance fédérale. Selon lui, l</w:t>
      </w:r>
      <w:r>
        <w:rPr>
          <w:lang w:val="fr-CA"/>
        </w:rPr>
        <w:t>’</w:t>
      </w:r>
      <w:r w:rsidRPr="0081699D">
        <w:rPr>
          <w:lang w:val="fr-CA"/>
        </w:rPr>
        <w:t>inapplicabilité de ces deux doctrines ressort davantage dans l</w:t>
      </w:r>
      <w:r>
        <w:rPr>
          <w:lang w:val="fr-CA"/>
        </w:rPr>
        <w:t>’</w:t>
      </w:r>
      <w:r w:rsidRPr="0081699D">
        <w:rPr>
          <w:lang w:val="fr-CA"/>
        </w:rPr>
        <w:t xml:space="preserve">affaire Amex parce que (1) les seules dispositions de la </w:t>
      </w:r>
      <w:proofErr w:type="spellStart"/>
      <w:r w:rsidRPr="0081699D">
        <w:rPr>
          <w:i/>
          <w:lang w:val="fr-CA"/>
        </w:rPr>
        <w:t>L.p.c</w:t>
      </w:r>
      <w:proofErr w:type="spellEnd"/>
      <w:r w:rsidRPr="0081699D">
        <w:rPr>
          <w:i/>
          <w:lang w:val="fr-CA"/>
        </w:rPr>
        <w:t xml:space="preserve">. </w:t>
      </w:r>
      <w:r w:rsidRPr="0081699D">
        <w:rPr>
          <w:lang w:val="fr-CA"/>
        </w:rPr>
        <w:t>en cause sont celles concernant la mention des frais, (2) avant 1993, Amex a démontré qu</w:t>
      </w:r>
      <w:r>
        <w:rPr>
          <w:lang w:val="fr-CA"/>
        </w:rPr>
        <w:t>’</w:t>
      </w:r>
      <w:r w:rsidRPr="0081699D">
        <w:rPr>
          <w:lang w:val="fr-CA"/>
        </w:rPr>
        <w:t>elle pouvait se conformer à ces dispositions sans nuire à ses activités et (3) les cartes de paiement — qui représentent 95</w:t>
      </w:r>
      <w:r w:rsidR="00BE6E7C">
        <w:rPr>
          <w:lang w:val="fr-CA"/>
        </w:rPr>
        <w:t xml:space="preserve"> </w:t>
      </w:r>
      <w:r w:rsidRPr="0081699D">
        <w:rPr>
          <w:lang w:val="fr-CA"/>
        </w:rPr>
        <w:t>pour</w:t>
      </w:r>
      <w:r w:rsidR="00BE6E7C">
        <w:rPr>
          <w:lang w:val="fr-CA"/>
        </w:rPr>
        <w:t xml:space="preserve"> </w:t>
      </w:r>
      <w:r w:rsidRPr="0081699D">
        <w:rPr>
          <w:lang w:val="fr-CA"/>
        </w:rPr>
        <w:t>100 des frais de conversion en cause dans le recours contre Amex — s</w:t>
      </w:r>
      <w:r>
        <w:rPr>
          <w:lang w:val="fr-CA"/>
        </w:rPr>
        <w:t>’</w:t>
      </w:r>
      <w:r w:rsidRPr="0081699D">
        <w:rPr>
          <w:lang w:val="fr-CA"/>
        </w:rPr>
        <w:t>apparentent davantage aux cartes de paiement émises par les commerçants privés qu</w:t>
      </w:r>
      <w:r>
        <w:rPr>
          <w:lang w:val="fr-CA"/>
        </w:rPr>
        <w:t>’</w:t>
      </w:r>
      <w:r w:rsidRPr="0081699D">
        <w:rPr>
          <w:lang w:val="fr-CA"/>
        </w:rPr>
        <w:t xml:space="preserve">au crédit consenti par les banques. </w:t>
      </w:r>
    </w:p>
    <w:p w:rsidR="004708DC" w:rsidRPr="0081699D" w:rsidRDefault="004708DC" w:rsidP="005E000D">
      <w:pPr>
        <w:pStyle w:val="ParaNoNdepar-AltN"/>
        <w:widowControl w:val="0"/>
        <w:rPr>
          <w:lang w:val="fr-CA"/>
        </w:rPr>
      </w:pPr>
      <w:r w:rsidRPr="0081699D">
        <w:rPr>
          <w:lang w:val="fr-CA"/>
        </w:rPr>
        <w:t>Le juge</w:t>
      </w:r>
      <w:r w:rsidR="00BE6E7C">
        <w:rPr>
          <w:lang w:val="fr-CA"/>
        </w:rPr>
        <w:t xml:space="preserve"> </w:t>
      </w:r>
      <w:r w:rsidRPr="0081699D">
        <w:rPr>
          <w:lang w:val="fr-CA"/>
        </w:rPr>
        <w:t>Gascon a aussi fait droit à l</w:t>
      </w:r>
      <w:r>
        <w:rPr>
          <w:lang w:val="fr-CA"/>
        </w:rPr>
        <w:t>’</w:t>
      </w:r>
      <w:r w:rsidRPr="0081699D">
        <w:rPr>
          <w:lang w:val="fr-CA"/>
        </w:rPr>
        <w:t>argument de M.</w:t>
      </w:r>
      <w:r w:rsidR="00BE6E7C">
        <w:rPr>
          <w:lang w:val="fr-CA"/>
        </w:rPr>
        <w:t xml:space="preserve"> </w:t>
      </w:r>
      <w:r w:rsidRPr="0081699D">
        <w:rPr>
          <w:lang w:val="fr-CA"/>
        </w:rPr>
        <w:t>Adams selon lequel tous les titulaires de cartes, tant ceux qui sont consommateurs que ceux qui ne le sont pas, ont droit à la restitution des frais de conversion imposés pendant la période où ces frais n</w:t>
      </w:r>
      <w:r>
        <w:rPr>
          <w:lang w:val="fr-CA"/>
        </w:rPr>
        <w:t>’</w:t>
      </w:r>
      <w:r w:rsidRPr="0081699D">
        <w:rPr>
          <w:lang w:val="fr-CA"/>
        </w:rPr>
        <w:t xml:space="preserve">étaient pas mentionnés, et ce en application des </w:t>
      </w:r>
      <w:r>
        <w:rPr>
          <w:lang w:val="fr-CA"/>
        </w:rPr>
        <w:t>art.</w:t>
      </w:r>
      <w:r w:rsidR="00BE6E7C">
        <w:rPr>
          <w:lang w:val="fr-CA"/>
        </w:rPr>
        <w:t xml:space="preserve"> </w:t>
      </w:r>
      <w:r w:rsidRPr="0081699D">
        <w:rPr>
          <w:lang w:val="fr-CA"/>
        </w:rPr>
        <w:t xml:space="preserve">1491 et 1554 du </w:t>
      </w:r>
      <w:r w:rsidRPr="0081699D">
        <w:rPr>
          <w:i/>
          <w:lang w:val="fr-CA"/>
        </w:rPr>
        <w:t xml:space="preserve">Code civil du Québec </w:t>
      </w:r>
      <w:r w:rsidRPr="0081699D">
        <w:rPr>
          <w:lang w:val="fr-CA"/>
        </w:rPr>
        <w:t>(</w:t>
      </w:r>
      <w:r w:rsidR="00BE6E7C">
        <w:rPr>
          <w:lang w:val="fr-CA"/>
        </w:rPr>
        <w:t>« </w:t>
      </w:r>
      <w:proofErr w:type="spellStart"/>
      <w:r w:rsidRPr="0081699D">
        <w:rPr>
          <w:i/>
          <w:lang w:val="fr-CA"/>
        </w:rPr>
        <w:t>C.c.Q</w:t>
      </w:r>
      <w:proofErr w:type="spellEnd"/>
      <w:r w:rsidRPr="0081699D">
        <w:rPr>
          <w:i/>
          <w:lang w:val="fr-CA"/>
        </w:rPr>
        <w:t>.</w:t>
      </w:r>
      <w:r w:rsidR="00BE6E7C">
        <w:rPr>
          <w:i/>
          <w:lang w:val="fr-CA"/>
        </w:rPr>
        <w:t> </w:t>
      </w:r>
      <w:r w:rsidR="00BE6E7C" w:rsidRPr="00D60187">
        <w:rPr>
          <w:lang w:val="fr-CA"/>
        </w:rPr>
        <w:t>»</w:t>
      </w:r>
      <w:r w:rsidRPr="0081699D">
        <w:rPr>
          <w:lang w:val="fr-CA"/>
        </w:rPr>
        <w:t>). Puisque les conventions régissant l</w:t>
      </w:r>
      <w:r>
        <w:rPr>
          <w:lang w:val="fr-CA"/>
        </w:rPr>
        <w:t>’</w:t>
      </w:r>
      <w:r w:rsidRPr="0081699D">
        <w:rPr>
          <w:lang w:val="fr-CA"/>
        </w:rPr>
        <w:t xml:space="preserve">utilisation des cartes </w:t>
      </w:r>
      <w:r w:rsidRPr="0081699D">
        <w:rPr>
          <w:lang w:val="fr-CA"/>
        </w:rPr>
        <w:lastRenderedPageBreak/>
        <w:t>ne faisaient nulle mention des frais de conversion et qu</w:t>
      </w:r>
      <w:r>
        <w:rPr>
          <w:lang w:val="fr-CA"/>
        </w:rPr>
        <w:t>’</w:t>
      </w:r>
      <w:r w:rsidRPr="0081699D">
        <w:rPr>
          <w:lang w:val="fr-CA"/>
        </w:rPr>
        <w:t>on ne peut prétendre que l</w:t>
      </w:r>
      <w:r>
        <w:rPr>
          <w:lang w:val="fr-CA"/>
        </w:rPr>
        <w:t>’</w:t>
      </w:r>
      <w:r w:rsidRPr="0081699D">
        <w:rPr>
          <w:lang w:val="fr-CA"/>
        </w:rPr>
        <w:t xml:space="preserve">obligation de payer ces frais était prévue dans le </w:t>
      </w:r>
      <w:r w:rsidR="00BE6E7C">
        <w:rPr>
          <w:lang w:val="fr-CA"/>
        </w:rPr>
        <w:t>« </w:t>
      </w:r>
      <w:r w:rsidRPr="0081699D">
        <w:rPr>
          <w:lang w:val="fr-CA"/>
        </w:rPr>
        <w:t>taux de change</w:t>
      </w:r>
      <w:r w:rsidR="00BE6E7C">
        <w:rPr>
          <w:lang w:val="fr-CA"/>
        </w:rPr>
        <w:t> »</w:t>
      </w:r>
      <w:r w:rsidRPr="0081699D">
        <w:rPr>
          <w:lang w:val="fr-CA"/>
        </w:rPr>
        <w:t>, les titulaires de carte n</w:t>
      </w:r>
      <w:r>
        <w:rPr>
          <w:lang w:val="fr-CA"/>
        </w:rPr>
        <w:t>’</w:t>
      </w:r>
      <w:r w:rsidRPr="0081699D">
        <w:rPr>
          <w:lang w:val="fr-CA"/>
        </w:rPr>
        <w:t>étaient pas tenus de les payer et ne l</w:t>
      </w:r>
      <w:r>
        <w:rPr>
          <w:lang w:val="fr-CA"/>
        </w:rPr>
        <w:t>’</w:t>
      </w:r>
      <w:r w:rsidRPr="0081699D">
        <w:rPr>
          <w:lang w:val="fr-CA"/>
        </w:rPr>
        <w:t>ont fait que par erreur. Le juge</w:t>
      </w:r>
      <w:r w:rsidR="00BE6E7C">
        <w:rPr>
          <w:lang w:val="fr-CA"/>
        </w:rPr>
        <w:t xml:space="preserve"> </w:t>
      </w:r>
      <w:r w:rsidRPr="0081699D">
        <w:rPr>
          <w:lang w:val="fr-CA"/>
        </w:rPr>
        <w:t>Gascon n</w:t>
      </w:r>
      <w:r>
        <w:rPr>
          <w:lang w:val="fr-CA"/>
        </w:rPr>
        <w:t>’</w:t>
      </w:r>
      <w:r w:rsidRPr="0081699D">
        <w:rPr>
          <w:lang w:val="fr-CA"/>
        </w:rPr>
        <w:t>a pas voulu refuser la restitution en vertu du pouvoir discrétionnaire que lui confère le deuxième paragraphe de l</w:t>
      </w:r>
      <w:r>
        <w:rPr>
          <w:lang w:val="fr-CA"/>
        </w:rPr>
        <w:t>’art.</w:t>
      </w:r>
      <w:r w:rsidR="00BE6E7C">
        <w:rPr>
          <w:lang w:val="fr-CA"/>
        </w:rPr>
        <w:t xml:space="preserve"> </w:t>
      </w:r>
      <w:r w:rsidRPr="0081699D">
        <w:rPr>
          <w:lang w:val="fr-CA"/>
        </w:rPr>
        <w:t xml:space="preserve">1699 </w:t>
      </w:r>
      <w:proofErr w:type="spellStart"/>
      <w:r w:rsidRPr="0081699D">
        <w:rPr>
          <w:i/>
          <w:lang w:val="fr-CA"/>
        </w:rPr>
        <w:t>C.c.Q</w:t>
      </w:r>
      <w:proofErr w:type="spellEnd"/>
      <w:r w:rsidRPr="0081699D">
        <w:rPr>
          <w:lang w:val="fr-CA"/>
        </w:rPr>
        <w:t>. Il a donc ordonné la restitution de 9</w:t>
      </w:r>
      <w:r w:rsidR="00BE6E7C">
        <w:rPr>
          <w:lang w:val="fr-CA"/>
        </w:rPr>
        <w:t xml:space="preserve"> </w:t>
      </w:r>
      <w:r w:rsidRPr="0081699D">
        <w:rPr>
          <w:lang w:val="fr-CA"/>
        </w:rPr>
        <w:t>561</w:t>
      </w:r>
      <w:r w:rsidR="00BE6E7C">
        <w:rPr>
          <w:lang w:val="fr-CA"/>
        </w:rPr>
        <w:t xml:space="preserve"> </w:t>
      </w:r>
      <w:r w:rsidRPr="0081699D">
        <w:rPr>
          <w:lang w:val="fr-CA"/>
        </w:rPr>
        <w:t>464</w:t>
      </w:r>
      <w:r w:rsidR="00BE6E7C">
        <w:rPr>
          <w:lang w:val="fr-CA"/>
        </w:rPr>
        <w:t xml:space="preserve"> </w:t>
      </w:r>
      <w:r>
        <w:rPr>
          <w:lang w:val="fr-CA"/>
        </w:rPr>
        <w:t>$</w:t>
      </w:r>
      <w:r w:rsidRPr="0081699D">
        <w:rPr>
          <w:lang w:val="fr-CA"/>
        </w:rPr>
        <w:t xml:space="preserve"> dans le cas des titulaires de cartes qui sont des consommateurs et de 3</w:t>
      </w:r>
      <w:r w:rsidR="00BE6E7C">
        <w:rPr>
          <w:lang w:val="fr-CA"/>
        </w:rPr>
        <w:t xml:space="preserve"> </w:t>
      </w:r>
      <w:r w:rsidRPr="0081699D">
        <w:rPr>
          <w:lang w:val="fr-CA"/>
        </w:rPr>
        <w:t>536</w:t>
      </w:r>
      <w:r w:rsidR="00BE6E7C">
        <w:rPr>
          <w:lang w:val="fr-CA"/>
        </w:rPr>
        <w:t xml:space="preserve"> </w:t>
      </w:r>
      <w:r w:rsidRPr="0081699D">
        <w:rPr>
          <w:lang w:val="fr-CA"/>
        </w:rPr>
        <w:t>432</w:t>
      </w:r>
      <w:r w:rsidR="00BE6E7C">
        <w:rPr>
          <w:lang w:val="fr-CA"/>
        </w:rPr>
        <w:t xml:space="preserve"> </w:t>
      </w:r>
      <w:r>
        <w:rPr>
          <w:lang w:val="fr-CA"/>
        </w:rPr>
        <w:t>$</w:t>
      </w:r>
      <w:r w:rsidRPr="0081699D">
        <w:rPr>
          <w:lang w:val="fr-CA"/>
        </w:rPr>
        <w:t xml:space="preserve"> dans le cas des titulaires de cartes qui ne sont pas des consommateurs, et ce par voie de recouvrement collectif. </w:t>
      </w:r>
    </w:p>
    <w:p w:rsidR="004708DC" w:rsidRPr="0081699D" w:rsidRDefault="004708DC" w:rsidP="005E000D">
      <w:pPr>
        <w:pStyle w:val="ParaNoNdepar-AltN"/>
        <w:widowControl w:val="0"/>
        <w:rPr>
          <w:lang w:val="fr-CA"/>
        </w:rPr>
      </w:pPr>
      <w:r w:rsidRPr="0081699D">
        <w:rPr>
          <w:lang w:val="fr-CA"/>
        </w:rPr>
        <w:t>Enfin, le juge</w:t>
      </w:r>
      <w:r w:rsidR="00BE6E7C">
        <w:rPr>
          <w:lang w:val="fr-CA"/>
        </w:rPr>
        <w:t xml:space="preserve"> </w:t>
      </w:r>
      <w:r w:rsidRPr="0081699D">
        <w:rPr>
          <w:lang w:val="fr-CA"/>
        </w:rPr>
        <w:t>Gascon a accordé aux titulaires de cartes qui sont des consommateurs, sur la base de l</w:t>
      </w:r>
      <w:r>
        <w:rPr>
          <w:lang w:val="fr-CA"/>
        </w:rPr>
        <w:t>’art.</w:t>
      </w:r>
      <w:r w:rsidR="00BE6E7C">
        <w:rPr>
          <w:lang w:val="fr-CA"/>
        </w:rPr>
        <w:t xml:space="preserve"> </w:t>
      </w:r>
      <w:r w:rsidRPr="0081699D">
        <w:rPr>
          <w:lang w:val="fr-CA"/>
        </w:rPr>
        <w:t xml:space="preserve">272 </w:t>
      </w:r>
      <w:r w:rsidRPr="0081699D">
        <w:rPr>
          <w:i/>
          <w:lang w:val="fr-CA"/>
        </w:rPr>
        <w:t>L.p.c.</w:t>
      </w:r>
      <w:r w:rsidRPr="0081699D">
        <w:rPr>
          <w:lang w:val="fr-CA"/>
        </w:rPr>
        <w:t>, des dommages</w:t>
      </w:r>
      <w:r w:rsidR="00BE6E7C">
        <w:rPr>
          <w:lang w:val="fr-CA"/>
        </w:rPr>
        <w:t>-</w:t>
      </w:r>
      <w:r w:rsidRPr="0081699D">
        <w:rPr>
          <w:lang w:val="fr-CA"/>
        </w:rPr>
        <w:t>intérêts punitifs de 2,5</w:t>
      </w:r>
      <w:r w:rsidR="00BE6E7C">
        <w:rPr>
          <w:lang w:val="fr-CA"/>
        </w:rPr>
        <w:t xml:space="preserve"> </w:t>
      </w:r>
      <w:r w:rsidRPr="0081699D">
        <w:rPr>
          <w:lang w:val="fr-CA"/>
        </w:rPr>
        <w:t>millions de dollars dont il a ordonné le recouvrement collectif</w:t>
      </w:r>
      <w:r w:rsidRPr="0081699D">
        <w:rPr>
          <w:i/>
          <w:lang w:val="fr-CA"/>
        </w:rPr>
        <w:t>.</w:t>
      </w:r>
      <w:r w:rsidRPr="0081699D">
        <w:rPr>
          <w:lang w:val="fr-CA"/>
        </w:rPr>
        <w:t xml:space="preserve"> Il les a accordés compte tenu [</w:t>
      </w:r>
      <w:r w:rsidRPr="0081699D">
        <w:rPr>
          <w:smallCaps/>
          <w:lang w:val="fr-CA"/>
        </w:rPr>
        <w:t>traduction</w:t>
      </w:r>
      <w:r w:rsidRPr="0081699D">
        <w:rPr>
          <w:lang w:val="fr-CA"/>
        </w:rPr>
        <w:t xml:space="preserve">] </w:t>
      </w:r>
      <w:r w:rsidR="00BE6E7C">
        <w:rPr>
          <w:lang w:val="fr-CA"/>
        </w:rPr>
        <w:t>« </w:t>
      </w:r>
      <w:r w:rsidRPr="0081699D">
        <w:rPr>
          <w:lang w:val="fr-CA"/>
        </w:rPr>
        <w:t>du mépris flagrant [qu</w:t>
      </w:r>
      <w:r>
        <w:rPr>
          <w:lang w:val="fr-CA"/>
        </w:rPr>
        <w:t>’</w:t>
      </w:r>
      <w:r w:rsidRPr="0081699D">
        <w:rPr>
          <w:lang w:val="fr-CA"/>
        </w:rPr>
        <w:t>Amex] a démontré à l</w:t>
      </w:r>
      <w:r>
        <w:rPr>
          <w:lang w:val="fr-CA"/>
        </w:rPr>
        <w:t>’</w:t>
      </w:r>
      <w:r w:rsidRPr="0081699D">
        <w:rPr>
          <w:lang w:val="fr-CA"/>
        </w:rPr>
        <w:t>égard de ses obligations</w:t>
      </w:r>
      <w:r w:rsidR="00BE6E7C">
        <w:rPr>
          <w:lang w:val="fr-CA"/>
        </w:rPr>
        <w:t> »</w:t>
      </w:r>
      <w:r w:rsidRPr="0081699D">
        <w:rPr>
          <w:lang w:val="fr-CA"/>
        </w:rPr>
        <w:t xml:space="preserve"> et de son incapacité à justifier son comportement par une </w:t>
      </w:r>
      <w:r w:rsidR="00BE6E7C">
        <w:rPr>
          <w:lang w:val="fr-CA"/>
        </w:rPr>
        <w:t>« </w:t>
      </w:r>
      <w:r w:rsidRPr="0081699D">
        <w:rPr>
          <w:lang w:val="fr-CA"/>
        </w:rPr>
        <w:t>excuse légitime</w:t>
      </w:r>
      <w:r w:rsidR="00BE6E7C">
        <w:rPr>
          <w:lang w:val="fr-CA"/>
        </w:rPr>
        <w:t> »</w:t>
      </w:r>
      <w:r w:rsidRPr="0081699D">
        <w:rPr>
          <w:lang w:val="fr-CA"/>
        </w:rPr>
        <w:t xml:space="preserve"> (</w:t>
      </w:r>
      <w:r>
        <w:rPr>
          <w:lang w:val="fr-CA"/>
        </w:rPr>
        <w:t>par.</w:t>
      </w:r>
      <w:r w:rsidR="00BE6E7C">
        <w:rPr>
          <w:lang w:val="fr-CA"/>
        </w:rPr>
        <w:t xml:space="preserve"> </w:t>
      </w:r>
      <w:r w:rsidRPr="0081699D">
        <w:rPr>
          <w:lang w:val="fr-CA"/>
        </w:rPr>
        <w:t>425</w:t>
      </w:r>
      <w:r w:rsidR="00867D33">
        <w:rPr>
          <w:lang w:val="fr-CA"/>
        </w:rPr>
        <w:t>-</w:t>
      </w:r>
      <w:r w:rsidRPr="0081699D">
        <w:rPr>
          <w:lang w:val="fr-CA"/>
        </w:rPr>
        <w:t xml:space="preserve">426). </w:t>
      </w:r>
    </w:p>
    <w:p w:rsidR="004708DC" w:rsidRPr="0081699D" w:rsidRDefault="004708DC" w:rsidP="005E000D">
      <w:pPr>
        <w:pStyle w:val="Title2LevelTitre2Niveau"/>
        <w:widowControl w:val="0"/>
        <w:ind w:left="576" w:hanging="576"/>
        <w:rPr>
          <w:lang w:val="fr-CA"/>
        </w:rPr>
      </w:pPr>
      <w:r w:rsidRPr="0081699D">
        <w:rPr>
          <w:lang w:val="fr-CA"/>
        </w:rPr>
        <w:t>Cour d</w:t>
      </w:r>
      <w:r>
        <w:rPr>
          <w:lang w:val="fr-CA"/>
        </w:rPr>
        <w:t>’</w:t>
      </w:r>
      <w:r w:rsidRPr="0081699D">
        <w:rPr>
          <w:lang w:val="fr-CA"/>
        </w:rPr>
        <w:t>appel du Québec, 2012 QCCA 1394, [2012] R.J.Q. 1512</w:t>
      </w:r>
    </w:p>
    <w:p w:rsidR="004708DC" w:rsidRPr="0081699D" w:rsidRDefault="004708DC" w:rsidP="005E000D">
      <w:pPr>
        <w:pStyle w:val="ParaNoNdepar-AltN"/>
        <w:widowControl w:val="0"/>
        <w:rPr>
          <w:lang w:val="fr-CA"/>
        </w:rPr>
      </w:pPr>
      <w:r w:rsidRPr="0081699D">
        <w:rPr>
          <w:lang w:val="fr-CA"/>
        </w:rPr>
        <w:t>Le juge</w:t>
      </w:r>
      <w:r w:rsidR="00BE6E7C">
        <w:rPr>
          <w:lang w:val="fr-CA"/>
        </w:rPr>
        <w:t xml:space="preserve"> </w:t>
      </w:r>
      <w:proofErr w:type="spellStart"/>
      <w:r w:rsidRPr="0081699D">
        <w:rPr>
          <w:lang w:val="fr-CA"/>
        </w:rPr>
        <w:t>Dalphond</w:t>
      </w:r>
      <w:proofErr w:type="spellEnd"/>
      <w:r w:rsidRPr="0081699D">
        <w:rPr>
          <w:lang w:val="fr-CA"/>
        </w:rPr>
        <w:t xml:space="preserve"> a souscrit à la conclusion du juge Gascon selon laquelle les doctrines de l</w:t>
      </w:r>
      <w:r>
        <w:rPr>
          <w:lang w:val="fr-CA"/>
        </w:rPr>
        <w:t>’</w:t>
      </w:r>
      <w:r w:rsidRPr="0081699D">
        <w:rPr>
          <w:lang w:val="fr-CA"/>
        </w:rPr>
        <w:t>exclusivité des compétences et de la prépondérance fédérale n</w:t>
      </w:r>
      <w:r>
        <w:rPr>
          <w:lang w:val="fr-CA"/>
        </w:rPr>
        <w:t>’</w:t>
      </w:r>
      <w:r w:rsidRPr="0081699D">
        <w:rPr>
          <w:lang w:val="fr-CA"/>
        </w:rPr>
        <w:t xml:space="preserve">entraient pas en jeu et ne rendaient donc pas la </w:t>
      </w:r>
      <w:proofErr w:type="spellStart"/>
      <w:r w:rsidRPr="0081699D">
        <w:rPr>
          <w:i/>
          <w:lang w:val="fr-CA"/>
        </w:rPr>
        <w:t>L.p.c</w:t>
      </w:r>
      <w:proofErr w:type="spellEnd"/>
      <w:r w:rsidRPr="0081699D">
        <w:rPr>
          <w:i/>
          <w:lang w:val="fr-CA"/>
        </w:rPr>
        <w:t xml:space="preserve">. </w:t>
      </w:r>
      <w:r w:rsidRPr="0081699D">
        <w:rPr>
          <w:lang w:val="fr-CA"/>
        </w:rPr>
        <w:t>inapplicable ou inopérante dans le recours contre Amex, d</w:t>
      </w:r>
      <w:r>
        <w:rPr>
          <w:lang w:val="fr-CA"/>
        </w:rPr>
        <w:t>’</w:t>
      </w:r>
      <w:r w:rsidRPr="0081699D">
        <w:rPr>
          <w:lang w:val="fr-CA"/>
        </w:rPr>
        <w:t>autant plus que, contrairement aux arguments présentés dans les recours contre BMO et Desjardins, M.</w:t>
      </w:r>
      <w:r w:rsidR="00BE6E7C">
        <w:rPr>
          <w:lang w:val="fr-CA"/>
        </w:rPr>
        <w:t xml:space="preserve"> </w:t>
      </w:r>
      <w:r w:rsidRPr="0081699D">
        <w:rPr>
          <w:lang w:val="fr-CA"/>
        </w:rPr>
        <w:t>Adams n</w:t>
      </w:r>
      <w:r>
        <w:rPr>
          <w:lang w:val="fr-CA"/>
        </w:rPr>
        <w:t>’</w:t>
      </w:r>
      <w:r w:rsidRPr="0081699D">
        <w:rPr>
          <w:lang w:val="fr-CA"/>
        </w:rPr>
        <w:t xml:space="preserve">a pas plaidé que les frais de conversion constituaient des frais de crédit au sens de la </w:t>
      </w:r>
      <w:proofErr w:type="spellStart"/>
      <w:r w:rsidRPr="0081699D">
        <w:rPr>
          <w:i/>
          <w:lang w:val="fr-CA"/>
        </w:rPr>
        <w:t>L.p.c</w:t>
      </w:r>
      <w:proofErr w:type="spellEnd"/>
      <w:r w:rsidRPr="0081699D">
        <w:rPr>
          <w:i/>
          <w:lang w:val="fr-CA"/>
        </w:rPr>
        <w:t>.</w:t>
      </w:r>
      <w:r w:rsidRPr="0081699D">
        <w:rPr>
          <w:lang w:val="fr-CA"/>
        </w:rPr>
        <w:t xml:space="preserve"> </w:t>
      </w:r>
    </w:p>
    <w:p w:rsidR="004708DC" w:rsidRPr="0081699D" w:rsidRDefault="004708DC" w:rsidP="005E000D">
      <w:pPr>
        <w:pStyle w:val="ParaNoNdepar-AltN"/>
        <w:widowControl w:val="0"/>
        <w:rPr>
          <w:lang w:val="fr-CA"/>
        </w:rPr>
      </w:pPr>
      <w:r w:rsidRPr="0081699D">
        <w:rPr>
          <w:lang w:val="fr-CA"/>
        </w:rPr>
        <w:lastRenderedPageBreak/>
        <w:t>Le juge</w:t>
      </w:r>
      <w:r w:rsidR="00BE6E7C">
        <w:rPr>
          <w:lang w:val="fr-CA"/>
        </w:rPr>
        <w:t xml:space="preserve"> </w:t>
      </w:r>
      <w:proofErr w:type="spellStart"/>
      <w:r w:rsidRPr="0081699D">
        <w:rPr>
          <w:lang w:val="fr-CA"/>
        </w:rPr>
        <w:t>Dalphond</w:t>
      </w:r>
      <w:proofErr w:type="spellEnd"/>
      <w:r w:rsidRPr="0081699D">
        <w:rPr>
          <w:lang w:val="fr-CA"/>
        </w:rPr>
        <w:t xml:space="preserve"> a qualifié de conclusion de fait, ou tout au plus, de question mixte de fait et de droit, la conclusion du juge</w:t>
      </w:r>
      <w:r w:rsidR="00BE6E7C">
        <w:rPr>
          <w:lang w:val="fr-CA"/>
        </w:rPr>
        <w:t xml:space="preserve"> </w:t>
      </w:r>
      <w:r w:rsidRPr="0081699D">
        <w:rPr>
          <w:lang w:val="fr-CA"/>
        </w:rPr>
        <w:t>Gascon voulant que les frais de conversion ne soient pas compris dans le taux de change. Amex n</w:t>
      </w:r>
      <w:r>
        <w:rPr>
          <w:lang w:val="fr-CA"/>
        </w:rPr>
        <w:t>’</w:t>
      </w:r>
      <w:r w:rsidRPr="0081699D">
        <w:rPr>
          <w:lang w:val="fr-CA"/>
        </w:rPr>
        <w:t>ayant pas réussi à démontrer l</w:t>
      </w:r>
      <w:r>
        <w:rPr>
          <w:lang w:val="fr-CA"/>
        </w:rPr>
        <w:t>’</w:t>
      </w:r>
      <w:r w:rsidRPr="0081699D">
        <w:rPr>
          <w:lang w:val="fr-CA"/>
        </w:rPr>
        <w:t>existence d</w:t>
      </w:r>
      <w:r>
        <w:rPr>
          <w:lang w:val="fr-CA"/>
        </w:rPr>
        <w:t>’</w:t>
      </w:r>
      <w:r w:rsidRPr="0081699D">
        <w:rPr>
          <w:lang w:val="fr-CA"/>
        </w:rPr>
        <w:t>une erreur manifeste et dominante, cette conclusion — et du coup, l</w:t>
      </w:r>
      <w:r>
        <w:rPr>
          <w:lang w:val="fr-CA"/>
        </w:rPr>
        <w:t>’</w:t>
      </w:r>
      <w:r w:rsidRPr="0081699D">
        <w:rPr>
          <w:lang w:val="fr-CA"/>
        </w:rPr>
        <w:t>ordonnance de restitution de l</w:t>
      </w:r>
      <w:r>
        <w:rPr>
          <w:lang w:val="fr-CA"/>
        </w:rPr>
        <w:t>’</w:t>
      </w:r>
      <w:r w:rsidRPr="0081699D">
        <w:rPr>
          <w:lang w:val="fr-CA"/>
        </w:rPr>
        <w:t>indu — devait être maintenue puisqu</w:t>
      </w:r>
      <w:r>
        <w:rPr>
          <w:lang w:val="fr-CA"/>
        </w:rPr>
        <w:t>’</w:t>
      </w:r>
      <w:r w:rsidRPr="0081699D">
        <w:rPr>
          <w:lang w:val="fr-CA"/>
        </w:rPr>
        <w:t xml:space="preserve">elle reposait sur les faits et sur une interprétation juste des dispositions applicables du </w:t>
      </w:r>
      <w:proofErr w:type="spellStart"/>
      <w:r w:rsidRPr="0081699D">
        <w:rPr>
          <w:i/>
          <w:lang w:val="fr-CA"/>
        </w:rPr>
        <w:t>C.c.Q</w:t>
      </w:r>
      <w:proofErr w:type="spellEnd"/>
      <w:r w:rsidRPr="0081699D">
        <w:rPr>
          <w:lang w:val="fr-CA"/>
        </w:rPr>
        <w:t>. Amex n</w:t>
      </w:r>
      <w:r>
        <w:rPr>
          <w:lang w:val="fr-CA"/>
        </w:rPr>
        <w:t>’</w:t>
      </w:r>
      <w:r w:rsidRPr="0081699D">
        <w:rPr>
          <w:lang w:val="fr-CA"/>
        </w:rPr>
        <w:t>a pas prouvé que le juge</w:t>
      </w:r>
      <w:r w:rsidR="00BE6E7C">
        <w:rPr>
          <w:lang w:val="fr-CA"/>
        </w:rPr>
        <w:t xml:space="preserve"> </w:t>
      </w:r>
      <w:r w:rsidRPr="0081699D">
        <w:rPr>
          <w:lang w:val="fr-CA"/>
        </w:rPr>
        <w:t>Gascon avait eu tort de ne pas avoir refusé d</w:t>
      </w:r>
      <w:r>
        <w:rPr>
          <w:lang w:val="fr-CA"/>
        </w:rPr>
        <w:t>’</w:t>
      </w:r>
      <w:r w:rsidRPr="0081699D">
        <w:rPr>
          <w:lang w:val="fr-CA"/>
        </w:rPr>
        <w:t>ordonner la restitution en vertu de son pouvoir discrétionnaire</w:t>
      </w:r>
      <w:r w:rsidR="00BE6E7C">
        <w:rPr>
          <w:lang w:val="fr-CA"/>
        </w:rPr>
        <w:t> :</w:t>
      </w:r>
      <w:r w:rsidRPr="0081699D">
        <w:rPr>
          <w:lang w:val="fr-CA"/>
        </w:rPr>
        <w:t xml:space="preserve"> elle n</w:t>
      </w:r>
      <w:r>
        <w:rPr>
          <w:lang w:val="fr-CA"/>
        </w:rPr>
        <w:t>’</w:t>
      </w:r>
      <w:r w:rsidRPr="0081699D">
        <w:rPr>
          <w:lang w:val="fr-CA"/>
        </w:rPr>
        <w:t>a produit aucune preuve quant au coût de la prestation des services de conversion aux titulaires de cartes, a touché des avantages autres que les frais de conversion en offrant les produits que constituent les cartes de paiement et les cartes de crédit et n</w:t>
      </w:r>
      <w:r>
        <w:rPr>
          <w:lang w:val="fr-CA"/>
        </w:rPr>
        <w:t>’</w:t>
      </w:r>
      <w:r w:rsidRPr="0081699D">
        <w:rPr>
          <w:lang w:val="fr-CA"/>
        </w:rPr>
        <w:t xml:space="preserve">a pas démontré que la restitution accorderait un avantage indu aux titulaires de cartes. </w:t>
      </w:r>
    </w:p>
    <w:p w:rsidR="004708DC" w:rsidRPr="0081699D" w:rsidRDefault="004708DC" w:rsidP="005E000D">
      <w:pPr>
        <w:pStyle w:val="ParaNoNdepar-AltN"/>
        <w:widowControl w:val="0"/>
        <w:rPr>
          <w:lang w:val="fr-CA"/>
        </w:rPr>
      </w:pPr>
      <w:r w:rsidRPr="0081699D">
        <w:rPr>
          <w:lang w:val="fr-CA"/>
        </w:rPr>
        <w:t xml:space="preserve">Le juge </w:t>
      </w:r>
      <w:proofErr w:type="spellStart"/>
      <w:r w:rsidRPr="0081699D">
        <w:rPr>
          <w:lang w:val="fr-CA"/>
        </w:rPr>
        <w:t>Dalphond</w:t>
      </w:r>
      <w:proofErr w:type="spellEnd"/>
      <w:r w:rsidRPr="0081699D">
        <w:rPr>
          <w:lang w:val="fr-CA"/>
        </w:rPr>
        <w:t xml:space="preserve"> a cependant annulé les </w:t>
      </w:r>
      <w:r w:rsidR="00BE6E7C">
        <w:rPr>
          <w:lang w:val="fr-CA"/>
        </w:rPr>
        <w:t>dommages-i</w:t>
      </w:r>
      <w:r w:rsidRPr="0081699D">
        <w:rPr>
          <w:lang w:val="fr-CA"/>
        </w:rPr>
        <w:t>ntérêts punitifs. À son avis, la décision de première instance ne tenait pas compte de la nature intrinsèquement punitive du recouvrement collectif, de l</w:t>
      </w:r>
      <w:r>
        <w:rPr>
          <w:lang w:val="fr-CA"/>
        </w:rPr>
        <w:t>’</w:t>
      </w:r>
      <w:r w:rsidRPr="0081699D">
        <w:rPr>
          <w:lang w:val="fr-CA"/>
        </w:rPr>
        <w:t xml:space="preserve">impossibilité pour les </w:t>
      </w:r>
      <w:r w:rsidR="00BE6E7C">
        <w:rPr>
          <w:lang w:val="fr-CA"/>
        </w:rPr>
        <w:t>dommages-i</w:t>
      </w:r>
      <w:r w:rsidRPr="0081699D">
        <w:rPr>
          <w:lang w:val="fr-CA"/>
        </w:rPr>
        <w:t>ntérêts punitifs de remplir une quelconque fonction préventive en l</w:t>
      </w:r>
      <w:r>
        <w:rPr>
          <w:lang w:val="fr-CA"/>
        </w:rPr>
        <w:t>’</w:t>
      </w:r>
      <w:r w:rsidRPr="0081699D">
        <w:rPr>
          <w:lang w:val="fr-CA"/>
        </w:rPr>
        <w:t>espèce puisqu</w:t>
      </w:r>
      <w:r>
        <w:rPr>
          <w:lang w:val="fr-CA"/>
        </w:rPr>
        <w:t>’</w:t>
      </w:r>
      <w:r w:rsidRPr="0081699D">
        <w:rPr>
          <w:lang w:val="fr-CA"/>
        </w:rPr>
        <w:t>Amex avait depuis longtemps pris des mesures correctives, de l</w:t>
      </w:r>
      <w:r>
        <w:rPr>
          <w:lang w:val="fr-CA"/>
        </w:rPr>
        <w:t>’</w:t>
      </w:r>
      <w:r w:rsidRPr="0081699D">
        <w:rPr>
          <w:lang w:val="fr-CA"/>
        </w:rPr>
        <w:t>absence de preuve qu</w:t>
      </w:r>
      <w:r>
        <w:rPr>
          <w:lang w:val="fr-CA"/>
        </w:rPr>
        <w:t>’</w:t>
      </w:r>
      <w:r w:rsidRPr="0081699D">
        <w:rPr>
          <w:lang w:val="fr-CA"/>
        </w:rPr>
        <w:t>Amex avait eu un comportement antisocial ou répréhensible et du fait que la restitution des frais de conversion aux titulaires de cartes signifiait qu</w:t>
      </w:r>
      <w:r>
        <w:rPr>
          <w:lang w:val="fr-CA"/>
        </w:rPr>
        <w:t>’</w:t>
      </w:r>
      <w:r w:rsidRPr="0081699D">
        <w:rPr>
          <w:lang w:val="fr-CA"/>
        </w:rPr>
        <w:t>ils avaient en fait bénéficié gratuitement d</w:t>
      </w:r>
      <w:r>
        <w:rPr>
          <w:lang w:val="fr-CA"/>
        </w:rPr>
        <w:t>’</w:t>
      </w:r>
      <w:r w:rsidRPr="0081699D">
        <w:rPr>
          <w:lang w:val="fr-CA"/>
        </w:rPr>
        <w:t xml:space="preserve">un service utile pendant </w:t>
      </w:r>
      <w:r w:rsidR="00867D33">
        <w:rPr>
          <w:lang w:val="fr-CA"/>
        </w:rPr>
        <w:t>10</w:t>
      </w:r>
      <w:r w:rsidRPr="0081699D">
        <w:rPr>
          <w:lang w:val="fr-CA"/>
        </w:rPr>
        <w:t xml:space="preserve"> ans. </w:t>
      </w:r>
    </w:p>
    <w:p w:rsidR="004708DC" w:rsidRPr="0081699D" w:rsidRDefault="004708DC" w:rsidP="005E000D">
      <w:pPr>
        <w:pStyle w:val="Title1LevelTitre1Niveau-AltL"/>
        <w:widowControl w:val="0"/>
        <w:rPr>
          <w:lang w:val="fr-CA"/>
        </w:rPr>
      </w:pPr>
      <w:r w:rsidRPr="0081699D">
        <w:rPr>
          <w:lang w:val="fr-CA"/>
        </w:rPr>
        <w:t>Questions en litige</w:t>
      </w:r>
    </w:p>
    <w:p w:rsidR="004708DC" w:rsidRPr="0081699D" w:rsidRDefault="004708DC" w:rsidP="005E000D">
      <w:pPr>
        <w:pStyle w:val="ParaNoNdepar-AltN"/>
        <w:widowControl w:val="0"/>
        <w:rPr>
          <w:lang w:val="fr-CA"/>
        </w:rPr>
      </w:pPr>
      <w:r w:rsidRPr="0081699D">
        <w:rPr>
          <w:lang w:val="fr-CA"/>
        </w:rPr>
        <w:lastRenderedPageBreak/>
        <w:t>Le présent pourvoi soulève les questions suivantes</w:t>
      </w:r>
      <w:r w:rsidR="00BE6E7C">
        <w:rPr>
          <w:lang w:val="fr-CA"/>
        </w:rPr>
        <w:t> :</w:t>
      </w:r>
    </w:p>
    <w:p w:rsidR="004708DC" w:rsidRPr="0081699D" w:rsidRDefault="004708DC" w:rsidP="005E000D">
      <w:pPr>
        <w:pStyle w:val="Citation-AltC"/>
        <w:widowControl w:val="0"/>
        <w:numPr>
          <w:ilvl w:val="0"/>
          <w:numId w:val="8"/>
        </w:numPr>
        <w:spacing w:after="240" w:line="480" w:lineRule="auto"/>
        <w:ind w:left="0" w:firstLine="0"/>
        <w:contextualSpacing w:val="0"/>
        <w:rPr>
          <w:lang w:val="fr-CA"/>
        </w:rPr>
      </w:pPr>
      <w:r w:rsidRPr="0081699D">
        <w:rPr>
          <w:lang w:val="fr-CA"/>
        </w:rPr>
        <w:t xml:space="preserve">Les </w:t>
      </w:r>
      <w:r w:rsidR="008A31A4">
        <w:rPr>
          <w:lang w:val="fr-CA"/>
        </w:rPr>
        <w:t>articles</w:t>
      </w:r>
      <w:r w:rsidR="00BE6E7C">
        <w:rPr>
          <w:lang w:val="fr-CA"/>
        </w:rPr>
        <w:t xml:space="preserve"> </w:t>
      </w:r>
      <w:r w:rsidRPr="0081699D">
        <w:rPr>
          <w:lang w:val="fr-CA"/>
        </w:rPr>
        <w:t xml:space="preserve">12, 219 et 272 </w:t>
      </w:r>
      <w:proofErr w:type="spellStart"/>
      <w:r w:rsidRPr="0081699D">
        <w:rPr>
          <w:i/>
          <w:lang w:val="fr-CA"/>
        </w:rPr>
        <w:t>L.p.c</w:t>
      </w:r>
      <w:proofErr w:type="spellEnd"/>
      <w:r w:rsidRPr="0081699D">
        <w:rPr>
          <w:i/>
          <w:lang w:val="fr-CA"/>
        </w:rPr>
        <w:t>.</w:t>
      </w:r>
      <w:r w:rsidRPr="0081699D">
        <w:rPr>
          <w:lang w:val="fr-CA"/>
        </w:rPr>
        <w:t xml:space="preserve"> sont</w:t>
      </w:r>
      <w:r w:rsidR="008A31A4">
        <w:rPr>
          <w:lang w:val="fr-CA"/>
        </w:rPr>
        <w:t>-</w:t>
      </w:r>
      <w:r w:rsidRPr="0081699D">
        <w:rPr>
          <w:lang w:val="fr-CA"/>
        </w:rPr>
        <w:t>ils constitutionnellement inapplicables ou inopérants à l</w:t>
      </w:r>
      <w:r>
        <w:rPr>
          <w:lang w:val="fr-CA"/>
        </w:rPr>
        <w:t>’</w:t>
      </w:r>
      <w:r w:rsidRPr="0081699D">
        <w:rPr>
          <w:lang w:val="fr-CA"/>
        </w:rPr>
        <w:t>égard des cartes de crédit et des cartes de paiement émises par des banques en raison des doctrines de l</w:t>
      </w:r>
      <w:r>
        <w:rPr>
          <w:lang w:val="fr-CA"/>
        </w:rPr>
        <w:t>’</w:t>
      </w:r>
      <w:r w:rsidRPr="0081699D">
        <w:rPr>
          <w:lang w:val="fr-CA"/>
        </w:rPr>
        <w:t>exclusivité des compétences ou de la prépondérance fédérale?</w:t>
      </w:r>
    </w:p>
    <w:p w:rsidR="004708DC" w:rsidRPr="0081699D" w:rsidRDefault="004708DC" w:rsidP="005E000D">
      <w:pPr>
        <w:pStyle w:val="Citation-AltC"/>
        <w:widowControl w:val="0"/>
        <w:numPr>
          <w:ilvl w:val="0"/>
          <w:numId w:val="8"/>
        </w:numPr>
        <w:spacing w:after="240" w:line="480" w:lineRule="auto"/>
        <w:ind w:left="0" w:firstLine="0"/>
        <w:contextualSpacing w:val="0"/>
        <w:rPr>
          <w:lang w:val="fr-CA"/>
        </w:rPr>
      </w:pPr>
      <w:r w:rsidRPr="0081699D">
        <w:rPr>
          <w:lang w:val="fr-CA"/>
        </w:rPr>
        <w:t>Amex a</w:t>
      </w:r>
      <w:r w:rsidR="008A31A4">
        <w:rPr>
          <w:lang w:val="fr-CA"/>
        </w:rPr>
        <w:t>-</w:t>
      </w:r>
      <w:r w:rsidRPr="0081699D">
        <w:rPr>
          <w:lang w:val="fr-CA"/>
        </w:rPr>
        <w:t>t</w:t>
      </w:r>
      <w:r w:rsidR="008A31A4">
        <w:rPr>
          <w:lang w:val="fr-CA"/>
        </w:rPr>
        <w:t>-</w:t>
      </w:r>
      <w:r w:rsidRPr="0081699D">
        <w:rPr>
          <w:lang w:val="fr-CA"/>
        </w:rPr>
        <w:t>elle mentionné les frais de conversion à ses titulaires de cartes et, dans la négative, quelle est la réparation appropriée?</w:t>
      </w:r>
    </w:p>
    <w:p w:rsidR="004708DC" w:rsidRPr="0081699D" w:rsidRDefault="004708DC" w:rsidP="005E000D">
      <w:pPr>
        <w:pStyle w:val="Title1LevelTitre1Niveau-AltL"/>
        <w:widowControl w:val="0"/>
        <w:rPr>
          <w:lang w:val="fr-CA"/>
        </w:rPr>
      </w:pPr>
      <w:r w:rsidRPr="0081699D">
        <w:rPr>
          <w:lang w:val="fr-CA"/>
        </w:rPr>
        <w:t>Analyse</w:t>
      </w:r>
    </w:p>
    <w:p w:rsidR="004708DC" w:rsidRPr="0081699D" w:rsidRDefault="004708DC" w:rsidP="005E000D">
      <w:pPr>
        <w:pStyle w:val="Title2LevelTitre2Niveau"/>
        <w:widowControl w:val="0"/>
        <w:ind w:left="576" w:hanging="576"/>
        <w:jc w:val="both"/>
        <w:rPr>
          <w:lang w:val="fr-CA"/>
        </w:rPr>
      </w:pPr>
      <w:r w:rsidRPr="0081699D">
        <w:rPr>
          <w:lang w:val="fr-CA"/>
        </w:rPr>
        <w:t>Les doctrines de l</w:t>
      </w:r>
      <w:r>
        <w:rPr>
          <w:lang w:val="fr-CA"/>
        </w:rPr>
        <w:t>’</w:t>
      </w:r>
      <w:r w:rsidRPr="0081699D">
        <w:rPr>
          <w:lang w:val="fr-CA"/>
        </w:rPr>
        <w:t>exclusivité des compétences et de la prépondérance fédérale ne s</w:t>
      </w:r>
      <w:r>
        <w:rPr>
          <w:lang w:val="fr-CA"/>
        </w:rPr>
        <w:t>’</w:t>
      </w:r>
      <w:r w:rsidRPr="0081699D">
        <w:rPr>
          <w:lang w:val="fr-CA"/>
        </w:rPr>
        <w:t>appliquent pas</w:t>
      </w:r>
    </w:p>
    <w:p w:rsidR="004708DC" w:rsidRPr="0081699D" w:rsidRDefault="004708DC" w:rsidP="005E000D">
      <w:pPr>
        <w:pStyle w:val="ParaNoNdepar-AltN"/>
        <w:widowControl w:val="0"/>
        <w:rPr>
          <w:lang w:val="fr-CA"/>
        </w:rPr>
      </w:pPr>
      <w:r w:rsidRPr="0081699D">
        <w:rPr>
          <w:lang w:val="fr-CA"/>
        </w:rPr>
        <w:t>Pour les motifs exposés dans l</w:t>
      </w:r>
      <w:r>
        <w:rPr>
          <w:lang w:val="fr-CA"/>
        </w:rPr>
        <w:t>’</w:t>
      </w:r>
      <w:r w:rsidRPr="0081699D">
        <w:rPr>
          <w:lang w:val="fr-CA"/>
        </w:rPr>
        <w:t xml:space="preserve">arrêt BMO, les dispositions pertinentes de la </w:t>
      </w:r>
      <w:proofErr w:type="spellStart"/>
      <w:r w:rsidRPr="0081699D">
        <w:rPr>
          <w:i/>
          <w:lang w:val="fr-CA"/>
        </w:rPr>
        <w:t>L.p.c</w:t>
      </w:r>
      <w:proofErr w:type="spellEnd"/>
      <w:r w:rsidRPr="0081699D">
        <w:rPr>
          <w:i/>
          <w:lang w:val="fr-CA"/>
        </w:rPr>
        <w:t>.</w:t>
      </w:r>
      <w:r w:rsidRPr="0081699D">
        <w:rPr>
          <w:lang w:val="fr-CA"/>
        </w:rPr>
        <w:t xml:space="preserve"> ne sont ni inapplicables ni inopérantes en raison de la doctrine de l</w:t>
      </w:r>
      <w:r>
        <w:rPr>
          <w:lang w:val="fr-CA"/>
        </w:rPr>
        <w:t>’</w:t>
      </w:r>
      <w:r w:rsidRPr="0081699D">
        <w:rPr>
          <w:lang w:val="fr-CA"/>
        </w:rPr>
        <w:t xml:space="preserve">exclusivité des compétences ou de celle de la prépondérance fédérale. </w:t>
      </w:r>
    </w:p>
    <w:p w:rsidR="004708DC" w:rsidRPr="0081699D" w:rsidRDefault="004708DC" w:rsidP="005E000D">
      <w:pPr>
        <w:pStyle w:val="Title2LevelTitre2Niveau"/>
        <w:widowControl w:val="0"/>
        <w:ind w:left="576" w:hanging="576"/>
        <w:jc w:val="both"/>
        <w:rPr>
          <w:lang w:val="fr-CA"/>
        </w:rPr>
      </w:pPr>
      <w:r w:rsidRPr="0081699D">
        <w:rPr>
          <w:lang w:val="fr-CA"/>
        </w:rPr>
        <w:t>Amex doit rembourser les frais de conversion perçus au cours de la période visée par le recours collectif</w:t>
      </w:r>
    </w:p>
    <w:p w:rsidR="004708DC" w:rsidRPr="0081699D" w:rsidRDefault="004708DC" w:rsidP="005E000D">
      <w:pPr>
        <w:pStyle w:val="Title3LevelTitre3Niveau"/>
        <w:widowControl w:val="0"/>
        <w:rPr>
          <w:lang w:val="fr-CA"/>
        </w:rPr>
      </w:pPr>
      <w:r w:rsidRPr="0081699D">
        <w:rPr>
          <w:lang w:val="fr-CA"/>
        </w:rPr>
        <w:t>Amex n</w:t>
      </w:r>
      <w:r>
        <w:rPr>
          <w:lang w:val="fr-CA"/>
        </w:rPr>
        <w:t>’</w:t>
      </w:r>
      <w:r w:rsidRPr="0081699D">
        <w:rPr>
          <w:lang w:val="fr-CA"/>
        </w:rPr>
        <w:t>a pas indiqué les frais de conversion</w:t>
      </w:r>
    </w:p>
    <w:p w:rsidR="004708DC" w:rsidRPr="0081699D" w:rsidRDefault="004708DC" w:rsidP="005E000D">
      <w:pPr>
        <w:pStyle w:val="ParaNoNdepar-AltN"/>
        <w:widowControl w:val="0"/>
        <w:rPr>
          <w:lang w:val="fr-CA"/>
        </w:rPr>
      </w:pPr>
      <w:r w:rsidRPr="0081699D">
        <w:rPr>
          <w:lang w:val="fr-CA"/>
        </w:rPr>
        <w:t>Au procès, le juge</w:t>
      </w:r>
      <w:r w:rsidR="00BE6E7C">
        <w:rPr>
          <w:lang w:val="fr-CA"/>
        </w:rPr>
        <w:t xml:space="preserve"> </w:t>
      </w:r>
      <w:r w:rsidRPr="0081699D">
        <w:rPr>
          <w:lang w:val="fr-CA"/>
        </w:rPr>
        <w:t>Gascon a conclu que les frais de conversion n</w:t>
      </w:r>
      <w:r>
        <w:rPr>
          <w:lang w:val="fr-CA"/>
        </w:rPr>
        <w:t>’</w:t>
      </w:r>
      <w:r w:rsidRPr="0081699D">
        <w:rPr>
          <w:lang w:val="fr-CA"/>
        </w:rPr>
        <w:t>étaient pas indiqués dans les conventions régissant l</w:t>
      </w:r>
      <w:r>
        <w:rPr>
          <w:lang w:val="fr-CA"/>
        </w:rPr>
        <w:t>’</w:t>
      </w:r>
      <w:r w:rsidRPr="0081699D">
        <w:rPr>
          <w:lang w:val="fr-CA"/>
        </w:rPr>
        <w:t xml:space="preserve">utilisation des cartes entre 1993 et 2003. </w:t>
      </w:r>
      <w:r w:rsidRPr="0081699D">
        <w:rPr>
          <w:lang w:val="fr-CA"/>
        </w:rPr>
        <w:lastRenderedPageBreak/>
        <w:t>Ainsi, Amex n</w:t>
      </w:r>
      <w:r>
        <w:rPr>
          <w:lang w:val="fr-CA"/>
        </w:rPr>
        <w:t>’</w:t>
      </w:r>
      <w:r w:rsidRPr="0081699D">
        <w:rPr>
          <w:lang w:val="fr-CA"/>
        </w:rPr>
        <w:t xml:space="preserve">était pas habilitée par la </w:t>
      </w:r>
      <w:proofErr w:type="spellStart"/>
      <w:r w:rsidRPr="0081699D">
        <w:rPr>
          <w:i/>
          <w:lang w:val="fr-CA"/>
        </w:rPr>
        <w:t>L.p.c</w:t>
      </w:r>
      <w:proofErr w:type="spellEnd"/>
      <w:r w:rsidRPr="0081699D">
        <w:rPr>
          <w:i/>
          <w:lang w:val="fr-CA"/>
        </w:rPr>
        <w:t>.</w:t>
      </w:r>
      <w:r w:rsidRPr="0081699D">
        <w:rPr>
          <w:lang w:val="fr-CA"/>
        </w:rPr>
        <w:t xml:space="preserve"> à les imposer aux titulaires de ses cartes qui étaient des consommateurs, ni par le </w:t>
      </w:r>
      <w:proofErr w:type="spellStart"/>
      <w:r w:rsidRPr="0081699D">
        <w:rPr>
          <w:i/>
          <w:lang w:val="fr-CA"/>
        </w:rPr>
        <w:t>C.c.Q</w:t>
      </w:r>
      <w:proofErr w:type="spellEnd"/>
      <w:r w:rsidRPr="0081699D">
        <w:rPr>
          <w:i/>
          <w:lang w:val="fr-CA"/>
        </w:rPr>
        <w:t>.</w:t>
      </w:r>
      <w:r w:rsidRPr="0081699D">
        <w:rPr>
          <w:lang w:val="fr-CA"/>
        </w:rPr>
        <w:t xml:space="preserve"> à les imposer aux titulaires de ses cartes qui n</w:t>
      </w:r>
      <w:r>
        <w:rPr>
          <w:lang w:val="fr-CA"/>
        </w:rPr>
        <w:t>’</w:t>
      </w:r>
      <w:r w:rsidRPr="0081699D">
        <w:rPr>
          <w:lang w:val="fr-CA"/>
        </w:rPr>
        <w:t>en étaient pas. La Cour d</w:t>
      </w:r>
      <w:r>
        <w:rPr>
          <w:lang w:val="fr-CA"/>
        </w:rPr>
        <w:t>’</w:t>
      </w:r>
      <w:r w:rsidRPr="0081699D">
        <w:rPr>
          <w:lang w:val="fr-CA"/>
        </w:rPr>
        <w:t>appel a statué que la conclusion du juge Gascon suivant laquelle les frais de conversion étaient distincts du taux de change, et n</w:t>
      </w:r>
      <w:r>
        <w:rPr>
          <w:lang w:val="fr-CA"/>
        </w:rPr>
        <w:t>’</w:t>
      </w:r>
      <w:r w:rsidRPr="0081699D">
        <w:rPr>
          <w:lang w:val="fr-CA"/>
        </w:rPr>
        <w:t>en faisaient pas partie, était une conclusion de fait ou, au mieux, une question mixte de fait et de droit, et que, partant, elle ne devait pas être modifiée en l</w:t>
      </w:r>
      <w:r>
        <w:rPr>
          <w:lang w:val="fr-CA"/>
        </w:rPr>
        <w:t>’</w:t>
      </w:r>
      <w:r w:rsidRPr="0081699D">
        <w:rPr>
          <w:lang w:val="fr-CA"/>
        </w:rPr>
        <w:t>absence d</w:t>
      </w:r>
      <w:r>
        <w:rPr>
          <w:lang w:val="fr-CA"/>
        </w:rPr>
        <w:t>’</w:t>
      </w:r>
      <w:r w:rsidRPr="0081699D">
        <w:rPr>
          <w:lang w:val="fr-CA"/>
        </w:rPr>
        <w:t>une erreur manifeste et dominante (</w:t>
      </w:r>
      <w:r>
        <w:rPr>
          <w:lang w:val="fr-CA"/>
        </w:rPr>
        <w:t>par.</w:t>
      </w:r>
      <w:r w:rsidR="00BE6E7C">
        <w:rPr>
          <w:lang w:val="fr-CA"/>
        </w:rPr>
        <w:t xml:space="preserve"> </w:t>
      </w:r>
      <w:r w:rsidRPr="0081699D">
        <w:rPr>
          <w:lang w:val="fr-CA"/>
        </w:rPr>
        <w:t xml:space="preserve">34). Nous souscrivons à cette conclusion. </w:t>
      </w:r>
    </w:p>
    <w:p w:rsidR="004708DC" w:rsidRPr="0081699D" w:rsidRDefault="004708DC" w:rsidP="005E000D">
      <w:pPr>
        <w:pStyle w:val="ParaNoNdepar-AltN"/>
        <w:widowControl w:val="0"/>
        <w:rPr>
          <w:lang w:val="fr-CA"/>
        </w:rPr>
      </w:pPr>
      <w:r w:rsidRPr="0081699D">
        <w:rPr>
          <w:lang w:val="fr-CA"/>
        </w:rPr>
        <w:t>En conséquence, pour les mêmes motifs que ceux exposés dans l</w:t>
      </w:r>
      <w:r>
        <w:rPr>
          <w:lang w:val="fr-CA"/>
        </w:rPr>
        <w:t>’</w:t>
      </w:r>
      <w:r w:rsidRPr="0081699D">
        <w:rPr>
          <w:lang w:val="fr-CA"/>
        </w:rPr>
        <w:t>arrêt BMO, nous concluons qu</w:t>
      </w:r>
      <w:r>
        <w:rPr>
          <w:lang w:val="fr-CA"/>
        </w:rPr>
        <w:t>’</w:t>
      </w:r>
      <w:r w:rsidRPr="0081699D">
        <w:rPr>
          <w:lang w:val="fr-CA"/>
        </w:rPr>
        <w:t>Amex a manqué aux obligations mentionnées à l</w:t>
      </w:r>
      <w:r>
        <w:rPr>
          <w:lang w:val="fr-CA"/>
        </w:rPr>
        <w:t>’art.</w:t>
      </w:r>
      <w:r w:rsidR="00BE6E7C">
        <w:rPr>
          <w:lang w:val="fr-CA"/>
        </w:rPr>
        <w:t xml:space="preserve"> </w:t>
      </w:r>
      <w:r w:rsidRPr="0081699D">
        <w:rPr>
          <w:lang w:val="fr-CA"/>
        </w:rPr>
        <w:t xml:space="preserve">12 </w:t>
      </w:r>
      <w:proofErr w:type="spellStart"/>
      <w:r w:rsidRPr="0081699D">
        <w:rPr>
          <w:i/>
          <w:lang w:val="fr-CA"/>
        </w:rPr>
        <w:t>L.p.c</w:t>
      </w:r>
      <w:proofErr w:type="spellEnd"/>
      <w:r w:rsidRPr="0081699D">
        <w:rPr>
          <w:i/>
          <w:lang w:val="fr-CA"/>
        </w:rPr>
        <w:t xml:space="preserve">. </w:t>
      </w:r>
      <w:r w:rsidRPr="0081699D">
        <w:rPr>
          <w:lang w:val="fr-CA"/>
        </w:rPr>
        <w:t>et qu</w:t>
      </w:r>
      <w:r>
        <w:rPr>
          <w:lang w:val="fr-CA"/>
        </w:rPr>
        <w:t>’</w:t>
      </w:r>
      <w:r w:rsidRPr="0081699D">
        <w:rPr>
          <w:lang w:val="fr-CA"/>
        </w:rPr>
        <w:t>elle est tenue, en application de l</w:t>
      </w:r>
      <w:r>
        <w:rPr>
          <w:lang w:val="fr-CA"/>
        </w:rPr>
        <w:t>’al.</w:t>
      </w:r>
      <w:r w:rsidR="00BE6E7C">
        <w:rPr>
          <w:lang w:val="fr-CA"/>
        </w:rPr>
        <w:t xml:space="preserve"> </w:t>
      </w:r>
      <w:r w:rsidRPr="0081699D">
        <w:rPr>
          <w:lang w:val="fr-CA"/>
        </w:rPr>
        <w:t>272</w:t>
      </w:r>
      <w:r w:rsidRPr="0081699D">
        <w:rPr>
          <w:i/>
          <w:lang w:val="fr-CA"/>
        </w:rPr>
        <w:t>c</w:t>
      </w:r>
      <w:r w:rsidRPr="0081699D">
        <w:rPr>
          <w:lang w:val="fr-CA"/>
        </w:rPr>
        <w:t>), de rembourser les frais de conversion qu</w:t>
      </w:r>
      <w:r>
        <w:rPr>
          <w:lang w:val="fr-CA"/>
        </w:rPr>
        <w:t>’</w:t>
      </w:r>
      <w:r w:rsidRPr="0081699D">
        <w:rPr>
          <w:lang w:val="fr-CA"/>
        </w:rPr>
        <w:t>elle a perçus entre 1993 et 2003 des membres du groupe qui sont des consommateurs, suivant la description qu</w:t>
      </w:r>
      <w:r>
        <w:rPr>
          <w:lang w:val="fr-CA"/>
        </w:rPr>
        <w:t>’</w:t>
      </w:r>
      <w:r w:rsidRPr="0081699D">
        <w:rPr>
          <w:lang w:val="fr-CA"/>
        </w:rPr>
        <w:t>en fait le juge du procès (</w:t>
      </w:r>
      <w:r>
        <w:rPr>
          <w:lang w:val="fr-CA"/>
        </w:rPr>
        <w:t>par.</w:t>
      </w:r>
      <w:r w:rsidR="00BE6E7C">
        <w:rPr>
          <w:lang w:val="fr-CA"/>
        </w:rPr>
        <w:t xml:space="preserve"> </w:t>
      </w:r>
      <w:r w:rsidRPr="0081699D">
        <w:rPr>
          <w:lang w:val="fr-CA"/>
        </w:rPr>
        <w:t>494</w:t>
      </w:r>
      <w:r w:rsidR="00693434">
        <w:rPr>
          <w:lang w:val="fr-CA"/>
        </w:rPr>
        <w:t>-</w:t>
      </w:r>
      <w:r w:rsidRPr="0081699D">
        <w:rPr>
          <w:lang w:val="fr-CA"/>
        </w:rPr>
        <w:t>495). Cependant, contrairement à la conclusion tirée dans l</w:t>
      </w:r>
      <w:r>
        <w:rPr>
          <w:lang w:val="fr-CA"/>
        </w:rPr>
        <w:t>’</w:t>
      </w:r>
      <w:r w:rsidRPr="0081699D">
        <w:rPr>
          <w:lang w:val="fr-CA"/>
        </w:rPr>
        <w:t>arrêt BMO, Amex n</w:t>
      </w:r>
      <w:r>
        <w:rPr>
          <w:lang w:val="fr-CA"/>
        </w:rPr>
        <w:t>’</w:t>
      </w:r>
      <w:r w:rsidRPr="0081699D">
        <w:rPr>
          <w:lang w:val="fr-CA"/>
        </w:rPr>
        <w:t xml:space="preserve">est pas condamnée aux </w:t>
      </w:r>
      <w:r w:rsidR="00BE6E7C">
        <w:rPr>
          <w:lang w:val="fr-CA"/>
        </w:rPr>
        <w:t>dommages-i</w:t>
      </w:r>
      <w:r w:rsidRPr="0081699D">
        <w:rPr>
          <w:lang w:val="fr-CA"/>
        </w:rPr>
        <w:t>ntérêts punitifs en raison d</w:t>
      </w:r>
      <w:r>
        <w:rPr>
          <w:lang w:val="fr-CA"/>
        </w:rPr>
        <w:t>’</w:t>
      </w:r>
      <w:r w:rsidRPr="0081699D">
        <w:rPr>
          <w:lang w:val="fr-CA"/>
        </w:rPr>
        <w:t>une infraction à l</w:t>
      </w:r>
      <w:r>
        <w:rPr>
          <w:lang w:val="fr-CA"/>
        </w:rPr>
        <w:t>’art.</w:t>
      </w:r>
      <w:r w:rsidR="00BE6E7C">
        <w:rPr>
          <w:lang w:val="fr-CA"/>
        </w:rPr>
        <w:t xml:space="preserve"> </w:t>
      </w:r>
      <w:r w:rsidRPr="0081699D">
        <w:rPr>
          <w:lang w:val="fr-CA"/>
        </w:rPr>
        <w:t>12. En effet, M.</w:t>
      </w:r>
      <w:r w:rsidR="00BE6E7C">
        <w:rPr>
          <w:lang w:val="fr-CA"/>
        </w:rPr>
        <w:t xml:space="preserve"> </w:t>
      </w:r>
      <w:r w:rsidRPr="0081699D">
        <w:rPr>
          <w:lang w:val="fr-CA"/>
        </w:rPr>
        <w:t>Adams n</w:t>
      </w:r>
      <w:r>
        <w:rPr>
          <w:lang w:val="fr-CA"/>
        </w:rPr>
        <w:t>’</w:t>
      </w:r>
      <w:r w:rsidRPr="0081699D">
        <w:rPr>
          <w:lang w:val="fr-CA"/>
        </w:rPr>
        <w:t>a pas interjeté d</w:t>
      </w:r>
      <w:r>
        <w:rPr>
          <w:lang w:val="fr-CA"/>
        </w:rPr>
        <w:t>’</w:t>
      </w:r>
      <w:r w:rsidRPr="0081699D">
        <w:rPr>
          <w:lang w:val="fr-CA"/>
        </w:rPr>
        <w:t>appel incident dans le présent pourvoi; la Cour n</w:t>
      </w:r>
      <w:r>
        <w:rPr>
          <w:lang w:val="fr-CA"/>
        </w:rPr>
        <w:t>’</w:t>
      </w:r>
      <w:r w:rsidRPr="0081699D">
        <w:rPr>
          <w:lang w:val="fr-CA"/>
        </w:rPr>
        <w:t xml:space="preserve">est donc pas saisie de la question des </w:t>
      </w:r>
      <w:r w:rsidR="00BE6E7C">
        <w:rPr>
          <w:lang w:val="fr-CA"/>
        </w:rPr>
        <w:t>dommages-i</w:t>
      </w:r>
      <w:r w:rsidRPr="0081699D">
        <w:rPr>
          <w:lang w:val="fr-CA"/>
        </w:rPr>
        <w:t xml:space="preserve">ntérêts punitifs. Par ailleurs, la </w:t>
      </w:r>
      <w:proofErr w:type="spellStart"/>
      <w:r w:rsidRPr="0081699D">
        <w:rPr>
          <w:i/>
          <w:lang w:val="fr-CA"/>
        </w:rPr>
        <w:t>L.p.c</w:t>
      </w:r>
      <w:proofErr w:type="spellEnd"/>
      <w:r w:rsidRPr="0081699D">
        <w:rPr>
          <w:i/>
          <w:lang w:val="fr-CA"/>
        </w:rPr>
        <w:t>.</w:t>
      </w:r>
      <w:r w:rsidRPr="0081699D">
        <w:rPr>
          <w:lang w:val="fr-CA"/>
        </w:rPr>
        <w:t xml:space="preserve"> ne s</w:t>
      </w:r>
      <w:r>
        <w:rPr>
          <w:lang w:val="fr-CA"/>
        </w:rPr>
        <w:t>’</w:t>
      </w:r>
      <w:r w:rsidRPr="0081699D">
        <w:rPr>
          <w:lang w:val="fr-CA"/>
        </w:rPr>
        <w:t xml:space="preserve">applique pas aux membres du groupe qui ne sont pas des consommateurs. Dans leur cas, nous devons plutôt nous demander si le </w:t>
      </w:r>
      <w:proofErr w:type="spellStart"/>
      <w:r w:rsidRPr="0081699D">
        <w:rPr>
          <w:i/>
          <w:lang w:val="fr-CA"/>
        </w:rPr>
        <w:t>C.c.Q</w:t>
      </w:r>
      <w:proofErr w:type="spellEnd"/>
      <w:r w:rsidRPr="0081699D">
        <w:rPr>
          <w:i/>
          <w:lang w:val="fr-CA"/>
        </w:rPr>
        <w:t>.</w:t>
      </w:r>
      <w:r w:rsidRPr="0081699D">
        <w:rPr>
          <w:lang w:val="fr-CA"/>
        </w:rPr>
        <w:t xml:space="preserve"> oblige Amex à leur restituer les frais de conversion.</w:t>
      </w:r>
    </w:p>
    <w:p w:rsidR="004708DC" w:rsidRPr="0081699D" w:rsidRDefault="004708DC" w:rsidP="005E000D">
      <w:pPr>
        <w:pStyle w:val="Title3LevelTitre3Niveau"/>
        <w:widowControl w:val="0"/>
        <w:jc w:val="both"/>
        <w:rPr>
          <w:lang w:val="fr-CA"/>
        </w:rPr>
      </w:pPr>
      <w:r w:rsidRPr="0081699D">
        <w:rPr>
          <w:lang w:val="fr-CA"/>
        </w:rPr>
        <w:t xml:space="preserve">En application du </w:t>
      </w:r>
      <w:r w:rsidRPr="0081699D">
        <w:rPr>
          <w:i/>
          <w:lang w:val="fr-CA"/>
        </w:rPr>
        <w:t>C.c.Q.</w:t>
      </w:r>
      <w:r w:rsidRPr="0081699D">
        <w:rPr>
          <w:lang w:val="fr-CA"/>
        </w:rPr>
        <w:t xml:space="preserve">, Amex doit restituer les frais de conversion imposés aux titulaires de cartes qui ne sont pas des consommateurs </w:t>
      </w:r>
    </w:p>
    <w:p w:rsidR="004708DC" w:rsidRPr="0081699D" w:rsidRDefault="004708DC" w:rsidP="005E000D">
      <w:pPr>
        <w:pStyle w:val="ParaNoNdepar-AltN"/>
        <w:widowControl w:val="0"/>
        <w:rPr>
          <w:lang w:val="fr-CA"/>
        </w:rPr>
      </w:pPr>
      <w:r w:rsidRPr="0081699D">
        <w:rPr>
          <w:lang w:val="fr-CA"/>
        </w:rPr>
        <w:lastRenderedPageBreak/>
        <w:t>Amex n</w:t>
      </w:r>
      <w:r>
        <w:rPr>
          <w:lang w:val="fr-CA"/>
        </w:rPr>
        <w:t>’</w:t>
      </w:r>
      <w:r w:rsidRPr="0081699D">
        <w:rPr>
          <w:lang w:val="fr-CA"/>
        </w:rPr>
        <w:t>ayant pas indiqué les frais de conversion dans ses conventions régissant l</w:t>
      </w:r>
      <w:r>
        <w:rPr>
          <w:lang w:val="fr-CA"/>
        </w:rPr>
        <w:t>’</w:t>
      </w:r>
      <w:r w:rsidRPr="0081699D">
        <w:rPr>
          <w:lang w:val="fr-CA"/>
        </w:rPr>
        <w:t>utilisation des cartes, aucune obligation de payer ces frais n</w:t>
      </w:r>
      <w:r>
        <w:rPr>
          <w:lang w:val="fr-CA"/>
        </w:rPr>
        <w:t>’</w:t>
      </w:r>
      <w:r w:rsidRPr="0081699D">
        <w:rPr>
          <w:lang w:val="fr-CA"/>
        </w:rPr>
        <w:t>émanait de ces contrats. Ainsi, tous les paiements faits par les titulaires de cartes l</w:t>
      </w:r>
      <w:r>
        <w:rPr>
          <w:lang w:val="fr-CA"/>
        </w:rPr>
        <w:t>’</w:t>
      </w:r>
      <w:r w:rsidRPr="0081699D">
        <w:rPr>
          <w:lang w:val="fr-CA"/>
        </w:rPr>
        <w:t>ont été par erreur. Cette situation est prévue au premier paragraphe de l</w:t>
      </w:r>
      <w:r>
        <w:rPr>
          <w:lang w:val="fr-CA"/>
        </w:rPr>
        <w:t>’art.</w:t>
      </w:r>
      <w:r w:rsidR="00BE6E7C">
        <w:rPr>
          <w:lang w:val="fr-CA"/>
        </w:rPr>
        <w:t xml:space="preserve"> </w:t>
      </w:r>
      <w:r w:rsidRPr="0081699D">
        <w:rPr>
          <w:lang w:val="fr-CA"/>
        </w:rPr>
        <w:t xml:space="preserve">1491 </w:t>
      </w:r>
      <w:proofErr w:type="spellStart"/>
      <w:r w:rsidRPr="0081699D">
        <w:rPr>
          <w:i/>
          <w:lang w:val="fr-CA"/>
        </w:rPr>
        <w:t>C.c.Q</w:t>
      </w:r>
      <w:proofErr w:type="spellEnd"/>
      <w:r w:rsidRPr="0081699D">
        <w:rPr>
          <w:i/>
          <w:lang w:val="fr-CA"/>
        </w:rPr>
        <w:t>.</w:t>
      </w:r>
      <w:r w:rsidR="00BE6E7C" w:rsidRPr="00BE6E7C">
        <w:rPr>
          <w:lang w:val="fr-CA"/>
        </w:rPr>
        <w:t> :</w:t>
      </w:r>
    </w:p>
    <w:p w:rsidR="004708DC" w:rsidRPr="0081699D" w:rsidRDefault="004708DC" w:rsidP="005E000D">
      <w:pPr>
        <w:pStyle w:val="Citation-AltC"/>
        <w:widowControl w:val="0"/>
        <w:ind w:hanging="1166"/>
        <w:rPr>
          <w:lang w:val="fr-CA"/>
        </w:rPr>
      </w:pPr>
      <w:r w:rsidRPr="0081699D">
        <w:rPr>
          <w:b/>
          <w:bCs/>
          <w:lang w:val="fr-CA"/>
        </w:rPr>
        <w:tab/>
        <w:t>1491.</w:t>
      </w:r>
      <w:r w:rsidR="00BE6E7C">
        <w:rPr>
          <w:lang w:val="fr-CA"/>
        </w:rPr>
        <w:t xml:space="preserve">  </w:t>
      </w:r>
      <w:r w:rsidRPr="0081699D">
        <w:rPr>
          <w:lang w:val="fr-CA"/>
        </w:rPr>
        <w:t>Le paiement fait par erreur, ou simplement pour éviter un préjudice à celui qui le fait en protestant qu</w:t>
      </w:r>
      <w:r>
        <w:rPr>
          <w:lang w:val="fr-CA"/>
        </w:rPr>
        <w:t>’</w:t>
      </w:r>
      <w:r w:rsidRPr="0081699D">
        <w:rPr>
          <w:lang w:val="fr-CA"/>
        </w:rPr>
        <w:t>il ne doit rien, oblige celui qui l</w:t>
      </w:r>
      <w:r>
        <w:rPr>
          <w:lang w:val="fr-CA"/>
        </w:rPr>
        <w:t>’</w:t>
      </w:r>
      <w:r w:rsidRPr="0081699D">
        <w:rPr>
          <w:lang w:val="fr-CA"/>
        </w:rPr>
        <w:t>a reçu à le restituer.</w:t>
      </w:r>
    </w:p>
    <w:p w:rsidR="004708DC" w:rsidRPr="0081699D" w:rsidRDefault="004708DC" w:rsidP="005E000D">
      <w:pPr>
        <w:pStyle w:val="ParaNoNdepar-AltN"/>
        <w:widowControl w:val="0"/>
        <w:rPr>
          <w:lang w:val="fr-CA"/>
        </w:rPr>
      </w:pPr>
      <w:r w:rsidRPr="0081699D">
        <w:rPr>
          <w:lang w:val="fr-CA"/>
        </w:rPr>
        <w:t>Les dispositions relatives à la réception de l</w:t>
      </w:r>
      <w:r>
        <w:rPr>
          <w:lang w:val="fr-CA"/>
        </w:rPr>
        <w:t>’</w:t>
      </w:r>
      <w:r w:rsidRPr="0081699D">
        <w:rPr>
          <w:lang w:val="fr-CA"/>
        </w:rPr>
        <w:t>indu (</w:t>
      </w:r>
      <w:r>
        <w:rPr>
          <w:lang w:val="fr-CA"/>
        </w:rPr>
        <w:t>art.</w:t>
      </w:r>
      <w:r w:rsidR="00BE6E7C">
        <w:rPr>
          <w:lang w:val="fr-CA"/>
        </w:rPr>
        <w:t xml:space="preserve"> </w:t>
      </w:r>
      <w:r w:rsidRPr="0081699D">
        <w:rPr>
          <w:lang w:val="fr-CA"/>
        </w:rPr>
        <w:t>1491</w:t>
      </w:r>
      <w:r w:rsidR="003D4916">
        <w:rPr>
          <w:lang w:val="fr-CA"/>
        </w:rPr>
        <w:t>,</w:t>
      </w:r>
      <w:r w:rsidRPr="0081699D">
        <w:rPr>
          <w:lang w:val="fr-CA"/>
        </w:rPr>
        <w:t xml:space="preserve"> 1492 et premier paragraphe de l</w:t>
      </w:r>
      <w:r>
        <w:rPr>
          <w:lang w:val="fr-CA"/>
        </w:rPr>
        <w:t>’art.</w:t>
      </w:r>
      <w:r w:rsidR="00BE6E7C">
        <w:rPr>
          <w:lang w:val="fr-CA"/>
        </w:rPr>
        <w:t xml:space="preserve"> </w:t>
      </w:r>
      <w:r w:rsidRPr="0081699D">
        <w:rPr>
          <w:lang w:val="fr-CA"/>
        </w:rPr>
        <w:t xml:space="preserve">1554) codifient le principe selon lequel </w:t>
      </w:r>
      <w:r w:rsidR="00BE6E7C">
        <w:rPr>
          <w:lang w:val="fr-CA"/>
        </w:rPr>
        <w:t>« </w:t>
      </w:r>
      <w:r w:rsidRPr="0081699D">
        <w:rPr>
          <w:lang w:val="fr-CA"/>
        </w:rPr>
        <w:t>[t]</w:t>
      </w:r>
      <w:proofErr w:type="spellStart"/>
      <w:r w:rsidRPr="0081699D">
        <w:rPr>
          <w:lang w:val="fr-CA"/>
        </w:rPr>
        <w:t>oute</w:t>
      </w:r>
      <w:proofErr w:type="spellEnd"/>
      <w:r w:rsidRPr="0081699D">
        <w:rPr>
          <w:lang w:val="fr-CA"/>
        </w:rPr>
        <w:t xml:space="preserve"> personne ne doit payer que ce qu</w:t>
      </w:r>
      <w:r>
        <w:rPr>
          <w:lang w:val="fr-CA"/>
        </w:rPr>
        <w:t>’</w:t>
      </w:r>
      <w:r w:rsidRPr="0081699D">
        <w:rPr>
          <w:lang w:val="fr-CA"/>
        </w:rPr>
        <w:t>elle doit, et elle ne doit que ce à quoi elle est obligée</w:t>
      </w:r>
      <w:r w:rsidR="00BE6E7C">
        <w:rPr>
          <w:lang w:val="fr-CA"/>
        </w:rPr>
        <w:t> »</w:t>
      </w:r>
      <w:r w:rsidRPr="0081699D">
        <w:rPr>
          <w:lang w:val="fr-CA"/>
        </w:rPr>
        <w:t xml:space="preserve"> (D.</w:t>
      </w:r>
      <w:r w:rsidR="00BE6E7C">
        <w:rPr>
          <w:lang w:val="fr-CA"/>
        </w:rPr>
        <w:t xml:space="preserve"> </w:t>
      </w:r>
      <w:proofErr w:type="spellStart"/>
      <w:r w:rsidRPr="0081699D">
        <w:rPr>
          <w:lang w:val="fr-CA"/>
        </w:rPr>
        <w:t>Lluelles</w:t>
      </w:r>
      <w:proofErr w:type="spellEnd"/>
      <w:r w:rsidRPr="0081699D">
        <w:rPr>
          <w:lang w:val="fr-CA"/>
        </w:rPr>
        <w:t xml:space="preserve"> et B. Moore, </w:t>
      </w:r>
      <w:r w:rsidRPr="0081699D">
        <w:rPr>
          <w:i/>
          <w:lang w:val="fr-CA"/>
        </w:rPr>
        <w:t>Droit des obligations</w:t>
      </w:r>
      <w:r w:rsidRPr="0081699D">
        <w:rPr>
          <w:lang w:val="fr-CA"/>
        </w:rPr>
        <w:t xml:space="preserve"> (2</w:t>
      </w:r>
      <w:r w:rsidRPr="0081699D">
        <w:rPr>
          <w:vertAlign w:val="superscript"/>
          <w:lang w:val="fr-CA"/>
        </w:rPr>
        <w:t>e</w:t>
      </w:r>
      <w:r w:rsidRPr="0081699D">
        <w:rPr>
          <w:lang w:val="fr-CA"/>
        </w:rPr>
        <w:t xml:space="preserve"> éd. 2012), </w:t>
      </w:r>
      <w:r>
        <w:rPr>
          <w:lang w:val="fr-CA"/>
        </w:rPr>
        <w:t>p.</w:t>
      </w:r>
      <w:r w:rsidR="00BE6E7C">
        <w:rPr>
          <w:lang w:val="fr-CA"/>
        </w:rPr>
        <w:t xml:space="preserve"> </w:t>
      </w:r>
      <w:r w:rsidRPr="0081699D">
        <w:rPr>
          <w:lang w:val="fr-CA"/>
        </w:rPr>
        <w:t>725).</w:t>
      </w:r>
      <w:r w:rsidRPr="0081699D">
        <w:rPr>
          <w:vertAlign w:val="superscript"/>
          <w:lang w:val="fr-CA"/>
        </w:rPr>
        <w:t xml:space="preserve"> </w:t>
      </w:r>
      <w:r w:rsidRPr="0081699D">
        <w:rPr>
          <w:lang w:val="fr-CA"/>
        </w:rPr>
        <w:t>Ce principe permet à quiconque de recouvrer un paiement effectué en trop en imposant à la partie qui l</w:t>
      </w:r>
      <w:r>
        <w:rPr>
          <w:lang w:val="fr-CA"/>
        </w:rPr>
        <w:t>’</w:t>
      </w:r>
      <w:r w:rsidRPr="0081699D">
        <w:rPr>
          <w:lang w:val="fr-CA"/>
        </w:rPr>
        <w:t>a reçu indûment l</w:t>
      </w:r>
      <w:r>
        <w:rPr>
          <w:lang w:val="fr-CA"/>
        </w:rPr>
        <w:t>’</w:t>
      </w:r>
      <w:r w:rsidRPr="0081699D">
        <w:rPr>
          <w:lang w:val="fr-CA"/>
        </w:rPr>
        <w:t>obligation de le restituer.</w:t>
      </w:r>
    </w:p>
    <w:p w:rsidR="004708DC" w:rsidRPr="0081699D" w:rsidRDefault="004708DC" w:rsidP="005E000D">
      <w:pPr>
        <w:pStyle w:val="ParaNoNdepar-AltN"/>
        <w:widowControl w:val="0"/>
        <w:rPr>
          <w:lang w:val="fr-CA"/>
        </w:rPr>
      </w:pPr>
      <w:r w:rsidRPr="0081699D">
        <w:rPr>
          <w:lang w:val="fr-CA"/>
        </w:rPr>
        <w:t>Dans le contexte contractuel, l</w:t>
      </w:r>
      <w:r>
        <w:rPr>
          <w:lang w:val="fr-CA"/>
        </w:rPr>
        <w:t>’</w:t>
      </w:r>
      <w:r w:rsidRPr="0081699D">
        <w:rPr>
          <w:lang w:val="fr-CA"/>
        </w:rPr>
        <w:t>absence d</w:t>
      </w:r>
      <w:r>
        <w:rPr>
          <w:lang w:val="fr-CA"/>
        </w:rPr>
        <w:t>’</w:t>
      </w:r>
      <w:r w:rsidRPr="0081699D">
        <w:rPr>
          <w:lang w:val="fr-CA"/>
        </w:rPr>
        <w:t>obligation ou de dette peut être générale ou relative. Elle est générale lorsque l</w:t>
      </w:r>
      <w:r>
        <w:rPr>
          <w:lang w:val="fr-CA"/>
        </w:rPr>
        <w:t>’</w:t>
      </w:r>
      <w:r w:rsidRPr="0081699D">
        <w:rPr>
          <w:lang w:val="fr-CA"/>
        </w:rPr>
        <w:t>ensemble des prestations reçues ou exécutées est invalide, par exemple lorsque le tribunal prononce la nullité de l</w:t>
      </w:r>
      <w:r>
        <w:rPr>
          <w:lang w:val="fr-CA"/>
        </w:rPr>
        <w:t>’</w:t>
      </w:r>
      <w:r w:rsidRPr="0081699D">
        <w:rPr>
          <w:lang w:val="fr-CA"/>
        </w:rPr>
        <w:t>entente qui n</w:t>
      </w:r>
      <w:r>
        <w:rPr>
          <w:lang w:val="fr-CA"/>
        </w:rPr>
        <w:t>’</w:t>
      </w:r>
      <w:r w:rsidRPr="0081699D">
        <w:rPr>
          <w:lang w:val="fr-CA"/>
        </w:rPr>
        <w:t>est pas conforme à l</w:t>
      </w:r>
      <w:r>
        <w:rPr>
          <w:lang w:val="fr-CA"/>
        </w:rPr>
        <w:t>’</w:t>
      </w:r>
      <w:r w:rsidRPr="0081699D">
        <w:rPr>
          <w:lang w:val="fr-CA"/>
        </w:rPr>
        <w:t>une des conditions nécessaires à sa formation (</w:t>
      </w:r>
      <w:r>
        <w:rPr>
          <w:lang w:val="fr-CA"/>
        </w:rPr>
        <w:t>art.</w:t>
      </w:r>
      <w:r w:rsidR="00BE6E7C">
        <w:rPr>
          <w:lang w:val="fr-CA"/>
        </w:rPr>
        <w:t xml:space="preserve"> </w:t>
      </w:r>
      <w:r w:rsidRPr="0081699D">
        <w:rPr>
          <w:lang w:val="fr-CA"/>
        </w:rPr>
        <w:t xml:space="preserve">1422 </w:t>
      </w:r>
      <w:proofErr w:type="spellStart"/>
      <w:r w:rsidRPr="0081699D">
        <w:rPr>
          <w:i/>
          <w:lang w:val="fr-CA"/>
        </w:rPr>
        <w:t>C.c.Q</w:t>
      </w:r>
      <w:proofErr w:type="spellEnd"/>
      <w:r w:rsidRPr="0081699D">
        <w:rPr>
          <w:i/>
          <w:lang w:val="fr-CA"/>
        </w:rPr>
        <w:t>.</w:t>
      </w:r>
      <w:r w:rsidRPr="0081699D">
        <w:rPr>
          <w:lang w:val="fr-CA"/>
        </w:rPr>
        <w:t>). Elle est relative lorsque seule une partie des prestations reçues ou exécutées est invalide, par exemple si une clause du contrat est frappée de nullité, ou si, comme en l</w:t>
      </w:r>
      <w:r>
        <w:rPr>
          <w:lang w:val="fr-CA"/>
        </w:rPr>
        <w:t>’</w:t>
      </w:r>
      <w:r w:rsidRPr="0081699D">
        <w:rPr>
          <w:lang w:val="fr-CA"/>
        </w:rPr>
        <w:t>espèce, certaines prestations contractuelles ont été exigées d</w:t>
      </w:r>
      <w:r>
        <w:rPr>
          <w:lang w:val="fr-CA"/>
        </w:rPr>
        <w:t>’</w:t>
      </w:r>
      <w:r w:rsidRPr="0081699D">
        <w:rPr>
          <w:lang w:val="fr-CA"/>
        </w:rPr>
        <w:t>une partie qui n</w:t>
      </w:r>
      <w:r>
        <w:rPr>
          <w:lang w:val="fr-CA"/>
        </w:rPr>
        <w:t>’</w:t>
      </w:r>
      <w:r w:rsidRPr="0081699D">
        <w:rPr>
          <w:lang w:val="fr-CA"/>
        </w:rPr>
        <w:t>y était pas tenue (</w:t>
      </w:r>
      <w:r>
        <w:rPr>
          <w:lang w:val="fr-CA"/>
        </w:rPr>
        <w:t>art.</w:t>
      </w:r>
      <w:r w:rsidR="00BE6E7C">
        <w:rPr>
          <w:lang w:val="fr-CA"/>
        </w:rPr>
        <w:t xml:space="preserve"> </w:t>
      </w:r>
      <w:r w:rsidRPr="0081699D">
        <w:rPr>
          <w:lang w:val="fr-CA"/>
        </w:rPr>
        <w:t>1554</w:t>
      </w:r>
      <w:r w:rsidR="00BE6E7C">
        <w:rPr>
          <w:lang w:val="fr-CA"/>
        </w:rPr>
        <w:t xml:space="preserve"> </w:t>
      </w:r>
      <w:proofErr w:type="spellStart"/>
      <w:r w:rsidRPr="0081699D">
        <w:rPr>
          <w:i/>
          <w:lang w:val="fr-CA"/>
        </w:rPr>
        <w:t>C.c.Q</w:t>
      </w:r>
      <w:proofErr w:type="spellEnd"/>
      <w:r w:rsidRPr="0081699D">
        <w:rPr>
          <w:i/>
          <w:lang w:val="fr-CA"/>
        </w:rPr>
        <w:t>.</w:t>
      </w:r>
      <w:r w:rsidRPr="0081699D">
        <w:rPr>
          <w:lang w:val="fr-CA"/>
        </w:rPr>
        <w:t>).</w:t>
      </w:r>
    </w:p>
    <w:p w:rsidR="004708DC" w:rsidRPr="0081699D" w:rsidRDefault="004708DC" w:rsidP="005E000D">
      <w:pPr>
        <w:pStyle w:val="ParaNoNdepar-AltN"/>
        <w:widowControl w:val="0"/>
        <w:rPr>
          <w:lang w:val="fr-CA"/>
        </w:rPr>
      </w:pPr>
      <w:r w:rsidRPr="0081699D">
        <w:rPr>
          <w:lang w:val="fr-CA"/>
        </w:rPr>
        <w:lastRenderedPageBreak/>
        <w:t>Dès lors que le payeur prouve l</w:t>
      </w:r>
      <w:r>
        <w:rPr>
          <w:lang w:val="fr-CA"/>
        </w:rPr>
        <w:t>’</w:t>
      </w:r>
      <w:r w:rsidRPr="0081699D">
        <w:rPr>
          <w:lang w:val="fr-CA"/>
        </w:rPr>
        <w:t>inexistence de la dette, le bénéficiaire doit prouver que le paiement n</w:t>
      </w:r>
      <w:r>
        <w:rPr>
          <w:lang w:val="fr-CA"/>
        </w:rPr>
        <w:t>’</w:t>
      </w:r>
      <w:r w:rsidRPr="0081699D">
        <w:rPr>
          <w:lang w:val="fr-CA"/>
        </w:rPr>
        <w:t>a pas été fait par erreur, mais résultait d</w:t>
      </w:r>
      <w:r>
        <w:rPr>
          <w:lang w:val="fr-CA"/>
        </w:rPr>
        <w:t>’</w:t>
      </w:r>
      <w:r w:rsidRPr="0081699D">
        <w:rPr>
          <w:lang w:val="fr-CA"/>
        </w:rPr>
        <w:t xml:space="preserve">une </w:t>
      </w:r>
      <w:r w:rsidR="00BE6E7C">
        <w:rPr>
          <w:lang w:val="fr-CA"/>
        </w:rPr>
        <w:t>« </w:t>
      </w:r>
      <w:r w:rsidRPr="0081699D">
        <w:rPr>
          <w:lang w:val="fr-CA"/>
        </w:rPr>
        <w:t>intention libérale</w:t>
      </w:r>
      <w:r w:rsidR="00BE6E7C">
        <w:rPr>
          <w:lang w:val="fr-CA"/>
        </w:rPr>
        <w:t> »</w:t>
      </w:r>
      <w:r w:rsidRPr="0081699D">
        <w:rPr>
          <w:lang w:val="fr-CA"/>
        </w:rPr>
        <w:t xml:space="preserve"> (</w:t>
      </w:r>
      <w:proofErr w:type="spellStart"/>
      <w:r w:rsidRPr="0081699D">
        <w:rPr>
          <w:lang w:val="fr-CA"/>
        </w:rPr>
        <w:t>Lluelles</w:t>
      </w:r>
      <w:proofErr w:type="spellEnd"/>
      <w:r w:rsidRPr="0081699D">
        <w:rPr>
          <w:lang w:val="fr-CA"/>
        </w:rPr>
        <w:t xml:space="preserve"> et Moore, </w:t>
      </w:r>
      <w:r>
        <w:rPr>
          <w:lang w:val="fr-CA"/>
        </w:rPr>
        <w:t>p.</w:t>
      </w:r>
      <w:r w:rsidR="00BE6E7C">
        <w:rPr>
          <w:lang w:val="fr-CA"/>
        </w:rPr>
        <w:t xml:space="preserve"> </w:t>
      </w:r>
      <w:r w:rsidRPr="0081699D">
        <w:rPr>
          <w:lang w:val="fr-CA"/>
        </w:rPr>
        <w:t>734</w:t>
      </w:r>
      <w:r w:rsidR="00A01747">
        <w:rPr>
          <w:lang w:val="fr-CA"/>
        </w:rPr>
        <w:t>-</w:t>
      </w:r>
      <w:r w:rsidRPr="0081699D">
        <w:rPr>
          <w:lang w:val="fr-CA"/>
        </w:rPr>
        <w:t>735; J.</w:t>
      </w:r>
      <w:r w:rsidR="00BE6E7C">
        <w:rPr>
          <w:lang w:val="fr-CA"/>
        </w:rPr>
        <w:t>-</w:t>
      </w:r>
      <w:r w:rsidR="00964FF7">
        <w:rPr>
          <w:lang w:val="fr-CA"/>
        </w:rPr>
        <w:t>L. B</w:t>
      </w:r>
      <w:r w:rsidRPr="0081699D">
        <w:rPr>
          <w:lang w:val="fr-CA"/>
        </w:rPr>
        <w:t>audo</w:t>
      </w:r>
      <w:r w:rsidR="00A01747">
        <w:rPr>
          <w:lang w:val="fr-CA"/>
        </w:rPr>
        <w:t>u</w:t>
      </w:r>
      <w:r w:rsidRPr="0081699D">
        <w:rPr>
          <w:lang w:val="fr-CA"/>
        </w:rPr>
        <w:t>in et P.</w:t>
      </w:r>
      <w:r w:rsidR="009F48EF">
        <w:rPr>
          <w:lang w:val="fr-CA"/>
        </w:rPr>
        <w:t>-</w:t>
      </w:r>
      <w:r w:rsidRPr="0081699D">
        <w:rPr>
          <w:lang w:val="fr-CA"/>
        </w:rPr>
        <w:t xml:space="preserve">G. </w:t>
      </w:r>
      <w:proofErr w:type="spellStart"/>
      <w:r w:rsidRPr="0081699D">
        <w:rPr>
          <w:lang w:val="fr-CA"/>
        </w:rPr>
        <w:t>Jobin</w:t>
      </w:r>
      <w:proofErr w:type="spellEnd"/>
      <w:r w:rsidRPr="0081699D">
        <w:rPr>
          <w:lang w:val="fr-CA"/>
        </w:rPr>
        <w:t xml:space="preserve">, </w:t>
      </w:r>
      <w:r w:rsidRPr="0081699D">
        <w:rPr>
          <w:i/>
          <w:lang w:val="fr-CA"/>
        </w:rPr>
        <w:t>Les obligations</w:t>
      </w:r>
      <w:r w:rsidRPr="0081699D">
        <w:rPr>
          <w:lang w:val="fr-CA"/>
        </w:rPr>
        <w:t xml:space="preserve"> (7</w:t>
      </w:r>
      <w:r w:rsidRPr="0081699D">
        <w:rPr>
          <w:vertAlign w:val="superscript"/>
          <w:lang w:val="fr-CA"/>
        </w:rPr>
        <w:t>e</w:t>
      </w:r>
      <w:r w:rsidR="00BE6E7C">
        <w:rPr>
          <w:lang w:val="fr-CA"/>
        </w:rPr>
        <w:t xml:space="preserve"> </w:t>
      </w:r>
      <w:r w:rsidRPr="0081699D">
        <w:rPr>
          <w:lang w:val="fr-CA"/>
        </w:rPr>
        <w:t>éd. 2013), par P.</w:t>
      </w:r>
      <w:r w:rsidR="009F48EF">
        <w:rPr>
          <w:lang w:val="fr-CA"/>
        </w:rPr>
        <w:t>-</w:t>
      </w:r>
      <w:r w:rsidRPr="0081699D">
        <w:rPr>
          <w:lang w:val="fr-CA"/>
        </w:rPr>
        <w:t xml:space="preserve">G. </w:t>
      </w:r>
      <w:proofErr w:type="spellStart"/>
      <w:r w:rsidRPr="0081699D">
        <w:rPr>
          <w:lang w:val="fr-CA"/>
        </w:rPr>
        <w:t>Jobin</w:t>
      </w:r>
      <w:proofErr w:type="spellEnd"/>
      <w:r w:rsidRPr="0081699D">
        <w:rPr>
          <w:lang w:val="fr-CA"/>
        </w:rPr>
        <w:t xml:space="preserve"> et N. </w:t>
      </w:r>
      <w:proofErr w:type="spellStart"/>
      <w:r w:rsidRPr="0081699D">
        <w:rPr>
          <w:lang w:val="fr-CA"/>
        </w:rPr>
        <w:t>Vézina</w:t>
      </w:r>
      <w:proofErr w:type="spellEnd"/>
      <w:r w:rsidRPr="0081699D">
        <w:rPr>
          <w:lang w:val="fr-CA"/>
        </w:rPr>
        <w:t xml:space="preserve">, </w:t>
      </w:r>
      <w:r>
        <w:rPr>
          <w:lang w:val="fr-CA"/>
        </w:rPr>
        <w:t>p.</w:t>
      </w:r>
      <w:r w:rsidR="00BE6E7C">
        <w:rPr>
          <w:lang w:val="fr-CA"/>
        </w:rPr>
        <w:t xml:space="preserve"> </w:t>
      </w:r>
      <w:r w:rsidRPr="0081699D">
        <w:rPr>
          <w:lang w:val="fr-CA"/>
        </w:rPr>
        <w:t>624). L</w:t>
      </w:r>
      <w:r>
        <w:rPr>
          <w:lang w:val="fr-CA"/>
        </w:rPr>
        <w:t>’</w:t>
      </w:r>
      <w:r w:rsidRPr="0081699D">
        <w:rPr>
          <w:lang w:val="fr-CA"/>
        </w:rPr>
        <w:t>intention libérale ne se présume pas. Si le bénéficiaire ne peut la prouver, le paiement est réputé indu, et la dette inexistante.</w:t>
      </w:r>
    </w:p>
    <w:p w:rsidR="004708DC" w:rsidRPr="0081699D" w:rsidRDefault="004708DC" w:rsidP="005E000D">
      <w:pPr>
        <w:pStyle w:val="ParaNoNdepar-AltN"/>
        <w:widowControl w:val="0"/>
        <w:rPr>
          <w:lang w:val="fr-CA"/>
        </w:rPr>
      </w:pPr>
      <w:r w:rsidRPr="0081699D">
        <w:rPr>
          <w:lang w:val="fr-CA"/>
        </w:rPr>
        <w:t>La question qu</w:t>
      </w:r>
      <w:r>
        <w:rPr>
          <w:lang w:val="fr-CA"/>
        </w:rPr>
        <w:t>’</w:t>
      </w:r>
      <w:r w:rsidRPr="0081699D">
        <w:rPr>
          <w:lang w:val="fr-CA"/>
        </w:rPr>
        <w:t>il faut trancher est la suivante</w:t>
      </w:r>
      <w:r w:rsidR="00BE6E7C">
        <w:rPr>
          <w:lang w:val="fr-CA"/>
        </w:rPr>
        <w:t> :</w:t>
      </w:r>
      <w:r w:rsidRPr="0081699D">
        <w:rPr>
          <w:lang w:val="fr-CA"/>
        </w:rPr>
        <w:t xml:space="preserve"> le paiement est</w:t>
      </w:r>
      <w:r w:rsidR="00A01747">
        <w:rPr>
          <w:lang w:val="fr-CA"/>
        </w:rPr>
        <w:t>-</w:t>
      </w:r>
      <w:r w:rsidRPr="0081699D">
        <w:rPr>
          <w:lang w:val="fr-CA"/>
        </w:rPr>
        <w:t>il effectué, en tout ou en partie, sans fondement? — l</w:t>
      </w:r>
      <w:r>
        <w:rPr>
          <w:lang w:val="fr-CA"/>
        </w:rPr>
        <w:t>’</w:t>
      </w:r>
      <w:r w:rsidRPr="0081699D">
        <w:rPr>
          <w:lang w:val="fr-CA"/>
        </w:rPr>
        <w:t>obligation de payer a</w:t>
      </w:r>
      <w:r w:rsidR="003D5D01">
        <w:rPr>
          <w:lang w:val="fr-CA"/>
        </w:rPr>
        <w:t>-</w:t>
      </w:r>
      <w:r w:rsidRPr="0081699D">
        <w:rPr>
          <w:lang w:val="fr-CA"/>
        </w:rPr>
        <w:t>t</w:t>
      </w:r>
      <w:r w:rsidR="003D5D01">
        <w:rPr>
          <w:lang w:val="fr-CA"/>
        </w:rPr>
        <w:t>-</w:t>
      </w:r>
      <w:r w:rsidRPr="0081699D">
        <w:rPr>
          <w:lang w:val="fr-CA"/>
        </w:rPr>
        <w:t>elle déjà existé? En l</w:t>
      </w:r>
      <w:r>
        <w:rPr>
          <w:lang w:val="fr-CA"/>
        </w:rPr>
        <w:t>’</w:t>
      </w:r>
      <w:r w:rsidRPr="0081699D">
        <w:rPr>
          <w:lang w:val="fr-CA"/>
        </w:rPr>
        <w:t>espèce, la Cour doit se limiter à déterminer si les frais de conversion sont l</w:t>
      </w:r>
      <w:r>
        <w:rPr>
          <w:lang w:val="fr-CA"/>
        </w:rPr>
        <w:t>’</w:t>
      </w:r>
      <w:r w:rsidRPr="0081699D">
        <w:rPr>
          <w:lang w:val="fr-CA"/>
        </w:rPr>
        <w:t>objet d</w:t>
      </w:r>
      <w:r>
        <w:rPr>
          <w:lang w:val="fr-CA"/>
        </w:rPr>
        <w:t>’</w:t>
      </w:r>
      <w:r w:rsidRPr="0081699D">
        <w:rPr>
          <w:lang w:val="fr-CA"/>
        </w:rPr>
        <w:t>une obligation civile liant les titulaires de cartes. Suivant les principes de la réception de l</w:t>
      </w:r>
      <w:r>
        <w:rPr>
          <w:lang w:val="fr-CA"/>
        </w:rPr>
        <w:t>’</w:t>
      </w:r>
      <w:r w:rsidRPr="0081699D">
        <w:rPr>
          <w:lang w:val="fr-CA"/>
        </w:rPr>
        <w:t>indu, la restitution ne découle pas de la perpétration d</w:t>
      </w:r>
      <w:r>
        <w:rPr>
          <w:lang w:val="fr-CA"/>
        </w:rPr>
        <w:t>’</w:t>
      </w:r>
      <w:r w:rsidRPr="0081699D">
        <w:rPr>
          <w:lang w:val="fr-CA"/>
        </w:rPr>
        <w:t>un fait fautif, et la réparation susceptible d</w:t>
      </w:r>
      <w:r>
        <w:rPr>
          <w:lang w:val="fr-CA"/>
        </w:rPr>
        <w:t>’</w:t>
      </w:r>
      <w:r w:rsidRPr="0081699D">
        <w:rPr>
          <w:lang w:val="fr-CA"/>
        </w:rPr>
        <w:t xml:space="preserve">être ordonnée dans ce cas ne comprend pas les </w:t>
      </w:r>
      <w:r w:rsidR="00BE6E7C">
        <w:rPr>
          <w:lang w:val="fr-CA"/>
        </w:rPr>
        <w:t>dommages-i</w:t>
      </w:r>
      <w:r w:rsidRPr="0081699D">
        <w:rPr>
          <w:lang w:val="fr-CA"/>
        </w:rPr>
        <w:t>ntérêts. En fait, la restitution découle de l</w:t>
      </w:r>
      <w:r>
        <w:rPr>
          <w:lang w:val="fr-CA"/>
        </w:rPr>
        <w:t>’</w:t>
      </w:r>
      <w:r w:rsidRPr="0081699D">
        <w:rPr>
          <w:lang w:val="fr-CA"/>
        </w:rPr>
        <w:t>absence d</w:t>
      </w:r>
      <w:r>
        <w:rPr>
          <w:lang w:val="fr-CA"/>
        </w:rPr>
        <w:t>’</w:t>
      </w:r>
      <w:r w:rsidRPr="0081699D">
        <w:rPr>
          <w:lang w:val="fr-CA"/>
        </w:rPr>
        <w:t>une obligation d</w:t>
      </w:r>
      <w:r>
        <w:rPr>
          <w:lang w:val="fr-CA"/>
        </w:rPr>
        <w:t>’</w:t>
      </w:r>
      <w:r w:rsidRPr="0081699D">
        <w:rPr>
          <w:lang w:val="fr-CA"/>
        </w:rPr>
        <w:t>exécuter la prestation, et la réparation consiste dans ce cas à restituer toute prestation exécutée sans obligation (</w:t>
      </w:r>
      <w:r>
        <w:rPr>
          <w:lang w:val="fr-CA"/>
        </w:rPr>
        <w:t>art.</w:t>
      </w:r>
      <w:r w:rsidR="00BE6E7C">
        <w:rPr>
          <w:lang w:val="fr-CA"/>
        </w:rPr>
        <w:t xml:space="preserve"> </w:t>
      </w:r>
      <w:r w:rsidRPr="0081699D">
        <w:rPr>
          <w:lang w:val="fr-CA"/>
        </w:rPr>
        <w:t>1492 et premier paragraphe de l</w:t>
      </w:r>
      <w:r>
        <w:rPr>
          <w:lang w:val="fr-CA"/>
        </w:rPr>
        <w:t>’art.</w:t>
      </w:r>
      <w:r w:rsidR="00BE6E7C">
        <w:rPr>
          <w:lang w:val="fr-CA"/>
        </w:rPr>
        <w:t xml:space="preserve"> </w:t>
      </w:r>
      <w:r w:rsidRPr="0081699D">
        <w:rPr>
          <w:lang w:val="fr-CA"/>
        </w:rPr>
        <w:t>1699). Ni la faute, ni l</w:t>
      </w:r>
      <w:r>
        <w:rPr>
          <w:lang w:val="fr-CA"/>
        </w:rPr>
        <w:t>’</w:t>
      </w:r>
      <w:r w:rsidRPr="0081699D">
        <w:rPr>
          <w:lang w:val="fr-CA"/>
        </w:rPr>
        <w:t>infraction à une disposition législative — par exemple, en l</w:t>
      </w:r>
      <w:r>
        <w:rPr>
          <w:lang w:val="fr-CA"/>
        </w:rPr>
        <w:t>’</w:t>
      </w:r>
      <w:r w:rsidRPr="0081699D">
        <w:rPr>
          <w:lang w:val="fr-CA"/>
        </w:rPr>
        <w:t>occurrence, l</w:t>
      </w:r>
      <w:r>
        <w:rPr>
          <w:lang w:val="fr-CA"/>
        </w:rPr>
        <w:t>’</w:t>
      </w:r>
      <w:r w:rsidRPr="0081699D">
        <w:rPr>
          <w:lang w:val="fr-CA"/>
        </w:rPr>
        <w:t xml:space="preserve">obligation de communication imposée par la </w:t>
      </w:r>
      <w:r w:rsidRPr="0081699D">
        <w:rPr>
          <w:i/>
          <w:lang w:val="fr-CA"/>
        </w:rPr>
        <w:t>Loi sur les banques</w:t>
      </w:r>
      <w:r w:rsidRPr="0081699D">
        <w:rPr>
          <w:lang w:val="fr-CA"/>
        </w:rPr>
        <w:t xml:space="preserve"> —, ni la notion d</w:t>
      </w:r>
      <w:r>
        <w:rPr>
          <w:lang w:val="fr-CA"/>
        </w:rPr>
        <w:t>’</w:t>
      </w:r>
      <w:r w:rsidRPr="0081699D">
        <w:rPr>
          <w:lang w:val="fr-CA"/>
        </w:rPr>
        <w:t>indemnisation ne sont des facteurs à considérer pour déterminer si les dispositions relatives à la réception de l</w:t>
      </w:r>
      <w:r>
        <w:rPr>
          <w:lang w:val="fr-CA"/>
        </w:rPr>
        <w:t>’</w:t>
      </w:r>
      <w:r w:rsidRPr="0081699D">
        <w:rPr>
          <w:lang w:val="fr-CA"/>
        </w:rPr>
        <w:t>indu s</w:t>
      </w:r>
      <w:r>
        <w:rPr>
          <w:lang w:val="fr-CA"/>
        </w:rPr>
        <w:t>’</w:t>
      </w:r>
      <w:r w:rsidRPr="0081699D">
        <w:rPr>
          <w:lang w:val="fr-CA"/>
        </w:rPr>
        <w:t>appliquent. En conséquence, l</w:t>
      </w:r>
      <w:r>
        <w:rPr>
          <w:lang w:val="fr-CA"/>
        </w:rPr>
        <w:t>’</w:t>
      </w:r>
      <w:r w:rsidRPr="0081699D">
        <w:rPr>
          <w:lang w:val="fr-CA"/>
        </w:rPr>
        <w:t xml:space="preserve">absence de préjudice aux demandeurs exerçant le recours collectif ne saurait être </w:t>
      </w:r>
      <w:proofErr w:type="gramStart"/>
      <w:r w:rsidRPr="0081699D">
        <w:rPr>
          <w:lang w:val="fr-CA"/>
        </w:rPr>
        <w:t>invoquée</w:t>
      </w:r>
      <w:proofErr w:type="gramEnd"/>
      <w:r w:rsidRPr="0081699D">
        <w:rPr>
          <w:lang w:val="fr-CA"/>
        </w:rPr>
        <w:t xml:space="preserve">, et les règles relatives à la communication de la </w:t>
      </w:r>
      <w:r w:rsidRPr="0081699D">
        <w:rPr>
          <w:i/>
          <w:lang w:val="fr-CA"/>
        </w:rPr>
        <w:t>Loi sur les banques</w:t>
      </w:r>
      <w:r w:rsidRPr="0081699D">
        <w:rPr>
          <w:lang w:val="fr-CA"/>
        </w:rPr>
        <w:t xml:space="preserve"> ne sont pas pertinentes. L</w:t>
      </w:r>
      <w:r>
        <w:rPr>
          <w:lang w:val="fr-CA"/>
        </w:rPr>
        <w:t>’</w:t>
      </w:r>
      <w:r w:rsidRPr="0081699D">
        <w:rPr>
          <w:lang w:val="fr-CA"/>
        </w:rPr>
        <w:t>argument d</w:t>
      </w:r>
      <w:r>
        <w:rPr>
          <w:lang w:val="fr-CA"/>
        </w:rPr>
        <w:t>’</w:t>
      </w:r>
      <w:r w:rsidRPr="0081699D">
        <w:rPr>
          <w:lang w:val="fr-CA"/>
        </w:rPr>
        <w:t xml:space="preserve">Amex, selon lequel la </w:t>
      </w:r>
      <w:r w:rsidRPr="0081699D">
        <w:rPr>
          <w:i/>
          <w:lang w:val="fr-CA"/>
        </w:rPr>
        <w:t>Loi sur les banques</w:t>
      </w:r>
      <w:r w:rsidRPr="0081699D">
        <w:rPr>
          <w:lang w:val="fr-CA"/>
        </w:rPr>
        <w:t xml:space="preserve"> ne prévoit aucun recours </w:t>
      </w:r>
      <w:r w:rsidRPr="0081699D">
        <w:rPr>
          <w:lang w:val="fr-CA"/>
        </w:rPr>
        <w:lastRenderedPageBreak/>
        <w:t>civil en cas d</w:t>
      </w:r>
      <w:r>
        <w:rPr>
          <w:lang w:val="fr-CA"/>
        </w:rPr>
        <w:t>’</w:t>
      </w:r>
      <w:r w:rsidRPr="0081699D">
        <w:rPr>
          <w:lang w:val="fr-CA"/>
        </w:rPr>
        <w:t>infraction à ses dispositions, n</w:t>
      </w:r>
      <w:r>
        <w:rPr>
          <w:lang w:val="fr-CA"/>
        </w:rPr>
        <w:t>’</w:t>
      </w:r>
      <w:r w:rsidRPr="0081699D">
        <w:rPr>
          <w:lang w:val="fr-CA"/>
        </w:rPr>
        <w:t>a aucune incidence sur l</w:t>
      </w:r>
      <w:r>
        <w:rPr>
          <w:lang w:val="fr-CA"/>
        </w:rPr>
        <w:t>’</w:t>
      </w:r>
      <w:r w:rsidRPr="0081699D">
        <w:rPr>
          <w:lang w:val="fr-CA"/>
        </w:rPr>
        <w:t>applicabilité des dispositions relatives à la réception de l</w:t>
      </w:r>
      <w:r>
        <w:rPr>
          <w:lang w:val="fr-CA"/>
        </w:rPr>
        <w:t>’</w:t>
      </w:r>
      <w:r w:rsidR="009F48EF">
        <w:rPr>
          <w:lang w:val="fr-CA"/>
        </w:rPr>
        <w:t>indu.</w:t>
      </w:r>
      <w:r w:rsidRPr="0081699D">
        <w:rPr>
          <w:lang w:val="fr-CA"/>
        </w:rPr>
        <w:t xml:space="preserve"> </w:t>
      </w:r>
    </w:p>
    <w:p w:rsidR="004708DC" w:rsidRPr="0081699D" w:rsidRDefault="004708DC" w:rsidP="005E000D">
      <w:pPr>
        <w:pStyle w:val="ParaNoNdepar-AltN"/>
        <w:widowControl w:val="0"/>
        <w:rPr>
          <w:lang w:val="fr-CA"/>
        </w:rPr>
      </w:pPr>
      <w:r w:rsidRPr="0081699D">
        <w:rPr>
          <w:lang w:val="fr-CA"/>
        </w:rPr>
        <w:t>En résumé, la Cour doit seulement se demander si les adhérents — en l</w:t>
      </w:r>
      <w:r>
        <w:rPr>
          <w:lang w:val="fr-CA"/>
        </w:rPr>
        <w:t>’</w:t>
      </w:r>
      <w:r w:rsidRPr="0081699D">
        <w:rPr>
          <w:lang w:val="fr-CA"/>
        </w:rPr>
        <w:t>occurrence, les titulaires de cartes qui ne sont pas des consommateurs — étaient tenus de payer les frais de conversion. Selon le juge du procès, la preuve établissait clairement que, de 1993 à 2003, les conventions régissant l</w:t>
      </w:r>
      <w:r>
        <w:rPr>
          <w:lang w:val="fr-CA"/>
        </w:rPr>
        <w:t>’</w:t>
      </w:r>
      <w:r w:rsidRPr="0081699D">
        <w:rPr>
          <w:lang w:val="fr-CA"/>
        </w:rPr>
        <w:t>utilisation des cartes ne faisaient aucune mention des frais de conversion parce qu</w:t>
      </w:r>
      <w:r>
        <w:rPr>
          <w:lang w:val="fr-CA"/>
        </w:rPr>
        <w:t>’</w:t>
      </w:r>
      <w:r w:rsidRPr="0081699D">
        <w:rPr>
          <w:lang w:val="fr-CA"/>
        </w:rPr>
        <w:t>on ne peut prétendre que de tels frais étaient inclus dans le [</w:t>
      </w:r>
      <w:r w:rsidRPr="0081699D">
        <w:rPr>
          <w:smallCaps/>
          <w:lang w:val="fr-CA"/>
        </w:rPr>
        <w:t>traduction</w:t>
      </w:r>
      <w:r w:rsidRPr="0081699D">
        <w:rPr>
          <w:lang w:val="fr-CA"/>
        </w:rPr>
        <w:t xml:space="preserve">] </w:t>
      </w:r>
      <w:r w:rsidR="00BE6E7C">
        <w:rPr>
          <w:lang w:val="fr-CA"/>
        </w:rPr>
        <w:t>« </w:t>
      </w:r>
      <w:r w:rsidRPr="0081699D">
        <w:rPr>
          <w:lang w:val="fr-CA"/>
        </w:rPr>
        <w:t>taux de change déterminé par Amex</w:t>
      </w:r>
      <w:r w:rsidR="00BE6E7C">
        <w:rPr>
          <w:lang w:val="fr-CA"/>
        </w:rPr>
        <w:t> »</w:t>
      </w:r>
      <w:r w:rsidRPr="0081699D">
        <w:rPr>
          <w:lang w:val="fr-CA"/>
        </w:rPr>
        <w:t>. Ainsi, aucune obligation de payer ces frais n</w:t>
      </w:r>
      <w:r>
        <w:rPr>
          <w:lang w:val="fr-CA"/>
        </w:rPr>
        <w:t>’</w:t>
      </w:r>
      <w:r w:rsidRPr="0081699D">
        <w:rPr>
          <w:lang w:val="fr-CA"/>
        </w:rPr>
        <w:t>incombait aux titulaires (</w:t>
      </w:r>
      <w:r>
        <w:rPr>
          <w:lang w:val="fr-CA"/>
        </w:rPr>
        <w:t>par.</w:t>
      </w:r>
      <w:r w:rsidR="00BE6E7C">
        <w:rPr>
          <w:lang w:val="fr-CA"/>
        </w:rPr>
        <w:t xml:space="preserve"> </w:t>
      </w:r>
      <w:r w:rsidRPr="0081699D">
        <w:rPr>
          <w:lang w:val="fr-CA"/>
        </w:rPr>
        <w:t xml:space="preserve">357; voir également </w:t>
      </w:r>
      <w:r>
        <w:rPr>
          <w:lang w:val="fr-CA"/>
        </w:rPr>
        <w:t>par.</w:t>
      </w:r>
      <w:r w:rsidR="00BE6E7C">
        <w:rPr>
          <w:lang w:val="fr-CA"/>
        </w:rPr>
        <w:t xml:space="preserve"> </w:t>
      </w:r>
      <w:r w:rsidRPr="0081699D">
        <w:rPr>
          <w:lang w:val="fr-CA"/>
        </w:rPr>
        <w:t>123</w:t>
      </w:r>
      <w:r w:rsidR="002D2C36">
        <w:rPr>
          <w:lang w:val="fr-CA"/>
        </w:rPr>
        <w:t>-</w:t>
      </w:r>
      <w:r w:rsidRPr="0081699D">
        <w:rPr>
          <w:lang w:val="fr-CA"/>
        </w:rPr>
        <w:t>124 et 358</w:t>
      </w:r>
      <w:r w:rsidR="002D2C36">
        <w:rPr>
          <w:lang w:val="fr-CA"/>
        </w:rPr>
        <w:t>-</w:t>
      </w:r>
      <w:r w:rsidRPr="0081699D">
        <w:rPr>
          <w:lang w:val="fr-CA"/>
        </w:rPr>
        <w:t>359). Il n</w:t>
      </w:r>
      <w:r>
        <w:rPr>
          <w:lang w:val="fr-CA"/>
        </w:rPr>
        <w:t>’</w:t>
      </w:r>
      <w:r w:rsidRPr="0081699D">
        <w:rPr>
          <w:lang w:val="fr-CA"/>
        </w:rPr>
        <w:t>a pas été démontré que cette conclusion, qui repose sur un examen attentif et minutieux de la preuve, et qui a été confirmée en appel, comportait une erreur manifeste et dominante. Nous concluons que les titulaires de cartes Amex n</w:t>
      </w:r>
      <w:r>
        <w:rPr>
          <w:lang w:val="fr-CA"/>
        </w:rPr>
        <w:t>’</w:t>
      </w:r>
      <w:r w:rsidRPr="0081699D">
        <w:rPr>
          <w:lang w:val="fr-CA"/>
        </w:rPr>
        <w:t>étaient nullement tenus de payer les frais de conversion et que les dispositions relatives à la réception de l</w:t>
      </w:r>
      <w:r>
        <w:rPr>
          <w:lang w:val="fr-CA"/>
        </w:rPr>
        <w:t>’</w:t>
      </w:r>
      <w:r w:rsidRPr="0081699D">
        <w:rPr>
          <w:lang w:val="fr-CA"/>
        </w:rPr>
        <w:t>indu s</w:t>
      </w:r>
      <w:r>
        <w:rPr>
          <w:lang w:val="fr-CA"/>
        </w:rPr>
        <w:t>’</w:t>
      </w:r>
      <w:r w:rsidRPr="0081699D">
        <w:rPr>
          <w:lang w:val="fr-CA"/>
        </w:rPr>
        <w:t>appliquent. En conséquence, en application de l</w:t>
      </w:r>
      <w:r>
        <w:rPr>
          <w:lang w:val="fr-CA"/>
        </w:rPr>
        <w:t>’art.</w:t>
      </w:r>
      <w:r w:rsidR="00BE6E7C">
        <w:rPr>
          <w:lang w:val="fr-CA"/>
        </w:rPr>
        <w:t xml:space="preserve"> </w:t>
      </w:r>
      <w:r w:rsidRPr="0081699D">
        <w:rPr>
          <w:lang w:val="fr-CA"/>
        </w:rPr>
        <w:t xml:space="preserve">1699 </w:t>
      </w:r>
      <w:r w:rsidRPr="0081699D">
        <w:rPr>
          <w:i/>
          <w:lang w:val="fr-CA"/>
        </w:rPr>
        <w:t>C.c.Q.</w:t>
      </w:r>
      <w:r w:rsidRPr="00964FF7">
        <w:rPr>
          <w:lang w:val="fr-CA"/>
        </w:rPr>
        <w:t xml:space="preserve">, </w:t>
      </w:r>
      <w:r w:rsidRPr="0081699D">
        <w:rPr>
          <w:lang w:val="fr-CA"/>
        </w:rPr>
        <w:t>Amex doit restituer aux membres du groupe qui ne sont pas des consommateurs les frais de conversion qu</w:t>
      </w:r>
      <w:r>
        <w:rPr>
          <w:lang w:val="fr-CA"/>
        </w:rPr>
        <w:t>’</w:t>
      </w:r>
      <w:r w:rsidRPr="0081699D">
        <w:rPr>
          <w:lang w:val="fr-CA"/>
        </w:rPr>
        <w:t xml:space="preserve">ils ont payés. </w:t>
      </w:r>
    </w:p>
    <w:p w:rsidR="004708DC" w:rsidRPr="0081699D" w:rsidRDefault="004708DC" w:rsidP="005E000D">
      <w:pPr>
        <w:pStyle w:val="ParaNoNdepar-AltN"/>
        <w:widowControl w:val="0"/>
        <w:rPr>
          <w:lang w:val="fr-CA"/>
        </w:rPr>
      </w:pPr>
      <w:r w:rsidRPr="0081699D">
        <w:rPr>
          <w:lang w:val="fr-CA"/>
        </w:rPr>
        <w:t>Amex oppose certains arguments à l</w:t>
      </w:r>
      <w:r>
        <w:rPr>
          <w:lang w:val="fr-CA"/>
        </w:rPr>
        <w:t>’</w:t>
      </w:r>
      <w:r w:rsidRPr="0081699D">
        <w:rPr>
          <w:lang w:val="fr-CA"/>
        </w:rPr>
        <w:t xml:space="preserve">ordonnance de restitution prononcée par le juge du procès en application du </w:t>
      </w:r>
      <w:proofErr w:type="spellStart"/>
      <w:r w:rsidRPr="0081699D">
        <w:rPr>
          <w:i/>
          <w:lang w:val="fr-CA"/>
        </w:rPr>
        <w:t>C.c.Q</w:t>
      </w:r>
      <w:proofErr w:type="spellEnd"/>
      <w:r w:rsidRPr="0081699D">
        <w:rPr>
          <w:lang w:val="fr-CA"/>
        </w:rPr>
        <w:t xml:space="preserve">. Elle soulève le </w:t>
      </w:r>
      <w:r w:rsidRPr="0081699D">
        <w:rPr>
          <w:i/>
          <w:lang w:val="fr-CA"/>
        </w:rPr>
        <w:t xml:space="preserve">quantum </w:t>
      </w:r>
      <w:proofErr w:type="spellStart"/>
      <w:r w:rsidRPr="0081699D">
        <w:rPr>
          <w:i/>
          <w:lang w:val="fr-CA"/>
        </w:rPr>
        <w:t>meruit</w:t>
      </w:r>
      <w:proofErr w:type="spellEnd"/>
      <w:r w:rsidRPr="0081699D">
        <w:rPr>
          <w:lang w:val="fr-CA"/>
        </w:rPr>
        <w:t xml:space="preserve"> et, subsidiairement, prétend que même si la Cour estime que l</w:t>
      </w:r>
      <w:r>
        <w:rPr>
          <w:lang w:val="fr-CA"/>
        </w:rPr>
        <w:t>’</w:t>
      </w:r>
      <w:r w:rsidRPr="0081699D">
        <w:rPr>
          <w:lang w:val="fr-CA"/>
        </w:rPr>
        <w:t>obligation pour les titulaires de cartes de payer les frais de conversion n</w:t>
      </w:r>
      <w:r>
        <w:rPr>
          <w:lang w:val="fr-CA"/>
        </w:rPr>
        <w:t>’</w:t>
      </w:r>
      <w:r w:rsidRPr="0081699D">
        <w:rPr>
          <w:lang w:val="fr-CA"/>
        </w:rPr>
        <w:t>est pas exécutoire puisque ces frais n</w:t>
      </w:r>
      <w:r>
        <w:rPr>
          <w:lang w:val="fr-CA"/>
        </w:rPr>
        <w:t>’</w:t>
      </w:r>
      <w:r w:rsidRPr="0081699D">
        <w:rPr>
          <w:lang w:val="fr-CA"/>
        </w:rPr>
        <w:t xml:space="preserve">étaient pas mentionnés, elle devrait ordonner la restitution réciproque. Enfin, </w:t>
      </w:r>
      <w:r w:rsidRPr="0081699D">
        <w:rPr>
          <w:lang w:val="fr-CA"/>
        </w:rPr>
        <w:lastRenderedPageBreak/>
        <w:t>elle fait valoir que la Cour d</w:t>
      </w:r>
      <w:r>
        <w:rPr>
          <w:lang w:val="fr-CA"/>
        </w:rPr>
        <w:t>’</w:t>
      </w:r>
      <w:r w:rsidRPr="0081699D">
        <w:rPr>
          <w:lang w:val="fr-CA"/>
        </w:rPr>
        <w:t>appel a eu tort d</w:t>
      </w:r>
      <w:r>
        <w:rPr>
          <w:lang w:val="fr-CA"/>
        </w:rPr>
        <w:t>’</w:t>
      </w:r>
      <w:r w:rsidRPr="0081699D">
        <w:rPr>
          <w:lang w:val="fr-CA"/>
        </w:rPr>
        <w:t>affirmer qu</w:t>
      </w:r>
      <w:r>
        <w:rPr>
          <w:lang w:val="fr-CA"/>
        </w:rPr>
        <w:t>’</w:t>
      </w:r>
      <w:r w:rsidRPr="0081699D">
        <w:rPr>
          <w:lang w:val="fr-CA"/>
        </w:rPr>
        <w:t>Amex n</w:t>
      </w:r>
      <w:r>
        <w:rPr>
          <w:lang w:val="fr-CA"/>
        </w:rPr>
        <w:t>’</w:t>
      </w:r>
      <w:r w:rsidRPr="0081699D">
        <w:rPr>
          <w:lang w:val="fr-CA"/>
        </w:rPr>
        <w:t xml:space="preserve">avait pas réussi à démontrer que la restitution des frais aux consommateurs </w:t>
      </w:r>
      <w:r w:rsidR="00BE6E7C">
        <w:rPr>
          <w:lang w:val="fr-CA"/>
        </w:rPr>
        <w:t>« </w:t>
      </w:r>
      <w:r w:rsidRPr="0081699D">
        <w:rPr>
          <w:lang w:val="fr-CA"/>
        </w:rPr>
        <w:t>aurait pour effet d</w:t>
      </w:r>
      <w:r>
        <w:rPr>
          <w:lang w:val="fr-CA"/>
        </w:rPr>
        <w:t>’</w:t>
      </w:r>
      <w:r w:rsidRPr="0081699D">
        <w:rPr>
          <w:lang w:val="fr-CA"/>
        </w:rPr>
        <w:t>accorder à l</w:t>
      </w:r>
      <w:r>
        <w:rPr>
          <w:lang w:val="fr-CA"/>
        </w:rPr>
        <w:t>’</w:t>
      </w:r>
      <w:r w:rsidRPr="0081699D">
        <w:rPr>
          <w:lang w:val="fr-CA"/>
        </w:rPr>
        <w:t>une des parties [.</w:t>
      </w:r>
      <w:r w:rsidR="00BE6E7C">
        <w:rPr>
          <w:lang w:val="fr-CA"/>
        </w:rPr>
        <w:t xml:space="preserve"> </w:t>
      </w:r>
      <w:r w:rsidRPr="0081699D">
        <w:rPr>
          <w:lang w:val="fr-CA"/>
        </w:rPr>
        <w:t>.</w:t>
      </w:r>
      <w:r w:rsidR="00BE6E7C">
        <w:rPr>
          <w:lang w:val="fr-CA"/>
        </w:rPr>
        <w:t xml:space="preserve"> </w:t>
      </w:r>
      <w:r w:rsidRPr="0081699D">
        <w:rPr>
          <w:lang w:val="fr-CA"/>
        </w:rPr>
        <w:t>.] un avantage indu</w:t>
      </w:r>
      <w:r w:rsidR="00BE6E7C">
        <w:rPr>
          <w:lang w:val="fr-CA"/>
        </w:rPr>
        <w:t> »</w:t>
      </w:r>
      <w:r w:rsidRPr="0081699D">
        <w:rPr>
          <w:lang w:val="fr-CA"/>
        </w:rPr>
        <w:t>. Partant, le juge du procès aurait dû appliquer le deuxième paragraphe de l</w:t>
      </w:r>
      <w:r>
        <w:rPr>
          <w:lang w:val="fr-CA"/>
        </w:rPr>
        <w:t>’art.</w:t>
      </w:r>
      <w:r w:rsidR="00BE6E7C">
        <w:rPr>
          <w:lang w:val="fr-CA"/>
        </w:rPr>
        <w:t xml:space="preserve"> </w:t>
      </w:r>
      <w:r w:rsidRPr="0081699D">
        <w:rPr>
          <w:lang w:val="fr-CA"/>
        </w:rPr>
        <w:t xml:space="preserve">1699 </w:t>
      </w:r>
      <w:proofErr w:type="spellStart"/>
      <w:r w:rsidRPr="0081699D">
        <w:rPr>
          <w:i/>
          <w:lang w:val="fr-CA"/>
        </w:rPr>
        <w:t>C.c.Q</w:t>
      </w:r>
      <w:proofErr w:type="spellEnd"/>
      <w:r w:rsidRPr="0081699D">
        <w:rPr>
          <w:i/>
          <w:lang w:val="fr-CA"/>
        </w:rPr>
        <w:t>.</w:t>
      </w:r>
      <w:r w:rsidRPr="0081699D">
        <w:rPr>
          <w:lang w:val="fr-CA"/>
        </w:rPr>
        <w:t xml:space="preserve"> et refuser d</w:t>
      </w:r>
      <w:r>
        <w:rPr>
          <w:lang w:val="fr-CA"/>
        </w:rPr>
        <w:t>’</w:t>
      </w:r>
      <w:r w:rsidRPr="0081699D">
        <w:rPr>
          <w:lang w:val="fr-CA"/>
        </w:rPr>
        <w:t>ordonner la restitution (</w:t>
      </w:r>
      <w:proofErr w:type="gramStart"/>
      <w:r w:rsidRPr="0081699D">
        <w:rPr>
          <w:lang w:val="fr-CA"/>
        </w:rPr>
        <w:t>m.a.,</w:t>
      </w:r>
      <w:proofErr w:type="gramEnd"/>
      <w:r w:rsidRPr="0081699D">
        <w:rPr>
          <w:lang w:val="fr-CA"/>
        </w:rPr>
        <w:t xml:space="preserve"> </w:t>
      </w:r>
      <w:r>
        <w:rPr>
          <w:lang w:val="fr-CA"/>
        </w:rPr>
        <w:t>par.</w:t>
      </w:r>
      <w:r w:rsidR="00BE6E7C">
        <w:rPr>
          <w:lang w:val="fr-CA"/>
        </w:rPr>
        <w:t xml:space="preserve"> </w:t>
      </w:r>
      <w:r w:rsidRPr="0081699D">
        <w:rPr>
          <w:lang w:val="fr-CA"/>
        </w:rPr>
        <w:t>52).</w:t>
      </w:r>
    </w:p>
    <w:p w:rsidR="004708DC" w:rsidRPr="0081699D" w:rsidRDefault="004708DC" w:rsidP="005E000D">
      <w:pPr>
        <w:pStyle w:val="ParaNoNdepar-AltN"/>
        <w:widowControl w:val="0"/>
        <w:rPr>
          <w:lang w:val="fr-CA"/>
        </w:rPr>
      </w:pPr>
      <w:r w:rsidRPr="0081699D">
        <w:rPr>
          <w:lang w:val="fr-CA"/>
        </w:rPr>
        <w:t>À notre avis, aucun de ces moyens n</w:t>
      </w:r>
      <w:r>
        <w:rPr>
          <w:lang w:val="fr-CA"/>
        </w:rPr>
        <w:t>’</w:t>
      </w:r>
      <w:r w:rsidRPr="0081699D">
        <w:rPr>
          <w:lang w:val="fr-CA"/>
        </w:rPr>
        <w:t xml:space="preserve">est convaincant. </w:t>
      </w:r>
    </w:p>
    <w:p w:rsidR="004708DC" w:rsidRPr="0081699D" w:rsidRDefault="004708DC" w:rsidP="005E000D">
      <w:pPr>
        <w:pStyle w:val="ParaNoNdepar-AltN"/>
        <w:widowControl w:val="0"/>
        <w:rPr>
          <w:lang w:val="fr-CA"/>
        </w:rPr>
      </w:pPr>
      <w:r w:rsidRPr="0081699D">
        <w:rPr>
          <w:iCs/>
          <w:lang w:val="fr-CA"/>
        </w:rPr>
        <w:t xml:space="preserve">Le </w:t>
      </w:r>
      <w:r w:rsidRPr="0081699D">
        <w:rPr>
          <w:i/>
          <w:iCs/>
          <w:lang w:val="fr-CA"/>
        </w:rPr>
        <w:t xml:space="preserve">quantum </w:t>
      </w:r>
      <w:proofErr w:type="spellStart"/>
      <w:r w:rsidRPr="0081699D">
        <w:rPr>
          <w:i/>
          <w:iCs/>
          <w:lang w:val="fr-CA"/>
        </w:rPr>
        <w:t>meruit</w:t>
      </w:r>
      <w:proofErr w:type="spellEnd"/>
      <w:r w:rsidRPr="0081699D">
        <w:rPr>
          <w:lang w:val="fr-CA"/>
        </w:rPr>
        <w:t xml:space="preserve"> permet uniquement au juge de fixer la valeur d</w:t>
      </w:r>
      <w:r>
        <w:rPr>
          <w:lang w:val="fr-CA"/>
        </w:rPr>
        <w:t>’</w:t>
      </w:r>
      <w:r w:rsidRPr="0081699D">
        <w:rPr>
          <w:lang w:val="fr-CA"/>
        </w:rPr>
        <w:t>une obligation déjà engagée; il ne saurait en créer une (</w:t>
      </w:r>
      <w:r w:rsidRPr="0081699D">
        <w:rPr>
          <w:i/>
          <w:lang w:val="fr-CA"/>
        </w:rPr>
        <w:t xml:space="preserve">International </w:t>
      </w:r>
      <w:proofErr w:type="spellStart"/>
      <w:r w:rsidRPr="0081699D">
        <w:rPr>
          <w:i/>
          <w:lang w:val="fr-CA"/>
        </w:rPr>
        <w:t>Paper</w:t>
      </w:r>
      <w:proofErr w:type="spellEnd"/>
      <w:r w:rsidRPr="0081699D">
        <w:rPr>
          <w:i/>
          <w:lang w:val="fr-CA"/>
        </w:rPr>
        <w:t xml:space="preserve"> Co.</w:t>
      </w:r>
      <w:r w:rsidRPr="0081699D">
        <w:rPr>
          <w:lang w:val="fr-CA"/>
        </w:rPr>
        <w:t xml:space="preserve"> </w:t>
      </w:r>
      <w:r w:rsidRPr="0081699D">
        <w:rPr>
          <w:i/>
          <w:lang w:val="fr-CA"/>
        </w:rPr>
        <w:t>c</w:t>
      </w:r>
      <w:r w:rsidRPr="0081699D">
        <w:rPr>
          <w:lang w:val="fr-CA"/>
        </w:rPr>
        <w:t xml:space="preserve">. </w:t>
      </w:r>
      <w:r w:rsidRPr="0081699D">
        <w:rPr>
          <w:i/>
          <w:lang w:val="fr-CA"/>
        </w:rPr>
        <w:t xml:space="preserve">Valeurs </w:t>
      </w:r>
      <w:proofErr w:type="spellStart"/>
      <w:r w:rsidRPr="0081699D">
        <w:rPr>
          <w:i/>
          <w:lang w:val="fr-CA"/>
        </w:rPr>
        <w:t>Trimont</w:t>
      </w:r>
      <w:proofErr w:type="spellEnd"/>
      <w:r w:rsidRPr="0081699D">
        <w:rPr>
          <w:i/>
          <w:lang w:val="fr-CA"/>
        </w:rPr>
        <w:t xml:space="preserve"> </w:t>
      </w:r>
      <w:proofErr w:type="spellStart"/>
      <w:r w:rsidRPr="0081699D">
        <w:rPr>
          <w:i/>
          <w:lang w:val="fr-CA"/>
        </w:rPr>
        <w:t>Ltée</w:t>
      </w:r>
      <w:proofErr w:type="spellEnd"/>
      <w:r w:rsidRPr="0081699D">
        <w:rPr>
          <w:lang w:val="fr-CA"/>
        </w:rPr>
        <w:t>, [1989] R.J.Q. 1187 (C.A.)).</w:t>
      </w:r>
    </w:p>
    <w:p w:rsidR="004708DC" w:rsidRPr="0081699D" w:rsidRDefault="004708DC" w:rsidP="005E000D">
      <w:pPr>
        <w:pStyle w:val="ParaNoNdepar-AltN"/>
        <w:widowControl w:val="0"/>
        <w:rPr>
          <w:lang w:val="fr-CA"/>
        </w:rPr>
      </w:pPr>
      <w:r w:rsidRPr="0081699D">
        <w:rPr>
          <w:lang w:val="fr-CA"/>
        </w:rPr>
        <w:t>La restitution mutuelle ne s</w:t>
      </w:r>
      <w:r>
        <w:rPr>
          <w:lang w:val="fr-CA"/>
        </w:rPr>
        <w:t>’</w:t>
      </w:r>
      <w:r w:rsidRPr="0081699D">
        <w:rPr>
          <w:lang w:val="fr-CA"/>
        </w:rPr>
        <w:t>applique pas non plus dans les circonstances. Cet argument confond la restitution résultant de l</w:t>
      </w:r>
      <w:r>
        <w:rPr>
          <w:lang w:val="fr-CA"/>
        </w:rPr>
        <w:t>’</w:t>
      </w:r>
      <w:r w:rsidRPr="0081699D">
        <w:rPr>
          <w:lang w:val="fr-CA"/>
        </w:rPr>
        <w:t>annulation d</w:t>
      </w:r>
      <w:r>
        <w:rPr>
          <w:lang w:val="fr-CA"/>
        </w:rPr>
        <w:t>’</w:t>
      </w:r>
      <w:r w:rsidRPr="0081699D">
        <w:rPr>
          <w:lang w:val="fr-CA"/>
        </w:rPr>
        <w:t>un contrat synallagmatique, qui suppose une restitution mutuelle (</w:t>
      </w:r>
      <w:proofErr w:type="spellStart"/>
      <w:r w:rsidRPr="0081699D">
        <w:rPr>
          <w:lang w:val="fr-CA"/>
        </w:rPr>
        <w:t>Lluelles</w:t>
      </w:r>
      <w:proofErr w:type="spellEnd"/>
      <w:r w:rsidRPr="0081699D">
        <w:rPr>
          <w:lang w:val="fr-CA"/>
        </w:rPr>
        <w:t xml:space="preserve"> et Moore, </w:t>
      </w:r>
      <w:r>
        <w:rPr>
          <w:lang w:val="fr-CA"/>
        </w:rPr>
        <w:t>p.</w:t>
      </w:r>
      <w:r w:rsidR="00BE6E7C">
        <w:rPr>
          <w:lang w:val="fr-CA"/>
        </w:rPr>
        <w:t xml:space="preserve"> </w:t>
      </w:r>
      <w:r w:rsidRPr="0081699D">
        <w:rPr>
          <w:lang w:val="fr-CA"/>
        </w:rPr>
        <w:t>657</w:t>
      </w:r>
      <w:r w:rsidR="009F48EF">
        <w:rPr>
          <w:lang w:val="fr-CA"/>
        </w:rPr>
        <w:t>-</w:t>
      </w:r>
      <w:r w:rsidRPr="0081699D">
        <w:rPr>
          <w:lang w:val="fr-CA"/>
        </w:rPr>
        <w:t>658)</w:t>
      </w:r>
      <w:r w:rsidR="002D2C36">
        <w:rPr>
          <w:lang w:val="fr-CA"/>
        </w:rPr>
        <w:t>,</w:t>
      </w:r>
      <w:r w:rsidRPr="0081699D">
        <w:rPr>
          <w:lang w:val="fr-CA"/>
        </w:rPr>
        <w:t xml:space="preserve"> avec la restitution résultant de la réception de l</w:t>
      </w:r>
      <w:r>
        <w:rPr>
          <w:lang w:val="fr-CA"/>
        </w:rPr>
        <w:t>’</w:t>
      </w:r>
      <w:r w:rsidRPr="0081699D">
        <w:rPr>
          <w:lang w:val="fr-CA"/>
        </w:rPr>
        <w:t>indu, qui repose sur l</w:t>
      </w:r>
      <w:r>
        <w:rPr>
          <w:lang w:val="fr-CA"/>
        </w:rPr>
        <w:t>’</w:t>
      </w:r>
      <w:r w:rsidRPr="0081699D">
        <w:rPr>
          <w:lang w:val="fr-CA"/>
        </w:rPr>
        <w:t>absence de dette (premier paragraphe de l</w:t>
      </w:r>
      <w:r>
        <w:rPr>
          <w:lang w:val="fr-CA"/>
        </w:rPr>
        <w:t>’art.</w:t>
      </w:r>
      <w:r w:rsidR="00BE6E7C">
        <w:rPr>
          <w:lang w:val="fr-CA"/>
        </w:rPr>
        <w:t xml:space="preserve"> </w:t>
      </w:r>
      <w:r w:rsidRPr="0081699D">
        <w:rPr>
          <w:lang w:val="fr-CA"/>
        </w:rPr>
        <w:t xml:space="preserve">1491 </w:t>
      </w:r>
      <w:proofErr w:type="spellStart"/>
      <w:r w:rsidRPr="0081699D">
        <w:rPr>
          <w:i/>
          <w:lang w:val="fr-CA"/>
        </w:rPr>
        <w:t>C.c.Q</w:t>
      </w:r>
      <w:proofErr w:type="spellEnd"/>
      <w:r w:rsidRPr="0081699D">
        <w:rPr>
          <w:i/>
          <w:lang w:val="fr-CA"/>
        </w:rPr>
        <w:t>.</w:t>
      </w:r>
      <w:r w:rsidRPr="0081699D">
        <w:rPr>
          <w:lang w:val="fr-CA"/>
        </w:rPr>
        <w:t>). Autrement dit, le contrat n</w:t>
      </w:r>
      <w:r>
        <w:rPr>
          <w:lang w:val="fr-CA"/>
        </w:rPr>
        <w:t>’</w:t>
      </w:r>
      <w:r w:rsidRPr="0081699D">
        <w:rPr>
          <w:lang w:val="fr-CA"/>
        </w:rPr>
        <w:t>a pas été annulé, ses effets depuis sa création sont valides, et la restitution ne sera ordonnée que s</w:t>
      </w:r>
      <w:r>
        <w:rPr>
          <w:lang w:val="fr-CA"/>
        </w:rPr>
        <w:t>’</w:t>
      </w:r>
      <w:r w:rsidRPr="0081699D">
        <w:rPr>
          <w:lang w:val="fr-CA"/>
        </w:rPr>
        <w:t>il est démontré que le contrat n</w:t>
      </w:r>
      <w:r>
        <w:rPr>
          <w:lang w:val="fr-CA"/>
        </w:rPr>
        <w:t>’</w:t>
      </w:r>
      <w:r w:rsidRPr="0081699D">
        <w:rPr>
          <w:lang w:val="fr-CA"/>
        </w:rPr>
        <w:t>a créé aucune obligation — expresse ou implicite — de paiement de la somme réclamée. Dans la présente affaire, Amex était tenue de fournir le service de conversion à ses clients; elle a simplement omis d</w:t>
      </w:r>
      <w:r>
        <w:rPr>
          <w:lang w:val="fr-CA"/>
        </w:rPr>
        <w:t>’</w:t>
      </w:r>
      <w:r w:rsidRPr="0081699D">
        <w:rPr>
          <w:lang w:val="fr-CA"/>
        </w:rPr>
        <w:t>imposer à ces derniers l</w:t>
      </w:r>
      <w:r>
        <w:rPr>
          <w:lang w:val="fr-CA"/>
        </w:rPr>
        <w:t>’</w:t>
      </w:r>
      <w:r w:rsidRPr="0081699D">
        <w:rPr>
          <w:lang w:val="fr-CA"/>
        </w:rPr>
        <w:t>obligation correspondante de payer des frais distincts pour ce service.</w:t>
      </w:r>
    </w:p>
    <w:p w:rsidR="004708DC" w:rsidRPr="0081699D" w:rsidRDefault="004708DC" w:rsidP="005E000D">
      <w:pPr>
        <w:pStyle w:val="ParaNoNdepar-AltN"/>
        <w:widowControl w:val="0"/>
        <w:rPr>
          <w:lang w:val="fr-CA"/>
        </w:rPr>
      </w:pPr>
      <w:r w:rsidRPr="0081699D">
        <w:rPr>
          <w:lang w:val="fr-CA"/>
        </w:rPr>
        <w:t xml:space="preserve">Enfin, le pouvoir de ne pas ordonner la restitution que confère le </w:t>
      </w:r>
      <w:r w:rsidRPr="0081699D">
        <w:rPr>
          <w:lang w:val="fr-CA"/>
        </w:rPr>
        <w:lastRenderedPageBreak/>
        <w:t>deuxième paragraphe de l</w:t>
      </w:r>
      <w:r>
        <w:rPr>
          <w:lang w:val="fr-CA"/>
        </w:rPr>
        <w:t>’art.</w:t>
      </w:r>
      <w:r w:rsidR="00BE6E7C">
        <w:rPr>
          <w:lang w:val="fr-CA"/>
        </w:rPr>
        <w:t xml:space="preserve"> </w:t>
      </w:r>
      <w:r w:rsidRPr="0081699D">
        <w:rPr>
          <w:lang w:val="fr-CA"/>
        </w:rPr>
        <w:t>1699 dans le cas où celle</w:t>
      </w:r>
      <w:r w:rsidR="00BE6E7C">
        <w:rPr>
          <w:lang w:val="fr-CA"/>
        </w:rPr>
        <w:t>-</w:t>
      </w:r>
      <w:r w:rsidRPr="0081699D">
        <w:rPr>
          <w:lang w:val="fr-CA"/>
        </w:rPr>
        <w:t>ci aurait pour effet d</w:t>
      </w:r>
      <w:r>
        <w:rPr>
          <w:lang w:val="fr-CA"/>
        </w:rPr>
        <w:t>’</w:t>
      </w:r>
      <w:r w:rsidRPr="0081699D">
        <w:rPr>
          <w:lang w:val="fr-CA"/>
        </w:rPr>
        <w:t>accorder à l</w:t>
      </w:r>
      <w:r>
        <w:rPr>
          <w:lang w:val="fr-CA"/>
        </w:rPr>
        <w:t>’</w:t>
      </w:r>
      <w:r w:rsidRPr="0081699D">
        <w:rPr>
          <w:lang w:val="fr-CA"/>
        </w:rPr>
        <w:t xml:space="preserve">une des parties un avantage indu est un pouvoir </w:t>
      </w:r>
      <w:r w:rsidR="00BE6E7C">
        <w:rPr>
          <w:lang w:val="fr-CA"/>
        </w:rPr>
        <w:t>« </w:t>
      </w:r>
      <w:r w:rsidRPr="0081699D">
        <w:rPr>
          <w:lang w:val="fr-CA"/>
        </w:rPr>
        <w:t>tout à fait exceptionnel</w:t>
      </w:r>
      <w:r w:rsidR="00BE6E7C">
        <w:rPr>
          <w:lang w:val="fr-CA"/>
        </w:rPr>
        <w:t> »</w:t>
      </w:r>
      <w:r w:rsidRPr="0081699D">
        <w:rPr>
          <w:lang w:val="fr-CA"/>
        </w:rPr>
        <w:t xml:space="preserve"> (</w:t>
      </w:r>
      <w:proofErr w:type="spellStart"/>
      <w:r w:rsidRPr="0081699D">
        <w:rPr>
          <w:lang w:val="fr-CA"/>
        </w:rPr>
        <w:t>Lluelles</w:t>
      </w:r>
      <w:proofErr w:type="spellEnd"/>
      <w:r w:rsidRPr="0081699D">
        <w:rPr>
          <w:lang w:val="fr-CA"/>
        </w:rPr>
        <w:t xml:space="preserve"> et Moore, </w:t>
      </w:r>
      <w:r>
        <w:rPr>
          <w:lang w:val="fr-CA"/>
        </w:rPr>
        <w:t>p.</w:t>
      </w:r>
      <w:r w:rsidR="00BE6E7C">
        <w:rPr>
          <w:lang w:val="fr-CA"/>
        </w:rPr>
        <w:t xml:space="preserve"> </w:t>
      </w:r>
      <w:r w:rsidRPr="0081699D">
        <w:rPr>
          <w:lang w:val="fr-CA"/>
        </w:rPr>
        <w:t>663), qui doit être exercé avec circonspection et lorsque la preuve de cet avantage a été établie. Ce fardeau repose sur le débiteur de la restitution. Comme l</w:t>
      </w:r>
      <w:r>
        <w:rPr>
          <w:lang w:val="fr-CA"/>
        </w:rPr>
        <w:t>’</w:t>
      </w:r>
      <w:r w:rsidRPr="0081699D">
        <w:rPr>
          <w:lang w:val="fr-CA"/>
        </w:rPr>
        <w:t xml:space="preserve">écrivent les professeurs </w:t>
      </w:r>
      <w:proofErr w:type="spellStart"/>
      <w:r w:rsidRPr="0081699D">
        <w:rPr>
          <w:lang w:val="fr-CA"/>
        </w:rPr>
        <w:t>Jobin</w:t>
      </w:r>
      <w:proofErr w:type="spellEnd"/>
      <w:r w:rsidRPr="0081699D">
        <w:rPr>
          <w:lang w:val="fr-CA"/>
        </w:rPr>
        <w:t xml:space="preserve"> et </w:t>
      </w:r>
      <w:proofErr w:type="spellStart"/>
      <w:r w:rsidRPr="0081699D">
        <w:rPr>
          <w:lang w:val="fr-CA"/>
        </w:rPr>
        <w:t>Vézina</w:t>
      </w:r>
      <w:proofErr w:type="spellEnd"/>
      <w:r w:rsidRPr="0081699D">
        <w:rPr>
          <w:lang w:val="fr-CA"/>
        </w:rPr>
        <w:t xml:space="preserve">, </w:t>
      </w:r>
      <w:r w:rsidR="00BE6E7C">
        <w:rPr>
          <w:lang w:val="fr-CA"/>
        </w:rPr>
        <w:t>« </w:t>
      </w:r>
      <w:r w:rsidRPr="0081699D">
        <w:rPr>
          <w:lang w:val="fr-CA"/>
        </w:rPr>
        <w:t>[q]</w:t>
      </w:r>
      <w:proofErr w:type="spellStart"/>
      <w:r w:rsidRPr="0081699D">
        <w:rPr>
          <w:lang w:val="fr-CA"/>
        </w:rPr>
        <w:t>uelque</w:t>
      </w:r>
      <w:proofErr w:type="spellEnd"/>
      <w:r w:rsidRPr="0081699D">
        <w:rPr>
          <w:lang w:val="fr-CA"/>
        </w:rPr>
        <w:t xml:space="preserve"> large que soit ce pouvoir, il demeure l</w:t>
      </w:r>
      <w:r>
        <w:rPr>
          <w:lang w:val="fr-CA"/>
        </w:rPr>
        <w:t>’</w:t>
      </w:r>
      <w:r w:rsidRPr="0081699D">
        <w:rPr>
          <w:lang w:val="fr-CA"/>
        </w:rPr>
        <w:t>exception et doit être utilisé avec prudence</w:t>
      </w:r>
      <w:r w:rsidR="00BE6E7C">
        <w:rPr>
          <w:lang w:val="fr-CA"/>
        </w:rPr>
        <w:t> »</w:t>
      </w:r>
      <w:r w:rsidRPr="0081699D">
        <w:rPr>
          <w:lang w:val="fr-CA"/>
        </w:rPr>
        <w:t xml:space="preserve"> (</w:t>
      </w:r>
      <w:r>
        <w:rPr>
          <w:lang w:val="fr-CA"/>
        </w:rPr>
        <w:t>p.</w:t>
      </w:r>
      <w:r w:rsidR="00BE6E7C">
        <w:rPr>
          <w:lang w:val="fr-CA"/>
        </w:rPr>
        <w:t xml:space="preserve"> </w:t>
      </w:r>
      <w:r w:rsidRPr="0081699D">
        <w:rPr>
          <w:lang w:val="fr-CA"/>
        </w:rPr>
        <w:t>1139).</w:t>
      </w:r>
    </w:p>
    <w:p w:rsidR="004708DC" w:rsidRPr="0081699D" w:rsidRDefault="004708DC" w:rsidP="005E000D">
      <w:pPr>
        <w:pStyle w:val="ParaNoNdepar-AltN"/>
        <w:widowControl w:val="0"/>
        <w:rPr>
          <w:lang w:val="fr-CA"/>
        </w:rPr>
      </w:pPr>
      <w:r w:rsidRPr="0081699D">
        <w:rPr>
          <w:lang w:val="fr-CA"/>
        </w:rPr>
        <w:t>Rien ne permet de croire que le juge du procès a eu tort de décliner d</w:t>
      </w:r>
      <w:r>
        <w:rPr>
          <w:lang w:val="fr-CA"/>
        </w:rPr>
        <w:t>’</w:t>
      </w:r>
      <w:r w:rsidRPr="0081699D">
        <w:rPr>
          <w:lang w:val="fr-CA"/>
        </w:rPr>
        <w:t>exercer le pouvoir discrétionnaire qui l</w:t>
      </w:r>
      <w:r>
        <w:rPr>
          <w:lang w:val="fr-CA"/>
        </w:rPr>
        <w:t>’</w:t>
      </w:r>
      <w:r w:rsidRPr="0081699D">
        <w:rPr>
          <w:lang w:val="fr-CA"/>
        </w:rPr>
        <w:t>habilite à refuser d</w:t>
      </w:r>
      <w:r>
        <w:rPr>
          <w:lang w:val="fr-CA"/>
        </w:rPr>
        <w:t>’</w:t>
      </w:r>
      <w:r w:rsidRPr="0081699D">
        <w:rPr>
          <w:lang w:val="fr-CA"/>
        </w:rPr>
        <w:t xml:space="preserve">ordonner la restitution. </w:t>
      </w:r>
      <w:r>
        <w:rPr>
          <w:lang w:val="fr-CA"/>
        </w:rPr>
        <w:t xml:space="preserve">En fait, le juge </w:t>
      </w:r>
      <w:r w:rsidRPr="0081699D">
        <w:rPr>
          <w:lang w:val="fr-CA"/>
        </w:rPr>
        <w:t>Gascon a conclu qu</w:t>
      </w:r>
      <w:r>
        <w:rPr>
          <w:lang w:val="fr-CA"/>
        </w:rPr>
        <w:t>’</w:t>
      </w:r>
      <w:r w:rsidRPr="0081699D">
        <w:rPr>
          <w:lang w:val="fr-CA"/>
        </w:rPr>
        <w:t>Amex avait tiré d</w:t>
      </w:r>
      <w:r>
        <w:rPr>
          <w:lang w:val="fr-CA"/>
        </w:rPr>
        <w:t>’</w:t>
      </w:r>
      <w:r w:rsidRPr="0081699D">
        <w:rPr>
          <w:lang w:val="fr-CA"/>
        </w:rPr>
        <w:t>autres avantages de l</w:t>
      </w:r>
      <w:r>
        <w:rPr>
          <w:lang w:val="fr-CA"/>
        </w:rPr>
        <w:t>’</w:t>
      </w:r>
      <w:r w:rsidRPr="0081699D">
        <w:rPr>
          <w:lang w:val="fr-CA"/>
        </w:rPr>
        <w:t>utilisation de ses cartes de crédit et cartes de paiement par les membres du groupe et qu</w:t>
      </w:r>
      <w:r>
        <w:rPr>
          <w:lang w:val="fr-CA"/>
        </w:rPr>
        <w:t>’</w:t>
      </w:r>
      <w:r w:rsidRPr="0081699D">
        <w:rPr>
          <w:lang w:val="fr-CA"/>
        </w:rPr>
        <w:t>il n</w:t>
      </w:r>
      <w:r>
        <w:rPr>
          <w:lang w:val="fr-CA"/>
        </w:rPr>
        <w:t>’</w:t>
      </w:r>
      <w:r w:rsidRPr="0081699D">
        <w:rPr>
          <w:lang w:val="fr-CA"/>
        </w:rPr>
        <w:t xml:space="preserve">est pas prouvé que </w:t>
      </w:r>
      <w:r w:rsidR="00964FF7">
        <w:rPr>
          <w:lang w:val="fr-CA"/>
        </w:rPr>
        <w:t xml:space="preserve">ceux-ci </w:t>
      </w:r>
      <w:proofErr w:type="gramStart"/>
      <w:r w:rsidR="00964FF7">
        <w:rPr>
          <w:lang w:val="fr-CA"/>
        </w:rPr>
        <w:t>tireraient</w:t>
      </w:r>
      <w:proofErr w:type="gramEnd"/>
      <w:r w:rsidR="00964FF7">
        <w:rPr>
          <w:lang w:val="fr-CA"/>
        </w:rPr>
        <w:t xml:space="preserve"> un avantage indu de la restitution </w:t>
      </w:r>
      <w:r w:rsidRPr="0081699D">
        <w:rPr>
          <w:lang w:val="fr-CA"/>
        </w:rPr>
        <w:t>(</w:t>
      </w:r>
      <w:r>
        <w:rPr>
          <w:lang w:val="fr-CA"/>
        </w:rPr>
        <w:t>par.</w:t>
      </w:r>
      <w:r w:rsidR="00BE6E7C">
        <w:rPr>
          <w:lang w:val="fr-CA"/>
        </w:rPr>
        <w:t xml:space="preserve"> </w:t>
      </w:r>
      <w:r w:rsidRPr="0081699D">
        <w:rPr>
          <w:lang w:val="fr-CA"/>
        </w:rPr>
        <w:t>380</w:t>
      </w:r>
      <w:r w:rsidR="009F48EF">
        <w:rPr>
          <w:lang w:val="fr-CA"/>
        </w:rPr>
        <w:t>-</w:t>
      </w:r>
      <w:r w:rsidRPr="0081699D">
        <w:rPr>
          <w:lang w:val="fr-CA"/>
        </w:rPr>
        <w:t>381). Dans ce contexte, Amex n</w:t>
      </w:r>
      <w:r>
        <w:rPr>
          <w:lang w:val="fr-CA"/>
        </w:rPr>
        <w:t>’</w:t>
      </w:r>
      <w:r w:rsidRPr="0081699D">
        <w:rPr>
          <w:lang w:val="fr-CA"/>
        </w:rPr>
        <w:t>a pas démontré que la restitution aurait pour effet d</w:t>
      </w:r>
      <w:r>
        <w:rPr>
          <w:lang w:val="fr-CA"/>
        </w:rPr>
        <w:t>’</w:t>
      </w:r>
      <w:r w:rsidRPr="0081699D">
        <w:rPr>
          <w:lang w:val="fr-CA"/>
        </w:rPr>
        <w:t>accorder aux parties adhérentes un avantage indu. La Cour n</w:t>
      </w:r>
      <w:r>
        <w:rPr>
          <w:lang w:val="fr-CA"/>
        </w:rPr>
        <w:t>’</w:t>
      </w:r>
      <w:r w:rsidRPr="0081699D">
        <w:rPr>
          <w:lang w:val="fr-CA"/>
        </w:rPr>
        <w:t>a aucune raison d</w:t>
      </w:r>
      <w:r>
        <w:rPr>
          <w:lang w:val="fr-CA"/>
        </w:rPr>
        <w:t>’</w:t>
      </w:r>
      <w:r w:rsidRPr="0081699D">
        <w:rPr>
          <w:lang w:val="fr-CA"/>
        </w:rPr>
        <w:t xml:space="preserve">infirmer les conclusions du juge du procès. </w:t>
      </w:r>
    </w:p>
    <w:p w:rsidR="004708DC" w:rsidRPr="0081699D" w:rsidRDefault="004708DC" w:rsidP="005E000D">
      <w:pPr>
        <w:pStyle w:val="Title1LevelTitre1Niveau-AltL"/>
        <w:widowControl w:val="0"/>
        <w:rPr>
          <w:lang w:val="fr-CA"/>
        </w:rPr>
      </w:pPr>
      <w:r w:rsidRPr="0081699D">
        <w:rPr>
          <w:lang w:val="fr-CA"/>
        </w:rPr>
        <w:t>Conclusion</w:t>
      </w:r>
    </w:p>
    <w:p w:rsidR="004708DC" w:rsidRPr="0081699D" w:rsidRDefault="004708DC" w:rsidP="005E000D">
      <w:pPr>
        <w:pStyle w:val="ParaNoNdepar-AltN"/>
        <w:widowControl w:val="0"/>
        <w:rPr>
          <w:lang w:val="fr-CA"/>
        </w:rPr>
      </w:pPr>
      <w:r>
        <w:rPr>
          <w:lang w:val="fr-CA"/>
        </w:rPr>
        <w:t>Les articles</w:t>
      </w:r>
      <w:r w:rsidR="00BE6E7C">
        <w:rPr>
          <w:lang w:val="fr-CA"/>
        </w:rPr>
        <w:t xml:space="preserve"> </w:t>
      </w:r>
      <w:r w:rsidRPr="0081699D">
        <w:rPr>
          <w:lang w:val="fr-CA"/>
        </w:rPr>
        <w:t xml:space="preserve">12, 219 et 272 </w:t>
      </w:r>
      <w:proofErr w:type="spellStart"/>
      <w:r w:rsidRPr="0081699D">
        <w:rPr>
          <w:i/>
          <w:lang w:val="fr-CA"/>
        </w:rPr>
        <w:t>L.p.c</w:t>
      </w:r>
      <w:proofErr w:type="spellEnd"/>
      <w:r w:rsidRPr="0081699D">
        <w:rPr>
          <w:i/>
          <w:lang w:val="fr-CA"/>
        </w:rPr>
        <w:t>.</w:t>
      </w:r>
      <w:r w:rsidRPr="0081699D">
        <w:rPr>
          <w:lang w:val="fr-CA"/>
        </w:rPr>
        <w:t xml:space="preserve"> sont constitutionnellement applicables et opérants. Nous sommes d</w:t>
      </w:r>
      <w:r>
        <w:rPr>
          <w:lang w:val="fr-CA"/>
        </w:rPr>
        <w:t>’</w:t>
      </w:r>
      <w:r w:rsidRPr="0081699D">
        <w:rPr>
          <w:lang w:val="fr-CA"/>
        </w:rPr>
        <w:t xml:space="preserve">avis de rejeter le pourvoi avec dépens. </w:t>
      </w:r>
    </w:p>
    <w:p w:rsidR="00826C41" w:rsidRPr="002004BD" w:rsidRDefault="00B95092" w:rsidP="005E000D">
      <w:pPr>
        <w:pStyle w:val="SCCNormalDoubleSpacing"/>
        <w:widowControl w:val="0"/>
        <w:spacing w:after="480"/>
        <w:rPr>
          <w:lang w:val="fr-CA"/>
        </w:rPr>
      </w:pPr>
      <w:r w:rsidRPr="002004BD">
        <w:rPr>
          <w:lang w:val="fr-CA"/>
        </w:rPr>
        <w:tab/>
      </w:r>
      <w:r w:rsidRPr="002004BD">
        <w:rPr>
          <w:i/>
          <w:lang w:val="fr-CA"/>
        </w:rPr>
        <w:t xml:space="preserve">Pourvoi </w:t>
      </w:r>
      <w:r w:rsidR="00093D23" w:rsidRPr="002004BD">
        <w:rPr>
          <w:i/>
          <w:lang w:val="fr-CA"/>
        </w:rPr>
        <w:t>rejeté</w:t>
      </w:r>
      <w:r w:rsidR="008A26F9" w:rsidRPr="002004BD">
        <w:rPr>
          <w:i/>
          <w:lang w:val="fr-CA"/>
        </w:rPr>
        <w:t xml:space="preserve"> avec dépens</w:t>
      </w:r>
      <w:r w:rsidRPr="002004BD">
        <w:rPr>
          <w:i/>
          <w:lang w:val="fr-CA"/>
        </w:rPr>
        <w:t>.</w:t>
      </w:r>
    </w:p>
    <w:p w:rsidR="00B95092" w:rsidRPr="002004BD" w:rsidRDefault="00B95092" w:rsidP="005E000D">
      <w:pPr>
        <w:pStyle w:val="SCCLawFirm"/>
        <w:widowControl w:val="0"/>
        <w:spacing w:after="480"/>
        <w:rPr>
          <w:lang w:val="fr-CA"/>
        </w:rPr>
      </w:pPr>
      <w:r w:rsidRPr="002004BD">
        <w:rPr>
          <w:lang w:val="fr-CA"/>
        </w:rPr>
        <w:tab/>
        <w:t>Procureurs de l</w:t>
      </w:r>
      <w:r w:rsidR="009638A7">
        <w:rPr>
          <w:lang w:val="fr-CA"/>
        </w:rPr>
        <w:t>’</w:t>
      </w:r>
      <w:r w:rsidRPr="002004BD">
        <w:rPr>
          <w:lang w:val="fr-CA"/>
        </w:rPr>
        <w:t>appelante</w:t>
      </w:r>
      <w:r w:rsidR="00BE6E7C">
        <w:rPr>
          <w:lang w:val="fr-CA"/>
        </w:rPr>
        <w:t xml:space="preserve"> : </w:t>
      </w:r>
      <w:r w:rsidRPr="002004BD">
        <w:rPr>
          <w:lang w:val="fr-CA"/>
        </w:rPr>
        <w:t xml:space="preserve">Osler, </w:t>
      </w:r>
      <w:proofErr w:type="spellStart"/>
      <w:r w:rsidRPr="002004BD">
        <w:rPr>
          <w:lang w:val="fr-CA"/>
        </w:rPr>
        <w:t>Hoskin</w:t>
      </w:r>
      <w:proofErr w:type="spellEnd"/>
      <w:r w:rsidRPr="002004BD">
        <w:rPr>
          <w:lang w:val="fr-CA"/>
        </w:rPr>
        <w:t xml:space="preserve"> &amp; Harcourt, Montréal et </w:t>
      </w:r>
      <w:r w:rsidRPr="002004BD">
        <w:rPr>
          <w:lang w:val="fr-CA"/>
        </w:rPr>
        <w:lastRenderedPageBreak/>
        <w:t>Toronto</w:t>
      </w:r>
      <w:r w:rsidR="00134BC4" w:rsidRPr="002004BD">
        <w:rPr>
          <w:lang w:val="fr-CA"/>
        </w:rPr>
        <w:t xml:space="preserve">; </w:t>
      </w:r>
      <w:proofErr w:type="spellStart"/>
      <w:r w:rsidR="00134BC4" w:rsidRPr="002004BD">
        <w:rPr>
          <w:lang w:val="fr-CA"/>
        </w:rPr>
        <w:t>Deslauriers</w:t>
      </w:r>
      <w:proofErr w:type="spellEnd"/>
      <w:r w:rsidR="00134BC4" w:rsidRPr="002004BD">
        <w:rPr>
          <w:lang w:val="fr-CA"/>
        </w:rPr>
        <w:t xml:space="preserve"> &amp; Cie, Montréal</w:t>
      </w:r>
      <w:r w:rsidRPr="002004BD">
        <w:rPr>
          <w:lang w:val="fr-CA"/>
        </w:rPr>
        <w:t>.</w:t>
      </w:r>
    </w:p>
    <w:p w:rsidR="00B95092" w:rsidRPr="002004BD" w:rsidRDefault="00B95092" w:rsidP="005E000D">
      <w:pPr>
        <w:pStyle w:val="SCCLawFirm"/>
        <w:widowControl w:val="0"/>
        <w:spacing w:after="480"/>
        <w:rPr>
          <w:lang w:val="fr-CA"/>
        </w:rPr>
      </w:pPr>
      <w:r w:rsidRPr="002004BD">
        <w:rPr>
          <w:lang w:val="fr-CA"/>
        </w:rPr>
        <w:tab/>
        <w:t>Procureurs de l</w:t>
      </w:r>
      <w:r w:rsidR="009638A7">
        <w:rPr>
          <w:lang w:val="fr-CA"/>
        </w:rPr>
        <w:t>’</w:t>
      </w:r>
      <w:r w:rsidR="002134D5" w:rsidRPr="002004BD">
        <w:rPr>
          <w:lang w:val="fr-CA"/>
        </w:rPr>
        <w:t xml:space="preserve">intimé </w:t>
      </w:r>
      <w:proofErr w:type="spellStart"/>
      <w:r w:rsidR="002134D5" w:rsidRPr="002004BD">
        <w:rPr>
          <w:lang w:val="fr-CA"/>
        </w:rPr>
        <w:t>Sylvan</w:t>
      </w:r>
      <w:proofErr w:type="spellEnd"/>
      <w:r w:rsidR="002134D5" w:rsidRPr="002004BD">
        <w:rPr>
          <w:lang w:val="fr-CA"/>
        </w:rPr>
        <w:t xml:space="preserve"> Adams</w:t>
      </w:r>
      <w:r w:rsidR="00BE6E7C">
        <w:rPr>
          <w:lang w:val="fr-CA"/>
        </w:rPr>
        <w:t xml:space="preserve"> : </w:t>
      </w:r>
      <w:r w:rsidRPr="002004BD">
        <w:rPr>
          <w:lang w:val="fr-CA"/>
        </w:rPr>
        <w:t xml:space="preserve">Irving Mitchell </w:t>
      </w:r>
      <w:proofErr w:type="spellStart"/>
      <w:r w:rsidRPr="002004BD">
        <w:rPr>
          <w:lang w:val="fr-CA"/>
        </w:rPr>
        <w:t>Kalichman</w:t>
      </w:r>
      <w:proofErr w:type="spellEnd"/>
      <w:r w:rsidRPr="002004BD">
        <w:rPr>
          <w:lang w:val="fr-CA"/>
        </w:rPr>
        <w:t>, Montréal.</w:t>
      </w:r>
    </w:p>
    <w:p w:rsidR="00B95092" w:rsidRPr="002004BD" w:rsidRDefault="00B95092" w:rsidP="005E000D">
      <w:pPr>
        <w:pStyle w:val="SCCLawFirm"/>
        <w:widowControl w:val="0"/>
        <w:spacing w:after="480"/>
        <w:rPr>
          <w:lang w:val="fr-CA"/>
        </w:rPr>
      </w:pPr>
      <w:r w:rsidRPr="002004BD">
        <w:rPr>
          <w:lang w:val="fr-CA"/>
        </w:rPr>
        <w:tab/>
        <w:t>Procureurs de l</w:t>
      </w:r>
      <w:r w:rsidR="009638A7">
        <w:rPr>
          <w:lang w:val="fr-CA"/>
        </w:rPr>
        <w:t>’</w:t>
      </w:r>
      <w:r w:rsidRPr="002004BD">
        <w:rPr>
          <w:lang w:val="fr-CA"/>
        </w:rPr>
        <w:t>intimé le procureur général du Québec</w:t>
      </w:r>
      <w:r w:rsidR="00BE6E7C">
        <w:rPr>
          <w:lang w:val="fr-CA"/>
        </w:rPr>
        <w:t xml:space="preserve"> : </w:t>
      </w:r>
      <w:r w:rsidRPr="002004BD">
        <w:rPr>
          <w:lang w:val="fr-CA"/>
        </w:rPr>
        <w:t>Bernard, Roy &amp; Associés, Montréal.</w:t>
      </w:r>
    </w:p>
    <w:p w:rsidR="00B95092" w:rsidRPr="002004BD" w:rsidRDefault="00B95092" w:rsidP="005E000D">
      <w:pPr>
        <w:pStyle w:val="SCCLawFirm"/>
        <w:widowControl w:val="0"/>
        <w:spacing w:after="480"/>
        <w:rPr>
          <w:lang w:val="fr-CA"/>
        </w:rPr>
      </w:pPr>
      <w:r w:rsidRPr="002004BD">
        <w:rPr>
          <w:lang w:val="fr-CA"/>
        </w:rPr>
        <w:tab/>
        <w:t>Procureurs de l</w:t>
      </w:r>
      <w:r w:rsidR="009638A7">
        <w:rPr>
          <w:lang w:val="fr-CA"/>
        </w:rPr>
        <w:t>’</w:t>
      </w:r>
      <w:r w:rsidRPr="002004BD">
        <w:rPr>
          <w:lang w:val="fr-CA"/>
        </w:rPr>
        <w:t>in</w:t>
      </w:r>
      <w:r w:rsidR="00964FF7">
        <w:rPr>
          <w:lang w:val="fr-CA"/>
        </w:rPr>
        <w:t>timé le p</w:t>
      </w:r>
      <w:r w:rsidRPr="002004BD">
        <w:rPr>
          <w:lang w:val="fr-CA"/>
        </w:rPr>
        <w:t>résident de l</w:t>
      </w:r>
      <w:r w:rsidR="009638A7">
        <w:rPr>
          <w:lang w:val="fr-CA"/>
        </w:rPr>
        <w:t>’</w:t>
      </w:r>
      <w:r w:rsidRPr="002004BD">
        <w:rPr>
          <w:lang w:val="fr-CA"/>
        </w:rPr>
        <w:t>Office de la protection du consommateur</w:t>
      </w:r>
      <w:r w:rsidR="00BE6E7C">
        <w:rPr>
          <w:lang w:val="fr-CA"/>
        </w:rPr>
        <w:t xml:space="preserve"> : </w:t>
      </w:r>
      <w:r w:rsidRPr="002004BD">
        <w:rPr>
          <w:lang w:val="fr-CA"/>
        </w:rPr>
        <w:t>Allard, Renaud et Associés, Trois</w:t>
      </w:r>
      <w:r w:rsidR="004424F4">
        <w:rPr>
          <w:lang w:val="fr-CA"/>
        </w:rPr>
        <w:t>-</w:t>
      </w:r>
      <w:r w:rsidRPr="002004BD">
        <w:rPr>
          <w:lang w:val="fr-CA"/>
        </w:rPr>
        <w:t>Rivières; Office de la protection du consommateur, Trois</w:t>
      </w:r>
      <w:r w:rsidR="003D5D01">
        <w:rPr>
          <w:lang w:val="fr-CA"/>
        </w:rPr>
        <w:t>-</w:t>
      </w:r>
      <w:r w:rsidRPr="002004BD">
        <w:rPr>
          <w:lang w:val="fr-CA"/>
        </w:rPr>
        <w:t>Rivières.</w:t>
      </w:r>
    </w:p>
    <w:p w:rsidR="00B95092" w:rsidRPr="002004BD" w:rsidRDefault="00B95092" w:rsidP="005E000D">
      <w:pPr>
        <w:pStyle w:val="SCCLawFirm"/>
        <w:widowControl w:val="0"/>
        <w:spacing w:after="480"/>
        <w:rPr>
          <w:lang w:val="fr-CA"/>
        </w:rPr>
      </w:pPr>
      <w:r w:rsidRPr="002004BD">
        <w:rPr>
          <w:lang w:val="fr-CA"/>
        </w:rPr>
        <w:tab/>
        <w:t>Procureur de l</w:t>
      </w:r>
      <w:r w:rsidR="009638A7">
        <w:rPr>
          <w:lang w:val="fr-CA"/>
        </w:rPr>
        <w:t>’</w:t>
      </w:r>
      <w:r w:rsidRPr="002004BD">
        <w:rPr>
          <w:lang w:val="fr-CA"/>
        </w:rPr>
        <w:t>intervenant le p</w:t>
      </w:r>
      <w:r w:rsidR="002134D5" w:rsidRPr="002004BD">
        <w:rPr>
          <w:lang w:val="fr-CA"/>
        </w:rPr>
        <w:t>rocureur général du Canada</w:t>
      </w:r>
      <w:r w:rsidR="00BE6E7C">
        <w:rPr>
          <w:lang w:val="fr-CA"/>
        </w:rPr>
        <w:t xml:space="preserve"> : </w:t>
      </w:r>
      <w:r w:rsidRPr="002004BD">
        <w:rPr>
          <w:lang w:val="fr-CA"/>
        </w:rPr>
        <w:t>Procureur général du Canada, Montréal.</w:t>
      </w:r>
    </w:p>
    <w:p w:rsidR="00B95092" w:rsidRPr="002004BD" w:rsidRDefault="00B95092" w:rsidP="005E000D">
      <w:pPr>
        <w:pStyle w:val="SCCLawFirm"/>
        <w:widowControl w:val="0"/>
        <w:spacing w:after="480"/>
        <w:rPr>
          <w:lang w:val="fr-CA"/>
        </w:rPr>
      </w:pPr>
      <w:r w:rsidRPr="002004BD">
        <w:rPr>
          <w:lang w:val="fr-CA"/>
        </w:rPr>
        <w:tab/>
        <w:t>Procureur de l</w:t>
      </w:r>
      <w:r w:rsidR="009638A7">
        <w:rPr>
          <w:lang w:val="fr-CA"/>
        </w:rPr>
        <w:t>’</w:t>
      </w:r>
      <w:r w:rsidRPr="002004BD">
        <w:rPr>
          <w:lang w:val="fr-CA"/>
        </w:rPr>
        <w:t>intervenant le procureur général de l</w:t>
      </w:r>
      <w:r w:rsidR="009638A7">
        <w:rPr>
          <w:lang w:val="fr-CA"/>
        </w:rPr>
        <w:t>’</w:t>
      </w:r>
      <w:r w:rsidR="002134D5" w:rsidRPr="002004BD">
        <w:rPr>
          <w:lang w:val="fr-CA"/>
        </w:rPr>
        <w:t>Ontario</w:t>
      </w:r>
      <w:r w:rsidR="00BE6E7C">
        <w:rPr>
          <w:lang w:val="fr-CA"/>
        </w:rPr>
        <w:t xml:space="preserve"> : </w:t>
      </w:r>
      <w:r w:rsidRPr="002004BD">
        <w:rPr>
          <w:lang w:val="fr-CA"/>
        </w:rPr>
        <w:t>Procureur général de l</w:t>
      </w:r>
      <w:r w:rsidR="009638A7">
        <w:rPr>
          <w:lang w:val="fr-CA"/>
        </w:rPr>
        <w:t>’</w:t>
      </w:r>
      <w:r w:rsidRPr="002004BD">
        <w:rPr>
          <w:lang w:val="fr-CA"/>
        </w:rPr>
        <w:t>Ontario, Toronto.</w:t>
      </w:r>
    </w:p>
    <w:p w:rsidR="00B95092" w:rsidRPr="002004BD" w:rsidRDefault="00B95092" w:rsidP="005E000D">
      <w:pPr>
        <w:pStyle w:val="SCCLawFirm"/>
        <w:widowControl w:val="0"/>
        <w:spacing w:after="480"/>
        <w:rPr>
          <w:lang w:val="fr-CA"/>
        </w:rPr>
      </w:pPr>
      <w:r w:rsidRPr="002004BD">
        <w:rPr>
          <w:lang w:val="fr-CA"/>
        </w:rPr>
        <w:tab/>
        <w:t>Procureur de l</w:t>
      </w:r>
      <w:r w:rsidR="009638A7">
        <w:rPr>
          <w:lang w:val="fr-CA"/>
        </w:rPr>
        <w:t>’</w:t>
      </w:r>
      <w:r w:rsidRPr="002004BD">
        <w:rPr>
          <w:lang w:val="fr-CA"/>
        </w:rPr>
        <w:t>intervenant le procureur général de l</w:t>
      </w:r>
      <w:r w:rsidR="009638A7">
        <w:rPr>
          <w:lang w:val="fr-CA"/>
        </w:rPr>
        <w:t>’</w:t>
      </w:r>
      <w:r w:rsidR="002134D5" w:rsidRPr="002004BD">
        <w:rPr>
          <w:lang w:val="fr-CA"/>
        </w:rPr>
        <w:t>Alberta</w:t>
      </w:r>
      <w:r w:rsidR="00BE6E7C">
        <w:rPr>
          <w:lang w:val="fr-CA"/>
        </w:rPr>
        <w:t xml:space="preserve"> : </w:t>
      </w:r>
      <w:r w:rsidRPr="002004BD">
        <w:rPr>
          <w:lang w:val="fr-CA"/>
        </w:rPr>
        <w:t>Procureur général de l</w:t>
      </w:r>
      <w:r w:rsidR="009638A7">
        <w:rPr>
          <w:lang w:val="fr-CA"/>
        </w:rPr>
        <w:t>’</w:t>
      </w:r>
      <w:r w:rsidRPr="002004BD">
        <w:rPr>
          <w:lang w:val="fr-CA"/>
        </w:rPr>
        <w:t>Alberta, Edmonton.</w:t>
      </w:r>
    </w:p>
    <w:p w:rsidR="009B57B3" w:rsidRDefault="00B95092" w:rsidP="005E000D">
      <w:pPr>
        <w:pStyle w:val="SCCLawFirm"/>
        <w:widowControl w:val="0"/>
        <w:rPr>
          <w:b/>
          <w:i w:val="0"/>
          <w:lang w:val="fr-CA"/>
        </w:rPr>
      </w:pPr>
      <w:r w:rsidRPr="002004BD">
        <w:rPr>
          <w:lang w:val="fr-CA"/>
        </w:rPr>
        <w:tab/>
        <w:t>Procureurs de l</w:t>
      </w:r>
      <w:r w:rsidR="009638A7">
        <w:rPr>
          <w:lang w:val="fr-CA"/>
        </w:rPr>
        <w:t>’</w:t>
      </w:r>
      <w:r w:rsidRPr="002004BD">
        <w:rPr>
          <w:lang w:val="fr-CA"/>
        </w:rPr>
        <w:t>intervenante l</w:t>
      </w:r>
      <w:r w:rsidR="009638A7">
        <w:rPr>
          <w:lang w:val="fr-CA"/>
        </w:rPr>
        <w:t>’</w:t>
      </w:r>
      <w:r w:rsidRPr="002004BD">
        <w:rPr>
          <w:lang w:val="fr-CA"/>
        </w:rPr>
        <w:t>Association des banquiers c</w:t>
      </w:r>
      <w:r w:rsidR="002134D5" w:rsidRPr="002004BD">
        <w:rPr>
          <w:lang w:val="fr-CA"/>
        </w:rPr>
        <w:t>anadiens</w:t>
      </w:r>
      <w:r w:rsidR="00BE6E7C">
        <w:rPr>
          <w:lang w:val="fr-CA"/>
        </w:rPr>
        <w:t xml:space="preserve"> : </w:t>
      </w:r>
      <w:r w:rsidRPr="002004BD">
        <w:rPr>
          <w:lang w:val="fr-CA"/>
        </w:rPr>
        <w:t>Torys, Toronto.</w:t>
      </w:r>
    </w:p>
    <w:p w:rsidR="004708DC" w:rsidRPr="004708DC" w:rsidRDefault="004708DC" w:rsidP="005E000D">
      <w:pPr>
        <w:pStyle w:val="SCCNormalDoubleSpacing"/>
        <w:widowControl w:val="0"/>
        <w:rPr>
          <w:lang w:val="fr-CA"/>
        </w:rPr>
      </w:pPr>
    </w:p>
    <w:sectPr w:rsidR="004708DC" w:rsidRPr="004708DC"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27" w:rsidRDefault="00B74327">
      <w:r>
        <w:separator/>
      </w:r>
    </w:p>
  </w:endnote>
  <w:endnote w:type="continuationSeparator" w:id="0">
    <w:p w:rsidR="00B74327" w:rsidRDefault="00B7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55" w:rsidRDefault="00592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55" w:rsidRDefault="005921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55" w:rsidRDefault="00592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27" w:rsidRDefault="00B74327">
      <w:r>
        <w:separator/>
      </w:r>
    </w:p>
  </w:footnote>
  <w:footnote w:type="continuationSeparator" w:id="0">
    <w:p w:rsidR="00B74327" w:rsidRDefault="00B7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55" w:rsidRDefault="00592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27" w:rsidRPr="00450352" w:rsidRDefault="00B74327"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55" w:rsidRDefault="00592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F58"/>
    <w:multiLevelType w:val="hybridMultilevel"/>
    <w:tmpl w:val="8C844744"/>
    <w:lvl w:ilvl="0" w:tplc="04090017">
      <w:start w:val="1"/>
      <w:numFmt w:val="lowerLetter"/>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1">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603130A"/>
    <w:multiLevelType w:val="multilevel"/>
    <w:tmpl w:val="C698593A"/>
    <w:lvl w:ilvl="0">
      <w:start w:val="1"/>
      <w:numFmt w:val="upperRoman"/>
      <w:pStyle w:val="Title1LevelTitre1Niveau-AltL"/>
      <w:lvlText w:val="%1."/>
      <w:lvlJc w:val="left"/>
      <w:pPr>
        <w:tabs>
          <w:tab w:val="num" w:pos="5616"/>
        </w:tabs>
        <w:ind w:left="5616" w:hanging="432"/>
      </w:pPr>
      <w:rPr>
        <w:rFonts w:cs="Times New Roman"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cs="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cs="Times New Roman" w:hint="default"/>
        <w:b w:val="0"/>
        <w:i w:val="0"/>
        <w:sz w:val="24"/>
      </w:rPr>
    </w:lvl>
    <w:lvl w:ilvl="3">
      <w:start w:val="1"/>
      <w:numFmt w:val="lowerLetter"/>
      <w:pStyle w:val="Title4LevelTitre4Niveau"/>
      <w:lvlText w:val="(%4)"/>
      <w:lvlJc w:val="left"/>
      <w:pPr>
        <w:tabs>
          <w:tab w:val="num" w:pos="6480"/>
        </w:tabs>
        <w:ind w:left="6480" w:hanging="432"/>
      </w:pPr>
      <w:rPr>
        <w:rFonts w:cs="Times New Roman" w:hint="default"/>
        <w:b w:val="0"/>
        <w:i w:val="0"/>
      </w:rPr>
    </w:lvl>
    <w:lvl w:ilvl="4">
      <w:start w:val="1"/>
      <w:numFmt w:val="lowerRoman"/>
      <w:pStyle w:val="Title5LevelTitre5Niveau"/>
      <w:lvlText w:val="(%5)"/>
      <w:lvlJc w:val="left"/>
      <w:pPr>
        <w:tabs>
          <w:tab w:val="num" w:pos="6912"/>
        </w:tabs>
        <w:ind w:left="6912" w:hanging="432"/>
      </w:pPr>
      <w:rPr>
        <w:rFonts w:cs="Times New Roman" w:hint="default"/>
      </w:rPr>
    </w:lvl>
    <w:lvl w:ilvl="5">
      <w:start w:val="1"/>
      <w:numFmt w:val="decimal"/>
      <w:lvlText w:val="(%6)"/>
      <w:lvlJc w:val="left"/>
      <w:pPr>
        <w:ind w:left="7776" w:hanging="432"/>
      </w:pPr>
      <w:rPr>
        <w:rFonts w:cs="Times New Roman" w:hint="default"/>
      </w:rPr>
    </w:lvl>
    <w:lvl w:ilvl="6">
      <w:start w:val="1"/>
      <w:numFmt w:val="decimal"/>
      <w:lvlText w:val="%7."/>
      <w:lvlJc w:val="left"/>
      <w:pPr>
        <w:ind w:left="8208" w:hanging="432"/>
      </w:pPr>
      <w:rPr>
        <w:rFonts w:cs="Times New Roman" w:hint="default"/>
      </w:rPr>
    </w:lvl>
    <w:lvl w:ilvl="7">
      <w:start w:val="1"/>
      <w:numFmt w:val="lowerLetter"/>
      <w:lvlText w:val="%8."/>
      <w:lvlJc w:val="left"/>
      <w:pPr>
        <w:ind w:left="8640" w:hanging="432"/>
      </w:pPr>
      <w:rPr>
        <w:rFonts w:cs="Times New Roman" w:hint="default"/>
      </w:rPr>
    </w:lvl>
    <w:lvl w:ilvl="8">
      <w:start w:val="1"/>
      <w:numFmt w:val="lowerRoman"/>
      <w:lvlText w:val="%9."/>
      <w:lvlJc w:val="left"/>
      <w:pPr>
        <w:ind w:left="9072" w:hanging="432"/>
      </w:pPr>
      <w:rPr>
        <w:rFonts w:cs="Times New Roman"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17DA0"/>
    <w:rsid w:val="00020580"/>
    <w:rsid w:val="00023FC7"/>
    <w:rsid w:val="00025198"/>
    <w:rsid w:val="000372EB"/>
    <w:rsid w:val="000449C2"/>
    <w:rsid w:val="000578A3"/>
    <w:rsid w:val="00061EB3"/>
    <w:rsid w:val="000648CC"/>
    <w:rsid w:val="00075A84"/>
    <w:rsid w:val="00081B2A"/>
    <w:rsid w:val="00082F36"/>
    <w:rsid w:val="00093D23"/>
    <w:rsid w:val="000C2493"/>
    <w:rsid w:val="000C59B8"/>
    <w:rsid w:val="000C6AF0"/>
    <w:rsid w:val="000D0A77"/>
    <w:rsid w:val="000D66C1"/>
    <w:rsid w:val="000F7993"/>
    <w:rsid w:val="00104F33"/>
    <w:rsid w:val="00111DE2"/>
    <w:rsid w:val="00115B13"/>
    <w:rsid w:val="00116B38"/>
    <w:rsid w:val="00122BB6"/>
    <w:rsid w:val="00134BC4"/>
    <w:rsid w:val="00135406"/>
    <w:rsid w:val="00135972"/>
    <w:rsid w:val="00140D6A"/>
    <w:rsid w:val="001426A9"/>
    <w:rsid w:val="001479CD"/>
    <w:rsid w:val="00154D7C"/>
    <w:rsid w:val="001570B0"/>
    <w:rsid w:val="0015752C"/>
    <w:rsid w:val="00157737"/>
    <w:rsid w:val="00165277"/>
    <w:rsid w:val="00170592"/>
    <w:rsid w:val="001720F7"/>
    <w:rsid w:val="00175C79"/>
    <w:rsid w:val="0018622F"/>
    <w:rsid w:val="00195D83"/>
    <w:rsid w:val="001A00C1"/>
    <w:rsid w:val="001A6AC9"/>
    <w:rsid w:val="001B33E0"/>
    <w:rsid w:val="001B4573"/>
    <w:rsid w:val="001C779F"/>
    <w:rsid w:val="001D0E06"/>
    <w:rsid w:val="001D2AC1"/>
    <w:rsid w:val="001D4E88"/>
    <w:rsid w:val="001D5315"/>
    <w:rsid w:val="001E0DD0"/>
    <w:rsid w:val="001F22AD"/>
    <w:rsid w:val="002004BD"/>
    <w:rsid w:val="002134D5"/>
    <w:rsid w:val="00220FC2"/>
    <w:rsid w:val="002222F4"/>
    <w:rsid w:val="00224FC0"/>
    <w:rsid w:val="00225EA4"/>
    <w:rsid w:val="00226EAF"/>
    <w:rsid w:val="00231F3A"/>
    <w:rsid w:val="002406EE"/>
    <w:rsid w:val="00243EC8"/>
    <w:rsid w:val="002665CC"/>
    <w:rsid w:val="00270D93"/>
    <w:rsid w:val="002745CC"/>
    <w:rsid w:val="002B6FB2"/>
    <w:rsid w:val="002B6FBE"/>
    <w:rsid w:val="002B7924"/>
    <w:rsid w:val="002C10A6"/>
    <w:rsid w:val="002C2372"/>
    <w:rsid w:val="002D28C3"/>
    <w:rsid w:val="002D2C36"/>
    <w:rsid w:val="002D39A4"/>
    <w:rsid w:val="002E6705"/>
    <w:rsid w:val="0030329A"/>
    <w:rsid w:val="0031086F"/>
    <w:rsid w:val="0031414C"/>
    <w:rsid w:val="00314E01"/>
    <w:rsid w:val="0032089D"/>
    <w:rsid w:val="003310DE"/>
    <w:rsid w:val="003323B0"/>
    <w:rsid w:val="00337BD8"/>
    <w:rsid w:val="00340A49"/>
    <w:rsid w:val="0035169A"/>
    <w:rsid w:val="0035259D"/>
    <w:rsid w:val="00364B18"/>
    <w:rsid w:val="0038427F"/>
    <w:rsid w:val="0039245E"/>
    <w:rsid w:val="003A125D"/>
    <w:rsid w:val="003A1C86"/>
    <w:rsid w:val="003A4C70"/>
    <w:rsid w:val="003B215F"/>
    <w:rsid w:val="003C799C"/>
    <w:rsid w:val="003D0399"/>
    <w:rsid w:val="003D4916"/>
    <w:rsid w:val="003D5D01"/>
    <w:rsid w:val="003E1C71"/>
    <w:rsid w:val="003F327B"/>
    <w:rsid w:val="00406166"/>
    <w:rsid w:val="0040704B"/>
    <w:rsid w:val="00410A55"/>
    <w:rsid w:val="00411300"/>
    <w:rsid w:val="00413F17"/>
    <w:rsid w:val="00415417"/>
    <w:rsid w:val="004241EF"/>
    <w:rsid w:val="00426659"/>
    <w:rsid w:val="004327B6"/>
    <w:rsid w:val="004424F4"/>
    <w:rsid w:val="00450352"/>
    <w:rsid w:val="00454BDB"/>
    <w:rsid w:val="00465132"/>
    <w:rsid w:val="004708DC"/>
    <w:rsid w:val="00480C90"/>
    <w:rsid w:val="0048396F"/>
    <w:rsid w:val="00493C18"/>
    <w:rsid w:val="00494D87"/>
    <w:rsid w:val="004A600C"/>
    <w:rsid w:val="004A6118"/>
    <w:rsid w:val="004C478D"/>
    <w:rsid w:val="004C7F6C"/>
    <w:rsid w:val="004D7D95"/>
    <w:rsid w:val="004E2C26"/>
    <w:rsid w:val="004E38E1"/>
    <w:rsid w:val="005125A8"/>
    <w:rsid w:val="00517549"/>
    <w:rsid w:val="00520ABC"/>
    <w:rsid w:val="00521AE8"/>
    <w:rsid w:val="005246F9"/>
    <w:rsid w:val="00525432"/>
    <w:rsid w:val="00526B14"/>
    <w:rsid w:val="0052711D"/>
    <w:rsid w:val="00527180"/>
    <w:rsid w:val="00555032"/>
    <w:rsid w:val="00555291"/>
    <w:rsid w:val="00566AD1"/>
    <w:rsid w:val="00583EDE"/>
    <w:rsid w:val="00592155"/>
    <w:rsid w:val="005A6079"/>
    <w:rsid w:val="005C1353"/>
    <w:rsid w:val="005C14BE"/>
    <w:rsid w:val="005D46F7"/>
    <w:rsid w:val="005E000D"/>
    <w:rsid w:val="005E4698"/>
    <w:rsid w:val="00603924"/>
    <w:rsid w:val="00610539"/>
    <w:rsid w:val="00613969"/>
    <w:rsid w:val="00625379"/>
    <w:rsid w:val="00625C35"/>
    <w:rsid w:val="00647E49"/>
    <w:rsid w:val="00656313"/>
    <w:rsid w:val="006565F4"/>
    <w:rsid w:val="006720F9"/>
    <w:rsid w:val="00684EEA"/>
    <w:rsid w:val="00693434"/>
    <w:rsid w:val="0069689B"/>
    <w:rsid w:val="006B56F7"/>
    <w:rsid w:val="006B5FF5"/>
    <w:rsid w:val="006C5FD9"/>
    <w:rsid w:val="006E5211"/>
    <w:rsid w:val="006F30AF"/>
    <w:rsid w:val="00701759"/>
    <w:rsid w:val="00705C15"/>
    <w:rsid w:val="007110F6"/>
    <w:rsid w:val="007208D1"/>
    <w:rsid w:val="00744518"/>
    <w:rsid w:val="00745E4F"/>
    <w:rsid w:val="00747288"/>
    <w:rsid w:val="00747DD3"/>
    <w:rsid w:val="007549C8"/>
    <w:rsid w:val="00760674"/>
    <w:rsid w:val="00766D14"/>
    <w:rsid w:val="00767A0F"/>
    <w:rsid w:val="00771D5C"/>
    <w:rsid w:val="00791272"/>
    <w:rsid w:val="007A05F6"/>
    <w:rsid w:val="007B6F4A"/>
    <w:rsid w:val="007E1C47"/>
    <w:rsid w:val="007E337A"/>
    <w:rsid w:val="007E5C70"/>
    <w:rsid w:val="007F1C66"/>
    <w:rsid w:val="007F2FF5"/>
    <w:rsid w:val="007F3F08"/>
    <w:rsid w:val="00804CC6"/>
    <w:rsid w:val="008115F4"/>
    <w:rsid w:val="00817190"/>
    <w:rsid w:val="008260E2"/>
    <w:rsid w:val="00826C41"/>
    <w:rsid w:val="008322BD"/>
    <w:rsid w:val="00834F73"/>
    <w:rsid w:val="00864C8A"/>
    <w:rsid w:val="00864CF8"/>
    <w:rsid w:val="00867D33"/>
    <w:rsid w:val="00870967"/>
    <w:rsid w:val="00874914"/>
    <w:rsid w:val="00877B3A"/>
    <w:rsid w:val="00891422"/>
    <w:rsid w:val="00892E1A"/>
    <w:rsid w:val="008A26F9"/>
    <w:rsid w:val="008A31A4"/>
    <w:rsid w:val="008B660A"/>
    <w:rsid w:val="008B787C"/>
    <w:rsid w:val="008C01DA"/>
    <w:rsid w:val="008D51FF"/>
    <w:rsid w:val="008E76F9"/>
    <w:rsid w:val="008F2674"/>
    <w:rsid w:val="008F78E9"/>
    <w:rsid w:val="009179F9"/>
    <w:rsid w:val="00917C7A"/>
    <w:rsid w:val="00933E5E"/>
    <w:rsid w:val="00935023"/>
    <w:rsid w:val="00935218"/>
    <w:rsid w:val="0093603D"/>
    <w:rsid w:val="00937C52"/>
    <w:rsid w:val="009403F3"/>
    <w:rsid w:val="009555B7"/>
    <w:rsid w:val="009556A0"/>
    <w:rsid w:val="009567AA"/>
    <w:rsid w:val="009602C9"/>
    <w:rsid w:val="009638A7"/>
    <w:rsid w:val="00964FF7"/>
    <w:rsid w:val="00967374"/>
    <w:rsid w:val="00967DE4"/>
    <w:rsid w:val="009A343A"/>
    <w:rsid w:val="009B2144"/>
    <w:rsid w:val="009B2F23"/>
    <w:rsid w:val="009B57B3"/>
    <w:rsid w:val="009D2920"/>
    <w:rsid w:val="009D5AEB"/>
    <w:rsid w:val="009F0E33"/>
    <w:rsid w:val="009F48EF"/>
    <w:rsid w:val="00A01747"/>
    <w:rsid w:val="00A149DF"/>
    <w:rsid w:val="00A1755C"/>
    <w:rsid w:val="00A21B90"/>
    <w:rsid w:val="00A22AAC"/>
    <w:rsid w:val="00A40260"/>
    <w:rsid w:val="00A40A02"/>
    <w:rsid w:val="00A41805"/>
    <w:rsid w:val="00A51882"/>
    <w:rsid w:val="00A51886"/>
    <w:rsid w:val="00A52AFB"/>
    <w:rsid w:val="00A548CB"/>
    <w:rsid w:val="00A550D3"/>
    <w:rsid w:val="00A5521C"/>
    <w:rsid w:val="00A643E7"/>
    <w:rsid w:val="00A73C38"/>
    <w:rsid w:val="00A806B9"/>
    <w:rsid w:val="00AA7405"/>
    <w:rsid w:val="00AB670D"/>
    <w:rsid w:val="00AF03C5"/>
    <w:rsid w:val="00AF40DB"/>
    <w:rsid w:val="00B000D8"/>
    <w:rsid w:val="00B00F75"/>
    <w:rsid w:val="00B05D85"/>
    <w:rsid w:val="00B145B6"/>
    <w:rsid w:val="00B279EB"/>
    <w:rsid w:val="00B30F5B"/>
    <w:rsid w:val="00B410BA"/>
    <w:rsid w:val="00B50C81"/>
    <w:rsid w:val="00B557F8"/>
    <w:rsid w:val="00B74327"/>
    <w:rsid w:val="00B80677"/>
    <w:rsid w:val="00B815FC"/>
    <w:rsid w:val="00B8462F"/>
    <w:rsid w:val="00B93FBC"/>
    <w:rsid w:val="00B95092"/>
    <w:rsid w:val="00B9561B"/>
    <w:rsid w:val="00BA7DA0"/>
    <w:rsid w:val="00BB2EE4"/>
    <w:rsid w:val="00BB4085"/>
    <w:rsid w:val="00BB4C92"/>
    <w:rsid w:val="00BC2108"/>
    <w:rsid w:val="00BD0E9E"/>
    <w:rsid w:val="00BD1BEC"/>
    <w:rsid w:val="00BD32FF"/>
    <w:rsid w:val="00BD7616"/>
    <w:rsid w:val="00BE6E7C"/>
    <w:rsid w:val="00BF6FE9"/>
    <w:rsid w:val="00C02092"/>
    <w:rsid w:val="00C24D91"/>
    <w:rsid w:val="00C26DB2"/>
    <w:rsid w:val="00C53777"/>
    <w:rsid w:val="00C53F14"/>
    <w:rsid w:val="00C600CF"/>
    <w:rsid w:val="00C6084F"/>
    <w:rsid w:val="00C62A66"/>
    <w:rsid w:val="00C66359"/>
    <w:rsid w:val="00C71458"/>
    <w:rsid w:val="00C77613"/>
    <w:rsid w:val="00C828E7"/>
    <w:rsid w:val="00C86719"/>
    <w:rsid w:val="00C921DD"/>
    <w:rsid w:val="00C9324A"/>
    <w:rsid w:val="00CA638C"/>
    <w:rsid w:val="00CA6391"/>
    <w:rsid w:val="00CD0EEB"/>
    <w:rsid w:val="00CD20F0"/>
    <w:rsid w:val="00CE036E"/>
    <w:rsid w:val="00CE3171"/>
    <w:rsid w:val="00CE6256"/>
    <w:rsid w:val="00CE6EF6"/>
    <w:rsid w:val="00CF1601"/>
    <w:rsid w:val="00D0172F"/>
    <w:rsid w:val="00D01E33"/>
    <w:rsid w:val="00D0369E"/>
    <w:rsid w:val="00D068A7"/>
    <w:rsid w:val="00D17476"/>
    <w:rsid w:val="00D32086"/>
    <w:rsid w:val="00D37A3F"/>
    <w:rsid w:val="00D4431D"/>
    <w:rsid w:val="00D44D5A"/>
    <w:rsid w:val="00D4667A"/>
    <w:rsid w:val="00D60187"/>
    <w:rsid w:val="00D63A1C"/>
    <w:rsid w:val="00D7516F"/>
    <w:rsid w:val="00D95F8E"/>
    <w:rsid w:val="00DA0590"/>
    <w:rsid w:val="00DA5CC9"/>
    <w:rsid w:val="00DC1739"/>
    <w:rsid w:val="00DC1788"/>
    <w:rsid w:val="00DC1C2D"/>
    <w:rsid w:val="00DE319C"/>
    <w:rsid w:val="00DF0CA8"/>
    <w:rsid w:val="00DF2B48"/>
    <w:rsid w:val="00DF49A7"/>
    <w:rsid w:val="00E03F98"/>
    <w:rsid w:val="00E07EE2"/>
    <w:rsid w:val="00E07FD1"/>
    <w:rsid w:val="00E11020"/>
    <w:rsid w:val="00E24573"/>
    <w:rsid w:val="00E25E1E"/>
    <w:rsid w:val="00E27EE7"/>
    <w:rsid w:val="00E35404"/>
    <w:rsid w:val="00E45109"/>
    <w:rsid w:val="00E47B7A"/>
    <w:rsid w:val="00E56A44"/>
    <w:rsid w:val="00E60269"/>
    <w:rsid w:val="00E97830"/>
    <w:rsid w:val="00EA62A7"/>
    <w:rsid w:val="00EE0830"/>
    <w:rsid w:val="00EE6CB8"/>
    <w:rsid w:val="00EF0683"/>
    <w:rsid w:val="00F0070C"/>
    <w:rsid w:val="00F00EB7"/>
    <w:rsid w:val="00F07F55"/>
    <w:rsid w:val="00F1446B"/>
    <w:rsid w:val="00F36AB6"/>
    <w:rsid w:val="00F37A09"/>
    <w:rsid w:val="00F409CE"/>
    <w:rsid w:val="00F4379D"/>
    <w:rsid w:val="00F50D2D"/>
    <w:rsid w:val="00F56C8B"/>
    <w:rsid w:val="00F62639"/>
    <w:rsid w:val="00F66810"/>
    <w:rsid w:val="00F67216"/>
    <w:rsid w:val="00F76C4D"/>
    <w:rsid w:val="00F84DF4"/>
    <w:rsid w:val="00F85C97"/>
    <w:rsid w:val="00FA1984"/>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uiPriority w:val="99"/>
    <w:rsid w:val="00F67216"/>
    <w:pPr>
      <w:numPr>
        <w:numId w:val="1"/>
      </w:numPr>
      <w:tabs>
        <w:tab w:val="clear" w:pos="1152"/>
        <w:tab w:val="left" w:pos="1166"/>
      </w:tabs>
      <w:spacing w:before="480" w:after="480" w:line="480" w:lineRule="auto"/>
      <w:jc w:val="both"/>
    </w:pPr>
    <w:rPr>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4708DC"/>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uiPriority w:val="99"/>
    <w:locked/>
    <w:rsid w:val="004708DC"/>
    <w:rPr>
      <w:sz w:val="24"/>
      <w:szCs w:val="22"/>
      <w:lang w:eastAsia="en-US"/>
    </w:rPr>
  </w:style>
  <w:style w:type="character" w:customStyle="1" w:styleId="SCCBanSummaryChar">
    <w:name w:val="SCC.BanSummary Char"/>
    <w:basedOn w:val="DefaultParagraphFont"/>
    <w:link w:val="SCCBanSummary"/>
    <w:uiPriority w:val="99"/>
    <w:locked/>
    <w:rsid w:val="004708DC"/>
    <w:rPr>
      <w:b/>
      <w:sz w:val="24"/>
    </w:rPr>
  </w:style>
  <w:style w:type="table" w:styleId="TableGrid">
    <w:name w:val="Table Grid"/>
    <w:basedOn w:val="TableNormal"/>
    <w:uiPriority w:val="59"/>
    <w:rsid w:val="004708DC"/>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99"/>
    <w:rsid w:val="004708DC"/>
    <w:pPr>
      <w:spacing w:after="720"/>
      <w:ind w:left="1166"/>
      <w:contextualSpacing/>
      <w:jc w:val="both"/>
    </w:pPr>
    <w:rPr>
      <w:sz w:val="24"/>
      <w:szCs w:val="24"/>
    </w:rPr>
  </w:style>
  <w:style w:type="paragraph" w:customStyle="1" w:styleId="ContinueParaSuitedupar-AltP">
    <w:name w:val="Continue Para. / Suite du par. - Alt P"/>
    <w:next w:val="ParaNoNdepar-AltN"/>
    <w:uiPriority w:val="99"/>
    <w:rsid w:val="004708DC"/>
    <w:pPr>
      <w:spacing w:before="480" w:after="480" w:line="480" w:lineRule="auto"/>
      <w:jc w:val="both"/>
    </w:pPr>
    <w:rPr>
      <w:sz w:val="24"/>
      <w:szCs w:val="22"/>
      <w:lang w:eastAsia="en-US"/>
    </w:rPr>
  </w:style>
  <w:style w:type="paragraph" w:customStyle="1" w:styleId="JudgeJuge">
    <w:name w:val="Judge / Juge"/>
    <w:uiPriority w:val="99"/>
    <w:rsid w:val="004708D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99"/>
    <w:rsid w:val="004708DC"/>
    <w:pPr>
      <w:numPr>
        <w:numId w:val="7"/>
      </w:numPr>
      <w:tabs>
        <w:tab w:val="left" w:pos="576"/>
      </w:tabs>
      <w:spacing w:before="480" w:after="720"/>
      <w:ind w:left="576" w:hanging="576"/>
    </w:pPr>
    <w:rPr>
      <w:sz w:val="24"/>
      <w:szCs w:val="22"/>
      <w:u w:val="single"/>
      <w:lang w:eastAsia="en-US"/>
    </w:rPr>
  </w:style>
  <w:style w:type="paragraph" w:customStyle="1" w:styleId="Title2LevelTitre2Niveau">
    <w:name w:val="Title 2 Level / Titre 2 Niveau"/>
    <w:basedOn w:val="Title1LevelTitre1Niveau-AltL"/>
    <w:next w:val="ParaNoNdepar-AltN"/>
    <w:uiPriority w:val="99"/>
    <w:rsid w:val="004708DC"/>
    <w:pPr>
      <w:numPr>
        <w:ilvl w:val="1"/>
      </w:numPr>
    </w:pPr>
    <w:rPr>
      <w:i/>
      <w:u w:val="none"/>
    </w:rPr>
  </w:style>
  <w:style w:type="paragraph" w:customStyle="1" w:styleId="Title3LevelTitre3Niveau">
    <w:name w:val="Title 3 Level / Titre 3 Niveau"/>
    <w:basedOn w:val="Title1LevelTitre1Niveau-AltL"/>
    <w:next w:val="ParaNoNdepar-AltN"/>
    <w:uiPriority w:val="99"/>
    <w:rsid w:val="004708DC"/>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99"/>
    <w:rsid w:val="004708DC"/>
    <w:pPr>
      <w:numPr>
        <w:ilvl w:val="3"/>
      </w:numPr>
      <w:tabs>
        <w:tab w:val="left" w:pos="1080"/>
        <w:tab w:val="num" w:pos="6048"/>
      </w:tabs>
    </w:pPr>
    <w:rPr>
      <w:i/>
      <w:u w:val="none"/>
    </w:rPr>
  </w:style>
  <w:style w:type="paragraph" w:customStyle="1" w:styleId="Title5LevelTitre5Niveau">
    <w:name w:val="Title 5 Level / Titre 5 Niveau"/>
    <w:basedOn w:val="Title1LevelTitre1Niveau-AltL"/>
    <w:next w:val="ParaNoNdepar-AltN"/>
    <w:uiPriority w:val="99"/>
    <w:rsid w:val="004708DC"/>
    <w:pPr>
      <w:numPr>
        <w:ilvl w:val="4"/>
      </w:numPr>
      <w:tabs>
        <w:tab w:val="clear" w:pos="576"/>
        <w:tab w:val="left" w:pos="1620"/>
      </w:tabs>
      <w:ind w:left="1620" w:hanging="540"/>
    </w:pPr>
  </w:style>
  <w:style w:type="paragraph" w:styleId="TOC1">
    <w:name w:val="toc 1"/>
    <w:basedOn w:val="Normal"/>
    <w:next w:val="Normal"/>
    <w:autoRedefine/>
    <w:uiPriority w:val="99"/>
    <w:rsid w:val="004708DC"/>
    <w:pPr>
      <w:tabs>
        <w:tab w:val="left" w:pos="360"/>
        <w:tab w:val="right" w:leader="dot" w:pos="8270"/>
      </w:tabs>
      <w:spacing w:before="120" w:after="120"/>
    </w:pPr>
    <w:rPr>
      <w:noProof/>
      <w:u w:val="single"/>
    </w:rPr>
  </w:style>
  <w:style w:type="paragraph" w:styleId="TOC2">
    <w:name w:val="toc 2"/>
    <w:basedOn w:val="Normal"/>
    <w:next w:val="Normal"/>
    <w:autoRedefine/>
    <w:uiPriority w:val="99"/>
    <w:rsid w:val="004708D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99"/>
    <w:rsid w:val="004708D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99"/>
    <w:rsid w:val="004708DC"/>
    <w:pPr>
      <w:tabs>
        <w:tab w:val="left" w:pos="900"/>
        <w:tab w:val="right" w:leader="dot" w:pos="8270"/>
      </w:tabs>
      <w:spacing w:before="120" w:after="120"/>
      <w:ind w:left="900" w:hanging="450"/>
    </w:pPr>
    <w:rPr>
      <w:i/>
      <w:noProof/>
      <w:szCs w:val="22"/>
    </w:rPr>
  </w:style>
  <w:style w:type="paragraph" w:styleId="TOC5">
    <w:name w:val="toc 5"/>
    <w:basedOn w:val="Normal"/>
    <w:next w:val="Normal"/>
    <w:autoRedefine/>
    <w:uiPriority w:val="99"/>
    <w:rsid w:val="004708D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99"/>
    <w:rsid w:val="004708DC"/>
    <w:pPr>
      <w:tabs>
        <w:tab w:val="left" w:pos="2160"/>
        <w:tab w:val="right" w:leader="dot" w:pos="8270"/>
      </w:tabs>
      <w:spacing w:after="100"/>
      <w:ind w:left="1800"/>
    </w:pPr>
    <w:rPr>
      <w:noProof/>
    </w:rPr>
  </w:style>
  <w:style w:type="table" w:customStyle="1" w:styleId="TableGrid1">
    <w:name w:val="Table Grid1"/>
    <w:uiPriority w:val="99"/>
    <w:rsid w:val="004708DC"/>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99"/>
    <w:rsid w:val="004708DC"/>
    <w:pPr>
      <w:tabs>
        <w:tab w:val="left" w:pos="360"/>
      </w:tabs>
      <w:spacing w:before="480" w:after="720"/>
      <w:ind w:left="360" w:hanging="360"/>
      <w:jc w:val="both"/>
    </w:pPr>
    <w:rPr>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1"/>
    <w:uiPriority w:val="99"/>
    <w:rsid w:val="004708DC"/>
    <w:rPr>
      <w:rFonts w:ascii="Calibri" w:hAnsi="Calibri"/>
      <w:sz w:val="20"/>
      <w:lang w:eastAsia="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semiHidden/>
    <w:rsid w:val="004708DC"/>
  </w:style>
  <w:style w:type="character" w:customStyle="1" w:styleId="FootnoteTextChar1">
    <w:name w:val="Footnote Text Char1"/>
    <w:aliases w:val="Footnote Text Char2 Char1,Footnote Text Char1 Char Char1,Footnote Text Char Char Char Char1,Footnote Text Char Char1 Char1,Footnote Text Char1 Char1 Char Char1,Footnote Text Char Char Char1 Char Char1"/>
    <w:basedOn w:val="DefaultParagraphFont"/>
    <w:link w:val="FootnoteText"/>
    <w:uiPriority w:val="99"/>
    <w:locked/>
    <w:rsid w:val="004708DC"/>
    <w:rPr>
      <w:rFonts w:ascii="Calibri" w:hAnsi="Calibri"/>
      <w:lang w:eastAsia="en-US"/>
    </w:rPr>
  </w:style>
  <w:style w:type="character" w:styleId="FootnoteReference">
    <w:name w:val="footnote reference"/>
    <w:basedOn w:val="DefaultParagraphFont"/>
    <w:uiPriority w:val="99"/>
    <w:rsid w:val="004708DC"/>
    <w:rPr>
      <w:rFonts w:cs="Times New Roman"/>
      <w:vertAlign w:val="superscript"/>
    </w:rPr>
  </w:style>
  <w:style w:type="character" w:styleId="SubtleEmphasis">
    <w:name w:val="Subtle Emphasis"/>
    <w:basedOn w:val="DefaultParagraphFont"/>
    <w:uiPriority w:val="99"/>
    <w:qFormat/>
    <w:rsid w:val="004708DC"/>
    <w:rPr>
      <w:i/>
    </w:rPr>
  </w:style>
  <w:style w:type="character" w:customStyle="1" w:styleId="SCCLsocPartyRoleChar">
    <w:name w:val="SCC.Lsoc.PartyRole Char"/>
    <w:basedOn w:val="DefaultParagraphFont"/>
    <w:rsid w:val="006C5FD9"/>
    <w:rPr>
      <w:lang w:val="fr-CA"/>
    </w:rPr>
  </w:style>
  <w:style w:type="paragraph" w:customStyle="1" w:styleId="SCCLsocPrefix">
    <w:name w:val="SCC.Lsoc.Prefix"/>
    <w:basedOn w:val="Normal"/>
    <w:next w:val="Normal"/>
    <w:link w:val="SCCLsocPrefixChar"/>
    <w:rsid w:val="006C5FD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C5FD9"/>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5834</Words>
  <Characters>30415</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2014-09-18T18:26:00Z</dcterms:created>
  <dcterms:modified xsi:type="dcterms:W3CDTF">2015-02-26T18:08:00Z</dcterms:modified>
</cp:coreProperties>
</file>