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E3" w:rsidRDefault="004030E3" w:rsidP="004030E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5pt;height:65pt" o:ole="">
            <v:imagedata r:id="rId7" o:title=""/>
          </v:shape>
          <o:OLEObject Type="Embed" ProgID="Presentations.Drawing.13" ShapeID="_x0000_i1025" DrawAspect="Content" ObjectID="_1731846963" r:id="rId8"/>
        </w:object>
      </w:r>
      <w:r>
        <w:t xml:space="preserve"> </w:t>
      </w:r>
      <w:r>
        <w:ptab w:relativeTo="margin" w:alignment="right" w:leader="none"/>
      </w:r>
    </w:p>
    <w:p w:rsidR="004030E3" w:rsidRDefault="004030E3" w:rsidP="004030E3">
      <w:pPr>
        <w:pStyle w:val="Header"/>
      </w:pPr>
    </w:p>
    <w:p w:rsidR="004030E3" w:rsidRPr="001E12E2" w:rsidRDefault="004030E3" w:rsidP="004030E3">
      <w:pPr>
        <w:jc w:val="center"/>
        <w:rPr>
          <w:b/>
        </w:rPr>
      </w:pPr>
      <w:r w:rsidRPr="001E12E2">
        <w:rPr>
          <w:b/>
        </w:rPr>
        <w:t>COUR SUPRÊME DU CANADA</w:t>
      </w:r>
    </w:p>
    <w:p w:rsidR="004030E3" w:rsidRDefault="004030E3" w:rsidP="004030E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030E3" w:rsidRPr="001E12E2" w:rsidTr="002B419E">
        <w:trPr>
          <w:cantSplit/>
        </w:trPr>
        <w:tc>
          <w:tcPr>
            <w:tcW w:w="6768" w:type="dxa"/>
          </w:tcPr>
          <w:p w:rsidR="004030E3" w:rsidRPr="004030E3" w:rsidRDefault="004030E3" w:rsidP="00863B43">
            <w:pPr>
              <w:rPr>
                <w:lang w:val="fr-CA"/>
              </w:rPr>
            </w:pPr>
            <w:r w:rsidRPr="004030E3">
              <w:rPr>
                <w:b/>
                <w:smallCaps/>
                <w:lang w:val="fr-CA"/>
              </w:rPr>
              <w:t>Référence :</w:t>
            </w:r>
            <w:r w:rsidRPr="004030E3">
              <w:rPr>
                <w:i/>
                <w:lang w:val="fr-CA"/>
              </w:rPr>
              <w:t xml:space="preserve"> </w:t>
            </w:r>
            <w:r w:rsidRPr="004030E3">
              <w:rPr>
                <w:rStyle w:val="QuoteChar"/>
                <w:rFonts w:eastAsiaTheme="minorHAnsi"/>
                <w:i w:val="0"/>
                <w:lang w:val="fr-CA"/>
              </w:rPr>
              <w:t>R.</w:t>
            </w:r>
            <w:r w:rsidRPr="008030DB">
              <w:rPr>
                <w:rStyle w:val="QuoteChar"/>
                <w:rFonts w:eastAsiaTheme="minorHAnsi"/>
                <w:lang w:val="fr-CA"/>
              </w:rPr>
              <w:t xml:space="preserve"> c. </w:t>
            </w:r>
            <w:r w:rsidRPr="004030E3">
              <w:rPr>
                <w:rStyle w:val="SCCAppellantForCitationChar"/>
                <w:rFonts w:eastAsiaTheme="minorHAnsi"/>
                <w:i w:val="0"/>
                <w:lang w:val="fr-CA"/>
              </w:rPr>
              <w:t>Mack</w:t>
            </w:r>
            <w:r w:rsidRPr="004030E3">
              <w:rPr>
                <w:rStyle w:val="QuoteChar"/>
                <w:rFonts w:eastAsiaTheme="minorHAnsi"/>
                <w:i w:val="0"/>
                <w:lang w:val="fr-CA"/>
              </w:rPr>
              <w:t>,</w:t>
            </w:r>
            <w:r w:rsidRPr="004030E3">
              <w:rPr>
                <w:i/>
                <w:lang w:val="fr-CA"/>
              </w:rPr>
              <w:t xml:space="preserve"> </w:t>
            </w:r>
            <w:r w:rsidRPr="004030E3">
              <w:rPr>
                <w:lang w:val="fr-CA"/>
              </w:rPr>
              <w:t xml:space="preserve">2014 </w:t>
            </w:r>
            <w:r w:rsidR="00863B43">
              <w:rPr>
                <w:lang w:val="fr-CA"/>
              </w:rPr>
              <w:t xml:space="preserve">CSC </w:t>
            </w:r>
            <w:r w:rsidRPr="004030E3">
              <w:rPr>
                <w:lang w:val="fr-CA"/>
              </w:rPr>
              <w:t>58</w:t>
            </w:r>
            <w:r>
              <w:rPr>
                <w:lang w:val="fr-CA"/>
              </w:rPr>
              <w:t xml:space="preserve">, </w:t>
            </w:r>
            <w:r w:rsidRPr="00863B43">
              <w:rPr>
                <w:lang w:val="fr-CA"/>
              </w:rPr>
              <w:t>[2014] 3 R.C.S. 3</w:t>
            </w:r>
            <w:r w:rsidRPr="004030E3">
              <w:rPr>
                <w:lang w:val="fr-CA"/>
              </w:rPr>
              <w:t xml:space="preserve"> </w:t>
            </w:r>
          </w:p>
        </w:tc>
        <w:tc>
          <w:tcPr>
            <w:tcW w:w="2808" w:type="dxa"/>
          </w:tcPr>
          <w:p w:rsidR="004030E3" w:rsidRPr="001E12E2" w:rsidRDefault="004030E3" w:rsidP="002B419E">
            <w:r w:rsidRPr="001E12E2">
              <w:rPr>
                <w:b/>
                <w:smallCaps/>
              </w:rPr>
              <w:t>Date</w:t>
            </w:r>
            <w:r>
              <w:rPr>
                <w:b/>
                <w:smallCaps/>
              </w:rPr>
              <w:t> :</w:t>
            </w:r>
            <w:r w:rsidRPr="001E12E2">
              <w:t xml:space="preserve"> </w:t>
            </w:r>
            <w:r>
              <w:t>20140926</w:t>
            </w:r>
          </w:p>
          <w:p w:rsidR="004030E3" w:rsidRPr="001E12E2" w:rsidRDefault="004030E3" w:rsidP="002B419E">
            <w:r w:rsidRPr="001E12E2">
              <w:rPr>
                <w:b/>
                <w:smallCaps/>
              </w:rPr>
              <w:t>Do</w:t>
            </w:r>
            <w:r>
              <w:rPr>
                <w:b/>
                <w:smallCaps/>
              </w:rPr>
              <w:t>ssier :</w:t>
            </w:r>
            <w:r w:rsidRPr="001E12E2">
              <w:t xml:space="preserve"> </w:t>
            </w:r>
            <w:r>
              <w:t>35093</w:t>
            </w:r>
          </w:p>
        </w:tc>
      </w:tr>
    </w:tbl>
    <w:p w:rsidR="004030E3" w:rsidRPr="001E12E2" w:rsidRDefault="004030E3" w:rsidP="004030E3"/>
    <w:p w:rsidR="004030E3" w:rsidRDefault="004030E3" w:rsidP="004030E3">
      <w:pPr>
        <w:pStyle w:val="SCCLsocPrefix"/>
      </w:pPr>
      <w:r>
        <w:t>Entre :</w:t>
      </w:r>
    </w:p>
    <w:p w:rsidR="004030E3" w:rsidRDefault="004030E3" w:rsidP="004030E3">
      <w:pPr>
        <w:pStyle w:val="SCCLsocParty"/>
        <w:jc w:val="center"/>
      </w:pPr>
      <w:r>
        <w:t>Dax Richard Mack</w:t>
      </w:r>
    </w:p>
    <w:p w:rsidR="004030E3" w:rsidRPr="004030E3" w:rsidRDefault="004030E3" w:rsidP="004030E3">
      <w:pPr>
        <w:jc w:val="center"/>
        <w:rPr>
          <w:lang w:val="fr-CA"/>
        </w:rPr>
      </w:pPr>
      <w:r w:rsidRPr="004030E3">
        <w:rPr>
          <w:lang w:val="fr-CA"/>
        </w:rPr>
        <w:t>Appelant</w:t>
      </w:r>
    </w:p>
    <w:p w:rsidR="004030E3" w:rsidRPr="00853401" w:rsidRDefault="004030E3" w:rsidP="004030E3">
      <w:pPr>
        <w:pStyle w:val="SCCLsocVersus"/>
        <w:spacing w:after="0"/>
        <w:jc w:val="center"/>
        <w:rPr>
          <w:i w:val="0"/>
          <w:lang w:val="fr-CA"/>
        </w:rPr>
      </w:pPr>
      <w:r w:rsidRPr="00853401">
        <w:rPr>
          <w:i w:val="0"/>
          <w:lang w:val="fr-CA"/>
        </w:rPr>
        <w:t>et</w:t>
      </w:r>
    </w:p>
    <w:p w:rsidR="004030E3" w:rsidRPr="004030E3" w:rsidRDefault="004030E3" w:rsidP="004030E3">
      <w:pPr>
        <w:pStyle w:val="SCCLsocParty"/>
        <w:jc w:val="center"/>
        <w:rPr>
          <w:lang w:val="fr-CA"/>
        </w:rPr>
      </w:pPr>
      <w:r w:rsidRPr="004030E3">
        <w:rPr>
          <w:lang w:val="fr-CA"/>
        </w:rPr>
        <w:t>Sa Majesté la Reine</w:t>
      </w:r>
    </w:p>
    <w:p w:rsidR="004030E3" w:rsidRPr="004030E3" w:rsidRDefault="004030E3" w:rsidP="004030E3">
      <w:pPr>
        <w:jc w:val="center"/>
        <w:rPr>
          <w:lang w:val="fr-CA"/>
        </w:rPr>
      </w:pPr>
      <w:r w:rsidRPr="004030E3">
        <w:rPr>
          <w:lang w:val="fr-CA"/>
        </w:rPr>
        <w:t>Intimée</w:t>
      </w:r>
    </w:p>
    <w:p w:rsidR="004030E3" w:rsidRPr="004030E3" w:rsidRDefault="004030E3" w:rsidP="004030E3">
      <w:pPr>
        <w:pStyle w:val="SCCLsocOtherPartySeparator"/>
        <w:spacing w:after="0"/>
        <w:jc w:val="center"/>
        <w:rPr>
          <w:lang w:val="fr-CA"/>
        </w:rPr>
      </w:pPr>
      <w:r w:rsidRPr="004030E3">
        <w:rPr>
          <w:lang w:val="fr-CA"/>
        </w:rPr>
        <w:t>- et -</w:t>
      </w:r>
    </w:p>
    <w:p w:rsidR="004030E3" w:rsidRPr="004030E3" w:rsidRDefault="004030E3" w:rsidP="004030E3">
      <w:pPr>
        <w:pStyle w:val="SCCLsocParty"/>
        <w:jc w:val="center"/>
        <w:rPr>
          <w:lang w:val="fr-CA"/>
        </w:rPr>
      </w:pPr>
      <w:r w:rsidRPr="004030E3">
        <w:rPr>
          <w:lang w:val="fr-CA"/>
        </w:rPr>
        <w:t>Procureur général de l’Ontario et procureur général de la Colombie-Britannique</w:t>
      </w:r>
    </w:p>
    <w:p w:rsidR="004030E3" w:rsidRPr="004030E3" w:rsidRDefault="004030E3" w:rsidP="004030E3">
      <w:pPr>
        <w:jc w:val="center"/>
        <w:rPr>
          <w:lang w:val="fr-CA"/>
        </w:rPr>
      </w:pPr>
      <w:r w:rsidRPr="004030E3">
        <w:rPr>
          <w:lang w:val="fr-CA"/>
        </w:rPr>
        <w:t>Intervenants</w:t>
      </w:r>
    </w:p>
    <w:p w:rsidR="004030E3" w:rsidRPr="004030E3" w:rsidRDefault="004030E3" w:rsidP="004030E3">
      <w:pPr>
        <w:jc w:val="center"/>
        <w:rPr>
          <w:lang w:val="fr-CA"/>
        </w:rPr>
      </w:pPr>
    </w:p>
    <w:p w:rsidR="004030E3" w:rsidRPr="004030E3" w:rsidRDefault="004030E3" w:rsidP="004030E3">
      <w:pPr>
        <w:jc w:val="center"/>
        <w:rPr>
          <w:b/>
          <w:smallCaps/>
          <w:lang w:val="fr-CA"/>
        </w:rPr>
      </w:pPr>
      <w:r w:rsidRPr="004030E3">
        <w:rPr>
          <w:b/>
          <w:smallCaps/>
          <w:lang w:val="fr-CA"/>
        </w:rPr>
        <w:t>Traduction française officielle</w:t>
      </w:r>
    </w:p>
    <w:p w:rsidR="004030E3" w:rsidRPr="004030E3" w:rsidRDefault="004030E3" w:rsidP="004030E3">
      <w:pPr>
        <w:rPr>
          <w:lang w:val="fr-CA"/>
        </w:rPr>
      </w:pPr>
    </w:p>
    <w:p w:rsidR="004030E3" w:rsidRPr="004030E3" w:rsidRDefault="004030E3" w:rsidP="004030E3">
      <w:pPr>
        <w:rPr>
          <w:lang w:val="fr-CA"/>
        </w:rPr>
      </w:pPr>
      <w:r w:rsidRPr="004030E3">
        <w:rPr>
          <w:b/>
          <w:smallCaps/>
          <w:lang w:val="fr-CA"/>
        </w:rPr>
        <w:t>Coram :</w:t>
      </w:r>
      <w:r w:rsidRPr="004030E3">
        <w:rPr>
          <w:lang w:val="fr-CA"/>
        </w:rPr>
        <w:t xml:space="preserve"> La juge en chef McLachlin et les juges LeBel, Abella, Cromwell, Moldaver, Karakatsanis et Wagner</w:t>
      </w:r>
    </w:p>
    <w:p w:rsidR="004030E3" w:rsidRPr="004030E3" w:rsidRDefault="004030E3" w:rsidP="004030E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030E3" w:rsidRPr="009610B4" w:rsidTr="002B419E">
        <w:trPr>
          <w:cantSplit/>
        </w:trPr>
        <w:tc>
          <w:tcPr>
            <w:tcW w:w="3618" w:type="dxa"/>
          </w:tcPr>
          <w:p w:rsidR="004030E3" w:rsidRPr="004030E3" w:rsidRDefault="004030E3" w:rsidP="002B419E">
            <w:pPr>
              <w:rPr>
                <w:b/>
                <w:smallCaps/>
                <w:lang w:val="fr-CA"/>
              </w:rPr>
            </w:pPr>
            <w:r w:rsidRPr="004030E3">
              <w:rPr>
                <w:b/>
                <w:smallCaps/>
                <w:lang w:val="fr-CA"/>
              </w:rPr>
              <w:t>Motifs de jugement :</w:t>
            </w:r>
          </w:p>
          <w:p w:rsidR="004030E3" w:rsidRPr="004030E3" w:rsidRDefault="004030E3" w:rsidP="002B419E">
            <w:pPr>
              <w:rPr>
                <w:lang w:val="fr-CA"/>
              </w:rPr>
            </w:pPr>
            <w:r w:rsidRPr="004030E3">
              <w:rPr>
                <w:lang w:val="fr-CA"/>
              </w:rPr>
              <w:t>(par. 1 à 69)</w:t>
            </w:r>
          </w:p>
        </w:tc>
        <w:tc>
          <w:tcPr>
            <w:tcW w:w="5958" w:type="dxa"/>
          </w:tcPr>
          <w:p w:rsidR="004030E3" w:rsidRPr="004030E3" w:rsidRDefault="004030E3" w:rsidP="002B419E">
            <w:pPr>
              <w:rPr>
                <w:lang w:val="fr-CA"/>
              </w:rPr>
            </w:pPr>
            <w:r w:rsidRPr="004030E3">
              <w:rPr>
                <w:lang w:val="fr-CA"/>
              </w:rPr>
              <w:t>Le juge Moldaver (avec l’accord de la juge en chef McLachlin et des juges LeBel, Abella, Cromwell, Karakatsanis  et Wagner)</w:t>
            </w:r>
          </w:p>
        </w:tc>
      </w:tr>
    </w:tbl>
    <w:p w:rsidR="004030E3" w:rsidRPr="004030E3" w:rsidRDefault="004030E3" w:rsidP="004030E3">
      <w:pPr>
        <w:rPr>
          <w:lang w:val="fr-CA"/>
        </w:rPr>
      </w:pPr>
    </w:p>
    <w:p w:rsidR="004030E3" w:rsidRPr="004030E3" w:rsidRDefault="009610B4" w:rsidP="004030E3">
      <w:pPr>
        <w:rPr>
          <w:lang w:val="fr-CA"/>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3E89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030E3" w:rsidRPr="004030E3" w:rsidRDefault="004030E3" w:rsidP="000B6F03">
      <w:pPr>
        <w:spacing w:after="720"/>
        <w:jc w:val="both"/>
        <w:rPr>
          <w:smallCaps/>
          <w:lang w:val="fr-CA"/>
        </w:rPr>
      </w:pPr>
    </w:p>
    <w:p w:rsidR="004D7D95" w:rsidRPr="00944E4C" w:rsidRDefault="0058211A" w:rsidP="000B6F03">
      <w:pPr>
        <w:spacing w:after="720"/>
        <w:jc w:val="both"/>
        <w:rPr>
          <w:lang w:val="en-US"/>
        </w:rPr>
      </w:pPr>
      <w:r w:rsidRPr="00944E4C">
        <w:rPr>
          <w:smallCaps/>
          <w:lang w:val="en-US"/>
        </w:rPr>
        <w:t xml:space="preserve">r. </w:t>
      </w:r>
      <w:r w:rsidRPr="00944E4C">
        <w:rPr>
          <w:i/>
          <w:lang w:val="en-US"/>
        </w:rPr>
        <w:t>c.</w:t>
      </w:r>
      <w:r w:rsidRPr="00944E4C">
        <w:rPr>
          <w:lang w:val="en-US"/>
        </w:rPr>
        <w:t xml:space="preserve"> </w:t>
      </w:r>
      <w:r w:rsidRPr="00944E4C">
        <w:rPr>
          <w:smallCaps/>
          <w:lang w:val="en-US"/>
        </w:rPr>
        <w:t>m</w:t>
      </w:r>
      <w:r w:rsidR="004D7D95" w:rsidRPr="00944E4C">
        <w:rPr>
          <w:smallCaps/>
          <w:lang w:val="en-US"/>
        </w:rPr>
        <w:t>ack</w:t>
      </w:r>
      <w:r w:rsidR="00944E4C" w:rsidRPr="00944E4C">
        <w:rPr>
          <w:smallCaps/>
          <w:lang w:val="en-US"/>
        </w:rPr>
        <w:t xml:space="preserve">, </w:t>
      </w:r>
      <w:r w:rsidR="00944E4C" w:rsidRPr="00944E4C">
        <w:rPr>
          <w:lang w:val="en-US"/>
        </w:rPr>
        <w:t>2014 CSC 58, [2014] 3 R.C.S. 3</w:t>
      </w:r>
    </w:p>
    <w:p w:rsidR="00692145" w:rsidRPr="00853401" w:rsidRDefault="0058211A">
      <w:pPr>
        <w:pStyle w:val="SCCLsocLastPartyInRole"/>
        <w:rPr>
          <w:lang w:val="fr-CA"/>
        </w:rPr>
      </w:pPr>
      <w:r w:rsidRPr="00853401">
        <w:rPr>
          <w:lang w:val="fr-CA"/>
        </w:rPr>
        <w:t>Dax Richard Mack</w:t>
      </w:r>
      <w:r w:rsidRPr="00853401">
        <w:rPr>
          <w:rStyle w:val="SCCLsocPartyRole"/>
          <w:lang w:val="fr-CA"/>
        </w:rPr>
        <w:tab/>
        <w:t>Appelant</w:t>
      </w:r>
    </w:p>
    <w:p w:rsidR="00692145" w:rsidRPr="00AB03E8" w:rsidRDefault="0058211A">
      <w:pPr>
        <w:pStyle w:val="SCCLsocVersus"/>
        <w:rPr>
          <w:lang w:val="fr-CA"/>
        </w:rPr>
      </w:pPr>
      <w:r w:rsidRPr="00AB03E8">
        <w:rPr>
          <w:lang w:val="fr-CA"/>
        </w:rPr>
        <w:t>c.</w:t>
      </w:r>
    </w:p>
    <w:p w:rsidR="00692145" w:rsidRPr="00AB03E8" w:rsidRDefault="0058211A">
      <w:pPr>
        <w:pStyle w:val="SCCLsocLastPartyInRole"/>
        <w:rPr>
          <w:lang w:val="fr-CA"/>
        </w:rPr>
      </w:pPr>
      <w:r w:rsidRPr="00AB03E8">
        <w:rPr>
          <w:lang w:val="fr-CA"/>
        </w:rPr>
        <w:lastRenderedPageBreak/>
        <w:t>Sa Majesté la Reine</w:t>
      </w:r>
      <w:r w:rsidRPr="00AB03E8">
        <w:rPr>
          <w:rStyle w:val="SCCLsocPartyRole"/>
          <w:lang w:val="fr-CA"/>
        </w:rPr>
        <w:tab/>
        <w:t>Intimée</w:t>
      </w:r>
    </w:p>
    <w:p w:rsidR="00692145" w:rsidRPr="00AB03E8" w:rsidRDefault="0058211A">
      <w:pPr>
        <w:pStyle w:val="SCCLsocOtherPartySeparator"/>
        <w:rPr>
          <w:lang w:val="fr-CA"/>
        </w:rPr>
      </w:pPr>
      <w:r w:rsidRPr="00AB03E8">
        <w:rPr>
          <w:lang w:val="fr-CA"/>
        </w:rPr>
        <w:t>et</w:t>
      </w:r>
    </w:p>
    <w:p w:rsidR="00692145" w:rsidRPr="00AB03E8" w:rsidRDefault="0058211A">
      <w:pPr>
        <w:pStyle w:val="SCCLsocParty"/>
        <w:rPr>
          <w:lang w:val="fr-CA"/>
        </w:rPr>
      </w:pPr>
      <w:r w:rsidRPr="00AB03E8">
        <w:rPr>
          <w:lang w:val="fr-CA"/>
        </w:rPr>
        <w:t>Procureur général de l’Ontario et</w:t>
      </w:r>
    </w:p>
    <w:p w:rsidR="00692145" w:rsidRPr="00AB03E8" w:rsidRDefault="0058211A">
      <w:pPr>
        <w:pStyle w:val="SCCLsocLastPartyInRole"/>
        <w:rPr>
          <w:lang w:val="fr-CA"/>
        </w:rPr>
      </w:pPr>
      <w:r w:rsidRPr="00AB03E8">
        <w:rPr>
          <w:lang w:val="fr-CA"/>
        </w:rPr>
        <w:t>procureur général de la Colombie</w:t>
      </w:r>
      <w:r w:rsidR="00203E16">
        <w:rPr>
          <w:lang w:val="fr-CA"/>
        </w:rPr>
        <w:t>-</w:t>
      </w:r>
      <w:r w:rsidRPr="00AB03E8">
        <w:rPr>
          <w:lang w:val="fr-CA"/>
        </w:rPr>
        <w:t>Britannique</w:t>
      </w:r>
      <w:r w:rsidRPr="00AB03E8">
        <w:rPr>
          <w:rStyle w:val="SCCLsocPartyRole"/>
          <w:lang w:val="fr-CA"/>
        </w:rPr>
        <w:tab/>
        <w:t>Intervenants</w:t>
      </w:r>
    </w:p>
    <w:p w:rsidR="004D7D95" w:rsidRPr="00AB03E8" w:rsidRDefault="004D7D95" w:rsidP="000B6F03">
      <w:pPr>
        <w:spacing w:after="720"/>
        <w:jc w:val="both"/>
        <w:rPr>
          <w:b/>
          <w:lang w:val="fr-CA"/>
        </w:rPr>
      </w:pPr>
      <w:r w:rsidRPr="00AB03E8">
        <w:rPr>
          <w:b/>
          <w:lang w:val="fr-CA"/>
        </w:rPr>
        <w:t>Répertorié</w:t>
      </w:r>
      <w:r w:rsidR="00203E16">
        <w:rPr>
          <w:b/>
          <w:lang w:val="fr-CA"/>
        </w:rPr>
        <w:t xml:space="preserve"> </w:t>
      </w:r>
      <w:r w:rsidR="00561BFB" w:rsidRPr="00AB03E8">
        <w:rPr>
          <w:b/>
          <w:lang w:val="fr-CA"/>
        </w:rPr>
        <w:t>:</w:t>
      </w:r>
      <w:r w:rsidR="00203E16">
        <w:rPr>
          <w:b/>
          <w:lang w:val="fr-CA"/>
        </w:rPr>
        <w:t xml:space="preserve"> </w:t>
      </w:r>
      <w:r w:rsidR="0058211A" w:rsidRPr="00AB03E8">
        <w:rPr>
          <w:b/>
          <w:lang w:val="fr-CA"/>
        </w:rPr>
        <w:t xml:space="preserve">R. </w:t>
      </w:r>
      <w:r w:rsidR="0058211A" w:rsidRPr="00AB03E8">
        <w:rPr>
          <w:b/>
          <w:i/>
          <w:lang w:val="fr-CA"/>
        </w:rPr>
        <w:t>c.</w:t>
      </w:r>
      <w:r w:rsidR="0058211A" w:rsidRPr="00AB03E8">
        <w:rPr>
          <w:b/>
          <w:lang w:val="fr-CA"/>
        </w:rPr>
        <w:t xml:space="preserve"> </w:t>
      </w:r>
      <w:r w:rsidRPr="002E58AD">
        <w:rPr>
          <w:b/>
          <w:lang w:val="fr-CA"/>
        </w:rPr>
        <w:t>Mack</w:t>
      </w:r>
    </w:p>
    <w:p w:rsidR="004D7D95" w:rsidRPr="00AB03E8" w:rsidRDefault="00F62639" w:rsidP="000B6F03">
      <w:pPr>
        <w:pStyle w:val="SCCSystemYear"/>
        <w:spacing w:after="720"/>
        <w:jc w:val="both"/>
        <w:rPr>
          <w:lang w:val="fr-CA"/>
        </w:rPr>
      </w:pPr>
      <w:r w:rsidRPr="00AB03E8">
        <w:rPr>
          <w:lang w:val="fr-CA"/>
        </w:rPr>
        <w:t>2014</w:t>
      </w:r>
      <w:r w:rsidR="00062E8F" w:rsidRPr="00AB03E8">
        <w:rPr>
          <w:lang w:val="fr-CA"/>
        </w:rPr>
        <w:t xml:space="preserve"> CSC</w:t>
      </w:r>
      <w:r w:rsidR="00203E16">
        <w:rPr>
          <w:lang w:val="fr-CA"/>
        </w:rPr>
        <w:t xml:space="preserve"> </w:t>
      </w:r>
      <w:r w:rsidR="00062E8F" w:rsidRPr="00AB03E8">
        <w:rPr>
          <w:lang w:val="fr-CA"/>
        </w:rPr>
        <w:t>58</w:t>
      </w:r>
    </w:p>
    <w:p w:rsidR="004D7D95" w:rsidRPr="00AB03E8" w:rsidRDefault="004D7D95" w:rsidP="000B6F03">
      <w:pPr>
        <w:spacing w:after="720"/>
        <w:jc w:val="both"/>
        <w:rPr>
          <w:lang w:val="fr-CA"/>
        </w:rPr>
      </w:pPr>
      <w:r w:rsidRPr="00AB03E8">
        <w:rPr>
          <w:lang w:val="fr-CA"/>
        </w:rPr>
        <w:t>N</w:t>
      </w:r>
      <w:r w:rsidRPr="00AB03E8">
        <w:rPr>
          <w:vertAlign w:val="superscript"/>
          <w:lang w:val="fr-CA"/>
        </w:rPr>
        <w:t>o</w:t>
      </w:r>
      <w:r w:rsidRPr="00AB03E8">
        <w:rPr>
          <w:lang w:val="fr-CA"/>
        </w:rPr>
        <w:t xml:space="preserve"> du greffe</w:t>
      </w:r>
      <w:r w:rsidR="00203E16">
        <w:rPr>
          <w:lang w:val="fr-CA"/>
        </w:rPr>
        <w:t xml:space="preserve"> </w:t>
      </w:r>
      <w:r w:rsidR="00561BFB" w:rsidRPr="00AB03E8">
        <w:rPr>
          <w:lang w:val="fr-CA"/>
        </w:rPr>
        <w:t>:</w:t>
      </w:r>
      <w:r w:rsidR="00203E16">
        <w:rPr>
          <w:lang w:val="fr-CA"/>
        </w:rPr>
        <w:t xml:space="preserve"> </w:t>
      </w:r>
      <w:r w:rsidRPr="00AB03E8">
        <w:rPr>
          <w:lang w:val="fr-CA"/>
        </w:rPr>
        <w:t>35093.</w:t>
      </w:r>
    </w:p>
    <w:p w:rsidR="004D7D95" w:rsidRPr="00AB03E8" w:rsidRDefault="00F62639" w:rsidP="000B6F03">
      <w:pPr>
        <w:spacing w:after="720"/>
        <w:jc w:val="both"/>
        <w:rPr>
          <w:lang w:val="fr-CA"/>
        </w:rPr>
      </w:pPr>
      <w:r w:rsidRPr="00AB03E8">
        <w:rPr>
          <w:lang w:val="fr-CA"/>
        </w:rPr>
        <w:t>2013</w:t>
      </w:r>
      <w:r w:rsidR="00203E16">
        <w:rPr>
          <w:lang w:val="fr-CA"/>
        </w:rPr>
        <w:t xml:space="preserve"> </w:t>
      </w:r>
      <w:r w:rsidR="00561BFB" w:rsidRPr="00AB03E8">
        <w:rPr>
          <w:lang w:val="fr-CA"/>
        </w:rPr>
        <w:t>:</w:t>
      </w:r>
      <w:r w:rsidR="00203E16">
        <w:rPr>
          <w:lang w:val="fr-CA"/>
        </w:rPr>
        <w:t xml:space="preserve"> </w:t>
      </w:r>
      <w:r w:rsidRPr="00AB03E8">
        <w:rPr>
          <w:lang w:val="fr-CA"/>
        </w:rPr>
        <w:t>3</w:t>
      </w:r>
      <w:r w:rsidR="00203E16">
        <w:rPr>
          <w:lang w:val="fr-CA"/>
        </w:rPr>
        <w:t xml:space="preserve"> </w:t>
      </w:r>
      <w:r w:rsidRPr="00AB03E8">
        <w:rPr>
          <w:lang w:val="fr-CA"/>
        </w:rPr>
        <w:t>décembre</w:t>
      </w:r>
      <w:r w:rsidR="004D7D95" w:rsidRPr="00AB03E8">
        <w:rPr>
          <w:lang w:val="fr-CA"/>
        </w:rPr>
        <w:t xml:space="preserve">; </w:t>
      </w:r>
      <w:r w:rsidR="0058211A" w:rsidRPr="00AB03E8">
        <w:rPr>
          <w:lang w:val="fr-CA"/>
        </w:rPr>
        <w:t>2014</w:t>
      </w:r>
      <w:r w:rsidR="00203E16">
        <w:rPr>
          <w:lang w:val="fr-CA"/>
        </w:rPr>
        <w:t xml:space="preserve"> </w:t>
      </w:r>
      <w:r w:rsidR="00561BFB" w:rsidRPr="00AB03E8">
        <w:rPr>
          <w:lang w:val="fr-CA"/>
        </w:rPr>
        <w:t>:</w:t>
      </w:r>
      <w:r w:rsidR="00203E16">
        <w:rPr>
          <w:lang w:val="fr-CA"/>
        </w:rPr>
        <w:t xml:space="preserve"> </w:t>
      </w:r>
      <w:r w:rsidR="00CA6611" w:rsidRPr="00AB03E8">
        <w:rPr>
          <w:lang w:val="fr-CA"/>
        </w:rPr>
        <w:t>26</w:t>
      </w:r>
      <w:r w:rsidR="00203E16">
        <w:rPr>
          <w:lang w:val="fr-CA"/>
        </w:rPr>
        <w:t xml:space="preserve"> </w:t>
      </w:r>
      <w:r w:rsidR="00CA6611" w:rsidRPr="00AB03E8">
        <w:rPr>
          <w:lang w:val="fr-CA"/>
        </w:rPr>
        <w:t>septembre</w:t>
      </w:r>
      <w:r w:rsidR="004D7D95" w:rsidRPr="00AB03E8">
        <w:rPr>
          <w:lang w:val="fr-CA"/>
        </w:rPr>
        <w:t>.</w:t>
      </w:r>
    </w:p>
    <w:p w:rsidR="004D7D95" w:rsidRPr="00AB03E8" w:rsidRDefault="004D7D95" w:rsidP="000B6F03">
      <w:pPr>
        <w:spacing w:after="720"/>
        <w:jc w:val="both"/>
        <w:rPr>
          <w:lang w:val="fr-CA"/>
        </w:rPr>
      </w:pPr>
      <w:r w:rsidRPr="00AB03E8">
        <w:rPr>
          <w:lang w:val="fr-CA"/>
        </w:rPr>
        <w:t>Présents</w:t>
      </w:r>
      <w:r w:rsidR="00203E16">
        <w:rPr>
          <w:lang w:val="fr-CA"/>
        </w:rPr>
        <w:t xml:space="preserve"> </w:t>
      </w:r>
      <w:r w:rsidR="00561BFB" w:rsidRPr="00AB03E8">
        <w:rPr>
          <w:lang w:val="fr-CA"/>
        </w:rPr>
        <w:t>:</w:t>
      </w:r>
      <w:r w:rsidR="00203E16">
        <w:rPr>
          <w:lang w:val="fr-CA"/>
        </w:rPr>
        <w:t xml:space="preserve"> </w:t>
      </w:r>
      <w:r w:rsidRPr="00AB03E8">
        <w:rPr>
          <w:lang w:val="fr-CA"/>
        </w:rPr>
        <w:t>La juge en chef McLachlin et les juges LeBel, Abella, Cromwell, Moldaver, Karakatsanis et Wagner.</w:t>
      </w:r>
    </w:p>
    <w:p w:rsidR="004D7D95" w:rsidRPr="00AB03E8" w:rsidRDefault="004D7D95" w:rsidP="000B6F03">
      <w:pPr>
        <w:spacing w:before="480" w:after="480" w:line="480" w:lineRule="auto"/>
        <w:jc w:val="both"/>
        <w:rPr>
          <w:smallCaps/>
          <w:lang w:val="fr-CA"/>
        </w:rPr>
      </w:pPr>
      <w:r w:rsidRPr="00AB03E8">
        <w:rPr>
          <w:smallCaps/>
          <w:lang w:val="fr-CA"/>
        </w:rPr>
        <w:t>en appel de la cour d</w:t>
      </w:r>
      <w:r w:rsidR="0058211A" w:rsidRPr="00AB03E8">
        <w:rPr>
          <w:smallCaps/>
          <w:lang w:val="fr-CA"/>
        </w:rPr>
        <w:t>’</w:t>
      </w:r>
      <w:r w:rsidRPr="00AB03E8">
        <w:rPr>
          <w:smallCaps/>
          <w:lang w:val="fr-CA"/>
        </w:rPr>
        <w:t>appel de l</w:t>
      </w:r>
      <w:r w:rsidR="0058211A" w:rsidRPr="00AB03E8">
        <w:rPr>
          <w:smallCaps/>
          <w:lang w:val="fr-CA"/>
        </w:rPr>
        <w:t>’</w:t>
      </w:r>
      <w:r w:rsidRPr="00AB03E8">
        <w:rPr>
          <w:smallCaps/>
          <w:lang w:val="fr-CA"/>
        </w:rPr>
        <w:t>alberta</w:t>
      </w:r>
    </w:p>
    <w:p w:rsidR="000B76AA" w:rsidRPr="00CE7635" w:rsidRDefault="004D7D95" w:rsidP="000B76AA">
      <w:pPr>
        <w:pStyle w:val="SCCNormalDoubleSpacing"/>
        <w:spacing w:before="480" w:after="480"/>
        <w:rPr>
          <w:i/>
          <w:lang w:val="fr-CA"/>
        </w:rPr>
      </w:pPr>
      <w:r w:rsidRPr="00AB03E8">
        <w:rPr>
          <w:lang w:val="fr-CA"/>
        </w:rPr>
        <w:tab/>
      </w:r>
      <w:r w:rsidR="000B76AA" w:rsidRPr="00CE7635">
        <w:rPr>
          <w:i/>
          <w:lang w:val="fr-CA"/>
        </w:rPr>
        <w:t xml:space="preserve">Droit criminel — Preuve — Admissibilité — Aveux — Aveux issus d’une opération </w:t>
      </w:r>
      <w:r w:rsidR="00203E16">
        <w:rPr>
          <w:i/>
          <w:lang w:val="fr-CA"/>
        </w:rPr>
        <w:t>« </w:t>
      </w:r>
      <w:r w:rsidR="000B76AA" w:rsidRPr="00CE7635">
        <w:rPr>
          <w:i/>
          <w:lang w:val="fr-CA"/>
        </w:rPr>
        <w:t>Monsieur Big</w:t>
      </w:r>
      <w:r w:rsidR="00203E16">
        <w:rPr>
          <w:i/>
          <w:lang w:val="fr-CA"/>
        </w:rPr>
        <w:t> »</w:t>
      </w:r>
      <w:r w:rsidR="000B76AA" w:rsidRPr="00CE7635">
        <w:rPr>
          <w:i/>
          <w:lang w:val="fr-CA"/>
        </w:rPr>
        <w:t xml:space="preserve"> — Exposé au jury — Aveux du meurtre de son colocataire par</w:t>
      </w:r>
      <w:r w:rsidR="00CE7635">
        <w:rPr>
          <w:i/>
          <w:lang w:val="fr-CA"/>
        </w:rPr>
        <w:t xml:space="preserve"> l’accusé lors d’une opération </w:t>
      </w:r>
      <w:r w:rsidR="000B76AA" w:rsidRPr="00CE7635">
        <w:rPr>
          <w:i/>
          <w:lang w:val="fr-CA"/>
        </w:rPr>
        <w:t xml:space="preserve">Monsieur Big — </w:t>
      </w:r>
      <w:r w:rsidR="00BF0321" w:rsidRPr="00CE7635">
        <w:rPr>
          <w:i/>
          <w:lang w:val="fr-CA"/>
        </w:rPr>
        <w:t>C</w:t>
      </w:r>
      <w:r w:rsidR="000B76AA" w:rsidRPr="00CE7635">
        <w:rPr>
          <w:i/>
          <w:lang w:val="fr-CA"/>
        </w:rPr>
        <w:t xml:space="preserve">es aveux </w:t>
      </w:r>
      <w:r w:rsidR="00BF0321" w:rsidRPr="00CE7635">
        <w:rPr>
          <w:i/>
          <w:lang w:val="fr-CA"/>
        </w:rPr>
        <w:t>d</w:t>
      </w:r>
      <w:r w:rsidR="003D2466" w:rsidRPr="00CE7635">
        <w:rPr>
          <w:i/>
          <w:lang w:val="fr-CA"/>
        </w:rPr>
        <w:t>oiv</w:t>
      </w:r>
      <w:r w:rsidR="00BF0321" w:rsidRPr="00CE7635">
        <w:rPr>
          <w:i/>
          <w:lang w:val="fr-CA"/>
        </w:rPr>
        <w:t xml:space="preserve">ent-ils être écartés </w:t>
      </w:r>
      <w:r w:rsidR="000B76AA" w:rsidRPr="00CE7635">
        <w:rPr>
          <w:i/>
          <w:lang w:val="fr-CA"/>
        </w:rPr>
        <w:t xml:space="preserve">en application </w:t>
      </w:r>
      <w:r w:rsidR="006C4B26">
        <w:rPr>
          <w:i/>
          <w:lang w:val="fr-CA"/>
        </w:rPr>
        <w:t>de l’art.</w:t>
      </w:r>
      <w:r w:rsidR="00203E16">
        <w:rPr>
          <w:i/>
          <w:lang w:val="fr-CA"/>
        </w:rPr>
        <w:t xml:space="preserve"> </w:t>
      </w:r>
      <w:r w:rsidR="000B76AA" w:rsidRPr="00CE7635">
        <w:rPr>
          <w:i/>
          <w:lang w:val="fr-CA"/>
        </w:rPr>
        <w:t>24(2) de la Charte? — Dans la négative, les directives du juge du procès au jury sur les craintes liées à la valeur probante de ces aveux sont</w:t>
      </w:r>
      <w:r w:rsidR="00203E16">
        <w:rPr>
          <w:i/>
          <w:lang w:val="fr-CA"/>
        </w:rPr>
        <w:t>-</w:t>
      </w:r>
      <w:r w:rsidR="000B76AA" w:rsidRPr="00CE7635">
        <w:rPr>
          <w:i/>
          <w:lang w:val="fr-CA"/>
        </w:rPr>
        <w:t xml:space="preserve">elles adéquates? — </w:t>
      </w:r>
      <w:r w:rsidR="00BF0321" w:rsidRPr="00CE7635">
        <w:rPr>
          <w:i/>
          <w:lang w:val="fr-CA"/>
        </w:rPr>
        <w:t>S</w:t>
      </w:r>
      <w:r w:rsidR="000B76AA" w:rsidRPr="00CE7635">
        <w:rPr>
          <w:i/>
          <w:lang w:val="fr-CA"/>
        </w:rPr>
        <w:t xml:space="preserve">es directives sur la fiabilité du témoignage du témoin </w:t>
      </w:r>
      <w:r w:rsidR="000B76AA" w:rsidRPr="00CE7635">
        <w:rPr>
          <w:i/>
          <w:lang w:val="fr-CA"/>
        </w:rPr>
        <w:lastRenderedPageBreak/>
        <w:t>à charge sont</w:t>
      </w:r>
      <w:r w:rsidR="00203E16">
        <w:rPr>
          <w:i/>
          <w:lang w:val="fr-CA"/>
        </w:rPr>
        <w:t>-</w:t>
      </w:r>
      <w:r w:rsidR="000B76AA" w:rsidRPr="00CE7635">
        <w:rPr>
          <w:i/>
          <w:lang w:val="fr-CA"/>
        </w:rPr>
        <w:t xml:space="preserve">elles </w:t>
      </w:r>
      <w:r w:rsidR="00A7799D" w:rsidRPr="00CE7635">
        <w:rPr>
          <w:i/>
          <w:lang w:val="fr-CA"/>
        </w:rPr>
        <w:t xml:space="preserve">également </w:t>
      </w:r>
      <w:r w:rsidR="000B76AA" w:rsidRPr="00CE7635">
        <w:rPr>
          <w:i/>
          <w:lang w:val="fr-CA"/>
        </w:rPr>
        <w:t>adéquates?</w:t>
      </w:r>
      <w:r w:rsidR="00CE7635">
        <w:rPr>
          <w:i/>
          <w:lang w:val="fr-CA"/>
        </w:rPr>
        <w:t xml:space="preserve"> —</w:t>
      </w:r>
      <w:r w:rsidR="000B76AA" w:rsidRPr="00CE7635">
        <w:rPr>
          <w:i/>
          <w:lang w:val="fr-CA"/>
        </w:rPr>
        <w:t xml:space="preserve"> Charte canadienne des droits et libertés, </w:t>
      </w:r>
      <w:r w:rsidR="00561BFB" w:rsidRPr="00CE7635">
        <w:rPr>
          <w:i/>
          <w:lang w:val="fr-CA"/>
        </w:rPr>
        <w:t>art.</w:t>
      </w:r>
      <w:r w:rsidR="00203E16">
        <w:rPr>
          <w:i/>
          <w:lang w:val="fr-CA"/>
        </w:rPr>
        <w:t xml:space="preserve"> </w:t>
      </w:r>
      <w:r w:rsidR="000B76AA" w:rsidRPr="00CE7635">
        <w:rPr>
          <w:i/>
          <w:lang w:val="fr-CA"/>
        </w:rPr>
        <w:t>24(2).</w:t>
      </w:r>
    </w:p>
    <w:p w:rsidR="000B76AA" w:rsidRPr="00AB03E8" w:rsidRDefault="000B76AA" w:rsidP="00561BFB">
      <w:pPr>
        <w:pStyle w:val="SCCNormalDoubleSpacing"/>
        <w:spacing w:before="480" w:after="480"/>
        <w:rPr>
          <w:lang w:val="fr-CA"/>
        </w:rPr>
      </w:pPr>
      <w:r w:rsidRPr="00AB03E8">
        <w:rPr>
          <w:lang w:val="fr-CA"/>
        </w:rPr>
        <w:tab/>
        <w:t>Après que la disparition de la victime lui eut été signalée, la police a été informée que M avait avoué le meurtre de la victime, son colocataire</w:t>
      </w:r>
      <w:r w:rsidR="00F265BE" w:rsidRPr="00AB03E8">
        <w:rPr>
          <w:lang w:val="fr-CA"/>
        </w:rPr>
        <w:t>.</w:t>
      </w:r>
      <w:r w:rsidRPr="00AB03E8">
        <w:rPr>
          <w:lang w:val="fr-CA"/>
        </w:rPr>
        <w:t xml:space="preserve"> </w:t>
      </w:r>
      <w:r w:rsidR="00F265BE" w:rsidRPr="00AB03E8">
        <w:rPr>
          <w:lang w:val="fr-CA"/>
        </w:rPr>
        <w:t>Elle</w:t>
      </w:r>
      <w:r w:rsidRPr="00AB03E8">
        <w:rPr>
          <w:lang w:val="fr-CA"/>
        </w:rPr>
        <w:t xml:space="preserve"> a ouvert une enquête</w:t>
      </w:r>
      <w:r w:rsidR="00F265BE" w:rsidRPr="00AB03E8">
        <w:rPr>
          <w:lang w:val="fr-CA"/>
        </w:rPr>
        <w:t xml:space="preserve"> qui a</w:t>
      </w:r>
      <w:r w:rsidRPr="00AB03E8">
        <w:rPr>
          <w:lang w:val="fr-CA"/>
        </w:rPr>
        <w:t xml:space="preserve"> comport</w:t>
      </w:r>
      <w:r w:rsidR="00F265BE" w:rsidRPr="00AB03E8">
        <w:rPr>
          <w:lang w:val="fr-CA"/>
        </w:rPr>
        <w:t>é</w:t>
      </w:r>
      <w:r w:rsidRPr="00AB03E8">
        <w:rPr>
          <w:lang w:val="fr-CA"/>
        </w:rPr>
        <w:t xml:space="preserve"> deux volets</w:t>
      </w:r>
      <w:r w:rsidR="00203E16">
        <w:rPr>
          <w:lang w:val="fr-CA"/>
        </w:rPr>
        <w:t xml:space="preserve"> </w:t>
      </w:r>
      <w:r w:rsidR="00561BFB" w:rsidRPr="00AB03E8">
        <w:rPr>
          <w:lang w:val="fr-CA"/>
        </w:rPr>
        <w:t>:</w:t>
      </w:r>
      <w:r w:rsidRPr="00AB03E8">
        <w:rPr>
          <w:lang w:val="fr-CA"/>
        </w:rPr>
        <w:t xml:space="preserve"> une opération M</w:t>
      </w:r>
      <w:r w:rsidR="00561BFB" w:rsidRPr="00AB03E8">
        <w:rPr>
          <w:lang w:val="fr-CA"/>
        </w:rPr>
        <w:t>onsieur</w:t>
      </w:r>
      <w:r w:rsidR="00203E16">
        <w:rPr>
          <w:lang w:val="fr-CA"/>
        </w:rPr>
        <w:t xml:space="preserve"> </w:t>
      </w:r>
      <w:r w:rsidRPr="00AB03E8">
        <w:rPr>
          <w:lang w:val="fr-CA"/>
        </w:rPr>
        <w:t>Big et, sur autorisation d’un juge, l’interception des conversations téléphoniques de M. Pendant l’opération Monsieur</w:t>
      </w:r>
      <w:r w:rsidR="00203E16">
        <w:rPr>
          <w:lang w:val="fr-CA"/>
        </w:rPr>
        <w:t xml:space="preserve"> </w:t>
      </w:r>
      <w:r w:rsidRPr="00AB03E8">
        <w:rPr>
          <w:lang w:val="fr-CA"/>
        </w:rPr>
        <w:t>Big, M a reconnu deux fois en présence d’agents banalisés qu’il avait abattu la victime et fait brûler sa dépouille. Ces aveux ont amené les policiers à fouiller un foyer en plein air dans lequel ils ont trouvé des fragments d’os et des dents dont on a ensuite déterminé qu’ils provenaient de la victime, ainsi que des douilles dont il a par la suite été établi qu’elles provenaient de l’arme à feu saisie dans l’appartement de M. Ce dernier a été arrêté et accusé de meurtre au premier degré. Au moment de l’arrestation, l’opération Monsieur</w:t>
      </w:r>
      <w:r w:rsidR="00203E16">
        <w:rPr>
          <w:lang w:val="fr-CA"/>
        </w:rPr>
        <w:t xml:space="preserve"> </w:t>
      </w:r>
      <w:r w:rsidRPr="00AB03E8">
        <w:rPr>
          <w:lang w:val="fr-CA"/>
        </w:rPr>
        <w:t xml:space="preserve">Big avait duré quatre mois et M avait participé à 30 </w:t>
      </w:r>
      <w:r w:rsidR="00203E16">
        <w:rPr>
          <w:lang w:val="fr-CA"/>
        </w:rPr>
        <w:t>« </w:t>
      </w:r>
      <w:r w:rsidRPr="00AB03E8">
        <w:rPr>
          <w:lang w:val="fr-CA"/>
        </w:rPr>
        <w:t>scénarios</w:t>
      </w:r>
      <w:r w:rsidR="00203E16">
        <w:rPr>
          <w:lang w:val="fr-CA"/>
        </w:rPr>
        <w:t> »</w:t>
      </w:r>
      <w:r w:rsidRPr="00AB03E8">
        <w:rPr>
          <w:lang w:val="fr-CA"/>
        </w:rPr>
        <w:t xml:space="preserve"> avec des agents banalisés. M avait </w:t>
      </w:r>
      <w:r w:rsidR="00F265BE" w:rsidRPr="00AB03E8">
        <w:rPr>
          <w:lang w:val="fr-CA"/>
        </w:rPr>
        <w:t>touché</w:t>
      </w:r>
      <w:r w:rsidRPr="00AB03E8">
        <w:rPr>
          <w:lang w:val="fr-CA"/>
        </w:rPr>
        <w:t xml:space="preserve"> une rémunération d’environ 5000</w:t>
      </w:r>
      <w:r w:rsidR="00203E16">
        <w:rPr>
          <w:lang w:val="fr-CA"/>
        </w:rPr>
        <w:t xml:space="preserve"> </w:t>
      </w:r>
      <w:r w:rsidR="00561BFB" w:rsidRPr="00AB03E8">
        <w:rPr>
          <w:lang w:val="fr-CA"/>
        </w:rPr>
        <w:t>$</w:t>
      </w:r>
      <w:r w:rsidRPr="00AB03E8">
        <w:rPr>
          <w:lang w:val="fr-CA"/>
        </w:rPr>
        <w:t xml:space="preserve">, et ses dépenses lui avaient été remboursées. Au procès, le ministère public a admis que </w:t>
      </w:r>
      <w:r w:rsidR="00CE7635">
        <w:rPr>
          <w:lang w:val="fr-CA"/>
        </w:rPr>
        <w:t>l’interception des conversations téléphoniques</w:t>
      </w:r>
      <w:r w:rsidRPr="00AB03E8">
        <w:rPr>
          <w:lang w:val="fr-CA"/>
        </w:rPr>
        <w:t xml:space="preserve"> n’avait pas été autorisée conformément aux exigences du </w:t>
      </w:r>
      <w:r w:rsidRPr="00AB03E8">
        <w:rPr>
          <w:i/>
          <w:lang w:val="fr-CA"/>
        </w:rPr>
        <w:t>Code criminel</w:t>
      </w:r>
      <w:r w:rsidRPr="00AB03E8">
        <w:rPr>
          <w:lang w:val="fr-CA"/>
        </w:rPr>
        <w:t xml:space="preserve"> et qu’elle avait donc porté atteinte aux garanties de l’</w:t>
      </w:r>
      <w:r w:rsidR="00561BFB" w:rsidRPr="00AB03E8">
        <w:rPr>
          <w:lang w:val="fr-CA"/>
        </w:rPr>
        <w:t>art.</w:t>
      </w:r>
      <w:r w:rsidR="00203E16">
        <w:rPr>
          <w:lang w:val="fr-CA"/>
        </w:rPr>
        <w:t xml:space="preserve"> </w:t>
      </w:r>
      <w:r w:rsidRPr="00AB03E8">
        <w:rPr>
          <w:lang w:val="fr-CA"/>
        </w:rPr>
        <w:t xml:space="preserve">8 de la </w:t>
      </w:r>
      <w:r w:rsidRPr="00AB03E8">
        <w:rPr>
          <w:i/>
          <w:lang w:val="fr-CA"/>
        </w:rPr>
        <w:t>Charte</w:t>
      </w:r>
      <w:r w:rsidRPr="00AB03E8">
        <w:rPr>
          <w:lang w:val="fr-CA"/>
        </w:rPr>
        <w:t xml:space="preserve">. Il n’a donc pu utiliser les conversations interceptées, mais il a produit en preuve deux aveux faits par M à des agents banalisés </w:t>
      </w:r>
      <w:r w:rsidR="00BF0321" w:rsidRPr="00AB03E8">
        <w:rPr>
          <w:lang w:val="fr-CA"/>
        </w:rPr>
        <w:t>au cours</w:t>
      </w:r>
      <w:r w:rsidRPr="00AB03E8">
        <w:rPr>
          <w:lang w:val="fr-CA"/>
        </w:rPr>
        <w:t xml:space="preserve"> de l’opération Monsieur</w:t>
      </w:r>
      <w:r w:rsidR="00203E16">
        <w:rPr>
          <w:lang w:val="fr-CA"/>
        </w:rPr>
        <w:t xml:space="preserve"> </w:t>
      </w:r>
      <w:r w:rsidRPr="00AB03E8">
        <w:rPr>
          <w:lang w:val="fr-CA"/>
        </w:rPr>
        <w:t xml:space="preserve">Big. M a </w:t>
      </w:r>
      <w:r w:rsidR="00BF0321" w:rsidRPr="00AB03E8">
        <w:rPr>
          <w:lang w:val="fr-CA"/>
        </w:rPr>
        <w:t xml:space="preserve">cependant </w:t>
      </w:r>
      <w:r w:rsidRPr="00AB03E8">
        <w:rPr>
          <w:lang w:val="fr-CA"/>
        </w:rPr>
        <w:t xml:space="preserve">fait valoir que l’autorisation de mise sous écoute électronique était si étroitement liée à l’opération Monsieur Big que l’illégalité de son obtention commandait l’exclusion de ses aveux </w:t>
      </w:r>
      <w:r w:rsidR="00BF0321" w:rsidRPr="00AB03E8">
        <w:rPr>
          <w:lang w:val="fr-CA"/>
        </w:rPr>
        <w:t xml:space="preserve">suivant le </w:t>
      </w:r>
      <w:r w:rsidR="00561BFB" w:rsidRPr="00AB03E8">
        <w:rPr>
          <w:lang w:val="fr-CA"/>
        </w:rPr>
        <w:t>par.</w:t>
      </w:r>
      <w:r w:rsidR="00203E16">
        <w:rPr>
          <w:lang w:val="fr-CA"/>
        </w:rPr>
        <w:t xml:space="preserve"> </w:t>
      </w:r>
      <w:r w:rsidRPr="00AB03E8">
        <w:rPr>
          <w:lang w:val="fr-CA"/>
        </w:rPr>
        <w:t xml:space="preserve">24(2) de la </w:t>
      </w:r>
      <w:r w:rsidRPr="00AB03E8">
        <w:rPr>
          <w:i/>
          <w:lang w:val="fr-CA"/>
        </w:rPr>
        <w:t>Charte</w:t>
      </w:r>
      <w:r w:rsidRPr="00AB03E8">
        <w:rPr>
          <w:lang w:val="fr-CA"/>
        </w:rPr>
        <w:t xml:space="preserve">. Le juge du procès a rejeté la prétention et </w:t>
      </w:r>
      <w:r w:rsidRPr="00AB03E8">
        <w:rPr>
          <w:lang w:val="fr-CA"/>
        </w:rPr>
        <w:lastRenderedPageBreak/>
        <w:t xml:space="preserve">conclu que le </w:t>
      </w:r>
      <w:r w:rsidR="00561BFB" w:rsidRPr="00AB03E8">
        <w:rPr>
          <w:lang w:val="fr-CA"/>
        </w:rPr>
        <w:t>par.</w:t>
      </w:r>
      <w:r w:rsidR="00203E16">
        <w:rPr>
          <w:lang w:val="fr-CA"/>
        </w:rPr>
        <w:t xml:space="preserve"> </w:t>
      </w:r>
      <w:r w:rsidRPr="00AB03E8">
        <w:rPr>
          <w:lang w:val="fr-CA"/>
        </w:rPr>
        <w:t>24(2) ne s’appliquait pas. Il a donné des directives au jury sur les éléments de preuve issus de l’opération Monsieur Big. Il a également incité les jurés à la prudence vis</w:t>
      </w:r>
      <w:r w:rsidR="00203E16">
        <w:rPr>
          <w:lang w:val="fr-CA"/>
        </w:rPr>
        <w:t>-</w:t>
      </w:r>
      <w:r w:rsidRPr="00AB03E8">
        <w:rPr>
          <w:lang w:val="fr-CA"/>
        </w:rPr>
        <w:t>à</w:t>
      </w:r>
      <w:r w:rsidR="00203E16">
        <w:rPr>
          <w:lang w:val="fr-CA"/>
        </w:rPr>
        <w:t>-</w:t>
      </w:r>
      <w:r w:rsidRPr="00AB03E8">
        <w:rPr>
          <w:lang w:val="fr-CA"/>
        </w:rPr>
        <w:t xml:space="preserve">vis du témoignage du principal témoin à charge et </w:t>
      </w:r>
      <w:r w:rsidR="00F265BE" w:rsidRPr="00AB03E8">
        <w:rPr>
          <w:lang w:val="fr-CA"/>
        </w:rPr>
        <w:t xml:space="preserve">il </w:t>
      </w:r>
      <w:r w:rsidRPr="00AB03E8">
        <w:rPr>
          <w:lang w:val="fr-CA"/>
        </w:rPr>
        <w:t xml:space="preserve">leur a fait une mise en garde de type </w:t>
      </w:r>
      <w:r w:rsidRPr="00AB03E8">
        <w:rPr>
          <w:i/>
          <w:lang w:val="fr-CA"/>
        </w:rPr>
        <w:t>Vetrovec</w:t>
      </w:r>
      <w:r w:rsidRPr="00AB03E8">
        <w:rPr>
          <w:lang w:val="fr-CA"/>
        </w:rPr>
        <w:t xml:space="preserve"> à l’égard de cette preuve. Le jury a déclaré M coupable de meurtre au premier degré, et la Cour d’appel a rejeté son appel de la déclaration de culpabilité.</w:t>
      </w:r>
    </w:p>
    <w:p w:rsidR="000B76AA" w:rsidRPr="00AB03E8" w:rsidRDefault="000B76AA" w:rsidP="000B76AA">
      <w:pPr>
        <w:pStyle w:val="SCCNormalDoubleSpacing"/>
        <w:spacing w:before="480" w:after="480"/>
        <w:rPr>
          <w:lang w:val="fr-CA"/>
        </w:rPr>
      </w:pPr>
      <w:r w:rsidRPr="00AB03E8">
        <w:rPr>
          <w:lang w:val="fr-CA"/>
        </w:rPr>
        <w:tab/>
      </w:r>
      <w:r w:rsidRPr="00AB03E8">
        <w:rPr>
          <w:i/>
          <w:lang w:val="fr-CA"/>
        </w:rPr>
        <w:t>Arrêt</w:t>
      </w:r>
      <w:r w:rsidR="00203E16">
        <w:rPr>
          <w:lang w:val="fr-CA"/>
        </w:rPr>
        <w:t xml:space="preserve"> </w:t>
      </w:r>
      <w:r w:rsidR="00561BFB" w:rsidRPr="00AB03E8">
        <w:rPr>
          <w:lang w:val="fr-CA"/>
        </w:rPr>
        <w:t>:</w:t>
      </w:r>
      <w:r w:rsidRPr="00AB03E8">
        <w:rPr>
          <w:lang w:val="fr-CA"/>
        </w:rPr>
        <w:t xml:space="preserve"> Le pourvoi est rejeté.</w:t>
      </w:r>
    </w:p>
    <w:p w:rsidR="000B76AA" w:rsidRPr="00AB03E8" w:rsidRDefault="000B76AA" w:rsidP="000B76AA">
      <w:pPr>
        <w:pStyle w:val="SCCNormalDoubleSpacing"/>
        <w:spacing w:before="480" w:after="480"/>
        <w:rPr>
          <w:lang w:val="fr-CA"/>
        </w:rPr>
      </w:pPr>
      <w:r w:rsidRPr="00AB03E8">
        <w:rPr>
          <w:lang w:val="fr-CA"/>
        </w:rPr>
        <w:tab/>
        <w:t>Le paragraphe</w:t>
      </w:r>
      <w:r w:rsidR="00203E16">
        <w:rPr>
          <w:lang w:val="fr-CA"/>
        </w:rPr>
        <w:t xml:space="preserve"> </w:t>
      </w:r>
      <w:r w:rsidRPr="00AB03E8">
        <w:rPr>
          <w:lang w:val="fr-CA"/>
        </w:rPr>
        <w:t xml:space="preserve">24(2) de la </w:t>
      </w:r>
      <w:r w:rsidRPr="00AB03E8">
        <w:rPr>
          <w:i/>
          <w:lang w:val="fr-CA"/>
        </w:rPr>
        <w:t xml:space="preserve">Charte </w:t>
      </w:r>
      <w:r w:rsidRPr="00AB03E8">
        <w:rPr>
          <w:lang w:val="fr-CA"/>
        </w:rPr>
        <w:t>ne s’appliqu</w:t>
      </w:r>
      <w:r w:rsidR="007F61E2" w:rsidRPr="00AB03E8">
        <w:rPr>
          <w:lang w:val="fr-CA"/>
        </w:rPr>
        <w:t>e</w:t>
      </w:r>
      <w:r w:rsidRPr="00AB03E8">
        <w:rPr>
          <w:lang w:val="fr-CA"/>
        </w:rPr>
        <w:t xml:space="preserve"> pas car les aveux de M aux agents banalisés n’</w:t>
      </w:r>
      <w:r w:rsidR="00F265BE" w:rsidRPr="00AB03E8">
        <w:rPr>
          <w:lang w:val="fr-CA"/>
        </w:rPr>
        <w:t>o</w:t>
      </w:r>
      <w:r w:rsidRPr="00AB03E8">
        <w:rPr>
          <w:lang w:val="fr-CA"/>
        </w:rPr>
        <w:t xml:space="preserve">nt pas été obtenus dans des conditions qui </w:t>
      </w:r>
      <w:r w:rsidR="007F61E2" w:rsidRPr="00AB03E8">
        <w:rPr>
          <w:lang w:val="fr-CA"/>
        </w:rPr>
        <w:t xml:space="preserve">ont </w:t>
      </w:r>
      <w:r w:rsidRPr="00AB03E8">
        <w:rPr>
          <w:lang w:val="fr-CA"/>
        </w:rPr>
        <w:t>port</w:t>
      </w:r>
      <w:r w:rsidR="007F61E2" w:rsidRPr="00AB03E8">
        <w:rPr>
          <w:lang w:val="fr-CA"/>
        </w:rPr>
        <w:t>é</w:t>
      </w:r>
      <w:r w:rsidRPr="00AB03E8">
        <w:rPr>
          <w:lang w:val="fr-CA"/>
        </w:rPr>
        <w:t xml:space="preserve"> atteinte </w:t>
      </w:r>
      <w:r w:rsidR="008C191E" w:rsidRPr="00AB03E8">
        <w:rPr>
          <w:lang w:val="fr-CA"/>
        </w:rPr>
        <w:t>à ses</w:t>
      </w:r>
      <w:r w:rsidRPr="00AB03E8">
        <w:rPr>
          <w:lang w:val="fr-CA"/>
        </w:rPr>
        <w:t xml:space="preserve"> droits. Une preuve est </w:t>
      </w:r>
      <w:r w:rsidRPr="00AB03E8">
        <w:rPr>
          <w:szCs w:val="24"/>
          <w:lang w:val="fr-CA"/>
        </w:rPr>
        <w:t xml:space="preserve">obtenue dans des conditions qui portent atteinte ou non aux droits </w:t>
      </w:r>
      <w:r w:rsidR="008C191E" w:rsidRPr="00AB03E8">
        <w:rPr>
          <w:szCs w:val="24"/>
          <w:lang w:val="fr-CA"/>
        </w:rPr>
        <w:t>garantis à</w:t>
      </w:r>
      <w:r w:rsidRPr="00AB03E8">
        <w:rPr>
          <w:szCs w:val="24"/>
          <w:lang w:val="fr-CA"/>
        </w:rPr>
        <w:t xml:space="preserve"> l’accusé </w:t>
      </w:r>
      <w:r w:rsidRPr="00AB03E8">
        <w:rPr>
          <w:lang w:val="fr-CA"/>
        </w:rPr>
        <w:t xml:space="preserve">selon la nature du lien entre l’atteinte et la preuve. L’existence d’un lien causal n’est pas nécessaire, mais la nature et l’importance du lien demeurent des facteurs importants dont </w:t>
      </w:r>
      <w:r w:rsidR="00F265BE" w:rsidRPr="00AB03E8">
        <w:rPr>
          <w:lang w:val="fr-CA"/>
        </w:rPr>
        <w:t xml:space="preserve">doit tenir compte </w:t>
      </w:r>
      <w:r w:rsidRPr="00AB03E8">
        <w:rPr>
          <w:lang w:val="fr-CA"/>
        </w:rPr>
        <w:t xml:space="preserve">le juge du procès. En l’espèce, M a fait ses aveux aux agents banalisés alors qu’il était illégalement sous écoute électronique. Bien qu’il ait conclu à l’existence d’un lien temporel entre les aveux de M et l’écoute électronique, le juge du procès a estimé que le caractère ténu du lien causal </w:t>
      </w:r>
      <w:r w:rsidR="00BF0321" w:rsidRPr="00AB03E8">
        <w:rPr>
          <w:lang w:val="fr-CA"/>
        </w:rPr>
        <w:t>diminu</w:t>
      </w:r>
      <w:r w:rsidRPr="00AB03E8">
        <w:rPr>
          <w:lang w:val="fr-CA"/>
        </w:rPr>
        <w:t>ait l’importance du lien temporel. Il lui était loisible de tirer cette conclusion et rien ne justifie de la modifier.</w:t>
      </w:r>
    </w:p>
    <w:p w:rsidR="000B76AA" w:rsidRPr="00AB03E8" w:rsidRDefault="000B76AA" w:rsidP="000B76AA">
      <w:pPr>
        <w:pStyle w:val="SCCNormalDoubleSpacing"/>
        <w:spacing w:before="480" w:after="480"/>
        <w:rPr>
          <w:lang w:val="fr-CA"/>
        </w:rPr>
      </w:pPr>
      <w:r w:rsidRPr="00AB03E8">
        <w:rPr>
          <w:lang w:val="fr-CA"/>
        </w:rPr>
        <w:tab/>
        <w:t xml:space="preserve">Ni les juridictions inférieures ni les parties n’ont pu invoquer l’arrêt </w:t>
      </w:r>
      <w:r w:rsidRPr="00AB03E8">
        <w:rPr>
          <w:i/>
          <w:lang w:val="fr-CA"/>
        </w:rPr>
        <w:t>R. c. Hart</w:t>
      </w:r>
      <w:r w:rsidRPr="00AB03E8">
        <w:rPr>
          <w:lang w:val="fr-CA"/>
        </w:rPr>
        <w:t>, 2014 CSC</w:t>
      </w:r>
      <w:r w:rsidR="00561BFB" w:rsidRPr="00AB03E8">
        <w:rPr>
          <w:lang w:val="fr-CA"/>
        </w:rPr>
        <w:t xml:space="preserve"> </w:t>
      </w:r>
      <w:r w:rsidRPr="00AB03E8">
        <w:rPr>
          <w:lang w:val="fr-CA"/>
        </w:rPr>
        <w:t>52,</w:t>
      </w:r>
      <w:r w:rsidR="006C4B26">
        <w:rPr>
          <w:lang w:val="fr-CA"/>
        </w:rPr>
        <w:t xml:space="preserve"> [2014] 2 R.C.S. 544,</w:t>
      </w:r>
      <w:r w:rsidRPr="00AB03E8">
        <w:rPr>
          <w:lang w:val="fr-CA"/>
        </w:rPr>
        <w:t xml:space="preserve"> dans lequel notre Cour établit une démarche selon laquelle l’aveu obtenu dans le cadre d’une opération Monsieur Big est écarté </w:t>
      </w:r>
      <w:r w:rsidRPr="00AB03E8">
        <w:rPr>
          <w:lang w:val="fr-CA"/>
        </w:rPr>
        <w:lastRenderedPageBreak/>
        <w:t xml:space="preserve">lorsque son effet préjudiciable l’emporte sur sa valeur probante ou </w:t>
      </w:r>
      <w:r w:rsidR="00BF0321" w:rsidRPr="00AB03E8">
        <w:rPr>
          <w:lang w:val="fr-CA"/>
        </w:rPr>
        <w:t>lors</w:t>
      </w:r>
      <w:r w:rsidRPr="00AB03E8">
        <w:rPr>
          <w:lang w:val="fr-CA"/>
        </w:rPr>
        <w:t>qu’il résulte d’un abus de procédure. Mais, peu importe, les aveux de M seraient clairement admissibles suivant cette démarche.</w:t>
      </w:r>
    </w:p>
    <w:p w:rsidR="000B76AA" w:rsidRPr="00AB03E8" w:rsidRDefault="000B76AA" w:rsidP="000B76AA">
      <w:pPr>
        <w:pStyle w:val="SCCNormalDoubleSpacing"/>
        <w:spacing w:before="480" w:after="480"/>
        <w:rPr>
          <w:lang w:val="fr-CA"/>
        </w:rPr>
      </w:pPr>
      <w:r w:rsidRPr="00AB03E8">
        <w:rPr>
          <w:lang w:val="fr-CA"/>
        </w:rPr>
        <w:tab/>
        <w:t xml:space="preserve">La valeur probante des aveux de M était grande du fait que de nombreux éléments de preuve étaient susceptibles de les corroborer. Premièrement, dans les aveux qu’il aurait faits à </w:t>
      </w:r>
      <w:r w:rsidR="00BF0321" w:rsidRPr="00AB03E8">
        <w:rPr>
          <w:lang w:val="fr-CA"/>
        </w:rPr>
        <w:t>d</w:t>
      </w:r>
      <w:r w:rsidRPr="00AB03E8">
        <w:rPr>
          <w:lang w:val="fr-CA"/>
        </w:rPr>
        <w:t>es connaissances</w:t>
      </w:r>
      <w:r w:rsidR="00BF0321" w:rsidRPr="00AB03E8">
        <w:rPr>
          <w:lang w:val="fr-CA"/>
        </w:rPr>
        <w:t>,</w:t>
      </w:r>
      <w:r w:rsidRPr="00AB03E8">
        <w:rPr>
          <w:lang w:val="fr-CA"/>
        </w:rPr>
        <w:t xml:space="preserve"> A et L, M invoque le même mobile pour le meurtre de la victime que dans ses aveux aux agents banalisés. </w:t>
      </w:r>
      <w:r w:rsidR="00D727B9">
        <w:rPr>
          <w:lang w:val="fr-CA"/>
        </w:rPr>
        <w:t>Dans ses aveux, i</w:t>
      </w:r>
      <w:r w:rsidRPr="00AB03E8">
        <w:rPr>
          <w:lang w:val="fr-CA"/>
        </w:rPr>
        <w:t xml:space="preserve">l mentionne également que la dépouille de la victime a été brûlée. Deuxièmement, juste après </w:t>
      </w:r>
      <w:r w:rsidR="00F265BE" w:rsidRPr="00AB03E8">
        <w:rPr>
          <w:lang w:val="fr-CA"/>
        </w:rPr>
        <w:t xml:space="preserve">lui </w:t>
      </w:r>
      <w:r w:rsidRPr="00AB03E8">
        <w:rPr>
          <w:lang w:val="fr-CA"/>
        </w:rPr>
        <w:t>avoir avoué son crime</w:t>
      </w:r>
      <w:r w:rsidR="00F265BE" w:rsidRPr="00AB03E8">
        <w:rPr>
          <w:lang w:val="fr-CA"/>
        </w:rPr>
        <w:t>,</w:t>
      </w:r>
      <w:r w:rsidRPr="00AB03E8">
        <w:rPr>
          <w:lang w:val="fr-CA"/>
        </w:rPr>
        <w:t xml:space="preserve"> M a conduit </w:t>
      </w:r>
      <w:r w:rsidR="00F265BE" w:rsidRPr="00AB03E8">
        <w:rPr>
          <w:lang w:val="fr-CA"/>
        </w:rPr>
        <w:t xml:space="preserve">l’un des agents banalisés </w:t>
      </w:r>
      <w:r w:rsidRPr="00AB03E8">
        <w:rPr>
          <w:lang w:val="fr-CA"/>
        </w:rPr>
        <w:t xml:space="preserve">au foyer en plein air où se trouvaient toujours les restes de la victime. </w:t>
      </w:r>
      <w:r w:rsidR="00F265BE" w:rsidRPr="00AB03E8">
        <w:rPr>
          <w:lang w:val="fr-CA"/>
        </w:rPr>
        <w:t>T</w:t>
      </w:r>
      <w:r w:rsidRPr="00AB03E8">
        <w:rPr>
          <w:lang w:val="fr-CA"/>
        </w:rPr>
        <w:t>roisièmement, on a découvert dans ce foyer des douilles de l’arme à feu trouvée dans l’appartement de M.</w:t>
      </w:r>
      <w:r w:rsidR="00BF0321" w:rsidRPr="00AB03E8">
        <w:rPr>
          <w:lang w:val="fr-CA"/>
        </w:rPr>
        <w:t xml:space="preserve"> En revanche</w:t>
      </w:r>
      <w:r w:rsidRPr="00AB03E8">
        <w:rPr>
          <w:lang w:val="fr-CA"/>
        </w:rPr>
        <w:t>, l’effet préjudiciable des aveux était limité. L’opération n’a</w:t>
      </w:r>
      <w:r w:rsidR="00F265BE" w:rsidRPr="00AB03E8">
        <w:rPr>
          <w:lang w:val="fr-CA"/>
        </w:rPr>
        <w:t>vait</w:t>
      </w:r>
      <w:r w:rsidRPr="00AB03E8">
        <w:rPr>
          <w:lang w:val="fr-CA"/>
        </w:rPr>
        <w:t xml:space="preserve"> rien révélé d’abject sur le passé de M, et ce dernier n’a</w:t>
      </w:r>
      <w:r w:rsidR="00F265BE" w:rsidRPr="00AB03E8">
        <w:rPr>
          <w:lang w:val="fr-CA"/>
        </w:rPr>
        <w:t>vait</w:t>
      </w:r>
      <w:r w:rsidRPr="00AB03E8">
        <w:rPr>
          <w:lang w:val="fr-CA"/>
        </w:rPr>
        <w:t xml:space="preserve"> pris part à aucun scénario ayant comporté de la violence.</w:t>
      </w:r>
    </w:p>
    <w:p w:rsidR="000B76AA" w:rsidRPr="00AB03E8" w:rsidRDefault="000B76AA" w:rsidP="00561BFB">
      <w:pPr>
        <w:pStyle w:val="SCCNormalDoubleSpacing"/>
        <w:spacing w:before="480" w:after="480"/>
        <w:rPr>
          <w:lang w:val="fr-CA"/>
        </w:rPr>
      </w:pPr>
      <w:r w:rsidRPr="00AB03E8">
        <w:rPr>
          <w:lang w:val="fr-CA"/>
        </w:rPr>
        <w:tab/>
      </w:r>
      <w:r w:rsidR="00BF0321" w:rsidRPr="00AB03E8">
        <w:rPr>
          <w:lang w:val="fr-CA"/>
        </w:rPr>
        <w:t>L</w:t>
      </w:r>
      <w:r w:rsidRPr="00AB03E8">
        <w:rPr>
          <w:lang w:val="fr-CA"/>
        </w:rPr>
        <w:t xml:space="preserve">es agents banalisés n’ont pas </w:t>
      </w:r>
      <w:r w:rsidR="00BF0321" w:rsidRPr="00AB03E8">
        <w:rPr>
          <w:lang w:val="fr-CA"/>
        </w:rPr>
        <w:t xml:space="preserve">non plus </w:t>
      </w:r>
      <w:r w:rsidRPr="00AB03E8">
        <w:rPr>
          <w:lang w:val="fr-CA"/>
        </w:rPr>
        <w:t xml:space="preserve">eu une conduite irrégulière susceptible de justifier une demande fondée sur l’abus de procédure. M ne s’est pas vu offrir d’incitations irrésistibles. Il aurait pu exercer des fonctions légitimes encore plus rémunératrices. Les agents ne l’ont pas menacé de violence s’il ne passait pas aux aveux. Ils ont tout au plus créé un climat d’intimidation en faisant allusion à des actes de violence commis par des membres de l’organisation. Ses aveux n’ont toutefois pas été obtenus sous la contrainte. </w:t>
      </w:r>
    </w:p>
    <w:p w:rsidR="000B76AA" w:rsidRPr="00AB03E8" w:rsidRDefault="000B76AA" w:rsidP="00561BFB">
      <w:pPr>
        <w:pStyle w:val="SCCNormalDoubleSpacing"/>
        <w:spacing w:before="480" w:after="480"/>
        <w:rPr>
          <w:lang w:val="fr-CA"/>
        </w:rPr>
      </w:pPr>
      <w:r w:rsidRPr="00AB03E8">
        <w:rPr>
          <w:lang w:val="fr-CA"/>
        </w:rPr>
        <w:lastRenderedPageBreak/>
        <w:tab/>
        <w:t xml:space="preserve">La démarche établie dans </w:t>
      </w:r>
      <w:r w:rsidRPr="00AB03E8">
        <w:rPr>
          <w:i/>
          <w:lang w:val="fr-CA"/>
        </w:rPr>
        <w:t>Hart</w:t>
      </w:r>
      <w:r w:rsidRPr="00AB03E8">
        <w:rPr>
          <w:lang w:val="fr-CA"/>
        </w:rPr>
        <w:t xml:space="preserve"> vis</w:t>
      </w:r>
      <w:r w:rsidR="00F265BE" w:rsidRPr="00AB03E8">
        <w:rPr>
          <w:lang w:val="fr-CA"/>
        </w:rPr>
        <w:t>e</w:t>
      </w:r>
      <w:r w:rsidRPr="00AB03E8">
        <w:rPr>
          <w:lang w:val="fr-CA"/>
        </w:rPr>
        <w:t xml:space="preserve"> à pallier les problèmes que soulèvent, sur le plan de la preuve, les aveux obtenus dans le cadre d’une opération Monsieur</w:t>
      </w:r>
      <w:r w:rsidR="00203E16">
        <w:rPr>
          <w:lang w:val="fr-CA"/>
        </w:rPr>
        <w:t xml:space="preserve"> </w:t>
      </w:r>
      <w:r w:rsidRPr="00AB03E8">
        <w:rPr>
          <w:lang w:val="fr-CA"/>
        </w:rPr>
        <w:t xml:space="preserve">Big, mais </w:t>
      </w:r>
      <w:r w:rsidR="00F265BE" w:rsidRPr="00AB03E8">
        <w:rPr>
          <w:lang w:val="fr-CA"/>
        </w:rPr>
        <w:t xml:space="preserve">elle </w:t>
      </w:r>
      <w:r w:rsidRPr="00AB03E8">
        <w:rPr>
          <w:lang w:val="fr-CA"/>
        </w:rPr>
        <w:t xml:space="preserve">ne les </w:t>
      </w:r>
      <w:r w:rsidR="00F265BE" w:rsidRPr="00AB03E8">
        <w:rPr>
          <w:lang w:val="fr-CA"/>
        </w:rPr>
        <w:t xml:space="preserve">fait </w:t>
      </w:r>
      <w:r w:rsidRPr="00AB03E8">
        <w:rPr>
          <w:lang w:val="fr-CA"/>
        </w:rPr>
        <w:t xml:space="preserve">pas disparaître. Il incombe plutôt au juge du procès de donner au jury des directives appropriées sur la manière de jauger ces aveux. La nature et l’ampleur des directives requises varient d’une affaire à l’autre. Faute d’une formule consacrée, certaines balises peuvent cependant être </w:t>
      </w:r>
      <w:r w:rsidR="00F265BE" w:rsidRPr="00AB03E8">
        <w:rPr>
          <w:lang w:val="fr-CA"/>
        </w:rPr>
        <w:t>arrêté</w:t>
      </w:r>
      <w:r w:rsidRPr="00AB03E8">
        <w:rPr>
          <w:lang w:val="fr-CA"/>
        </w:rPr>
        <w:t xml:space="preserve">es. Le juge doit expliquer aux jurés qu’il leur incombe de décider si l’aveu de l’accusé est digne de foi ou non. Il doit ensuite examiner avec eux les facteurs </w:t>
      </w:r>
      <w:r w:rsidR="007F61E2" w:rsidRPr="00AB03E8">
        <w:rPr>
          <w:lang w:val="fr-CA"/>
        </w:rPr>
        <w:t xml:space="preserve">qui sont </w:t>
      </w:r>
      <w:r w:rsidRPr="00AB03E8">
        <w:rPr>
          <w:lang w:val="fr-CA"/>
        </w:rPr>
        <w:t>pertinents pour l’appréciation de l’aveu et de la preuve y afférente. À titre d’exemple, il doit attirer leur attention sur la durée de l’opération, le nombre d’interactions entre les policiers et l’accusé, la nature de la relation qui s’est tissée entre les agents et l’accusé, la nature des incitations et leur importance, le recours à des menaces, la conduite de l’interrogatoire, ainsi que la personnalité de l’accusé. De plus, le juge du procès doit indiquer aux jurés que l’aveu peut renfermer des indices de sa fiabilité (ou de sa non</w:t>
      </w:r>
      <w:r w:rsidR="00203E16">
        <w:rPr>
          <w:lang w:val="fr-CA"/>
        </w:rPr>
        <w:t>-</w:t>
      </w:r>
      <w:r w:rsidRPr="00AB03E8">
        <w:rPr>
          <w:lang w:val="fr-CA"/>
        </w:rPr>
        <w:t xml:space="preserve">fiabilité). Il doit aussi les inviter à tenir compte de son caractère plus ou moins détaillé, du fait qu’il a mené ou non à la découverte d’autres éléments de preuve, de la mention de modalités du crime non révélées au public ou du fait qu’il décrit fidèlement ou non certaines données prosaïques que l’accusé n’aurait pas connues s’il n’avait pas commis le crime. </w:t>
      </w:r>
    </w:p>
    <w:p w:rsidR="000B76AA" w:rsidRPr="00AB03E8" w:rsidRDefault="000B76AA" w:rsidP="00561BFB">
      <w:pPr>
        <w:pStyle w:val="SCCNormalDoubleSpacing"/>
        <w:spacing w:before="480" w:after="480"/>
        <w:rPr>
          <w:lang w:val="fr-CA"/>
        </w:rPr>
      </w:pPr>
      <w:r w:rsidRPr="00AB03E8">
        <w:rPr>
          <w:lang w:val="fr-CA"/>
        </w:rPr>
        <w:tab/>
        <w:t xml:space="preserve">Pour ce qui est de la preuve de mauvaise moralité, la démarche qui s’impose est plus familière. Le juge </w:t>
      </w:r>
      <w:r w:rsidR="00F265BE" w:rsidRPr="00AB03E8">
        <w:rPr>
          <w:lang w:val="fr-CA"/>
        </w:rPr>
        <w:t xml:space="preserve">doit </w:t>
      </w:r>
      <w:r w:rsidRPr="00AB03E8">
        <w:rPr>
          <w:lang w:val="fr-CA"/>
        </w:rPr>
        <w:t>explique</w:t>
      </w:r>
      <w:r w:rsidR="00F265BE" w:rsidRPr="00AB03E8">
        <w:rPr>
          <w:lang w:val="fr-CA"/>
        </w:rPr>
        <w:t>r</w:t>
      </w:r>
      <w:r w:rsidRPr="00AB03E8">
        <w:rPr>
          <w:lang w:val="fr-CA"/>
        </w:rPr>
        <w:t xml:space="preserve"> au jury que cette preuve est admise seulement pour situer l’aveu dans son contexte. Il devrait préciser au jury qu’il ne peut se fonder sur cette seule preuve pour déclarer l’accusé coupable. De plus, il </w:t>
      </w:r>
      <w:r w:rsidRPr="00AB03E8">
        <w:rPr>
          <w:lang w:val="fr-CA"/>
        </w:rPr>
        <w:lastRenderedPageBreak/>
        <w:t xml:space="preserve">devrait </w:t>
      </w:r>
      <w:r w:rsidR="00F265BE" w:rsidRPr="00AB03E8">
        <w:rPr>
          <w:lang w:val="fr-CA"/>
        </w:rPr>
        <w:t xml:space="preserve">lui </w:t>
      </w:r>
      <w:r w:rsidRPr="00AB03E8">
        <w:rPr>
          <w:lang w:val="fr-CA"/>
        </w:rPr>
        <w:t xml:space="preserve">rappeler que l’activité criminelle simulée </w:t>
      </w:r>
      <w:r w:rsidR="00F265BE" w:rsidRPr="00AB03E8">
        <w:rPr>
          <w:lang w:val="fr-CA"/>
        </w:rPr>
        <w:t>es</w:t>
      </w:r>
      <w:r w:rsidRPr="00AB03E8">
        <w:rPr>
          <w:lang w:val="fr-CA"/>
        </w:rPr>
        <w:t>t une pure invention des représentants de l’État, qui ont encouragé l’accusé à y participer.</w:t>
      </w:r>
    </w:p>
    <w:p w:rsidR="000B76AA" w:rsidRPr="00AB03E8" w:rsidRDefault="000B76AA" w:rsidP="00561BFB">
      <w:pPr>
        <w:pStyle w:val="SCCNormalDoubleSpacing"/>
        <w:spacing w:before="480" w:after="480"/>
        <w:rPr>
          <w:lang w:val="fr-CA"/>
        </w:rPr>
      </w:pPr>
      <w:r w:rsidRPr="00AB03E8">
        <w:rPr>
          <w:lang w:val="fr-CA"/>
        </w:rPr>
        <w:tab/>
        <w:t>Dans l</w:t>
      </w:r>
      <w:r w:rsidR="00BF0321" w:rsidRPr="00AB03E8">
        <w:rPr>
          <w:lang w:val="fr-CA"/>
        </w:rPr>
        <w:t>a présente affaire</w:t>
      </w:r>
      <w:r w:rsidRPr="00AB03E8">
        <w:rPr>
          <w:lang w:val="fr-CA"/>
        </w:rPr>
        <w:t xml:space="preserve">, le juge du procès a donné des directives appropriées au jury et nulle erreur de sa part n’a été démontrée. Il a expliqué aux jurés qu’ils devaient </w:t>
      </w:r>
      <w:r w:rsidR="00203E16">
        <w:rPr>
          <w:lang w:val="fr-CA"/>
        </w:rPr>
        <w:t>« </w:t>
      </w:r>
      <w:r w:rsidRPr="00AB03E8">
        <w:rPr>
          <w:lang w:val="fr-CA"/>
        </w:rPr>
        <w:t>examiner attentivement si les éléments que sont la violence et l’importance des gratifications offertes ont pu raisonnablement compromettre la fiabilité</w:t>
      </w:r>
      <w:r w:rsidR="00203E16">
        <w:rPr>
          <w:lang w:val="fr-CA"/>
        </w:rPr>
        <w:t> »</w:t>
      </w:r>
      <w:r w:rsidRPr="00AB03E8">
        <w:rPr>
          <w:lang w:val="fr-CA"/>
        </w:rPr>
        <w:t xml:space="preserve"> des aveux de M. Il</w:t>
      </w:r>
      <w:r w:rsidR="00D727B9">
        <w:rPr>
          <w:lang w:val="fr-CA"/>
        </w:rPr>
        <w:t xml:space="preserve"> leur a enjoint expressément de</w:t>
      </w:r>
      <w:r w:rsidRPr="00AB03E8">
        <w:rPr>
          <w:smallCaps/>
          <w:lang w:val="fr-CA"/>
        </w:rPr>
        <w:t xml:space="preserve"> </w:t>
      </w:r>
      <w:r w:rsidR="00203E16">
        <w:rPr>
          <w:lang w:val="fr-CA"/>
        </w:rPr>
        <w:t>« </w:t>
      </w:r>
      <w:r w:rsidRPr="00AB03E8">
        <w:rPr>
          <w:lang w:val="fr-CA"/>
        </w:rPr>
        <w:t>tenir compte du contexte, de l’attrait de l’argent facile, de la violence, de l’importance accordée à l’honnêteté et à l’intégrité, de toute porte de sortie offerte et de tout acte de menace ou d’intimidation</w:t>
      </w:r>
      <w:r w:rsidR="00203E16">
        <w:rPr>
          <w:lang w:val="fr-CA"/>
        </w:rPr>
        <w:t> »</w:t>
      </w:r>
      <w:r w:rsidRPr="00AB03E8">
        <w:rPr>
          <w:lang w:val="fr-CA"/>
        </w:rPr>
        <w:t xml:space="preserve">. Finalement, il a laissé au jury le soin de décider au final si les aveux de M étaient dignes de foi ou non. En ce qui a trait à la preuve de mauvaise moralité, sans </w:t>
      </w:r>
      <w:r w:rsidR="007F61E2" w:rsidRPr="00AB03E8">
        <w:rPr>
          <w:lang w:val="fr-CA"/>
        </w:rPr>
        <w:t>l’</w:t>
      </w:r>
      <w:r w:rsidRPr="00AB03E8">
        <w:rPr>
          <w:lang w:val="fr-CA"/>
        </w:rPr>
        <w:t>aborder directement, il a donné au jury la directive restrictive habituelle sur l’utilisation qui peut être faite de tout élément de preuve relatif à la moralité de l’accusé. Le juge du procès aurait certes pu en dire davantage, mais ses directives ne sont pas pour autant lacunaires</w:t>
      </w:r>
      <w:r w:rsidR="00561BFB" w:rsidRPr="00AB03E8">
        <w:rPr>
          <w:lang w:val="fr-CA"/>
        </w:rPr>
        <w:t>.</w:t>
      </w:r>
    </w:p>
    <w:p w:rsidR="000B76AA" w:rsidRPr="00AB03E8" w:rsidRDefault="000B76AA" w:rsidP="000B76AA">
      <w:pPr>
        <w:pStyle w:val="SCCNormalDoubleSpacing"/>
        <w:spacing w:before="480" w:after="480"/>
        <w:rPr>
          <w:lang w:val="fr-CA"/>
        </w:rPr>
      </w:pPr>
      <w:r w:rsidRPr="00AB03E8">
        <w:rPr>
          <w:lang w:val="fr-CA"/>
        </w:rPr>
        <w:tab/>
        <w:t xml:space="preserve">Enfin, le juge du procès a </w:t>
      </w:r>
      <w:r w:rsidR="00F265BE" w:rsidRPr="00AB03E8">
        <w:rPr>
          <w:lang w:val="fr-CA"/>
        </w:rPr>
        <w:t>fait part</w:t>
      </w:r>
      <w:r w:rsidRPr="00AB03E8">
        <w:rPr>
          <w:lang w:val="fr-CA"/>
        </w:rPr>
        <w:t xml:space="preserve"> aux jurés </w:t>
      </w:r>
      <w:r w:rsidR="00F265BE" w:rsidRPr="00AB03E8">
        <w:rPr>
          <w:lang w:val="fr-CA"/>
        </w:rPr>
        <w:t>d</w:t>
      </w:r>
      <w:r w:rsidRPr="00AB03E8">
        <w:rPr>
          <w:lang w:val="fr-CA"/>
        </w:rPr>
        <w:t xml:space="preserve">es doutes </w:t>
      </w:r>
      <w:r w:rsidR="00F265BE" w:rsidRPr="00AB03E8">
        <w:rPr>
          <w:lang w:val="fr-CA"/>
        </w:rPr>
        <w:t>relatifs à</w:t>
      </w:r>
      <w:r w:rsidRPr="00AB03E8">
        <w:rPr>
          <w:lang w:val="fr-CA"/>
        </w:rPr>
        <w:t xml:space="preserve"> la fiabilité du témoignage de A, le principal témoin à charge. Il leur a rappelé la thèse de la défense voulant que A soit l’assassin. Il leur a dit que c’était peut</w:t>
      </w:r>
      <w:r w:rsidR="00203E16">
        <w:rPr>
          <w:lang w:val="fr-CA"/>
        </w:rPr>
        <w:t>-</w:t>
      </w:r>
      <w:r w:rsidRPr="00AB03E8">
        <w:rPr>
          <w:lang w:val="fr-CA"/>
        </w:rPr>
        <w:t>être A qui avait informé M du meurtre. Il a indiqué que A avait manifestement menti aux policiers et que cela permettait de se demander si l’on pouvait ajouter foi à ses propos quels qu’ils soient. Il a également précisé qu’il était risqué d’ajouter foi au témoignage de A sans que celui</w:t>
      </w:r>
      <w:r w:rsidR="00203E16">
        <w:rPr>
          <w:lang w:val="fr-CA"/>
        </w:rPr>
        <w:t>-</w:t>
      </w:r>
      <w:r w:rsidRPr="00AB03E8">
        <w:rPr>
          <w:lang w:val="fr-CA"/>
        </w:rPr>
        <w:t>ci ne soit corroboré. Il n’était pas tenu d’en faire davantage.</w:t>
      </w:r>
    </w:p>
    <w:p w:rsidR="004D7D95" w:rsidRPr="00AB03E8" w:rsidRDefault="004D7D95" w:rsidP="000B6F03">
      <w:pPr>
        <w:pStyle w:val="SCCNormalDoubleSpacing"/>
        <w:spacing w:after="720" w:line="240" w:lineRule="auto"/>
        <w:rPr>
          <w:b/>
          <w:lang w:val="fr-CA"/>
        </w:rPr>
      </w:pPr>
      <w:r w:rsidRPr="00AB03E8">
        <w:rPr>
          <w:b/>
          <w:lang w:val="fr-CA"/>
        </w:rPr>
        <w:lastRenderedPageBreak/>
        <w:t>Jurisprudence</w:t>
      </w:r>
    </w:p>
    <w:p w:rsidR="00053EF9" w:rsidRPr="00AB03E8" w:rsidRDefault="004D7D95" w:rsidP="000B6F03">
      <w:pPr>
        <w:pStyle w:val="SCCNormalDoubleSpacing"/>
        <w:spacing w:before="480" w:after="480"/>
        <w:rPr>
          <w:lang w:val="fr-CA"/>
        </w:rPr>
      </w:pPr>
      <w:r w:rsidRPr="00AB03E8">
        <w:rPr>
          <w:lang w:val="fr-CA"/>
        </w:rPr>
        <w:tab/>
      </w:r>
      <w:r w:rsidR="00CA6611" w:rsidRPr="00AB03E8">
        <w:rPr>
          <w:b/>
          <w:lang w:val="fr-CA"/>
        </w:rPr>
        <w:t>Arrêt appliqué</w:t>
      </w:r>
      <w:r w:rsidR="00203E16">
        <w:rPr>
          <w:b/>
          <w:lang w:val="fr-CA"/>
        </w:rPr>
        <w:t xml:space="preserve"> </w:t>
      </w:r>
      <w:r w:rsidR="00561BFB" w:rsidRPr="00AB03E8">
        <w:rPr>
          <w:b/>
          <w:lang w:val="fr-CA"/>
        </w:rPr>
        <w:t>:</w:t>
      </w:r>
      <w:r w:rsidRPr="00AB03E8">
        <w:rPr>
          <w:lang w:val="fr-CA"/>
        </w:rPr>
        <w:t xml:space="preserve"> </w:t>
      </w:r>
      <w:r w:rsidR="00053EF9" w:rsidRPr="00AB03E8">
        <w:rPr>
          <w:i/>
          <w:lang w:val="fr-CA"/>
        </w:rPr>
        <w:t>R. c. Hart</w:t>
      </w:r>
      <w:r w:rsidR="00053EF9" w:rsidRPr="00AB03E8">
        <w:rPr>
          <w:lang w:val="fr-CA"/>
        </w:rPr>
        <w:t xml:space="preserve">, 2014 CSC </w:t>
      </w:r>
      <w:r w:rsidR="00F1774F" w:rsidRPr="00AB03E8">
        <w:rPr>
          <w:lang w:val="fr-CA"/>
        </w:rPr>
        <w:t>52</w:t>
      </w:r>
      <w:r w:rsidR="006C4B26">
        <w:rPr>
          <w:lang w:val="fr-CA"/>
        </w:rPr>
        <w:t>, [2014] 2 R.C.S. 544</w:t>
      </w:r>
      <w:r w:rsidR="00F1774F" w:rsidRPr="00AB03E8">
        <w:rPr>
          <w:lang w:val="fr-CA"/>
        </w:rPr>
        <w:t>;</w:t>
      </w:r>
      <w:r w:rsidR="00CA6611" w:rsidRPr="00AB03E8">
        <w:rPr>
          <w:b/>
          <w:lang w:val="fr-CA"/>
        </w:rPr>
        <w:t xml:space="preserve"> arrêts mentionnés</w:t>
      </w:r>
      <w:r w:rsidR="00203E16">
        <w:rPr>
          <w:b/>
          <w:lang w:val="fr-CA"/>
        </w:rPr>
        <w:t xml:space="preserve"> </w:t>
      </w:r>
      <w:r w:rsidR="00561BFB" w:rsidRPr="00AB03E8">
        <w:rPr>
          <w:b/>
          <w:lang w:val="fr-CA"/>
        </w:rPr>
        <w:t>:</w:t>
      </w:r>
      <w:r w:rsidR="00F1774F" w:rsidRPr="00AB03E8">
        <w:rPr>
          <w:i/>
          <w:lang w:val="fr-CA"/>
        </w:rPr>
        <w:t xml:space="preserve"> R. c. Wittwer</w:t>
      </w:r>
      <w:r w:rsidR="00F1774F" w:rsidRPr="00AB03E8">
        <w:rPr>
          <w:lang w:val="fr-CA"/>
        </w:rPr>
        <w:t>, 2008 CSC 33, [2008] 2 R.C.S. 235</w:t>
      </w:r>
      <w:r w:rsidR="00E87895" w:rsidRPr="00AB03E8">
        <w:rPr>
          <w:lang w:val="fr-CA"/>
        </w:rPr>
        <w:t xml:space="preserve">; </w:t>
      </w:r>
      <w:r w:rsidR="00E87895" w:rsidRPr="00AB03E8">
        <w:rPr>
          <w:i/>
          <w:lang w:val="fr-CA"/>
        </w:rPr>
        <w:t xml:space="preserve">R. </w:t>
      </w:r>
      <w:r w:rsidR="006C4B26">
        <w:rPr>
          <w:i/>
          <w:lang w:val="fr-CA"/>
        </w:rPr>
        <w:t>c</w:t>
      </w:r>
      <w:r w:rsidR="00E87895" w:rsidRPr="00AB03E8">
        <w:rPr>
          <w:i/>
          <w:lang w:val="fr-CA"/>
        </w:rPr>
        <w:t>. Goldhart</w:t>
      </w:r>
      <w:r w:rsidR="00E87895" w:rsidRPr="00AB03E8">
        <w:rPr>
          <w:lang w:val="fr-CA"/>
        </w:rPr>
        <w:t>, [1996] 2 R.C.S 463;</w:t>
      </w:r>
      <w:r w:rsidR="00E87895" w:rsidRPr="00AB03E8">
        <w:rPr>
          <w:i/>
          <w:lang w:val="fr-CA"/>
        </w:rPr>
        <w:t xml:space="preserve"> R. c. Côté</w:t>
      </w:r>
      <w:r w:rsidR="00E87895" w:rsidRPr="00AB03E8">
        <w:rPr>
          <w:lang w:val="fr-CA"/>
        </w:rPr>
        <w:t>, 2011 CSC 4</w:t>
      </w:r>
      <w:r w:rsidR="006C4B26">
        <w:rPr>
          <w:lang w:val="fr-CA"/>
        </w:rPr>
        <w:t>6</w:t>
      </w:r>
      <w:r w:rsidR="00E87895" w:rsidRPr="00AB03E8">
        <w:rPr>
          <w:lang w:val="fr-CA"/>
        </w:rPr>
        <w:t xml:space="preserve">, [2011] 3 R.C.S. 215; </w:t>
      </w:r>
      <w:r w:rsidR="00E87895" w:rsidRPr="00AB03E8">
        <w:rPr>
          <w:i/>
          <w:lang w:val="fr-CA"/>
        </w:rPr>
        <w:t>R. c. Grant</w:t>
      </w:r>
      <w:r w:rsidR="00E87895" w:rsidRPr="00AB03E8">
        <w:rPr>
          <w:lang w:val="fr-CA"/>
        </w:rPr>
        <w:t>, 2009 CSC 32, [2009] 2 R.C.S. 353</w:t>
      </w:r>
      <w:r w:rsidR="006E1DAA" w:rsidRPr="00AB03E8">
        <w:rPr>
          <w:szCs w:val="24"/>
          <w:lang w:val="fr-CA"/>
        </w:rPr>
        <w:t xml:space="preserve">; </w:t>
      </w:r>
      <w:r w:rsidR="006E1DAA" w:rsidRPr="00AB03E8">
        <w:rPr>
          <w:i/>
          <w:szCs w:val="24"/>
          <w:lang w:val="fr-CA"/>
        </w:rPr>
        <w:t>R. c. Bonisteel</w:t>
      </w:r>
      <w:r w:rsidR="006E1DAA" w:rsidRPr="00AB03E8">
        <w:rPr>
          <w:szCs w:val="24"/>
          <w:lang w:val="fr-CA"/>
        </w:rPr>
        <w:t>, 2008 BCCA 344, 259 B.C.A.C. 114</w:t>
      </w:r>
      <w:r w:rsidR="00723C27" w:rsidRPr="00AB03E8">
        <w:rPr>
          <w:szCs w:val="24"/>
          <w:lang w:val="fr-CA"/>
        </w:rPr>
        <w:t xml:space="preserve">; </w:t>
      </w:r>
      <w:r w:rsidR="00723C27" w:rsidRPr="00AB03E8">
        <w:rPr>
          <w:i/>
          <w:lang w:val="fr-CA"/>
        </w:rPr>
        <w:t>R. c. Jacquard</w:t>
      </w:r>
      <w:r w:rsidR="00723C27" w:rsidRPr="00AB03E8">
        <w:rPr>
          <w:lang w:val="fr-CA"/>
        </w:rPr>
        <w:t xml:space="preserve">, [1997] 1 R.C.S. 314; </w:t>
      </w:r>
      <w:r w:rsidR="00723C27" w:rsidRPr="00AB03E8">
        <w:rPr>
          <w:i/>
          <w:lang w:val="fr-CA"/>
        </w:rPr>
        <w:t>R. c. Luciano</w:t>
      </w:r>
      <w:r w:rsidR="00723C27" w:rsidRPr="00AB03E8">
        <w:rPr>
          <w:lang w:val="fr-CA"/>
        </w:rPr>
        <w:t>, 2011 ONCA 89, 273 O.A.C. 273;</w:t>
      </w:r>
      <w:r w:rsidR="00723C27" w:rsidRPr="00AB03E8">
        <w:rPr>
          <w:i/>
          <w:lang w:val="fr-CA"/>
        </w:rPr>
        <w:t xml:space="preserve"> R. c. Daley</w:t>
      </w:r>
      <w:r w:rsidR="00723C27" w:rsidRPr="00AB03E8">
        <w:rPr>
          <w:lang w:val="fr-CA"/>
        </w:rPr>
        <w:t>, 2007 CSC 53, [2007] 3 R.C.S. 523</w:t>
      </w:r>
      <w:r w:rsidR="002B3D44" w:rsidRPr="00AB03E8">
        <w:rPr>
          <w:lang w:val="fr-CA"/>
        </w:rPr>
        <w:t xml:space="preserve">; </w:t>
      </w:r>
      <w:r w:rsidR="002B3D44" w:rsidRPr="00AB03E8">
        <w:rPr>
          <w:i/>
          <w:lang w:val="fr-CA"/>
        </w:rPr>
        <w:t>R. c. Terrico</w:t>
      </w:r>
      <w:r w:rsidR="002B3D44" w:rsidRPr="00AB03E8">
        <w:rPr>
          <w:lang w:val="fr-CA"/>
        </w:rPr>
        <w:t xml:space="preserve">, 2005 BCCA 361, 214 B.C.A.C. 135; </w:t>
      </w:r>
      <w:r w:rsidR="002B3D44" w:rsidRPr="00AB03E8">
        <w:rPr>
          <w:i/>
          <w:lang w:val="fr-CA"/>
        </w:rPr>
        <w:t>R. c. Fry</w:t>
      </w:r>
      <w:r w:rsidR="002B3D44" w:rsidRPr="00AB03E8">
        <w:rPr>
          <w:lang w:val="fr-CA"/>
        </w:rPr>
        <w:t>, 2011 BCCA 381, 311 B.C.A.C. 90</w:t>
      </w:r>
      <w:r w:rsidR="00EE543C" w:rsidRPr="00AB03E8">
        <w:rPr>
          <w:lang w:val="fr-CA"/>
        </w:rPr>
        <w:t xml:space="preserve">; </w:t>
      </w:r>
      <w:r w:rsidR="00EE543C" w:rsidRPr="00AB03E8">
        <w:rPr>
          <w:i/>
          <w:lang w:val="fr-CA"/>
        </w:rPr>
        <w:t>Vetrovec c. La Reine</w:t>
      </w:r>
      <w:r w:rsidR="00EE543C" w:rsidRPr="00AB03E8">
        <w:rPr>
          <w:lang w:val="fr-CA"/>
        </w:rPr>
        <w:t>, [1982] 1 R.C.S. 811</w:t>
      </w:r>
      <w:r w:rsidR="00F1774F" w:rsidRPr="00AB03E8">
        <w:rPr>
          <w:lang w:val="fr-CA"/>
        </w:rPr>
        <w:t>.</w:t>
      </w:r>
    </w:p>
    <w:p w:rsidR="004D7D95" w:rsidRPr="00AB03E8" w:rsidRDefault="004D7D95" w:rsidP="00C2355C">
      <w:pPr>
        <w:pStyle w:val="SCCNormalDoubleSpacing"/>
        <w:keepNext/>
        <w:spacing w:after="720" w:line="240" w:lineRule="auto"/>
        <w:rPr>
          <w:b/>
          <w:lang w:val="fr-CA"/>
        </w:rPr>
      </w:pPr>
      <w:r w:rsidRPr="00AB03E8">
        <w:rPr>
          <w:b/>
          <w:lang w:val="fr-CA"/>
        </w:rPr>
        <w:t>Lois et règlements cités</w:t>
      </w:r>
    </w:p>
    <w:p w:rsidR="00E930C3" w:rsidRPr="00AB03E8" w:rsidRDefault="00E930C3" w:rsidP="000B6F03">
      <w:pPr>
        <w:pStyle w:val="SCCNormalDoubleSpacing"/>
        <w:spacing w:after="240" w:line="240" w:lineRule="auto"/>
        <w:ind w:left="547" w:hanging="547"/>
        <w:rPr>
          <w:lang w:val="fr-CA"/>
        </w:rPr>
      </w:pPr>
      <w:r w:rsidRPr="00AB03E8">
        <w:rPr>
          <w:i/>
          <w:lang w:val="fr-CA"/>
        </w:rPr>
        <w:t>Charte canadienne des droits et libertés</w:t>
      </w:r>
      <w:r w:rsidRPr="00AB03E8">
        <w:rPr>
          <w:lang w:val="fr-CA"/>
        </w:rPr>
        <w:t xml:space="preserve">, </w:t>
      </w:r>
      <w:r w:rsidR="00561BFB" w:rsidRPr="00AB03E8">
        <w:rPr>
          <w:lang w:val="fr-CA"/>
        </w:rPr>
        <w:t>art.</w:t>
      </w:r>
      <w:r w:rsidR="00203E16">
        <w:rPr>
          <w:lang w:val="fr-CA"/>
        </w:rPr>
        <w:t xml:space="preserve"> </w:t>
      </w:r>
      <w:r w:rsidRPr="00AB03E8">
        <w:rPr>
          <w:lang w:val="fr-CA"/>
        </w:rPr>
        <w:t>8</w:t>
      </w:r>
      <w:r w:rsidR="0069265F" w:rsidRPr="00AB03E8">
        <w:rPr>
          <w:lang w:val="fr-CA"/>
        </w:rPr>
        <w:t>, 24(2)</w:t>
      </w:r>
      <w:r w:rsidRPr="00AB03E8">
        <w:rPr>
          <w:lang w:val="fr-CA"/>
        </w:rPr>
        <w:t>.</w:t>
      </w:r>
    </w:p>
    <w:p w:rsidR="00E930C3" w:rsidRPr="00AB03E8" w:rsidRDefault="00E930C3" w:rsidP="000B6F03">
      <w:pPr>
        <w:pStyle w:val="SCCNormalDoubleSpacing"/>
        <w:spacing w:after="720" w:line="240" w:lineRule="auto"/>
        <w:ind w:left="547" w:hanging="547"/>
        <w:rPr>
          <w:lang w:val="fr-CA"/>
        </w:rPr>
      </w:pPr>
      <w:r w:rsidRPr="00AB03E8">
        <w:rPr>
          <w:i/>
          <w:lang w:val="fr-CA"/>
        </w:rPr>
        <w:t>Code criminel</w:t>
      </w:r>
      <w:r w:rsidRPr="00AB03E8">
        <w:rPr>
          <w:lang w:val="fr-CA"/>
        </w:rPr>
        <w:t xml:space="preserve">, L.R.C. 1985, </w:t>
      </w:r>
      <w:r w:rsidR="00561BFB" w:rsidRPr="00AB03E8">
        <w:rPr>
          <w:lang w:val="fr-CA"/>
        </w:rPr>
        <w:t>ch.</w:t>
      </w:r>
      <w:r w:rsidR="00203E16">
        <w:rPr>
          <w:lang w:val="fr-CA"/>
        </w:rPr>
        <w:t xml:space="preserve"> </w:t>
      </w:r>
      <w:r w:rsidRPr="00AB03E8">
        <w:rPr>
          <w:lang w:val="fr-CA"/>
        </w:rPr>
        <w:t>C</w:t>
      </w:r>
      <w:r w:rsidR="00203E16">
        <w:rPr>
          <w:lang w:val="fr-CA"/>
        </w:rPr>
        <w:t>-</w:t>
      </w:r>
      <w:r w:rsidRPr="00AB03E8">
        <w:rPr>
          <w:lang w:val="fr-CA"/>
        </w:rPr>
        <w:t>46</w:t>
      </w:r>
      <w:r w:rsidR="00C002ED" w:rsidRPr="00AB03E8">
        <w:rPr>
          <w:lang w:val="fr-CA"/>
        </w:rPr>
        <w:t>,</w:t>
      </w:r>
      <w:r w:rsidR="000B6F03" w:rsidRPr="00AB03E8">
        <w:rPr>
          <w:lang w:val="fr-CA"/>
        </w:rPr>
        <w:t xml:space="preserve"> partie</w:t>
      </w:r>
      <w:r w:rsidR="00203E16">
        <w:rPr>
          <w:lang w:val="fr-CA"/>
        </w:rPr>
        <w:t xml:space="preserve"> </w:t>
      </w:r>
      <w:r w:rsidR="00F86660" w:rsidRPr="00AB03E8">
        <w:rPr>
          <w:lang w:val="fr-CA"/>
        </w:rPr>
        <w:t>VI,</w:t>
      </w:r>
      <w:r w:rsidR="00C002ED" w:rsidRPr="00AB03E8">
        <w:rPr>
          <w:lang w:val="fr-CA"/>
        </w:rPr>
        <w:t xml:space="preserve"> </w:t>
      </w:r>
      <w:r w:rsidR="00561BFB" w:rsidRPr="00AB03E8">
        <w:rPr>
          <w:lang w:val="fr-CA"/>
        </w:rPr>
        <w:t>art.</w:t>
      </w:r>
      <w:r w:rsidR="00203E16">
        <w:rPr>
          <w:lang w:val="fr-CA"/>
        </w:rPr>
        <w:t xml:space="preserve"> </w:t>
      </w:r>
      <w:r w:rsidR="00C002ED" w:rsidRPr="00AB03E8">
        <w:rPr>
          <w:lang w:val="fr-CA"/>
        </w:rPr>
        <w:t>186(1)</w:t>
      </w:r>
      <w:r w:rsidR="00C002ED" w:rsidRPr="00AB03E8">
        <w:rPr>
          <w:i/>
          <w:lang w:val="fr-CA"/>
        </w:rPr>
        <w:t>b</w:t>
      </w:r>
      <w:r w:rsidR="00C002ED" w:rsidRPr="00AB03E8">
        <w:rPr>
          <w:lang w:val="fr-CA"/>
        </w:rPr>
        <w:t>)</w:t>
      </w:r>
      <w:r w:rsidRPr="00AB03E8">
        <w:rPr>
          <w:lang w:val="fr-CA"/>
        </w:rPr>
        <w:t>.</w:t>
      </w:r>
    </w:p>
    <w:p w:rsidR="004D7D95" w:rsidRPr="00AB03E8" w:rsidRDefault="0058211A" w:rsidP="000B6F03">
      <w:pPr>
        <w:pStyle w:val="SCCNormalDoubleSpacing"/>
        <w:spacing w:before="480" w:after="480"/>
        <w:rPr>
          <w:lang w:val="fr-CA"/>
        </w:rPr>
      </w:pPr>
      <w:r w:rsidRPr="00AB03E8">
        <w:rPr>
          <w:lang w:val="fr-CA"/>
        </w:rPr>
        <w:tab/>
      </w:r>
      <w:r w:rsidR="004D7D95" w:rsidRPr="00AB03E8">
        <w:rPr>
          <w:lang w:val="fr-CA"/>
        </w:rPr>
        <w:t>POURVOI contre un arrêt de la Cour d</w:t>
      </w:r>
      <w:r w:rsidRPr="00AB03E8">
        <w:rPr>
          <w:lang w:val="fr-CA"/>
        </w:rPr>
        <w:t>’</w:t>
      </w:r>
      <w:r w:rsidR="004D7D95" w:rsidRPr="00AB03E8">
        <w:rPr>
          <w:lang w:val="fr-CA"/>
        </w:rPr>
        <w:t>appel de l</w:t>
      </w:r>
      <w:r w:rsidRPr="00AB03E8">
        <w:rPr>
          <w:lang w:val="fr-CA"/>
        </w:rPr>
        <w:t>’</w:t>
      </w:r>
      <w:r w:rsidR="004D7D95" w:rsidRPr="00AB03E8">
        <w:rPr>
          <w:lang w:val="fr-CA"/>
        </w:rPr>
        <w:t>Alberta</w:t>
      </w:r>
      <w:r w:rsidR="00F16B32" w:rsidRPr="00AB03E8">
        <w:rPr>
          <w:lang w:val="fr-CA"/>
        </w:rPr>
        <w:t xml:space="preserve"> (les juges Côté, McFadyen et O’Brien), 2012 ABCA 42, </w:t>
      </w:r>
      <w:r w:rsidR="00A7767C" w:rsidRPr="00AB03E8">
        <w:rPr>
          <w:lang w:val="fr-CA"/>
        </w:rPr>
        <w:t xml:space="preserve">66 Alta. L.R. (5th) 377, </w:t>
      </w:r>
      <w:r w:rsidR="00F16B32" w:rsidRPr="00AB03E8">
        <w:rPr>
          <w:lang w:val="fr-CA"/>
        </w:rPr>
        <w:t xml:space="preserve">522 A.R. 262, </w:t>
      </w:r>
      <w:r w:rsidR="00A7767C" w:rsidRPr="00AB03E8">
        <w:rPr>
          <w:lang w:val="fr-CA"/>
        </w:rPr>
        <w:t xml:space="preserve">544 W.A.C. 262, </w:t>
      </w:r>
      <w:r w:rsidR="00F16B32" w:rsidRPr="00AB03E8">
        <w:rPr>
          <w:lang w:val="fr-CA"/>
        </w:rPr>
        <w:t xml:space="preserve">253 C.R.R. (2d) 157, [2012] A.J. </w:t>
      </w:r>
      <w:r w:rsidR="00561BFB" w:rsidRPr="00AB03E8">
        <w:rPr>
          <w:lang w:val="fr-CA"/>
        </w:rPr>
        <w:t>No.</w:t>
      </w:r>
      <w:r w:rsidR="00203E16">
        <w:rPr>
          <w:lang w:val="fr-CA"/>
        </w:rPr>
        <w:t xml:space="preserve"> </w:t>
      </w:r>
      <w:r w:rsidR="00F16B32" w:rsidRPr="00AB03E8">
        <w:rPr>
          <w:lang w:val="fr-CA"/>
        </w:rPr>
        <w:t>174 (QL), 2012 CarswellAlta 255, qui a confirmé la déclaration de culpabilité de meurtre au premier degré prononcée contre l’accusé.</w:t>
      </w:r>
      <w:r w:rsidRPr="00AB03E8">
        <w:rPr>
          <w:lang w:val="fr-CA"/>
        </w:rPr>
        <w:t xml:space="preserve">  Pourvoi </w:t>
      </w:r>
      <w:r w:rsidR="00204EE6" w:rsidRPr="00AB03E8">
        <w:rPr>
          <w:lang w:val="fr-CA"/>
        </w:rPr>
        <w:t>rejeté</w:t>
      </w:r>
      <w:r w:rsidRPr="00AB03E8">
        <w:rPr>
          <w:lang w:val="fr-CA"/>
        </w:rPr>
        <w:t>.</w:t>
      </w:r>
    </w:p>
    <w:p w:rsidR="00692145" w:rsidRPr="00AB03E8" w:rsidRDefault="0058211A" w:rsidP="000B6F03">
      <w:pPr>
        <w:pStyle w:val="SCCNormalDoubleSpacing"/>
        <w:spacing w:before="480" w:after="480"/>
        <w:rPr>
          <w:lang w:val="fr-CA"/>
        </w:rPr>
      </w:pPr>
      <w:r w:rsidRPr="002E58AD">
        <w:rPr>
          <w:i/>
          <w:lang w:val="fr-CA"/>
        </w:rPr>
        <w:tab/>
        <w:t>Laura</w:t>
      </w:r>
      <w:r w:rsidR="00203E16">
        <w:rPr>
          <w:i/>
          <w:lang w:val="fr-CA"/>
        </w:rPr>
        <w:t xml:space="preserve"> </w:t>
      </w:r>
      <w:r w:rsidRPr="002E58AD">
        <w:rPr>
          <w:i/>
          <w:lang w:val="fr-CA"/>
        </w:rPr>
        <w:t>K. Stevens</w:t>
      </w:r>
      <w:r w:rsidRPr="006C4B26">
        <w:rPr>
          <w:lang w:val="fr-CA"/>
        </w:rPr>
        <w:t>,</w:t>
      </w:r>
      <w:r w:rsidRPr="002E58AD">
        <w:rPr>
          <w:i/>
          <w:lang w:val="fr-CA"/>
        </w:rPr>
        <w:t xml:space="preserve"> c.r.</w:t>
      </w:r>
      <w:r w:rsidRPr="00AB03E8">
        <w:rPr>
          <w:lang w:val="fr-CA"/>
        </w:rPr>
        <w:t xml:space="preserve">, et </w:t>
      </w:r>
      <w:r w:rsidRPr="002E58AD">
        <w:rPr>
          <w:i/>
          <w:lang w:val="fr-CA"/>
        </w:rPr>
        <w:t>Sarah</w:t>
      </w:r>
      <w:r w:rsidR="00203E16">
        <w:rPr>
          <w:i/>
          <w:lang w:val="fr-CA"/>
        </w:rPr>
        <w:t xml:space="preserve"> </w:t>
      </w:r>
      <w:r w:rsidRPr="002E58AD">
        <w:rPr>
          <w:i/>
          <w:lang w:val="fr-CA"/>
        </w:rPr>
        <w:t>N. DeSouza</w:t>
      </w:r>
      <w:r w:rsidRPr="00AB03E8">
        <w:rPr>
          <w:lang w:val="fr-CA"/>
        </w:rPr>
        <w:t>, pour l’appelant.</w:t>
      </w:r>
    </w:p>
    <w:p w:rsidR="00692145" w:rsidRPr="00AB03E8" w:rsidRDefault="0058211A" w:rsidP="000B6F03">
      <w:pPr>
        <w:pStyle w:val="SCCNormalDoubleSpacing"/>
        <w:spacing w:before="480" w:after="480"/>
        <w:rPr>
          <w:lang w:val="fr-CA"/>
        </w:rPr>
      </w:pPr>
      <w:r w:rsidRPr="002E58AD">
        <w:rPr>
          <w:i/>
          <w:lang w:val="fr-CA"/>
        </w:rPr>
        <w:tab/>
        <w:t>James</w:t>
      </w:r>
      <w:r w:rsidR="00203E16">
        <w:rPr>
          <w:i/>
          <w:lang w:val="fr-CA"/>
        </w:rPr>
        <w:t xml:space="preserve"> </w:t>
      </w:r>
      <w:r w:rsidRPr="002E58AD">
        <w:rPr>
          <w:i/>
          <w:lang w:val="fr-CA"/>
        </w:rPr>
        <w:t>C. Robb</w:t>
      </w:r>
      <w:r w:rsidRPr="006C4B26">
        <w:rPr>
          <w:lang w:val="fr-CA"/>
        </w:rPr>
        <w:t>,</w:t>
      </w:r>
      <w:r w:rsidRPr="002E58AD">
        <w:rPr>
          <w:i/>
          <w:lang w:val="fr-CA"/>
        </w:rPr>
        <w:t xml:space="preserve"> c.r.</w:t>
      </w:r>
      <w:r w:rsidRPr="00AB03E8">
        <w:rPr>
          <w:lang w:val="fr-CA"/>
        </w:rPr>
        <w:t xml:space="preserve">, et </w:t>
      </w:r>
      <w:r w:rsidRPr="002E58AD">
        <w:rPr>
          <w:i/>
          <w:lang w:val="fr-CA"/>
        </w:rPr>
        <w:t>David</w:t>
      </w:r>
      <w:r w:rsidR="00203E16">
        <w:rPr>
          <w:i/>
          <w:lang w:val="fr-CA"/>
        </w:rPr>
        <w:t xml:space="preserve"> </w:t>
      </w:r>
      <w:r w:rsidRPr="002E58AD">
        <w:rPr>
          <w:i/>
          <w:lang w:val="fr-CA"/>
        </w:rPr>
        <w:t>A. Labrenz</w:t>
      </w:r>
      <w:r w:rsidRPr="006C4B26">
        <w:rPr>
          <w:lang w:val="fr-CA"/>
        </w:rPr>
        <w:t>,</w:t>
      </w:r>
      <w:r w:rsidRPr="002E58AD">
        <w:rPr>
          <w:i/>
          <w:lang w:val="fr-CA"/>
        </w:rPr>
        <w:t xml:space="preserve"> c.r.</w:t>
      </w:r>
      <w:r w:rsidRPr="00AB03E8">
        <w:rPr>
          <w:lang w:val="fr-CA"/>
        </w:rPr>
        <w:t>, pour l’intimée.</w:t>
      </w:r>
    </w:p>
    <w:p w:rsidR="00692145" w:rsidRPr="00AB03E8" w:rsidRDefault="0058211A" w:rsidP="000B6F03">
      <w:pPr>
        <w:pStyle w:val="SCCNormalDoubleSpacing"/>
        <w:spacing w:before="480" w:after="480"/>
        <w:rPr>
          <w:lang w:val="fr-CA"/>
        </w:rPr>
      </w:pPr>
      <w:r w:rsidRPr="002E58AD">
        <w:rPr>
          <w:i/>
          <w:lang w:val="fr-CA"/>
        </w:rPr>
        <w:lastRenderedPageBreak/>
        <w:tab/>
        <w:t>Michael Bernstein</w:t>
      </w:r>
      <w:r w:rsidRPr="00AB03E8">
        <w:rPr>
          <w:lang w:val="fr-CA"/>
        </w:rPr>
        <w:t>, pour l’intervenant le procureur général de l’Ontario.</w:t>
      </w:r>
    </w:p>
    <w:p w:rsidR="00692145" w:rsidRPr="00AB03E8" w:rsidRDefault="0058211A" w:rsidP="000B6F03">
      <w:pPr>
        <w:pStyle w:val="SCCNormalDoubleSpacing"/>
        <w:spacing w:before="480" w:after="480"/>
        <w:rPr>
          <w:lang w:val="fr-CA"/>
        </w:rPr>
      </w:pPr>
      <w:r w:rsidRPr="002E58AD">
        <w:rPr>
          <w:i/>
          <w:lang w:val="fr-CA"/>
        </w:rPr>
        <w:tab/>
        <w:t>Lesley</w:t>
      </w:r>
      <w:r w:rsidR="00203E16">
        <w:rPr>
          <w:i/>
          <w:lang w:val="fr-CA"/>
        </w:rPr>
        <w:t xml:space="preserve"> </w:t>
      </w:r>
      <w:r w:rsidRPr="002E58AD">
        <w:rPr>
          <w:i/>
          <w:lang w:val="fr-CA"/>
        </w:rPr>
        <w:t>A. Ruzicka</w:t>
      </w:r>
      <w:r w:rsidRPr="00AB03E8">
        <w:rPr>
          <w:lang w:val="fr-CA"/>
        </w:rPr>
        <w:t>, pour l’intervenant le procureur général de la Colombie</w:t>
      </w:r>
      <w:r w:rsidR="00203E16">
        <w:rPr>
          <w:lang w:val="fr-CA"/>
        </w:rPr>
        <w:t>-</w:t>
      </w:r>
      <w:r w:rsidRPr="00AB03E8">
        <w:rPr>
          <w:lang w:val="fr-CA"/>
        </w:rPr>
        <w:t>Britannique.</w:t>
      </w:r>
    </w:p>
    <w:p w:rsidR="00AF2876" w:rsidRPr="006C4B26" w:rsidRDefault="006C4B26" w:rsidP="00AF2876">
      <w:pPr>
        <w:pStyle w:val="JudgeJuge"/>
        <w:spacing w:before="480"/>
        <w:rPr>
          <w:smallCaps w:val="0"/>
          <w:lang w:val="fr-CA"/>
        </w:rPr>
      </w:pPr>
      <w:r>
        <w:rPr>
          <w:lang w:val="fr-CA"/>
        </w:rPr>
        <w:tab/>
      </w:r>
      <w:r>
        <w:rPr>
          <w:smallCaps w:val="0"/>
          <w:lang w:val="fr-CA"/>
        </w:rPr>
        <w:t>Version française du jugement de la Cour rendu par</w:t>
      </w:r>
    </w:p>
    <w:p w:rsidR="00AF2876" w:rsidRPr="0001174C" w:rsidRDefault="00AF2876" w:rsidP="00AF2876">
      <w:pPr>
        <w:pStyle w:val="JudgeJuge"/>
        <w:spacing w:before="480"/>
        <w:rPr>
          <w:lang w:val="fr-CA"/>
        </w:rPr>
      </w:pPr>
      <w:r>
        <w:rPr>
          <w:lang w:val="fr-CA"/>
        </w:rPr>
        <w:tab/>
        <w:t xml:space="preserve">Le juge Moldaver </w:t>
      </w:r>
      <w:r w:rsidRPr="0001174C">
        <w:rPr>
          <w:lang w:val="fr-CA"/>
        </w:rPr>
        <w:t xml:space="preserve">— </w:t>
      </w:r>
    </w:p>
    <w:p w:rsidR="00AF2876" w:rsidRPr="0001174C" w:rsidRDefault="00AF2876" w:rsidP="00AF2876">
      <w:pPr>
        <w:pStyle w:val="Title1LevelTitre1Niveau-AltL"/>
        <w:rPr>
          <w:rFonts w:cs="Times New Roman"/>
          <w:lang w:val="fr-CA"/>
        </w:rPr>
      </w:pPr>
      <w:r w:rsidRPr="0001174C">
        <w:rPr>
          <w:rFonts w:cs="Times New Roman"/>
          <w:lang w:val="fr-CA"/>
        </w:rPr>
        <w:t>Introduction</w:t>
      </w:r>
    </w:p>
    <w:p w:rsidR="00AF2876" w:rsidRPr="0001174C" w:rsidRDefault="00AF2876" w:rsidP="00AF2876">
      <w:pPr>
        <w:pStyle w:val="ParaNoNdepar-AltN"/>
        <w:rPr>
          <w:rFonts w:cs="Times New Roman"/>
          <w:lang w:val="fr-CA"/>
        </w:rPr>
      </w:pPr>
      <w:r w:rsidRPr="0001174C">
        <w:rPr>
          <w:rFonts w:cs="Times New Roman"/>
          <w:lang w:val="fr-CA"/>
        </w:rPr>
        <w:t>Un jury a reconnu l</w:t>
      </w:r>
      <w:r>
        <w:rPr>
          <w:rFonts w:cs="Times New Roman"/>
          <w:lang w:val="fr-CA"/>
        </w:rPr>
        <w:t>’</w:t>
      </w:r>
      <w:r w:rsidRPr="0001174C">
        <w:rPr>
          <w:rFonts w:cs="Times New Roman"/>
          <w:lang w:val="fr-CA"/>
        </w:rPr>
        <w:t>appelant coupable du meurtre au premier degré de son colocataire, Robert Levoir. La Cour d</w:t>
      </w:r>
      <w:r>
        <w:rPr>
          <w:rFonts w:cs="Times New Roman"/>
          <w:lang w:val="fr-CA"/>
        </w:rPr>
        <w:t>’</w:t>
      </w:r>
      <w:r w:rsidRPr="0001174C">
        <w:rPr>
          <w:rFonts w:cs="Times New Roman"/>
          <w:lang w:val="fr-CA"/>
        </w:rPr>
        <w:t>appel de l</w:t>
      </w:r>
      <w:r>
        <w:rPr>
          <w:rFonts w:cs="Times New Roman"/>
          <w:lang w:val="fr-CA"/>
        </w:rPr>
        <w:t>’</w:t>
      </w:r>
      <w:r w:rsidRPr="0001174C">
        <w:rPr>
          <w:rFonts w:cs="Times New Roman"/>
          <w:lang w:val="fr-CA"/>
        </w:rPr>
        <w:t>Alberta l</w:t>
      </w:r>
      <w:r>
        <w:rPr>
          <w:rFonts w:cs="Times New Roman"/>
          <w:lang w:val="fr-CA"/>
        </w:rPr>
        <w:t>’</w:t>
      </w:r>
      <w:r w:rsidRPr="0001174C">
        <w:rPr>
          <w:rFonts w:cs="Times New Roman"/>
          <w:lang w:val="fr-CA"/>
        </w:rPr>
        <w:t xml:space="preserve">a débouté </w:t>
      </w:r>
      <w:r>
        <w:rPr>
          <w:rFonts w:cs="Times New Roman"/>
          <w:lang w:val="fr-CA"/>
        </w:rPr>
        <w:t>après</w:t>
      </w:r>
      <w:r w:rsidRPr="0001174C">
        <w:rPr>
          <w:rFonts w:cs="Times New Roman"/>
          <w:lang w:val="fr-CA"/>
        </w:rPr>
        <w:t xml:space="preserve"> qu</w:t>
      </w:r>
      <w:r>
        <w:rPr>
          <w:rFonts w:cs="Times New Roman"/>
          <w:lang w:val="fr-CA"/>
        </w:rPr>
        <w:t>’</w:t>
      </w:r>
      <w:r w:rsidRPr="0001174C">
        <w:rPr>
          <w:rFonts w:cs="Times New Roman"/>
          <w:lang w:val="fr-CA"/>
        </w:rPr>
        <w:t xml:space="preserve">il </w:t>
      </w:r>
      <w:r>
        <w:rPr>
          <w:rFonts w:cs="Times New Roman"/>
          <w:lang w:val="fr-CA"/>
        </w:rPr>
        <w:t>eut</w:t>
      </w:r>
      <w:r w:rsidRPr="0001174C">
        <w:rPr>
          <w:rFonts w:cs="Times New Roman"/>
          <w:lang w:val="fr-CA"/>
        </w:rPr>
        <w:t xml:space="preserve"> interjeté </w:t>
      </w:r>
      <w:r>
        <w:rPr>
          <w:rFonts w:cs="Times New Roman"/>
          <w:lang w:val="fr-CA"/>
        </w:rPr>
        <w:t>appel du verdict. Il</w:t>
      </w:r>
      <w:r w:rsidRPr="0001174C">
        <w:rPr>
          <w:rFonts w:cs="Times New Roman"/>
          <w:lang w:val="fr-CA"/>
        </w:rPr>
        <w:t xml:space="preserve"> se pourvoit </w:t>
      </w:r>
      <w:r>
        <w:rPr>
          <w:rFonts w:cs="Times New Roman"/>
          <w:lang w:val="fr-CA"/>
        </w:rPr>
        <w:t>aujourd’hui</w:t>
      </w:r>
      <w:r w:rsidRPr="0001174C">
        <w:rPr>
          <w:rFonts w:cs="Times New Roman"/>
          <w:lang w:val="fr-CA"/>
        </w:rPr>
        <w:t xml:space="preserve"> devant notre Cour</w:t>
      </w:r>
      <w:r>
        <w:rPr>
          <w:rFonts w:cs="Times New Roman"/>
          <w:lang w:val="fr-CA"/>
        </w:rPr>
        <w:t xml:space="preserve"> —</w:t>
      </w:r>
      <w:r w:rsidRPr="0001174C">
        <w:rPr>
          <w:rFonts w:cs="Times New Roman"/>
          <w:lang w:val="fr-CA"/>
        </w:rPr>
        <w:t xml:space="preserve"> </w:t>
      </w:r>
      <w:r>
        <w:rPr>
          <w:rFonts w:cs="Times New Roman"/>
          <w:lang w:val="fr-CA"/>
        </w:rPr>
        <w:t xml:space="preserve">sur </w:t>
      </w:r>
      <w:r w:rsidRPr="0001174C">
        <w:rPr>
          <w:rFonts w:cs="Times New Roman"/>
          <w:lang w:val="fr-CA"/>
        </w:rPr>
        <w:t xml:space="preserve">autorisation </w:t>
      </w:r>
      <w:r>
        <w:rPr>
          <w:rFonts w:cs="Times New Roman"/>
          <w:lang w:val="fr-CA"/>
        </w:rPr>
        <w:t xml:space="preserve">— </w:t>
      </w:r>
      <w:r w:rsidRPr="0001174C">
        <w:rPr>
          <w:rFonts w:cs="Times New Roman"/>
          <w:lang w:val="fr-CA"/>
        </w:rPr>
        <w:t>en vue de faire annuler sa déclaration de culpabilité et d</w:t>
      </w:r>
      <w:r>
        <w:rPr>
          <w:rFonts w:cs="Times New Roman"/>
          <w:lang w:val="fr-CA"/>
        </w:rPr>
        <w:t>’</w:t>
      </w:r>
      <w:r w:rsidRPr="0001174C">
        <w:rPr>
          <w:rFonts w:cs="Times New Roman"/>
          <w:lang w:val="fr-CA"/>
        </w:rPr>
        <w:t>obtenir la tenue d</w:t>
      </w:r>
      <w:r>
        <w:rPr>
          <w:rFonts w:cs="Times New Roman"/>
          <w:lang w:val="fr-CA"/>
        </w:rPr>
        <w:t>’</w:t>
      </w:r>
      <w:r w:rsidRPr="0001174C">
        <w:rPr>
          <w:rFonts w:cs="Times New Roman"/>
          <w:lang w:val="fr-CA"/>
        </w:rPr>
        <w:t xml:space="preserve">un nouveau </w:t>
      </w:r>
      <w:r>
        <w:rPr>
          <w:rFonts w:cs="Times New Roman"/>
          <w:lang w:val="fr-CA"/>
        </w:rPr>
        <w:t>procès</w:t>
      </w:r>
      <w:r w:rsidRPr="0001174C">
        <w:rPr>
          <w:rFonts w:cs="Times New Roman"/>
          <w:lang w:val="fr-CA"/>
        </w:rPr>
        <w:t xml:space="preserve">. Le pourvoi a été </w:t>
      </w:r>
      <w:r>
        <w:rPr>
          <w:rFonts w:cs="Times New Roman"/>
          <w:lang w:val="fr-CA"/>
        </w:rPr>
        <w:t>entendu de pair avec le dossier</w:t>
      </w:r>
      <w:r w:rsidRPr="0001174C">
        <w:rPr>
          <w:rFonts w:cs="Times New Roman"/>
          <w:lang w:val="fr-CA"/>
        </w:rPr>
        <w:t xml:space="preserve"> </w:t>
      </w:r>
      <w:r w:rsidRPr="0001174C">
        <w:rPr>
          <w:rFonts w:cs="Times New Roman"/>
          <w:i/>
          <w:lang w:val="fr-CA"/>
        </w:rPr>
        <w:t>R. c. Hart</w:t>
      </w:r>
      <w:r w:rsidRPr="0001174C">
        <w:rPr>
          <w:rFonts w:cs="Times New Roman"/>
          <w:lang w:val="fr-CA"/>
        </w:rPr>
        <w:t xml:space="preserve">, 2014 CSC </w:t>
      </w:r>
      <w:r>
        <w:rPr>
          <w:rFonts w:cs="Times New Roman"/>
          <w:lang w:val="fr-CA"/>
        </w:rPr>
        <w:t>52</w:t>
      </w:r>
      <w:r w:rsidR="006C4B26">
        <w:rPr>
          <w:rFonts w:cs="Times New Roman"/>
          <w:lang w:val="fr-CA"/>
        </w:rPr>
        <w:t>, [2014] 2 R.C.S. 544</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appelant fait valoir trois moyens d</w:t>
      </w:r>
      <w:r>
        <w:rPr>
          <w:rFonts w:cs="Times New Roman"/>
          <w:lang w:val="fr-CA"/>
        </w:rPr>
        <w:t>’</w:t>
      </w:r>
      <w:r w:rsidRPr="0001174C">
        <w:rPr>
          <w:rFonts w:cs="Times New Roman"/>
          <w:lang w:val="fr-CA"/>
        </w:rPr>
        <w:t>appel. Il soutient</w:t>
      </w:r>
      <w:r>
        <w:rPr>
          <w:rFonts w:cs="Times New Roman"/>
          <w:lang w:val="fr-CA"/>
        </w:rPr>
        <w:t xml:space="preserve"> d’abord</w:t>
      </w:r>
      <w:r w:rsidRPr="0001174C">
        <w:rPr>
          <w:rFonts w:cs="Times New Roman"/>
          <w:lang w:val="fr-CA"/>
        </w:rPr>
        <w:t xml:space="preserve"> que le juge du procès </w:t>
      </w:r>
      <w:r>
        <w:rPr>
          <w:rFonts w:cs="Times New Roman"/>
          <w:lang w:val="fr-CA"/>
        </w:rPr>
        <w:t>aurait dû exclure l</w:t>
      </w:r>
      <w:r w:rsidRPr="0001174C">
        <w:rPr>
          <w:rFonts w:cs="Times New Roman"/>
          <w:lang w:val="fr-CA"/>
        </w:rPr>
        <w:t>es aveux qu</w:t>
      </w:r>
      <w:r>
        <w:rPr>
          <w:rFonts w:cs="Times New Roman"/>
          <w:lang w:val="fr-CA"/>
        </w:rPr>
        <w:t>’</w:t>
      </w:r>
      <w:r w:rsidRPr="0001174C">
        <w:rPr>
          <w:rFonts w:cs="Times New Roman"/>
          <w:lang w:val="fr-CA"/>
        </w:rPr>
        <w:t xml:space="preserve">il a faits </w:t>
      </w:r>
      <w:r>
        <w:rPr>
          <w:rFonts w:cs="Times New Roman"/>
          <w:lang w:val="fr-CA"/>
        </w:rPr>
        <w:t xml:space="preserve">à des </w:t>
      </w:r>
      <w:r w:rsidRPr="0001174C">
        <w:rPr>
          <w:rFonts w:cs="Times New Roman"/>
          <w:lang w:val="fr-CA"/>
        </w:rPr>
        <w:t xml:space="preserve">agents </w:t>
      </w:r>
      <w:r>
        <w:rPr>
          <w:rFonts w:cs="Times New Roman"/>
          <w:lang w:val="fr-CA"/>
        </w:rPr>
        <w:t xml:space="preserve">banalisés au cours d’une opération </w:t>
      </w:r>
      <w:r w:rsidR="00203E16">
        <w:rPr>
          <w:rFonts w:cs="Times New Roman"/>
          <w:lang w:val="fr-CA"/>
        </w:rPr>
        <w:t>« </w:t>
      </w:r>
      <w:r w:rsidRPr="0001174C">
        <w:rPr>
          <w:rFonts w:cs="Times New Roman"/>
          <w:lang w:val="fr-CA"/>
        </w:rPr>
        <w:t>M</w:t>
      </w:r>
      <w:r>
        <w:rPr>
          <w:rFonts w:cs="Times New Roman"/>
          <w:lang w:val="fr-CA"/>
        </w:rPr>
        <w:t>onsieur Big</w:t>
      </w:r>
      <w:r w:rsidR="00203E16">
        <w:rPr>
          <w:rFonts w:cs="Times New Roman"/>
          <w:lang w:val="fr-CA"/>
        </w:rPr>
        <w:t> »</w:t>
      </w:r>
      <w:r w:rsidRPr="0001174C">
        <w:rPr>
          <w:rFonts w:cs="Times New Roman"/>
          <w:lang w:val="fr-CA"/>
        </w:rPr>
        <w:t xml:space="preserve">. Il </w:t>
      </w:r>
      <w:r>
        <w:rPr>
          <w:rFonts w:cs="Times New Roman"/>
          <w:lang w:val="fr-CA"/>
        </w:rPr>
        <w:t>prétend ensuite</w:t>
      </w:r>
      <w:r w:rsidRPr="0001174C">
        <w:rPr>
          <w:rFonts w:cs="Times New Roman"/>
          <w:lang w:val="fr-CA"/>
        </w:rPr>
        <w:t xml:space="preserve">, </w:t>
      </w:r>
      <w:r>
        <w:rPr>
          <w:rFonts w:cs="Times New Roman"/>
          <w:lang w:val="fr-CA"/>
        </w:rPr>
        <w:t>à supposer que</w:t>
      </w:r>
      <w:r w:rsidRPr="0001174C">
        <w:rPr>
          <w:rFonts w:cs="Times New Roman"/>
          <w:lang w:val="fr-CA"/>
        </w:rPr>
        <w:t xml:space="preserve"> les aveux étaient admissibles</w:t>
      </w:r>
      <w:r>
        <w:rPr>
          <w:rFonts w:cs="Times New Roman"/>
          <w:lang w:val="fr-CA"/>
        </w:rPr>
        <w:t>, que</w:t>
      </w:r>
      <w:r w:rsidRPr="0001174C">
        <w:rPr>
          <w:rFonts w:cs="Times New Roman"/>
          <w:lang w:val="fr-CA"/>
        </w:rPr>
        <w:t xml:space="preserve"> le juge du procès </w:t>
      </w:r>
      <w:r>
        <w:rPr>
          <w:rFonts w:cs="Times New Roman"/>
          <w:lang w:val="fr-CA"/>
        </w:rPr>
        <w:t>n’a pas suffisamment mis le</w:t>
      </w:r>
      <w:r w:rsidRPr="0001174C">
        <w:rPr>
          <w:rFonts w:cs="Times New Roman"/>
          <w:lang w:val="fr-CA"/>
        </w:rPr>
        <w:t xml:space="preserve"> jur</w:t>
      </w:r>
      <w:r>
        <w:rPr>
          <w:rFonts w:cs="Times New Roman"/>
          <w:lang w:val="fr-CA"/>
        </w:rPr>
        <w:t>y</w:t>
      </w:r>
      <w:r w:rsidRPr="0001174C">
        <w:rPr>
          <w:rFonts w:cs="Times New Roman"/>
          <w:lang w:val="fr-CA"/>
        </w:rPr>
        <w:t xml:space="preserve"> en garde contre les </w:t>
      </w:r>
      <w:r>
        <w:rPr>
          <w:rFonts w:cs="Times New Roman"/>
          <w:lang w:val="fr-CA"/>
        </w:rPr>
        <w:t>risques qu’ils comportaient</w:t>
      </w:r>
      <w:r w:rsidRPr="0001174C">
        <w:rPr>
          <w:rFonts w:cs="Times New Roman"/>
          <w:lang w:val="fr-CA"/>
        </w:rPr>
        <w:t xml:space="preserve">. Il </w:t>
      </w:r>
      <w:r>
        <w:rPr>
          <w:rFonts w:cs="Times New Roman"/>
          <w:lang w:val="fr-CA"/>
        </w:rPr>
        <w:t>argue</w:t>
      </w:r>
      <w:r w:rsidRPr="0001174C">
        <w:rPr>
          <w:rFonts w:cs="Times New Roman"/>
          <w:lang w:val="fr-CA"/>
        </w:rPr>
        <w:t xml:space="preserve"> enfin que le juge </w:t>
      </w:r>
      <w:r>
        <w:rPr>
          <w:rFonts w:cs="Times New Roman"/>
          <w:lang w:val="fr-CA"/>
        </w:rPr>
        <w:t>n’a pas donné de</w:t>
      </w:r>
      <w:r w:rsidRPr="0001174C">
        <w:rPr>
          <w:rFonts w:cs="Times New Roman"/>
          <w:lang w:val="fr-CA"/>
        </w:rPr>
        <w:t xml:space="preserve"> directives </w:t>
      </w:r>
      <w:r w:rsidRPr="0001174C">
        <w:rPr>
          <w:rFonts w:cs="Times New Roman"/>
          <w:lang w:val="fr-CA"/>
        </w:rPr>
        <w:lastRenderedPageBreak/>
        <w:t xml:space="preserve">appropriées </w:t>
      </w:r>
      <w:r>
        <w:rPr>
          <w:rFonts w:cs="Times New Roman"/>
          <w:lang w:val="fr-CA"/>
        </w:rPr>
        <w:t>sur l</w:t>
      </w:r>
      <w:r w:rsidRPr="0001174C">
        <w:rPr>
          <w:rFonts w:cs="Times New Roman"/>
          <w:lang w:val="fr-CA"/>
        </w:rPr>
        <w:t xml:space="preserve">es </w:t>
      </w:r>
      <w:r>
        <w:rPr>
          <w:rFonts w:cs="Times New Roman"/>
          <w:lang w:val="fr-CA"/>
        </w:rPr>
        <w:t>risque</w:t>
      </w:r>
      <w:r w:rsidRPr="0001174C">
        <w:rPr>
          <w:rFonts w:cs="Times New Roman"/>
          <w:lang w:val="fr-CA"/>
        </w:rPr>
        <w:t xml:space="preserve">s </w:t>
      </w:r>
      <w:r w:rsidRPr="003321BD">
        <w:rPr>
          <w:rFonts w:cs="Times New Roman"/>
          <w:lang w:val="fr-CA"/>
        </w:rPr>
        <w:t>que comportait l</w:t>
      </w:r>
      <w:r>
        <w:rPr>
          <w:rFonts w:cs="Times New Roman"/>
          <w:lang w:val="fr-CA"/>
        </w:rPr>
        <w:t>’</w:t>
      </w:r>
      <w:r w:rsidRPr="003321BD">
        <w:rPr>
          <w:rFonts w:cs="Times New Roman"/>
          <w:lang w:val="fr-CA"/>
        </w:rPr>
        <w:t>admission du</w:t>
      </w:r>
      <w:r w:rsidRPr="008D41E0">
        <w:rPr>
          <w:rFonts w:cs="Times New Roman"/>
          <w:lang w:val="fr-CA"/>
        </w:rPr>
        <w:t xml:space="preserve"> </w:t>
      </w:r>
      <w:r w:rsidRPr="0001174C">
        <w:rPr>
          <w:rFonts w:cs="Times New Roman"/>
          <w:lang w:val="fr-CA"/>
        </w:rPr>
        <w:t>témoignage d</w:t>
      </w:r>
      <w:r>
        <w:rPr>
          <w:rFonts w:cs="Times New Roman"/>
          <w:lang w:val="fr-CA"/>
        </w:rPr>
        <w:t>’</w:t>
      </w:r>
      <w:r w:rsidRPr="0001174C">
        <w:rPr>
          <w:rFonts w:cs="Times New Roman"/>
          <w:lang w:val="fr-CA"/>
        </w:rPr>
        <w:t>un des principaux témoins à charge, Michael Argueta.</w:t>
      </w:r>
    </w:p>
    <w:p w:rsidR="00AF2876" w:rsidRPr="0001174C" w:rsidRDefault="00AF2876" w:rsidP="00AF2876">
      <w:pPr>
        <w:pStyle w:val="ParaNoNdepar-AltN"/>
        <w:rPr>
          <w:rFonts w:cs="Times New Roman"/>
          <w:lang w:val="fr-CA"/>
        </w:rPr>
      </w:pPr>
      <w:r w:rsidRPr="0001174C">
        <w:rPr>
          <w:rFonts w:cs="Times New Roman"/>
          <w:lang w:val="fr-CA"/>
        </w:rPr>
        <w:t>Pour les motifs qui suivent, je suis d</w:t>
      </w:r>
      <w:r>
        <w:rPr>
          <w:rFonts w:cs="Times New Roman"/>
          <w:lang w:val="fr-CA"/>
        </w:rPr>
        <w:t>’</w:t>
      </w:r>
      <w:r w:rsidRPr="0001174C">
        <w:rPr>
          <w:rFonts w:cs="Times New Roman"/>
          <w:lang w:val="fr-CA"/>
        </w:rPr>
        <w:t xml:space="preserve">avis de ne retenir aucun de ces moyens et de rejeter le pourvoi. </w:t>
      </w:r>
    </w:p>
    <w:p w:rsidR="00AF2876" w:rsidRPr="0001174C" w:rsidRDefault="00AF2876" w:rsidP="00AF2876">
      <w:pPr>
        <w:pStyle w:val="Title1LevelTitre1Niveau-AltL"/>
        <w:rPr>
          <w:rFonts w:cs="Times New Roman"/>
          <w:lang w:val="fr-CA"/>
        </w:rPr>
      </w:pPr>
      <w:r>
        <w:rPr>
          <w:rFonts w:cs="Times New Roman"/>
          <w:lang w:val="fr-CA"/>
        </w:rPr>
        <w:t>Contexte factuel</w:t>
      </w:r>
    </w:p>
    <w:p w:rsidR="00AF2876" w:rsidRPr="0001174C" w:rsidRDefault="00AF2876" w:rsidP="00AF2876">
      <w:pPr>
        <w:pStyle w:val="Title2LevelTitre2Niveau"/>
        <w:ind w:left="576" w:hanging="576"/>
        <w:rPr>
          <w:rFonts w:cs="Times New Roman"/>
          <w:lang w:val="fr-CA"/>
        </w:rPr>
      </w:pPr>
      <w:r>
        <w:rPr>
          <w:rFonts w:cs="Times New Roman"/>
          <w:lang w:val="fr-CA"/>
        </w:rPr>
        <w:t>L’e</w:t>
      </w:r>
      <w:r w:rsidRPr="0001174C">
        <w:rPr>
          <w:rFonts w:cs="Times New Roman"/>
          <w:lang w:val="fr-CA"/>
        </w:rPr>
        <w:t>nquête policière sur le décès de Robert Levoir</w:t>
      </w:r>
    </w:p>
    <w:p w:rsidR="00AF2876" w:rsidRPr="0001174C" w:rsidRDefault="00AF2876" w:rsidP="00AF2876">
      <w:pPr>
        <w:pStyle w:val="ParaNoNdepar-AltN"/>
        <w:rPr>
          <w:rFonts w:cs="Times New Roman"/>
          <w:lang w:val="fr-CA"/>
        </w:rPr>
      </w:pP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a été porté disparu en novembre</w:t>
      </w:r>
      <w:r>
        <w:rPr>
          <w:rFonts w:cs="Times New Roman"/>
          <w:lang w:val="fr-CA"/>
        </w:rPr>
        <w:t xml:space="preserve"> </w:t>
      </w:r>
      <w:r w:rsidRPr="0001174C">
        <w:rPr>
          <w:rFonts w:cs="Times New Roman"/>
          <w:lang w:val="fr-CA"/>
        </w:rPr>
        <w:t xml:space="preserve">2002. </w:t>
      </w:r>
      <w:r w:rsidRPr="003321BD">
        <w:rPr>
          <w:rFonts w:cs="Times New Roman"/>
          <w:lang w:val="fr-CA"/>
        </w:rPr>
        <w:t>Jusqu</w:t>
      </w:r>
      <w:r>
        <w:rPr>
          <w:rFonts w:cs="Times New Roman"/>
          <w:lang w:val="fr-CA"/>
        </w:rPr>
        <w:t>’</w:t>
      </w:r>
      <w:r w:rsidRPr="003321BD">
        <w:rPr>
          <w:rFonts w:cs="Times New Roman"/>
          <w:lang w:val="fr-CA"/>
        </w:rPr>
        <w:t>alors,</w:t>
      </w:r>
      <w:r w:rsidRPr="0001174C">
        <w:rPr>
          <w:rFonts w:cs="Times New Roman"/>
          <w:lang w:val="fr-CA"/>
        </w:rPr>
        <w:t xml:space="preserve"> il </w:t>
      </w:r>
      <w:r>
        <w:rPr>
          <w:rFonts w:cs="Times New Roman"/>
          <w:lang w:val="fr-CA"/>
        </w:rPr>
        <w:t>habita</w:t>
      </w:r>
      <w:r w:rsidRPr="0001174C">
        <w:rPr>
          <w:rFonts w:cs="Times New Roman"/>
          <w:lang w:val="fr-CA"/>
        </w:rPr>
        <w:t>it avec l</w:t>
      </w:r>
      <w:r>
        <w:rPr>
          <w:rFonts w:cs="Times New Roman"/>
          <w:lang w:val="fr-CA"/>
        </w:rPr>
        <w:t>’</w:t>
      </w:r>
      <w:r w:rsidRPr="0001174C">
        <w:rPr>
          <w:rFonts w:cs="Times New Roman"/>
          <w:lang w:val="fr-CA"/>
        </w:rPr>
        <w:t xml:space="preserve">appelant à Fort McMurray, en Alberta. </w:t>
      </w:r>
    </w:p>
    <w:p w:rsidR="00AF2876" w:rsidRPr="001D0501" w:rsidRDefault="00AF2876" w:rsidP="00AF2876">
      <w:pPr>
        <w:pStyle w:val="ParaNoNdepar-AltN"/>
        <w:rPr>
          <w:rFonts w:cs="Times New Roman"/>
          <w:lang w:val="fr-CA"/>
        </w:rPr>
      </w:pPr>
      <w:r w:rsidRPr="0001174C">
        <w:rPr>
          <w:rFonts w:cs="Times New Roman"/>
          <w:lang w:val="fr-CA"/>
        </w:rPr>
        <w:t xml:space="preserve">Environ un mois après la disparition, la police a reçu un appel </w:t>
      </w:r>
      <w:r>
        <w:rPr>
          <w:rFonts w:cs="Times New Roman"/>
          <w:lang w:val="fr-CA"/>
        </w:rPr>
        <w:t>d’</w:t>
      </w:r>
      <w:r w:rsidRPr="0001174C">
        <w:rPr>
          <w:rFonts w:cs="Times New Roman"/>
          <w:lang w:val="fr-CA"/>
        </w:rPr>
        <w:t>un ami de l</w:t>
      </w:r>
      <w:r>
        <w:rPr>
          <w:rFonts w:cs="Times New Roman"/>
          <w:lang w:val="fr-CA"/>
        </w:rPr>
        <w:t>’</w:t>
      </w:r>
      <w:r w:rsidRPr="0001174C">
        <w:rPr>
          <w:rFonts w:cs="Times New Roman"/>
          <w:lang w:val="fr-CA"/>
        </w:rPr>
        <w:t>appelant</w:t>
      </w:r>
      <w:r>
        <w:rPr>
          <w:rFonts w:cs="Times New Roman"/>
          <w:lang w:val="fr-CA"/>
        </w:rPr>
        <w:t xml:space="preserve">, </w:t>
      </w:r>
      <w:r w:rsidRPr="0001174C">
        <w:rPr>
          <w:rFonts w:cs="Times New Roman"/>
          <w:lang w:val="fr-CA"/>
        </w:rPr>
        <w:t>Jay</w:t>
      </w:r>
      <w:r>
        <w:rPr>
          <w:rFonts w:cs="Times New Roman"/>
          <w:lang w:val="fr-CA"/>
        </w:rPr>
        <w:t xml:space="preserve"> </w:t>
      </w:r>
      <w:r w:rsidRPr="0001174C">
        <w:rPr>
          <w:rFonts w:cs="Times New Roman"/>
          <w:lang w:val="fr-CA"/>
        </w:rPr>
        <w:t>Love,</w:t>
      </w:r>
      <w:r>
        <w:rPr>
          <w:rFonts w:cs="Times New Roman"/>
          <w:lang w:val="fr-CA"/>
        </w:rPr>
        <w:t xml:space="preserve"> qui</w:t>
      </w:r>
      <w:r w:rsidRPr="0001174C">
        <w:rPr>
          <w:rFonts w:cs="Times New Roman"/>
          <w:lang w:val="fr-CA"/>
        </w:rPr>
        <w:t xml:space="preserve"> a dit aux policiers que l</w:t>
      </w:r>
      <w:r>
        <w:rPr>
          <w:rFonts w:cs="Times New Roman"/>
          <w:lang w:val="fr-CA"/>
        </w:rPr>
        <w:t>’</w:t>
      </w:r>
      <w:r w:rsidRPr="0001174C">
        <w:rPr>
          <w:rFonts w:cs="Times New Roman"/>
          <w:lang w:val="fr-CA"/>
        </w:rPr>
        <w:t>ap</w:t>
      </w:r>
      <w:r>
        <w:rPr>
          <w:rFonts w:cs="Times New Roman"/>
          <w:lang w:val="fr-CA"/>
        </w:rPr>
        <w:t>pelant avait avoué avoir tué 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puis</w:t>
      </w:r>
      <w:r w:rsidRPr="0001174C">
        <w:rPr>
          <w:rFonts w:cs="Times New Roman"/>
          <w:lang w:val="fr-CA"/>
        </w:rPr>
        <w:t xml:space="preserve"> avoir mis le feu à sa dépouille. </w:t>
      </w:r>
      <w:r>
        <w:rPr>
          <w:rFonts w:cs="Times New Roman"/>
          <w:lang w:val="fr-CA"/>
        </w:rPr>
        <w:t>Sur la foi de ces re</w:t>
      </w:r>
      <w:r w:rsidRPr="0001174C">
        <w:rPr>
          <w:rFonts w:cs="Times New Roman"/>
          <w:lang w:val="fr-CA"/>
        </w:rPr>
        <w:t>nseignements, la police a ouvert une enquête pour déterminer si l</w:t>
      </w:r>
      <w:r>
        <w:rPr>
          <w:rFonts w:cs="Times New Roman"/>
          <w:lang w:val="fr-CA"/>
        </w:rPr>
        <w:t>’</w:t>
      </w:r>
      <w:r w:rsidRPr="0001174C">
        <w:rPr>
          <w:rFonts w:cs="Times New Roman"/>
          <w:lang w:val="fr-CA"/>
        </w:rPr>
        <w:t>appelant était responsable de la disparition de M.</w:t>
      </w:r>
      <w:r w:rsidR="00203E16">
        <w:rPr>
          <w:rFonts w:cs="Times New Roman"/>
          <w:lang w:val="fr-CA"/>
        </w:rPr>
        <w:t xml:space="preserve"> </w:t>
      </w:r>
      <w:r w:rsidRPr="0001174C">
        <w:rPr>
          <w:rFonts w:cs="Times New Roman"/>
          <w:lang w:val="fr-CA"/>
        </w:rPr>
        <w:t>L</w:t>
      </w:r>
      <w:r>
        <w:rPr>
          <w:rFonts w:cs="Times New Roman"/>
          <w:lang w:val="fr-CA"/>
        </w:rPr>
        <w:t>evoir</w:t>
      </w:r>
      <w:r w:rsidRPr="0001174C">
        <w:rPr>
          <w:rFonts w:cs="Times New Roman"/>
          <w:lang w:val="fr-CA"/>
        </w:rPr>
        <w:t>. L</w:t>
      </w:r>
      <w:r>
        <w:rPr>
          <w:rFonts w:cs="Times New Roman"/>
          <w:lang w:val="fr-CA"/>
        </w:rPr>
        <w:t>’</w:t>
      </w:r>
      <w:r w:rsidRPr="0001174C">
        <w:rPr>
          <w:rFonts w:cs="Times New Roman"/>
          <w:lang w:val="fr-CA"/>
        </w:rPr>
        <w:t>enquête comportait deux volets</w:t>
      </w:r>
      <w:r>
        <w:rPr>
          <w:rFonts w:cs="Times New Roman"/>
          <w:lang w:val="fr-CA"/>
        </w:rPr>
        <w:t>,</w:t>
      </w:r>
      <w:r w:rsidRPr="0001174C">
        <w:rPr>
          <w:rFonts w:cs="Times New Roman"/>
          <w:lang w:val="fr-CA"/>
        </w:rPr>
        <w:t xml:space="preserve"> une opération M</w:t>
      </w:r>
      <w:r>
        <w:rPr>
          <w:rFonts w:cs="Times New Roman"/>
          <w:lang w:val="fr-CA"/>
        </w:rPr>
        <w:t>onsieur Big</w:t>
      </w:r>
      <w:r w:rsidRPr="0001174C">
        <w:rPr>
          <w:rFonts w:cs="Times New Roman"/>
          <w:lang w:val="fr-CA"/>
        </w:rPr>
        <w:t xml:space="preserve"> et</w:t>
      </w:r>
      <w:r>
        <w:rPr>
          <w:rFonts w:cs="Times New Roman"/>
          <w:lang w:val="fr-CA"/>
        </w:rPr>
        <w:t>, sur</w:t>
      </w:r>
      <w:r w:rsidRPr="0001174C">
        <w:rPr>
          <w:rFonts w:cs="Times New Roman"/>
          <w:lang w:val="fr-CA"/>
        </w:rPr>
        <w:t xml:space="preserve"> autorisation</w:t>
      </w:r>
      <w:r>
        <w:rPr>
          <w:rFonts w:cs="Times New Roman"/>
          <w:lang w:val="fr-CA"/>
        </w:rPr>
        <w:t xml:space="preserve"> </w:t>
      </w:r>
      <w:r w:rsidRPr="001D0501">
        <w:rPr>
          <w:rFonts w:cs="Times New Roman"/>
          <w:lang w:val="fr-CA"/>
        </w:rPr>
        <w:t>d’un juge, l’interception des conversations téléphoniques de l’appelant.</w:t>
      </w:r>
    </w:p>
    <w:p w:rsidR="00AF2876" w:rsidRPr="001D0501" w:rsidRDefault="00AF2876" w:rsidP="00AF2876">
      <w:pPr>
        <w:pStyle w:val="ParaNoNdepar-AltN"/>
        <w:rPr>
          <w:rFonts w:cs="Times New Roman"/>
          <w:lang w:val="fr-CA"/>
        </w:rPr>
      </w:pPr>
      <w:r w:rsidRPr="001D0501">
        <w:rPr>
          <w:rFonts w:cs="Times New Roman"/>
          <w:lang w:val="fr-CA"/>
        </w:rPr>
        <w:t>L’opération Monsieur Big a commencé en janvier 2004, soit environ un an après l’appel téléphonique de M.</w:t>
      </w:r>
      <w:r w:rsidR="00203E16">
        <w:rPr>
          <w:rFonts w:cs="Times New Roman"/>
          <w:lang w:val="fr-CA"/>
        </w:rPr>
        <w:t xml:space="preserve"> </w:t>
      </w:r>
      <w:r w:rsidRPr="001D0501">
        <w:rPr>
          <w:rFonts w:cs="Times New Roman"/>
          <w:lang w:val="fr-CA"/>
        </w:rPr>
        <w:t>Love. Un agent banalisé que j’appellerai Ben</w:t>
      </w:r>
      <w:r w:rsidRPr="001D0501">
        <w:rPr>
          <w:rStyle w:val="FootnoteReference"/>
          <w:rFonts w:cs="Times New Roman"/>
          <w:lang w:val="fr-CA"/>
        </w:rPr>
        <w:footnoteReference w:id="1"/>
      </w:r>
      <w:r w:rsidRPr="001D0501">
        <w:rPr>
          <w:rFonts w:cs="Times New Roman"/>
          <w:lang w:val="fr-CA"/>
        </w:rPr>
        <w:t xml:space="preserve"> a </w:t>
      </w:r>
      <w:r w:rsidRPr="001D0501">
        <w:rPr>
          <w:rFonts w:cs="Times New Roman"/>
          <w:lang w:val="fr-CA"/>
        </w:rPr>
        <w:lastRenderedPageBreak/>
        <w:t>été présenté à l’appelant dans une boîte de nuit de Fort McMurray où ce dernier était disc</w:t>
      </w:r>
      <w:r w:rsidR="00203E16">
        <w:rPr>
          <w:rFonts w:cs="Times New Roman"/>
          <w:lang w:val="fr-CA"/>
        </w:rPr>
        <w:t>-</w:t>
      </w:r>
      <w:r w:rsidRPr="001D0501">
        <w:rPr>
          <w:rFonts w:cs="Times New Roman"/>
          <w:lang w:val="fr-CA"/>
        </w:rPr>
        <w:t>jockey.</w:t>
      </w:r>
    </w:p>
    <w:p w:rsidR="00AF2876" w:rsidRPr="0001174C" w:rsidRDefault="00AF2876" w:rsidP="00AF2876">
      <w:pPr>
        <w:pStyle w:val="ParaNoNdepar-AltN"/>
        <w:rPr>
          <w:rFonts w:cs="Times New Roman"/>
          <w:lang w:val="fr-CA"/>
        </w:rPr>
      </w:pPr>
      <w:r w:rsidRPr="0001174C">
        <w:rPr>
          <w:rFonts w:cs="Times New Roman"/>
          <w:lang w:val="fr-CA"/>
        </w:rPr>
        <w:t>Une semaine après qu</w:t>
      </w:r>
      <w:r>
        <w:rPr>
          <w:rFonts w:cs="Times New Roman"/>
          <w:lang w:val="fr-CA"/>
        </w:rPr>
        <w:t>’</w:t>
      </w:r>
      <w:r w:rsidRPr="0001174C">
        <w:rPr>
          <w:rFonts w:cs="Times New Roman"/>
          <w:lang w:val="fr-CA"/>
        </w:rPr>
        <w:t>ils eurent fait connaissance, Ben a demandé à l</w:t>
      </w:r>
      <w:r>
        <w:rPr>
          <w:rFonts w:cs="Times New Roman"/>
          <w:lang w:val="fr-CA"/>
        </w:rPr>
        <w:t>’</w:t>
      </w:r>
      <w:r w:rsidRPr="0001174C">
        <w:rPr>
          <w:rFonts w:cs="Times New Roman"/>
          <w:lang w:val="fr-CA"/>
        </w:rPr>
        <w:t>appelant de l</w:t>
      </w:r>
      <w:r>
        <w:rPr>
          <w:rFonts w:cs="Times New Roman"/>
          <w:lang w:val="fr-CA"/>
        </w:rPr>
        <w:t>’</w:t>
      </w:r>
      <w:r w:rsidRPr="0001174C">
        <w:rPr>
          <w:rFonts w:cs="Times New Roman"/>
          <w:lang w:val="fr-CA"/>
        </w:rPr>
        <w:t>aider à récupérer un véhicule. L</w:t>
      </w:r>
      <w:r>
        <w:rPr>
          <w:rFonts w:cs="Times New Roman"/>
          <w:lang w:val="fr-CA"/>
        </w:rPr>
        <w:t>’</w:t>
      </w:r>
      <w:r w:rsidRPr="0001174C">
        <w:rPr>
          <w:rFonts w:cs="Times New Roman"/>
          <w:lang w:val="fr-CA"/>
        </w:rPr>
        <w:t>appelant a accepté</w:t>
      </w:r>
      <w:r>
        <w:rPr>
          <w:rFonts w:cs="Times New Roman"/>
          <w:lang w:val="fr-CA"/>
        </w:rPr>
        <w:t>, puis touché</w:t>
      </w:r>
      <w:r w:rsidRPr="0001174C">
        <w:rPr>
          <w:rFonts w:cs="Times New Roman"/>
          <w:lang w:val="fr-CA"/>
        </w:rPr>
        <w:t xml:space="preserve"> 200</w:t>
      </w:r>
      <w:r w:rsidR="00203E16">
        <w:rPr>
          <w:rFonts w:cs="Times New Roman"/>
          <w:lang w:val="fr-CA"/>
        </w:rPr>
        <w:t xml:space="preserve"> </w:t>
      </w:r>
      <w:r>
        <w:rPr>
          <w:rFonts w:cs="Times New Roman"/>
          <w:lang w:val="fr-CA"/>
        </w:rPr>
        <w:t>$</w:t>
      </w:r>
      <w:r w:rsidRPr="0001174C">
        <w:rPr>
          <w:rFonts w:cs="Times New Roman"/>
          <w:lang w:val="fr-CA"/>
        </w:rPr>
        <w:t xml:space="preserve"> </w:t>
      </w:r>
      <w:r>
        <w:rPr>
          <w:rFonts w:cs="Times New Roman"/>
          <w:lang w:val="fr-CA"/>
        </w:rPr>
        <w:t>en contrepartie</w:t>
      </w:r>
      <w:r w:rsidRPr="0001174C">
        <w:rPr>
          <w:rFonts w:cs="Times New Roman"/>
          <w:lang w:val="fr-CA"/>
        </w:rPr>
        <w:t xml:space="preserve">. </w:t>
      </w:r>
      <w:r>
        <w:rPr>
          <w:rFonts w:cs="Times New Roman"/>
          <w:lang w:val="fr-CA"/>
        </w:rPr>
        <w:t>Lors</w:t>
      </w:r>
      <w:r w:rsidRPr="0001174C">
        <w:rPr>
          <w:rFonts w:cs="Times New Roman"/>
          <w:lang w:val="fr-CA"/>
        </w:rPr>
        <w:t xml:space="preserve"> d</w:t>
      </w:r>
      <w:r>
        <w:rPr>
          <w:rFonts w:cs="Times New Roman"/>
          <w:lang w:val="fr-CA"/>
        </w:rPr>
        <w:t>’</w:t>
      </w:r>
      <w:r w:rsidRPr="0001174C">
        <w:rPr>
          <w:rFonts w:cs="Times New Roman"/>
          <w:lang w:val="fr-CA"/>
        </w:rPr>
        <w:t>une conversation</w:t>
      </w:r>
      <w:r>
        <w:rPr>
          <w:rFonts w:cs="Times New Roman"/>
          <w:lang w:val="fr-CA"/>
        </w:rPr>
        <w:t>,</w:t>
      </w:r>
      <w:r w:rsidRPr="0001174C">
        <w:rPr>
          <w:rFonts w:cs="Times New Roman"/>
          <w:lang w:val="fr-CA"/>
        </w:rPr>
        <w:t xml:space="preserve"> </w:t>
      </w:r>
      <w:r>
        <w:rPr>
          <w:rFonts w:cs="Times New Roman"/>
          <w:lang w:val="fr-CA"/>
        </w:rPr>
        <w:t>quel</w:t>
      </w:r>
      <w:r w:rsidRPr="0001174C">
        <w:rPr>
          <w:rFonts w:cs="Times New Roman"/>
          <w:lang w:val="fr-CA"/>
        </w:rPr>
        <w:t>ques jours plus tard, l</w:t>
      </w:r>
      <w:r>
        <w:rPr>
          <w:rFonts w:cs="Times New Roman"/>
          <w:lang w:val="fr-CA"/>
        </w:rPr>
        <w:t>’</w:t>
      </w:r>
      <w:r w:rsidRPr="0001174C">
        <w:rPr>
          <w:rFonts w:cs="Times New Roman"/>
          <w:lang w:val="fr-CA"/>
        </w:rPr>
        <w:t xml:space="preserve">appelant a mentionné la disparition de son colocataire. Il a dit à Ben que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était un </w:t>
      </w:r>
      <w:r w:rsidRPr="0001174C">
        <w:rPr>
          <w:rFonts w:cs="Times New Roman"/>
          <w:smallCaps/>
          <w:lang w:val="fr-CA"/>
        </w:rPr>
        <w:t xml:space="preserve">[traduction] </w:t>
      </w:r>
      <w:r w:rsidR="00203E16">
        <w:rPr>
          <w:rFonts w:cs="Times New Roman"/>
          <w:lang w:val="fr-CA"/>
        </w:rPr>
        <w:t>« </w:t>
      </w:r>
      <w:r>
        <w:rPr>
          <w:rFonts w:cs="Times New Roman"/>
          <w:lang w:val="fr-CA"/>
        </w:rPr>
        <w:t>accro du crack</w:t>
      </w:r>
      <w:r w:rsidR="00203E16">
        <w:rPr>
          <w:rFonts w:cs="Times New Roman"/>
          <w:lang w:val="fr-CA"/>
        </w:rPr>
        <w:t> »</w:t>
      </w:r>
      <w:r w:rsidRPr="0001174C">
        <w:rPr>
          <w:rFonts w:cs="Times New Roman"/>
          <w:lang w:val="fr-CA"/>
        </w:rPr>
        <w:t xml:space="preserve"> et un </w:t>
      </w:r>
      <w:r w:rsidR="00203E16">
        <w:rPr>
          <w:rFonts w:cs="Times New Roman"/>
          <w:lang w:val="fr-CA"/>
        </w:rPr>
        <w:t>« </w:t>
      </w:r>
      <w:r>
        <w:rPr>
          <w:rFonts w:cs="Times New Roman"/>
          <w:lang w:val="fr-CA"/>
        </w:rPr>
        <w:t>toxicomane</w:t>
      </w:r>
      <w:r w:rsidR="00203E16">
        <w:rPr>
          <w:rFonts w:cs="Times New Roman"/>
          <w:lang w:val="fr-CA"/>
        </w:rPr>
        <w:t> »</w:t>
      </w:r>
      <w:r w:rsidRPr="0001174C">
        <w:rPr>
          <w:rFonts w:cs="Times New Roman"/>
          <w:lang w:val="fr-CA"/>
        </w:rPr>
        <w:t xml:space="preserve"> et il l</w:t>
      </w:r>
      <w:r>
        <w:rPr>
          <w:rFonts w:cs="Times New Roman"/>
          <w:lang w:val="fr-CA"/>
        </w:rPr>
        <w:t>’</w:t>
      </w:r>
      <w:r w:rsidRPr="0001174C">
        <w:rPr>
          <w:rFonts w:cs="Times New Roman"/>
          <w:lang w:val="fr-CA"/>
        </w:rPr>
        <w:t>a accusé d</w:t>
      </w:r>
      <w:r>
        <w:rPr>
          <w:rFonts w:cs="Times New Roman"/>
          <w:lang w:val="fr-CA"/>
        </w:rPr>
        <w:t>’</w:t>
      </w:r>
      <w:r w:rsidRPr="0001174C">
        <w:rPr>
          <w:rFonts w:cs="Times New Roman"/>
          <w:lang w:val="fr-CA"/>
        </w:rPr>
        <w:t>avoir volé de l</w:t>
      </w:r>
      <w:r>
        <w:rPr>
          <w:rFonts w:cs="Times New Roman"/>
          <w:lang w:val="fr-CA"/>
        </w:rPr>
        <w:t>’</w:t>
      </w:r>
      <w:r w:rsidRPr="0001174C">
        <w:rPr>
          <w:rFonts w:cs="Times New Roman"/>
          <w:lang w:val="fr-CA"/>
        </w:rPr>
        <w:t>argent dans la tirelire</w:t>
      </w:r>
      <w:r>
        <w:rPr>
          <w:rFonts w:cs="Times New Roman"/>
          <w:lang w:val="fr-CA"/>
        </w:rPr>
        <w:t xml:space="preserve"> de son fils</w:t>
      </w:r>
      <w:r w:rsidRPr="0001174C">
        <w:rPr>
          <w:rFonts w:cs="Times New Roman"/>
          <w:lang w:val="fr-CA"/>
        </w:rPr>
        <w:t>. Il a ajouté qu</w:t>
      </w:r>
      <w:r>
        <w:rPr>
          <w:rFonts w:cs="Times New Roman"/>
          <w:lang w:val="fr-CA"/>
        </w:rPr>
        <w:t xml:space="preserve">e, </w:t>
      </w:r>
      <w:r w:rsidR="00203E16">
        <w:rPr>
          <w:rFonts w:cs="Times New Roman"/>
          <w:lang w:val="fr-CA"/>
        </w:rPr>
        <w:t>« </w:t>
      </w:r>
      <w:r w:rsidRPr="0001174C">
        <w:rPr>
          <w:rFonts w:cs="Times New Roman"/>
          <w:lang w:val="fr-CA"/>
        </w:rPr>
        <w:t>[</w:t>
      </w:r>
      <w:r w:rsidR="006C4B26" w:rsidRPr="0001174C">
        <w:rPr>
          <w:rFonts w:cs="Times New Roman"/>
          <w:lang w:val="fr-CA"/>
        </w:rPr>
        <w:t>à]</w:t>
      </w:r>
      <w:r w:rsidR="006C4B26">
        <w:rPr>
          <w:rFonts w:cs="Times New Roman"/>
          <w:lang w:val="fr-CA"/>
        </w:rPr>
        <w:t xml:space="preserve"> </w:t>
      </w:r>
      <w:r w:rsidRPr="0001174C">
        <w:rPr>
          <w:rFonts w:cs="Times New Roman"/>
          <w:lang w:val="fr-CA"/>
        </w:rPr>
        <w:t>son avis</w:t>
      </w:r>
      <w:r w:rsidR="00203E16">
        <w:rPr>
          <w:rFonts w:cs="Times New Roman"/>
          <w:lang w:val="fr-CA"/>
        </w:rPr>
        <w:t> »</w:t>
      </w:r>
      <w:r w:rsidRPr="0001174C">
        <w:rPr>
          <w:rFonts w:cs="Times New Roman"/>
          <w:lang w:val="fr-CA"/>
        </w:rPr>
        <w:t xml:space="preserv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w:t>
      </w:r>
      <w:r w:rsidR="00203E16">
        <w:rPr>
          <w:rFonts w:cs="Times New Roman"/>
          <w:lang w:val="fr-CA"/>
        </w:rPr>
        <w:t>« </w:t>
      </w:r>
      <w:r w:rsidRPr="0001174C">
        <w:rPr>
          <w:rFonts w:cs="Times New Roman"/>
          <w:lang w:val="fr-CA"/>
        </w:rPr>
        <w:t>bouff[ait] les pissenlits par la racine</w:t>
      </w:r>
      <w:r w:rsidR="00203E16">
        <w:rPr>
          <w:rFonts w:cs="Times New Roman"/>
          <w:lang w:val="fr-CA"/>
        </w:rPr>
        <w:t> »</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Dès le début de l</w:t>
      </w:r>
      <w:r>
        <w:rPr>
          <w:rFonts w:cs="Times New Roman"/>
          <w:lang w:val="fr-CA"/>
        </w:rPr>
        <w:t>’</w:t>
      </w:r>
      <w:r w:rsidRPr="0001174C">
        <w:rPr>
          <w:rFonts w:cs="Times New Roman"/>
          <w:lang w:val="fr-CA"/>
        </w:rPr>
        <w:t xml:space="preserve">opération </w:t>
      </w:r>
      <w:r>
        <w:rPr>
          <w:rFonts w:cs="Times New Roman"/>
          <w:lang w:val="fr-CA"/>
        </w:rPr>
        <w:t>Monsieur</w:t>
      </w:r>
      <w:r w:rsidR="00203E16">
        <w:rPr>
          <w:rFonts w:cs="Times New Roman"/>
          <w:lang w:val="fr-CA"/>
        </w:rPr>
        <w:t xml:space="preserve"> </w:t>
      </w:r>
      <w:r w:rsidRPr="0001174C">
        <w:rPr>
          <w:rFonts w:cs="Times New Roman"/>
          <w:lang w:val="fr-CA"/>
        </w:rPr>
        <w:t>Big, l</w:t>
      </w:r>
      <w:r>
        <w:rPr>
          <w:rFonts w:cs="Times New Roman"/>
          <w:lang w:val="fr-CA"/>
        </w:rPr>
        <w:t>’</w:t>
      </w:r>
      <w:r w:rsidRPr="0001174C">
        <w:rPr>
          <w:rFonts w:cs="Times New Roman"/>
          <w:lang w:val="fr-CA"/>
        </w:rPr>
        <w:t>appelant a commencé à soupçonner Ben de tremper dans des a</w:t>
      </w:r>
      <w:r>
        <w:rPr>
          <w:rFonts w:cs="Times New Roman"/>
          <w:lang w:val="fr-CA"/>
        </w:rPr>
        <w:t>ffaires</w:t>
      </w:r>
      <w:r w:rsidRPr="0001174C">
        <w:rPr>
          <w:rFonts w:cs="Times New Roman"/>
          <w:lang w:val="fr-CA"/>
        </w:rPr>
        <w:t xml:space="preserve"> criminelles. Ben </w:t>
      </w:r>
      <w:r>
        <w:rPr>
          <w:rFonts w:cs="Times New Roman"/>
          <w:lang w:val="fr-CA"/>
        </w:rPr>
        <w:t xml:space="preserve">lui </w:t>
      </w:r>
      <w:r w:rsidRPr="0001174C">
        <w:rPr>
          <w:rFonts w:cs="Times New Roman"/>
          <w:lang w:val="fr-CA"/>
        </w:rPr>
        <w:t xml:space="preserve">a expliqué </w:t>
      </w:r>
      <w:r>
        <w:rPr>
          <w:rFonts w:cs="Times New Roman"/>
          <w:lang w:val="fr-CA"/>
        </w:rPr>
        <w:t>q</w:t>
      </w:r>
      <w:r w:rsidRPr="0001174C">
        <w:rPr>
          <w:rFonts w:cs="Times New Roman"/>
          <w:lang w:val="fr-CA"/>
        </w:rPr>
        <w:t>u</w:t>
      </w:r>
      <w:r>
        <w:rPr>
          <w:rFonts w:cs="Times New Roman"/>
          <w:lang w:val="fr-CA"/>
        </w:rPr>
        <w:t>’</w:t>
      </w:r>
      <w:r w:rsidRPr="0001174C">
        <w:rPr>
          <w:rFonts w:cs="Times New Roman"/>
          <w:lang w:val="fr-CA"/>
        </w:rPr>
        <w:t xml:space="preserve">il travaillait pour une organisation dirigée par un dénommé Liam, qui </w:t>
      </w:r>
      <w:r w:rsidRPr="0001174C">
        <w:rPr>
          <w:rFonts w:cs="Times New Roman"/>
          <w:smallCaps/>
          <w:lang w:val="fr-CA"/>
        </w:rPr>
        <w:t>[traduction]</w:t>
      </w:r>
      <w:r w:rsidRPr="0001174C">
        <w:rPr>
          <w:lang w:val="fr-CA"/>
        </w:rPr>
        <w:t xml:space="preserve"> </w:t>
      </w:r>
      <w:r w:rsidR="00203E16">
        <w:rPr>
          <w:lang w:val="fr-CA"/>
        </w:rPr>
        <w:t>« </w:t>
      </w:r>
      <w:r w:rsidRPr="0001174C">
        <w:rPr>
          <w:lang w:val="fr-CA"/>
        </w:rPr>
        <w:t>touch</w:t>
      </w:r>
      <w:r w:rsidRPr="0044484D">
        <w:rPr>
          <w:lang w:val="fr-CA"/>
        </w:rPr>
        <w:t>ait</w:t>
      </w:r>
      <w:r w:rsidRPr="0001174C">
        <w:rPr>
          <w:lang w:val="fr-CA"/>
        </w:rPr>
        <w:t xml:space="preserve"> à beaucoup de choses</w:t>
      </w:r>
      <w:r w:rsidR="00203E16">
        <w:rPr>
          <w:lang w:val="fr-CA"/>
        </w:rPr>
        <w:t> »</w:t>
      </w:r>
      <w:r w:rsidRPr="0001174C">
        <w:rPr>
          <w:rFonts w:cs="Times New Roman"/>
          <w:lang w:val="fr-CA"/>
        </w:rPr>
        <w:t>. Pendant les mois de janvier et de février</w:t>
      </w:r>
      <w:r>
        <w:rPr>
          <w:rFonts w:cs="Times New Roman"/>
          <w:lang w:val="fr-CA"/>
        </w:rPr>
        <w:t xml:space="preserve"> 2004</w:t>
      </w:r>
      <w:r w:rsidRPr="0001174C">
        <w:rPr>
          <w:rFonts w:cs="Times New Roman"/>
          <w:lang w:val="fr-CA"/>
        </w:rPr>
        <w:t>, l</w:t>
      </w:r>
      <w:r>
        <w:rPr>
          <w:rFonts w:cs="Times New Roman"/>
          <w:lang w:val="fr-CA"/>
        </w:rPr>
        <w:t>’</w:t>
      </w:r>
      <w:r w:rsidRPr="0001174C">
        <w:rPr>
          <w:rFonts w:cs="Times New Roman"/>
          <w:lang w:val="fr-CA"/>
        </w:rPr>
        <w:t xml:space="preserve">appelant a effectué plusieurs autres </w:t>
      </w:r>
      <w:r w:rsidR="00203E16">
        <w:rPr>
          <w:rFonts w:cs="Times New Roman"/>
          <w:lang w:val="fr-CA"/>
        </w:rPr>
        <w:t>« </w:t>
      </w:r>
      <w:r w:rsidRPr="0001174C">
        <w:rPr>
          <w:rFonts w:cs="Times New Roman"/>
          <w:lang w:val="fr-CA"/>
        </w:rPr>
        <w:t>boulots</w:t>
      </w:r>
      <w:r w:rsidR="00203E16">
        <w:rPr>
          <w:rFonts w:cs="Times New Roman"/>
          <w:lang w:val="fr-CA"/>
        </w:rPr>
        <w:t> »</w:t>
      </w:r>
      <w:r w:rsidRPr="0001174C">
        <w:rPr>
          <w:rFonts w:cs="Times New Roman"/>
          <w:lang w:val="fr-CA"/>
        </w:rPr>
        <w:t xml:space="preserve"> pour l</w:t>
      </w:r>
      <w:r>
        <w:rPr>
          <w:rFonts w:cs="Times New Roman"/>
          <w:lang w:val="fr-CA"/>
        </w:rPr>
        <w:t>’</w:t>
      </w:r>
      <w:r w:rsidRPr="0001174C">
        <w:rPr>
          <w:rFonts w:cs="Times New Roman"/>
          <w:lang w:val="fr-CA"/>
        </w:rPr>
        <w:t xml:space="preserve">organisation. Au début de février, par exemple, on </w:t>
      </w:r>
      <w:r>
        <w:rPr>
          <w:rFonts w:cs="Times New Roman"/>
          <w:lang w:val="fr-CA"/>
        </w:rPr>
        <w:t xml:space="preserve">lui </w:t>
      </w:r>
      <w:r w:rsidRPr="0001174C">
        <w:rPr>
          <w:rFonts w:cs="Times New Roman"/>
          <w:lang w:val="fr-CA"/>
        </w:rPr>
        <w:t xml:space="preserve">a demandé de passer prendre un colis à </w:t>
      </w:r>
      <w:r>
        <w:rPr>
          <w:rFonts w:cs="Times New Roman"/>
          <w:lang w:val="fr-CA"/>
        </w:rPr>
        <w:t>une</w:t>
      </w:r>
      <w:r w:rsidRPr="0001174C">
        <w:rPr>
          <w:rFonts w:cs="Times New Roman"/>
          <w:lang w:val="fr-CA"/>
        </w:rPr>
        <w:t xml:space="preserve"> gare </w:t>
      </w:r>
      <w:r>
        <w:rPr>
          <w:rFonts w:cs="Times New Roman"/>
          <w:lang w:val="fr-CA"/>
        </w:rPr>
        <w:t>routière</w:t>
      </w:r>
      <w:r w:rsidRPr="0001174C">
        <w:rPr>
          <w:rFonts w:cs="Times New Roman"/>
          <w:lang w:val="fr-CA"/>
        </w:rPr>
        <w:t xml:space="preserve"> d</w:t>
      </w:r>
      <w:r>
        <w:rPr>
          <w:rFonts w:cs="Times New Roman"/>
          <w:lang w:val="fr-CA"/>
        </w:rPr>
        <w:t>’</w:t>
      </w:r>
      <w:r w:rsidRPr="0001174C">
        <w:rPr>
          <w:rFonts w:cs="Times New Roman"/>
          <w:lang w:val="fr-CA"/>
        </w:rPr>
        <w:t>Edmonton. Lorsqu</w:t>
      </w:r>
      <w:r>
        <w:rPr>
          <w:rFonts w:cs="Times New Roman"/>
          <w:lang w:val="fr-CA"/>
        </w:rPr>
        <w:t>’il</w:t>
      </w:r>
      <w:r w:rsidRPr="0001174C">
        <w:rPr>
          <w:rFonts w:cs="Times New Roman"/>
          <w:lang w:val="fr-CA"/>
        </w:rPr>
        <w:t xml:space="preserve"> est revenu à </w:t>
      </w:r>
      <w:r>
        <w:rPr>
          <w:rFonts w:cs="Times New Roman"/>
          <w:lang w:val="fr-CA"/>
        </w:rPr>
        <w:t>s</w:t>
      </w:r>
      <w:r w:rsidRPr="0001174C">
        <w:rPr>
          <w:rFonts w:cs="Times New Roman"/>
          <w:lang w:val="fr-CA"/>
        </w:rPr>
        <w:t>a chambre d</w:t>
      </w:r>
      <w:r>
        <w:rPr>
          <w:rFonts w:cs="Times New Roman"/>
          <w:lang w:val="fr-CA"/>
        </w:rPr>
        <w:t>’</w:t>
      </w:r>
      <w:r w:rsidRPr="0001174C">
        <w:rPr>
          <w:rFonts w:cs="Times New Roman"/>
          <w:lang w:val="fr-CA"/>
        </w:rPr>
        <w:t>hôtel où l</w:t>
      </w:r>
      <w:r>
        <w:rPr>
          <w:rFonts w:cs="Times New Roman"/>
          <w:lang w:val="fr-CA"/>
        </w:rPr>
        <w:t>’</w:t>
      </w:r>
      <w:r w:rsidRPr="0001174C">
        <w:rPr>
          <w:rFonts w:cs="Times New Roman"/>
          <w:lang w:val="fr-CA"/>
        </w:rPr>
        <w:t>attendait</w:t>
      </w:r>
      <w:r>
        <w:rPr>
          <w:rFonts w:cs="Times New Roman"/>
          <w:lang w:val="fr-CA"/>
        </w:rPr>
        <w:t xml:space="preserve"> Ben</w:t>
      </w:r>
      <w:r w:rsidRPr="0001174C">
        <w:rPr>
          <w:rFonts w:cs="Times New Roman"/>
          <w:lang w:val="fr-CA"/>
        </w:rPr>
        <w:t xml:space="preserve">, ce dernier a ouvert le colis, qui contenait </w:t>
      </w:r>
      <w:r>
        <w:rPr>
          <w:rFonts w:cs="Times New Roman"/>
          <w:lang w:val="fr-CA"/>
        </w:rPr>
        <w:t>30</w:t>
      </w:r>
      <w:r w:rsidR="00203E16">
        <w:rPr>
          <w:rFonts w:cs="Times New Roman"/>
          <w:lang w:val="fr-CA"/>
        </w:rPr>
        <w:t xml:space="preserve"> </w:t>
      </w:r>
      <w:r>
        <w:rPr>
          <w:rFonts w:cs="Times New Roman"/>
          <w:lang w:val="fr-CA"/>
        </w:rPr>
        <w:t>000</w:t>
      </w:r>
      <w:r w:rsidR="00203E16">
        <w:rPr>
          <w:rFonts w:cs="Times New Roman"/>
          <w:lang w:val="fr-CA"/>
        </w:rPr>
        <w:t xml:space="preserve"> </w:t>
      </w:r>
      <w:r>
        <w:rPr>
          <w:rFonts w:cs="Times New Roman"/>
          <w:lang w:val="fr-CA"/>
        </w:rPr>
        <w:t>$ en espèces</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 xml:space="preserve">Plus tard </w:t>
      </w:r>
      <w:r>
        <w:rPr>
          <w:rFonts w:cs="Times New Roman"/>
          <w:lang w:val="fr-CA"/>
        </w:rPr>
        <w:t>le même mois</w:t>
      </w:r>
      <w:r w:rsidRPr="0001174C">
        <w:rPr>
          <w:rFonts w:cs="Times New Roman"/>
          <w:lang w:val="fr-CA"/>
        </w:rPr>
        <w:t xml:space="preserve">, </w:t>
      </w:r>
      <w:r>
        <w:rPr>
          <w:rFonts w:cs="Times New Roman"/>
          <w:lang w:val="fr-CA"/>
        </w:rPr>
        <w:t>au détour</w:t>
      </w:r>
      <w:r w:rsidRPr="0001174C">
        <w:rPr>
          <w:rFonts w:cs="Times New Roman"/>
          <w:lang w:val="fr-CA"/>
        </w:rPr>
        <w:t xml:space="preserve"> d</w:t>
      </w:r>
      <w:r>
        <w:rPr>
          <w:rFonts w:cs="Times New Roman"/>
          <w:lang w:val="fr-CA"/>
        </w:rPr>
        <w:t>’</w:t>
      </w:r>
      <w:r w:rsidRPr="0001174C">
        <w:rPr>
          <w:rFonts w:cs="Times New Roman"/>
          <w:lang w:val="fr-CA"/>
        </w:rPr>
        <w:t>une conversation avec l</w:t>
      </w:r>
      <w:r>
        <w:rPr>
          <w:rFonts w:cs="Times New Roman"/>
          <w:lang w:val="fr-CA"/>
        </w:rPr>
        <w:t>’</w:t>
      </w:r>
      <w:r w:rsidRPr="0001174C">
        <w:rPr>
          <w:rFonts w:cs="Times New Roman"/>
          <w:lang w:val="fr-CA"/>
        </w:rPr>
        <w:t>appelant, Ben a mentionné qu</w:t>
      </w:r>
      <w:r>
        <w:rPr>
          <w:rFonts w:cs="Times New Roman"/>
          <w:lang w:val="fr-CA"/>
        </w:rPr>
        <w:t>’</w:t>
      </w:r>
      <w:r w:rsidRPr="0001174C">
        <w:rPr>
          <w:rFonts w:cs="Times New Roman"/>
          <w:lang w:val="fr-CA"/>
        </w:rPr>
        <w:t>il s</w:t>
      </w:r>
      <w:r>
        <w:rPr>
          <w:rFonts w:cs="Times New Roman"/>
          <w:lang w:val="fr-CA"/>
        </w:rPr>
        <w:t>’</w:t>
      </w:r>
      <w:r w:rsidRPr="0001174C">
        <w:rPr>
          <w:rFonts w:cs="Times New Roman"/>
          <w:lang w:val="fr-CA"/>
        </w:rPr>
        <w:t xml:space="preserve">était déjà fait attaquer par deux hommes </w:t>
      </w:r>
      <w:r>
        <w:rPr>
          <w:rFonts w:cs="Times New Roman"/>
          <w:lang w:val="fr-CA"/>
        </w:rPr>
        <w:t>tandi</w:t>
      </w:r>
      <w:r w:rsidRPr="0001174C">
        <w:rPr>
          <w:rFonts w:cs="Times New Roman"/>
          <w:lang w:val="fr-CA"/>
        </w:rPr>
        <w:t>s qu</w:t>
      </w:r>
      <w:r>
        <w:rPr>
          <w:rFonts w:cs="Times New Roman"/>
          <w:lang w:val="fr-CA"/>
        </w:rPr>
        <w:t>’</w:t>
      </w:r>
      <w:r w:rsidRPr="0001174C">
        <w:rPr>
          <w:rFonts w:cs="Times New Roman"/>
          <w:lang w:val="fr-CA"/>
        </w:rPr>
        <w:t>il travaillait pour l</w:t>
      </w:r>
      <w:r>
        <w:rPr>
          <w:rFonts w:cs="Times New Roman"/>
          <w:lang w:val="fr-CA"/>
        </w:rPr>
        <w:t>’</w:t>
      </w:r>
      <w:r w:rsidRPr="0001174C">
        <w:rPr>
          <w:rFonts w:cs="Times New Roman"/>
          <w:lang w:val="fr-CA"/>
        </w:rPr>
        <w:t xml:space="preserve">organisation. </w:t>
      </w:r>
      <w:r w:rsidRPr="001D0501">
        <w:rPr>
          <w:rFonts w:cs="Times New Roman"/>
          <w:lang w:val="fr-CA"/>
        </w:rPr>
        <w:t xml:space="preserve">Il a ajouté que Liam s’était </w:t>
      </w:r>
      <w:r w:rsidRPr="001D0501">
        <w:rPr>
          <w:rFonts w:cs="Times New Roman"/>
          <w:smallCaps/>
          <w:lang w:val="fr-CA"/>
        </w:rPr>
        <w:t>[traduction]</w:t>
      </w:r>
      <w:r w:rsidRPr="001D0501">
        <w:rPr>
          <w:rFonts w:cs="Times New Roman"/>
          <w:lang w:val="fr-CA"/>
        </w:rPr>
        <w:t xml:space="preserve"> </w:t>
      </w:r>
      <w:r w:rsidR="00203E16">
        <w:rPr>
          <w:rFonts w:cs="Times New Roman"/>
          <w:lang w:val="fr-CA"/>
        </w:rPr>
        <w:t>« </w:t>
      </w:r>
      <w:r w:rsidRPr="001D0501">
        <w:rPr>
          <w:rFonts w:cs="Times New Roman"/>
          <w:lang w:val="fr-CA"/>
        </w:rPr>
        <w:t>occupé des</w:t>
      </w:r>
      <w:r w:rsidRPr="0001174C">
        <w:rPr>
          <w:rFonts w:cs="Times New Roman"/>
          <w:lang w:val="fr-CA"/>
        </w:rPr>
        <w:t xml:space="preserve"> deux types</w:t>
      </w:r>
      <w:r w:rsidR="00203E16">
        <w:rPr>
          <w:rFonts w:cs="Times New Roman"/>
          <w:lang w:val="fr-CA"/>
        </w:rPr>
        <w:t> »</w:t>
      </w:r>
      <w:r w:rsidRPr="0001174C">
        <w:rPr>
          <w:rFonts w:cs="Times New Roman"/>
          <w:lang w:val="fr-CA"/>
        </w:rPr>
        <w:t xml:space="preserve"> au cours de ce que Ben a appelé </w:t>
      </w:r>
      <w:r w:rsidRPr="003321BD">
        <w:rPr>
          <w:rFonts w:cs="Times New Roman"/>
          <w:lang w:val="fr-CA"/>
        </w:rPr>
        <w:t>le</w:t>
      </w:r>
      <w:r w:rsidRPr="0001174C">
        <w:rPr>
          <w:rFonts w:cs="Times New Roman"/>
          <w:smallCaps/>
          <w:lang w:val="fr-CA"/>
        </w:rPr>
        <w:t xml:space="preserve"> </w:t>
      </w:r>
      <w:r w:rsidR="00203E16">
        <w:rPr>
          <w:rFonts w:cs="Times New Roman"/>
          <w:lang w:val="fr-CA"/>
        </w:rPr>
        <w:t>« </w:t>
      </w:r>
      <w:r w:rsidRPr="0001174C">
        <w:rPr>
          <w:rFonts w:cs="Times New Roman"/>
          <w:lang w:val="fr-CA"/>
        </w:rPr>
        <w:t>week</w:t>
      </w:r>
      <w:r w:rsidR="00203E16">
        <w:rPr>
          <w:rFonts w:cs="Times New Roman"/>
          <w:lang w:val="fr-CA"/>
        </w:rPr>
        <w:t>-</w:t>
      </w:r>
      <w:r w:rsidRPr="0001174C">
        <w:rPr>
          <w:rFonts w:cs="Times New Roman"/>
          <w:lang w:val="fr-CA"/>
        </w:rPr>
        <w:t>end du règl</w:t>
      </w:r>
      <w:r>
        <w:rPr>
          <w:rFonts w:cs="Times New Roman"/>
          <w:lang w:val="fr-CA"/>
        </w:rPr>
        <w:t xml:space="preserve">ement de </w:t>
      </w:r>
      <w:r>
        <w:rPr>
          <w:rFonts w:cs="Times New Roman"/>
          <w:lang w:val="fr-CA"/>
        </w:rPr>
        <w:lastRenderedPageBreak/>
        <w:t>compte</w:t>
      </w:r>
      <w:r w:rsidR="00203E16">
        <w:rPr>
          <w:rFonts w:cs="Times New Roman"/>
          <w:lang w:val="fr-CA"/>
        </w:rPr>
        <w:t> »</w:t>
      </w:r>
      <w:r w:rsidRPr="0001174C">
        <w:rPr>
          <w:rFonts w:cs="Times New Roman"/>
          <w:lang w:val="fr-CA"/>
        </w:rPr>
        <w:t>. Ben a alors demandé à l</w:t>
      </w:r>
      <w:r>
        <w:rPr>
          <w:rFonts w:cs="Times New Roman"/>
          <w:lang w:val="fr-CA"/>
        </w:rPr>
        <w:t>’</w:t>
      </w:r>
      <w:r w:rsidRPr="0001174C">
        <w:rPr>
          <w:rFonts w:cs="Times New Roman"/>
          <w:lang w:val="fr-CA"/>
        </w:rPr>
        <w:t>appelant s</w:t>
      </w:r>
      <w:r>
        <w:rPr>
          <w:rFonts w:cs="Times New Roman"/>
          <w:lang w:val="fr-CA"/>
        </w:rPr>
        <w:t>’</w:t>
      </w:r>
      <w:r w:rsidRPr="0001174C">
        <w:rPr>
          <w:rFonts w:cs="Times New Roman"/>
          <w:lang w:val="fr-CA"/>
        </w:rPr>
        <w:t xml:space="preserve">il avait déjà </w:t>
      </w:r>
      <w:r w:rsidR="00203E16">
        <w:rPr>
          <w:rFonts w:cs="Times New Roman"/>
          <w:lang w:val="fr-CA"/>
        </w:rPr>
        <w:t>« </w:t>
      </w:r>
      <w:r>
        <w:rPr>
          <w:rFonts w:cs="Times New Roman"/>
          <w:lang w:val="fr-CA"/>
        </w:rPr>
        <w:t>tabass</w:t>
      </w:r>
      <w:r w:rsidRPr="001D0501">
        <w:rPr>
          <w:rFonts w:cs="Times New Roman"/>
          <w:lang w:val="fr-CA"/>
        </w:rPr>
        <w:t>[é]</w:t>
      </w:r>
      <w:r w:rsidR="00203E16">
        <w:rPr>
          <w:rFonts w:cs="Times New Roman"/>
          <w:lang w:val="fr-CA"/>
        </w:rPr>
        <w:t> »</w:t>
      </w:r>
      <w:r w:rsidRPr="0001174C">
        <w:rPr>
          <w:rFonts w:cs="Times New Roman"/>
          <w:lang w:val="fr-CA"/>
        </w:rPr>
        <w:t xml:space="preserve"> quelqu</w:t>
      </w:r>
      <w:r>
        <w:rPr>
          <w:rFonts w:cs="Times New Roman"/>
          <w:lang w:val="fr-CA"/>
        </w:rPr>
        <w:t>’</w:t>
      </w:r>
      <w:r w:rsidRPr="0001174C">
        <w:rPr>
          <w:rFonts w:cs="Times New Roman"/>
          <w:lang w:val="fr-CA"/>
        </w:rPr>
        <w:t xml:space="preserve">un. </w:t>
      </w:r>
      <w:r>
        <w:rPr>
          <w:rFonts w:cs="Times New Roman"/>
          <w:lang w:val="fr-CA"/>
        </w:rPr>
        <w:t>Ce dernier</w:t>
      </w:r>
      <w:r w:rsidRPr="0001174C">
        <w:rPr>
          <w:rFonts w:cs="Times New Roman"/>
          <w:lang w:val="fr-CA"/>
        </w:rPr>
        <w:t xml:space="preserve"> a répondu que cela lui était arrivé deux </w:t>
      </w:r>
      <w:r>
        <w:rPr>
          <w:rFonts w:cs="Times New Roman"/>
          <w:lang w:val="fr-CA"/>
        </w:rPr>
        <w:t>fois</w:t>
      </w:r>
      <w:r w:rsidRPr="0001174C">
        <w:rPr>
          <w:rFonts w:cs="Times New Roman"/>
          <w:lang w:val="fr-CA"/>
        </w:rPr>
        <w:t>, la première au cours</w:t>
      </w:r>
      <w:r>
        <w:rPr>
          <w:rFonts w:cs="Times New Roman"/>
          <w:lang w:val="fr-CA"/>
        </w:rPr>
        <w:t xml:space="preserve"> d’une bagarre à coups de poing</w:t>
      </w:r>
      <w:r w:rsidRPr="0001174C">
        <w:rPr>
          <w:rFonts w:cs="Times New Roman"/>
          <w:lang w:val="fr-CA"/>
        </w:rPr>
        <w:t xml:space="preserve">, la seconde </w:t>
      </w:r>
      <w:r>
        <w:rPr>
          <w:rFonts w:cs="Times New Roman"/>
          <w:lang w:val="fr-CA"/>
        </w:rPr>
        <w:t>lors</w:t>
      </w:r>
      <w:r w:rsidRPr="0001174C">
        <w:rPr>
          <w:rFonts w:cs="Times New Roman"/>
          <w:lang w:val="fr-CA"/>
        </w:rPr>
        <w:t xml:space="preserve"> d</w:t>
      </w:r>
      <w:r>
        <w:rPr>
          <w:rFonts w:cs="Times New Roman"/>
          <w:lang w:val="fr-CA"/>
        </w:rPr>
        <w:t>’</w:t>
      </w:r>
      <w:r w:rsidRPr="0001174C">
        <w:rPr>
          <w:rFonts w:cs="Times New Roman"/>
          <w:lang w:val="fr-CA"/>
        </w:rPr>
        <w:t>un incident dont il ne pouvait parler. Ben a répon</w:t>
      </w:r>
      <w:r>
        <w:rPr>
          <w:rFonts w:cs="Times New Roman"/>
          <w:lang w:val="fr-CA"/>
        </w:rPr>
        <w:t xml:space="preserve">du qu’il espérait qu’un jour l’appelant </w:t>
      </w:r>
      <w:r w:rsidRPr="0001174C">
        <w:rPr>
          <w:rFonts w:cs="Times New Roman"/>
          <w:lang w:val="fr-CA"/>
        </w:rPr>
        <w:t xml:space="preserve">pourrait lui </w:t>
      </w:r>
      <w:r>
        <w:rPr>
          <w:rFonts w:cs="Times New Roman"/>
          <w:lang w:val="fr-CA"/>
        </w:rPr>
        <w:t>révéler</w:t>
      </w:r>
      <w:r w:rsidRPr="0001174C">
        <w:rPr>
          <w:rFonts w:cs="Times New Roman"/>
          <w:lang w:val="fr-CA"/>
        </w:rPr>
        <w:t xml:space="preserve"> son </w:t>
      </w:r>
      <w:r w:rsidR="00203E16">
        <w:rPr>
          <w:rFonts w:cs="Times New Roman"/>
          <w:lang w:val="fr-CA"/>
        </w:rPr>
        <w:t>« </w:t>
      </w:r>
      <w:r w:rsidRPr="0001174C">
        <w:rPr>
          <w:rFonts w:cs="Times New Roman"/>
          <w:lang w:val="fr-CA"/>
        </w:rPr>
        <w:t>secret</w:t>
      </w:r>
      <w:r w:rsidR="00203E16">
        <w:rPr>
          <w:rFonts w:cs="Times New Roman"/>
          <w:lang w:val="fr-CA"/>
        </w:rPr>
        <w:t> »</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Ben est revenu sur le secret de l</w:t>
      </w:r>
      <w:r>
        <w:rPr>
          <w:rFonts w:cs="Times New Roman"/>
          <w:lang w:val="fr-CA"/>
        </w:rPr>
        <w:t>’</w:t>
      </w:r>
      <w:r w:rsidRPr="0001174C">
        <w:rPr>
          <w:rFonts w:cs="Times New Roman"/>
          <w:lang w:val="fr-CA"/>
        </w:rPr>
        <w:t>appelant au début de mars. Il a laissé entendre que la personne dont l</w:t>
      </w:r>
      <w:r>
        <w:rPr>
          <w:rFonts w:cs="Times New Roman"/>
          <w:lang w:val="fr-CA"/>
        </w:rPr>
        <w:t>’</w:t>
      </w:r>
      <w:r w:rsidRPr="0001174C">
        <w:rPr>
          <w:rFonts w:cs="Times New Roman"/>
          <w:lang w:val="fr-CA"/>
        </w:rPr>
        <w:t xml:space="preserve">appelant </w:t>
      </w:r>
      <w:r>
        <w:rPr>
          <w:rFonts w:cs="Times New Roman"/>
          <w:lang w:val="fr-CA"/>
        </w:rPr>
        <w:t xml:space="preserve">avait </w:t>
      </w:r>
      <w:r w:rsidRPr="0001174C">
        <w:rPr>
          <w:rFonts w:cs="Times New Roman"/>
          <w:lang w:val="fr-CA"/>
        </w:rPr>
        <w:t>parl</w:t>
      </w:r>
      <w:r>
        <w:rPr>
          <w:rFonts w:cs="Times New Roman"/>
          <w:lang w:val="fr-CA"/>
        </w:rPr>
        <w:t>é</w:t>
      </w:r>
      <w:r w:rsidRPr="0001174C">
        <w:rPr>
          <w:rFonts w:cs="Times New Roman"/>
          <w:lang w:val="fr-CA"/>
        </w:rPr>
        <w:t xml:space="preserve">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sidRPr="0001174C">
        <w:rPr>
          <w:rFonts w:cs="Times New Roman"/>
          <w:lang w:val="fr-CA"/>
        </w:rPr>
        <w:t>n</w:t>
      </w:r>
      <w:r>
        <w:rPr>
          <w:rFonts w:cs="Times New Roman"/>
          <w:lang w:val="fr-CA"/>
        </w:rPr>
        <w:t>’</w:t>
      </w:r>
      <w:r w:rsidRPr="0001174C">
        <w:rPr>
          <w:rFonts w:cs="Times New Roman"/>
          <w:lang w:val="fr-CA"/>
        </w:rPr>
        <w:t>était</w:t>
      </w:r>
      <w:r>
        <w:rPr>
          <w:rFonts w:cs="Times New Roman"/>
          <w:lang w:val="fr-CA"/>
        </w:rPr>
        <w:t xml:space="preserve"> plus de ce monde</w:t>
      </w:r>
      <w:r w:rsidR="00203E16">
        <w:rPr>
          <w:rFonts w:cs="Times New Roman"/>
          <w:lang w:val="fr-CA"/>
        </w:rPr>
        <w:t> »</w:t>
      </w:r>
      <w:r w:rsidRPr="0001174C">
        <w:rPr>
          <w:rFonts w:cs="Times New Roman"/>
          <w:lang w:val="fr-CA"/>
        </w:rPr>
        <w:t>. L</w:t>
      </w:r>
      <w:r>
        <w:rPr>
          <w:rFonts w:cs="Times New Roman"/>
          <w:lang w:val="fr-CA"/>
        </w:rPr>
        <w:t>’</w:t>
      </w:r>
      <w:r w:rsidRPr="0001174C">
        <w:rPr>
          <w:rFonts w:cs="Times New Roman"/>
          <w:lang w:val="fr-CA"/>
        </w:rPr>
        <w:t xml:space="preserve">appelant a opiné du bonnet et ajouté </w:t>
      </w:r>
      <w:r>
        <w:rPr>
          <w:rFonts w:cs="Times New Roman"/>
          <w:lang w:val="fr-CA"/>
        </w:rPr>
        <w:t xml:space="preserve">que </w:t>
      </w:r>
      <w:r w:rsidR="00203E16">
        <w:rPr>
          <w:rFonts w:cs="Times New Roman"/>
          <w:lang w:val="fr-CA"/>
        </w:rPr>
        <w:t>« </w:t>
      </w:r>
      <w:r>
        <w:rPr>
          <w:rFonts w:cs="Times New Roman"/>
          <w:lang w:val="fr-CA"/>
        </w:rPr>
        <w:t>chacun a son point de rupture</w:t>
      </w:r>
      <w:r w:rsidR="00203E16">
        <w:rPr>
          <w:rFonts w:cs="Times New Roman"/>
          <w:lang w:val="fr-CA"/>
        </w:rPr>
        <w:t> »</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À la mi</w:t>
      </w:r>
      <w:r w:rsidR="00203E16">
        <w:rPr>
          <w:rFonts w:cs="Times New Roman"/>
          <w:lang w:val="fr-CA"/>
        </w:rPr>
        <w:t>-</w:t>
      </w:r>
      <w:r w:rsidRPr="0001174C">
        <w:rPr>
          <w:rFonts w:cs="Times New Roman"/>
          <w:lang w:val="fr-CA"/>
        </w:rPr>
        <w:t>mars, l</w:t>
      </w:r>
      <w:r>
        <w:rPr>
          <w:rFonts w:cs="Times New Roman"/>
          <w:lang w:val="fr-CA"/>
        </w:rPr>
        <w:t>’</w:t>
      </w:r>
      <w:r w:rsidRPr="0001174C">
        <w:rPr>
          <w:rFonts w:cs="Times New Roman"/>
          <w:lang w:val="fr-CA"/>
        </w:rPr>
        <w:t>appelant s</w:t>
      </w:r>
      <w:r>
        <w:rPr>
          <w:rFonts w:cs="Times New Roman"/>
          <w:lang w:val="fr-CA"/>
        </w:rPr>
        <w:t>’</w:t>
      </w:r>
      <w:r w:rsidRPr="0001174C">
        <w:rPr>
          <w:rFonts w:cs="Times New Roman"/>
          <w:lang w:val="fr-CA"/>
        </w:rPr>
        <w:t xml:space="preserve">est rendu en voiture à Vancouver à la demande de Ben pour </w:t>
      </w:r>
      <w:r>
        <w:rPr>
          <w:rFonts w:cs="Times New Roman"/>
          <w:lang w:val="fr-CA"/>
        </w:rPr>
        <w:t xml:space="preserve">y </w:t>
      </w:r>
      <w:r w:rsidRPr="0001174C">
        <w:rPr>
          <w:rFonts w:cs="Times New Roman"/>
          <w:lang w:val="fr-CA"/>
        </w:rPr>
        <w:t>rencontrer Liam. L</w:t>
      </w:r>
      <w:r>
        <w:rPr>
          <w:rFonts w:cs="Times New Roman"/>
          <w:lang w:val="fr-CA"/>
        </w:rPr>
        <w:t>’</w:t>
      </w:r>
      <w:r w:rsidRPr="0001174C">
        <w:rPr>
          <w:rFonts w:cs="Times New Roman"/>
          <w:lang w:val="fr-CA"/>
        </w:rPr>
        <w:t xml:space="preserve">appelant et Liam se sont </w:t>
      </w:r>
      <w:r>
        <w:rPr>
          <w:rFonts w:cs="Times New Roman"/>
          <w:lang w:val="fr-CA"/>
        </w:rPr>
        <w:t>retrouvés</w:t>
      </w:r>
      <w:r w:rsidRPr="0001174C">
        <w:rPr>
          <w:rFonts w:cs="Times New Roman"/>
          <w:lang w:val="fr-CA"/>
        </w:rPr>
        <w:t xml:space="preserve"> dans un appartement en ville. Liam a évoqué la disparition du colocataire</w:t>
      </w:r>
      <w:r>
        <w:rPr>
          <w:rFonts w:cs="Times New Roman"/>
          <w:lang w:val="fr-CA"/>
        </w:rPr>
        <w:t xml:space="preserve"> de l’appelant et a essayé de</w:t>
      </w:r>
      <w:r w:rsidRPr="0001174C">
        <w:rPr>
          <w:rFonts w:cs="Times New Roman"/>
          <w:lang w:val="fr-CA"/>
        </w:rPr>
        <w:t xml:space="preserve"> faire parler</w:t>
      </w:r>
      <w:r>
        <w:rPr>
          <w:rFonts w:cs="Times New Roman"/>
          <w:lang w:val="fr-CA"/>
        </w:rPr>
        <w:t xml:space="preserve"> ce dernier</w:t>
      </w:r>
      <w:r w:rsidRPr="0001174C">
        <w:rPr>
          <w:rFonts w:cs="Times New Roman"/>
          <w:lang w:val="fr-CA"/>
        </w:rPr>
        <w:t>. L</w:t>
      </w:r>
      <w:r>
        <w:rPr>
          <w:rFonts w:cs="Times New Roman"/>
          <w:lang w:val="fr-CA"/>
        </w:rPr>
        <w:t>’</w:t>
      </w:r>
      <w:r w:rsidRPr="0001174C">
        <w:rPr>
          <w:rFonts w:cs="Times New Roman"/>
          <w:lang w:val="fr-CA"/>
        </w:rPr>
        <w:t>appelant a demandé à Liam s</w:t>
      </w:r>
      <w:r>
        <w:rPr>
          <w:rFonts w:cs="Times New Roman"/>
          <w:lang w:val="fr-CA"/>
        </w:rPr>
        <w:t>’</w:t>
      </w:r>
      <w:r w:rsidRPr="0001174C">
        <w:rPr>
          <w:rFonts w:cs="Times New Roman"/>
          <w:lang w:val="fr-CA"/>
        </w:rPr>
        <w:t xml:space="preserve">il pouvait </w:t>
      </w:r>
      <w:r w:rsidRPr="0001174C">
        <w:rPr>
          <w:rFonts w:cs="Times New Roman"/>
          <w:smallCaps/>
          <w:lang w:val="fr-CA"/>
        </w:rPr>
        <w:t>[traduction]</w:t>
      </w:r>
      <w:r>
        <w:rPr>
          <w:rFonts w:cs="Times New Roman"/>
          <w:lang w:val="fr-CA"/>
        </w:rPr>
        <w:t xml:space="preserve"> </w:t>
      </w:r>
      <w:r w:rsidR="00203E16">
        <w:rPr>
          <w:rFonts w:cs="Times New Roman"/>
          <w:lang w:val="fr-CA"/>
        </w:rPr>
        <w:t>« </w:t>
      </w:r>
      <w:r>
        <w:rPr>
          <w:rFonts w:cs="Times New Roman"/>
          <w:lang w:val="fr-CA"/>
        </w:rPr>
        <w:t>s’abstenir</w:t>
      </w:r>
      <w:r w:rsidR="00203E16">
        <w:rPr>
          <w:rFonts w:cs="Times New Roman"/>
          <w:lang w:val="fr-CA"/>
        </w:rPr>
        <w:t> »</w:t>
      </w:r>
      <w:r>
        <w:rPr>
          <w:rFonts w:cs="Times New Roman"/>
          <w:lang w:val="fr-CA"/>
        </w:rPr>
        <w:t xml:space="preserve"> d’en</w:t>
      </w:r>
      <w:r w:rsidRPr="0001174C">
        <w:rPr>
          <w:rFonts w:cs="Times New Roman"/>
          <w:lang w:val="fr-CA"/>
        </w:rPr>
        <w:t xml:space="preserve"> parler. Liam </w:t>
      </w:r>
      <w:r>
        <w:rPr>
          <w:rFonts w:cs="Times New Roman"/>
          <w:lang w:val="fr-CA"/>
        </w:rPr>
        <w:t>a répondu</w:t>
      </w:r>
      <w:r w:rsidRPr="0001174C">
        <w:rPr>
          <w:rFonts w:cs="Times New Roman"/>
          <w:lang w:val="fr-CA"/>
        </w:rPr>
        <w:t xml:space="preserve"> que c</w:t>
      </w:r>
      <w:r>
        <w:rPr>
          <w:rFonts w:cs="Times New Roman"/>
          <w:lang w:val="fr-CA"/>
        </w:rPr>
        <w:t>’</w:t>
      </w:r>
      <w:r w:rsidRPr="0001174C">
        <w:rPr>
          <w:rFonts w:cs="Times New Roman"/>
          <w:lang w:val="fr-CA"/>
        </w:rPr>
        <w:t xml:space="preserve">était </w:t>
      </w:r>
      <w:r>
        <w:rPr>
          <w:rFonts w:cs="Times New Roman"/>
          <w:lang w:val="fr-CA"/>
        </w:rPr>
        <w:t>à lui de décider</w:t>
      </w:r>
      <w:r w:rsidRPr="0001174C">
        <w:rPr>
          <w:rFonts w:cs="Times New Roman"/>
          <w:lang w:val="fr-CA"/>
        </w:rPr>
        <w:t>, mais que s</w:t>
      </w:r>
      <w:r>
        <w:rPr>
          <w:rFonts w:cs="Times New Roman"/>
          <w:lang w:val="fr-CA"/>
        </w:rPr>
        <w:t>’</w:t>
      </w:r>
      <w:r w:rsidRPr="0001174C">
        <w:rPr>
          <w:rFonts w:cs="Times New Roman"/>
          <w:lang w:val="fr-CA"/>
        </w:rPr>
        <w:t>il refusait d</w:t>
      </w:r>
      <w:r>
        <w:rPr>
          <w:rFonts w:cs="Times New Roman"/>
          <w:lang w:val="fr-CA"/>
        </w:rPr>
        <w:t>’</w:t>
      </w:r>
      <w:r w:rsidRPr="0001174C">
        <w:rPr>
          <w:rFonts w:cs="Times New Roman"/>
          <w:lang w:val="fr-CA"/>
        </w:rPr>
        <w:t>e</w:t>
      </w:r>
      <w:r>
        <w:rPr>
          <w:rFonts w:cs="Times New Roman"/>
          <w:lang w:val="fr-CA"/>
        </w:rPr>
        <w:t>n</w:t>
      </w:r>
      <w:r w:rsidRPr="0001174C">
        <w:rPr>
          <w:rFonts w:cs="Times New Roman"/>
          <w:lang w:val="fr-CA"/>
        </w:rPr>
        <w:t xml:space="preserve"> parler, il </w:t>
      </w:r>
      <w:r>
        <w:rPr>
          <w:rFonts w:cs="Times New Roman"/>
          <w:lang w:val="fr-CA"/>
        </w:rPr>
        <w:t>demeurerait dans la</w:t>
      </w:r>
      <w:r w:rsidRPr="0001174C">
        <w:rPr>
          <w:rFonts w:cs="Times New Roman"/>
          <w:lang w:val="fr-CA"/>
        </w:rPr>
        <w:t xml:space="preserve"> </w:t>
      </w:r>
      <w:r w:rsidR="00203E16">
        <w:rPr>
          <w:rFonts w:cs="Times New Roman"/>
          <w:lang w:val="fr-CA"/>
        </w:rPr>
        <w:t>« </w:t>
      </w:r>
      <w:r w:rsidRPr="0001174C">
        <w:rPr>
          <w:rFonts w:cs="Times New Roman"/>
          <w:lang w:val="fr-CA"/>
        </w:rPr>
        <w:t xml:space="preserve">troisième </w:t>
      </w:r>
      <w:r>
        <w:rPr>
          <w:rFonts w:cs="Times New Roman"/>
          <w:lang w:val="fr-CA"/>
        </w:rPr>
        <w:t>formation</w:t>
      </w:r>
      <w:r w:rsidR="00203E16">
        <w:rPr>
          <w:rFonts w:cs="Times New Roman"/>
          <w:lang w:val="fr-CA"/>
        </w:rPr>
        <w:t> »</w:t>
      </w:r>
      <w:r w:rsidRPr="0001174C">
        <w:rPr>
          <w:rFonts w:cs="Times New Roman"/>
          <w:lang w:val="fr-CA"/>
        </w:rPr>
        <w:t xml:space="preserve"> </w:t>
      </w:r>
      <w:r>
        <w:rPr>
          <w:rFonts w:cs="Times New Roman"/>
          <w:lang w:val="fr-CA"/>
        </w:rPr>
        <w:t>au sein de l’organisation</w:t>
      </w:r>
      <w:r w:rsidRPr="0001174C">
        <w:rPr>
          <w:rFonts w:cs="Times New Roman"/>
          <w:lang w:val="fr-CA"/>
        </w:rPr>
        <w:t>. La seule façon d</w:t>
      </w:r>
      <w:r>
        <w:rPr>
          <w:rFonts w:cs="Times New Roman"/>
          <w:lang w:val="fr-CA"/>
        </w:rPr>
        <w:t>’acc</w:t>
      </w:r>
      <w:r w:rsidRPr="00CA4E45">
        <w:rPr>
          <w:rFonts w:cs="Times New Roman"/>
          <w:lang w:val="fr-CA"/>
        </w:rPr>
        <w:t>é</w:t>
      </w:r>
      <w:r>
        <w:rPr>
          <w:rFonts w:cs="Times New Roman"/>
          <w:lang w:val="fr-CA"/>
        </w:rPr>
        <w:t>der à la</w:t>
      </w:r>
      <w:r w:rsidRPr="0001174C">
        <w:rPr>
          <w:rFonts w:cs="Times New Roman"/>
          <w:lang w:val="fr-CA"/>
        </w:rPr>
        <w:t xml:space="preserve"> </w:t>
      </w:r>
      <w:r w:rsidR="00203E16">
        <w:rPr>
          <w:rFonts w:cs="Times New Roman"/>
          <w:lang w:val="fr-CA"/>
        </w:rPr>
        <w:t>« </w:t>
      </w:r>
      <w:r w:rsidRPr="0001174C">
        <w:rPr>
          <w:rFonts w:cs="Times New Roman"/>
          <w:lang w:val="fr-CA"/>
        </w:rPr>
        <w:t>premi</w:t>
      </w:r>
      <w:r>
        <w:rPr>
          <w:rFonts w:cs="Times New Roman"/>
          <w:lang w:val="fr-CA"/>
        </w:rPr>
        <w:t>ère</w:t>
      </w:r>
      <w:r w:rsidR="00203E16">
        <w:rPr>
          <w:rFonts w:cs="Times New Roman"/>
          <w:lang w:val="fr-CA"/>
        </w:rPr>
        <w:t> »</w:t>
      </w:r>
      <w:r w:rsidRPr="0001174C">
        <w:rPr>
          <w:rFonts w:cs="Times New Roman"/>
          <w:lang w:val="fr-CA"/>
        </w:rPr>
        <w:t xml:space="preserve"> était de parler de son colocataire et de révéler son secret. L</w:t>
      </w:r>
      <w:r>
        <w:rPr>
          <w:rFonts w:cs="Times New Roman"/>
          <w:lang w:val="fr-CA"/>
        </w:rPr>
        <w:t>’</w:t>
      </w:r>
      <w:r w:rsidRPr="0001174C">
        <w:rPr>
          <w:rFonts w:cs="Times New Roman"/>
          <w:lang w:val="fr-CA"/>
        </w:rPr>
        <w:t>a</w:t>
      </w:r>
      <w:r>
        <w:rPr>
          <w:rFonts w:cs="Times New Roman"/>
          <w:lang w:val="fr-CA"/>
        </w:rPr>
        <w:t>ppelant a de nouveau refusé, expliquant qu’</w:t>
      </w:r>
      <w:r w:rsidR="00203E16">
        <w:rPr>
          <w:rFonts w:cs="Times New Roman"/>
          <w:lang w:val="fr-CA"/>
        </w:rPr>
        <w:t>« </w:t>
      </w:r>
      <w:r>
        <w:rPr>
          <w:rFonts w:cs="Times New Roman"/>
          <w:lang w:val="fr-CA"/>
        </w:rPr>
        <w:t>une indiscrétion peut faire couler un navire</w:t>
      </w:r>
      <w:r w:rsidR="00203E16">
        <w:rPr>
          <w:rFonts w:cs="Times New Roman"/>
          <w:lang w:val="fr-CA"/>
        </w:rPr>
        <w:t> »</w:t>
      </w:r>
      <w:r w:rsidRPr="0001174C">
        <w:rPr>
          <w:rFonts w:cs="Times New Roman"/>
          <w:lang w:val="fr-CA"/>
        </w:rPr>
        <w:t xml:space="preserve">. </w:t>
      </w:r>
    </w:p>
    <w:p w:rsidR="00AF2876" w:rsidRPr="0001174C" w:rsidRDefault="00AF2876" w:rsidP="00AF2876">
      <w:pPr>
        <w:pStyle w:val="ParaNoNdepar-AltN"/>
        <w:rPr>
          <w:rFonts w:cs="Times New Roman"/>
          <w:lang w:val="fr-CA"/>
        </w:rPr>
      </w:pPr>
      <w:r>
        <w:rPr>
          <w:rFonts w:cs="Times New Roman"/>
          <w:lang w:val="fr-CA"/>
        </w:rPr>
        <w:t>Après cette rencontre</w:t>
      </w:r>
      <w:r w:rsidRPr="0001174C">
        <w:rPr>
          <w:rFonts w:cs="Times New Roman"/>
          <w:lang w:val="fr-CA"/>
        </w:rPr>
        <w:t>, trois semaines se sont écoulées avant que Ben et l</w:t>
      </w:r>
      <w:r>
        <w:rPr>
          <w:rFonts w:cs="Times New Roman"/>
          <w:lang w:val="fr-CA"/>
        </w:rPr>
        <w:t>’</w:t>
      </w:r>
      <w:r w:rsidRPr="0001174C">
        <w:rPr>
          <w:rFonts w:cs="Times New Roman"/>
          <w:lang w:val="fr-CA"/>
        </w:rPr>
        <w:t>appe</w:t>
      </w:r>
      <w:r>
        <w:rPr>
          <w:rFonts w:cs="Times New Roman"/>
          <w:lang w:val="fr-CA"/>
        </w:rPr>
        <w:t>lant ne se revoient. Le 9</w:t>
      </w:r>
      <w:r w:rsidR="00203E16">
        <w:rPr>
          <w:rFonts w:cs="Times New Roman"/>
          <w:lang w:val="fr-CA"/>
        </w:rPr>
        <w:t xml:space="preserve"> </w:t>
      </w:r>
      <w:r>
        <w:rPr>
          <w:rFonts w:cs="Times New Roman"/>
          <w:lang w:val="fr-CA"/>
        </w:rPr>
        <w:t xml:space="preserve">avril </w:t>
      </w:r>
      <w:r w:rsidRPr="0001174C">
        <w:rPr>
          <w:rFonts w:cs="Times New Roman"/>
          <w:lang w:val="fr-CA"/>
        </w:rPr>
        <w:t>2004, Ben a demandé à l</w:t>
      </w:r>
      <w:r>
        <w:rPr>
          <w:rFonts w:cs="Times New Roman"/>
          <w:lang w:val="fr-CA"/>
        </w:rPr>
        <w:t>’</w:t>
      </w:r>
      <w:r w:rsidRPr="0001174C">
        <w:rPr>
          <w:rFonts w:cs="Times New Roman"/>
          <w:lang w:val="fr-CA"/>
        </w:rPr>
        <w:t>appelant s</w:t>
      </w:r>
      <w:r>
        <w:rPr>
          <w:rFonts w:cs="Times New Roman"/>
          <w:lang w:val="fr-CA"/>
        </w:rPr>
        <w:t>’</w:t>
      </w:r>
      <w:r w:rsidRPr="0001174C">
        <w:rPr>
          <w:rFonts w:cs="Times New Roman"/>
          <w:lang w:val="fr-CA"/>
        </w:rPr>
        <w:t>il voulait du travail. L</w:t>
      </w:r>
      <w:r>
        <w:rPr>
          <w:rFonts w:cs="Times New Roman"/>
          <w:lang w:val="fr-CA"/>
        </w:rPr>
        <w:t>’</w:t>
      </w:r>
      <w:r w:rsidRPr="0001174C">
        <w:rPr>
          <w:rFonts w:cs="Times New Roman"/>
          <w:lang w:val="fr-CA"/>
        </w:rPr>
        <w:t>appelant a répondu par l</w:t>
      </w:r>
      <w:r>
        <w:rPr>
          <w:rFonts w:cs="Times New Roman"/>
          <w:lang w:val="fr-CA"/>
        </w:rPr>
        <w:t>’</w:t>
      </w:r>
      <w:r w:rsidRPr="0001174C">
        <w:rPr>
          <w:rFonts w:cs="Times New Roman"/>
          <w:lang w:val="fr-CA"/>
        </w:rPr>
        <w:t>affirmative</w:t>
      </w:r>
      <w:r>
        <w:rPr>
          <w:rFonts w:cs="Times New Roman"/>
          <w:lang w:val="fr-CA"/>
        </w:rPr>
        <w:t>,</w:t>
      </w:r>
      <w:r w:rsidRPr="0001174C">
        <w:rPr>
          <w:rFonts w:cs="Times New Roman"/>
          <w:lang w:val="fr-CA"/>
        </w:rPr>
        <w:t xml:space="preserve"> ajout</w:t>
      </w:r>
      <w:r>
        <w:rPr>
          <w:rFonts w:cs="Times New Roman"/>
          <w:lang w:val="fr-CA"/>
        </w:rPr>
        <w:t>ant</w:t>
      </w:r>
      <w:r w:rsidRPr="0001174C">
        <w:rPr>
          <w:rFonts w:cs="Times New Roman"/>
          <w:lang w:val="fr-CA"/>
        </w:rPr>
        <w:t xml:space="preserve"> qu</w:t>
      </w:r>
      <w:r>
        <w:rPr>
          <w:rFonts w:cs="Times New Roman"/>
          <w:lang w:val="fr-CA"/>
        </w:rPr>
        <w:t>’</w:t>
      </w:r>
      <w:r w:rsidRPr="0001174C">
        <w:rPr>
          <w:rFonts w:cs="Times New Roman"/>
          <w:lang w:val="fr-CA"/>
        </w:rPr>
        <w:t xml:space="preserve">il était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sidRPr="0001174C">
        <w:rPr>
          <w:rFonts w:cs="Times New Roman"/>
          <w:lang w:val="fr-CA"/>
        </w:rPr>
        <w:t>prêt à faire ce qu</w:t>
      </w:r>
      <w:r>
        <w:rPr>
          <w:rFonts w:cs="Times New Roman"/>
          <w:lang w:val="fr-CA"/>
        </w:rPr>
        <w:t>’</w:t>
      </w:r>
      <w:r w:rsidRPr="0001174C">
        <w:rPr>
          <w:rFonts w:cs="Times New Roman"/>
          <w:lang w:val="fr-CA"/>
        </w:rPr>
        <w:t>il fa</w:t>
      </w:r>
      <w:r>
        <w:rPr>
          <w:rFonts w:cs="Times New Roman"/>
          <w:lang w:val="fr-CA"/>
        </w:rPr>
        <w:t>llait</w:t>
      </w:r>
      <w:r w:rsidR="00203E16">
        <w:rPr>
          <w:rFonts w:cs="Times New Roman"/>
          <w:lang w:val="fr-CA"/>
        </w:rPr>
        <w:t> »</w:t>
      </w:r>
      <w:r w:rsidRPr="0001174C">
        <w:rPr>
          <w:rFonts w:cs="Times New Roman"/>
          <w:lang w:val="fr-CA"/>
        </w:rPr>
        <w:t xml:space="preserve">. Ben </w:t>
      </w:r>
      <w:r>
        <w:rPr>
          <w:rFonts w:cs="Times New Roman"/>
          <w:lang w:val="fr-CA"/>
        </w:rPr>
        <w:t xml:space="preserve">lui </w:t>
      </w:r>
      <w:r w:rsidRPr="0001174C">
        <w:rPr>
          <w:rFonts w:cs="Times New Roman"/>
          <w:lang w:val="fr-CA"/>
        </w:rPr>
        <w:t xml:space="preserve">a demandé </w:t>
      </w:r>
      <w:r>
        <w:rPr>
          <w:rFonts w:cs="Times New Roman"/>
          <w:lang w:val="fr-CA"/>
        </w:rPr>
        <w:t>s’</w:t>
      </w:r>
      <w:r w:rsidRPr="0001174C">
        <w:rPr>
          <w:rFonts w:cs="Times New Roman"/>
          <w:lang w:val="fr-CA"/>
        </w:rPr>
        <w:t xml:space="preserve">il </w:t>
      </w:r>
      <w:r>
        <w:rPr>
          <w:rFonts w:cs="Times New Roman"/>
          <w:lang w:val="fr-CA"/>
        </w:rPr>
        <w:t>ét</w:t>
      </w:r>
      <w:r w:rsidRPr="0001174C">
        <w:rPr>
          <w:rFonts w:cs="Times New Roman"/>
          <w:lang w:val="fr-CA"/>
        </w:rPr>
        <w:t>ait disposé à s</w:t>
      </w:r>
      <w:r>
        <w:rPr>
          <w:rFonts w:cs="Times New Roman"/>
          <w:lang w:val="fr-CA"/>
        </w:rPr>
        <w:t>’</w:t>
      </w:r>
      <w:r w:rsidRPr="0001174C">
        <w:rPr>
          <w:rFonts w:cs="Times New Roman"/>
          <w:lang w:val="fr-CA"/>
        </w:rPr>
        <w:t xml:space="preserve">asseoir avec </w:t>
      </w:r>
      <w:r w:rsidRPr="0001174C">
        <w:rPr>
          <w:rFonts w:cs="Times New Roman"/>
          <w:lang w:val="fr-CA"/>
        </w:rPr>
        <w:lastRenderedPageBreak/>
        <w:t>Liam pour parler des circonstances dans lesquelles son colocataire avait été</w:t>
      </w:r>
      <w:r>
        <w:rPr>
          <w:rFonts w:cs="Times New Roman"/>
          <w:lang w:val="fr-CA"/>
        </w:rPr>
        <w:t xml:space="preserve"> tué. L’appelant a accepté. Ben lui </w:t>
      </w:r>
      <w:r w:rsidRPr="0001174C">
        <w:rPr>
          <w:rFonts w:cs="Times New Roman"/>
          <w:lang w:val="fr-CA"/>
        </w:rPr>
        <w:t xml:space="preserve">a alors demandé </w:t>
      </w:r>
      <w:r>
        <w:rPr>
          <w:rFonts w:cs="Times New Roman"/>
          <w:lang w:val="fr-CA"/>
        </w:rPr>
        <w:t>pourquoi il avait tué M.</w:t>
      </w:r>
      <w:r w:rsidR="00203E16">
        <w:rPr>
          <w:rFonts w:cs="Times New Roman"/>
          <w:lang w:val="fr-CA"/>
        </w:rPr>
        <w:t xml:space="preserve"> </w:t>
      </w:r>
      <w:r>
        <w:rPr>
          <w:rFonts w:cs="Times New Roman"/>
          <w:lang w:val="fr-CA"/>
        </w:rPr>
        <w:t>Levoir</w:t>
      </w:r>
      <w:r w:rsidRPr="0001174C">
        <w:rPr>
          <w:rFonts w:cs="Times New Roman"/>
          <w:lang w:val="fr-CA"/>
        </w:rPr>
        <w:t>. L</w:t>
      </w:r>
      <w:r>
        <w:rPr>
          <w:rFonts w:cs="Times New Roman"/>
          <w:lang w:val="fr-CA"/>
        </w:rPr>
        <w:t>’</w:t>
      </w:r>
      <w:r w:rsidRPr="0001174C">
        <w:rPr>
          <w:rFonts w:cs="Times New Roman"/>
          <w:lang w:val="fr-CA"/>
        </w:rPr>
        <w:t xml:space="preserve">appelant a répondu que son ancien colocataire était </w:t>
      </w:r>
      <w:r w:rsidR="00203E16">
        <w:rPr>
          <w:rFonts w:cs="Times New Roman"/>
          <w:lang w:val="fr-CA"/>
        </w:rPr>
        <w:t>« </w:t>
      </w:r>
      <w:r w:rsidRPr="0001174C">
        <w:rPr>
          <w:rFonts w:cs="Times New Roman"/>
          <w:lang w:val="fr-CA"/>
        </w:rPr>
        <w:t>un menteur, un voleur et un sale</w:t>
      </w:r>
      <w:r>
        <w:rPr>
          <w:rFonts w:cs="Times New Roman"/>
          <w:lang w:val="fr-CA"/>
        </w:rPr>
        <w:t xml:space="preserve"> trafiquant de drogue</w:t>
      </w:r>
      <w:r w:rsidR="00203E16">
        <w:rPr>
          <w:rFonts w:cs="Times New Roman"/>
          <w:lang w:val="fr-CA"/>
        </w:rPr>
        <w:t> »</w:t>
      </w:r>
      <w:r w:rsidRPr="0001174C">
        <w:rPr>
          <w:rFonts w:cs="Times New Roman"/>
          <w:lang w:val="fr-CA"/>
        </w:rPr>
        <w:t xml:space="preserve">. </w:t>
      </w:r>
      <w:r>
        <w:rPr>
          <w:rFonts w:cs="Times New Roman"/>
          <w:lang w:val="fr-CA"/>
        </w:rPr>
        <w:t>Il</w:t>
      </w:r>
      <w:r w:rsidRPr="0001174C">
        <w:rPr>
          <w:rFonts w:cs="Times New Roman"/>
          <w:lang w:val="fr-CA"/>
        </w:rPr>
        <w:t xml:space="preserve"> a </w:t>
      </w:r>
      <w:r>
        <w:rPr>
          <w:rFonts w:cs="Times New Roman"/>
          <w:lang w:val="fr-CA"/>
        </w:rPr>
        <w:t>dit</w:t>
      </w:r>
      <w:r w:rsidRPr="0001174C">
        <w:rPr>
          <w:rFonts w:cs="Times New Roman"/>
          <w:lang w:val="fr-CA"/>
        </w:rPr>
        <w:t xml:space="preserve"> av</w:t>
      </w:r>
      <w:r>
        <w:rPr>
          <w:rFonts w:cs="Times New Roman"/>
          <w:lang w:val="fr-CA"/>
        </w:rPr>
        <w:t>oir</w:t>
      </w:r>
      <w:r w:rsidRPr="0001174C">
        <w:rPr>
          <w:rFonts w:cs="Times New Roman"/>
          <w:lang w:val="fr-CA"/>
        </w:rPr>
        <w:t xml:space="preserve"> abattu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de cinq balles — quatre à la poitrine et</w:t>
      </w:r>
      <w:r>
        <w:rPr>
          <w:rFonts w:cs="Times New Roman"/>
          <w:lang w:val="fr-CA"/>
        </w:rPr>
        <w:t xml:space="preserve"> une au dos — au moyen d’une carabine </w:t>
      </w:r>
      <w:r w:rsidRPr="0001174C">
        <w:rPr>
          <w:rFonts w:cs="Times New Roman"/>
          <w:lang w:val="fr-CA"/>
        </w:rPr>
        <w:t>de calibre</w:t>
      </w:r>
      <w:r w:rsidR="00203E16">
        <w:rPr>
          <w:rFonts w:cs="Times New Roman"/>
          <w:lang w:val="fr-CA"/>
        </w:rPr>
        <w:t xml:space="preserve"> </w:t>
      </w:r>
      <w:r w:rsidRPr="0001174C">
        <w:rPr>
          <w:rFonts w:cs="Times New Roman"/>
          <w:lang w:val="fr-CA"/>
        </w:rPr>
        <w:t xml:space="preserve">.223. </w:t>
      </w:r>
      <w:r>
        <w:rPr>
          <w:rFonts w:cs="Times New Roman"/>
          <w:lang w:val="fr-CA"/>
        </w:rPr>
        <w:t>Il</w:t>
      </w:r>
      <w:r w:rsidRPr="0001174C">
        <w:rPr>
          <w:rFonts w:cs="Times New Roman"/>
          <w:lang w:val="fr-CA"/>
        </w:rPr>
        <w:t xml:space="preserve"> a </w:t>
      </w:r>
      <w:r>
        <w:rPr>
          <w:rFonts w:cs="Times New Roman"/>
          <w:lang w:val="fr-CA"/>
        </w:rPr>
        <w:t>précisé</w:t>
      </w:r>
      <w:r w:rsidRPr="0001174C">
        <w:rPr>
          <w:rFonts w:cs="Times New Roman"/>
          <w:lang w:val="fr-CA"/>
        </w:rPr>
        <w:t xml:space="preserve"> qu</w:t>
      </w:r>
      <w:r>
        <w:rPr>
          <w:rFonts w:cs="Times New Roman"/>
          <w:lang w:val="fr-CA"/>
        </w:rPr>
        <w:t>’</w:t>
      </w:r>
      <w:r w:rsidRPr="0001174C">
        <w:rPr>
          <w:rFonts w:cs="Times New Roman"/>
          <w:lang w:val="fr-CA"/>
        </w:rPr>
        <w:t xml:space="preserve">il </w:t>
      </w:r>
      <w:r w:rsidR="00203E16">
        <w:rPr>
          <w:rFonts w:cs="Times New Roman"/>
          <w:lang w:val="fr-CA"/>
        </w:rPr>
        <w:t>« </w:t>
      </w:r>
      <w:r w:rsidRPr="0001174C">
        <w:rPr>
          <w:rFonts w:cs="Times New Roman"/>
          <w:lang w:val="fr-CA"/>
        </w:rPr>
        <w:t>ne rest[ait] plus rien</w:t>
      </w:r>
      <w:r w:rsidR="00203E16">
        <w:rPr>
          <w:rFonts w:cs="Times New Roman"/>
          <w:lang w:val="fr-CA"/>
        </w:rPr>
        <w:t> »</w:t>
      </w:r>
      <w:r w:rsidRPr="0001174C">
        <w:rPr>
          <w:rFonts w:cs="Times New Roman"/>
          <w:lang w:val="fr-CA"/>
        </w:rPr>
        <w:t xml:space="preserve"> de </w:t>
      </w:r>
      <w:r>
        <w:rPr>
          <w:rFonts w:cs="Times New Roman"/>
          <w:lang w:val="fr-CA"/>
        </w:rPr>
        <w:t>la victime</w:t>
      </w:r>
      <w:r w:rsidRPr="0001174C">
        <w:rPr>
          <w:rFonts w:cs="Times New Roman"/>
          <w:lang w:val="fr-CA"/>
        </w:rPr>
        <w:t xml:space="preserve"> parce qu</w:t>
      </w:r>
      <w:r>
        <w:rPr>
          <w:rFonts w:cs="Times New Roman"/>
          <w:lang w:val="fr-CA"/>
        </w:rPr>
        <w:t>’</w:t>
      </w:r>
      <w:r w:rsidRPr="0001174C">
        <w:rPr>
          <w:rFonts w:cs="Times New Roman"/>
          <w:lang w:val="fr-CA"/>
        </w:rPr>
        <w:t>il avait brûlé son cadavre.</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appelant a d</w:t>
      </w:r>
      <w:r>
        <w:rPr>
          <w:rFonts w:cs="Times New Roman"/>
          <w:lang w:val="fr-CA"/>
        </w:rPr>
        <w:t>’</w:t>
      </w:r>
      <w:r w:rsidRPr="0001174C">
        <w:rPr>
          <w:rFonts w:cs="Times New Roman"/>
          <w:lang w:val="fr-CA"/>
        </w:rPr>
        <w:t>abord offert à Ben de lui montrer l</w:t>
      </w:r>
      <w:r>
        <w:rPr>
          <w:rFonts w:cs="Times New Roman"/>
          <w:lang w:val="fr-CA"/>
        </w:rPr>
        <w:t>’</w:t>
      </w:r>
      <w:r w:rsidRPr="0001174C">
        <w:rPr>
          <w:rFonts w:cs="Times New Roman"/>
          <w:lang w:val="fr-CA"/>
        </w:rPr>
        <w:t>endroit où la dépouille</w:t>
      </w:r>
      <w:r w:rsidR="00DA3A6B">
        <w:rPr>
          <w:rFonts w:cs="Times New Roman"/>
          <w:lang w:val="fr-CA"/>
        </w:rPr>
        <w:t xml:space="preserve">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avait été brûlée, mais il s</w:t>
      </w:r>
      <w:r>
        <w:rPr>
          <w:rFonts w:cs="Times New Roman"/>
          <w:lang w:val="fr-CA"/>
        </w:rPr>
        <w:t>’</w:t>
      </w:r>
      <w:r w:rsidRPr="0001174C">
        <w:rPr>
          <w:rFonts w:cs="Times New Roman"/>
          <w:lang w:val="fr-CA"/>
        </w:rPr>
        <w:t xml:space="preserve">est tout de suite ravisé en disant que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sidRPr="0001174C">
        <w:rPr>
          <w:rFonts w:cs="Times New Roman"/>
          <w:lang w:val="fr-CA"/>
        </w:rPr>
        <w:t>tout</w:t>
      </w:r>
      <w:r w:rsidR="00203E16">
        <w:rPr>
          <w:rFonts w:cs="Times New Roman"/>
          <w:lang w:val="fr-CA"/>
        </w:rPr>
        <w:t> »</w:t>
      </w:r>
      <w:r w:rsidRPr="0001174C">
        <w:rPr>
          <w:rFonts w:cs="Times New Roman"/>
          <w:lang w:val="fr-CA"/>
        </w:rPr>
        <w:t xml:space="preserve"> ce qu</w:t>
      </w:r>
      <w:r>
        <w:rPr>
          <w:rFonts w:cs="Times New Roman"/>
          <w:lang w:val="fr-CA"/>
        </w:rPr>
        <w:t>’</w:t>
      </w:r>
      <w:r w:rsidRPr="0001174C">
        <w:rPr>
          <w:rFonts w:cs="Times New Roman"/>
          <w:lang w:val="fr-CA"/>
        </w:rPr>
        <w:t xml:space="preserve">il venait de dire était </w:t>
      </w:r>
      <w:r>
        <w:rPr>
          <w:rFonts w:cs="Times New Roman"/>
          <w:lang w:val="fr-CA"/>
        </w:rPr>
        <w:t xml:space="preserve">de la </w:t>
      </w:r>
      <w:r w:rsidR="00203E16">
        <w:rPr>
          <w:rFonts w:cs="Times New Roman"/>
          <w:lang w:val="fr-CA"/>
        </w:rPr>
        <w:t>« </w:t>
      </w:r>
      <w:r w:rsidRPr="0001174C">
        <w:rPr>
          <w:rFonts w:cs="Times New Roman"/>
          <w:lang w:val="fr-CA"/>
        </w:rPr>
        <w:t>foutaise</w:t>
      </w:r>
      <w:r w:rsidR="00203E16">
        <w:rPr>
          <w:rFonts w:cs="Times New Roman"/>
          <w:lang w:val="fr-CA"/>
        </w:rPr>
        <w:t> »</w:t>
      </w:r>
      <w:r w:rsidRPr="0001174C">
        <w:rPr>
          <w:rFonts w:cs="Times New Roman"/>
          <w:lang w:val="fr-CA"/>
        </w:rPr>
        <w:t xml:space="preserve"> et qu</w:t>
      </w:r>
      <w:r>
        <w:rPr>
          <w:rFonts w:cs="Times New Roman"/>
          <w:lang w:val="fr-CA"/>
        </w:rPr>
        <w:t>’</w:t>
      </w:r>
      <w:r w:rsidRPr="0001174C">
        <w:rPr>
          <w:rFonts w:cs="Times New Roman"/>
          <w:lang w:val="fr-CA"/>
        </w:rPr>
        <w:t xml:space="preserve">il avait </w:t>
      </w:r>
      <w:r w:rsidR="00203E16">
        <w:rPr>
          <w:rFonts w:cs="Times New Roman"/>
          <w:lang w:val="fr-CA"/>
        </w:rPr>
        <w:t>« </w:t>
      </w:r>
      <w:r w:rsidRPr="0001174C">
        <w:rPr>
          <w:rFonts w:cs="Times New Roman"/>
          <w:lang w:val="fr-CA"/>
        </w:rPr>
        <w:t>menti</w:t>
      </w:r>
      <w:r w:rsidR="00203E16">
        <w:rPr>
          <w:rFonts w:cs="Times New Roman"/>
          <w:lang w:val="fr-CA"/>
        </w:rPr>
        <w:t> »</w:t>
      </w:r>
      <w:r w:rsidRPr="0001174C">
        <w:rPr>
          <w:rFonts w:cs="Times New Roman"/>
          <w:lang w:val="fr-CA"/>
        </w:rPr>
        <w:t>. Ben a répondu qu</w:t>
      </w:r>
      <w:r>
        <w:rPr>
          <w:rFonts w:cs="Times New Roman"/>
          <w:lang w:val="fr-CA"/>
        </w:rPr>
        <w:t>’</w:t>
      </w:r>
      <w:r w:rsidRPr="0001174C">
        <w:rPr>
          <w:rFonts w:cs="Times New Roman"/>
          <w:lang w:val="fr-CA"/>
        </w:rPr>
        <w:t xml:space="preserve">il </w:t>
      </w:r>
      <w:r w:rsidR="00203E16">
        <w:rPr>
          <w:rFonts w:cs="Times New Roman"/>
          <w:lang w:val="fr-CA"/>
        </w:rPr>
        <w:t>« </w:t>
      </w:r>
      <w:r>
        <w:rPr>
          <w:rFonts w:cs="Times New Roman"/>
          <w:lang w:val="fr-CA"/>
        </w:rPr>
        <w:t>espér</w:t>
      </w:r>
      <w:r w:rsidRPr="0001174C">
        <w:rPr>
          <w:rFonts w:cs="Times New Roman"/>
          <w:lang w:val="fr-CA"/>
        </w:rPr>
        <w:t xml:space="preserve">[ait] </w:t>
      </w:r>
      <w:r>
        <w:rPr>
          <w:rFonts w:cs="Times New Roman"/>
          <w:lang w:val="fr-CA"/>
        </w:rPr>
        <w:t>vive</w:t>
      </w:r>
      <w:r w:rsidRPr="0001174C">
        <w:rPr>
          <w:rFonts w:cs="Times New Roman"/>
          <w:lang w:val="fr-CA"/>
        </w:rPr>
        <w:t>ment</w:t>
      </w:r>
      <w:r w:rsidR="00203E16">
        <w:rPr>
          <w:rFonts w:cs="Times New Roman"/>
          <w:lang w:val="fr-CA"/>
        </w:rPr>
        <w:t> »</w:t>
      </w:r>
      <w:r w:rsidRPr="0001174C">
        <w:rPr>
          <w:rFonts w:cs="Times New Roman"/>
          <w:lang w:val="fr-CA"/>
        </w:rPr>
        <w:t xml:space="preserve"> qu</w:t>
      </w:r>
      <w:r>
        <w:rPr>
          <w:rFonts w:cs="Times New Roman"/>
          <w:lang w:val="fr-CA"/>
        </w:rPr>
        <w:t>’il ait</w:t>
      </w:r>
      <w:r w:rsidRPr="0001174C">
        <w:rPr>
          <w:rFonts w:cs="Times New Roman"/>
          <w:lang w:val="fr-CA"/>
        </w:rPr>
        <w:t xml:space="preserve"> dit la vérité. </w:t>
      </w:r>
      <w:r>
        <w:rPr>
          <w:rFonts w:cs="Times New Roman"/>
          <w:lang w:val="fr-CA"/>
        </w:rPr>
        <w:t>L’</w:t>
      </w:r>
      <w:r w:rsidRPr="0001174C">
        <w:rPr>
          <w:rFonts w:cs="Times New Roman"/>
          <w:lang w:val="fr-CA"/>
        </w:rPr>
        <w:t xml:space="preserve">appelant a </w:t>
      </w:r>
      <w:r>
        <w:rPr>
          <w:rFonts w:cs="Times New Roman"/>
          <w:lang w:val="fr-CA"/>
        </w:rPr>
        <w:t xml:space="preserve">alors </w:t>
      </w:r>
      <w:r w:rsidRPr="0001174C">
        <w:rPr>
          <w:rFonts w:cs="Times New Roman"/>
          <w:lang w:val="fr-CA"/>
        </w:rPr>
        <w:t>changé d</w:t>
      </w:r>
      <w:r>
        <w:rPr>
          <w:rFonts w:cs="Times New Roman"/>
          <w:lang w:val="fr-CA"/>
        </w:rPr>
        <w:t>’</w:t>
      </w:r>
      <w:r w:rsidRPr="0001174C">
        <w:rPr>
          <w:rFonts w:cs="Times New Roman"/>
          <w:lang w:val="fr-CA"/>
        </w:rPr>
        <w:t xml:space="preserve">idée et conduit Ben à un foyer </w:t>
      </w:r>
      <w:r>
        <w:rPr>
          <w:rFonts w:cs="Times New Roman"/>
          <w:lang w:val="fr-CA"/>
        </w:rPr>
        <w:t>en plein air sur l</w:t>
      </w:r>
      <w:r w:rsidRPr="0001174C">
        <w:rPr>
          <w:rFonts w:cs="Times New Roman"/>
          <w:lang w:val="fr-CA"/>
        </w:rPr>
        <w:t xml:space="preserve">a propriété de son père. </w:t>
      </w:r>
      <w:r>
        <w:rPr>
          <w:rFonts w:cs="Times New Roman"/>
          <w:lang w:val="fr-CA"/>
        </w:rPr>
        <w:t>Il</w:t>
      </w:r>
      <w:r w:rsidRPr="0001174C">
        <w:rPr>
          <w:rFonts w:cs="Times New Roman"/>
          <w:lang w:val="fr-CA"/>
        </w:rPr>
        <w:t xml:space="preserve"> a expliqué à Ben qu</w:t>
      </w:r>
      <w:r>
        <w:rPr>
          <w:rFonts w:cs="Times New Roman"/>
          <w:lang w:val="fr-CA"/>
        </w:rPr>
        <w:t>’</w:t>
      </w:r>
      <w:r w:rsidRPr="0001174C">
        <w:rPr>
          <w:rFonts w:cs="Times New Roman"/>
          <w:lang w:val="fr-CA"/>
        </w:rPr>
        <w:t xml:space="preserve">il </w:t>
      </w:r>
      <w:r>
        <w:rPr>
          <w:rFonts w:cs="Times New Roman"/>
          <w:lang w:val="fr-CA"/>
        </w:rPr>
        <w:t xml:space="preserve">en </w:t>
      </w:r>
      <w:r w:rsidRPr="0001174C">
        <w:rPr>
          <w:rFonts w:cs="Times New Roman"/>
          <w:lang w:val="fr-CA"/>
        </w:rPr>
        <w:t xml:space="preserve">avait </w:t>
      </w:r>
      <w:r>
        <w:rPr>
          <w:rFonts w:cs="Times New Roman"/>
          <w:lang w:val="fr-CA"/>
        </w:rPr>
        <w:t>retir</w:t>
      </w:r>
      <w:r w:rsidRPr="0001174C">
        <w:rPr>
          <w:rFonts w:cs="Times New Roman"/>
          <w:lang w:val="fr-CA"/>
        </w:rPr>
        <w:t>é les cendres et qu</w:t>
      </w:r>
      <w:r>
        <w:rPr>
          <w:rFonts w:cs="Times New Roman"/>
          <w:lang w:val="fr-CA"/>
        </w:rPr>
        <w:t>’</w:t>
      </w:r>
      <w:r w:rsidRPr="0001174C">
        <w:rPr>
          <w:rFonts w:cs="Times New Roman"/>
          <w:lang w:val="fr-CA"/>
        </w:rPr>
        <w:t xml:space="preserve">il ne </w:t>
      </w:r>
      <w:r w:rsidR="00203E16">
        <w:rPr>
          <w:rFonts w:cs="Times New Roman"/>
          <w:lang w:val="fr-CA"/>
        </w:rPr>
        <w:t>« </w:t>
      </w:r>
      <w:r w:rsidRPr="0001174C">
        <w:rPr>
          <w:rFonts w:cs="Times New Roman"/>
          <w:lang w:val="fr-CA"/>
        </w:rPr>
        <w:t>rest[ait] plus rien</w:t>
      </w:r>
      <w:r w:rsidR="00203E16">
        <w:rPr>
          <w:rFonts w:cs="Times New Roman"/>
          <w:lang w:val="fr-CA"/>
        </w:rPr>
        <w:t> »</w:t>
      </w:r>
      <w:r w:rsidRPr="0001174C">
        <w:rPr>
          <w:rFonts w:cs="Times New Roman"/>
          <w:lang w:val="fr-CA"/>
        </w:rPr>
        <w:t xml:space="preserve">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Quelques jours plus tard, l</w:t>
      </w:r>
      <w:r>
        <w:rPr>
          <w:rFonts w:cs="Times New Roman"/>
          <w:lang w:val="fr-CA"/>
        </w:rPr>
        <w:t>’</w:t>
      </w:r>
      <w:r w:rsidRPr="0001174C">
        <w:rPr>
          <w:rFonts w:cs="Times New Roman"/>
          <w:lang w:val="fr-CA"/>
        </w:rPr>
        <w:t>appelant s</w:t>
      </w:r>
      <w:r>
        <w:rPr>
          <w:rFonts w:cs="Times New Roman"/>
          <w:lang w:val="fr-CA"/>
        </w:rPr>
        <w:t>’</w:t>
      </w:r>
      <w:r w:rsidRPr="0001174C">
        <w:rPr>
          <w:rFonts w:cs="Times New Roman"/>
          <w:lang w:val="fr-CA"/>
        </w:rPr>
        <w:t xml:space="preserve">est rendu </w:t>
      </w:r>
      <w:r>
        <w:rPr>
          <w:rFonts w:cs="Times New Roman"/>
          <w:lang w:val="fr-CA"/>
        </w:rPr>
        <w:t>en</w:t>
      </w:r>
      <w:r w:rsidRPr="0001174C">
        <w:rPr>
          <w:rFonts w:cs="Times New Roman"/>
          <w:lang w:val="fr-CA"/>
        </w:rPr>
        <w:t xml:space="preserve"> avion à Edmonton pour une seconde rencontre avec Liam</w:t>
      </w:r>
      <w:r>
        <w:rPr>
          <w:rFonts w:cs="Times New Roman"/>
          <w:lang w:val="fr-CA"/>
        </w:rPr>
        <w:t xml:space="preserve"> qui</w:t>
      </w:r>
      <w:r w:rsidRPr="0001174C">
        <w:rPr>
          <w:rFonts w:cs="Times New Roman"/>
          <w:lang w:val="fr-CA"/>
        </w:rPr>
        <w:t xml:space="preserve"> a eu lieu le 15</w:t>
      </w:r>
      <w:r w:rsidR="00203E16">
        <w:rPr>
          <w:rFonts w:cs="Times New Roman"/>
          <w:lang w:val="fr-CA"/>
        </w:rPr>
        <w:t xml:space="preserve"> </w:t>
      </w:r>
      <w:r w:rsidRPr="0001174C">
        <w:rPr>
          <w:rFonts w:cs="Times New Roman"/>
          <w:lang w:val="fr-CA"/>
        </w:rPr>
        <w:t>avril</w:t>
      </w:r>
      <w:r>
        <w:rPr>
          <w:rFonts w:cs="Times New Roman"/>
          <w:lang w:val="fr-CA"/>
        </w:rPr>
        <w:t xml:space="preserve"> </w:t>
      </w:r>
      <w:r w:rsidRPr="0001174C">
        <w:rPr>
          <w:rFonts w:cs="Times New Roman"/>
          <w:lang w:val="fr-CA"/>
        </w:rPr>
        <w:t>2004. D</w:t>
      </w:r>
      <w:r>
        <w:rPr>
          <w:rFonts w:cs="Times New Roman"/>
          <w:lang w:val="fr-CA"/>
        </w:rPr>
        <w:t>’</w:t>
      </w:r>
      <w:r w:rsidRPr="0001174C">
        <w:rPr>
          <w:rFonts w:cs="Times New Roman"/>
          <w:lang w:val="fr-CA"/>
        </w:rPr>
        <w:t>entrée d</w:t>
      </w:r>
      <w:r>
        <w:rPr>
          <w:rFonts w:cs="Times New Roman"/>
          <w:lang w:val="fr-CA"/>
        </w:rPr>
        <w:t>e jeu, l’appelant a dit de M.</w:t>
      </w:r>
      <w:r w:rsidR="00203E16">
        <w:rPr>
          <w:rFonts w:cs="Times New Roman"/>
          <w:lang w:val="fr-CA"/>
        </w:rPr>
        <w:t xml:space="preserve"> </w:t>
      </w:r>
      <w:r>
        <w:rPr>
          <w:rFonts w:cs="Times New Roman"/>
          <w:lang w:val="fr-CA"/>
        </w:rPr>
        <w:t>Levoir que c’était un</w:t>
      </w:r>
      <w:r w:rsidRPr="0001174C">
        <w:rPr>
          <w:rFonts w:cs="Times New Roman"/>
          <w:lang w:val="fr-CA"/>
        </w:rPr>
        <w:t xml:space="preserve">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Pr>
          <w:rFonts w:cs="Times New Roman"/>
          <w:lang w:val="fr-CA"/>
        </w:rPr>
        <w:t>accro du crack</w:t>
      </w:r>
      <w:r w:rsidR="00203E16">
        <w:rPr>
          <w:rFonts w:cs="Times New Roman"/>
          <w:lang w:val="fr-CA"/>
        </w:rPr>
        <w:t> »</w:t>
      </w:r>
      <w:r w:rsidRPr="0001174C">
        <w:rPr>
          <w:rFonts w:cs="Times New Roman"/>
          <w:lang w:val="fr-CA"/>
        </w:rPr>
        <w:t xml:space="preserve"> et </w:t>
      </w:r>
      <w:r>
        <w:rPr>
          <w:rFonts w:cs="Times New Roman"/>
          <w:lang w:val="fr-CA"/>
        </w:rPr>
        <w:t xml:space="preserve">il </w:t>
      </w:r>
      <w:r w:rsidRPr="0001174C">
        <w:rPr>
          <w:rFonts w:cs="Times New Roman"/>
          <w:lang w:val="fr-CA"/>
        </w:rPr>
        <w:t>l</w:t>
      </w:r>
      <w:r>
        <w:rPr>
          <w:rFonts w:cs="Times New Roman"/>
          <w:lang w:val="fr-CA"/>
        </w:rPr>
        <w:t>’</w:t>
      </w:r>
      <w:r w:rsidRPr="0001174C">
        <w:rPr>
          <w:rFonts w:cs="Times New Roman"/>
          <w:lang w:val="fr-CA"/>
        </w:rPr>
        <w:t>a accusé d</w:t>
      </w:r>
      <w:r>
        <w:rPr>
          <w:rFonts w:cs="Times New Roman"/>
          <w:lang w:val="fr-CA"/>
        </w:rPr>
        <w:t>’</w:t>
      </w:r>
      <w:r w:rsidRPr="0001174C">
        <w:rPr>
          <w:rFonts w:cs="Times New Roman"/>
          <w:lang w:val="fr-CA"/>
        </w:rPr>
        <w:t>avoir volé de l</w:t>
      </w:r>
      <w:r>
        <w:rPr>
          <w:rFonts w:cs="Times New Roman"/>
          <w:lang w:val="fr-CA"/>
        </w:rPr>
        <w:t>’</w:t>
      </w:r>
      <w:r w:rsidRPr="0001174C">
        <w:rPr>
          <w:rFonts w:cs="Times New Roman"/>
          <w:lang w:val="fr-CA"/>
        </w:rPr>
        <w:t>argent dans la tirelir</w:t>
      </w:r>
      <w:r>
        <w:rPr>
          <w:rFonts w:cs="Times New Roman"/>
          <w:lang w:val="fr-CA"/>
        </w:rPr>
        <w:t>e de son fils</w:t>
      </w:r>
      <w:r w:rsidRPr="0001174C">
        <w:rPr>
          <w:rFonts w:cs="Times New Roman"/>
          <w:lang w:val="fr-CA"/>
        </w:rPr>
        <w:t xml:space="preserve">. Interrogé par Liam </w:t>
      </w:r>
      <w:r>
        <w:rPr>
          <w:rFonts w:cs="Times New Roman"/>
          <w:lang w:val="fr-CA"/>
        </w:rPr>
        <w:t>sur</w:t>
      </w:r>
      <w:r w:rsidRPr="0001174C">
        <w:rPr>
          <w:rFonts w:cs="Times New Roman"/>
          <w:lang w:val="fr-CA"/>
        </w:rPr>
        <w:t xml:space="preserve"> la façon dont il avait tué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l</w:t>
      </w:r>
      <w:r>
        <w:rPr>
          <w:rFonts w:cs="Times New Roman"/>
          <w:lang w:val="fr-CA"/>
        </w:rPr>
        <w:t>’</w:t>
      </w:r>
      <w:r w:rsidRPr="0001174C">
        <w:rPr>
          <w:rFonts w:cs="Times New Roman"/>
          <w:lang w:val="fr-CA"/>
        </w:rPr>
        <w:t>appelant a répondu qu</w:t>
      </w:r>
      <w:r>
        <w:rPr>
          <w:rFonts w:cs="Times New Roman"/>
          <w:lang w:val="fr-CA"/>
        </w:rPr>
        <w:t>’</w:t>
      </w:r>
      <w:r w:rsidRPr="0001174C">
        <w:rPr>
          <w:rFonts w:cs="Times New Roman"/>
          <w:lang w:val="fr-CA"/>
        </w:rPr>
        <w:t>il s</w:t>
      </w:r>
      <w:r>
        <w:rPr>
          <w:rFonts w:cs="Times New Roman"/>
          <w:lang w:val="fr-CA"/>
        </w:rPr>
        <w:t>’</w:t>
      </w:r>
      <w:r w:rsidRPr="0001174C">
        <w:rPr>
          <w:rFonts w:cs="Times New Roman"/>
          <w:lang w:val="fr-CA"/>
        </w:rPr>
        <w:t>était servi d</w:t>
      </w:r>
      <w:r>
        <w:rPr>
          <w:rFonts w:cs="Times New Roman"/>
          <w:lang w:val="fr-CA"/>
        </w:rPr>
        <w:t>’</w:t>
      </w:r>
      <w:r w:rsidRPr="0001174C">
        <w:rPr>
          <w:rFonts w:cs="Times New Roman"/>
          <w:lang w:val="fr-CA"/>
        </w:rPr>
        <w:t>une carabine</w:t>
      </w:r>
      <w:r w:rsidR="00203E16">
        <w:rPr>
          <w:rFonts w:cs="Times New Roman"/>
          <w:lang w:val="fr-CA"/>
        </w:rPr>
        <w:t xml:space="preserve"> </w:t>
      </w:r>
      <w:r w:rsidRPr="0001174C">
        <w:rPr>
          <w:rFonts w:cs="Times New Roman"/>
          <w:lang w:val="fr-CA"/>
        </w:rPr>
        <w:t>de calibre</w:t>
      </w:r>
      <w:r w:rsidR="00203E16">
        <w:rPr>
          <w:rFonts w:cs="Times New Roman"/>
          <w:lang w:val="fr-CA"/>
        </w:rPr>
        <w:t xml:space="preserve"> </w:t>
      </w:r>
      <w:r w:rsidRPr="0001174C">
        <w:rPr>
          <w:rFonts w:cs="Times New Roman"/>
          <w:lang w:val="fr-CA"/>
        </w:rPr>
        <w:t>.223 pour l</w:t>
      </w:r>
      <w:r>
        <w:rPr>
          <w:rFonts w:cs="Times New Roman"/>
          <w:lang w:val="fr-CA"/>
        </w:rPr>
        <w:t>’</w:t>
      </w:r>
      <w:r w:rsidRPr="0001174C">
        <w:rPr>
          <w:rFonts w:cs="Times New Roman"/>
          <w:lang w:val="fr-CA"/>
        </w:rPr>
        <w:t>abattre de cinq balles</w:t>
      </w:r>
      <w:r>
        <w:rPr>
          <w:rFonts w:cs="Times New Roman"/>
          <w:lang w:val="fr-CA"/>
        </w:rPr>
        <w:t xml:space="preserve">, </w:t>
      </w:r>
      <w:r w:rsidRPr="0001174C">
        <w:rPr>
          <w:rFonts w:cs="Times New Roman"/>
          <w:lang w:val="fr-CA"/>
        </w:rPr>
        <w:t>quatre à la poitrine et une au dos. Il a ajouté qu</w:t>
      </w:r>
      <w:r>
        <w:rPr>
          <w:rFonts w:cs="Times New Roman"/>
          <w:lang w:val="fr-CA"/>
        </w:rPr>
        <w:t>’</w:t>
      </w:r>
      <w:r w:rsidRPr="0001174C">
        <w:rPr>
          <w:rFonts w:cs="Times New Roman"/>
          <w:lang w:val="fr-CA"/>
        </w:rPr>
        <w:t xml:space="preserve">on avait fait </w:t>
      </w:r>
      <w:r w:rsidR="00203E16">
        <w:rPr>
          <w:rFonts w:cs="Times New Roman"/>
          <w:lang w:val="fr-CA"/>
        </w:rPr>
        <w:t>« </w:t>
      </w:r>
      <w:r w:rsidRPr="0001174C">
        <w:rPr>
          <w:rFonts w:cs="Times New Roman"/>
          <w:lang w:val="fr-CA"/>
        </w:rPr>
        <w:t>un grand feu</w:t>
      </w:r>
      <w:r w:rsidR="00203E16">
        <w:rPr>
          <w:rFonts w:cs="Times New Roman"/>
          <w:lang w:val="fr-CA"/>
        </w:rPr>
        <w:t> »</w:t>
      </w:r>
      <w:r w:rsidRPr="0001174C">
        <w:rPr>
          <w:rFonts w:cs="Times New Roman"/>
          <w:lang w:val="fr-CA"/>
        </w:rPr>
        <w:t xml:space="preserve"> chez son père et qu</w:t>
      </w:r>
      <w:r>
        <w:rPr>
          <w:rFonts w:cs="Times New Roman"/>
          <w:lang w:val="fr-CA"/>
        </w:rPr>
        <w:t>’</w:t>
      </w:r>
      <w:r w:rsidRPr="0001174C">
        <w:rPr>
          <w:rFonts w:cs="Times New Roman"/>
          <w:lang w:val="fr-CA"/>
        </w:rPr>
        <w:t xml:space="preserve">il ne </w:t>
      </w:r>
      <w:r w:rsidR="00203E16">
        <w:rPr>
          <w:rFonts w:cs="Times New Roman"/>
          <w:lang w:val="fr-CA"/>
        </w:rPr>
        <w:t>« </w:t>
      </w:r>
      <w:r w:rsidRPr="0001174C">
        <w:rPr>
          <w:rFonts w:cs="Times New Roman"/>
          <w:lang w:val="fr-CA"/>
        </w:rPr>
        <w:t>rest[ait] plus rien</w:t>
      </w:r>
      <w:r w:rsidR="00203E16">
        <w:rPr>
          <w:rFonts w:cs="Times New Roman"/>
          <w:lang w:val="fr-CA"/>
        </w:rPr>
        <w:t> »</w:t>
      </w:r>
      <w:r w:rsidRPr="0001174C">
        <w:rPr>
          <w:rFonts w:cs="Times New Roman"/>
          <w:lang w:val="fr-CA"/>
        </w:rPr>
        <w:t xml:space="preserve">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w:t>
      </w:r>
      <w:r>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lastRenderedPageBreak/>
        <w:t>L</w:t>
      </w:r>
      <w:r>
        <w:rPr>
          <w:rFonts w:cs="Times New Roman"/>
          <w:lang w:val="fr-CA"/>
        </w:rPr>
        <w:t>a semaine suivante, le 21</w:t>
      </w:r>
      <w:r w:rsidR="00203E16">
        <w:rPr>
          <w:rFonts w:cs="Times New Roman"/>
          <w:lang w:val="fr-CA"/>
        </w:rPr>
        <w:t xml:space="preserve"> </w:t>
      </w:r>
      <w:r>
        <w:rPr>
          <w:rFonts w:cs="Times New Roman"/>
          <w:lang w:val="fr-CA"/>
        </w:rPr>
        <w:t xml:space="preserve">avril </w:t>
      </w:r>
      <w:r w:rsidRPr="0001174C">
        <w:rPr>
          <w:rFonts w:cs="Times New Roman"/>
          <w:lang w:val="fr-CA"/>
        </w:rPr>
        <w:t>2004, l</w:t>
      </w:r>
      <w:r>
        <w:rPr>
          <w:rFonts w:cs="Times New Roman"/>
          <w:lang w:val="fr-CA"/>
        </w:rPr>
        <w:t>’</w:t>
      </w:r>
      <w:r w:rsidRPr="0001174C">
        <w:rPr>
          <w:rFonts w:cs="Times New Roman"/>
          <w:lang w:val="fr-CA"/>
        </w:rPr>
        <w:t xml:space="preserve">appelant a été arrêté et accusé de meurtre au premier degré. La police a effectué une perquisition chez </w:t>
      </w:r>
      <w:r>
        <w:rPr>
          <w:rFonts w:cs="Times New Roman"/>
          <w:lang w:val="fr-CA"/>
        </w:rPr>
        <w:t>son</w:t>
      </w:r>
      <w:r w:rsidRPr="0001174C">
        <w:rPr>
          <w:rFonts w:cs="Times New Roman"/>
          <w:lang w:val="fr-CA"/>
        </w:rPr>
        <w:t xml:space="preserve"> père</w:t>
      </w:r>
      <w:r>
        <w:rPr>
          <w:rFonts w:cs="Times New Roman"/>
          <w:lang w:val="fr-CA"/>
        </w:rPr>
        <w:t>, et</w:t>
      </w:r>
      <w:r w:rsidRPr="0001174C">
        <w:rPr>
          <w:rFonts w:cs="Times New Roman"/>
          <w:lang w:val="fr-CA"/>
        </w:rPr>
        <w:t xml:space="preserve"> les restes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ont été retrouvés là où</w:t>
      </w:r>
      <w:r w:rsidRPr="0001174C">
        <w:rPr>
          <w:rFonts w:cs="Times New Roman"/>
          <w:lang w:val="fr-CA"/>
        </w:rPr>
        <w:t xml:space="preserve"> l</w:t>
      </w:r>
      <w:r>
        <w:rPr>
          <w:rFonts w:cs="Times New Roman"/>
          <w:lang w:val="fr-CA"/>
        </w:rPr>
        <w:t>’</w:t>
      </w:r>
      <w:r w:rsidRPr="0001174C">
        <w:rPr>
          <w:rFonts w:cs="Times New Roman"/>
          <w:lang w:val="fr-CA"/>
        </w:rPr>
        <w:t xml:space="preserve">appelant avait </w:t>
      </w:r>
      <w:r>
        <w:rPr>
          <w:rFonts w:cs="Times New Roman"/>
          <w:lang w:val="fr-CA"/>
        </w:rPr>
        <w:t xml:space="preserve">dit </w:t>
      </w:r>
      <w:r w:rsidRPr="0001174C">
        <w:rPr>
          <w:rFonts w:cs="Times New Roman"/>
          <w:lang w:val="fr-CA"/>
        </w:rPr>
        <w:t>à Ben</w:t>
      </w:r>
      <w:r>
        <w:rPr>
          <w:rFonts w:cs="Times New Roman"/>
          <w:lang w:val="fr-CA"/>
        </w:rPr>
        <w:t xml:space="preserve"> avoir fait un feu</w:t>
      </w:r>
      <w:r w:rsidRPr="0001174C">
        <w:rPr>
          <w:rFonts w:cs="Times New Roman"/>
          <w:lang w:val="fr-CA"/>
        </w:rPr>
        <w:t>. Des doui</w:t>
      </w:r>
      <w:r>
        <w:rPr>
          <w:rFonts w:cs="Times New Roman"/>
          <w:lang w:val="fr-CA"/>
        </w:rPr>
        <w:t xml:space="preserve">lles provenant de la carabine </w:t>
      </w:r>
      <w:r w:rsidRPr="0001174C">
        <w:rPr>
          <w:rFonts w:cs="Times New Roman"/>
          <w:lang w:val="fr-CA"/>
        </w:rPr>
        <w:t>trouvée dans l</w:t>
      </w:r>
      <w:r>
        <w:rPr>
          <w:rFonts w:cs="Times New Roman"/>
          <w:lang w:val="fr-CA"/>
        </w:rPr>
        <w:t>’</w:t>
      </w:r>
      <w:r w:rsidRPr="0001174C">
        <w:rPr>
          <w:rFonts w:cs="Times New Roman"/>
          <w:lang w:val="fr-CA"/>
        </w:rPr>
        <w:t>appartement de l</w:t>
      </w:r>
      <w:r>
        <w:rPr>
          <w:rFonts w:cs="Times New Roman"/>
          <w:lang w:val="fr-CA"/>
        </w:rPr>
        <w:t>’</w:t>
      </w:r>
      <w:r w:rsidRPr="0001174C">
        <w:rPr>
          <w:rFonts w:cs="Times New Roman"/>
          <w:lang w:val="fr-CA"/>
        </w:rPr>
        <w:t>appelant</w:t>
      </w:r>
      <w:r>
        <w:rPr>
          <w:rFonts w:cs="Times New Roman"/>
          <w:lang w:val="fr-CA"/>
        </w:rPr>
        <w:t xml:space="preserve"> y</w:t>
      </w:r>
      <w:r w:rsidRPr="0001174C">
        <w:rPr>
          <w:rFonts w:cs="Times New Roman"/>
          <w:lang w:val="fr-CA"/>
        </w:rPr>
        <w:t xml:space="preserve"> ont également été découvertes. </w:t>
      </w:r>
    </w:p>
    <w:p w:rsidR="00AF2876" w:rsidRPr="0001174C" w:rsidRDefault="00AF2876" w:rsidP="00AF2876">
      <w:pPr>
        <w:pStyle w:val="ParaNoNdepar-AltN"/>
        <w:rPr>
          <w:rFonts w:cs="Times New Roman"/>
          <w:lang w:val="fr-CA"/>
        </w:rPr>
      </w:pPr>
      <w:r w:rsidRPr="0001174C">
        <w:rPr>
          <w:rFonts w:cs="Times New Roman"/>
          <w:lang w:val="fr-CA"/>
        </w:rPr>
        <w:t xml:space="preserve">Au moment de </w:t>
      </w:r>
      <w:r>
        <w:rPr>
          <w:rFonts w:cs="Times New Roman"/>
          <w:lang w:val="fr-CA"/>
        </w:rPr>
        <w:t>l’</w:t>
      </w:r>
      <w:r w:rsidRPr="0001174C">
        <w:rPr>
          <w:rFonts w:cs="Times New Roman"/>
          <w:lang w:val="fr-CA"/>
        </w:rPr>
        <w:t>arrestation, l</w:t>
      </w:r>
      <w:r>
        <w:rPr>
          <w:rFonts w:cs="Times New Roman"/>
          <w:lang w:val="fr-CA"/>
        </w:rPr>
        <w:t>’</w:t>
      </w:r>
      <w:r w:rsidRPr="0001174C">
        <w:rPr>
          <w:rFonts w:cs="Times New Roman"/>
          <w:lang w:val="fr-CA"/>
        </w:rPr>
        <w:t>opér</w:t>
      </w:r>
      <w:r>
        <w:rPr>
          <w:rFonts w:cs="Times New Roman"/>
          <w:lang w:val="fr-CA"/>
        </w:rPr>
        <w:t>ation Monsieur</w:t>
      </w:r>
      <w:r w:rsidR="00203E16">
        <w:rPr>
          <w:rFonts w:cs="Times New Roman"/>
          <w:lang w:val="fr-CA"/>
        </w:rPr>
        <w:t xml:space="preserve"> </w:t>
      </w:r>
      <w:r>
        <w:rPr>
          <w:rFonts w:cs="Times New Roman"/>
          <w:lang w:val="fr-CA"/>
        </w:rPr>
        <w:t>Big avait duré</w:t>
      </w:r>
      <w:r w:rsidRPr="0001174C">
        <w:rPr>
          <w:rFonts w:cs="Times New Roman"/>
          <w:lang w:val="fr-CA"/>
        </w:rPr>
        <w:t xml:space="preserve"> quatre mois et l</w:t>
      </w:r>
      <w:r>
        <w:rPr>
          <w:rFonts w:cs="Times New Roman"/>
          <w:lang w:val="fr-CA"/>
        </w:rPr>
        <w:t>’</w:t>
      </w:r>
      <w:r w:rsidRPr="0001174C">
        <w:rPr>
          <w:rFonts w:cs="Times New Roman"/>
          <w:lang w:val="fr-CA"/>
        </w:rPr>
        <w:t xml:space="preserve">appelant avait </w:t>
      </w:r>
      <w:r>
        <w:rPr>
          <w:rFonts w:cs="Times New Roman"/>
          <w:lang w:val="fr-CA"/>
        </w:rPr>
        <w:t xml:space="preserve">participé à 30 </w:t>
      </w:r>
      <w:r w:rsidR="00203E16">
        <w:rPr>
          <w:rFonts w:cs="Times New Roman"/>
          <w:lang w:val="fr-CA"/>
        </w:rPr>
        <w:t>« </w:t>
      </w:r>
      <w:r w:rsidRPr="0001174C">
        <w:rPr>
          <w:rFonts w:cs="Times New Roman"/>
          <w:lang w:val="fr-CA"/>
        </w:rPr>
        <w:t>scénarios</w:t>
      </w:r>
      <w:r w:rsidR="00203E16">
        <w:rPr>
          <w:rFonts w:cs="Times New Roman"/>
          <w:lang w:val="fr-CA"/>
        </w:rPr>
        <w:t> »</w:t>
      </w:r>
      <w:r w:rsidRPr="0001174C">
        <w:rPr>
          <w:rFonts w:cs="Times New Roman"/>
          <w:lang w:val="fr-CA"/>
        </w:rPr>
        <w:t xml:space="preserve"> avec des agents </w:t>
      </w:r>
      <w:r>
        <w:rPr>
          <w:rFonts w:cs="Times New Roman"/>
          <w:lang w:val="fr-CA"/>
        </w:rPr>
        <w:t>banalisés</w:t>
      </w:r>
      <w:r w:rsidRPr="0001174C">
        <w:rPr>
          <w:rFonts w:cs="Times New Roman"/>
          <w:lang w:val="fr-CA"/>
        </w:rPr>
        <w:t xml:space="preserve">. </w:t>
      </w:r>
      <w:r>
        <w:rPr>
          <w:rFonts w:cs="Times New Roman"/>
          <w:lang w:val="fr-CA"/>
        </w:rPr>
        <w:t xml:space="preserve">L’organisation avait versé à l’appelant une rémunération </w:t>
      </w:r>
      <w:r w:rsidRPr="008D41E0">
        <w:rPr>
          <w:rFonts w:cs="Times New Roman"/>
          <w:lang w:val="fr-CA"/>
        </w:rPr>
        <w:t>d’environ 5000</w:t>
      </w:r>
      <w:r w:rsidR="00203E16">
        <w:rPr>
          <w:rFonts w:cs="Times New Roman"/>
          <w:lang w:val="fr-CA"/>
        </w:rPr>
        <w:t xml:space="preserve"> </w:t>
      </w:r>
      <w:r>
        <w:rPr>
          <w:rFonts w:cs="Times New Roman"/>
          <w:lang w:val="fr-CA"/>
        </w:rPr>
        <w:t>$ et l’</w:t>
      </w:r>
      <w:r w:rsidRPr="0001174C">
        <w:rPr>
          <w:rFonts w:cs="Times New Roman"/>
          <w:lang w:val="fr-CA"/>
        </w:rPr>
        <w:t xml:space="preserve">avait remboursé de ses dépenses. </w:t>
      </w:r>
    </w:p>
    <w:p w:rsidR="00AF2876" w:rsidRPr="0001174C" w:rsidRDefault="00AF2876" w:rsidP="00AF2876">
      <w:pPr>
        <w:pStyle w:val="Title2LevelTitre2Niveau"/>
        <w:ind w:left="576" w:hanging="576"/>
        <w:rPr>
          <w:rFonts w:cs="Times New Roman"/>
          <w:lang w:val="fr-CA"/>
        </w:rPr>
      </w:pPr>
      <w:r>
        <w:rPr>
          <w:rFonts w:cs="Times New Roman"/>
          <w:lang w:val="fr-CA"/>
        </w:rPr>
        <w:t>Le t</w:t>
      </w:r>
      <w:r w:rsidRPr="0001174C">
        <w:rPr>
          <w:rFonts w:cs="Times New Roman"/>
          <w:lang w:val="fr-CA"/>
        </w:rPr>
        <w:t xml:space="preserve">émoignage de Jay Love </w:t>
      </w:r>
    </w:p>
    <w:p w:rsidR="00AF2876" w:rsidRPr="001D0501" w:rsidRDefault="00AF2876" w:rsidP="00AF2876">
      <w:pPr>
        <w:pStyle w:val="ParaNoNdepar-AltN"/>
        <w:rPr>
          <w:rFonts w:cs="Times New Roman"/>
          <w:lang w:val="fr-CA"/>
        </w:rPr>
      </w:pPr>
      <w:r>
        <w:rPr>
          <w:rFonts w:cs="Times New Roman"/>
          <w:lang w:val="fr-CA"/>
        </w:rPr>
        <w:t xml:space="preserve">L’homme qui </w:t>
      </w:r>
      <w:r w:rsidRPr="0001174C">
        <w:rPr>
          <w:rFonts w:cs="Times New Roman"/>
          <w:lang w:val="fr-CA"/>
        </w:rPr>
        <w:t xml:space="preserve">a </w:t>
      </w:r>
      <w:r>
        <w:rPr>
          <w:rFonts w:cs="Times New Roman"/>
          <w:lang w:val="fr-CA"/>
        </w:rPr>
        <w:t xml:space="preserve">d’abord </w:t>
      </w:r>
      <w:r w:rsidRPr="0001174C">
        <w:rPr>
          <w:rFonts w:cs="Times New Roman"/>
          <w:lang w:val="fr-CA"/>
        </w:rPr>
        <w:t>attiré l</w:t>
      </w:r>
      <w:r>
        <w:rPr>
          <w:rFonts w:cs="Times New Roman"/>
          <w:lang w:val="fr-CA"/>
        </w:rPr>
        <w:t>’</w:t>
      </w:r>
      <w:r w:rsidRPr="0001174C">
        <w:rPr>
          <w:rFonts w:cs="Times New Roman"/>
          <w:lang w:val="fr-CA"/>
        </w:rPr>
        <w:t>attention de la police sur l</w:t>
      </w:r>
      <w:r>
        <w:rPr>
          <w:rFonts w:cs="Times New Roman"/>
          <w:lang w:val="fr-CA"/>
        </w:rPr>
        <w:t>’</w:t>
      </w:r>
      <w:r w:rsidRPr="0001174C">
        <w:rPr>
          <w:rFonts w:cs="Times New Roman"/>
          <w:lang w:val="fr-CA"/>
        </w:rPr>
        <w:t xml:space="preserve">appelant, </w:t>
      </w:r>
      <w:r>
        <w:rPr>
          <w:rFonts w:cs="Times New Roman"/>
          <w:lang w:val="fr-CA"/>
        </w:rPr>
        <w:t xml:space="preserve">Jay Love, </w:t>
      </w:r>
      <w:r w:rsidRPr="0001174C">
        <w:rPr>
          <w:rFonts w:cs="Times New Roman"/>
          <w:lang w:val="fr-CA"/>
        </w:rPr>
        <w:t xml:space="preserve">a témoigné </w:t>
      </w:r>
      <w:r>
        <w:rPr>
          <w:rFonts w:cs="Times New Roman"/>
          <w:lang w:val="fr-CA"/>
        </w:rPr>
        <w:t xml:space="preserve">pour la poursuite et </w:t>
      </w:r>
      <w:r w:rsidRPr="0001174C">
        <w:rPr>
          <w:rFonts w:cs="Times New Roman"/>
          <w:lang w:val="fr-CA"/>
        </w:rPr>
        <w:t xml:space="preserve">relaté </w:t>
      </w:r>
      <w:r>
        <w:rPr>
          <w:rFonts w:cs="Times New Roman"/>
          <w:lang w:val="fr-CA"/>
        </w:rPr>
        <w:t>ce que</w:t>
      </w:r>
      <w:r w:rsidRPr="0001174C">
        <w:rPr>
          <w:rFonts w:cs="Times New Roman"/>
          <w:lang w:val="fr-CA"/>
        </w:rPr>
        <w:t xml:space="preserve"> l</w:t>
      </w:r>
      <w:r>
        <w:rPr>
          <w:rFonts w:cs="Times New Roman"/>
          <w:lang w:val="fr-CA"/>
        </w:rPr>
        <w:t>’</w:t>
      </w:r>
      <w:r w:rsidRPr="0001174C">
        <w:rPr>
          <w:rFonts w:cs="Times New Roman"/>
          <w:lang w:val="fr-CA"/>
        </w:rPr>
        <w:t xml:space="preserve">appelant </w:t>
      </w:r>
      <w:r>
        <w:rPr>
          <w:rFonts w:cs="Times New Roman"/>
          <w:lang w:val="fr-CA"/>
        </w:rPr>
        <w:t>lui avait avoué en décembre 200</w:t>
      </w:r>
      <w:r w:rsidRPr="003321BD">
        <w:rPr>
          <w:rFonts w:cs="Times New Roman"/>
          <w:lang w:val="fr-CA"/>
        </w:rPr>
        <w:t>2</w:t>
      </w:r>
      <w:r>
        <w:rPr>
          <w:rFonts w:cs="Times New Roman"/>
          <w:lang w:val="fr-CA"/>
        </w:rPr>
        <w:t>. Le 21</w:t>
      </w:r>
      <w:r w:rsidR="00203E16">
        <w:rPr>
          <w:rFonts w:cs="Times New Roman"/>
          <w:lang w:val="fr-CA"/>
        </w:rPr>
        <w:t xml:space="preserve"> </w:t>
      </w:r>
      <w:r>
        <w:rPr>
          <w:rFonts w:cs="Times New Roman"/>
          <w:lang w:val="fr-CA"/>
        </w:rPr>
        <w:t xml:space="preserve">décembre </w:t>
      </w:r>
      <w:r w:rsidRPr="0001174C">
        <w:rPr>
          <w:rFonts w:cs="Times New Roman"/>
          <w:lang w:val="fr-CA"/>
        </w:rPr>
        <w:t>2002, il s</w:t>
      </w:r>
      <w:r>
        <w:rPr>
          <w:rFonts w:cs="Times New Roman"/>
          <w:lang w:val="fr-CA"/>
        </w:rPr>
        <w:t>’</w:t>
      </w:r>
      <w:r w:rsidRPr="0001174C">
        <w:rPr>
          <w:rFonts w:cs="Times New Roman"/>
          <w:lang w:val="fr-CA"/>
        </w:rPr>
        <w:t>était rendu dans un bar en compagnie de l</w:t>
      </w:r>
      <w:r>
        <w:rPr>
          <w:rFonts w:cs="Times New Roman"/>
          <w:lang w:val="fr-CA"/>
        </w:rPr>
        <w:t>’</w:t>
      </w:r>
      <w:r w:rsidRPr="0001174C">
        <w:rPr>
          <w:rFonts w:cs="Times New Roman"/>
          <w:lang w:val="fr-CA"/>
        </w:rPr>
        <w:t>appelant et d</w:t>
      </w:r>
      <w:r>
        <w:rPr>
          <w:rFonts w:cs="Times New Roman"/>
          <w:lang w:val="fr-CA"/>
        </w:rPr>
        <w:t>’</w:t>
      </w:r>
      <w:r w:rsidRPr="0001174C">
        <w:rPr>
          <w:rFonts w:cs="Times New Roman"/>
          <w:lang w:val="fr-CA"/>
        </w:rPr>
        <w:t xml:space="preserve">un autre homme, Michael Argueta. Après avoir dit </w:t>
      </w:r>
      <w:r>
        <w:rPr>
          <w:rFonts w:cs="Times New Roman"/>
          <w:lang w:val="fr-CA"/>
        </w:rPr>
        <w:t>à M.</w:t>
      </w:r>
      <w:r w:rsidR="00203E16">
        <w:rPr>
          <w:rFonts w:cs="Times New Roman"/>
          <w:lang w:val="fr-CA"/>
        </w:rPr>
        <w:t xml:space="preserve"> </w:t>
      </w:r>
      <w:r>
        <w:rPr>
          <w:rFonts w:cs="Times New Roman"/>
          <w:lang w:val="fr-CA"/>
        </w:rPr>
        <w:t xml:space="preserve">Love </w:t>
      </w:r>
      <w:r w:rsidRPr="0001174C">
        <w:rPr>
          <w:rFonts w:cs="Times New Roman"/>
          <w:lang w:val="fr-CA"/>
        </w:rPr>
        <w:t>qu</w:t>
      </w:r>
      <w:r>
        <w:rPr>
          <w:rFonts w:cs="Times New Roman"/>
          <w:lang w:val="fr-CA"/>
        </w:rPr>
        <w:t>’</w:t>
      </w:r>
      <w:r w:rsidRPr="0001174C">
        <w:rPr>
          <w:rFonts w:cs="Times New Roman"/>
          <w:lang w:val="fr-CA"/>
        </w:rPr>
        <w:t>il était son meilleur</w:t>
      </w:r>
      <w:r>
        <w:rPr>
          <w:rFonts w:cs="Times New Roman"/>
          <w:lang w:val="fr-CA"/>
        </w:rPr>
        <w:t xml:space="preserve"> ami, l’appelant lui a</w:t>
      </w:r>
      <w:r w:rsidRPr="003321BD">
        <w:rPr>
          <w:rFonts w:cs="Times New Roman"/>
          <w:lang w:val="fr-CA"/>
        </w:rPr>
        <w:t>vait</w:t>
      </w:r>
      <w:r>
        <w:rPr>
          <w:rFonts w:cs="Times New Roman"/>
          <w:lang w:val="fr-CA"/>
        </w:rPr>
        <w:t xml:space="preserve"> demandé</w:t>
      </w:r>
      <w:r w:rsidRPr="0001174C">
        <w:rPr>
          <w:rFonts w:cs="Times New Roman"/>
          <w:lang w:val="fr-CA"/>
        </w:rPr>
        <w:t xml:space="preserve"> s</w:t>
      </w:r>
      <w:r>
        <w:rPr>
          <w:rFonts w:cs="Times New Roman"/>
          <w:lang w:val="fr-CA"/>
        </w:rPr>
        <w:t>’</w:t>
      </w:r>
      <w:r w:rsidRPr="0001174C">
        <w:rPr>
          <w:rFonts w:cs="Times New Roman"/>
          <w:lang w:val="fr-CA"/>
        </w:rPr>
        <w:t>il pouvait lui faire confiance. L</w:t>
      </w:r>
      <w:r>
        <w:rPr>
          <w:rFonts w:cs="Times New Roman"/>
          <w:lang w:val="fr-CA"/>
        </w:rPr>
        <w:t>’</w:t>
      </w:r>
      <w:r w:rsidRPr="0001174C">
        <w:rPr>
          <w:rFonts w:cs="Times New Roman"/>
          <w:lang w:val="fr-CA"/>
        </w:rPr>
        <w:t>appelant éta</w:t>
      </w:r>
      <w:r>
        <w:rPr>
          <w:rFonts w:cs="Times New Roman"/>
          <w:lang w:val="fr-CA"/>
        </w:rPr>
        <w:t>it alors intoxiqué. Au procès, M.</w:t>
      </w:r>
      <w:r w:rsidR="00203E16">
        <w:rPr>
          <w:rFonts w:cs="Times New Roman"/>
          <w:lang w:val="fr-CA"/>
        </w:rPr>
        <w:t xml:space="preserve"> </w:t>
      </w:r>
      <w:r w:rsidRPr="0001174C">
        <w:rPr>
          <w:rFonts w:cs="Times New Roman"/>
          <w:lang w:val="fr-CA"/>
        </w:rPr>
        <w:t xml:space="preserve">Love a </w:t>
      </w:r>
      <w:r>
        <w:rPr>
          <w:rFonts w:cs="Times New Roman"/>
          <w:lang w:val="fr-CA"/>
        </w:rPr>
        <w:t>indi</w:t>
      </w:r>
      <w:r w:rsidRPr="0001174C">
        <w:rPr>
          <w:rFonts w:cs="Times New Roman"/>
          <w:lang w:val="fr-CA"/>
        </w:rPr>
        <w:t>qué que l</w:t>
      </w:r>
      <w:r>
        <w:rPr>
          <w:rFonts w:cs="Times New Roman"/>
          <w:lang w:val="fr-CA"/>
        </w:rPr>
        <w:t>’</w:t>
      </w:r>
      <w:r w:rsidRPr="0001174C">
        <w:rPr>
          <w:rFonts w:cs="Times New Roman"/>
          <w:lang w:val="fr-CA"/>
        </w:rPr>
        <w:t xml:space="preserve">appelant </w:t>
      </w:r>
      <w:r>
        <w:rPr>
          <w:rFonts w:cs="Times New Roman"/>
          <w:lang w:val="fr-CA"/>
        </w:rPr>
        <w:t>en voulait à M.</w:t>
      </w:r>
      <w:r w:rsidR="00203E16">
        <w:rPr>
          <w:rFonts w:cs="Times New Roman"/>
          <w:lang w:val="fr-CA"/>
        </w:rPr>
        <w:t xml:space="preserve"> </w:t>
      </w:r>
      <w:r w:rsidRPr="001D0501">
        <w:rPr>
          <w:rFonts w:cs="Times New Roman"/>
          <w:lang w:val="fr-CA"/>
        </w:rPr>
        <w:t xml:space="preserve">Levoir parce qu’il le soupçonnait d’avoir volé de l’argent dans la tirelire de son fils, de consommer de la drogue à la maison et de se servir de son téléphone sans sa permission. </w:t>
      </w:r>
    </w:p>
    <w:p w:rsidR="00AF2876" w:rsidRPr="0001174C" w:rsidRDefault="00AF2876" w:rsidP="00AF2876">
      <w:pPr>
        <w:pStyle w:val="ParaNoNdepar-AltN"/>
        <w:rPr>
          <w:rFonts w:cs="Times New Roman"/>
          <w:lang w:val="fr-CA"/>
        </w:rPr>
      </w:pPr>
      <w:r w:rsidRPr="001D0501">
        <w:rPr>
          <w:rFonts w:cs="Times New Roman"/>
          <w:lang w:val="fr-CA"/>
        </w:rPr>
        <w:lastRenderedPageBreak/>
        <w:t>L’appelant aurait alors dit à M.</w:t>
      </w:r>
      <w:r w:rsidR="00203E16">
        <w:rPr>
          <w:rFonts w:cs="Times New Roman"/>
          <w:lang w:val="fr-CA"/>
        </w:rPr>
        <w:t xml:space="preserve"> </w:t>
      </w:r>
      <w:r w:rsidRPr="001D0501">
        <w:rPr>
          <w:rFonts w:cs="Times New Roman"/>
          <w:lang w:val="fr-CA"/>
        </w:rPr>
        <w:t xml:space="preserve">Love que </w:t>
      </w:r>
      <w:r w:rsidR="00203E16">
        <w:rPr>
          <w:rFonts w:cs="Times New Roman"/>
          <w:lang w:val="fr-CA"/>
        </w:rPr>
        <w:t>« </w:t>
      </w:r>
      <w:r w:rsidRPr="001D0501">
        <w:rPr>
          <w:rFonts w:cs="Times New Roman"/>
          <w:lang w:val="fr-CA"/>
        </w:rPr>
        <w:t>Robbie</w:t>
      </w:r>
      <w:r w:rsidR="00203E16">
        <w:rPr>
          <w:rFonts w:cs="Times New Roman"/>
          <w:lang w:val="fr-CA"/>
        </w:rPr>
        <w:t> »</w:t>
      </w:r>
      <w:r w:rsidRPr="001D0501">
        <w:rPr>
          <w:rFonts w:cs="Times New Roman"/>
          <w:lang w:val="fr-CA"/>
        </w:rPr>
        <w:t xml:space="preserve"> était mort. M.</w:t>
      </w:r>
      <w:r w:rsidR="00203E16">
        <w:rPr>
          <w:rFonts w:cs="Times New Roman"/>
          <w:lang w:val="fr-CA"/>
        </w:rPr>
        <w:t xml:space="preserve"> </w:t>
      </w:r>
      <w:r w:rsidRPr="001D0501">
        <w:rPr>
          <w:rFonts w:cs="Times New Roman"/>
          <w:lang w:val="fr-CA"/>
        </w:rPr>
        <w:t xml:space="preserve">Love lui aurait demandé s’il avait </w:t>
      </w:r>
      <w:r w:rsidRPr="001D0501">
        <w:rPr>
          <w:rFonts w:cs="Times New Roman"/>
          <w:smallCaps/>
          <w:lang w:val="fr-CA"/>
        </w:rPr>
        <w:t>[traduction]</w:t>
      </w:r>
      <w:r w:rsidRPr="001D0501">
        <w:rPr>
          <w:rFonts w:cs="Times New Roman"/>
          <w:lang w:val="fr-CA"/>
        </w:rPr>
        <w:t xml:space="preserve"> </w:t>
      </w:r>
      <w:r w:rsidR="00203E16">
        <w:rPr>
          <w:rFonts w:cs="Times New Roman"/>
          <w:lang w:val="fr-CA"/>
        </w:rPr>
        <w:t>« </w:t>
      </w:r>
      <w:r w:rsidRPr="001D0501">
        <w:rPr>
          <w:rFonts w:cs="Times New Roman"/>
          <w:lang w:val="fr-CA"/>
        </w:rPr>
        <w:t>sous</w:t>
      </w:r>
      <w:r w:rsidR="00203E16">
        <w:rPr>
          <w:rFonts w:cs="Times New Roman"/>
          <w:lang w:val="fr-CA"/>
        </w:rPr>
        <w:t>-</w:t>
      </w:r>
      <w:r w:rsidRPr="001D0501">
        <w:rPr>
          <w:rFonts w:cs="Times New Roman"/>
          <w:lang w:val="fr-CA"/>
        </w:rPr>
        <w:t>traité</w:t>
      </w:r>
      <w:r w:rsidR="00203E16">
        <w:rPr>
          <w:rFonts w:cs="Times New Roman"/>
          <w:lang w:val="fr-CA"/>
        </w:rPr>
        <w:t> »</w:t>
      </w:r>
      <w:r w:rsidRPr="001D0501">
        <w:rPr>
          <w:rFonts w:cs="Times New Roman"/>
          <w:lang w:val="fr-CA"/>
        </w:rPr>
        <w:t xml:space="preserve"> son assassinat, ce à</w:t>
      </w:r>
      <w:r w:rsidRPr="0001174C">
        <w:rPr>
          <w:rFonts w:cs="Times New Roman"/>
          <w:lang w:val="fr-CA"/>
        </w:rPr>
        <w:t xml:space="preserve"> quoi l</w:t>
      </w:r>
      <w:r>
        <w:rPr>
          <w:rFonts w:cs="Times New Roman"/>
          <w:lang w:val="fr-CA"/>
        </w:rPr>
        <w:t>’</w:t>
      </w:r>
      <w:r w:rsidRPr="0001174C">
        <w:rPr>
          <w:rFonts w:cs="Times New Roman"/>
          <w:lang w:val="fr-CA"/>
        </w:rPr>
        <w:t>appelant a</w:t>
      </w:r>
      <w:r>
        <w:rPr>
          <w:rFonts w:cs="Times New Roman"/>
          <w:lang w:val="fr-CA"/>
        </w:rPr>
        <w:t>urait</w:t>
      </w:r>
      <w:r w:rsidRPr="0001174C">
        <w:rPr>
          <w:rFonts w:cs="Times New Roman"/>
          <w:lang w:val="fr-CA"/>
        </w:rPr>
        <w:t xml:space="preserve"> répondu</w:t>
      </w:r>
      <w:r w:rsidR="00203E16">
        <w:rPr>
          <w:rFonts w:cs="Times New Roman"/>
          <w:lang w:val="fr-CA"/>
        </w:rPr>
        <w:t xml:space="preserve"> « </w:t>
      </w:r>
      <w:r w:rsidRPr="0001174C">
        <w:rPr>
          <w:rFonts w:cs="Times New Roman"/>
          <w:lang w:val="fr-CA"/>
        </w:rPr>
        <w:t>non, je m</w:t>
      </w:r>
      <w:r>
        <w:rPr>
          <w:rFonts w:cs="Times New Roman"/>
          <w:lang w:val="fr-CA"/>
        </w:rPr>
        <w:t>’</w:t>
      </w:r>
      <w:r w:rsidRPr="0001174C">
        <w:rPr>
          <w:rFonts w:cs="Times New Roman"/>
          <w:lang w:val="fr-CA"/>
        </w:rPr>
        <w:t>en suis occupé</w:t>
      </w:r>
      <w:r>
        <w:rPr>
          <w:rFonts w:cs="Times New Roman"/>
          <w:lang w:val="fr-CA"/>
        </w:rPr>
        <w:t xml:space="preserve"> moi</w:t>
      </w:r>
      <w:r w:rsidR="00203E16">
        <w:rPr>
          <w:rFonts w:cs="Times New Roman"/>
          <w:lang w:val="fr-CA"/>
        </w:rPr>
        <w:t>-</w:t>
      </w:r>
      <w:r>
        <w:rPr>
          <w:rFonts w:cs="Times New Roman"/>
          <w:lang w:val="fr-CA"/>
        </w:rPr>
        <w:t>même</w:t>
      </w:r>
      <w:r w:rsidR="00203E16">
        <w:rPr>
          <w:rFonts w:cs="Times New Roman"/>
          <w:lang w:val="fr-CA"/>
        </w:rPr>
        <w:t> »</w:t>
      </w:r>
      <w:r w:rsidRPr="0001174C">
        <w:rPr>
          <w:rFonts w:cs="Times New Roman"/>
          <w:lang w:val="fr-CA"/>
        </w:rPr>
        <w:t>. L</w:t>
      </w:r>
      <w:r>
        <w:rPr>
          <w:rFonts w:cs="Times New Roman"/>
          <w:lang w:val="fr-CA"/>
        </w:rPr>
        <w:t>’</w:t>
      </w:r>
      <w:r w:rsidRPr="0001174C">
        <w:rPr>
          <w:rFonts w:cs="Times New Roman"/>
          <w:lang w:val="fr-CA"/>
        </w:rPr>
        <w:t>appelant a</w:t>
      </w:r>
      <w:r>
        <w:rPr>
          <w:rFonts w:cs="Times New Roman"/>
          <w:lang w:val="fr-CA"/>
        </w:rPr>
        <w:t>urait</w:t>
      </w:r>
      <w:r w:rsidRPr="0001174C">
        <w:rPr>
          <w:rFonts w:cs="Times New Roman"/>
          <w:lang w:val="fr-CA"/>
        </w:rPr>
        <w:t xml:space="preserve"> </w:t>
      </w:r>
      <w:r>
        <w:rPr>
          <w:rFonts w:cs="Times New Roman"/>
          <w:lang w:val="fr-CA"/>
        </w:rPr>
        <w:t xml:space="preserve">ajouté avoir </w:t>
      </w:r>
      <w:r w:rsidRPr="0001174C">
        <w:rPr>
          <w:rFonts w:cs="Times New Roman"/>
          <w:lang w:val="fr-CA"/>
        </w:rPr>
        <w:t>brûlé la dépouille</w:t>
      </w:r>
      <w:r>
        <w:rPr>
          <w:rFonts w:cs="Times New Roman"/>
          <w:lang w:val="fr-CA"/>
        </w:rPr>
        <w:t>.</w:t>
      </w:r>
      <w:r w:rsidRPr="0001174C">
        <w:rPr>
          <w:rFonts w:cs="Times New Roman"/>
          <w:lang w:val="fr-CA"/>
        </w:rPr>
        <w:t xml:space="preserve"> </w:t>
      </w:r>
    </w:p>
    <w:p w:rsidR="00AF2876" w:rsidRPr="0001174C" w:rsidRDefault="00AF2876" w:rsidP="00AF2876">
      <w:pPr>
        <w:pStyle w:val="Title2LevelTitre2Niveau"/>
        <w:ind w:left="576" w:hanging="576"/>
        <w:rPr>
          <w:rFonts w:cs="Times New Roman"/>
          <w:lang w:val="fr-CA"/>
        </w:rPr>
      </w:pPr>
      <w:r>
        <w:rPr>
          <w:rFonts w:cs="Times New Roman"/>
          <w:lang w:val="fr-CA"/>
        </w:rPr>
        <w:t>Le témoignage</w:t>
      </w:r>
      <w:r w:rsidRPr="0001174C">
        <w:rPr>
          <w:rFonts w:cs="Times New Roman"/>
          <w:lang w:val="fr-CA"/>
        </w:rPr>
        <w:t xml:space="preserve"> de Michael Argueta</w:t>
      </w:r>
    </w:p>
    <w:p w:rsidR="00AF2876" w:rsidRPr="0001174C" w:rsidRDefault="00AF2876" w:rsidP="00AF2876">
      <w:pPr>
        <w:pStyle w:val="ParaNoNdepar-AltN"/>
        <w:tabs>
          <w:tab w:val="clear" w:pos="1152"/>
          <w:tab w:val="left" w:pos="1166"/>
        </w:tabs>
        <w:rPr>
          <w:rFonts w:cs="Times New Roman"/>
          <w:lang w:val="fr-CA"/>
        </w:rPr>
      </w:pPr>
      <w:r>
        <w:rPr>
          <w:rFonts w:cs="Times New Roman"/>
          <w:lang w:val="fr-CA"/>
        </w:rPr>
        <w:t xml:space="preserve">Un ami de l’appelant, </w:t>
      </w:r>
      <w:r w:rsidRPr="0001174C">
        <w:rPr>
          <w:rFonts w:cs="Times New Roman"/>
          <w:lang w:val="fr-CA"/>
        </w:rPr>
        <w:t>Michael Argueta</w:t>
      </w:r>
      <w:r>
        <w:rPr>
          <w:rFonts w:cs="Times New Roman"/>
          <w:lang w:val="fr-CA"/>
        </w:rPr>
        <w:t>,</w:t>
      </w:r>
      <w:r w:rsidRPr="0001174C">
        <w:rPr>
          <w:rFonts w:cs="Times New Roman"/>
          <w:lang w:val="fr-CA"/>
        </w:rPr>
        <w:t xml:space="preserve"> a également été appelé à la barre comme témoin à charge. </w:t>
      </w:r>
      <w:r>
        <w:rPr>
          <w:rFonts w:cs="Times New Roman"/>
          <w:lang w:val="fr-CA"/>
        </w:rPr>
        <w:t>Il a</w:t>
      </w:r>
      <w:r w:rsidRPr="0001174C">
        <w:rPr>
          <w:rFonts w:cs="Times New Roman"/>
          <w:lang w:val="fr-CA"/>
        </w:rPr>
        <w:t xml:space="preserve"> expliqué que l</w:t>
      </w:r>
      <w:r>
        <w:rPr>
          <w:rFonts w:cs="Times New Roman"/>
          <w:lang w:val="fr-CA"/>
        </w:rPr>
        <w:t>’</w:t>
      </w:r>
      <w:r w:rsidRPr="0001174C">
        <w:rPr>
          <w:rFonts w:cs="Times New Roman"/>
          <w:lang w:val="fr-CA"/>
        </w:rPr>
        <w:t xml:space="preserve">appelant lui avait </w:t>
      </w:r>
      <w:r>
        <w:rPr>
          <w:rFonts w:cs="Times New Roman"/>
          <w:lang w:val="fr-CA"/>
        </w:rPr>
        <w:t xml:space="preserve">aussi </w:t>
      </w:r>
      <w:r w:rsidRPr="0001174C">
        <w:rPr>
          <w:rFonts w:cs="Times New Roman"/>
          <w:lang w:val="fr-CA"/>
        </w:rPr>
        <w:t xml:space="preserve">avoué </w:t>
      </w:r>
      <w:r>
        <w:rPr>
          <w:rFonts w:cs="Times New Roman"/>
          <w:lang w:val="fr-CA"/>
        </w:rPr>
        <w:t>le meurtre de 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L’</w:t>
      </w:r>
      <w:r w:rsidRPr="0001174C">
        <w:rPr>
          <w:rFonts w:cs="Times New Roman"/>
          <w:lang w:val="fr-CA"/>
        </w:rPr>
        <w:t xml:space="preserve">aveu aurait </w:t>
      </w:r>
      <w:r>
        <w:rPr>
          <w:rFonts w:cs="Times New Roman"/>
          <w:lang w:val="fr-CA"/>
        </w:rPr>
        <w:t>eu lieu</w:t>
      </w:r>
      <w:r w:rsidRPr="0001174C">
        <w:rPr>
          <w:rFonts w:cs="Times New Roman"/>
          <w:lang w:val="fr-CA"/>
        </w:rPr>
        <w:t xml:space="preserve"> dans un bar d</w:t>
      </w:r>
      <w:r>
        <w:rPr>
          <w:rFonts w:cs="Times New Roman"/>
          <w:lang w:val="fr-CA"/>
        </w:rPr>
        <w:t>’</w:t>
      </w:r>
      <w:r w:rsidRPr="0001174C">
        <w:rPr>
          <w:rFonts w:cs="Times New Roman"/>
          <w:lang w:val="fr-CA"/>
        </w:rPr>
        <w:t>Edmonton, où l</w:t>
      </w:r>
      <w:r>
        <w:rPr>
          <w:rFonts w:cs="Times New Roman"/>
          <w:lang w:val="fr-CA"/>
        </w:rPr>
        <w:t>’</w:t>
      </w:r>
      <w:r w:rsidRPr="0001174C">
        <w:rPr>
          <w:rFonts w:cs="Times New Roman"/>
          <w:lang w:val="fr-CA"/>
        </w:rPr>
        <w:t xml:space="preserve">appelant </w:t>
      </w:r>
      <w:r>
        <w:rPr>
          <w:rFonts w:cs="Times New Roman"/>
          <w:lang w:val="fr-CA"/>
        </w:rPr>
        <w:t xml:space="preserve">lui </w:t>
      </w:r>
      <w:r w:rsidRPr="0001174C">
        <w:rPr>
          <w:rFonts w:cs="Times New Roman"/>
          <w:lang w:val="fr-CA"/>
        </w:rPr>
        <w:t xml:space="preserve">aurait dit </w:t>
      </w:r>
      <w:r>
        <w:rPr>
          <w:rFonts w:cs="Times New Roman"/>
          <w:lang w:val="fr-CA"/>
        </w:rPr>
        <w:t>s’être</w:t>
      </w:r>
      <w:r w:rsidRPr="0001174C">
        <w:rPr>
          <w:rFonts w:cs="Times New Roman"/>
          <w:lang w:val="fr-CA"/>
        </w:rPr>
        <w:t xml:space="preserve"> </w:t>
      </w:r>
      <w:r w:rsidRPr="0001174C">
        <w:rPr>
          <w:rFonts w:cs="Times New Roman"/>
          <w:smallCaps/>
          <w:lang w:val="fr-CA"/>
        </w:rPr>
        <w:t>[traduction]</w:t>
      </w:r>
      <w:r>
        <w:rPr>
          <w:rFonts w:cs="Times New Roman"/>
          <w:lang w:val="fr-CA"/>
        </w:rPr>
        <w:t xml:space="preserve"> </w:t>
      </w:r>
      <w:r w:rsidR="00203E16">
        <w:rPr>
          <w:rFonts w:cs="Times New Roman"/>
          <w:lang w:val="fr-CA"/>
        </w:rPr>
        <w:t>« </w:t>
      </w:r>
      <w:r>
        <w:rPr>
          <w:rFonts w:cs="Times New Roman"/>
          <w:lang w:val="fr-CA"/>
        </w:rPr>
        <w:t>débarrassé</w:t>
      </w:r>
      <w:r w:rsidR="00203E16">
        <w:rPr>
          <w:rFonts w:cs="Times New Roman"/>
          <w:lang w:val="fr-CA"/>
        </w:rPr>
        <w:t> »</w:t>
      </w:r>
      <w:r>
        <w:rPr>
          <w:rFonts w:cs="Times New Roman"/>
          <w:lang w:val="fr-CA"/>
        </w:rPr>
        <w:t xml:space="preserve"> de M.</w:t>
      </w:r>
      <w:r w:rsidR="00203E16">
        <w:rPr>
          <w:rFonts w:cs="Times New Roman"/>
          <w:lang w:val="fr-CA"/>
        </w:rPr>
        <w:t xml:space="preserve"> </w:t>
      </w:r>
      <w:r>
        <w:rPr>
          <w:rFonts w:cs="Times New Roman"/>
          <w:lang w:val="fr-CA"/>
        </w:rPr>
        <w:t>Levoir</w:t>
      </w:r>
      <w:r w:rsidRPr="0001174C">
        <w:rPr>
          <w:rFonts w:cs="Times New Roman"/>
          <w:lang w:val="fr-CA"/>
        </w:rPr>
        <w:t>.</w:t>
      </w:r>
    </w:p>
    <w:p w:rsidR="00AF2876" w:rsidRPr="0001174C" w:rsidRDefault="00AF2876" w:rsidP="00AF2876">
      <w:pPr>
        <w:pStyle w:val="ParaNoNdepar-AltN"/>
        <w:rPr>
          <w:rFonts w:cs="Times New Roman"/>
          <w:lang w:val="fr-CA"/>
        </w:rPr>
      </w:pP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et l</w:t>
      </w:r>
      <w:r>
        <w:rPr>
          <w:rFonts w:cs="Times New Roman"/>
          <w:lang w:val="fr-CA"/>
        </w:rPr>
        <w:t>’</w:t>
      </w:r>
      <w:r w:rsidRPr="0001174C">
        <w:rPr>
          <w:rFonts w:cs="Times New Roman"/>
          <w:lang w:val="fr-CA"/>
        </w:rPr>
        <w:t xml:space="preserve">appelant ne </w:t>
      </w:r>
      <w:r>
        <w:rPr>
          <w:rFonts w:cs="Times New Roman"/>
          <w:lang w:val="fr-CA"/>
        </w:rPr>
        <w:t>s’étaient</w:t>
      </w:r>
      <w:r w:rsidRPr="0001174C">
        <w:rPr>
          <w:rFonts w:cs="Times New Roman"/>
          <w:lang w:val="fr-CA"/>
        </w:rPr>
        <w:t xml:space="preserve"> reparlé que le lendemain, alors qu</w:t>
      </w:r>
      <w:r>
        <w:rPr>
          <w:rFonts w:cs="Times New Roman"/>
          <w:lang w:val="fr-CA"/>
        </w:rPr>
        <w:t>’</w:t>
      </w:r>
      <w:r w:rsidRPr="0001174C">
        <w:rPr>
          <w:rFonts w:cs="Times New Roman"/>
          <w:lang w:val="fr-CA"/>
        </w:rPr>
        <w:t>ils rentraient</w:t>
      </w:r>
      <w:r>
        <w:rPr>
          <w:rFonts w:cs="Times New Roman"/>
          <w:lang w:val="fr-CA"/>
        </w:rPr>
        <w:t xml:space="preserve"> à Fort McMurray en voiture. P</w:t>
      </w:r>
      <w:r w:rsidRPr="0001174C">
        <w:rPr>
          <w:rFonts w:cs="Times New Roman"/>
          <w:lang w:val="fr-CA"/>
        </w:rPr>
        <w:t>endant le trajet, l</w:t>
      </w:r>
      <w:r>
        <w:rPr>
          <w:rFonts w:cs="Times New Roman"/>
          <w:lang w:val="fr-CA"/>
        </w:rPr>
        <w:t>’</w:t>
      </w:r>
      <w:r w:rsidRPr="0001174C">
        <w:rPr>
          <w:rFonts w:cs="Times New Roman"/>
          <w:lang w:val="fr-CA"/>
        </w:rPr>
        <w:t xml:space="preserve">appelant </w:t>
      </w:r>
      <w:r>
        <w:rPr>
          <w:rFonts w:cs="Times New Roman"/>
          <w:lang w:val="fr-CA"/>
        </w:rPr>
        <w:t>lui aurait dit qu’il avait abattu M.</w:t>
      </w:r>
      <w:r w:rsidR="00203E16">
        <w:rPr>
          <w:rFonts w:cs="Times New Roman"/>
          <w:lang w:val="fr-CA"/>
        </w:rPr>
        <w:t xml:space="preserve"> </w:t>
      </w:r>
      <w:r>
        <w:rPr>
          <w:rFonts w:cs="Times New Roman"/>
          <w:lang w:val="fr-CA"/>
        </w:rPr>
        <w:t>Levoir. M.</w:t>
      </w:r>
      <w:r w:rsidR="00203E16">
        <w:rPr>
          <w:rFonts w:cs="Times New Roman"/>
          <w:lang w:val="fr-CA"/>
        </w:rPr>
        <w:t xml:space="preserve"> </w:t>
      </w:r>
      <w:r>
        <w:rPr>
          <w:rFonts w:cs="Times New Roman"/>
          <w:lang w:val="fr-CA"/>
        </w:rPr>
        <w:t>Argueta</w:t>
      </w:r>
      <w:r w:rsidRPr="0001174C">
        <w:rPr>
          <w:rFonts w:cs="Times New Roman"/>
          <w:lang w:val="fr-CA"/>
        </w:rPr>
        <w:t xml:space="preserve"> ne </w:t>
      </w:r>
      <w:r>
        <w:rPr>
          <w:rFonts w:cs="Times New Roman"/>
          <w:lang w:val="fr-CA"/>
        </w:rPr>
        <w:t xml:space="preserve">le </w:t>
      </w:r>
      <w:r w:rsidRPr="0001174C">
        <w:rPr>
          <w:rFonts w:cs="Times New Roman"/>
          <w:lang w:val="fr-CA"/>
        </w:rPr>
        <w:t>croyait pas</w:t>
      </w:r>
      <w:r>
        <w:rPr>
          <w:rFonts w:cs="Times New Roman"/>
          <w:lang w:val="fr-CA"/>
        </w:rPr>
        <w:t xml:space="preserve"> et</w:t>
      </w:r>
      <w:r w:rsidRPr="0001174C">
        <w:rPr>
          <w:rFonts w:cs="Times New Roman"/>
          <w:lang w:val="fr-CA"/>
        </w:rPr>
        <w:t xml:space="preserve"> l</w:t>
      </w:r>
      <w:r>
        <w:rPr>
          <w:rFonts w:cs="Times New Roman"/>
          <w:lang w:val="fr-CA"/>
        </w:rPr>
        <w:t>’</w:t>
      </w:r>
      <w:r w:rsidRPr="0001174C">
        <w:rPr>
          <w:rFonts w:cs="Times New Roman"/>
          <w:lang w:val="fr-CA"/>
        </w:rPr>
        <w:t>appelant a ajouté qu</w:t>
      </w:r>
      <w:r>
        <w:rPr>
          <w:rFonts w:cs="Times New Roman"/>
          <w:lang w:val="fr-CA"/>
        </w:rPr>
        <w:t>’</w:t>
      </w:r>
      <w:r w:rsidRPr="0001174C">
        <w:rPr>
          <w:rFonts w:cs="Times New Roman"/>
          <w:lang w:val="fr-CA"/>
        </w:rPr>
        <w:t>il a</w:t>
      </w:r>
      <w:r>
        <w:rPr>
          <w:rFonts w:cs="Times New Roman"/>
          <w:lang w:val="fr-CA"/>
        </w:rPr>
        <w:t xml:space="preserve">vait brûlé le corps de la victime </w:t>
      </w:r>
      <w:r w:rsidRPr="0001174C">
        <w:rPr>
          <w:rFonts w:cs="Times New Roman"/>
          <w:lang w:val="fr-CA"/>
        </w:rPr>
        <w:t>sur la propriété de son père</w:t>
      </w:r>
      <w:r>
        <w:rPr>
          <w:rFonts w:cs="Times New Roman"/>
          <w:lang w:val="fr-CA"/>
        </w:rPr>
        <w:t>. L’appe</w:t>
      </w:r>
      <w:r w:rsidRPr="0001174C">
        <w:rPr>
          <w:rFonts w:cs="Times New Roman"/>
          <w:lang w:val="fr-CA"/>
        </w:rPr>
        <w:t xml:space="preserve">lant </w:t>
      </w:r>
      <w:r>
        <w:rPr>
          <w:rFonts w:cs="Times New Roman"/>
          <w:lang w:val="fr-CA"/>
        </w:rPr>
        <w:t>aur</w:t>
      </w:r>
      <w:r w:rsidRPr="0001174C">
        <w:rPr>
          <w:rFonts w:cs="Times New Roman"/>
          <w:lang w:val="fr-CA"/>
        </w:rPr>
        <w:t>ait</w:t>
      </w:r>
      <w:r>
        <w:rPr>
          <w:rFonts w:cs="Times New Roman"/>
          <w:lang w:val="fr-CA"/>
        </w:rPr>
        <w:t xml:space="preserve"> été</w:t>
      </w:r>
      <w:r w:rsidRPr="0001174C">
        <w:rPr>
          <w:rFonts w:cs="Times New Roman"/>
          <w:lang w:val="fr-CA"/>
        </w:rPr>
        <w:t xml:space="preserve">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sidRPr="0001174C">
        <w:rPr>
          <w:rFonts w:cs="Times New Roman"/>
          <w:lang w:val="fr-CA"/>
        </w:rPr>
        <w:t xml:space="preserve">très </w:t>
      </w:r>
      <w:r>
        <w:rPr>
          <w:rFonts w:cs="Times New Roman"/>
          <w:lang w:val="fr-CA"/>
        </w:rPr>
        <w:t>fâché</w:t>
      </w:r>
      <w:r w:rsidR="00203E16">
        <w:rPr>
          <w:rFonts w:cs="Times New Roman"/>
          <w:lang w:val="fr-CA"/>
        </w:rPr>
        <w:t> »</w:t>
      </w:r>
      <w:r w:rsidRPr="0001174C">
        <w:rPr>
          <w:rFonts w:cs="Times New Roman"/>
          <w:lang w:val="fr-CA"/>
        </w:rPr>
        <w:t xml:space="preserve"> </w:t>
      </w:r>
      <w:r>
        <w:rPr>
          <w:rFonts w:cs="Times New Roman"/>
          <w:lang w:val="fr-CA"/>
        </w:rPr>
        <w:t>contre 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 xml:space="preserve">parce qu’il </w:t>
      </w:r>
      <w:r w:rsidRPr="0001174C">
        <w:rPr>
          <w:rFonts w:cs="Times New Roman"/>
          <w:lang w:val="fr-CA"/>
        </w:rPr>
        <w:t>lui devait de l</w:t>
      </w:r>
      <w:r>
        <w:rPr>
          <w:rFonts w:cs="Times New Roman"/>
          <w:lang w:val="fr-CA"/>
        </w:rPr>
        <w:t>’</w:t>
      </w:r>
      <w:r w:rsidRPr="0001174C">
        <w:rPr>
          <w:rFonts w:cs="Times New Roman"/>
          <w:lang w:val="fr-CA"/>
        </w:rPr>
        <w:t xml:space="preserve">argent, </w:t>
      </w:r>
      <w:r w:rsidRPr="003321BD">
        <w:rPr>
          <w:rFonts w:cs="Times New Roman"/>
          <w:lang w:val="fr-CA"/>
        </w:rPr>
        <w:t>qu</w:t>
      </w:r>
      <w:r>
        <w:rPr>
          <w:rFonts w:cs="Times New Roman"/>
          <w:lang w:val="fr-CA"/>
        </w:rPr>
        <w:t>’</w:t>
      </w:r>
      <w:r w:rsidRPr="003321BD">
        <w:rPr>
          <w:rFonts w:cs="Times New Roman"/>
          <w:lang w:val="fr-CA"/>
        </w:rPr>
        <w:t>i</w:t>
      </w:r>
      <w:r>
        <w:rPr>
          <w:rFonts w:cs="Times New Roman"/>
          <w:lang w:val="fr-CA"/>
        </w:rPr>
        <w:t xml:space="preserve">l </w:t>
      </w:r>
      <w:r w:rsidRPr="0001174C">
        <w:rPr>
          <w:rFonts w:cs="Times New Roman"/>
          <w:lang w:val="fr-CA"/>
        </w:rPr>
        <w:t>avait volé de l</w:t>
      </w:r>
      <w:r>
        <w:rPr>
          <w:rFonts w:cs="Times New Roman"/>
          <w:lang w:val="fr-CA"/>
        </w:rPr>
        <w:t>’</w:t>
      </w:r>
      <w:r w:rsidRPr="0001174C">
        <w:rPr>
          <w:rFonts w:cs="Times New Roman"/>
          <w:lang w:val="fr-CA"/>
        </w:rPr>
        <w:t xml:space="preserve">argent dans la tirelire de son fils et </w:t>
      </w:r>
      <w:r w:rsidRPr="003321BD">
        <w:rPr>
          <w:rFonts w:cs="Times New Roman"/>
          <w:lang w:val="fr-CA"/>
        </w:rPr>
        <w:t>qu</w:t>
      </w:r>
      <w:r>
        <w:rPr>
          <w:rFonts w:cs="Times New Roman"/>
          <w:lang w:val="fr-CA"/>
        </w:rPr>
        <w:t>’</w:t>
      </w:r>
      <w:r w:rsidRPr="003321BD">
        <w:rPr>
          <w:rFonts w:cs="Times New Roman"/>
          <w:lang w:val="fr-CA"/>
        </w:rPr>
        <w:t>il</w:t>
      </w:r>
      <w:r>
        <w:rPr>
          <w:rFonts w:cs="Times New Roman"/>
          <w:lang w:val="fr-CA"/>
        </w:rPr>
        <w:t xml:space="preserve"> </w:t>
      </w:r>
      <w:r w:rsidRPr="0001174C">
        <w:rPr>
          <w:rFonts w:cs="Times New Roman"/>
          <w:lang w:val="fr-CA"/>
        </w:rPr>
        <w:t>s</w:t>
      </w:r>
      <w:r>
        <w:rPr>
          <w:rFonts w:cs="Times New Roman"/>
          <w:lang w:val="fr-CA"/>
        </w:rPr>
        <w:t>’</w:t>
      </w:r>
      <w:r w:rsidRPr="0001174C">
        <w:rPr>
          <w:rFonts w:cs="Times New Roman"/>
          <w:lang w:val="fr-CA"/>
        </w:rPr>
        <w:t xml:space="preserve">était servi de son téléphone sans sa permission. </w:t>
      </w:r>
    </w:p>
    <w:p w:rsidR="00AF2876" w:rsidRPr="0001174C" w:rsidRDefault="00AF2876" w:rsidP="00AF2876">
      <w:pPr>
        <w:pStyle w:val="ParaNoNdepar-AltN"/>
        <w:rPr>
          <w:rFonts w:cs="Times New Roman"/>
          <w:lang w:val="fr-CA"/>
        </w:rPr>
      </w:pPr>
      <w:r w:rsidRPr="0001174C">
        <w:rPr>
          <w:rFonts w:cs="Times New Roman"/>
          <w:lang w:val="fr-CA"/>
        </w:rPr>
        <w:t xml:space="preserve">La crédibilité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a constitué l’</w:t>
      </w:r>
      <w:r w:rsidRPr="0001174C">
        <w:rPr>
          <w:rFonts w:cs="Times New Roman"/>
          <w:lang w:val="fr-CA"/>
        </w:rPr>
        <w:t>un des principa</w:t>
      </w:r>
      <w:r>
        <w:rPr>
          <w:rFonts w:cs="Times New Roman"/>
          <w:lang w:val="fr-CA"/>
        </w:rPr>
        <w:t>ux</w:t>
      </w:r>
      <w:r w:rsidRPr="0001174C">
        <w:rPr>
          <w:rFonts w:cs="Times New Roman"/>
          <w:lang w:val="fr-CA"/>
        </w:rPr>
        <w:t xml:space="preserve"> </w:t>
      </w:r>
      <w:r>
        <w:rPr>
          <w:rFonts w:cs="Times New Roman"/>
          <w:lang w:val="fr-CA"/>
        </w:rPr>
        <w:t>sujets débattus lors</w:t>
      </w:r>
      <w:r w:rsidRPr="0001174C">
        <w:rPr>
          <w:rFonts w:cs="Times New Roman"/>
          <w:lang w:val="fr-CA"/>
        </w:rPr>
        <w:t xml:space="preserve"> </w:t>
      </w:r>
      <w:r>
        <w:rPr>
          <w:rFonts w:cs="Times New Roman"/>
          <w:lang w:val="fr-CA"/>
        </w:rPr>
        <w:t>d</w:t>
      </w:r>
      <w:r w:rsidRPr="0001174C">
        <w:rPr>
          <w:rFonts w:cs="Times New Roman"/>
          <w:lang w:val="fr-CA"/>
        </w:rPr>
        <w:t xml:space="preserve">u </w:t>
      </w:r>
      <w:r>
        <w:rPr>
          <w:rFonts w:cs="Times New Roman"/>
          <w:lang w:val="fr-CA"/>
        </w:rPr>
        <w:t>procès</w:t>
      </w:r>
      <w:r w:rsidRPr="0001174C">
        <w:rPr>
          <w:rFonts w:cs="Times New Roman"/>
          <w:lang w:val="fr-CA"/>
        </w:rPr>
        <w:t>. Avant de témoigner, il avait été interrogé par la police à plusieurs reprises et n</w:t>
      </w:r>
      <w:r>
        <w:rPr>
          <w:rFonts w:cs="Times New Roman"/>
          <w:lang w:val="fr-CA"/>
        </w:rPr>
        <w:t>’</w:t>
      </w:r>
      <w:r w:rsidRPr="0001174C">
        <w:rPr>
          <w:rFonts w:cs="Times New Roman"/>
          <w:lang w:val="fr-CA"/>
        </w:rPr>
        <w:t>a</w:t>
      </w:r>
      <w:r>
        <w:rPr>
          <w:rFonts w:cs="Times New Roman"/>
          <w:lang w:val="fr-CA"/>
        </w:rPr>
        <w:t>vait</w:t>
      </w:r>
      <w:r w:rsidRPr="0001174C">
        <w:rPr>
          <w:rFonts w:cs="Times New Roman"/>
          <w:lang w:val="fr-CA"/>
        </w:rPr>
        <w:t xml:space="preserve"> jamais mentionné le second aveu </w:t>
      </w:r>
      <w:r>
        <w:rPr>
          <w:rFonts w:cs="Times New Roman"/>
          <w:lang w:val="fr-CA"/>
        </w:rPr>
        <w:t xml:space="preserve">de </w:t>
      </w:r>
      <w:r w:rsidRPr="0001174C">
        <w:rPr>
          <w:rFonts w:cs="Times New Roman"/>
          <w:lang w:val="fr-CA"/>
        </w:rPr>
        <w:t>l</w:t>
      </w:r>
      <w:r>
        <w:rPr>
          <w:rFonts w:cs="Times New Roman"/>
          <w:lang w:val="fr-CA"/>
        </w:rPr>
        <w:t>’</w:t>
      </w:r>
      <w:r w:rsidRPr="0001174C">
        <w:rPr>
          <w:rFonts w:cs="Times New Roman"/>
          <w:lang w:val="fr-CA"/>
        </w:rPr>
        <w:t xml:space="preserve">appelant </w:t>
      </w:r>
      <w:r>
        <w:rPr>
          <w:rFonts w:cs="Times New Roman"/>
          <w:lang w:val="fr-CA"/>
        </w:rPr>
        <w:t xml:space="preserve">intervenu pendant qu’ils rentraient chez eux </w:t>
      </w:r>
      <w:r w:rsidRPr="0001174C">
        <w:rPr>
          <w:rFonts w:cs="Times New Roman"/>
          <w:lang w:val="fr-CA"/>
        </w:rPr>
        <w:t xml:space="preserve">en voiture. De fait, dans une déclaration sous </w:t>
      </w:r>
      <w:r w:rsidRPr="0001174C">
        <w:rPr>
          <w:rFonts w:cs="Times New Roman"/>
          <w:lang w:val="fr-CA"/>
        </w:rPr>
        <w:lastRenderedPageBreak/>
        <w:t xml:space="preserve">serment à la police,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niait </w:t>
      </w:r>
      <w:r w:rsidRPr="0001174C">
        <w:rPr>
          <w:rFonts w:cs="Times New Roman"/>
          <w:lang w:val="fr-CA"/>
        </w:rPr>
        <w:t xml:space="preserve">expressément avoir parlé </w:t>
      </w:r>
      <w:r>
        <w:rPr>
          <w:rFonts w:cs="Times New Roman"/>
          <w:lang w:val="fr-CA"/>
        </w:rPr>
        <w:t xml:space="preserve">à </w:t>
      </w:r>
      <w:r w:rsidRPr="0001174C">
        <w:rPr>
          <w:rFonts w:cs="Times New Roman"/>
          <w:lang w:val="fr-CA"/>
        </w:rPr>
        <w:t>l</w:t>
      </w:r>
      <w:r>
        <w:rPr>
          <w:rFonts w:cs="Times New Roman"/>
          <w:lang w:val="fr-CA"/>
        </w:rPr>
        <w:t>’</w:t>
      </w:r>
      <w:r w:rsidRPr="0001174C">
        <w:rPr>
          <w:rFonts w:cs="Times New Roman"/>
          <w:lang w:val="fr-CA"/>
        </w:rPr>
        <w:t xml:space="preserve">appelant de la disparition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lors du trajet de retour vers Fort McMurray. Dans son témoignage,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 </w:t>
      </w:r>
      <w:r>
        <w:rPr>
          <w:rFonts w:cs="Times New Roman"/>
          <w:lang w:val="fr-CA"/>
        </w:rPr>
        <w:t xml:space="preserve">reconnu </w:t>
      </w:r>
      <w:r w:rsidRPr="0001174C">
        <w:rPr>
          <w:rFonts w:cs="Times New Roman"/>
          <w:lang w:val="fr-CA"/>
        </w:rPr>
        <w:t>qu</w:t>
      </w:r>
      <w:r>
        <w:rPr>
          <w:rFonts w:cs="Times New Roman"/>
          <w:lang w:val="fr-CA"/>
        </w:rPr>
        <w:t>’</w:t>
      </w:r>
      <w:r w:rsidRPr="0001174C">
        <w:rPr>
          <w:rFonts w:cs="Times New Roman"/>
          <w:lang w:val="fr-CA"/>
        </w:rPr>
        <w:t xml:space="preserve">il </w:t>
      </w:r>
      <w:r>
        <w:rPr>
          <w:rFonts w:cs="Times New Roman"/>
          <w:lang w:val="fr-CA"/>
        </w:rPr>
        <w:t xml:space="preserve">savait </w:t>
      </w:r>
      <w:r w:rsidRPr="0001174C">
        <w:rPr>
          <w:rFonts w:cs="Times New Roman"/>
          <w:lang w:val="fr-CA"/>
        </w:rPr>
        <w:t>que</w:t>
      </w:r>
      <w:r w:rsidRPr="003E515C">
        <w:rPr>
          <w:rFonts w:cs="Times New Roman"/>
          <w:lang w:val="fr-CA"/>
        </w:rPr>
        <w:t xml:space="preserve"> </w:t>
      </w:r>
      <w:r>
        <w:rPr>
          <w:rFonts w:cs="Times New Roman"/>
          <w:lang w:val="fr-CA"/>
        </w:rPr>
        <w:t>[</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Pr>
          <w:rFonts w:cs="Times New Roman"/>
          <w:lang w:val="fr-CA"/>
        </w:rPr>
        <w:t xml:space="preserve">la tête de Robbie </w:t>
      </w:r>
      <w:r w:rsidRPr="0001174C">
        <w:rPr>
          <w:rFonts w:cs="Times New Roman"/>
          <w:lang w:val="fr-CA"/>
        </w:rPr>
        <w:t>Levoir</w:t>
      </w:r>
      <w:r>
        <w:rPr>
          <w:rFonts w:cs="Times New Roman"/>
          <w:lang w:val="fr-CA"/>
        </w:rPr>
        <w:t xml:space="preserve"> avait été </w:t>
      </w:r>
      <w:r w:rsidRPr="0001174C">
        <w:rPr>
          <w:rFonts w:cs="Times New Roman"/>
          <w:lang w:val="fr-CA"/>
        </w:rPr>
        <w:t>mis</w:t>
      </w:r>
      <w:r>
        <w:rPr>
          <w:rFonts w:cs="Times New Roman"/>
          <w:lang w:val="fr-CA"/>
        </w:rPr>
        <w:t>e</w:t>
      </w:r>
      <w:r w:rsidRPr="0001174C">
        <w:rPr>
          <w:rFonts w:cs="Times New Roman"/>
          <w:lang w:val="fr-CA"/>
        </w:rPr>
        <w:t xml:space="preserve"> à prix</w:t>
      </w:r>
      <w:r w:rsidR="00203E16">
        <w:rPr>
          <w:rFonts w:cs="Times New Roman"/>
          <w:lang w:val="fr-CA"/>
        </w:rPr>
        <w:t> »</w:t>
      </w:r>
      <w:r w:rsidRPr="0001174C">
        <w:rPr>
          <w:rFonts w:cs="Times New Roman"/>
          <w:lang w:val="fr-CA"/>
        </w:rPr>
        <w:t xml:space="preserve"> </w:t>
      </w:r>
      <w:r>
        <w:rPr>
          <w:rFonts w:cs="Times New Roman"/>
          <w:lang w:val="fr-CA"/>
        </w:rPr>
        <w:t xml:space="preserve">par </w:t>
      </w:r>
      <w:r w:rsidRPr="0001174C">
        <w:rPr>
          <w:rFonts w:cs="Times New Roman"/>
          <w:lang w:val="fr-CA"/>
        </w:rPr>
        <w:t xml:space="preserve">des </w:t>
      </w:r>
      <w:r>
        <w:rPr>
          <w:rFonts w:cs="Times New Roman"/>
          <w:lang w:val="fr-CA"/>
        </w:rPr>
        <w:t xml:space="preserve">trafiquants </w:t>
      </w:r>
      <w:r w:rsidRPr="0001174C">
        <w:rPr>
          <w:rFonts w:cs="Times New Roman"/>
          <w:lang w:val="fr-CA"/>
        </w:rPr>
        <w:t xml:space="preserve">de drogue de Vancouver </w:t>
      </w:r>
      <w:r>
        <w:rPr>
          <w:rFonts w:cs="Times New Roman"/>
          <w:lang w:val="fr-CA"/>
        </w:rPr>
        <w:t xml:space="preserve">en </w:t>
      </w:r>
      <w:r w:rsidRPr="0001174C">
        <w:rPr>
          <w:rFonts w:cs="Times New Roman"/>
          <w:lang w:val="fr-CA"/>
        </w:rPr>
        <w:t xml:space="preserve">2002, avant sa disparition. La défense a finalement </w:t>
      </w:r>
      <w:r>
        <w:rPr>
          <w:rFonts w:cs="Times New Roman"/>
          <w:lang w:val="fr-CA"/>
        </w:rPr>
        <w:t xml:space="preserve">soutenu </w:t>
      </w:r>
      <w:r w:rsidRPr="0001174C">
        <w:rPr>
          <w:rFonts w:cs="Times New Roman"/>
          <w:lang w:val="fr-CA"/>
        </w:rPr>
        <w:t xml:space="preserve">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avait tué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pour toucher </w:t>
      </w:r>
      <w:r>
        <w:rPr>
          <w:rFonts w:cs="Times New Roman"/>
          <w:lang w:val="fr-CA"/>
        </w:rPr>
        <w:t>l</w:t>
      </w:r>
      <w:r w:rsidRPr="0001174C">
        <w:rPr>
          <w:rFonts w:cs="Times New Roman"/>
          <w:lang w:val="fr-CA"/>
        </w:rPr>
        <w:t xml:space="preserve">a prime </w:t>
      </w:r>
      <w:r>
        <w:rPr>
          <w:rFonts w:cs="Times New Roman"/>
          <w:lang w:val="fr-CA"/>
        </w:rPr>
        <w:t>offerte</w:t>
      </w:r>
      <w:r w:rsidRPr="0001174C">
        <w:rPr>
          <w:rFonts w:cs="Times New Roman"/>
          <w:lang w:val="fr-CA"/>
        </w:rPr>
        <w:t>.</w:t>
      </w:r>
    </w:p>
    <w:p w:rsidR="00AF2876" w:rsidRPr="0001174C" w:rsidRDefault="00AF2876" w:rsidP="00AF2876">
      <w:pPr>
        <w:pStyle w:val="Title2LevelTitre2Niveau"/>
        <w:ind w:left="576" w:hanging="576"/>
        <w:rPr>
          <w:rFonts w:cs="Times New Roman"/>
          <w:lang w:val="fr-CA"/>
        </w:rPr>
      </w:pPr>
      <w:r>
        <w:rPr>
          <w:rFonts w:cs="Times New Roman"/>
          <w:lang w:val="fr-CA"/>
        </w:rPr>
        <w:t>Le t</w:t>
      </w:r>
      <w:r w:rsidRPr="0001174C">
        <w:rPr>
          <w:rFonts w:cs="Times New Roman"/>
          <w:lang w:val="fr-CA"/>
        </w:rPr>
        <w:t>émoignage de l</w:t>
      </w:r>
      <w:r>
        <w:rPr>
          <w:rFonts w:cs="Times New Roman"/>
          <w:lang w:val="fr-CA"/>
        </w:rPr>
        <w:t>’</w:t>
      </w:r>
      <w:r w:rsidRPr="0001174C">
        <w:rPr>
          <w:rFonts w:cs="Times New Roman"/>
          <w:lang w:val="fr-CA"/>
        </w:rPr>
        <w:t>appelant</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appelant</w:t>
      </w:r>
      <w:r>
        <w:rPr>
          <w:rFonts w:cs="Times New Roman"/>
          <w:lang w:val="fr-CA"/>
        </w:rPr>
        <w:t xml:space="preserve"> </w:t>
      </w:r>
      <w:r w:rsidRPr="0001174C">
        <w:rPr>
          <w:rFonts w:cs="Times New Roman"/>
          <w:lang w:val="fr-CA"/>
        </w:rPr>
        <w:t>a témoigné</w:t>
      </w:r>
      <w:r>
        <w:rPr>
          <w:rFonts w:cs="Times New Roman"/>
          <w:lang w:val="fr-CA"/>
        </w:rPr>
        <w:t xml:space="preserve">. Il </w:t>
      </w:r>
      <w:r w:rsidRPr="0001174C">
        <w:rPr>
          <w:rFonts w:cs="Times New Roman"/>
          <w:lang w:val="fr-CA"/>
        </w:rPr>
        <w:t xml:space="preserve">a nié avoir tué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Il a expliqué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et lui avaient prévu partir à la chasse le 6</w:t>
      </w:r>
      <w:r w:rsidR="00203E16">
        <w:rPr>
          <w:rFonts w:cs="Times New Roman"/>
          <w:lang w:val="fr-CA"/>
        </w:rPr>
        <w:t xml:space="preserve"> </w:t>
      </w:r>
      <w:r w:rsidRPr="0001174C">
        <w:rPr>
          <w:rFonts w:cs="Times New Roman"/>
          <w:lang w:val="fr-CA"/>
        </w:rPr>
        <w:t>novembre</w:t>
      </w:r>
      <w:r>
        <w:rPr>
          <w:rFonts w:cs="Times New Roman"/>
          <w:lang w:val="fr-CA"/>
        </w:rPr>
        <w:t xml:space="preserve"> </w:t>
      </w:r>
      <w:r w:rsidRPr="0001174C">
        <w:rPr>
          <w:rFonts w:cs="Times New Roman"/>
          <w:lang w:val="fr-CA"/>
        </w:rPr>
        <w:t xml:space="preserve">2002. Ils </w:t>
      </w:r>
      <w:r>
        <w:rPr>
          <w:rFonts w:cs="Times New Roman"/>
          <w:lang w:val="fr-CA"/>
        </w:rPr>
        <w:t>avaien</w:t>
      </w:r>
      <w:r w:rsidRPr="0001174C">
        <w:rPr>
          <w:rFonts w:cs="Times New Roman"/>
          <w:lang w:val="fr-CA"/>
        </w:rPr>
        <w:t xml:space="preserve">t invité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à les accompagner, et ce dernier a</w:t>
      </w:r>
      <w:r>
        <w:rPr>
          <w:rFonts w:cs="Times New Roman"/>
          <w:lang w:val="fr-CA"/>
        </w:rPr>
        <w:t>vait</w:t>
      </w:r>
      <w:r w:rsidRPr="0001174C">
        <w:rPr>
          <w:rFonts w:cs="Times New Roman"/>
          <w:lang w:val="fr-CA"/>
        </w:rPr>
        <w:t xml:space="preserve"> accepté. Les trois hommes </w:t>
      </w:r>
      <w:r>
        <w:rPr>
          <w:rFonts w:cs="Times New Roman"/>
          <w:lang w:val="fr-CA"/>
        </w:rPr>
        <w:t>s’étaient</w:t>
      </w:r>
      <w:r w:rsidRPr="0001174C">
        <w:rPr>
          <w:rFonts w:cs="Times New Roman"/>
          <w:lang w:val="fr-CA"/>
        </w:rPr>
        <w:t xml:space="preserve"> rendus en voiture à la propriété du père de l</w:t>
      </w:r>
      <w:r>
        <w:rPr>
          <w:rFonts w:cs="Times New Roman"/>
          <w:lang w:val="fr-CA"/>
        </w:rPr>
        <w:t>’</w:t>
      </w:r>
      <w:r w:rsidRPr="0001174C">
        <w:rPr>
          <w:rFonts w:cs="Times New Roman"/>
          <w:lang w:val="fr-CA"/>
        </w:rPr>
        <w:t>appelant dans l</w:t>
      </w:r>
      <w:r>
        <w:rPr>
          <w:rFonts w:cs="Times New Roman"/>
          <w:lang w:val="fr-CA"/>
        </w:rPr>
        <w:t>’</w:t>
      </w:r>
      <w:r w:rsidRPr="0001174C">
        <w:rPr>
          <w:rFonts w:cs="Times New Roman"/>
          <w:lang w:val="fr-CA"/>
        </w:rPr>
        <w:t>intention d</w:t>
      </w:r>
      <w:r>
        <w:rPr>
          <w:rFonts w:cs="Times New Roman"/>
          <w:lang w:val="fr-CA"/>
        </w:rPr>
        <w:t>’</w:t>
      </w:r>
      <w:r w:rsidRPr="0001174C">
        <w:rPr>
          <w:rFonts w:cs="Times New Roman"/>
          <w:lang w:val="fr-CA"/>
        </w:rPr>
        <w:t>y chasser.</w:t>
      </w:r>
    </w:p>
    <w:p w:rsidR="00AF2876" w:rsidRPr="00BB1185" w:rsidRDefault="00AF2876" w:rsidP="00AF2876">
      <w:pPr>
        <w:pStyle w:val="ParaNoNdepar-AltN"/>
        <w:rPr>
          <w:rFonts w:cs="Times New Roman"/>
          <w:lang w:val="fr-CA"/>
        </w:rPr>
      </w:pPr>
      <w:r>
        <w:rPr>
          <w:rFonts w:cs="Times New Roman"/>
          <w:lang w:val="fr-CA"/>
        </w:rPr>
        <w:t>A</w:t>
      </w:r>
      <w:r w:rsidRPr="0001174C">
        <w:rPr>
          <w:rFonts w:cs="Times New Roman"/>
          <w:lang w:val="fr-CA"/>
        </w:rPr>
        <w:t>près l</w:t>
      </w:r>
      <w:r>
        <w:rPr>
          <w:rFonts w:cs="Times New Roman"/>
          <w:lang w:val="fr-CA"/>
        </w:rPr>
        <w:t>’</w:t>
      </w:r>
      <w:r w:rsidRPr="0001174C">
        <w:rPr>
          <w:rFonts w:cs="Times New Roman"/>
          <w:lang w:val="fr-CA"/>
        </w:rPr>
        <w:t xml:space="preserve">arrivée des trois hommes à la propriété, </w:t>
      </w:r>
      <w:r>
        <w:rPr>
          <w:rFonts w:cs="Times New Roman"/>
          <w:lang w:val="fr-CA"/>
        </w:rPr>
        <w:t>MM.</w:t>
      </w:r>
      <w:r w:rsidR="00203E16">
        <w:rPr>
          <w:rFonts w:cs="Times New Roman"/>
          <w:lang w:val="fr-CA"/>
        </w:rPr>
        <w:t xml:space="preserve"> </w:t>
      </w:r>
      <w:r>
        <w:rPr>
          <w:rFonts w:cs="Times New Roman"/>
          <w:lang w:val="fr-CA"/>
        </w:rPr>
        <w:t>Levoir</w:t>
      </w:r>
      <w:r w:rsidRPr="0001174C">
        <w:rPr>
          <w:rFonts w:cs="Times New Roman"/>
          <w:lang w:val="fr-CA"/>
        </w:rPr>
        <w:t xml:space="preserve"> et </w:t>
      </w:r>
      <w:r>
        <w:rPr>
          <w:rFonts w:cs="Times New Roman"/>
          <w:lang w:val="fr-CA"/>
        </w:rPr>
        <w:t>Argueta</w:t>
      </w:r>
      <w:r w:rsidRPr="0001174C">
        <w:rPr>
          <w:rFonts w:cs="Times New Roman"/>
          <w:lang w:val="fr-CA"/>
        </w:rPr>
        <w:t xml:space="preserve"> se </w:t>
      </w:r>
      <w:r>
        <w:rPr>
          <w:rFonts w:cs="Times New Roman"/>
          <w:lang w:val="fr-CA"/>
        </w:rPr>
        <w:t xml:space="preserve">seraient </w:t>
      </w:r>
      <w:r w:rsidRPr="0001174C">
        <w:rPr>
          <w:rFonts w:cs="Times New Roman"/>
          <w:lang w:val="fr-CA"/>
        </w:rPr>
        <w:t xml:space="preserve">séparés de </w:t>
      </w:r>
      <w:r>
        <w:rPr>
          <w:rFonts w:cs="Times New Roman"/>
          <w:lang w:val="fr-CA"/>
        </w:rPr>
        <w:t>l’appelant</w:t>
      </w:r>
      <w:r w:rsidRPr="0001174C">
        <w:rPr>
          <w:rFonts w:cs="Times New Roman"/>
          <w:lang w:val="fr-CA"/>
        </w:rPr>
        <w:t>. Quelques minutes plus tard, l</w:t>
      </w:r>
      <w:r>
        <w:rPr>
          <w:rFonts w:cs="Times New Roman"/>
          <w:lang w:val="fr-CA"/>
        </w:rPr>
        <w:t>’</w:t>
      </w:r>
      <w:r w:rsidRPr="0001174C">
        <w:rPr>
          <w:rFonts w:cs="Times New Roman"/>
          <w:lang w:val="fr-CA"/>
        </w:rPr>
        <w:t>appelant a</w:t>
      </w:r>
      <w:r>
        <w:rPr>
          <w:rFonts w:cs="Times New Roman"/>
          <w:lang w:val="fr-CA"/>
        </w:rPr>
        <w:t>urait</w:t>
      </w:r>
      <w:r w:rsidRPr="0001174C">
        <w:rPr>
          <w:rFonts w:cs="Times New Roman"/>
          <w:lang w:val="fr-CA"/>
        </w:rPr>
        <w:t xml:space="preserve"> entendu une série de coups de feu. Il </w:t>
      </w:r>
      <w:r>
        <w:rPr>
          <w:rFonts w:cs="Times New Roman"/>
          <w:lang w:val="fr-CA"/>
        </w:rPr>
        <w:t xml:space="preserve">serait </w:t>
      </w:r>
      <w:r w:rsidRPr="0001174C">
        <w:rPr>
          <w:rFonts w:cs="Times New Roman"/>
          <w:lang w:val="fr-CA"/>
        </w:rPr>
        <w:t xml:space="preserve">revenu sur la route et </w:t>
      </w:r>
      <w:r w:rsidRPr="00BB1185">
        <w:rPr>
          <w:rFonts w:cs="Times New Roman"/>
          <w:lang w:val="fr-CA"/>
        </w:rPr>
        <w:t>aurait rencontré M.</w:t>
      </w:r>
      <w:r w:rsidR="00203E16">
        <w:rPr>
          <w:rFonts w:cs="Times New Roman"/>
          <w:lang w:val="fr-CA"/>
        </w:rPr>
        <w:t xml:space="preserve"> </w:t>
      </w:r>
      <w:r w:rsidRPr="00BB1185">
        <w:rPr>
          <w:rFonts w:cs="Times New Roman"/>
          <w:lang w:val="fr-CA"/>
        </w:rPr>
        <w:t>Argueta, auquel il aurait demandé</w:t>
      </w:r>
      <w:r w:rsidR="00203E16">
        <w:rPr>
          <w:rFonts w:cs="Times New Roman"/>
          <w:lang w:val="fr-CA"/>
        </w:rPr>
        <w:t xml:space="preserve"> </w:t>
      </w:r>
      <w:r w:rsidRPr="00BB1185">
        <w:rPr>
          <w:rFonts w:cs="Times New Roman"/>
          <w:smallCaps/>
          <w:lang w:val="fr-CA"/>
        </w:rPr>
        <w:t>[traduction]</w:t>
      </w:r>
      <w:r w:rsidRPr="00BB1185">
        <w:rPr>
          <w:rFonts w:cs="Times New Roman"/>
          <w:lang w:val="fr-CA"/>
        </w:rPr>
        <w:t xml:space="preserve"> </w:t>
      </w:r>
      <w:r w:rsidR="00203E16">
        <w:rPr>
          <w:rFonts w:cs="Times New Roman"/>
          <w:lang w:val="fr-CA"/>
        </w:rPr>
        <w:t>« </w:t>
      </w:r>
      <w:r w:rsidRPr="00BB1185">
        <w:rPr>
          <w:rFonts w:cs="Times New Roman"/>
          <w:lang w:val="fr-CA"/>
        </w:rPr>
        <w:t>où est Robbie?</w:t>
      </w:r>
      <w:r w:rsidR="00203E16">
        <w:rPr>
          <w:rFonts w:cs="Times New Roman"/>
          <w:lang w:val="fr-CA"/>
        </w:rPr>
        <w:t> »</w:t>
      </w:r>
      <w:r w:rsidRPr="00BB1185">
        <w:rPr>
          <w:rFonts w:cs="Times New Roman"/>
          <w:lang w:val="fr-CA"/>
        </w:rPr>
        <w:t>. M.</w:t>
      </w:r>
      <w:r w:rsidR="00203E16">
        <w:rPr>
          <w:rFonts w:cs="Times New Roman"/>
          <w:lang w:val="fr-CA"/>
        </w:rPr>
        <w:t xml:space="preserve"> </w:t>
      </w:r>
      <w:r w:rsidRPr="00BB1185">
        <w:rPr>
          <w:rFonts w:cs="Times New Roman"/>
          <w:lang w:val="fr-CA"/>
        </w:rPr>
        <w:t xml:space="preserve">Argueta aurait répondu </w:t>
      </w:r>
      <w:r w:rsidR="00203E16">
        <w:rPr>
          <w:rFonts w:cs="Times New Roman"/>
          <w:lang w:val="fr-CA"/>
        </w:rPr>
        <w:t>« </w:t>
      </w:r>
      <w:r w:rsidRPr="00BB1185">
        <w:rPr>
          <w:rFonts w:cs="Times New Roman"/>
          <w:lang w:val="fr-CA"/>
        </w:rPr>
        <w:t xml:space="preserve">c’est ce qui arrive quand ta tête est mise à prix </w:t>
      </w:r>
      <w:r w:rsidRPr="008D41E0">
        <w:rPr>
          <w:rFonts w:cs="Times New Roman"/>
          <w:lang w:val="fr-CA"/>
        </w:rPr>
        <w:t>pour avoir provoqué</w:t>
      </w:r>
      <w:r w:rsidRPr="00BB1185">
        <w:rPr>
          <w:rFonts w:cs="Times New Roman"/>
          <w:lang w:val="fr-CA"/>
        </w:rPr>
        <w:t xml:space="preserve"> de gros joueurs</w:t>
      </w:r>
      <w:r w:rsidR="00203E16">
        <w:rPr>
          <w:rFonts w:cs="Times New Roman"/>
          <w:lang w:val="fr-CA"/>
        </w:rPr>
        <w:t> »</w:t>
      </w:r>
      <w:r w:rsidRPr="00BB1185">
        <w:rPr>
          <w:rFonts w:cs="Times New Roman"/>
          <w:lang w:val="fr-CA"/>
        </w:rPr>
        <w:t>. L’appelant aurait alors tourné le regard et aperçu le corps de M.</w:t>
      </w:r>
      <w:r w:rsidR="00203E16">
        <w:rPr>
          <w:rFonts w:cs="Times New Roman"/>
          <w:lang w:val="fr-CA"/>
        </w:rPr>
        <w:t xml:space="preserve"> </w:t>
      </w:r>
      <w:r w:rsidRPr="00BB1185">
        <w:rPr>
          <w:rFonts w:cs="Times New Roman"/>
          <w:lang w:val="fr-CA"/>
        </w:rPr>
        <w:t>Levoir gisant dans l’herbe. M.</w:t>
      </w:r>
      <w:r w:rsidR="00203E16">
        <w:rPr>
          <w:rFonts w:cs="Times New Roman"/>
          <w:lang w:val="fr-CA"/>
        </w:rPr>
        <w:t xml:space="preserve"> </w:t>
      </w:r>
      <w:r w:rsidRPr="00BB1185">
        <w:rPr>
          <w:rFonts w:cs="Times New Roman"/>
          <w:lang w:val="fr-CA"/>
        </w:rPr>
        <w:t xml:space="preserve">Argueta lui aurait dit </w:t>
      </w:r>
      <w:r w:rsidR="00203E16">
        <w:rPr>
          <w:rFonts w:cs="Times New Roman"/>
          <w:lang w:val="fr-CA"/>
        </w:rPr>
        <w:t>« </w:t>
      </w:r>
      <w:r w:rsidRPr="00BB1185">
        <w:rPr>
          <w:rFonts w:cs="Times New Roman"/>
          <w:lang w:val="fr-CA"/>
        </w:rPr>
        <w:t>tais</w:t>
      </w:r>
      <w:r w:rsidR="00203E16">
        <w:rPr>
          <w:rFonts w:cs="Times New Roman"/>
          <w:lang w:val="fr-CA"/>
        </w:rPr>
        <w:t>-</w:t>
      </w:r>
      <w:r w:rsidRPr="00BB1185">
        <w:rPr>
          <w:rFonts w:cs="Times New Roman"/>
          <w:lang w:val="fr-CA"/>
        </w:rPr>
        <w:t>toi et ne t’en fais pas</w:t>
      </w:r>
      <w:r w:rsidR="00203E16">
        <w:rPr>
          <w:rFonts w:cs="Times New Roman"/>
          <w:lang w:val="fr-CA"/>
        </w:rPr>
        <w:t> »</w:t>
      </w:r>
      <w:r w:rsidRPr="00BB1185">
        <w:rPr>
          <w:rFonts w:cs="Times New Roman"/>
          <w:lang w:val="fr-CA"/>
        </w:rPr>
        <w:t xml:space="preserve">, puis ajouté qu’il allait </w:t>
      </w:r>
      <w:r w:rsidR="00203E16">
        <w:rPr>
          <w:rFonts w:cs="Times New Roman"/>
          <w:lang w:val="fr-CA"/>
        </w:rPr>
        <w:t>« </w:t>
      </w:r>
      <w:r w:rsidRPr="00BB1185">
        <w:rPr>
          <w:rFonts w:cs="Times New Roman"/>
          <w:lang w:val="fr-CA"/>
        </w:rPr>
        <w:t>revenir et s’en occuper</w:t>
      </w:r>
      <w:r w:rsidR="00203E16">
        <w:rPr>
          <w:rFonts w:cs="Times New Roman"/>
          <w:lang w:val="fr-CA"/>
        </w:rPr>
        <w:t> »</w:t>
      </w:r>
      <w:r w:rsidRPr="00BB1185">
        <w:rPr>
          <w:rFonts w:cs="Times New Roman"/>
          <w:lang w:val="fr-CA"/>
        </w:rPr>
        <w:t>. Il lui aurait aussi dit, lors d’une conversation dans un bar environ un mois plus tard, qu’il avait brûlé la dépouille pendant deux jours dans un foyer en plein air sur la propriété en question.</w:t>
      </w:r>
    </w:p>
    <w:p w:rsidR="00AF2876" w:rsidRPr="0001174C" w:rsidRDefault="00AF2876" w:rsidP="00AF2876">
      <w:pPr>
        <w:pStyle w:val="ParaNoNdepar-AltN"/>
        <w:rPr>
          <w:rFonts w:cs="Times New Roman"/>
          <w:lang w:val="fr-CA"/>
        </w:rPr>
      </w:pPr>
      <w:r>
        <w:rPr>
          <w:rFonts w:cs="Times New Roman"/>
          <w:lang w:val="fr-CA"/>
        </w:rPr>
        <w:lastRenderedPageBreak/>
        <w:t>Concernant</w:t>
      </w:r>
      <w:r w:rsidRPr="0001174C">
        <w:rPr>
          <w:rFonts w:cs="Times New Roman"/>
          <w:lang w:val="fr-CA"/>
        </w:rPr>
        <w:t xml:space="preserve"> </w:t>
      </w:r>
      <w:r w:rsidRPr="001D0501">
        <w:rPr>
          <w:rFonts w:cs="Times New Roman"/>
          <w:lang w:val="fr-CA"/>
        </w:rPr>
        <w:t>son supposé aveu</w:t>
      </w:r>
      <w:r>
        <w:rPr>
          <w:rFonts w:cs="Times New Roman"/>
          <w:lang w:val="fr-CA"/>
        </w:rPr>
        <w:t xml:space="preserve"> à Jay </w:t>
      </w:r>
      <w:r w:rsidRPr="0001174C">
        <w:rPr>
          <w:rFonts w:cs="Times New Roman"/>
          <w:lang w:val="fr-CA"/>
        </w:rPr>
        <w:t>Love, l</w:t>
      </w:r>
      <w:r>
        <w:rPr>
          <w:rFonts w:cs="Times New Roman"/>
          <w:lang w:val="fr-CA"/>
        </w:rPr>
        <w:t>’</w:t>
      </w:r>
      <w:r w:rsidRPr="0001174C">
        <w:rPr>
          <w:rFonts w:cs="Times New Roman"/>
          <w:lang w:val="fr-CA"/>
        </w:rPr>
        <w:t xml:space="preserve">appelant a affirmé que </w:t>
      </w:r>
      <w:r>
        <w:rPr>
          <w:rFonts w:cs="Times New Roman"/>
          <w:lang w:val="fr-CA"/>
        </w:rPr>
        <w:t>celui</w:t>
      </w:r>
      <w:r w:rsidR="00203E16">
        <w:rPr>
          <w:rFonts w:cs="Times New Roman"/>
          <w:lang w:val="fr-CA"/>
        </w:rPr>
        <w:t>-</w:t>
      </w:r>
      <w:r>
        <w:rPr>
          <w:rFonts w:cs="Times New Roman"/>
          <w:lang w:val="fr-CA"/>
        </w:rPr>
        <w:t xml:space="preserve">ci </w:t>
      </w:r>
      <w:r w:rsidRPr="0001174C">
        <w:rPr>
          <w:rFonts w:cs="Times New Roman"/>
          <w:lang w:val="fr-CA"/>
        </w:rPr>
        <w:t>avait mal entendu ce qu</w:t>
      </w:r>
      <w:r>
        <w:rPr>
          <w:rFonts w:cs="Times New Roman"/>
          <w:lang w:val="fr-CA"/>
        </w:rPr>
        <w:t>’</w:t>
      </w:r>
      <w:r w:rsidRPr="0001174C">
        <w:rPr>
          <w:rFonts w:cs="Times New Roman"/>
          <w:lang w:val="fr-CA"/>
        </w:rPr>
        <w:t xml:space="preserve">il lui avait dit au bar le </w:t>
      </w:r>
      <w:r w:rsidRPr="0001174C">
        <w:rPr>
          <w:lang w:val="fr-CA"/>
        </w:rPr>
        <w:t>21</w:t>
      </w:r>
      <w:r w:rsidR="00203E16">
        <w:rPr>
          <w:lang w:val="fr-CA"/>
        </w:rPr>
        <w:t xml:space="preserve"> </w:t>
      </w:r>
      <w:r w:rsidRPr="0001174C">
        <w:rPr>
          <w:lang w:val="fr-CA"/>
        </w:rPr>
        <w:t>décembre</w:t>
      </w:r>
      <w:r>
        <w:rPr>
          <w:lang w:val="fr-CA"/>
        </w:rPr>
        <w:t xml:space="preserve"> </w:t>
      </w:r>
      <w:r w:rsidRPr="0001174C">
        <w:rPr>
          <w:lang w:val="fr-CA"/>
        </w:rPr>
        <w:t>2002. Il a expliqué qu</w:t>
      </w:r>
      <w:r>
        <w:rPr>
          <w:lang w:val="fr-CA"/>
        </w:rPr>
        <w:t xml:space="preserve">’il n’avait pas avoué le meurtre, mais bien tenté de révéler </w:t>
      </w:r>
      <w:r w:rsidRPr="0001174C">
        <w:rPr>
          <w:rFonts w:cs="Times New Roman"/>
          <w:lang w:val="fr-CA"/>
        </w:rPr>
        <w:t>à M.</w:t>
      </w:r>
      <w:r w:rsidR="00203E16">
        <w:rPr>
          <w:rFonts w:cs="Times New Roman"/>
          <w:lang w:val="fr-CA"/>
        </w:rPr>
        <w:t xml:space="preserve"> </w:t>
      </w:r>
      <w:r w:rsidRPr="0001174C">
        <w:rPr>
          <w:rFonts w:cs="Times New Roman"/>
          <w:lang w:val="fr-CA"/>
        </w:rPr>
        <w:t xml:space="preserve">Love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avait </w:t>
      </w:r>
      <w:r>
        <w:rPr>
          <w:rFonts w:cs="Times New Roman"/>
          <w:lang w:val="fr-CA"/>
        </w:rPr>
        <w:t xml:space="preserve">assassiné </w:t>
      </w:r>
      <w:r w:rsidRPr="0001174C">
        <w:rPr>
          <w:rFonts w:cs="Times New Roman"/>
          <w:lang w:val="fr-CA"/>
        </w:rPr>
        <w:t xml:space="preserve">la victime. </w:t>
      </w:r>
      <w:r>
        <w:rPr>
          <w:rFonts w:cs="Times New Roman"/>
          <w:lang w:val="fr-CA"/>
        </w:rPr>
        <w:t>Quant a</w:t>
      </w:r>
      <w:r w:rsidRPr="0001174C">
        <w:rPr>
          <w:rFonts w:cs="Times New Roman"/>
          <w:lang w:val="fr-CA"/>
        </w:rPr>
        <w:t xml:space="preserve">u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l</w:t>
      </w:r>
      <w:r>
        <w:rPr>
          <w:rFonts w:cs="Times New Roman"/>
          <w:lang w:val="fr-CA"/>
        </w:rPr>
        <w:t>’</w:t>
      </w:r>
      <w:r w:rsidRPr="0001174C">
        <w:rPr>
          <w:rFonts w:cs="Times New Roman"/>
          <w:lang w:val="fr-CA"/>
        </w:rPr>
        <w:t>appelant a affirmé qu</w:t>
      </w:r>
      <w:r>
        <w:rPr>
          <w:rFonts w:cs="Times New Roman"/>
          <w:lang w:val="fr-CA"/>
        </w:rPr>
        <w:t>’il n’était</w:t>
      </w:r>
      <w:r w:rsidRPr="0001174C">
        <w:rPr>
          <w:rFonts w:cs="Times New Roman"/>
          <w:lang w:val="fr-CA"/>
        </w:rPr>
        <w:t xml:space="preserve"> pas</w:t>
      </w:r>
      <w:r>
        <w:rPr>
          <w:rFonts w:cs="Times New Roman"/>
          <w:lang w:val="fr-CA"/>
        </w:rPr>
        <w:t xml:space="preserve"> véridique</w:t>
      </w:r>
      <w:r w:rsidRPr="0001174C">
        <w:rPr>
          <w:rFonts w:cs="Times New Roman"/>
          <w:lang w:val="fr-CA"/>
        </w:rPr>
        <w:t xml:space="preserve">. </w:t>
      </w:r>
      <w:r>
        <w:rPr>
          <w:rFonts w:cs="Times New Roman"/>
          <w:lang w:val="fr-CA"/>
        </w:rPr>
        <w:t xml:space="preserve">Il a reconnu </w:t>
      </w:r>
      <w:r w:rsidRPr="0001174C">
        <w:rPr>
          <w:rFonts w:cs="Times New Roman"/>
          <w:lang w:val="fr-CA"/>
        </w:rPr>
        <w:t xml:space="preserve">avoir fait des aveux aux agents </w:t>
      </w:r>
      <w:r>
        <w:rPr>
          <w:rFonts w:cs="Times New Roman"/>
          <w:lang w:val="fr-CA"/>
        </w:rPr>
        <w:t>banalisés</w:t>
      </w:r>
      <w:r w:rsidRPr="0001174C">
        <w:rPr>
          <w:rFonts w:cs="Times New Roman"/>
          <w:lang w:val="fr-CA"/>
        </w:rPr>
        <w:t xml:space="preserve">, </w:t>
      </w:r>
      <w:r>
        <w:rPr>
          <w:rFonts w:cs="Times New Roman"/>
          <w:lang w:val="fr-CA"/>
        </w:rPr>
        <w:t xml:space="preserve">mais </w:t>
      </w:r>
      <w:r w:rsidRPr="0001174C">
        <w:rPr>
          <w:rFonts w:cs="Times New Roman"/>
          <w:lang w:val="fr-CA"/>
        </w:rPr>
        <w:t xml:space="preserve">a </w:t>
      </w:r>
      <w:r>
        <w:rPr>
          <w:rFonts w:cs="Times New Roman"/>
          <w:lang w:val="fr-CA"/>
        </w:rPr>
        <w:t>soutenu les avoir faits pour obtenir arg</w:t>
      </w:r>
      <w:r w:rsidRPr="0001174C">
        <w:rPr>
          <w:rFonts w:cs="Times New Roman"/>
          <w:lang w:val="fr-CA"/>
        </w:rPr>
        <w:t>ent et protection</w:t>
      </w:r>
      <w:r>
        <w:rPr>
          <w:rFonts w:cs="Times New Roman"/>
          <w:lang w:val="fr-CA"/>
        </w:rPr>
        <w:t xml:space="preserve">, </w:t>
      </w:r>
      <w:r w:rsidRPr="008D41E0">
        <w:rPr>
          <w:rFonts w:cs="Times New Roman"/>
          <w:lang w:val="fr-CA"/>
        </w:rPr>
        <w:t>parce qu’il</w:t>
      </w:r>
      <w:r w:rsidRPr="0001174C">
        <w:rPr>
          <w:rFonts w:cs="Times New Roman"/>
          <w:lang w:val="fr-CA"/>
        </w:rPr>
        <w:t xml:space="preserve"> croyait </w:t>
      </w:r>
      <w:r>
        <w:rPr>
          <w:rFonts w:cs="Times New Roman"/>
          <w:lang w:val="fr-CA"/>
        </w:rPr>
        <w:t>qu’ils</w:t>
      </w:r>
      <w:r w:rsidRPr="0001174C">
        <w:rPr>
          <w:rFonts w:cs="Times New Roman"/>
          <w:lang w:val="fr-CA"/>
        </w:rPr>
        <w:t xml:space="preserve"> </w:t>
      </w:r>
      <w:r>
        <w:rPr>
          <w:rFonts w:cs="Times New Roman"/>
          <w:lang w:val="fr-CA"/>
        </w:rPr>
        <w:t xml:space="preserve">s’imposaient </w:t>
      </w:r>
      <w:r w:rsidRPr="0001174C">
        <w:rPr>
          <w:rFonts w:cs="Times New Roman"/>
          <w:lang w:val="fr-CA"/>
        </w:rPr>
        <w:t xml:space="preserve">pour assurer sa propre </w:t>
      </w:r>
      <w:r>
        <w:rPr>
          <w:rFonts w:cs="Times New Roman"/>
          <w:lang w:val="fr-CA"/>
        </w:rPr>
        <w:t>sécurité</w:t>
      </w:r>
      <w:r w:rsidRPr="0001174C">
        <w:rPr>
          <w:rFonts w:cs="Times New Roman"/>
          <w:lang w:val="fr-CA"/>
        </w:rPr>
        <w:t xml:space="preserve"> et pour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sidRPr="0001174C">
        <w:rPr>
          <w:rFonts w:cs="Times New Roman"/>
          <w:lang w:val="fr-CA"/>
        </w:rPr>
        <w:t>avoir l</w:t>
      </w:r>
      <w:r>
        <w:rPr>
          <w:rFonts w:cs="Times New Roman"/>
          <w:lang w:val="fr-CA"/>
        </w:rPr>
        <w:t>’</w:t>
      </w:r>
      <w:r w:rsidRPr="0001174C">
        <w:rPr>
          <w:rFonts w:cs="Times New Roman"/>
          <w:lang w:val="fr-CA"/>
        </w:rPr>
        <w:t>air aussi imp</w:t>
      </w:r>
      <w:r>
        <w:rPr>
          <w:rFonts w:cs="Times New Roman"/>
          <w:lang w:val="fr-CA"/>
        </w:rPr>
        <w:t>ortant, dur et méchant qu’eux</w:t>
      </w:r>
      <w:r w:rsidR="00203E16">
        <w:rPr>
          <w:rFonts w:cs="Times New Roman"/>
          <w:lang w:val="fr-CA"/>
        </w:rPr>
        <w:t> »</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 xml:space="preserve">appelant a fait entendre deux témoins qui ont expliqué </w:t>
      </w:r>
      <w:r>
        <w:rPr>
          <w:rFonts w:cs="Times New Roman"/>
          <w:lang w:val="fr-CA"/>
        </w:rPr>
        <w:t>que, à des moments différents,</w:t>
      </w:r>
      <w:r w:rsidRPr="0001174C">
        <w:rPr>
          <w:rFonts w:cs="Times New Roman"/>
          <w:lang w:val="fr-CA"/>
        </w:rPr>
        <w:t xml:space="preserv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avait laissé entendre qu</w:t>
      </w:r>
      <w:r>
        <w:rPr>
          <w:rFonts w:cs="Times New Roman"/>
          <w:lang w:val="fr-CA"/>
        </w:rPr>
        <w:t>’</w:t>
      </w:r>
      <w:r w:rsidRPr="0001174C">
        <w:rPr>
          <w:rFonts w:cs="Times New Roman"/>
          <w:lang w:val="fr-CA"/>
        </w:rPr>
        <w:t xml:space="preserve">il </w:t>
      </w:r>
      <w:r>
        <w:rPr>
          <w:rFonts w:cs="Times New Roman"/>
          <w:lang w:val="fr-CA"/>
        </w:rPr>
        <w:t xml:space="preserve">avait joué un rôle </w:t>
      </w:r>
      <w:r w:rsidRPr="0001174C">
        <w:rPr>
          <w:rFonts w:cs="Times New Roman"/>
          <w:lang w:val="fr-CA"/>
        </w:rPr>
        <w:t xml:space="preserve">dans le décès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w:t>
      </w:r>
    </w:p>
    <w:p w:rsidR="00AF2876" w:rsidRPr="0001174C" w:rsidRDefault="00AF2876" w:rsidP="00B60986">
      <w:pPr>
        <w:pStyle w:val="Title1LevelTitre1Niveau-AltL"/>
        <w:widowControl w:val="0"/>
        <w:rPr>
          <w:rFonts w:cs="Times New Roman"/>
          <w:lang w:val="fr-CA"/>
        </w:rPr>
      </w:pPr>
      <w:r w:rsidRPr="0001174C">
        <w:rPr>
          <w:rFonts w:cs="Times New Roman"/>
          <w:lang w:val="fr-CA"/>
        </w:rPr>
        <w:t>Les juridictions inférieures</w:t>
      </w:r>
    </w:p>
    <w:p w:rsidR="00AF2876" w:rsidRPr="0001174C" w:rsidRDefault="00AF2876" w:rsidP="00AF2876">
      <w:pPr>
        <w:pStyle w:val="Title2LevelTitre2Niveau"/>
        <w:ind w:left="576" w:hanging="576"/>
        <w:rPr>
          <w:rFonts w:cs="Times New Roman"/>
          <w:lang w:val="fr-CA"/>
        </w:rPr>
      </w:pPr>
      <w:r w:rsidRPr="0001174C">
        <w:rPr>
          <w:rFonts w:cs="Times New Roman"/>
          <w:lang w:val="fr-CA"/>
        </w:rPr>
        <w:t>Cour du banc de la Reine de l</w:t>
      </w:r>
      <w:r>
        <w:rPr>
          <w:rFonts w:cs="Times New Roman"/>
          <w:lang w:val="fr-CA"/>
        </w:rPr>
        <w:t>’</w:t>
      </w:r>
      <w:r w:rsidRPr="0001174C">
        <w:rPr>
          <w:rFonts w:cs="Times New Roman"/>
          <w:lang w:val="fr-CA"/>
        </w:rPr>
        <w:t>Alberta, 2007 ABQB 182</w:t>
      </w:r>
      <w:r>
        <w:rPr>
          <w:rFonts w:cs="Times New Roman"/>
          <w:lang w:val="fr-CA"/>
        </w:rPr>
        <w:t>, 458 A.R. 52</w:t>
      </w:r>
    </w:p>
    <w:p w:rsidR="00AF2876" w:rsidRPr="0001174C" w:rsidRDefault="00AF2876" w:rsidP="00AF2876">
      <w:pPr>
        <w:pStyle w:val="ParaNoNdepar-AltN"/>
        <w:tabs>
          <w:tab w:val="clear" w:pos="1152"/>
          <w:tab w:val="left" w:pos="1166"/>
        </w:tabs>
        <w:rPr>
          <w:rFonts w:cs="Times New Roman"/>
          <w:lang w:val="fr-CA"/>
        </w:rPr>
      </w:pPr>
      <w:r w:rsidRPr="0001174C">
        <w:rPr>
          <w:rFonts w:cs="Times New Roman"/>
          <w:lang w:val="fr-CA"/>
        </w:rPr>
        <w:t>Au procès de l</w:t>
      </w:r>
      <w:r>
        <w:rPr>
          <w:rFonts w:cs="Times New Roman"/>
          <w:lang w:val="fr-CA"/>
        </w:rPr>
        <w:t>’</w:t>
      </w:r>
      <w:r w:rsidRPr="0001174C">
        <w:rPr>
          <w:rFonts w:cs="Times New Roman"/>
          <w:lang w:val="fr-CA"/>
        </w:rPr>
        <w:t xml:space="preserve">appelant, le ministère public a admis que </w:t>
      </w:r>
      <w:r>
        <w:rPr>
          <w:rFonts w:cs="Times New Roman"/>
          <w:lang w:val="fr-CA"/>
        </w:rPr>
        <w:t>l’autorisation obtenue</w:t>
      </w:r>
      <w:r w:rsidRPr="0001174C">
        <w:rPr>
          <w:rFonts w:cs="Times New Roman"/>
          <w:lang w:val="fr-CA"/>
        </w:rPr>
        <w:t xml:space="preserve"> pour intercepter </w:t>
      </w:r>
      <w:r>
        <w:rPr>
          <w:rFonts w:cs="Times New Roman"/>
          <w:lang w:val="fr-CA"/>
        </w:rPr>
        <w:t>l</w:t>
      </w:r>
      <w:r w:rsidRPr="0001174C">
        <w:rPr>
          <w:rFonts w:cs="Times New Roman"/>
          <w:lang w:val="fr-CA"/>
        </w:rPr>
        <w:t>es conversations téléphoniques</w:t>
      </w:r>
      <w:r>
        <w:rPr>
          <w:rFonts w:cs="Times New Roman"/>
          <w:lang w:val="fr-CA"/>
        </w:rPr>
        <w:t xml:space="preserve"> de l’appelant</w:t>
      </w:r>
      <w:r w:rsidRPr="0001174C">
        <w:rPr>
          <w:rFonts w:cs="Times New Roman"/>
          <w:lang w:val="fr-CA"/>
        </w:rPr>
        <w:t xml:space="preserve"> n</w:t>
      </w:r>
      <w:r>
        <w:rPr>
          <w:rFonts w:cs="Times New Roman"/>
          <w:lang w:val="fr-CA"/>
        </w:rPr>
        <w:t>’ét</w:t>
      </w:r>
      <w:r w:rsidRPr="0001174C">
        <w:rPr>
          <w:rFonts w:cs="Times New Roman"/>
          <w:lang w:val="fr-CA"/>
        </w:rPr>
        <w:t>ait pas conform</w:t>
      </w:r>
      <w:r>
        <w:rPr>
          <w:rFonts w:cs="Times New Roman"/>
          <w:lang w:val="fr-CA"/>
        </w:rPr>
        <w:t>e</w:t>
      </w:r>
      <w:r w:rsidRPr="0001174C">
        <w:rPr>
          <w:rFonts w:cs="Times New Roman"/>
          <w:lang w:val="fr-CA"/>
        </w:rPr>
        <w:t xml:space="preserve"> aux exigences du </w:t>
      </w:r>
      <w:r w:rsidRPr="0001174C">
        <w:rPr>
          <w:rFonts w:cs="Times New Roman"/>
          <w:i/>
          <w:lang w:val="fr-CA"/>
        </w:rPr>
        <w:t>Code criminel</w:t>
      </w:r>
      <w:r>
        <w:rPr>
          <w:rFonts w:cs="Times New Roman"/>
          <w:lang w:val="fr-CA"/>
        </w:rPr>
        <w:t>, L.R.C. 1985, ch.</w:t>
      </w:r>
      <w:r w:rsidR="00203E16">
        <w:rPr>
          <w:rFonts w:cs="Times New Roman"/>
          <w:lang w:val="fr-CA"/>
        </w:rPr>
        <w:t xml:space="preserve"> </w:t>
      </w:r>
      <w:r>
        <w:rPr>
          <w:rFonts w:cs="Times New Roman"/>
          <w:lang w:val="fr-CA"/>
        </w:rPr>
        <w:t>C</w:t>
      </w:r>
      <w:r w:rsidR="00203E16">
        <w:rPr>
          <w:rFonts w:cs="Times New Roman"/>
          <w:lang w:val="fr-CA"/>
        </w:rPr>
        <w:t>-</w:t>
      </w:r>
      <w:r>
        <w:rPr>
          <w:rFonts w:cs="Times New Roman"/>
          <w:lang w:val="fr-CA"/>
        </w:rPr>
        <w:t>46,</w:t>
      </w:r>
      <w:r w:rsidRPr="0001174C">
        <w:rPr>
          <w:rFonts w:cs="Times New Roman"/>
          <w:lang w:val="fr-CA"/>
        </w:rPr>
        <w:t xml:space="preserve"> et qu</w:t>
      </w:r>
      <w:r>
        <w:rPr>
          <w:rFonts w:cs="Times New Roman"/>
          <w:lang w:val="fr-CA"/>
        </w:rPr>
        <w:t>’elle port</w:t>
      </w:r>
      <w:r w:rsidRPr="0001174C">
        <w:rPr>
          <w:rFonts w:cs="Times New Roman"/>
          <w:lang w:val="fr-CA"/>
        </w:rPr>
        <w:t xml:space="preserve">ait </w:t>
      </w:r>
      <w:r>
        <w:rPr>
          <w:rFonts w:cs="Times New Roman"/>
          <w:lang w:val="fr-CA"/>
        </w:rPr>
        <w:t xml:space="preserve">donc atteinte aux garanties de </w:t>
      </w:r>
      <w:r w:rsidRPr="0001174C">
        <w:rPr>
          <w:rFonts w:cs="Times New Roman"/>
          <w:lang w:val="fr-CA"/>
        </w:rPr>
        <w:t>l</w:t>
      </w:r>
      <w:r>
        <w:rPr>
          <w:rFonts w:cs="Times New Roman"/>
          <w:lang w:val="fr-CA"/>
        </w:rPr>
        <w:t>’art.</w:t>
      </w:r>
      <w:r w:rsidR="00203E16">
        <w:rPr>
          <w:rFonts w:cs="Times New Roman"/>
          <w:lang w:val="fr-CA"/>
        </w:rPr>
        <w:t xml:space="preserve"> </w:t>
      </w:r>
      <w:r w:rsidRPr="0001174C">
        <w:rPr>
          <w:rFonts w:cs="Times New Roman"/>
          <w:lang w:val="fr-CA"/>
        </w:rPr>
        <w:t xml:space="preserve">8 de la </w:t>
      </w:r>
      <w:r w:rsidRPr="0001174C">
        <w:rPr>
          <w:rFonts w:cs="Times New Roman"/>
          <w:i/>
          <w:lang w:val="fr-CA"/>
        </w:rPr>
        <w:t>Chart</w:t>
      </w:r>
      <w:r>
        <w:rPr>
          <w:rFonts w:cs="Times New Roman"/>
          <w:i/>
          <w:lang w:val="fr-CA"/>
        </w:rPr>
        <w:t>e canadienne des droits et libertés</w:t>
      </w:r>
      <w:r w:rsidRPr="0001174C">
        <w:rPr>
          <w:rStyle w:val="FootnoteReference"/>
          <w:rFonts w:cs="Times New Roman"/>
          <w:lang w:val="fr-CA"/>
        </w:rPr>
        <w:footnoteReference w:id="2"/>
      </w:r>
      <w:r w:rsidRPr="0001174C">
        <w:rPr>
          <w:rFonts w:cs="Times New Roman"/>
          <w:i/>
          <w:lang w:val="fr-CA"/>
        </w:rPr>
        <w:t>.</w:t>
      </w:r>
      <w:r w:rsidRPr="0001174C">
        <w:rPr>
          <w:rFonts w:cs="Times New Roman"/>
          <w:lang w:val="fr-CA"/>
        </w:rPr>
        <w:t xml:space="preserve"> </w:t>
      </w:r>
      <w:r>
        <w:rPr>
          <w:rFonts w:cs="Times New Roman"/>
          <w:lang w:val="fr-CA"/>
        </w:rPr>
        <w:lastRenderedPageBreak/>
        <w:t>Il</w:t>
      </w:r>
      <w:r w:rsidRPr="0001174C">
        <w:rPr>
          <w:rFonts w:cs="Times New Roman"/>
          <w:lang w:val="fr-CA"/>
        </w:rPr>
        <w:t xml:space="preserve"> n</w:t>
      </w:r>
      <w:r>
        <w:rPr>
          <w:rFonts w:cs="Times New Roman"/>
          <w:lang w:val="fr-CA"/>
        </w:rPr>
        <w:t>’</w:t>
      </w:r>
      <w:r w:rsidRPr="0001174C">
        <w:rPr>
          <w:rFonts w:cs="Times New Roman"/>
          <w:lang w:val="fr-CA"/>
        </w:rPr>
        <w:t xml:space="preserve">a </w:t>
      </w:r>
      <w:r>
        <w:rPr>
          <w:rFonts w:cs="Times New Roman"/>
          <w:lang w:val="fr-CA"/>
        </w:rPr>
        <w:t xml:space="preserve">donc pu mettre en preuve </w:t>
      </w:r>
      <w:r w:rsidRPr="003321BD">
        <w:rPr>
          <w:rFonts w:cs="Times New Roman"/>
          <w:lang w:val="fr-CA"/>
        </w:rPr>
        <w:t>l</w:t>
      </w:r>
      <w:r w:rsidRPr="0001174C">
        <w:rPr>
          <w:rFonts w:cs="Times New Roman"/>
          <w:lang w:val="fr-CA"/>
        </w:rPr>
        <w:t>es conversations interceptées</w:t>
      </w:r>
      <w:r>
        <w:rPr>
          <w:rFonts w:cs="Times New Roman"/>
          <w:lang w:val="fr-CA"/>
        </w:rPr>
        <w:t>.</w:t>
      </w:r>
      <w:r w:rsidRPr="0001174C">
        <w:rPr>
          <w:rFonts w:cs="Times New Roman"/>
          <w:lang w:val="fr-CA"/>
        </w:rPr>
        <w:t xml:space="preserve"> L</w:t>
      </w:r>
      <w:r>
        <w:rPr>
          <w:rFonts w:cs="Times New Roman"/>
          <w:lang w:val="fr-CA"/>
        </w:rPr>
        <w:t>’</w:t>
      </w:r>
      <w:r w:rsidRPr="0001174C">
        <w:rPr>
          <w:rFonts w:cs="Times New Roman"/>
          <w:lang w:val="fr-CA"/>
        </w:rPr>
        <w:t xml:space="preserve">appelant a néanmoins demandé à la Cour </w:t>
      </w:r>
      <w:r>
        <w:rPr>
          <w:rFonts w:cs="Times New Roman"/>
          <w:lang w:val="fr-CA"/>
        </w:rPr>
        <w:t xml:space="preserve">d’exclure </w:t>
      </w:r>
      <w:r w:rsidRPr="0001174C">
        <w:rPr>
          <w:rFonts w:cs="Times New Roman"/>
          <w:lang w:val="fr-CA"/>
        </w:rPr>
        <w:t xml:space="preserve">également </w:t>
      </w:r>
      <w:r>
        <w:rPr>
          <w:rFonts w:cs="Times New Roman"/>
          <w:lang w:val="fr-CA"/>
        </w:rPr>
        <w:t>toutes l</w:t>
      </w:r>
      <w:r w:rsidRPr="0001174C">
        <w:rPr>
          <w:rFonts w:cs="Times New Roman"/>
          <w:lang w:val="fr-CA"/>
        </w:rPr>
        <w:t>es déclarations qu</w:t>
      </w:r>
      <w:r>
        <w:rPr>
          <w:rFonts w:cs="Times New Roman"/>
          <w:lang w:val="fr-CA"/>
        </w:rPr>
        <w:t>’</w:t>
      </w:r>
      <w:r w:rsidRPr="0001174C">
        <w:rPr>
          <w:rFonts w:cs="Times New Roman"/>
          <w:lang w:val="fr-CA"/>
        </w:rPr>
        <w:t>il avait faites lors de l</w:t>
      </w:r>
      <w:r>
        <w:rPr>
          <w:rFonts w:cs="Times New Roman"/>
          <w:lang w:val="fr-CA"/>
        </w:rPr>
        <w:t>’</w:t>
      </w:r>
      <w:r w:rsidRPr="0001174C">
        <w:rPr>
          <w:rFonts w:cs="Times New Roman"/>
          <w:lang w:val="fr-CA"/>
        </w:rPr>
        <w:t xml:space="preserve">opération </w:t>
      </w:r>
      <w:r>
        <w:rPr>
          <w:rFonts w:cs="Times New Roman"/>
          <w:lang w:val="fr-CA"/>
        </w:rPr>
        <w:t>Monsieur</w:t>
      </w:r>
      <w:r w:rsidRPr="0001174C">
        <w:rPr>
          <w:rFonts w:cs="Times New Roman"/>
          <w:lang w:val="fr-CA"/>
        </w:rPr>
        <w:t xml:space="preserve"> Big (mais qui n</w:t>
      </w:r>
      <w:r>
        <w:rPr>
          <w:rFonts w:cs="Times New Roman"/>
          <w:lang w:val="fr-CA"/>
        </w:rPr>
        <w:t>’</w:t>
      </w:r>
      <w:r w:rsidRPr="0001174C">
        <w:rPr>
          <w:rFonts w:cs="Times New Roman"/>
          <w:lang w:val="fr-CA"/>
        </w:rPr>
        <w:t>avaient pas été interceptées et enregistrées). L</w:t>
      </w:r>
      <w:r>
        <w:rPr>
          <w:rFonts w:cs="Times New Roman"/>
          <w:lang w:val="fr-CA"/>
        </w:rPr>
        <w:t>’</w:t>
      </w:r>
      <w:r w:rsidRPr="0001174C">
        <w:rPr>
          <w:rFonts w:cs="Times New Roman"/>
          <w:lang w:val="fr-CA"/>
        </w:rPr>
        <w:t xml:space="preserve">appelant soutenait que </w:t>
      </w:r>
      <w:r>
        <w:rPr>
          <w:rFonts w:cs="Times New Roman"/>
          <w:lang w:val="fr-CA"/>
        </w:rPr>
        <w:t>l’</w:t>
      </w:r>
      <w:r w:rsidRPr="0001174C">
        <w:rPr>
          <w:rFonts w:cs="Times New Roman"/>
          <w:lang w:val="fr-CA"/>
        </w:rPr>
        <w:t>écoute électronique illégale a</w:t>
      </w:r>
      <w:r>
        <w:rPr>
          <w:rFonts w:cs="Times New Roman"/>
          <w:lang w:val="fr-CA"/>
        </w:rPr>
        <w:t>vait servi à monter l’opération</w:t>
      </w:r>
      <w:r w:rsidRPr="0001174C">
        <w:rPr>
          <w:rFonts w:cs="Times New Roman"/>
          <w:lang w:val="fr-CA"/>
        </w:rPr>
        <w:t xml:space="preserve"> </w:t>
      </w:r>
      <w:r>
        <w:rPr>
          <w:rFonts w:cs="Times New Roman"/>
          <w:lang w:val="fr-CA"/>
        </w:rPr>
        <w:t>et que celle</w:t>
      </w:r>
      <w:r w:rsidR="00203E16">
        <w:rPr>
          <w:rFonts w:cs="Times New Roman"/>
          <w:lang w:val="fr-CA"/>
        </w:rPr>
        <w:t>-</w:t>
      </w:r>
      <w:r>
        <w:rPr>
          <w:rFonts w:cs="Times New Roman"/>
          <w:lang w:val="fr-CA"/>
        </w:rPr>
        <w:t xml:space="preserve">ci </w:t>
      </w:r>
      <w:r w:rsidRPr="0001174C">
        <w:rPr>
          <w:rFonts w:cs="Times New Roman"/>
          <w:lang w:val="fr-CA"/>
        </w:rPr>
        <w:t>n</w:t>
      </w:r>
      <w:r>
        <w:rPr>
          <w:rFonts w:cs="Times New Roman"/>
          <w:lang w:val="fr-CA"/>
        </w:rPr>
        <w:t>’</w:t>
      </w:r>
      <w:r w:rsidRPr="0001174C">
        <w:rPr>
          <w:rFonts w:cs="Times New Roman"/>
          <w:lang w:val="fr-CA"/>
        </w:rPr>
        <w:t>aurait pas été possible sans elle. Par conséquent, l</w:t>
      </w:r>
      <w:r>
        <w:rPr>
          <w:rFonts w:cs="Times New Roman"/>
          <w:lang w:val="fr-CA"/>
        </w:rPr>
        <w:t>’</w:t>
      </w:r>
      <w:r w:rsidRPr="0001174C">
        <w:rPr>
          <w:rFonts w:cs="Times New Roman"/>
          <w:lang w:val="fr-CA"/>
        </w:rPr>
        <w:t>autorisation de mise sous écoute électronique était si étroitement liée à l</w:t>
      </w:r>
      <w:r>
        <w:rPr>
          <w:rFonts w:cs="Times New Roman"/>
          <w:lang w:val="fr-CA"/>
        </w:rPr>
        <w:t>’</w:t>
      </w:r>
      <w:r w:rsidRPr="0001174C">
        <w:rPr>
          <w:rFonts w:cs="Times New Roman"/>
          <w:lang w:val="fr-CA"/>
        </w:rPr>
        <w:t xml:space="preserve">opération </w:t>
      </w:r>
      <w:r>
        <w:rPr>
          <w:rFonts w:cs="Times New Roman"/>
          <w:lang w:val="fr-CA"/>
        </w:rPr>
        <w:t>Monsieur</w:t>
      </w:r>
      <w:r w:rsidRPr="0001174C">
        <w:rPr>
          <w:rFonts w:cs="Times New Roman"/>
          <w:lang w:val="fr-CA"/>
        </w:rPr>
        <w:t xml:space="preserve"> Big que l</w:t>
      </w:r>
      <w:r>
        <w:rPr>
          <w:rFonts w:cs="Times New Roman"/>
          <w:lang w:val="fr-CA"/>
        </w:rPr>
        <w:t>’</w:t>
      </w:r>
      <w:r w:rsidRPr="0001174C">
        <w:rPr>
          <w:rFonts w:cs="Times New Roman"/>
          <w:lang w:val="fr-CA"/>
        </w:rPr>
        <w:t xml:space="preserve">illégalité de </w:t>
      </w:r>
      <w:r>
        <w:rPr>
          <w:rFonts w:cs="Times New Roman"/>
          <w:lang w:val="fr-CA"/>
        </w:rPr>
        <w:t xml:space="preserve">son obtention commandait l’exclusion, </w:t>
      </w:r>
      <w:r w:rsidRPr="0001174C">
        <w:rPr>
          <w:rFonts w:cs="Times New Roman"/>
          <w:lang w:val="fr-CA"/>
        </w:rPr>
        <w:t xml:space="preserve">en application du </w:t>
      </w:r>
      <w:r>
        <w:rPr>
          <w:rFonts w:cs="Times New Roman"/>
          <w:lang w:val="fr-CA"/>
        </w:rPr>
        <w:t>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Charte</w:t>
      </w:r>
      <w:r>
        <w:rPr>
          <w:rFonts w:cs="Times New Roman"/>
          <w:lang w:val="fr-CA"/>
        </w:rPr>
        <w:t xml:space="preserve">, des </w:t>
      </w:r>
      <w:r w:rsidRPr="0001174C">
        <w:rPr>
          <w:rFonts w:cs="Times New Roman"/>
          <w:lang w:val="fr-CA"/>
        </w:rPr>
        <w:t xml:space="preserve">déclarations </w:t>
      </w:r>
      <w:r>
        <w:rPr>
          <w:rFonts w:cs="Times New Roman"/>
          <w:lang w:val="fr-CA"/>
        </w:rPr>
        <w:t xml:space="preserve">de l’appelant </w:t>
      </w:r>
      <w:r w:rsidRPr="0001174C">
        <w:rPr>
          <w:rFonts w:cs="Times New Roman"/>
          <w:lang w:val="fr-CA"/>
        </w:rPr>
        <w:t xml:space="preserve">aux agents </w:t>
      </w:r>
      <w:r>
        <w:rPr>
          <w:rFonts w:cs="Times New Roman"/>
          <w:lang w:val="fr-CA"/>
        </w:rPr>
        <w:t>banalisés</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 xml:space="preserve">Le juge </w:t>
      </w:r>
      <w:r w:rsidRPr="008D41E0">
        <w:rPr>
          <w:rFonts w:cs="Times New Roman"/>
          <w:lang w:val="fr-CA"/>
        </w:rPr>
        <w:t>Hillier, qui a présidé le</w:t>
      </w:r>
      <w:r w:rsidRPr="0001174C">
        <w:rPr>
          <w:rFonts w:cs="Times New Roman"/>
          <w:lang w:val="fr-CA"/>
        </w:rPr>
        <w:t xml:space="preserve"> procès</w:t>
      </w:r>
      <w:r>
        <w:rPr>
          <w:rFonts w:cs="Times New Roman"/>
          <w:lang w:val="fr-CA"/>
        </w:rPr>
        <w:t>,</w:t>
      </w:r>
      <w:r w:rsidRPr="0001174C">
        <w:rPr>
          <w:rFonts w:cs="Times New Roman"/>
          <w:lang w:val="fr-CA"/>
        </w:rPr>
        <w:t xml:space="preserve"> a rejeté </w:t>
      </w:r>
      <w:r>
        <w:rPr>
          <w:rFonts w:cs="Times New Roman"/>
          <w:lang w:val="fr-CA"/>
        </w:rPr>
        <w:t>l’</w:t>
      </w:r>
      <w:r w:rsidRPr="0001174C">
        <w:rPr>
          <w:rFonts w:cs="Times New Roman"/>
          <w:lang w:val="fr-CA"/>
        </w:rPr>
        <w:t xml:space="preserve">argument. Il a conclu que le </w:t>
      </w:r>
      <w:r>
        <w:rPr>
          <w:rFonts w:cs="Times New Roman"/>
          <w:lang w:val="fr-CA"/>
        </w:rPr>
        <w:t>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 xml:space="preserve">Charte </w:t>
      </w:r>
      <w:r w:rsidRPr="0001174C">
        <w:rPr>
          <w:rFonts w:cs="Times New Roman"/>
          <w:lang w:val="fr-CA"/>
        </w:rPr>
        <w:t>ne s</w:t>
      </w:r>
      <w:r>
        <w:rPr>
          <w:rFonts w:cs="Times New Roman"/>
          <w:lang w:val="fr-CA"/>
        </w:rPr>
        <w:t>’</w:t>
      </w:r>
      <w:r w:rsidRPr="0001174C">
        <w:rPr>
          <w:rFonts w:cs="Times New Roman"/>
          <w:lang w:val="fr-CA"/>
        </w:rPr>
        <w:t>appliquait pas</w:t>
      </w:r>
      <w:r>
        <w:rPr>
          <w:rFonts w:cs="Times New Roman"/>
          <w:lang w:val="fr-CA"/>
        </w:rPr>
        <w:t xml:space="preserve"> car </w:t>
      </w:r>
      <w:r w:rsidRPr="0001174C">
        <w:rPr>
          <w:rFonts w:cs="Times New Roman"/>
          <w:lang w:val="fr-CA"/>
        </w:rPr>
        <w:t xml:space="preserve">les déclarations incriminantes aux agents </w:t>
      </w:r>
      <w:r>
        <w:rPr>
          <w:rFonts w:cs="Times New Roman"/>
          <w:lang w:val="fr-CA"/>
        </w:rPr>
        <w:t xml:space="preserve">banalisés </w:t>
      </w:r>
      <w:r w:rsidRPr="0001174C">
        <w:rPr>
          <w:rFonts w:cs="Times New Roman"/>
          <w:lang w:val="fr-CA"/>
        </w:rPr>
        <w:t>n</w:t>
      </w:r>
      <w:r>
        <w:rPr>
          <w:rFonts w:cs="Times New Roman"/>
          <w:lang w:val="fr-CA"/>
        </w:rPr>
        <w:t>’</w:t>
      </w:r>
      <w:r w:rsidRPr="0001174C">
        <w:rPr>
          <w:rFonts w:cs="Times New Roman"/>
          <w:lang w:val="fr-CA"/>
        </w:rPr>
        <w:t xml:space="preserve">avaient pas été </w:t>
      </w:r>
      <w:r w:rsidR="00203E16">
        <w:rPr>
          <w:rFonts w:cs="Times New Roman"/>
          <w:lang w:val="fr-CA"/>
        </w:rPr>
        <w:t>« </w:t>
      </w:r>
      <w:r w:rsidRPr="0001174C">
        <w:rPr>
          <w:rFonts w:cs="Times New Roman"/>
          <w:lang w:val="fr-CA"/>
        </w:rPr>
        <w:t>obtenu</w:t>
      </w:r>
      <w:r>
        <w:rPr>
          <w:rFonts w:cs="Times New Roman"/>
          <w:lang w:val="fr-CA"/>
        </w:rPr>
        <w:t>[</w:t>
      </w:r>
      <w:r w:rsidRPr="0001174C">
        <w:rPr>
          <w:rFonts w:cs="Times New Roman"/>
          <w:lang w:val="fr-CA"/>
        </w:rPr>
        <w:t>e</w:t>
      </w:r>
      <w:r>
        <w:rPr>
          <w:rFonts w:cs="Times New Roman"/>
          <w:lang w:val="fr-CA"/>
        </w:rPr>
        <w:t>]</w:t>
      </w:r>
      <w:r w:rsidRPr="0001174C">
        <w:rPr>
          <w:rFonts w:cs="Times New Roman"/>
          <w:lang w:val="fr-CA"/>
        </w:rPr>
        <w:t>s dans des conditions</w:t>
      </w:r>
      <w:r w:rsidR="00203E16">
        <w:rPr>
          <w:rFonts w:cs="Times New Roman"/>
          <w:lang w:val="fr-CA"/>
        </w:rPr>
        <w:t> »</w:t>
      </w:r>
      <w:r w:rsidRPr="0001174C">
        <w:rPr>
          <w:rFonts w:cs="Times New Roman"/>
          <w:lang w:val="fr-CA"/>
        </w:rPr>
        <w:t xml:space="preserve"> qui portaient atteinte </w:t>
      </w:r>
      <w:r>
        <w:rPr>
          <w:rFonts w:cs="Times New Roman"/>
          <w:lang w:val="fr-CA"/>
        </w:rPr>
        <w:t xml:space="preserve">aux </w:t>
      </w:r>
      <w:r w:rsidRPr="0001174C">
        <w:rPr>
          <w:rFonts w:cs="Times New Roman"/>
          <w:lang w:val="fr-CA"/>
        </w:rPr>
        <w:t xml:space="preserve">droits </w:t>
      </w:r>
      <w:r>
        <w:rPr>
          <w:rFonts w:cs="Times New Roman"/>
          <w:lang w:val="fr-CA"/>
        </w:rPr>
        <w:t xml:space="preserve">de l’appelant </w:t>
      </w:r>
      <w:r w:rsidRPr="0001174C">
        <w:rPr>
          <w:rFonts w:cs="Times New Roman"/>
          <w:lang w:val="fr-CA"/>
        </w:rPr>
        <w:t>garantis</w:t>
      </w:r>
      <w:r>
        <w:rPr>
          <w:rFonts w:cs="Times New Roman"/>
          <w:lang w:val="fr-CA"/>
        </w:rPr>
        <w:t xml:space="preserve"> par</w:t>
      </w:r>
      <w:r w:rsidRPr="0001174C">
        <w:rPr>
          <w:rFonts w:cs="Times New Roman"/>
          <w:lang w:val="fr-CA"/>
        </w:rPr>
        <w:t xml:space="preserve"> la </w:t>
      </w:r>
      <w:r w:rsidRPr="00612D79">
        <w:rPr>
          <w:rFonts w:cs="Times New Roman"/>
          <w:i/>
          <w:lang w:val="fr-CA"/>
        </w:rPr>
        <w:t>Charte</w:t>
      </w:r>
      <w:r>
        <w:rPr>
          <w:rFonts w:cs="Times New Roman"/>
          <w:lang w:val="fr-CA"/>
        </w:rPr>
        <w:t xml:space="preserve"> (par.</w:t>
      </w:r>
      <w:r w:rsidR="00203E16">
        <w:rPr>
          <w:rFonts w:cs="Times New Roman"/>
          <w:lang w:val="fr-CA"/>
        </w:rPr>
        <w:t xml:space="preserve"> </w:t>
      </w:r>
      <w:r>
        <w:rPr>
          <w:rFonts w:cs="Times New Roman"/>
          <w:lang w:val="fr-CA"/>
        </w:rPr>
        <w:t>187)</w:t>
      </w:r>
      <w:r w:rsidRPr="0001174C">
        <w:rPr>
          <w:rFonts w:cs="Times New Roman"/>
          <w:lang w:val="fr-CA"/>
        </w:rPr>
        <w:t xml:space="preserve">. Même si </w:t>
      </w:r>
      <w:r>
        <w:rPr>
          <w:rFonts w:cs="Times New Roman"/>
          <w:lang w:val="fr-CA"/>
        </w:rPr>
        <w:t>l</w:t>
      </w:r>
      <w:r w:rsidRPr="0001174C">
        <w:rPr>
          <w:rFonts w:cs="Times New Roman"/>
          <w:lang w:val="fr-CA"/>
        </w:rPr>
        <w:t xml:space="preserve">es déclarations incriminantes </w:t>
      </w:r>
      <w:r>
        <w:rPr>
          <w:rFonts w:cs="Times New Roman"/>
          <w:lang w:val="fr-CA"/>
        </w:rPr>
        <w:t xml:space="preserve">avaient été faites </w:t>
      </w:r>
      <w:r w:rsidRPr="0001174C">
        <w:rPr>
          <w:rFonts w:cs="Times New Roman"/>
          <w:lang w:val="fr-CA"/>
        </w:rPr>
        <w:t xml:space="preserve">alors </w:t>
      </w:r>
      <w:r>
        <w:rPr>
          <w:rFonts w:cs="Times New Roman"/>
          <w:lang w:val="fr-CA"/>
        </w:rPr>
        <w:t>que l’appelant</w:t>
      </w:r>
      <w:r w:rsidRPr="0001174C">
        <w:rPr>
          <w:rFonts w:cs="Times New Roman"/>
          <w:lang w:val="fr-CA"/>
        </w:rPr>
        <w:t xml:space="preserve"> </w:t>
      </w:r>
      <w:r>
        <w:rPr>
          <w:rFonts w:cs="Times New Roman"/>
          <w:lang w:val="fr-CA"/>
        </w:rPr>
        <w:t xml:space="preserve">était </w:t>
      </w:r>
      <w:r w:rsidRPr="0001174C">
        <w:rPr>
          <w:rFonts w:cs="Times New Roman"/>
          <w:lang w:val="fr-CA"/>
        </w:rPr>
        <w:t>illégale</w:t>
      </w:r>
      <w:r>
        <w:rPr>
          <w:rFonts w:cs="Times New Roman"/>
          <w:lang w:val="fr-CA"/>
        </w:rPr>
        <w:t xml:space="preserve">ment </w:t>
      </w:r>
      <w:r w:rsidRPr="0001174C">
        <w:rPr>
          <w:rFonts w:cs="Times New Roman"/>
          <w:lang w:val="fr-CA"/>
        </w:rPr>
        <w:t>sous écoute électronique, il n</w:t>
      </w:r>
      <w:r>
        <w:rPr>
          <w:rFonts w:cs="Times New Roman"/>
          <w:lang w:val="fr-CA"/>
        </w:rPr>
        <w:t>’</w:t>
      </w:r>
      <w:r w:rsidRPr="0001174C">
        <w:rPr>
          <w:rFonts w:cs="Times New Roman"/>
          <w:lang w:val="fr-CA"/>
        </w:rPr>
        <w:t>y avait aucun lien causal entre</w:t>
      </w:r>
      <w:r w:rsidRPr="00290263">
        <w:rPr>
          <w:rFonts w:cs="Times New Roman"/>
          <w:lang w:val="fr-CA"/>
        </w:rPr>
        <w:t>, d’une part,</w:t>
      </w:r>
      <w:r w:rsidRPr="0001174C">
        <w:rPr>
          <w:rFonts w:cs="Times New Roman"/>
          <w:lang w:val="fr-CA"/>
        </w:rPr>
        <w:t xml:space="preserve"> l</w:t>
      </w:r>
      <w:r>
        <w:rPr>
          <w:rFonts w:cs="Times New Roman"/>
          <w:lang w:val="fr-CA"/>
        </w:rPr>
        <w:t xml:space="preserve">’écoute </w:t>
      </w:r>
      <w:r w:rsidRPr="0001174C">
        <w:rPr>
          <w:rFonts w:cs="Times New Roman"/>
          <w:lang w:val="fr-CA"/>
        </w:rPr>
        <w:t>électronique illégale et</w:t>
      </w:r>
      <w:r w:rsidRPr="00290263">
        <w:rPr>
          <w:rFonts w:cs="Times New Roman"/>
          <w:lang w:val="fr-CA"/>
        </w:rPr>
        <w:t>, d’autre part,</w:t>
      </w:r>
      <w:r w:rsidRPr="0001174C">
        <w:rPr>
          <w:rFonts w:cs="Times New Roman"/>
          <w:lang w:val="fr-CA"/>
        </w:rPr>
        <w:t xml:space="preserve"> les aveux aux agents </w:t>
      </w:r>
      <w:r>
        <w:rPr>
          <w:rFonts w:cs="Times New Roman"/>
          <w:lang w:val="fr-CA"/>
        </w:rPr>
        <w:t xml:space="preserve">banalisés </w:t>
      </w:r>
      <w:r w:rsidRPr="0001174C">
        <w:rPr>
          <w:rFonts w:cs="Times New Roman"/>
          <w:lang w:val="fr-CA"/>
        </w:rPr>
        <w:t>(</w:t>
      </w:r>
      <w:r>
        <w:rPr>
          <w:rFonts w:cs="Times New Roman"/>
          <w:lang w:val="fr-CA"/>
        </w:rPr>
        <w:t>par.</w:t>
      </w:r>
      <w:r w:rsidR="00203E16">
        <w:rPr>
          <w:rFonts w:cs="Times New Roman"/>
          <w:lang w:val="fr-CA"/>
        </w:rPr>
        <w:t xml:space="preserve"> </w:t>
      </w:r>
      <w:r w:rsidRPr="0001174C">
        <w:rPr>
          <w:rFonts w:cs="Times New Roman"/>
          <w:lang w:val="fr-CA"/>
        </w:rPr>
        <w:t>184). Tout au plus pouvait</w:t>
      </w:r>
      <w:r w:rsidR="00203E16">
        <w:rPr>
          <w:rFonts w:cs="Times New Roman"/>
          <w:lang w:val="fr-CA"/>
        </w:rPr>
        <w:t>-</w:t>
      </w:r>
      <w:r w:rsidRPr="0001174C">
        <w:rPr>
          <w:rFonts w:cs="Times New Roman"/>
          <w:lang w:val="fr-CA"/>
        </w:rPr>
        <w:t>on affirmer que l</w:t>
      </w:r>
      <w:r>
        <w:rPr>
          <w:rFonts w:cs="Times New Roman"/>
          <w:lang w:val="fr-CA"/>
        </w:rPr>
        <w:t>’</w:t>
      </w:r>
      <w:r w:rsidRPr="0001174C">
        <w:rPr>
          <w:rFonts w:cs="Times New Roman"/>
          <w:lang w:val="fr-CA"/>
        </w:rPr>
        <w:t xml:space="preserve">écoute électronique avait été </w:t>
      </w:r>
      <w:r w:rsidR="00203E16">
        <w:rPr>
          <w:rFonts w:cs="Times New Roman"/>
          <w:lang w:val="fr-CA"/>
        </w:rPr>
        <w:t>« </w:t>
      </w:r>
      <w:r w:rsidRPr="0001174C">
        <w:rPr>
          <w:rFonts w:cs="Times New Roman"/>
          <w:lang w:val="fr-CA"/>
        </w:rPr>
        <w:t>utile</w:t>
      </w:r>
      <w:r w:rsidR="00203E16">
        <w:rPr>
          <w:rFonts w:cs="Times New Roman"/>
          <w:lang w:val="fr-CA"/>
        </w:rPr>
        <w:t> »</w:t>
      </w:r>
      <w:r w:rsidRPr="0001174C">
        <w:rPr>
          <w:rFonts w:cs="Times New Roman"/>
          <w:lang w:val="fr-CA"/>
        </w:rPr>
        <w:t xml:space="preserve"> aux agents </w:t>
      </w:r>
      <w:r>
        <w:rPr>
          <w:rFonts w:cs="Times New Roman"/>
          <w:lang w:val="fr-CA"/>
        </w:rPr>
        <w:t xml:space="preserve">pendant </w:t>
      </w:r>
      <w:r w:rsidRPr="0001174C">
        <w:rPr>
          <w:rFonts w:cs="Times New Roman"/>
          <w:lang w:val="fr-CA"/>
        </w:rPr>
        <w:t>l</w:t>
      </w:r>
      <w:r>
        <w:rPr>
          <w:rFonts w:cs="Times New Roman"/>
          <w:lang w:val="fr-CA"/>
        </w:rPr>
        <w:t>’</w:t>
      </w:r>
      <w:r w:rsidRPr="0001174C">
        <w:rPr>
          <w:rFonts w:cs="Times New Roman"/>
          <w:lang w:val="fr-CA"/>
        </w:rPr>
        <w:t xml:space="preserve">opération </w:t>
      </w:r>
      <w:r>
        <w:rPr>
          <w:rFonts w:cs="Times New Roman"/>
          <w:lang w:val="fr-CA"/>
        </w:rPr>
        <w:t xml:space="preserve">Monsieur </w:t>
      </w:r>
      <w:r w:rsidRPr="0001174C">
        <w:rPr>
          <w:rFonts w:cs="Times New Roman"/>
          <w:lang w:val="fr-CA"/>
        </w:rPr>
        <w:t>Big</w:t>
      </w:r>
      <w:r>
        <w:rPr>
          <w:rFonts w:cs="Times New Roman"/>
          <w:lang w:val="fr-CA"/>
        </w:rPr>
        <w:t xml:space="preserve"> en ce </w:t>
      </w:r>
      <w:r w:rsidRPr="0001174C">
        <w:rPr>
          <w:rFonts w:cs="Times New Roman"/>
          <w:lang w:val="fr-CA"/>
        </w:rPr>
        <w:t>qu</w:t>
      </w:r>
      <w:r>
        <w:rPr>
          <w:rFonts w:cs="Times New Roman"/>
          <w:lang w:val="fr-CA"/>
        </w:rPr>
        <w:t>’</w:t>
      </w:r>
      <w:r w:rsidRPr="0001174C">
        <w:rPr>
          <w:rFonts w:cs="Times New Roman"/>
          <w:lang w:val="fr-CA"/>
        </w:rPr>
        <w:t xml:space="preserve">elle leur </w:t>
      </w:r>
      <w:r>
        <w:rPr>
          <w:rFonts w:cs="Times New Roman"/>
          <w:lang w:val="fr-CA"/>
        </w:rPr>
        <w:t xml:space="preserve">avait permis de s’assurer </w:t>
      </w:r>
      <w:r w:rsidRPr="0001174C">
        <w:rPr>
          <w:rFonts w:cs="Times New Roman"/>
          <w:lang w:val="fr-CA"/>
        </w:rPr>
        <w:t xml:space="preserve">que leur </w:t>
      </w:r>
      <w:r>
        <w:rPr>
          <w:rFonts w:cs="Times New Roman"/>
          <w:lang w:val="fr-CA"/>
        </w:rPr>
        <w:t xml:space="preserve">véritable </w:t>
      </w:r>
      <w:r w:rsidRPr="0001174C">
        <w:rPr>
          <w:rFonts w:cs="Times New Roman"/>
          <w:lang w:val="fr-CA"/>
        </w:rPr>
        <w:t xml:space="preserve">identité </w:t>
      </w:r>
      <w:r>
        <w:rPr>
          <w:rFonts w:cs="Times New Roman"/>
          <w:lang w:val="fr-CA"/>
        </w:rPr>
        <w:t xml:space="preserve">n’avait </w:t>
      </w:r>
      <w:r w:rsidRPr="0001174C">
        <w:rPr>
          <w:rFonts w:cs="Times New Roman"/>
          <w:lang w:val="fr-CA"/>
        </w:rPr>
        <w:t xml:space="preserve">pas </w:t>
      </w:r>
      <w:r>
        <w:rPr>
          <w:rFonts w:cs="Times New Roman"/>
          <w:lang w:val="fr-CA"/>
        </w:rPr>
        <w:t xml:space="preserve">été découverte </w:t>
      </w:r>
      <w:r w:rsidRPr="0001174C">
        <w:rPr>
          <w:rFonts w:cs="Times New Roman"/>
          <w:lang w:val="fr-CA"/>
        </w:rPr>
        <w:t>(</w:t>
      </w:r>
      <w:r>
        <w:rPr>
          <w:rFonts w:cs="Times New Roman"/>
          <w:lang w:val="fr-CA"/>
        </w:rPr>
        <w:t>par.</w:t>
      </w:r>
      <w:r w:rsidR="00203E16">
        <w:rPr>
          <w:rFonts w:cs="Times New Roman"/>
          <w:lang w:val="fr-CA"/>
        </w:rPr>
        <w:t xml:space="preserve"> </w:t>
      </w:r>
      <w:r w:rsidRPr="0001174C">
        <w:rPr>
          <w:rFonts w:cs="Times New Roman"/>
          <w:lang w:val="fr-CA"/>
        </w:rPr>
        <w:t xml:space="preserve">175). </w:t>
      </w:r>
      <w:r>
        <w:rPr>
          <w:rFonts w:cs="Times New Roman"/>
          <w:lang w:val="fr-CA"/>
        </w:rPr>
        <w:t>Selon l</w:t>
      </w:r>
      <w:r w:rsidRPr="0001174C">
        <w:rPr>
          <w:rFonts w:cs="Times New Roman"/>
          <w:lang w:val="fr-CA"/>
        </w:rPr>
        <w:t>e juge du procès</w:t>
      </w:r>
      <w:r>
        <w:rPr>
          <w:rFonts w:cs="Times New Roman"/>
          <w:lang w:val="fr-CA"/>
        </w:rPr>
        <w:t>,</w:t>
      </w:r>
      <w:r w:rsidRPr="0001174C">
        <w:rPr>
          <w:rFonts w:cs="Times New Roman"/>
          <w:lang w:val="fr-CA"/>
        </w:rPr>
        <w:t xml:space="preserve"> </w:t>
      </w:r>
      <w:r>
        <w:rPr>
          <w:rFonts w:cs="Times New Roman"/>
          <w:lang w:val="fr-CA"/>
        </w:rPr>
        <w:t>l’</w:t>
      </w:r>
      <w:r w:rsidRPr="0001174C">
        <w:rPr>
          <w:rFonts w:cs="Times New Roman"/>
          <w:lang w:val="fr-CA"/>
        </w:rPr>
        <w:t xml:space="preserve">écoute électronique </w:t>
      </w:r>
      <w:r>
        <w:rPr>
          <w:rFonts w:cs="Times New Roman"/>
          <w:lang w:val="fr-CA"/>
        </w:rPr>
        <w:t xml:space="preserve">n’a pas servi à </w:t>
      </w:r>
      <w:r w:rsidRPr="0001174C">
        <w:rPr>
          <w:rFonts w:cs="Times New Roman"/>
          <w:lang w:val="fr-CA"/>
        </w:rPr>
        <w:t>monter l</w:t>
      </w:r>
      <w:r>
        <w:rPr>
          <w:rFonts w:cs="Times New Roman"/>
          <w:lang w:val="fr-CA"/>
        </w:rPr>
        <w:t>’</w:t>
      </w:r>
      <w:r w:rsidRPr="0001174C">
        <w:rPr>
          <w:rFonts w:cs="Times New Roman"/>
          <w:lang w:val="fr-CA"/>
        </w:rPr>
        <w:t xml:space="preserve">opération </w:t>
      </w:r>
      <w:r>
        <w:rPr>
          <w:rFonts w:cs="Times New Roman"/>
          <w:lang w:val="fr-CA"/>
        </w:rPr>
        <w:t xml:space="preserve">Monsieur </w:t>
      </w:r>
      <w:r w:rsidRPr="0001174C">
        <w:rPr>
          <w:rFonts w:cs="Times New Roman"/>
          <w:lang w:val="fr-CA"/>
        </w:rPr>
        <w:t xml:space="preserve">Big </w:t>
      </w:r>
      <w:r>
        <w:rPr>
          <w:rFonts w:cs="Times New Roman"/>
          <w:lang w:val="fr-CA"/>
        </w:rPr>
        <w:t>puis</w:t>
      </w:r>
      <w:r w:rsidRPr="0001174C">
        <w:rPr>
          <w:rFonts w:cs="Times New Roman"/>
          <w:lang w:val="fr-CA"/>
        </w:rPr>
        <w:t xml:space="preserve"> </w:t>
      </w:r>
      <w:r>
        <w:rPr>
          <w:rFonts w:cs="Times New Roman"/>
          <w:lang w:val="fr-CA"/>
        </w:rPr>
        <w:t xml:space="preserve">à la </w:t>
      </w:r>
      <w:r w:rsidRPr="0001174C">
        <w:rPr>
          <w:rFonts w:cs="Times New Roman"/>
          <w:lang w:val="fr-CA"/>
        </w:rPr>
        <w:t>mener.</w:t>
      </w:r>
    </w:p>
    <w:p w:rsidR="00AF2876" w:rsidRPr="0001174C" w:rsidRDefault="00AF2876" w:rsidP="00AF2876">
      <w:pPr>
        <w:pStyle w:val="Title2LevelTitre2Niveau"/>
        <w:ind w:left="576" w:hanging="576"/>
        <w:rPr>
          <w:rFonts w:cs="Times New Roman"/>
          <w:lang w:val="fr-CA"/>
        </w:rPr>
      </w:pPr>
      <w:r w:rsidRPr="0001174C">
        <w:rPr>
          <w:rFonts w:cs="Times New Roman"/>
          <w:lang w:val="fr-CA"/>
        </w:rPr>
        <w:t>Cour d</w:t>
      </w:r>
      <w:r>
        <w:rPr>
          <w:rFonts w:cs="Times New Roman"/>
          <w:lang w:val="fr-CA"/>
        </w:rPr>
        <w:t>’</w:t>
      </w:r>
      <w:r w:rsidRPr="0001174C">
        <w:rPr>
          <w:rFonts w:cs="Times New Roman"/>
          <w:lang w:val="fr-CA"/>
        </w:rPr>
        <w:t>appel de l</w:t>
      </w:r>
      <w:r>
        <w:rPr>
          <w:rFonts w:cs="Times New Roman"/>
          <w:lang w:val="fr-CA"/>
        </w:rPr>
        <w:t>’</w:t>
      </w:r>
      <w:r w:rsidRPr="0001174C">
        <w:rPr>
          <w:rFonts w:cs="Times New Roman"/>
          <w:lang w:val="fr-CA"/>
        </w:rPr>
        <w:t>Alberta</w:t>
      </w:r>
      <w:r>
        <w:rPr>
          <w:rFonts w:cs="Times New Roman"/>
          <w:lang w:val="fr-CA"/>
        </w:rPr>
        <w:t xml:space="preserve"> </w:t>
      </w:r>
      <w:r w:rsidRPr="008D41E0">
        <w:rPr>
          <w:rFonts w:cs="Times New Roman"/>
          <w:lang w:val="fr-CA"/>
        </w:rPr>
        <w:t>(les juges Côté, McFadyen et O’Brien),</w:t>
      </w:r>
      <w:r w:rsidRPr="0001174C">
        <w:rPr>
          <w:rFonts w:cs="Times New Roman"/>
          <w:lang w:val="fr-CA"/>
        </w:rPr>
        <w:t xml:space="preserve"> 2012 ABCA 42</w:t>
      </w:r>
      <w:r>
        <w:rPr>
          <w:rFonts w:cs="Times New Roman"/>
          <w:lang w:val="fr-CA"/>
        </w:rPr>
        <w:t>, 66 Alta. L.R. (5th) 377</w:t>
      </w:r>
    </w:p>
    <w:p w:rsidR="00AF2876" w:rsidRPr="0001174C" w:rsidRDefault="00AF2876" w:rsidP="00AF2876">
      <w:pPr>
        <w:pStyle w:val="ParaNoNdepar-AltN"/>
        <w:rPr>
          <w:rFonts w:cs="Times New Roman"/>
          <w:lang w:val="fr-CA"/>
        </w:rPr>
      </w:pPr>
      <w:r>
        <w:rPr>
          <w:rFonts w:cs="Times New Roman"/>
          <w:lang w:val="fr-CA"/>
        </w:rPr>
        <w:lastRenderedPageBreak/>
        <w:t>L’</w:t>
      </w:r>
      <w:r w:rsidRPr="0001174C">
        <w:rPr>
          <w:rFonts w:cs="Times New Roman"/>
          <w:lang w:val="fr-CA"/>
        </w:rPr>
        <w:t xml:space="preserve">appelant </w:t>
      </w:r>
      <w:r>
        <w:rPr>
          <w:rFonts w:cs="Times New Roman"/>
          <w:lang w:val="fr-CA"/>
        </w:rPr>
        <w:t xml:space="preserve">a soutenu devant la Cour d’appel </w:t>
      </w:r>
      <w:r w:rsidRPr="0001174C">
        <w:rPr>
          <w:rFonts w:cs="Times New Roman"/>
          <w:lang w:val="fr-CA"/>
        </w:rPr>
        <w:t xml:space="preserve">que le juge du procès avait </w:t>
      </w:r>
      <w:r>
        <w:rPr>
          <w:rFonts w:cs="Times New Roman"/>
          <w:lang w:val="fr-CA"/>
        </w:rPr>
        <w:t xml:space="preserve">eu tort de </w:t>
      </w:r>
      <w:r w:rsidRPr="0001174C">
        <w:rPr>
          <w:rFonts w:cs="Times New Roman"/>
          <w:lang w:val="fr-CA"/>
        </w:rPr>
        <w:t>conclu</w:t>
      </w:r>
      <w:r>
        <w:rPr>
          <w:rFonts w:cs="Times New Roman"/>
          <w:lang w:val="fr-CA"/>
        </w:rPr>
        <w:t xml:space="preserve">re </w:t>
      </w:r>
      <w:r w:rsidRPr="0001174C">
        <w:rPr>
          <w:rFonts w:cs="Times New Roman"/>
          <w:lang w:val="fr-CA"/>
        </w:rPr>
        <w:t xml:space="preserve">que le </w:t>
      </w:r>
      <w:r>
        <w:rPr>
          <w:rFonts w:cs="Times New Roman"/>
          <w:lang w:val="fr-CA"/>
        </w:rPr>
        <w:t>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 xml:space="preserve">Charte </w:t>
      </w:r>
      <w:r w:rsidRPr="0001174C">
        <w:rPr>
          <w:rFonts w:cs="Times New Roman"/>
          <w:lang w:val="fr-CA"/>
        </w:rPr>
        <w:t>ne s</w:t>
      </w:r>
      <w:r>
        <w:rPr>
          <w:rFonts w:cs="Times New Roman"/>
          <w:lang w:val="fr-CA"/>
        </w:rPr>
        <w:t>’</w:t>
      </w:r>
      <w:r w:rsidRPr="0001174C">
        <w:rPr>
          <w:rFonts w:cs="Times New Roman"/>
          <w:lang w:val="fr-CA"/>
        </w:rPr>
        <w:t xml:space="preserve">appliquait pas et que </w:t>
      </w:r>
      <w:r>
        <w:rPr>
          <w:rFonts w:cs="Times New Roman"/>
          <w:lang w:val="fr-CA"/>
        </w:rPr>
        <w:t>s</w:t>
      </w:r>
      <w:r w:rsidRPr="0001174C">
        <w:rPr>
          <w:rFonts w:cs="Times New Roman"/>
          <w:lang w:val="fr-CA"/>
        </w:rPr>
        <w:t xml:space="preserve">es directives au jury </w:t>
      </w:r>
      <w:r>
        <w:rPr>
          <w:rFonts w:cs="Times New Roman"/>
          <w:lang w:val="fr-CA"/>
        </w:rPr>
        <w:t>sur l</w:t>
      </w:r>
      <w:r w:rsidRPr="0001174C">
        <w:rPr>
          <w:rFonts w:cs="Times New Roman"/>
          <w:lang w:val="fr-CA"/>
        </w:rPr>
        <w:t xml:space="preserve">es éléments de preuve </w:t>
      </w:r>
      <w:r>
        <w:rPr>
          <w:rFonts w:cs="Times New Roman"/>
          <w:lang w:val="fr-CA"/>
        </w:rPr>
        <w:t xml:space="preserve">issus de </w:t>
      </w:r>
      <w:r w:rsidRPr="0001174C">
        <w:rPr>
          <w:rFonts w:cs="Times New Roman"/>
          <w:lang w:val="fr-CA"/>
        </w:rPr>
        <w:t>l</w:t>
      </w:r>
      <w:r>
        <w:rPr>
          <w:rFonts w:cs="Times New Roman"/>
          <w:lang w:val="fr-CA"/>
        </w:rPr>
        <w:t>’</w:t>
      </w:r>
      <w:r w:rsidRPr="0001174C">
        <w:rPr>
          <w:rFonts w:cs="Times New Roman"/>
          <w:lang w:val="fr-CA"/>
        </w:rPr>
        <w:t xml:space="preserve">opération </w:t>
      </w:r>
      <w:r>
        <w:rPr>
          <w:rFonts w:cs="Times New Roman"/>
          <w:lang w:val="fr-CA"/>
        </w:rPr>
        <w:t>Monsieur Big</w:t>
      </w:r>
      <w:r w:rsidRPr="0001174C">
        <w:rPr>
          <w:rFonts w:cs="Times New Roman"/>
          <w:lang w:val="fr-CA"/>
        </w:rPr>
        <w:t xml:space="preserve"> et </w:t>
      </w:r>
      <w:r>
        <w:rPr>
          <w:rFonts w:cs="Times New Roman"/>
          <w:lang w:val="fr-CA"/>
        </w:rPr>
        <w:t xml:space="preserve">sur </w:t>
      </w:r>
      <w:r w:rsidRPr="0001174C">
        <w:rPr>
          <w:rFonts w:cs="Times New Roman"/>
          <w:lang w:val="fr-CA"/>
        </w:rPr>
        <w:t xml:space="preserve">la crédibilité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é</w:t>
      </w:r>
      <w:r w:rsidRPr="0001174C">
        <w:rPr>
          <w:rFonts w:cs="Times New Roman"/>
          <w:lang w:val="fr-CA"/>
        </w:rPr>
        <w:t>taient lacun</w:t>
      </w:r>
      <w:r>
        <w:rPr>
          <w:rFonts w:cs="Times New Roman"/>
          <w:lang w:val="fr-CA"/>
        </w:rPr>
        <w:t>air</w:t>
      </w:r>
      <w:r w:rsidRPr="0001174C">
        <w:rPr>
          <w:rFonts w:cs="Times New Roman"/>
          <w:lang w:val="fr-CA"/>
        </w:rPr>
        <w:t xml:space="preserve">es. </w:t>
      </w:r>
    </w:p>
    <w:p w:rsidR="00AF2876" w:rsidRPr="0001174C" w:rsidRDefault="00AF2876" w:rsidP="00AF2876">
      <w:pPr>
        <w:pStyle w:val="ParaNoNdepar-AltN"/>
        <w:rPr>
          <w:rFonts w:cs="Times New Roman"/>
          <w:lang w:val="fr-CA"/>
        </w:rPr>
      </w:pPr>
      <w:r w:rsidRPr="0001174C">
        <w:rPr>
          <w:rFonts w:cs="Times New Roman"/>
          <w:lang w:val="fr-CA"/>
        </w:rPr>
        <w:t>La Cour d</w:t>
      </w:r>
      <w:r>
        <w:rPr>
          <w:rFonts w:cs="Times New Roman"/>
          <w:lang w:val="fr-CA"/>
        </w:rPr>
        <w:t>’</w:t>
      </w:r>
      <w:r w:rsidRPr="0001174C">
        <w:rPr>
          <w:rFonts w:cs="Times New Roman"/>
          <w:lang w:val="fr-CA"/>
        </w:rPr>
        <w:t xml:space="preserve">appel </w:t>
      </w:r>
      <w:r>
        <w:rPr>
          <w:rFonts w:cs="Times New Roman"/>
          <w:lang w:val="fr-CA"/>
        </w:rPr>
        <w:t>rejette les prétentions</w:t>
      </w:r>
      <w:r w:rsidRPr="0001174C">
        <w:rPr>
          <w:rFonts w:cs="Times New Roman"/>
          <w:lang w:val="fr-CA"/>
        </w:rPr>
        <w:t xml:space="preserve">. Elle fait observer que la décision </w:t>
      </w:r>
      <w:r>
        <w:rPr>
          <w:rFonts w:cs="Times New Roman"/>
          <w:lang w:val="fr-CA"/>
        </w:rPr>
        <w:t xml:space="preserve">du </w:t>
      </w:r>
      <w:r w:rsidRPr="0001174C">
        <w:rPr>
          <w:rFonts w:cs="Times New Roman"/>
          <w:lang w:val="fr-CA"/>
        </w:rPr>
        <w:t xml:space="preserve">juge du procès </w:t>
      </w:r>
      <w:r>
        <w:rPr>
          <w:rFonts w:cs="Times New Roman"/>
          <w:lang w:val="fr-CA"/>
        </w:rPr>
        <w:t>fondée sur le 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 xml:space="preserve">Charte </w:t>
      </w:r>
      <w:r w:rsidRPr="0001174C">
        <w:rPr>
          <w:rFonts w:cs="Times New Roman"/>
          <w:lang w:val="fr-CA"/>
        </w:rPr>
        <w:t xml:space="preserve">commande la </w:t>
      </w:r>
      <w:r>
        <w:rPr>
          <w:rFonts w:cs="Times New Roman"/>
          <w:lang w:val="fr-CA"/>
        </w:rPr>
        <w:t xml:space="preserve">déférence et qu’il n’y a </w:t>
      </w:r>
      <w:r w:rsidRPr="0001174C">
        <w:rPr>
          <w:rFonts w:cs="Times New Roman"/>
          <w:lang w:val="fr-CA"/>
        </w:rPr>
        <w:t>aucune raison de modifier la conclusion suivant laquelle il n</w:t>
      </w:r>
      <w:r>
        <w:rPr>
          <w:rFonts w:cs="Times New Roman"/>
          <w:lang w:val="fr-CA"/>
        </w:rPr>
        <w:t>’</w:t>
      </w:r>
      <w:r w:rsidRPr="0001174C">
        <w:rPr>
          <w:rFonts w:cs="Times New Roman"/>
          <w:lang w:val="fr-CA"/>
        </w:rPr>
        <w:t>exist</w:t>
      </w:r>
      <w:r>
        <w:rPr>
          <w:rFonts w:cs="Times New Roman"/>
          <w:lang w:val="fr-CA"/>
        </w:rPr>
        <w:t>e</w:t>
      </w:r>
      <w:r w:rsidRPr="0001174C">
        <w:rPr>
          <w:rFonts w:cs="Times New Roman"/>
          <w:lang w:val="fr-CA"/>
        </w:rPr>
        <w:t xml:space="preserve"> pas </w:t>
      </w:r>
      <w:r>
        <w:rPr>
          <w:rFonts w:cs="Times New Roman"/>
          <w:lang w:val="fr-CA"/>
        </w:rPr>
        <w:t xml:space="preserve">de </w:t>
      </w:r>
      <w:r w:rsidRPr="0001174C">
        <w:rPr>
          <w:rFonts w:cs="Times New Roman"/>
          <w:lang w:val="fr-CA"/>
        </w:rPr>
        <w:t xml:space="preserve">lien suffisamment étroit entre </w:t>
      </w:r>
      <w:r>
        <w:rPr>
          <w:rFonts w:cs="Times New Roman"/>
          <w:lang w:val="fr-CA"/>
        </w:rPr>
        <w:t xml:space="preserve">l’atteinte au droit garanti par </w:t>
      </w:r>
      <w:r w:rsidRPr="0001174C">
        <w:rPr>
          <w:rFonts w:cs="Times New Roman"/>
          <w:lang w:val="fr-CA"/>
        </w:rPr>
        <w:t>l</w:t>
      </w:r>
      <w:r>
        <w:rPr>
          <w:rFonts w:cs="Times New Roman"/>
          <w:lang w:val="fr-CA"/>
        </w:rPr>
        <w:t>’art.</w:t>
      </w:r>
      <w:r w:rsidR="00203E16">
        <w:rPr>
          <w:rFonts w:cs="Times New Roman"/>
          <w:lang w:val="fr-CA"/>
        </w:rPr>
        <w:t xml:space="preserve"> </w:t>
      </w:r>
      <w:r w:rsidRPr="0001174C">
        <w:rPr>
          <w:rFonts w:cs="Times New Roman"/>
          <w:lang w:val="fr-CA"/>
        </w:rPr>
        <w:t xml:space="preserve">8 et les déclarations </w:t>
      </w:r>
      <w:r>
        <w:rPr>
          <w:rFonts w:cs="Times New Roman"/>
          <w:lang w:val="fr-CA"/>
        </w:rPr>
        <w:t xml:space="preserve">de </w:t>
      </w:r>
      <w:r w:rsidRPr="0001174C">
        <w:rPr>
          <w:rFonts w:cs="Times New Roman"/>
          <w:lang w:val="fr-CA"/>
        </w:rPr>
        <w:t>l</w:t>
      </w:r>
      <w:r>
        <w:rPr>
          <w:rFonts w:cs="Times New Roman"/>
          <w:lang w:val="fr-CA"/>
        </w:rPr>
        <w:t>’</w:t>
      </w:r>
      <w:r w:rsidRPr="0001174C">
        <w:rPr>
          <w:rFonts w:cs="Times New Roman"/>
          <w:lang w:val="fr-CA"/>
        </w:rPr>
        <w:t xml:space="preserve">accusé pour </w:t>
      </w:r>
      <w:r>
        <w:rPr>
          <w:rFonts w:cs="Times New Roman"/>
          <w:lang w:val="fr-CA"/>
        </w:rPr>
        <w:t>emporter l’application du</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24(2)</w:t>
      </w:r>
      <w:r w:rsidRPr="008D41E0">
        <w:rPr>
          <w:rFonts w:cs="Times New Roman"/>
          <w:lang w:val="fr-CA"/>
        </w:rPr>
        <w:t>.</w:t>
      </w:r>
      <w:r w:rsidRPr="0001174C">
        <w:rPr>
          <w:rFonts w:cs="Times New Roman"/>
          <w:lang w:val="fr-CA"/>
        </w:rPr>
        <w:t xml:space="preserve"> S</w:t>
      </w:r>
      <w:r>
        <w:rPr>
          <w:rFonts w:cs="Times New Roman"/>
          <w:lang w:val="fr-CA"/>
        </w:rPr>
        <w:t>’</w:t>
      </w:r>
      <w:r w:rsidRPr="0001174C">
        <w:rPr>
          <w:rFonts w:cs="Times New Roman"/>
          <w:lang w:val="fr-CA"/>
        </w:rPr>
        <w:t>agissant de l</w:t>
      </w:r>
      <w:r>
        <w:rPr>
          <w:rFonts w:cs="Times New Roman"/>
          <w:lang w:val="fr-CA"/>
        </w:rPr>
        <w:t>’</w:t>
      </w:r>
      <w:r w:rsidRPr="0001174C">
        <w:rPr>
          <w:rFonts w:cs="Times New Roman"/>
          <w:lang w:val="fr-CA"/>
        </w:rPr>
        <w:t xml:space="preserve">opération </w:t>
      </w:r>
      <w:r>
        <w:rPr>
          <w:rFonts w:cs="Times New Roman"/>
          <w:lang w:val="fr-CA"/>
        </w:rPr>
        <w:t>Monsieur Big</w:t>
      </w:r>
      <w:r w:rsidRPr="0001174C">
        <w:rPr>
          <w:rFonts w:cs="Times New Roman"/>
          <w:lang w:val="fr-CA"/>
        </w:rPr>
        <w:t xml:space="preserve">, </w:t>
      </w:r>
      <w:r>
        <w:rPr>
          <w:rFonts w:cs="Times New Roman"/>
          <w:lang w:val="fr-CA"/>
        </w:rPr>
        <w:t xml:space="preserve">elle </w:t>
      </w:r>
      <w:r w:rsidRPr="0001174C">
        <w:rPr>
          <w:rFonts w:cs="Times New Roman"/>
          <w:lang w:val="fr-CA"/>
        </w:rPr>
        <w:t>estim</w:t>
      </w:r>
      <w:r>
        <w:rPr>
          <w:rFonts w:cs="Times New Roman"/>
          <w:lang w:val="fr-CA"/>
        </w:rPr>
        <w:t>e</w:t>
      </w:r>
      <w:r w:rsidRPr="0001174C">
        <w:rPr>
          <w:rFonts w:cs="Times New Roman"/>
          <w:lang w:val="fr-CA"/>
        </w:rPr>
        <w:t xml:space="preserve"> que le juge </w:t>
      </w:r>
      <w:r>
        <w:rPr>
          <w:rFonts w:cs="Times New Roman"/>
          <w:lang w:val="fr-CA"/>
        </w:rPr>
        <w:t xml:space="preserve">a </w:t>
      </w:r>
      <w:r w:rsidRPr="0001174C">
        <w:rPr>
          <w:rFonts w:cs="Times New Roman"/>
          <w:lang w:val="fr-CA"/>
        </w:rPr>
        <w:t xml:space="preserve">mis le jury en garde contre un raisonnement fondé sur la propension et lui </w:t>
      </w:r>
      <w:r>
        <w:rPr>
          <w:rFonts w:cs="Times New Roman"/>
          <w:lang w:val="fr-CA"/>
        </w:rPr>
        <w:t>a signalé les doutes entourant la fiabilité des aveux obtenus.</w:t>
      </w:r>
      <w:r w:rsidRPr="0001174C">
        <w:rPr>
          <w:rFonts w:cs="Times New Roman"/>
          <w:lang w:val="fr-CA"/>
        </w:rPr>
        <w:t xml:space="preserve"> </w:t>
      </w:r>
      <w:r>
        <w:rPr>
          <w:rFonts w:cs="Times New Roman"/>
          <w:lang w:val="fr-CA"/>
        </w:rPr>
        <w:t>Selon elle</w:t>
      </w:r>
      <w:r w:rsidRPr="0001174C">
        <w:rPr>
          <w:rFonts w:cs="Times New Roman"/>
          <w:lang w:val="fr-CA"/>
        </w:rPr>
        <w:t>, rien de plus n</w:t>
      </w:r>
      <w:r>
        <w:rPr>
          <w:rFonts w:cs="Times New Roman"/>
          <w:lang w:val="fr-CA"/>
        </w:rPr>
        <w:t xml:space="preserve">’était </w:t>
      </w:r>
      <w:r w:rsidRPr="0001174C">
        <w:rPr>
          <w:rFonts w:cs="Times New Roman"/>
          <w:lang w:val="fr-CA"/>
        </w:rPr>
        <w:t xml:space="preserve">exigé. De même, en ce qui concerne 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elle </w:t>
      </w:r>
      <w:r w:rsidRPr="0001174C">
        <w:rPr>
          <w:rFonts w:cs="Times New Roman"/>
          <w:lang w:val="fr-CA"/>
        </w:rPr>
        <w:t>fait observer que le juge a</w:t>
      </w:r>
      <w:r>
        <w:rPr>
          <w:rFonts w:cs="Times New Roman"/>
          <w:lang w:val="fr-CA"/>
        </w:rPr>
        <w:t xml:space="preserve"> </w:t>
      </w:r>
      <w:r w:rsidRPr="0001174C">
        <w:rPr>
          <w:rFonts w:cs="Times New Roman"/>
          <w:lang w:val="fr-CA"/>
        </w:rPr>
        <w:t xml:space="preserve">rappelé aux jurés la thèse de la défense suivant laquelle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était l</w:t>
      </w:r>
      <w:r>
        <w:rPr>
          <w:rFonts w:cs="Times New Roman"/>
          <w:lang w:val="fr-CA"/>
        </w:rPr>
        <w:t>’</w:t>
      </w:r>
      <w:r w:rsidRPr="0001174C">
        <w:rPr>
          <w:rFonts w:cs="Times New Roman"/>
          <w:lang w:val="fr-CA"/>
        </w:rPr>
        <w:t xml:space="preserve">assassin et </w:t>
      </w:r>
      <w:r>
        <w:rPr>
          <w:rFonts w:cs="Times New Roman"/>
          <w:lang w:val="fr-CA"/>
        </w:rPr>
        <w:t>il les a mis en garde contre la 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du </w:t>
      </w:r>
      <w:r w:rsidRPr="0001174C">
        <w:rPr>
          <w:rFonts w:cs="Times New Roman"/>
          <w:lang w:val="fr-CA"/>
        </w:rPr>
        <w:t xml:space="preserve">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Là </w:t>
      </w:r>
      <w:r>
        <w:rPr>
          <w:rFonts w:cs="Times New Roman"/>
          <w:lang w:val="fr-CA"/>
        </w:rPr>
        <w:t>non plus</w:t>
      </w:r>
      <w:r w:rsidRPr="0001174C">
        <w:rPr>
          <w:rFonts w:cs="Times New Roman"/>
          <w:lang w:val="fr-CA"/>
        </w:rPr>
        <w:t>, la Cour d</w:t>
      </w:r>
      <w:r>
        <w:rPr>
          <w:rFonts w:cs="Times New Roman"/>
          <w:lang w:val="fr-CA"/>
        </w:rPr>
        <w:t>’</w:t>
      </w:r>
      <w:r w:rsidRPr="0001174C">
        <w:rPr>
          <w:rFonts w:cs="Times New Roman"/>
          <w:lang w:val="fr-CA"/>
        </w:rPr>
        <w:t xml:space="preserve">appel </w:t>
      </w:r>
      <w:r>
        <w:rPr>
          <w:rFonts w:cs="Times New Roman"/>
          <w:lang w:val="fr-CA"/>
        </w:rPr>
        <w:t xml:space="preserve">ne </w:t>
      </w:r>
      <w:r w:rsidRPr="0001174C">
        <w:rPr>
          <w:rFonts w:cs="Times New Roman"/>
          <w:lang w:val="fr-CA"/>
        </w:rPr>
        <w:t>déc</w:t>
      </w:r>
      <w:r>
        <w:rPr>
          <w:rFonts w:cs="Times New Roman"/>
          <w:lang w:val="fr-CA"/>
        </w:rPr>
        <w:t>è</w:t>
      </w:r>
      <w:r w:rsidRPr="0001174C">
        <w:rPr>
          <w:rFonts w:cs="Times New Roman"/>
          <w:lang w:val="fr-CA"/>
        </w:rPr>
        <w:t>l</w:t>
      </w:r>
      <w:r>
        <w:rPr>
          <w:rFonts w:cs="Times New Roman"/>
          <w:lang w:val="fr-CA"/>
        </w:rPr>
        <w:t>e</w:t>
      </w:r>
      <w:r w:rsidRPr="0001174C">
        <w:rPr>
          <w:rFonts w:cs="Times New Roman"/>
          <w:lang w:val="fr-CA"/>
        </w:rPr>
        <w:t xml:space="preserve"> </w:t>
      </w:r>
      <w:r>
        <w:rPr>
          <w:rFonts w:cs="Times New Roman"/>
          <w:lang w:val="fr-CA"/>
        </w:rPr>
        <w:t>pas d’</w:t>
      </w:r>
      <w:r w:rsidRPr="0001174C">
        <w:rPr>
          <w:rFonts w:cs="Times New Roman"/>
          <w:lang w:val="fr-CA"/>
        </w:rPr>
        <w:t>erreur dans le</w:t>
      </w:r>
      <w:r>
        <w:rPr>
          <w:rFonts w:cs="Times New Roman"/>
          <w:lang w:val="fr-CA"/>
        </w:rPr>
        <w:t>s</w:t>
      </w:r>
      <w:r w:rsidRPr="0001174C">
        <w:rPr>
          <w:rFonts w:cs="Times New Roman"/>
          <w:lang w:val="fr-CA"/>
        </w:rPr>
        <w:t xml:space="preserve"> </w:t>
      </w:r>
      <w:r>
        <w:rPr>
          <w:rFonts w:cs="Times New Roman"/>
          <w:lang w:val="fr-CA"/>
        </w:rPr>
        <w:t xml:space="preserve">directives </w:t>
      </w:r>
      <w:r w:rsidRPr="0001174C">
        <w:rPr>
          <w:rFonts w:cs="Times New Roman"/>
          <w:lang w:val="fr-CA"/>
        </w:rPr>
        <w:t xml:space="preserve">du juge. </w:t>
      </w:r>
    </w:p>
    <w:p w:rsidR="00AF2876" w:rsidRPr="0001174C" w:rsidRDefault="00AF2876" w:rsidP="00AF2876">
      <w:pPr>
        <w:pStyle w:val="Title1LevelTitre1Niveau-AltL"/>
        <w:rPr>
          <w:rFonts w:cs="Times New Roman"/>
          <w:lang w:val="fr-CA"/>
        </w:rPr>
      </w:pPr>
      <w:r w:rsidRPr="0001174C">
        <w:rPr>
          <w:rFonts w:cs="Times New Roman"/>
          <w:lang w:val="fr-CA"/>
        </w:rPr>
        <w:t>Questions en litige</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appelant soulève trois questions</w:t>
      </w:r>
      <w:r>
        <w:rPr>
          <w:rFonts w:cs="Times New Roman"/>
          <w:lang w:val="fr-CA"/>
        </w:rPr>
        <w:t xml:space="preserve"> </w:t>
      </w:r>
      <w:r w:rsidRPr="001D0501">
        <w:rPr>
          <w:rFonts w:cs="Times New Roman"/>
          <w:lang w:val="fr-CA"/>
        </w:rPr>
        <w:t>devant la Cour</w:t>
      </w:r>
      <w:r>
        <w:rPr>
          <w:rFonts w:cs="Times New Roman"/>
          <w:lang w:val="fr-CA"/>
        </w:rPr>
        <w:t>.</w:t>
      </w:r>
    </w:p>
    <w:p w:rsidR="00AF2876" w:rsidRPr="0001174C" w:rsidRDefault="00AF2876" w:rsidP="005044C1">
      <w:pPr>
        <w:pStyle w:val="Citation-AltC"/>
        <w:spacing w:after="240" w:line="480" w:lineRule="auto"/>
        <w:ind w:left="720" w:hanging="720"/>
        <w:contextualSpacing w:val="0"/>
        <w:rPr>
          <w:lang w:val="fr-CA"/>
        </w:rPr>
      </w:pPr>
      <w:r>
        <w:rPr>
          <w:lang w:val="fr-CA"/>
        </w:rPr>
        <w:t>a)</w:t>
      </w:r>
      <w:r>
        <w:rPr>
          <w:lang w:val="fr-CA"/>
        </w:rPr>
        <w:tab/>
      </w:r>
      <w:r w:rsidRPr="0001174C">
        <w:rPr>
          <w:lang w:val="fr-CA"/>
        </w:rPr>
        <w:t>Le juge du procès a</w:t>
      </w:r>
      <w:r w:rsidR="00203E16">
        <w:rPr>
          <w:lang w:val="fr-CA"/>
        </w:rPr>
        <w:t>-</w:t>
      </w:r>
      <w:r w:rsidRPr="0001174C">
        <w:rPr>
          <w:lang w:val="fr-CA"/>
        </w:rPr>
        <w:t>t</w:t>
      </w:r>
      <w:r w:rsidR="00203E16">
        <w:rPr>
          <w:lang w:val="fr-CA"/>
        </w:rPr>
        <w:t>-</w:t>
      </w:r>
      <w:r w:rsidRPr="0001174C">
        <w:rPr>
          <w:lang w:val="fr-CA"/>
        </w:rPr>
        <w:t xml:space="preserve">il </w:t>
      </w:r>
      <w:r>
        <w:rPr>
          <w:lang w:val="fr-CA"/>
        </w:rPr>
        <w:t>eu tort de conclure</w:t>
      </w:r>
      <w:r w:rsidRPr="0001174C">
        <w:rPr>
          <w:lang w:val="fr-CA"/>
        </w:rPr>
        <w:t xml:space="preserve"> que le </w:t>
      </w:r>
      <w:r>
        <w:rPr>
          <w:lang w:val="fr-CA"/>
        </w:rPr>
        <w:t>par.</w:t>
      </w:r>
      <w:r w:rsidR="00203E16">
        <w:rPr>
          <w:lang w:val="fr-CA"/>
        </w:rPr>
        <w:t xml:space="preserve"> </w:t>
      </w:r>
      <w:r w:rsidRPr="0001174C">
        <w:rPr>
          <w:lang w:val="fr-CA"/>
        </w:rPr>
        <w:t xml:space="preserve">24(2) de la </w:t>
      </w:r>
      <w:r w:rsidRPr="0001174C">
        <w:rPr>
          <w:i/>
          <w:lang w:val="fr-CA"/>
        </w:rPr>
        <w:t xml:space="preserve">Charte </w:t>
      </w:r>
      <w:r w:rsidRPr="0001174C">
        <w:rPr>
          <w:lang w:val="fr-CA"/>
        </w:rPr>
        <w:t>ne s</w:t>
      </w:r>
      <w:r>
        <w:rPr>
          <w:lang w:val="fr-CA"/>
        </w:rPr>
        <w:t>’</w:t>
      </w:r>
      <w:r w:rsidRPr="0001174C">
        <w:rPr>
          <w:lang w:val="fr-CA"/>
        </w:rPr>
        <w:t>appliquait pas?</w:t>
      </w:r>
    </w:p>
    <w:p w:rsidR="00AF2876" w:rsidRPr="0001174C" w:rsidRDefault="00AF2876" w:rsidP="005044C1">
      <w:pPr>
        <w:pStyle w:val="Citation-AltC"/>
        <w:spacing w:after="240" w:line="480" w:lineRule="auto"/>
        <w:ind w:left="720" w:hanging="720"/>
        <w:contextualSpacing w:val="0"/>
        <w:rPr>
          <w:lang w:val="fr-CA"/>
        </w:rPr>
      </w:pPr>
      <w:r>
        <w:rPr>
          <w:lang w:val="fr-CA"/>
        </w:rPr>
        <w:lastRenderedPageBreak/>
        <w:t>b)</w:t>
      </w:r>
      <w:r>
        <w:rPr>
          <w:lang w:val="fr-CA"/>
        </w:rPr>
        <w:tab/>
        <w:t>A</w:t>
      </w:r>
      <w:r w:rsidR="00203E16">
        <w:rPr>
          <w:lang w:val="fr-CA"/>
        </w:rPr>
        <w:t>-</w:t>
      </w:r>
      <w:r w:rsidRPr="0001174C">
        <w:rPr>
          <w:lang w:val="fr-CA"/>
        </w:rPr>
        <w:t>t</w:t>
      </w:r>
      <w:r w:rsidR="00203E16">
        <w:rPr>
          <w:lang w:val="fr-CA"/>
        </w:rPr>
        <w:t>-</w:t>
      </w:r>
      <w:r w:rsidRPr="0001174C">
        <w:rPr>
          <w:lang w:val="fr-CA"/>
        </w:rPr>
        <w:t xml:space="preserve">il </w:t>
      </w:r>
      <w:r>
        <w:rPr>
          <w:lang w:val="fr-CA"/>
        </w:rPr>
        <w:t xml:space="preserve">donné </w:t>
      </w:r>
      <w:r w:rsidRPr="0001174C">
        <w:rPr>
          <w:lang w:val="fr-CA"/>
        </w:rPr>
        <w:t xml:space="preserve">au jury </w:t>
      </w:r>
      <w:r>
        <w:rPr>
          <w:lang w:val="fr-CA"/>
        </w:rPr>
        <w:t>d</w:t>
      </w:r>
      <w:r w:rsidRPr="0001174C">
        <w:rPr>
          <w:lang w:val="fr-CA"/>
        </w:rPr>
        <w:t xml:space="preserve">es directives </w:t>
      </w:r>
      <w:r>
        <w:rPr>
          <w:lang w:val="fr-CA"/>
        </w:rPr>
        <w:t>erronées sur l</w:t>
      </w:r>
      <w:r w:rsidRPr="0001174C">
        <w:rPr>
          <w:lang w:val="fr-CA"/>
        </w:rPr>
        <w:t xml:space="preserve">es aveux </w:t>
      </w:r>
      <w:r>
        <w:rPr>
          <w:lang w:val="fr-CA"/>
        </w:rPr>
        <w:t xml:space="preserve">issus </w:t>
      </w:r>
      <w:r w:rsidRPr="0001174C">
        <w:rPr>
          <w:lang w:val="fr-CA"/>
        </w:rPr>
        <w:t>de l</w:t>
      </w:r>
      <w:r>
        <w:rPr>
          <w:lang w:val="fr-CA"/>
        </w:rPr>
        <w:t>’</w:t>
      </w:r>
      <w:r w:rsidRPr="0001174C">
        <w:rPr>
          <w:lang w:val="fr-CA"/>
        </w:rPr>
        <w:t xml:space="preserve">opération </w:t>
      </w:r>
      <w:r>
        <w:rPr>
          <w:lang w:val="fr-CA"/>
        </w:rPr>
        <w:t xml:space="preserve">Monsieur Big? </w:t>
      </w:r>
    </w:p>
    <w:p w:rsidR="00AF2876" w:rsidRPr="0001174C" w:rsidRDefault="00AF2876" w:rsidP="005044C1">
      <w:pPr>
        <w:pStyle w:val="Citation-AltC"/>
        <w:spacing w:after="480" w:line="480" w:lineRule="auto"/>
        <w:ind w:left="720" w:hanging="720"/>
        <w:contextualSpacing w:val="0"/>
        <w:rPr>
          <w:lang w:val="fr-CA"/>
        </w:rPr>
      </w:pPr>
      <w:r>
        <w:rPr>
          <w:lang w:val="fr-CA"/>
        </w:rPr>
        <w:t>c)</w:t>
      </w:r>
      <w:r>
        <w:rPr>
          <w:lang w:val="fr-CA"/>
        </w:rPr>
        <w:tab/>
        <w:t>A</w:t>
      </w:r>
      <w:r w:rsidR="00203E16">
        <w:rPr>
          <w:lang w:val="fr-CA"/>
        </w:rPr>
        <w:t>-</w:t>
      </w:r>
      <w:r w:rsidRPr="0001174C">
        <w:rPr>
          <w:lang w:val="fr-CA"/>
        </w:rPr>
        <w:t>t</w:t>
      </w:r>
      <w:r w:rsidR="00203E16">
        <w:rPr>
          <w:lang w:val="fr-CA"/>
        </w:rPr>
        <w:t>-</w:t>
      </w:r>
      <w:r w:rsidRPr="0001174C">
        <w:rPr>
          <w:lang w:val="fr-CA"/>
        </w:rPr>
        <w:t xml:space="preserve">il donné au jury </w:t>
      </w:r>
      <w:r>
        <w:rPr>
          <w:lang w:val="fr-CA"/>
        </w:rPr>
        <w:t>d</w:t>
      </w:r>
      <w:r w:rsidRPr="0001174C">
        <w:rPr>
          <w:lang w:val="fr-CA"/>
        </w:rPr>
        <w:t xml:space="preserve">es directives </w:t>
      </w:r>
      <w:r>
        <w:rPr>
          <w:lang w:val="fr-CA"/>
        </w:rPr>
        <w:t xml:space="preserve">erronées sur le </w:t>
      </w:r>
      <w:r w:rsidRPr="0001174C">
        <w:rPr>
          <w:lang w:val="fr-CA"/>
        </w:rPr>
        <w:t xml:space="preserve">témoignage de </w:t>
      </w:r>
      <w:r>
        <w:rPr>
          <w:lang w:val="fr-CA"/>
        </w:rPr>
        <w:t>M.</w:t>
      </w:r>
      <w:r w:rsidR="00203E16">
        <w:rPr>
          <w:lang w:val="fr-CA"/>
        </w:rPr>
        <w:t xml:space="preserve"> </w:t>
      </w:r>
      <w:r>
        <w:rPr>
          <w:lang w:val="fr-CA"/>
        </w:rPr>
        <w:t>Argueta</w:t>
      </w:r>
      <w:r w:rsidRPr="0001174C">
        <w:rPr>
          <w:lang w:val="fr-CA"/>
        </w:rPr>
        <w:t>?</w:t>
      </w:r>
    </w:p>
    <w:p w:rsidR="00AF2876" w:rsidRPr="0001174C" w:rsidRDefault="00AF2876" w:rsidP="00B60986">
      <w:pPr>
        <w:pStyle w:val="Title1LevelTitre1Niveau-AltL"/>
        <w:widowControl w:val="0"/>
        <w:rPr>
          <w:rFonts w:cs="Times New Roman"/>
          <w:lang w:val="fr-CA"/>
        </w:rPr>
      </w:pPr>
      <w:r w:rsidRPr="0001174C">
        <w:rPr>
          <w:rFonts w:cs="Times New Roman"/>
          <w:lang w:val="fr-CA"/>
        </w:rPr>
        <w:t>Analyse</w:t>
      </w:r>
    </w:p>
    <w:p w:rsidR="00AF2876" w:rsidRPr="0001174C" w:rsidRDefault="00AF2876" w:rsidP="00AF2876">
      <w:pPr>
        <w:pStyle w:val="Title2LevelTitre2Niveau"/>
        <w:ind w:left="576" w:hanging="576"/>
        <w:rPr>
          <w:rFonts w:cs="Times New Roman"/>
          <w:lang w:val="fr-CA"/>
        </w:rPr>
      </w:pPr>
      <w:r w:rsidRPr="0001174C">
        <w:rPr>
          <w:rFonts w:cs="Times New Roman"/>
          <w:lang w:val="fr-CA"/>
        </w:rPr>
        <w:t>Le juge du procès a</w:t>
      </w:r>
      <w:r w:rsidR="00203E16">
        <w:rPr>
          <w:rFonts w:cs="Times New Roman"/>
          <w:i w:val="0"/>
          <w:lang w:val="fr-CA"/>
        </w:rPr>
        <w:t>-</w:t>
      </w:r>
      <w:r w:rsidRPr="0001174C">
        <w:rPr>
          <w:rFonts w:cs="Times New Roman"/>
          <w:lang w:val="fr-CA"/>
        </w:rPr>
        <w:t>t</w:t>
      </w:r>
      <w:r w:rsidR="00203E16">
        <w:rPr>
          <w:rFonts w:cs="Times New Roman"/>
          <w:i w:val="0"/>
          <w:lang w:val="fr-CA"/>
        </w:rPr>
        <w:t>-</w:t>
      </w:r>
      <w:r w:rsidRPr="0001174C">
        <w:rPr>
          <w:rFonts w:cs="Times New Roman"/>
          <w:lang w:val="fr-CA"/>
        </w:rPr>
        <w:t xml:space="preserve">il </w:t>
      </w:r>
      <w:r>
        <w:rPr>
          <w:rFonts w:cs="Times New Roman"/>
          <w:lang w:val="fr-CA"/>
        </w:rPr>
        <w:t xml:space="preserve">eu tort de </w:t>
      </w:r>
      <w:r w:rsidRPr="0001174C">
        <w:rPr>
          <w:rFonts w:cs="Times New Roman"/>
          <w:lang w:val="fr-CA"/>
        </w:rPr>
        <w:t>conclu</w:t>
      </w:r>
      <w:r>
        <w:rPr>
          <w:rFonts w:cs="Times New Roman"/>
          <w:lang w:val="fr-CA"/>
        </w:rPr>
        <w:t xml:space="preserve">re </w:t>
      </w:r>
      <w:r w:rsidRPr="0001174C">
        <w:rPr>
          <w:rFonts w:cs="Times New Roman"/>
          <w:lang w:val="fr-CA"/>
        </w:rPr>
        <w:t xml:space="preserve">que le </w:t>
      </w:r>
      <w:r>
        <w:rPr>
          <w:rFonts w:cs="Times New Roman"/>
          <w:lang w:val="fr-CA"/>
        </w:rPr>
        <w:t>par</w:t>
      </w:r>
      <w:r w:rsidR="005044C1">
        <w:rPr>
          <w:rFonts w:cs="Times New Roman"/>
          <w:lang w:val="fr-CA"/>
        </w:rPr>
        <w:t>.</w:t>
      </w:r>
      <w:r w:rsidR="00203E16">
        <w:rPr>
          <w:rFonts w:cs="Times New Roman"/>
          <w:lang w:val="fr-CA"/>
        </w:rPr>
        <w:t xml:space="preserve"> </w:t>
      </w:r>
      <w:r w:rsidRPr="0001174C">
        <w:rPr>
          <w:rFonts w:cs="Times New Roman"/>
          <w:lang w:val="fr-CA"/>
        </w:rPr>
        <w:t>24(2) de la Charte ne s</w:t>
      </w:r>
      <w:r>
        <w:rPr>
          <w:rFonts w:cs="Times New Roman"/>
          <w:lang w:val="fr-CA"/>
        </w:rPr>
        <w:t>’</w:t>
      </w:r>
      <w:r w:rsidRPr="0001174C">
        <w:rPr>
          <w:rFonts w:cs="Times New Roman"/>
          <w:lang w:val="fr-CA"/>
        </w:rPr>
        <w:t>appliquait pas?</w:t>
      </w:r>
    </w:p>
    <w:p w:rsidR="00AF2876" w:rsidRPr="0001174C" w:rsidRDefault="00AF2876" w:rsidP="00AF2876">
      <w:pPr>
        <w:pStyle w:val="ParaNoNdepar-AltN"/>
        <w:rPr>
          <w:rFonts w:cs="Times New Roman"/>
          <w:sz w:val="20"/>
          <w:szCs w:val="20"/>
          <w:lang w:val="fr-CA"/>
        </w:rPr>
      </w:pPr>
      <w:r w:rsidRPr="0001174C">
        <w:rPr>
          <w:rFonts w:cs="Times New Roman"/>
          <w:szCs w:val="20"/>
          <w:lang w:val="fr-CA"/>
        </w:rPr>
        <w:t xml:space="preserve">Il convient de mentionner </w:t>
      </w:r>
      <w:r>
        <w:rPr>
          <w:rFonts w:cs="Times New Roman"/>
          <w:szCs w:val="20"/>
          <w:lang w:val="fr-CA"/>
        </w:rPr>
        <w:t>au départ</w:t>
      </w:r>
      <w:r w:rsidRPr="0001174C">
        <w:rPr>
          <w:rFonts w:cs="Times New Roman"/>
          <w:szCs w:val="20"/>
          <w:lang w:val="fr-CA"/>
        </w:rPr>
        <w:t xml:space="preserve"> que l</w:t>
      </w:r>
      <w:r>
        <w:rPr>
          <w:rFonts w:cs="Times New Roman"/>
          <w:szCs w:val="20"/>
          <w:lang w:val="fr-CA"/>
        </w:rPr>
        <w:t>’</w:t>
      </w:r>
      <w:r w:rsidRPr="0001174C">
        <w:rPr>
          <w:rFonts w:cs="Times New Roman"/>
          <w:szCs w:val="20"/>
          <w:lang w:val="fr-CA"/>
        </w:rPr>
        <w:t xml:space="preserve">appelant </w:t>
      </w:r>
      <w:r>
        <w:rPr>
          <w:rFonts w:cs="Times New Roman"/>
          <w:szCs w:val="20"/>
          <w:lang w:val="fr-CA"/>
        </w:rPr>
        <w:t xml:space="preserve">ne conteste </w:t>
      </w:r>
      <w:r w:rsidRPr="0001174C">
        <w:rPr>
          <w:rFonts w:cs="Times New Roman"/>
          <w:szCs w:val="20"/>
          <w:lang w:val="fr-CA"/>
        </w:rPr>
        <w:t>l</w:t>
      </w:r>
      <w:r>
        <w:rPr>
          <w:rFonts w:cs="Times New Roman"/>
          <w:szCs w:val="20"/>
          <w:lang w:val="fr-CA"/>
        </w:rPr>
        <w:t>’</w:t>
      </w:r>
      <w:r w:rsidRPr="0001174C">
        <w:rPr>
          <w:rFonts w:cs="Times New Roman"/>
          <w:szCs w:val="20"/>
          <w:lang w:val="fr-CA"/>
        </w:rPr>
        <w:t>admissibilité des aveux</w:t>
      </w:r>
      <w:r>
        <w:rPr>
          <w:rFonts w:cs="Times New Roman"/>
          <w:szCs w:val="20"/>
          <w:lang w:val="fr-CA"/>
        </w:rPr>
        <w:t xml:space="preserve"> qu’il a faits</w:t>
      </w:r>
      <w:r w:rsidRPr="0001174C">
        <w:rPr>
          <w:rFonts w:cs="Times New Roman"/>
          <w:szCs w:val="20"/>
          <w:lang w:val="fr-CA"/>
        </w:rPr>
        <w:t xml:space="preserve"> aux agents </w:t>
      </w:r>
      <w:r>
        <w:rPr>
          <w:rFonts w:cs="Times New Roman"/>
          <w:szCs w:val="20"/>
          <w:lang w:val="fr-CA"/>
        </w:rPr>
        <w:t xml:space="preserve">banalisés pendant </w:t>
      </w:r>
      <w:r w:rsidRPr="0001174C">
        <w:rPr>
          <w:rFonts w:cs="Times New Roman"/>
          <w:szCs w:val="20"/>
          <w:lang w:val="fr-CA"/>
        </w:rPr>
        <w:t>l</w:t>
      </w:r>
      <w:r>
        <w:rPr>
          <w:rFonts w:cs="Times New Roman"/>
          <w:szCs w:val="20"/>
          <w:lang w:val="fr-CA"/>
        </w:rPr>
        <w:t>’</w:t>
      </w:r>
      <w:r w:rsidRPr="0001174C">
        <w:rPr>
          <w:rFonts w:cs="Times New Roman"/>
          <w:szCs w:val="20"/>
          <w:lang w:val="fr-CA"/>
        </w:rPr>
        <w:t xml:space="preserve">opération </w:t>
      </w:r>
      <w:r>
        <w:rPr>
          <w:rFonts w:cs="Times New Roman"/>
          <w:szCs w:val="20"/>
          <w:lang w:val="fr-CA"/>
        </w:rPr>
        <w:t xml:space="preserve">Monsieur </w:t>
      </w:r>
      <w:r w:rsidRPr="0001174C">
        <w:rPr>
          <w:rFonts w:cs="Times New Roman"/>
          <w:szCs w:val="20"/>
          <w:lang w:val="fr-CA"/>
        </w:rPr>
        <w:t>Big</w:t>
      </w:r>
      <w:r>
        <w:rPr>
          <w:rFonts w:cs="Times New Roman"/>
          <w:szCs w:val="20"/>
          <w:lang w:val="fr-CA"/>
        </w:rPr>
        <w:t xml:space="preserve"> que </w:t>
      </w:r>
      <w:r w:rsidRPr="0001174C">
        <w:rPr>
          <w:rFonts w:cs="Times New Roman"/>
          <w:szCs w:val="20"/>
          <w:lang w:val="fr-CA"/>
        </w:rPr>
        <w:t xml:space="preserve">sur le </w:t>
      </w:r>
      <w:r>
        <w:rPr>
          <w:rFonts w:cs="Times New Roman"/>
          <w:szCs w:val="20"/>
          <w:lang w:val="fr-CA"/>
        </w:rPr>
        <w:t>fondement du par.</w:t>
      </w:r>
      <w:r w:rsidR="00203E16">
        <w:rPr>
          <w:rFonts w:cs="Times New Roman"/>
          <w:szCs w:val="20"/>
          <w:lang w:val="fr-CA"/>
        </w:rPr>
        <w:t xml:space="preserve"> </w:t>
      </w:r>
      <w:r w:rsidRPr="0001174C">
        <w:rPr>
          <w:rFonts w:cs="Times New Roman"/>
          <w:szCs w:val="20"/>
          <w:lang w:val="fr-CA"/>
        </w:rPr>
        <w:t xml:space="preserve">24(2) de la </w:t>
      </w:r>
      <w:r w:rsidRPr="0001174C">
        <w:rPr>
          <w:rFonts w:cs="Times New Roman"/>
          <w:i/>
          <w:szCs w:val="20"/>
          <w:lang w:val="fr-CA"/>
        </w:rPr>
        <w:t>Charte</w:t>
      </w:r>
      <w:r w:rsidRPr="0001174C">
        <w:rPr>
          <w:rFonts w:cs="Times New Roman"/>
          <w:szCs w:val="20"/>
          <w:lang w:val="fr-CA"/>
        </w:rPr>
        <w:t xml:space="preserve">. </w:t>
      </w:r>
      <w:r>
        <w:rPr>
          <w:rFonts w:cs="Times New Roman"/>
          <w:szCs w:val="20"/>
          <w:lang w:val="fr-CA"/>
        </w:rPr>
        <w:t xml:space="preserve">Il </w:t>
      </w:r>
      <w:r w:rsidRPr="0001174C">
        <w:rPr>
          <w:rFonts w:cs="Times New Roman"/>
          <w:szCs w:val="20"/>
          <w:lang w:val="fr-CA"/>
        </w:rPr>
        <w:t xml:space="preserve">ne </w:t>
      </w:r>
      <w:r>
        <w:rPr>
          <w:rFonts w:cs="Times New Roman"/>
          <w:szCs w:val="20"/>
          <w:lang w:val="fr-CA"/>
        </w:rPr>
        <w:t xml:space="preserve">pouvait invoquer </w:t>
      </w:r>
      <w:r w:rsidRPr="0001174C">
        <w:rPr>
          <w:rFonts w:cs="Times New Roman"/>
          <w:szCs w:val="20"/>
          <w:lang w:val="fr-CA"/>
        </w:rPr>
        <w:t>l</w:t>
      </w:r>
      <w:r>
        <w:rPr>
          <w:rFonts w:cs="Times New Roman"/>
          <w:szCs w:val="20"/>
          <w:lang w:val="fr-CA"/>
        </w:rPr>
        <w:t>’</w:t>
      </w:r>
      <w:r w:rsidRPr="0001174C">
        <w:rPr>
          <w:rFonts w:cs="Times New Roman"/>
          <w:szCs w:val="20"/>
          <w:lang w:val="fr-CA"/>
        </w:rPr>
        <w:t>a</w:t>
      </w:r>
      <w:r>
        <w:rPr>
          <w:rFonts w:cs="Times New Roman"/>
          <w:szCs w:val="20"/>
          <w:lang w:val="fr-CA"/>
        </w:rPr>
        <w:t xml:space="preserve">rrêt </w:t>
      </w:r>
      <w:r w:rsidRPr="0001174C">
        <w:rPr>
          <w:rFonts w:cs="Times New Roman"/>
          <w:i/>
          <w:szCs w:val="20"/>
          <w:lang w:val="fr-CA"/>
        </w:rPr>
        <w:t>Hart</w:t>
      </w:r>
      <w:r w:rsidRPr="0001174C">
        <w:rPr>
          <w:rFonts w:cs="Times New Roman"/>
          <w:szCs w:val="20"/>
          <w:lang w:val="fr-CA"/>
        </w:rPr>
        <w:t xml:space="preserve"> dans lequel notre Cour </w:t>
      </w:r>
      <w:r>
        <w:rPr>
          <w:rFonts w:cs="Times New Roman"/>
          <w:szCs w:val="20"/>
          <w:lang w:val="fr-CA"/>
        </w:rPr>
        <w:t xml:space="preserve">établit </w:t>
      </w:r>
      <w:r w:rsidRPr="0001174C">
        <w:rPr>
          <w:rFonts w:cs="Times New Roman"/>
          <w:szCs w:val="20"/>
          <w:lang w:val="fr-CA"/>
        </w:rPr>
        <w:t xml:space="preserve">une démarche à deux volets pour </w:t>
      </w:r>
      <w:r>
        <w:rPr>
          <w:rFonts w:cs="Times New Roman"/>
          <w:szCs w:val="20"/>
          <w:lang w:val="fr-CA"/>
        </w:rPr>
        <w:t xml:space="preserve">statuer sur </w:t>
      </w:r>
      <w:r w:rsidRPr="0001174C">
        <w:rPr>
          <w:rFonts w:cs="Times New Roman"/>
          <w:szCs w:val="20"/>
          <w:lang w:val="fr-CA"/>
        </w:rPr>
        <w:t>l</w:t>
      </w:r>
      <w:r>
        <w:rPr>
          <w:rFonts w:cs="Times New Roman"/>
          <w:szCs w:val="20"/>
          <w:lang w:val="fr-CA"/>
        </w:rPr>
        <w:t>’</w:t>
      </w:r>
      <w:r w:rsidRPr="0001174C">
        <w:rPr>
          <w:rFonts w:cs="Times New Roman"/>
          <w:szCs w:val="20"/>
          <w:lang w:val="fr-CA"/>
        </w:rPr>
        <w:t>admissibilité d</w:t>
      </w:r>
      <w:r>
        <w:rPr>
          <w:rFonts w:cs="Times New Roman"/>
          <w:szCs w:val="20"/>
          <w:lang w:val="fr-CA"/>
        </w:rPr>
        <w:t xml:space="preserve">’un </w:t>
      </w:r>
      <w:r w:rsidRPr="0001174C">
        <w:rPr>
          <w:rFonts w:cs="Times New Roman"/>
          <w:szCs w:val="20"/>
          <w:lang w:val="fr-CA"/>
        </w:rPr>
        <w:t>aveu obtenu dans le cadre d</w:t>
      </w:r>
      <w:r>
        <w:rPr>
          <w:rFonts w:cs="Times New Roman"/>
          <w:szCs w:val="20"/>
          <w:lang w:val="fr-CA"/>
        </w:rPr>
        <w:t>’</w:t>
      </w:r>
      <w:r w:rsidRPr="0001174C">
        <w:rPr>
          <w:rFonts w:cs="Times New Roman"/>
          <w:szCs w:val="20"/>
          <w:lang w:val="fr-CA"/>
        </w:rPr>
        <w:t xml:space="preserve">une opération </w:t>
      </w:r>
      <w:r>
        <w:rPr>
          <w:rFonts w:cs="Times New Roman"/>
          <w:szCs w:val="20"/>
          <w:lang w:val="fr-CA"/>
        </w:rPr>
        <w:t xml:space="preserve">Monsieur </w:t>
      </w:r>
      <w:r w:rsidRPr="0001174C">
        <w:rPr>
          <w:rFonts w:cs="Times New Roman"/>
          <w:szCs w:val="20"/>
          <w:lang w:val="fr-CA"/>
        </w:rPr>
        <w:t xml:space="preserve">Big. Suivant </w:t>
      </w:r>
      <w:r>
        <w:rPr>
          <w:rFonts w:cs="Times New Roman"/>
          <w:szCs w:val="20"/>
          <w:lang w:val="fr-CA"/>
        </w:rPr>
        <w:t xml:space="preserve">cette </w:t>
      </w:r>
      <w:r w:rsidRPr="0001174C">
        <w:rPr>
          <w:rFonts w:cs="Times New Roman"/>
          <w:szCs w:val="20"/>
          <w:lang w:val="fr-CA"/>
        </w:rPr>
        <w:t>démarche</w:t>
      </w:r>
      <w:r>
        <w:rPr>
          <w:rFonts w:cs="Times New Roman"/>
          <w:szCs w:val="20"/>
          <w:lang w:val="fr-CA"/>
        </w:rPr>
        <w:t>, l’</w:t>
      </w:r>
      <w:r w:rsidRPr="0001174C">
        <w:rPr>
          <w:rFonts w:cs="Times New Roman"/>
          <w:szCs w:val="20"/>
          <w:lang w:val="fr-CA"/>
        </w:rPr>
        <w:t xml:space="preserve">aveu </w:t>
      </w:r>
      <w:r>
        <w:rPr>
          <w:rFonts w:cs="Times New Roman"/>
          <w:szCs w:val="20"/>
          <w:lang w:val="fr-CA"/>
        </w:rPr>
        <w:t xml:space="preserve">n’est </w:t>
      </w:r>
      <w:r w:rsidRPr="0001174C">
        <w:rPr>
          <w:rFonts w:cs="Times New Roman"/>
          <w:lang w:val="fr-CA"/>
        </w:rPr>
        <w:t xml:space="preserve">pas admissible en preuve lorsque </w:t>
      </w:r>
      <w:r>
        <w:rPr>
          <w:rFonts w:cs="Times New Roman"/>
          <w:lang w:val="fr-CA"/>
        </w:rPr>
        <w:t xml:space="preserve">son </w:t>
      </w:r>
      <w:r w:rsidRPr="0001174C">
        <w:rPr>
          <w:rFonts w:cs="Times New Roman"/>
          <w:lang w:val="fr-CA"/>
        </w:rPr>
        <w:t>effet préjudiciable l</w:t>
      </w:r>
      <w:r>
        <w:rPr>
          <w:rFonts w:cs="Times New Roman"/>
          <w:lang w:val="fr-CA"/>
        </w:rPr>
        <w:t>’</w:t>
      </w:r>
      <w:r w:rsidRPr="0001174C">
        <w:rPr>
          <w:rFonts w:cs="Times New Roman"/>
          <w:lang w:val="fr-CA"/>
        </w:rPr>
        <w:t xml:space="preserve">emporte sur </w:t>
      </w:r>
      <w:r>
        <w:rPr>
          <w:rFonts w:cs="Times New Roman"/>
          <w:lang w:val="fr-CA"/>
        </w:rPr>
        <w:t xml:space="preserve">sa </w:t>
      </w:r>
      <w:r w:rsidRPr="0001174C">
        <w:rPr>
          <w:rFonts w:cs="Times New Roman"/>
          <w:lang w:val="fr-CA"/>
        </w:rPr>
        <w:t>valeur probante ou lorsqu</w:t>
      </w:r>
      <w:r>
        <w:rPr>
          <w:rFonts w:cs="Times New Roman"/>
          <w:lang w:val="fr-CA"/>
        </w:rPr>
        <w:t xml:space="preserve">’il résulte </w:t>
      </w:r>
      <w:r w:rsidRPr="0001174C">
        <w:rPr>
          <w:rFonts w:cs="Times New Roman"/>
          <w:lang w:val="fr-CA"/>
        </w:rPr>
        <w:t>d</w:t>
      </w:r>
      <w:r>
        <w:rPr>
          <w:rFonts w:cs="Times New Roman"/>
          <w:lang w:val="fr-CA"/>
        </w:rPr>
        <w:t>’</w:t>
      </w:r>
      <w:r w:rsidRPr="0001174C">
        <w:rPr>
          <w:rFonts w:cs="Times New Roman"/>
          <w:lang w:val="fr-CA"/>
        </w:rPr>
        <w:t xml:space="preserve">un abus de </w:t>
      </w:r>
      <w:r w:rsidRPr="001D0501">
        <w:rPr>
          <w:rFonts w:cs="Times New Roman"/>
          <w:lang w:val="fr-CA"/>
        </w:rPr>
        <w:t>procédure</w:t>
      </w:r>
      <w:r w:rsidRPr="0001174C">
        <w:rPr>
          <w:rFonts w:cs="Times New Roman"/>
          <w:szCs w:val="20"/>
          <w:lang w:val="fr-CA"/>
        </w:rPr>
        <w:t xml:space="preserve">. </w:t>
      </w:r>
      <w:r w:rsidRPr="0001174C">
        <w:rPr>
          <w:lang w:val="fr-CA"/>
        </w:rPr>
        <w:t>Dans ce contexte, la valeur probante de l</w:t>
      </w:r>
      <w:r>
        <w:rPr>
          <w:lang w:val="fr-CA"/>
        </w:rPr>
        <w:t>’</w:t>
      </w:r>
      <w:r w:rsidRPr="0001174C">
        <w:rPr>
          <w:lang w:val="fr-CA"/>
        </w:rPr>
        <w:t xml:space="preserve">aveu tient à sa fiabilité, </w:t>
      </w:r>
      <w:r>
        <w:rPr>
          <w:lang w:val="fr-CA"/>
        </w:rPr>
        <w:t xml:space="preserve">et </w:t>
      </w:r>
      <w:r w:rsidRPr="0001174C">
        <w:rPr>
          <w:lang w:val="fr-CA"/>
        </w:rPr>
        <w:t xml:space="preserve">son effet préjudiciable </w:t>
      </w:r>
      <w:r>
        <w:rPr>
          <w:lang w:val="fr-CA"/>
        </w:rPr>
        <w:t xml:space="preserve">à </w:t>
      </w:r>
      <w:r w:rsidRPr="0001174C">
        <w:rPr>
          <w:lang w:val="fr-CA"/>
        </w:rPr>
        <w:t>la preuve de mauvaise moralité dont l</w:t>
      </w:r>
      <w:r>
        <w:rPr>
          <w:lang w:val="fr-CA"/>
        </w:rPr>
        <w:t>’</w:t>
      </w:r>
      <w:r w:rsidRPr="0001174C">
        <w:rPr>
          <w:lang w:val="fr-CA"/>
        </w:rPr>
        <w:t>aveu s</w:t>
      </w:r>
      <w:r>
        <w:rPr>
          <w:lang w:val="fr-CA"/>
        </w:rPr>
        <w:t>’</w:t>
      </w:r>
      <w:r w:rsidRPr="0001174C">
        <w:rPr>
          <w:lang w:val="fr-CA"/>
        </w:rPr>
        <w:t>accompagne nécessairement s</w:t>
      </w:r>
      <w:r>
        <w:rPr>
          <w:lang w:val="fr-CA"/>
        </w:rPr>
        <w:t>’</w:t>
      </w:r>
      <w:r w:rsidRPr="0001174C">
        <w:rPr>
          <w:lang w:val="fr-CA"/>
        </w:rPr>
        <w:t xml:space="preserve">il est admis en preuve </w:t>
      </w:r>
      <w:r w:rsidRPr="0001174C">
        <w:rPr>
          <w:rFonts w:cs="Times New Roman"/>
          <w:szCs w:val="20"/>
          <w:lang w:val="fr-CA"/>
        </w:rPr>
        <w:t>(</w:t>
      </w:r>
      <w:r w:rsidR="005044C1">
        <w:rPr>
          <w:rFonts w:cs="Times New Roman"/>
          <w:szCs w:val="20"/>
          <w:lang w:val="fr-CA"/>
        </w:rPr>
        <w:t xml:space="preserve">voir </w:t>
      </w:r>
      <w:r w:rsidRPr="0001174C">
        <w:rPr>
          <w:rFonts w:cs="Times New Roman"/>
          <w:i/>
          <w:szCs w:val="20"/>
          <w:lang w:val="fr-CA"/>
        </w:rPr>
        <w:t>Hart</w:t>
      </w:r>
      <w:r w:rsidRPr="0001174C">
        <w:rPr>
          <w:rFonts w:cs="Times New Roman"/>
          <w:szCs w:val="20"/>
          <w:lang w:val="fr-CA"/>
        </w:rPr>
        <w:t xml:space="preserve">, </w:t>
      </w:r>
      <w:r>
        <w:rPr>
          <w:rFonts w:cs="Times New Roman"/>
          <w:szCs w:val="20"/>
          <w:lang w:val="fr-CA"/>
        </w:rPr>
        <w:t>par.</w:t>
      </w:r>
      <w:r w:rsidR="00203E16">
        <w:rPr>
          <w:rFonts w:cs="Times New Roman"/>
          <w:szCs w:val="20"/>
          <w:lang w:val="fr-CA"/>
        </w:rPr>
        <w:t xml:space="preserve"> </w:t>
      </w:r>
      <w:r w:rsidRPr="0001174C">
        <w:rPr>
          <w:rFonts w:cs="Times New Roman"/>
          <w:szCs w:val="20"/>
          <w:lang w:val="fr-CA"/>
        </w:rPr>
        <w:t>84</w:t>
      </w:r>
      <w:r w:rsidR="005044C1">
        <w:rPr>
          <w:rFonts w:cs="Times New Roman"/>
          <w:szCs w:val="20"/>
          <w:lang w:val="fr-CA"/>
        </w:rPr>
        <w:t>-</w:t>
      </w:r>
      <w:r w:rsidRPr="0001174C">
        <w:rPr>
          <w:rFonts w:cs="Times New Roman"/>
          <w:szCs w:val="20"/>
          <w:lang w:val="fr-CA"/>
        </w:rPr>
        <w:t xml:space="preserve">86). </w:t>
      </w:r>
    </w:p>
    <w:p w:rsidR="00AF2876" w:rsidRPr="001D0501" w:rsidRDefault="00AF2876" w:rsidP="00AF2876">
      <w:pPr>
        <w:pStyle w:val="ParaNoNdepar-AltN"/>
        <w:rPr>
          <w:rFonts w:cs="Times New Roman"/>
          <w:lang w:val="fr-CA"/>
        </w:rPr>
      </w:pPr>
      <w:r w:rsidRPr="0001174C">
        <w:rPr>
          <w:rFonts w:cs="Times New Roman"/>
          <w:szCs w:val="20"/>
          <w:lang w:val="fr-CA"/>
        </w:rPr>
        <w:lastRenderedPageBreak/>
        <w:t>Ni les juridictions inférieures ni les parties devant notre Cour ne se sont demandé si les aveux de l</w:t>
      </w:r>
      <w:r>
        <w:rPr>
          <w:rFonts w:cs="Times New Roman"/>
          <w:szCs w:val="20"/>
          <w:lang w:val="fr-CA"/>
        </w:rPr>
        <w:t>’</w:t>
      </w:r>
      <w:r w:rsidRPr="0001174C">
        <w:rPr>
          <w:rFonts w:cs="Times New Roman"/>
          <w:szCs w:val="20"/>
          <w:lang w:val="fr-CA"/>
        </w:rPr>
        <w:t xml:space="preserve">appelant seraient admissibles </w:t>
      </w:r>
      <w:r>
        <w:rPr>
          <w:rFonts w:cs="Times New Roman"/>
          <w:szCs w:val="20"/>
          <w:lang w:val="fr-CA"/>
        </w:rPr>
        <w:t xml:space="preserve">suivant </w:t>
      </w:r>
      <w:r w:rsidRPr="0001174C">
        <w:rPr>
          <w:rFonts w:cs="Times New Roman"/>
          <w:szCs w:val="20"/>
          <w:lang w:val="fr-CA"/>
        </w:rPr>
        <w:t xml:space="preserve">la démarche à deux volets </w:t>
      </w:r>
      <w:r>
        <w:rPr>
          <w:rFonts w:cs="Times New Roman"/>
          <w:szCs w:val="20"/>
          <w:lang w:val="fr-CA"/>
        </w:rPr>
        <w:t xml:space="preserve">établie </w:t>
      </w:r>
      <w:r w:rsidRPr="0001174C">
        <w:rPr>
          <w:rFonts w:cs="Times New Roman"/>
          <w:szCs w:val="20"/>
          <w:lang w:val="fr-CA"/>
        </w:rPr>
        <w:t>dans l</w:t>
      </w:r>
      <w:r>
        <w:rPr>
          <w:rFonts w:cs="Times New Roman"/>
          <w:szCs w:val="20"/>
          <w:lang w:val="fr-CA"/>
        </w:rPr>
        <w:t>’</w:t>
      </w:r>
      <w:r w:rsidRPr="0001174C">
        <w:rPr>
          <w:rFonts w:cs="Times New Roman"/>
          <w:szCs w:val="20"/>
          <w:lang w:val="fr-CA"/>
        </w:rPr>
        <w:t xml:space="preserve">arrêt </w:t>
      </w:r>
      <w:r w:rsidRPr="0001174C">
        <w:rPr>
          <w:rFonts w:cs="Times New Roman"/>
          <w:i/>
          <w:szCs w:val="20"/>
          <w:lang w:val="fr-CA"/>
        </w:rPr>
        <w:t>H</w:t>
      </w:r>
      <w:r>
        <w:rPr>
          <w:rFonts w:cs="Times New Roman"/>
          <w:i/>
          <w:szCs w:val="20"/>
          <w:lang w:val="fr-CA"/>
        </w:rPr>
        <w:t>art.</w:t>
      </w:r>
      <w:r w:rsidR="00203E16">
        <w:rPr>
          <w:rFonts w:cs="Times New Roman"/>
          <w:i/>
          <w:szCs w:val="20"/>
          <w:lang w:val="fr-CA"/>
        </w:rPr>
        <w:t xml:space="preserve"> </w:t>
      </w:r>
      <w:r>
        <w:rPr>
          <w:rFonts w:cs="Times New Roman"/>
          <w:szCs w:val="20"/>
          <w:lang w:val="fr-CA"/>
        </w:rPr>
        <w:t>Mais, peu importe</w:t>
      </w:r>
      <w:r w:rsidRPr="0001174C">
        <w:rPr>
          <w:rFonts w:cs="Times New Roman"/>
          <w:szCs w:val="20"/>
          <w:lang w:val="fr-CA"/>
        </w:rPr>
        <w:t xml:space="preserve">, </w:t>
      </w:r>
      <w:r>
        <w:rPr>
          <w:rFonts w:cs="Times New Roman"/>
          <w:szCs w:val="20"/>
          <w:lang w:val="fr-CA"/>
        </w:rPr>
        <w:t>ils le</w:t>
      </w:r>
      <w:r w:rsidRPr="0001174C">
        <w:rPr>
          <w:rFonts w:cs="Times New Roman"/>
          <w:szCs w:val="20"/>
          <w:lang w:val="fr-CA"/>
        </w:rPr>
        <w:t xml:space="preserve"> </w:t>
      </w:r>
      <w:r w:rsidRPr="001D0501">
        <w:rPr>
          <w:rFonts w:cs="Times New Roman"/>
          <w:szCs w:val="20"/>
          <w:lang w:val="fr-CA"/>
        </w:rPr>
        <w:t>seraient clairement</w:t>
      </w:r>
      <w:r w:rsidRPr="001D0501">
        <w:rPr>
          <w:rStyle w:val="FootnoteReference"/>
          <w:rFonts w:cs="Times New Roman"/>
          <w:szCs w:val="20"/>
          <w:lang w:val="fr-CA"/>
        </w:rPr>
        <w:footnoteReference w:id="3"/>
      </w:r>
      <w:r w:rsidRPr="001D0501">
        <w:rPr>
          <w:rFonts w:cs="Times New Roman"/>
          <w:szCs w:val="20"/>
          <w:lang w:val="fr-CA"/>
        </w:rPr>
        <w:t xml:space="preserve">. </w:t>
      </w:r>
    </w:p>
    <w:p w:rsidR="00AF2876" w:rsidRPr="001D0501" w:rsidRDefault="00AF2876" w:rsidP="00AF2876">
      <w:pPr>
        <w:pStyle w:val="ParaNoNdepar-AltN"/>
        <w:rPr>
          <w:rFonts w:cs="Times New Roman"/>
          <w:lang w:val="fr-CA"/>
        </w:rPr>
      </w:pPr>
      <w:r w:rsidRPr="001D0501">
        <w:rPr>
          <w:rFonts w:cs="Times New Roman"/>
          <w:szCs w:val="20"/>
          <w:lang w:val="fr-CA"/>
        </w:rPr>
        <w:t>D’abord, la valeur probante des aveux de l’appelant est grande. Les gratifications offertes par les agents banalisés étaient modestes</w:t>
      </w:r>
      <w:r w:rsidR="00203E16">
        <w:rPr>
          <w:rFonts w:cs="Times New Roman"/>
          <w:szCs w:val="20"/>
          <w:lang w:val="fr-CA"/>
        </w:rPr>
        <w:t xml:space="preserve"> </w:t>
      </w:r>
      <w:r>
        <w:rPr>
          <w:rFonts w:cs="Times New Roman"/>
          <w:szCs w:val="20"/>
          <w:lang w:val="fr-CA"/>
        </w:rPr>
        <w:t>:</w:t>
      </w:r>
      <w:r w:rsidRPr="001D0501">
        <w:rPr>
          <w:rFonts w:cs="Times New Roman"/>
          <w:szCs w:val="20"/>
          <w:lang w:val="fr-CA"/>
        </w:rPr>
        <w:t xml:space="preserve"> l’appelant a touché environ 5</w:t>
      </w:r>
      <w:r w:rsidR="00203E16">
        <w:rPr>
          <w:rFonts w:cs="Times New Roman"/>
          <w:szCs w:val="20"/>
          <w:lang w:val="fr-CA"/>
        </w:rPr>
        <w:t xml:space="preserve"> </w:t>
      </w:r>
      <w:r w:rsidRPr="001D0501">
        <w:rPr>
          <w:rFonts w:cs="Times New Roman"/>
          <w:szCs w:val="20"/>
          <w:lang w:val="fr-CA"/>
        </w:rPr>
        <w:t>000</w:t>
      </w:r>
      <w:r w:rsidR="00203E16">
        <w:rPr>
          <w:rFonts w:cs="Times New Roman"/>
          <w:szCs w:val="20"/>
          <w:lang w:val="fr-CA"/>
        </w:rPr>
        <w:t xml:space="preserve"> </w:t>
      </w:r>
      <w:r>
        <w:rPr>
          <w:rFonts w:cs="Times New Roman"/>
          <w:szCs w:val="20"/>
          <w:lang w:val="fr-CA"/>
        </w:rPr>
        <w:t>$</w:t>
      </w:r>
      <w:r w:rsidRPr="001D0501">
        <w:rPr>
          <w:rFonts w:cs="Times New Roman"/>
          <w:szCs w:val="20"/>
          <w:lang w:val="fr-CA"/>
        </w:rPr>
        <w:t xml:space="preserve"> sur une période de quatre mois, alors qu’il pouvait fort bien exercer des fonctions légitimes bien rémunérées. Il n’a pas fait l’objet de menaces de la part des agents. Et lors de sa première rencontre avec Liam, on lui a dit qu’il pouvait refuser de parler et décider de demeurer dans la </w:t>
      </w:r>
      <w:r w:rsidR="00203E16">
        <w:rPr>
          <w:rFonts w:cs="Times New Roman"/>
          <w:szCs w:val="20"/>
          <w:lang w:val="fr-CA"/>
        </w:rPr>
        <w:t>« </w:t>
      </w:r>
      <w:r w:rsidRPr="001D0501">
        <w:rPr>
          <w:rFonts w:cs="Times New Roman"/>
          <w:szCs w:val="20"/>
          <w:lang w:val="fr-CA"/>
        </w:rPr>
        <w:t>troisième formation</w:t>
      </w:r>
      <w:r w:rsidR="00203E16">
        <w:rPr>
          <w:rFonts w:cs="Times New Roman"/>
          <w:szCs w:val="20"/>
          <w:lang w:val="fr-CA"/>
        </w:rPr>
        <w:t> »</w:t>
      </w:r>
      <w:r w:rsidRPr="001D0501">
        <w:rPr>
          <w:rFonts w:cs="Times New Roman"/>
          <w:szCs w:val="20"/>
          <w:lang w:val="fr-CA"/>
        </w:rPr>
        <w:t xml:space="preserve"> de l’organisation, ce pour quoi il a d’abord opté.</w:t>
      </w:r>
    </w:p>
    <w:p w:rsidR="00AF2876" w:rsidRPr="0001174C" w:rsidRDefault="00AF2876" w:rsidP="00AF2876">
      <w:pPr>
        <w:pStyle w:val="ParaNoNdepar-AltN"/>
        <w:rPr>
          <w:rFonts w:cs="Times New Roman"/>
          <w:lang w:val="fr-CA"/>
        </w:rPr>
      </w:pPr>
      <w:r w:rsidRPr="001D0501">
        <w:rPr>
          <w:rFonts w:cs="Times New Roman"/>
          <w:szCs w:val="20"/>
          <w:lang w:val="fr-CA"/>
        </w:rPr>
        <w:t>De plus, de nombreux éléments de preuve étaient susceptibles de corroborer les aveux. Premièrement, dans les aveux qu’il aurait faits à M.</w:t>
      </w:r>
      <w:r w:rsidR="00203E16">
        <w:rPr>
          <w:rFonts w:cs="Times New Roman"/>
          <w:szCs w:val="20"/>
          <w:lang w:val="fr-CA"/>
        </w:rPr>
        <w:t xml:space="preserve"> </w:t>
      </w:r>
      <w:r w:rsidRPr="001D0501">
        <w:rPr>
          <w:rFonts w:cs="Times New Roman"/>
          <w:szCs w:val="20"/>
          <w:lang w:val="fr-CA"/>
        </w:rPr>
        <w:t>Argueta et à M.</w:t>
      </w:r>
      <w:r w:rsidR="00203E16">
        <w:rPr>
          <w:rFonts w:cs="Times New Roman"/>
          <w:szCs w:val="20"/>
          <w:lang w:val="fr-CA"/>
        </w:rPr>
        <w:t xml:space="preserve"> </w:t>
      </w:r>
      <w:r w:rsidRPr="001D0501">
        <w:rPr>
          <w:rFonts w:cs="Times New Roman"/>
          <w:szCs w:val="20"/>
          <w:lang w:val="fr-CA"/>
        </w:rPr>
        <w:t>Love, l’appelant invoquait le même mobile pour le meurtre de</w:t>
      </w:r>
      <w:r w:rsidRPr="0001174C">
        <w:rPr>
          <w:rFonts w:cs="Times New Roman"/>
          <w:szCs w:val="20"/>
          <w:lang w:val="fr-CA"/>
        </w:rPr>
        <w:t xml:space="preserve"> </w:t>
      </w:r>
      <w:r>
        <w:rPr>
          <w:rFonts w:cs="Times New Roman"/>
          <w:szCs w:val="20"/>
          <w:lang w:val="fr-CA"/>
        </w:rPr>
        <w:t>M.</w:t>
      </w:r>
      <w:r w:rsidR="00203E16">
        <w:rPr>
          <w:rFonts w:cs="Times New Roman"/>
          <w:szCs w:val="20"/>
          <w:lang w:val="fr-CA"/>
        </w:rPr>
        <w:t xml:space="preserve"> </w:t>
      </w:r>
      <w:r>
        <w:rPr>
          <w:rFonts w:cs="Times New Roman"/>
          <w:szCs w:val="20"/>
          <w:lang w:val="fr-CA"/>
        </w:rPr>
        <w:t xml:space="preserve">Levoir </w:t>
      </w:r>
      <w:r w:rsidRPr="0001174C">
        <w:rPr>
          <w:rFonts w:cs="Times New Roman"/>
          <w:szCs w:val="20"/>
          <w:lang w:val="fr-CA"/>
        </w:rPr>
        <w:t xml:space="preserve">que dans ses </w:t>
      </w:r>
      <w:r>
        <w:rPr>
          <w:rFonts w:cs="Times New Roman"/>
          <w:szCs w:val="20"/>
          <w:lang w:val="fr-CA"/>
        </w:rPr>
        <w:t>aveux</w:t>
      </w:r>
      <w:r w:rsidRPr="0001174C">
        <w:rPr>
          <w:rFonts w:cs="Times New Roman"/>
          <w:szCs w:val="20"/>
          <w:lang w:val="fr-CA"/>
        </w:rPr>
        <w:t xml:space="preserve"> aux agents </w:t>
      </w:r>
      <w:r>
        <w:rPr>
          <w:rFonts w:cs="Times New Roman"/>
          <w:szCs w:val="20"/>
          <w:lang w:val="fr-CA"/>
        </w:rPr>
        <w:t>banalisés</w:t>
      </w:r>
      <w:r w:rsidRPr="0001174C">
        <w:rPr>
          <w:rFonts w:cs="Times New Roman"/>
          <w:szCs w:val="20"/>
          <w:lang w:val="fr-CA"/>
        </w:rPr>
        <w:t xml:space="preserve">. </w:t>
      </w:r>
      <w:r>
        <w:rPr>
          <w:rFonts w:cs="Times New Roman"/>
          <w:szCs w:val="20"/>
          <w:lang w:val="fr-CA"/>
        </w:rPr>
        <w:t xml:space="preserve">Dans ses aveux, il </w:t>
      </w:r>
      <w:r w:rsidRPr="0001174C">
        <w:rPr>
          <w:rFonts w:cs="Times New Roman"/>
          <w:szCs w:val="20"/>
          <w:lang w:val="fr-CA"/>
        </w:rPr>
        <w:t>mentionn</w:t>
      </w:r>
      <w:r>
        <w:rPr>
          <w:rFonts w:cs="Times New Roman"/>
          <w:szCs w:val="20"/>
          <w:lang w:val="fr-CA"/>
        </w:rPr>
        <w:t xml:space="preserve">ait </w:t>
      </w:r>
      <w:r w:rsidRPr="0001174C">
        <w:rPr>
          <w:rFonts w:cs="Times New Roman"/>
          <w:szCs w:val="20"/>
          <w:lang w:val="fr-CA"/>
        </w:rPr>
        <w:t xml:space="preserve">également que la dépouille de </w:t>
      </w:r>
      <w:r>
        <w:rPr>
          <w:rFonts w:cs="Times New Roman"/>
          <w:szCs w:val="20"/>
          <w:lang w:val="fr-CA"/>
        </w:rPr>
        <w:t>M.</w:t>
      </w:r>
      <w:r w:rsidR="00203E16">
        <w:rPr>
          <w:rFonts w:cs="Times New Roman"/>
          <w:szCs w:val="20"/>
          <w:lang w:val="fr-CA"/>
        </w:rPr>
        <w:t xml:space="preserve"> </w:t>
      </w:r>
      <w:r>
        <w:rPr>
          <w:rFonts w:cs="Times New Roman"/>
          <w:szCs w:val="20"/>
          <w:lang w:val="fr-CA"/>
        </w:rPr>
        <w:t>Levoir</w:t>
      </w:r>
      <w:r w:rsidRPr="0001174C">
        <w:rPr>
          <w:rFonts w:cs="Times New Roman"/>
          <w:szCs w:val="20"/>
          <w:lang w:val="fr-CA"/>
        </w:rPr>
        <w:t xml:space="preserve"> avait été brûlée. </w:t>
      </w:r>
      <w:r>
        <w:rPr>
          <w:rFonts w:cs="Times New Roman"/>
          <w:szCs w:val="20"/>
          <w:lang w:val="fr-CA"/>
        </w:rPr>
        <w:t>Deuxièmement</w:t>
      </w:r>
      <w:r w:rsidRPr="0001174C">
        <w:rPr>
          <w:rFonts w:cs="Times New Roman"/>
          <w:szCs w:val="20"/>
          <w:lang w:val="fr-CA"/>
        </w:rPr>
        <w:t xml:space="preserve">, </w:t>
      </w:r>
      <w:r>
        <w:rPr>
          <w:rFonts w:cs="Times New Roman"/>
          <w:szCs w:val="20"/>
          <w:lang w:val="fr-CA"/>
        </w:rPr>
        <w:t xml:space="preserve">juste </w:t>
      </w:r>
      <w:r w:rsidRPr="0001174C">
        <w:rPr>
          <w:rFonts w:cs="Times New Roman"/>
          <w:szCs w:val="20"/>
          <w:lang w:val="fr-CA"/>
        </w:rPr>
        <w:t>après lui avoir avoué son crime, l</w:t>
      </w:r>
      <w:r>
        <w:rPr>
          <w:rFonts w:cs="Times New Roman"/>
          <w:szCs w:val="20"/>
          <w:lang w:val="fr-CA"/>
        </w:rPr>
        <w:t>’</w:t>
      </w:r>
      <w:r w:rsidRPr="0001174C">
        <w:rPr>
          <w:rFonts w:cs="Times New Roman"/>
          <w:szCs w:val="20"/>
          <w:lang w:val="fr-CA"/>
        </w:rPr>
        <w:t>appelant a</w:t>
      </w:r>
      <w:r>
        <w:rPr>
          <w:rFonts w:cs="Times New Roman"/>
          <w:szCs w:val="20"/>
          <w:lang w:val="fr-CA"/>
        </w:rPr>
        <w:t>vait</w:t>
      </w:r>
      <w:r w:rsidRPr="0001174C">
        <w:rPr>
          <w:rFonts w:cs="Times New Roman"/>
          <w:szCs w:val="20"/>
          <w:lang w:val="fr-CA"/>
        </w:rPr>
        <w:t xml:space="preserve"> conduit Ben au foyer </w:t>
      </w:r>
      <w:r>
        <w:rPr>
          <w:rFonts w:cs="Times New Roman"/>
          <w:szCs w:val="20"/>
          <w:lang w:val="fr-CA"/>
        </w:rPr>
        <w:t xml:space="preserve">en plein air </w:t>
      </w:r>
      <w:r w:rsidRPr="0001174C">
        <w:rPr>
          <w:rFonts w:cs="Times New Roman"/>
          <w:szCs w:val="20"/>
          <w:lang w:val="fr-CA"/>
        </w:rPr>
        <w:t xml:space="preserve">où se trouvaient </w:t>
      </w:r>
      <w:r w:rsidRPr="00D135CA">
        <w:rPr>
          <w:rFonts w:cs="Times New Roman"/>
          <w:szCs w:val="20"/>
          <w:lang w:val="fr-CA"/>
        </w:rPr>
        <w:t>toujours</w:t>
      </w:r>
      <w:r w:rsidRPr="008D41E0">
        <w:rPr>
          <w:rFonts w:cs="Times New Roman"/>
          <w:szCs w:val="20"/>
          <w:lang w:val="fr-CA"/>
        </w:rPr>
        <w:t xml:space="preserve"> </w:t>
      </w:r>
      <w:r w:rsidRPr="0001174C">
        <w:rPr>
          <w:rFonts w:cs="Times New Roman"/>
          <w:szCs w:val="20"/>
          <w:lang w:val="fr-CA"/>
        </w:rPr>
        <w:t xml:space="preserve">les restes de </w:t>
      </w:r>
      <w:r>
        <w:rPr>
          <w:rFonts w:cs="Times New Roman"/>
          <w:szCs w:val="20"/>
          <w:lang w:val="fr-CA"/>
        </w:rPr>
        <w:t>M.</w:t>
      </w:r>
      <w:r w:rsidR="00203E16">
        <w:rPr>
          <w:rFonts w:cs="Times New Roman"/>
          <w:szCs w:val="20"/>
          <w:lang w:val="fr-CA"/>
        </w:rPr>
        <w:t xml:space="preserve"> </w:t>
      </w:r>
      <w:r>
        <w:rPr>
          <w:rFonts w:cs="Times New Roman"/>
          <w:szCs w:val="20"/>
          <w:lang w:val="fr-CA"/>
        </w:rPr>
        <w:t>Levoir</w:t>
      </w:r>
      <w:r w:rsidRPr="0001174C">
        <w:rPr>
          <w:rFonts w:cs="Times New Roman"/>
          <w:szCs w:val="20"/>
          <w:lang w:val="fr-CA"/>
        </w:rPr>
        <w:t xml:space="preserve">. Et, troisièmement, on a trouvé dans ce même foyer des douilles de </w:t>
      </w:r>
      <w:r>
        <w:rPr>
          <w:rFonts w:cs="Times New Roman"/>
          <w:szCs w:val="20"/>
          <w:lang w:val="fr-CA"/>
        </w:rPr>
        <w:t>l’</w:t>
      </w:r>
      <w:r w:rsidRPr="0001174C">
        <w:rPr>
          <w:rFonts w:cs="Times New Roman"/>
          <w:szCs w:val="20"/>
          <w:lang w:val="fr-CA"/>
        </w:rPr>
        <w:t xml:space="preserve">arme à feu </w:t>
      </w:r>
      <w:r>
        <w:rPr>
          <w:rFonts w:cs="Times New Roman"/>
          <w:szCs w:val="20"/>
          <w:lang w:val="fr-CA"/>
        </w:rPr>
        <w:t xml:space="preserve">trouvée </w:t>
      </w:r>
      <w:r w:rsidRPr="0001174C">
        <w:rPr>
          <w:rFonts w:cs="Times New Roman"/>
          <w:szCs w:val="20"/>
          <w:lang w:val="fr-CA"/>
        </w:rPr>
        <w:t>dans l</w:t>
      </w:r>
      <w:r>
        <w:rPr>
          <w:rFonts w:cs="Times New Roman"/>
          <w:szCs w:val="20"/>
          <w:lang w:val="fr-CA"/>
        </w:rPr>
        <w:t>’</w:t>
      </w:r>
      <w:r w:rsidRPr="0001174C">
        <w:rPr>
          <w:rFonts w:cs="Times New Roman"/>
          <w:szCs w:val="20"/>
          <w:lang w:val="fr-CA"/>
        </w:rPr>
        <w:t>appartement de l</w:t>
      </w:r>
      <w:r>
        <w:rPr>
          <w:rFonts w:cs="Times New Roman"/>
          <w:szCs w:val="20"/>
          <w:lang w:val="fr-CA"/>
        </w:rPr>
        <w:t>’</w:t>
      </w:r>
      <w:r w:rsidRPr="0001174C">
        <w:rPr>
          <w:rFonts w:cs="Times New Roman"/>
          <w:szCs w:val="20"/>
          <w:lang w:val="fr-CA"/>
        </w:rPr>
        <w:t>appelant. Tous ces éléments conféraient aux aveux une très grande valeur probante.</w:t>
      </w:r>
    </w:p>
    <w:p w:rsidR="00AF2876" w:rsidRPr="0001174C" w:rsidRDefault="00AF2876" w:rsidP="00AF2876">
      <w:pPr>
        <w:pStyle w:val="ParaNoNdepar-AltN"/>
        <w:rPr>
          <w:rFonts w:cs="Times New Roman"/>
          <w:lang w:val="fr-CA"/>
        </w:rPr>
      </w:pPr>
      <w:r w:rsidRPr="0001174C">
        <w:rPr>
          <w:rFonts w:cs="Times New Roman"/>
          <w:szCs w:val="20"/>
          <w:lang w:val="fr-CA"/>
        </w:rPr>
        <w:lastRenderedPageBreak/>
        <w:t>En revanche, même si les aveux se doublaient d</w:t>
      </w:r>
      <w:r>
        <w:rPr>
          <w:rFonts w:cs="Times New Roman"/>
          <w:szCs w:val="20"/>
          <w:lang w:val="fr-CA"/>
        </w:rPr>
        <w:t>’</w:t>
      </w:r>
      <w:r w:rsidRPr="0001174C">
        <w:rPr>
          <w:rFonts w:cs="Times New Roman"/>
          <w:szCs w:val="20"/>
          <w:lang w:val="fr-CA"/>
        </w:rPr>
        <w:t xml:space="preserve">une </w:t>
      </w:r>
      <w:r w:rsidRPr="0001174C">
        <w:rPr>
          <w:lang w:val="fr-CA"/>
        </w:rPr>
        <w:t>preuve de mauvaise moralité,</w:t>
      </w:r>
      <w:r w:rsidRPr="0001174C">
        <w:rPr>
          <w:rFonts w:cs="Times New Roman"/>
          <w:szCs w:val="20"/>
          <w:lang w:val="fr-CA"/>
        </w:rPr>
        <w:t xml:space="preserve"> le préjudice était limité. L</w:t>
      </w:r>
      <w:r>
        <w:rPr>
          <w:rFonts w:cs="Times New Roman"/>
          <w:szCs w:val="20"/>
          <w:lang w:val="fr-CA"/>
        </w:rPr>
        <w:t>’</w:t>
      </w:r>
      <w:r w:rsidRPr="0001174C">
        <w:rPr>
          <w:rFonts w:cs="Times New Roman"/>
          <w:szCs w:val="20"/>
          <w:lang w:val="fr-CA"/>
        </w:rPr>
        <w:t>appelant n</w:t>
      </w:r>
      <w:r>
        <w:rPr>
          <w:rFonts w:cs="Times New Roman"/>
          <w:szCs w:val="20"/>
          <w:lang w:val="fr-CA"/>
        </w:rPr>
        <w:t>’</w:t>
      </w:r>
      <w:r w:rsidRPr="0001174C">
        <w:rPr>
          <w:rFonts w:cs="Times New Roman"/>
          <w:szCs w:val="20"/>
          <w:lang w:val="fr-CA"/>
        </w:rPr>
        <w:t xml:space="preserve">avait pris part à aucun scénario </w:t>
      </w:r>
      <w:r>
        <w:rPr>
          <w:rFonts w:cs="Times New Roman"/>
          <w:szCs w:val="20"/>
          <w:lang w:val="fr-CA"/>
        </w:rPr>
        <w:t>comport</w:t>
      </w:r>
      <w:r w:rsidRPr="0001174C">
        <w:rPr>
          <w:rFonts w:cs="Times New Roman"/>
          <w:szCs w:val="20"/>
          <w:lang w:val="fr-CA"/>
        </w:rPr>
        <w:t xml:space="preserve">ant </w:t>
      </w:r>
      <w:r>
        <w:rPr>
          <w:rFonts w:cs="Times New Roman"/>
          <w:szCs w:val="20"/>
          <w:lang w:val="fr-CA"/>
        </w:rPr>
        <w:t xml:space="preserve">des actes </w:t>
      </w:r>
      <w:r w:rsidRPr="0001174C">
        <w:rPr>
          <w:rFonts w:cs="Times New Roman"/>
          <w:szCs w:val="20"/>
          <w:lang w:val="fr-CA"/>
        </w:rPr>
        <w:t>de violence, et l</w:t>
      </w:r>
      <w:r>
        <w:rPr>
          <w:rFonts w:cs="Times New Roman"/>
          <w:szCs w:val="20"/>
          <w:lang w:val="fr-CA"/>
        </w:rPr>
        <w:t>’</w:t>
      </w:r>
      <w:r w:rsidRPr="0001174C">
        <w:rPr>
          <w:rFonts w:cs="Times New Roman"/>
          <w:szCs w:val="20"/>
          <w:lang w:val="fr-CA"/>
        </w:rPr>
        <w:t>opération n</w:t>
      </w:r>
      <w:r>
        <w:rPr>
          <w:rFonts w:cs="Times New Roman"/>
          <w:szCs w:val="20"/>
          <w:lang w:val="fr-CA"/>
        </w:rPr>
        <w:t>’</w:t>
      </w:r>
      <w:r w:rsidRPr="0001174C">
        <w:rPr>
          <w:rFonts w:cs="Times New Roman"/>
          <w:szCs w:val="20"/>
          <w:lang w:val="fr-CA"/>
        </w:rPr>
        <w:t>a</w:t>
      </w:r>
      <w:r w:rsidRPr="00D135CA">
        <w:rPr>
          <w:rFonts w:cs="Times New Roman"/>
          <w:szCs w:val="20"/>
          <w:lang w:val="fr-CA"/>
        </w:rPr>
        <w:t>vait</w:t>
      </w:r>
      <w:r w:rsidRPr="0001174C">
        <w:rPr>
          <w:rFonts w:cs="Times New Roman"/>
          <w:szCs w:val="20"/>
          <w:lang w:val="fr-CA"/>
        </w:rPr>
        <w:t xml:space="preserve"> révélé, </w:t>
      </w:r>
      <w:r>
        <w:rPr>
          <w:rFonts w:cs="Times New Roman"/>
          <w:szCs w:val="20"/>
          <w:lang w:val="fr-CA"/>
        </w:rPr>
        <w:t xml:space="preserve">sur son </w:t>
      </w:r>
      <w:r w:rsidRPr="0001174C">
        <w:rPr>
          <w:rFonts w:cs="Times New Roman"/>
          <w:szCs w:val="20"/>
          <w:lang w:val="fr-CA"/>
        </w:rPr>
        <w:t>passé</w:t>
      </w:r>
      <w:r>
        <w:rPr>
          <w:rFonts w:cs="Times New Roman"/>
          <w:szCs w:val="20"/>
          <w:lang w:val="fr-CA"/>
        </w:rPr>
        <w:t>,</w:t>
      </w:r>
      <w:r w:rsidRPr="0001174C">
        <w:rPr>
          <w:rFonts w:cs="Times New Roman"/>
          <w:szCs w:val="20"/>
          <w:lang w:val="fr-CA"/>
        </w:rPr>
        <w:t xml:space="preserve"> </w:t>
      </w:r>
      <w:r>
        <w:rPr>
          <w:rFonts w:cs="Times New Roman"/>
          <w:szCs w:val="20"/>
          <w:lang w:val="fr-CA"/>
        </w:rPr>
        <w:t>aucun</w:t>
      </w:r>
      <w:r w:rsidRPr="0001174C">
        <w:rPr>
          <w:rFonts w:cs="Times New Roman"/>
          <w:szCs w:val="20"/>
          <w:lang w:val="fr-CA"/>
        </w:rPr>
        <w:t xml:space="preserve"> fait qui </w:t>
      </w:r>
      <w:r>
        <w:rPr>
          <w:rFonts w:cs="Times New Roman"/>
          <w:szCs w:val="20"/>
          <w:lang w:val="fr-CA"/>
        </w:rPr>
        <w:t xml:space="preserve">lui </w:t>
      </w:r>
      <w:r w:rsidRPr="0001174C">
        <w:rPr>
          <w:rFonts w:cs="Times New Roman"/>
          <w:szCs w:val="20"/>
          <w:lang w:val="fr-CA"/>
        </w:rPr>
        <w:t xml:space="preserve">aurait été </w:t>
      </w:r>
      <w:r>
        <w:rPr>
          <w:rFonts w:cs="Times New Roman"/>
          <w:szCs w:val="20"/>
          <w:lang w:val="fr-CA"/>
        </w:rPr>
        <w:t>préjudiciable</w:t>
      </w:r>
      <w:r w:rsidRPr="0001174C">
        <w:rPr>
          <w:rFonts w:cs="Times New Roman"/>
          <w:szCs w:val="20"/>
          <w:lang w:val="fr-CA"/>
        </w:rPr>
        <w:t xml:space="preserve">. </w:t>
      </w:r>
      <w:r>
        <w:rPr>
          <w:rFonts w:cs="Times New Roman"/>
          <w:szCs w:val="20"/>
          <w:lang w:val="fr-CA"/>
        </w:rPr>
        <w:t xml:space="preserve">Son </w:t>
      </w:r>
      <w:r w:rsidRPr="0001174C">
        <w:rPr>
          <w:rFonts w:cs="Times New Roman"/>
          <w:szCs w:val="20"/>
          <w:lang w:val="fr-CA"/>
        </w:rPr>
        <w:t>rôle au sein de l</w:t>
      </w:r>
      <w:r>
        <w:rPr>
          <w:rFonts w:cs="Times New Roman"/>
          <w:szCs w:val="20"/>
          <w:lang w:val="fr-CA"/>
        </w:rPr>
        <w:t>’</w:t>
      </w:r>
      <w:r w:rsidRPr="0001174C">
        <w:rPr>
          <w:rFonts w:cs="Times New Roman"/>
          <w:szCs w:val="20"/>
          <w:lang w:val="fr-CA"/>
        </w:rPr>
        <w:t xml:space="preserve">organisation </w:t>
      </w:r>
      <w:r>
        <w:rPr>
          <w:rFonts w:cs="Times New Roman"/>
          <w:szCs w:val="20"/>
          <w:lang w:val="fr-CA"/>
        </w:rPr>
        <w:t xml:space="preserve">s’est </w:t>
      </w:r>
      <w:r w:rsidRPr="0001174C">
        <w:rPr>
          <w:rFonts w:cs="Times New Roman"/>
          <w:szCs w:val="20"/>
          <w:lang w:val="fr-CA"/>
        </w:rPr>
        <w:t xml:space="preserve">essentiellement </w:t>
      </w:r>
      <w:r>
        <w:rPr>
          <w:rFonts w:cs="Times New Roman"/>
          <w:szCs w:val="20"/>
          <w:lang w:val="fr-CA"/>
        </w:rPr>
        <w:t xml:space="preserve">borné </w:t>
      </w:r>
      <w:r w:rsidRPr="0001174C">
        <w:rPr>
          <w:rFonts w:cs="Times New Roman"/>
          <w:szCs w:val="20"/>
          <w:lang w:val="fr-CA"/>
        </w:rPr>
        <w:t xml:space="preserve">à aider à </w:t>
      </w:r>
      <w:r>
        <w:rPr>
          <w:rFonts w:cs="Times New Roman"/>
          <w:szCs w:val="20"/>
          <w:lang w:val="fr-CA"/>
        </w:rPr>
        <w:t xml:space="preserve">la </w:t>
      </w:r>
      <w:r w:rsidRPr="0001174C">
        <w:rPr>
          <w:rFonts w:cs="Times New Roman"/>
          <w:szCs w:val="20"/>
          <w:lang w:val="fr-CA"/>
        </w:rPr>
        <w:t>récupér</w:t>
      </w:r>
      <w:r>
        <w:rPr>
          <w:rFonts w:cs="Times New Roman"/>
          <w:szCs w:val="20"/>
          <w:lang w:val="fr-CA"/>
        </w:rPr>
        <w:t>ation</w:t>
      </w:r>
      <w:r w:rsidRPr="0001174C">
        <w:rPr>
          <w:rFonts w:cs="Times New Roman"/>
          <w:szCs w:val="20"/>
          <w:lang w:val="fr-CA"/>
        </w:rPr>
        <w:t xml:space="preserve"> de véhicules et à </w:t>
      </w:r>
      <w:r>
        <w:rPr>
          <w:rFonts w:cs="Times New Roman"/>
          <w:szCs w:val="20"/>
          <w:lang w:val="fr-CA"/>
        </w:rPr>
        <w:t xml:space="preserve">la livraison </w:t>
      </w:r>
      <w:r w:rsidRPr="0001174C">
        <w:rPr>
          <w:rFonts w:cs="Times New Roman"/>
          <w:szCs w:val="20"/>
          <w:lang w:val="fr-CA"/>
        </w:rPr>
        <w:t xml:space="preserve">de colis. À mon avis, la </w:t>
      </w:r>
      <w:r w:rsidRPr="0001174C">
        <w:rPr>
          <w:rFonts w:cs="Times New Roman"/>
          <w:lang w:val="fr-CA"/>
        </w:rPr>
        <w:t xml:space="preserve">valeur probante des aveux </w:t>
      </w:r>
      <w:r>
        <w:rPr>
          <w:rFonts w:cs="Times New Roman"/>
          <w:lang w:val="fr-CA"/>
        </w:rPr>
        <w:t xml:space="preserve">issus </w:t>
      </w:r>
      <w:r w:rsidRPr="0001174C">
        <w:rPr>
          <w:rFonts w:cs="Times New Roman"/>
          <w:lang w:val="fr-CA"/>
        </w:rPr>
        <w:t>de l</w:t>
      </w:r>
      <w:r>
        <w:rPr>
          <w:rFonts w:cs="Times New Roman"/>
          <w:lang w:val="fr-CA"/>
        </w:rPr>
        <w:t>’</w:t>
      </w:r>
      <w:r w:rsidRPr="0001174C">
        <w:rPr>
          <w:rFonts w:cs="Times New Roman"/>
          <w:lang w:val="fr-CA"/>
        </w:rPr>
        <w:t xml:space="preserve">opération </w:t>
      </w:r>
      <w:r>
        <w:rPr>
          <w:rFonts w:cs="Times New Roman"/>
          <w:lang w:val="fr-CA"/>
        </w:rPr>
        <w:t xml:space="preserve">Monsieur </w:t>
      </w:r>
      <w:r w:rsidRPr="0001174C">
        <w:rPr>
          <w:rFonts w:cs="Times New Roman"/>
          <w:lang w:val="fr-CA"/>
        </w:rPr>
        <w:t>Big l</w:t>
      </w:r>
      <w:r>
        <w:rPr>
          <w:rFonts w:cs="Times New Roman"/>
          <w:lang w:val="fr-CA"/>
        </w:rPr>
        <w:t>’</w:t>
      </w:r>
      <w:r w:rsidRPr="0001174C">
        <w:rPr>
          <w:rFonts w:cs="Times New Roman"/>
          <w:lang w:val="fr-CA"/>
        </w:rPr>
        <w:t xml:space="preserve">emporte </w:t>
      </w:r>
      <w:r>
        <w:rPr>
          <w:rFonts w:cs="Times New Roman"/>
          <w:lang w:val="fr-CA"/>
        </w:rPr>
        <w:t>nette</w:t>
      </w:r>
      <w:r w:rsidRPr="0001174C">
        <w:rPr>
          <w:rFonts w:cs="Times New Roman"/>
          <w:lang w:val="fr-CA"/>
        </w:rPr>
        <w:t>ment sur leur effet préjudiciable</w:t>
      </w:r>
      <w:r w:rsidRPr="0001174C">
        <w:rPr>
          <w:rFonts w:cs="Times New Roman"/>
          <w:szCs w:val="20"/>
          <w:lang w:val="fr-CA"/>
        </w:rPr>
        <w:t>.</w:t>
      </w:r>
    </w:p>
    <w:p w:rsidR="00AF2876" w:rsidRPr="001D0501" w:rsidRDefault="00AF2876" w:rsidP="00AF2876">
      <w:pPr>
        <w:pStyle w:val="ParaNoNdepar-AltN"/>
        <w:rPr>
          <w:rFonts w:cs="Times New Roman"/>
          <w:lang w:val="fr-CA"/>
        </w:rPr>
      </w:pPr>
      <w:r w:rsidRPr="0001174C">
        <w:rPr>
          <w:rFonts w:cs="Times New Roman"/>
          <w:szCs w:val="20"/>
          <w:lang w:val="fr-CA"/>
        </w:rPr>
        <w:t xml:space="preserve">De plus, les agents </w:t>
      </w:r>
      <w:r>
        <w:rPr>
          <w:rFonts w:cs="Times New Roman"/>
          <w:szCs w:val="20"/>
          <w:lang w:val="fr-CA"/>
        </w:rPr>
        <w:t xml:space="preserve">banalisés </w:t>
      </w:r>
      <w:r w:rsidRPr="0001174C">
        <w:rPr>
          <w:rFonts w:cs="Times New Roman"/>
          <w:szCs w:val="20"/>
          <w:lang w:val="fr-CA"/>
        </w:rPr>
        <w:t>n</w:t>
      </w:r>
      <w:r>
        <w:rPr>
          <w:rFonts w:cs="Times New Roman"/>
          <w:szCs w:val="20"/>
          <w:lang w:val="fr-CA"/>
        </w:rPr>
        <w:t>’ont</w:t>
      </w:r>
      <w:r w:rsidRPr="0001174C">
        <w:rPr>
          <w:rFonts w:cs="Times New Roman"/>
          <w:szCs w:val="20"/>
          <w:lang w:val="fr-CA"/>
        </w:rPr>
        <w:t xml:space="preserve"> pas eu une conduite </w:t>
      </w:r>
      <w:r>
        <w:rPr>
          <w:rFonts w:cs="Times New Roman"/>
          <w:szCs w:val="20"/>
          <w:lang w:val="fr-CA"/>
        </w:rPr>
        <w:t xml:space="preserve">irrégulière susceptible de </w:t>
      </w:r>
      <w:r w:rsidRPr="0001174C">
        <w:rPr>
          <w:rFonts w:cs="Times New Roman"/>
          <w:szCs w:val="20"/>
          <w:lang w:val="fr-CA"/>
        </w:rPr>
        <w:t>justifier une demande fondée sur l</w:t>
      </w:r>
      <w:r>
        <w:rPr>
          <w:rFonts w:cs="Times New Roman"/>
          <w:szCs w:val="20"/>
          <w:lang w:val="fr-CA"/>
        </w:rPr>
        <w:t>’</w:t>
      </w:r>
      <w:r w:rsidRPr="0001174C">
        <w:rPr>
          <w:rFonts w:cs="Times New Roman"/>
          <w:szCs w:val="20"/>
          <w:lang w:val="fr-CA"/>
        </w:rPr>
        <w:t xml:space="preserve">abus de </w:t>
      </w:r>
      <w:r w:rsidRPr="001D0501">
        <w:rPr>
          <w:rFonts w:cs="Times New Roman"/>
          <w:szCs w:val="20"/>
          <w:lang w:val="fr-CA"/>
        </w:rPr>
        <w:t>procédure. L’appelant ne s’est pas vu offrir d’incitations irrésistibles. Il aurait pu exercer des fonctions légitimes encore plus rémunératrices. Les agents ne l’ont pas menacé de violence s’il ne passait pas aux aveux. Ils ont tout au plus créé un climat d’intimidation en faisant allusion à des actes de violence commis par des membres de l’organisation. Mais on n’a pas obtenu ses aveux sous la contrainte, ce que montre bien son refus initial de parler avec Ben puis Liam de la disparition de M.</w:t>
      </w:r>
      <w:r w:rsidR="00203E16">
        <w:rPr>
          <w:rFonts w:cs="Times New Roman"/>
          <w:szCs w:val="20"/>
          <w:lang w:val="fr-CA"/>
        </w:rPr>
        <w:t xml:space="preserve"> </w:t>
      </w:r>
      <w:r w:rsidRPr="001D0501">
        <w:rPr>
          <w:rFonts w:cs="Times New Roman"/>
          <w:szCs w:val="20"/>
          <w:lang w:val="fr-CA"/>
        </w:rPr>
        <w:t>Levoir. D’ailleurs, les agents lui ont expressément dit qu’il n’était pas obligé de leur parler de M.</w:t>
      </w:r>
      <w:r w:rsidR="00203E16">
        <w:rPr>
          <w:rFonts w:cs="Times New Roman"/>
          <w:szCs w:val="20"/>
          <w:lang w:val="fr-CA"/>
        </w:rPr>
        <w:t xml:space="preserve"> </w:t>
      </w:r>
      <w:r w:rsidRPr="001D0501">
        <w:rPr>
          <w:rFonts w:cs="Times New Roman"/>
          <w:szCs w:val="20"/>
          <w:lang w:val="fr-CA"/>
        </w:rPr>
        <w:t xml:space="preserve">Levoir et qu’il pouvait conserver son poste au sein de l’organisation. Aucun de leurs actes n’a frôlé l’abus de procédure. </w:t>
      </w:r>
    </w:p>
    <w:p w:rsidR="00AF2876" w:rsidRPr="0001174C" w:rsidRDefault="00AF2876" w:rsidP="00AF2876">
      <w:pPr>
        <w:pStyle w:val="ParaNoNdepar-AltN"/>
        <w:rPr>
          <w:rFonts w:cs="Times New Roman"/>
          <w:sz w:val="20"/>
          <w:szCs w:val="20"/>
          <w:lang w:val="fr-CA"/>
        </w:rPr>
      </w:pPr>
      <w:r>
        <w:rPr>
          <w:rFonts w:cs="Times New Roman"/>
          <w:szCs w:val="20"/>
          <w:lang w:val="fr-CA"/>
        </w:rPr>
        <w:t xml:space="preserve">Laissons </w:t>
      </w:r>
      <w:r w:rsidRPr="0001174C">
        <w:rPr>
          <w:rFonts w:cs="Times New Roman"/>
          <w:szCs w:val="20"/>
          <w:lang w:val="fr-CA"/>
        </w:rPr>
        <w:t xml:space="preserve">de côté ces </w:t>
      </w:r>
      <w:r>
        <w:rPr>
          <w:rFonts w:cs="Times New Roman"/>
          <w:szCs w:val="20"/>
          <w:lang w:val="fr-CA"/>
        </w:rPr>
        <w:t xml:space="preserve">considérations pour revenir </w:t>
      </w:r>
      <w:r w:rsidRPr="0001174C">
        <w:rPr>
          <w:rFonts w:cs="Times New Roman"/>
          <w:szCs w:val="20"/>
          <w:lang w:val="fr-CA"/>
        </w:rPr>
        <w:t xml:space="preserve">à la contestation </w:t>
      </w:r>
      <w:r>
        <w:rPr>
          <w:rFonts w:cs="Times New Roman"/>
          <w:szCs w:val="20"/>
          <w:lang w:val="fr-CA"/>
        </w:rPr>
        <w:t xml:space="preserve">par </w:t>
      </w:r>
      <w:r w:rsidRPr="0001174C">
        <w:rPr>
          <w:rFonts w:cs="Times New Roman"/>
          <w:szCs w:val="20"/>
          <w:lang w:val="fr-CA"/>
        </w:rPr>
        <w:t>l</w:t>
      </w:r>
      <w:r>
        <w:rPr>
          <w:rFonts w:cs="Times New Roman"/>
          <w:szCs w:val="20"/>
          <w:lang w:val="fr-CA"/>
        </w:rPr>
        <w:t>’</w:t>
      </w:r>
      <w:r w:rsidRPr="0001174C">
        <w:rPr>
          <w:rFonts w:cs="Times New Roman"/>
          <w:szCs w:val="20"/>
          <w:lang w:val="fr-CA"/>
        </w:rPr>
        <w:t>appelant de l</w:t>
      </w:r>
      <w:r>
        <w:rPr>
          <w:rFonts w:cs="Times New Roman"/>
          <w:szCs w:val="20"/>
          <w:lang w:val="fr-CA"/>
        </w:rPr>
        <w:t>’</w:t>
      </w:r>
      <w:r w:rsidRPr="0001174C">
        <w:rPr>
          <w:rFonts w:cs="Times New Roman"/>
          <w:szCs w:val="20"/>
          <w:lang w:val="fr-CA"/>
        </w:rPr>
        <w:t xml:space="preserve">admissibilité de ses aveux </w:t>
      </w:r>
      <w:r>
        <w:rPr>
          <w:rFonts w:cs="Times New Roman"/>
          <w:szCs w:val="20"/>
          <w:lang w:val="fr-CA"/>
        </w:rPr>
        <w:t>sur le</w:t>
      </w:r>
      <w:r w:rsidRPr="0001174C">
        <w:rPr>
          <w:rFonts w:cs="Times New Roman"/>
          <w:szCs w:val="20"/>
          <w:lang w:val="fr-CA"/>
        </w:rPr>
        <w:t xml:space="preserve"> </w:t>
      </w:r>
      <w:r>
        <w:rPr>
          <w:rFonts w:cs="Times New Roman"/>
          <w:szCs w:val="20"/>
          <w:lang w:val="fr-CA"/>
        </w:rPr>
        <w:t>fondement du par.</w:t>
      </w:r>
      <w:r w:rsidR="00203E16">
        <w:rPr>
          <w:rFonts w:cs="Times New Roman"/>
          <w:szCs w:val="20"/>
          <w:lang w:val="fr-CA"/>
        </w:rPr>
        <w:t xml:space="preserve"> </w:t>
      </w:r>
      <w:r w:rsidRPr="0001174C">
        <w:rPr>
          <w:rFonts w:cs="Times New Roman"/>
          <w:szCs w:val="20"/>
          <w:lang w:val="fr-CA"/>
        </w:rPr>
        <w:t>24(2)</w:t>
      </w:r>
      <w:r>
        <w:rPr>
          <w:rFonts w:cs="Times New Roman"/>
          <w:szCs w:val="20"/>
          <w:lang w:val="fr-CA"/>
        </w:rPr>
        <w:t xml:space="preserve"> </w:t>
      </w:r>
      <w:r w:rsidRPr="0001174C">
        <w:rPr>
          <w:rFonts w:eastAsia="Times New Roman" w:cs="Times New Roman"/>
          <w:szCs w:val="24"/>
          <w:lang w:val="fr-CA" w:eastAsia="en-CA"/>
        </w:rPr>
        <w:t xml:space="preserve">de la </w:t>
      </w:r>
      <w:r w:rsidRPr="0001174C">
        <w:rPr>
          <w:rFonts w:eastAsia="Times New Roman" w:cs="Times New Roman"/>
          <w:i/>
          <w:iCs/>
          <w:szCs w:val="24"/>
          <w:lang w:val="fr-CA" w:eastAsia="en-CA"/>
        </w:rPr>
        <w:t>Charte</w:t>
      </w:r>
      <w:r w:rsidRPr="0001174C">
        <w:rPr>
          <w:rFonts w:cs="Times New Roman"/>
          <w:szCs w:val="20"/>
          <w:lang w:val="fr-CA"/>
        </w:rPr>
        <w:t xml:space="preserve">. </w:t>
      </w:r>
      <w:r w:rsidRPr="0001174C">
        <w:rPr>
          <w:rFonts w:eastAsia="Times New Roman" w:cs="Times New Roman"/>
          <w:szCs w:val="24"/>
          <w:lang w:val="fr-CA" w:eastAsia="en-CA"/>
        </w:rPr>
        <w:t xml:space="preserve">Pour </w:t>
      </w:r>
      <w:r>
        <w:rPr>
          <w:rFonts w:eastAsia="Times New Roman" w:cs="Times New Roman"/>
          <w:szCs w:val="24"/>
          <w:lang w:val="fr-CA" w:eastAsia="en-CA"/>
        </w:rPr>
        <w:t>qu’</w:t>
      </w:r>
      <w:r w:rsidRPr="0001174C">
        <w:rPr>
          <w:rFonts w:eastAsia="Times New Roman" w:cs="Times New Roman"/>
          <w:szCs w:val="24"/>
          <w:lang w:val="fr-CA" w:eastAsia="en-CA"/>
        </w:rPr>
        <w:t xml:space="preserve">une preuve </w:t>
      </w:r>
      <w:r>
        <w:rPr>
          <w:rFonts w:eastAsia="Times New Roman" w:cs="Times New Roman"/>
          <w:szCs w:val="24"/>
          <w:lang w:val="fr-CA" w:eastAsia="en-CA"/>
        </w:rPr>
        <w:t xml:space="preserve">soit écartée </w:t>
      </w:r>
      <w:r w:rsidRPr="0001174C">
        <w:rPr>
          <w:rFonts w:eastAsia="Times New Roman" w:cs="Times New Roman"/>
          <w:szCs w:val="24"/>
          <w:lang w:val="fr-CA" w:eastAsia="en-CA"/>
        </w:rPr>
        <w:t xml:space="preserve">en application </w:t>
      </w:r>
      <w:r>
        <w:rPr>
          <w:rFonts w:eastAsia="Times New Roman" w:cs="Times New Roman"/>
          <w:szCs w:val="24"/>
          <w:lang w:val="fr-CA" w:eastAsia="en-CA"/>
        </w:rPr>
        <w:t>de ce paragraphe,</w:t>
      </w:r>
      <w:r w:rsidRPr="0001174C">
        <w:rPr>
          <w:rFonts w:eastAsia="Times New Roman" w:cs="Times New Roman"/>
          <w:szCs w:val="24"/>
          <w:lang w:val="fr-CA" w:eastAsia="en-CA"/>
        </w:rPr>
        <w:t xml:space="preserve"> (</w:t>
      </w:r>
      <w:r w:rsidRPr="008D41E0">
        <w:rPr>
          <w:rFonts w:eastAsia="Times New Roman" w:cs="Times New Roman"/>
          <w:szCs w:val="24"/>
          <w:lang w:val="fr-CA" w:eastAsia="en-CA"/>
        </w:rPr>
        <w:t>1</w:t>
      </w:r>
      <w:r w:rsidRPr="0001174C">
        <w:rPr>
          <w:rFonts w:eastAsia="Times New Roman" w:cs="Times New Roman"/>
          <w:szCs w:val="24"/>
          <w:lang w:val="fr-CA" w:eastAsia="en-CA"/>
        </w:rPr>
        <w:t>)</w:t>
      </w:r>
      <w:r w:rsidR="00203E16">
        <w:rPr>
          <w:rFonts w:eastAsia="Times New Roman" w:cs="Times New Roman"/>
          <w:szCs w:val="24"/>
          <w:lang w:val="fr-CA" w:eastAsia="en-CA"/>
        </w:rPr>
        <w:t xml:space="preserve"> </w:t>
      </w:r>
      <w:r>
        <w:rPr>
          <w:rFonts w:eastAsia="Times New Roman" w:cs="Times New Roman"/>
          <w:szCs w:val="24"/>
          <w:lang w:val="fr-CA" w:eastAsia="en-CA"/>
        </w:rPr>
        <w:t xml:space="preserve">elle doit avoir </w:t>
      </w:r>
      <w:r w:rsidRPr="0001174C">
        <w:rPr>
          <w:rFonts w:eastAsia="Times New Roman" w:cs="Times New Roman"/>
          <w:szCs w:val="24"/>
          <w:lang w:val="fr-CA" w:eastAsia="en-CA"/>
        </w:rPr>
        <w:t xml:space="preserve">été obtenue dans des conditions qui portent atteinte aux droits ou libertés garantis par la </w:t>
      </w:r>
      <w:r w:rsidRPr="0001174C">
        <w:rPr>
          <w:rFonts w:eastAsia="Times New Roman" w:cs="Times New Roman"/>
          <w:i/>
          <w:iCs/>
          <w:szCs w:val="24"/>
          <w:lang w:val="fr-CA" w:eastAsia="en-CA"/>
        </w:rPr>
        <w:lastRenderedPageBreak/>
        <w:t>Charte</w:t>
      </w:r>
      <w:r w:rsidRPr="0001174C">
        <w:rPr>
          <w:lang w:val="fr-CA"/>
        </w:rPr>
        <w:t xml:space="preserve"> </w:t>
      </w:r>
      <w:r>
        <w:rPr>
          <w:lang w:val="fr-CA"/>
        </w:rPr>
        <w:t xml:space="preserve">et </w:t>
      </w:r>
      <w:r w:rsidRPr="0001174C">
        <w:rPr>
          <w:rFonts w:eastAsia="Times New Roman" w:cs="Times New Roman"/>
          <w:szCs w:val="24"/>
          <w:lang w:val="fr-CA" w:eastAsia="en-CA"/>
        </w:rPr>
        <w:t>(</w:t>
      </w:r>
      <w:r w:rsidRPr="008D41E0">
        <w:rPr>
          <w:rFonts w:eastAsia="Times New Roman" w:cs="Times New Roman"/>
          <w:szCs w:val="24"/>
          <w:lang w:val="fr-CA" w:eastAsia="en-CA"/>
        </w:rPr>
        <w:t>2</w:t>
      </w:r>
      <w:r w:rsidRPr="0001174C">
        <w:rPr>
          <w:rFonts w:eastAsia="Times New Roman" w:cs="Times New Roman"/>
          <w:szCs w:val="24"/>
          <w:lang w:val="fr-CA" w:eastAsia="en-CA"/>
        </w:rPr>
        <w:t>)</w:t>
      </w:r>
      <w:r w:rsidR="00203E16">
        <w:rPr>
          <w:rFonts w:eastAsia="Times New Roman" w:cs="Times New Roman"/>
          <w:szCs w:val="24"/>
          <w:lang w:val="fr-CA" w:eastAsia="en-CA"/>
        </w:rPr>
        <w:t xml:space="preserve"> </w:t>
      </w:r>
      <w:r>
        <w:rPr>
          <w:rFonts w:eastAsia="Times New Roman" w:cs="Times New Roman"/>
          <w:szCs w:val="24"/>
          <w:lang w:val="fr-CA" w:eastAsia="en-CA"/>
        </w:rPr>
        <w:t xml:space="preserve">son </w:t>
      </w:r>
      <w:r w:rsidRPr="0001174C">
        <w:rPr>
          <w:rFonts w:eastAsia="Times New Roman" w:cs="Times New Roman"/>
          <w:szCs w:val="24"/>
          <w:lang w:val="fr-CA" w:eastAsia="en-CA"/>
        </w:rPr>
        <w:t xml:space="preserve">admission </w:t>
      </w:r>
      <w:r>
        <w:rPr>
          <w:rFonts w:eastAsia="Times New Roman" w:cs="Times New Roman"/>
          <w:szCs w:val="24"/>
          <w:lang w:val="fr-CA" w:eastAsia="en-CA"/>
        </w:rPr>
        <w:t xml:space="preserve">doit être </w:t>
      </w:r>
      <w:r w:rsidRPr="0001174C">
        <w:rPr>
          <w:rFonts w:eastAsia="Times New Roman" w:cs="Times New Roman"/>
          <w:szCs w:val="24"/>
          <w:lang w:val="fr-CA" w:eastAsia="en-CA"/>
        </w:rPr>
        <w:t>susceptible de déconsidérer l</w:t>
      </w:r>
      <w:r>
        <w:rPr>
          <w:rFonts w:eastAsia="Times New Roman" w:cs="Times New Roman"/>
          <w:szCs w:val="24"/>
          <w:lang w:val="fr-CA" w:eastAsia="en-CA"/>
        </w:rPr>
        <w:t>’</w:t>
      </w:r>
      <w:r w:rsidRPr="0001174C">
        <w:rPr>
          <w:rFonts w:eastAsia="Times New Roman" w:cs="Times New Roman"/>
          <w:szCs w:val="24"/>
          <w:lang w:val="fr-CA" w:eastAsia="en-CA"/>
        </w:rPr>
        <w:t>administration de la justice</w:t>
      </w:r>
      <w:r w:rsidRPr="0001174C">
        <w:rPr>
          <w:rFonts w:cs="Times New Roman"/>
          <w:lang w:val="fr-CA"/>
        </w:rPr>
        <w:t xml:space="preserve"> (</w:t>
      </w:r>
      <w:r w:rsidRPr="0001174C">
        <w:rPr>
          <w:rFonts w:cs="Times New Roman"/>
          <w:i/>
          <w:lang w:val="fr-CA"/>
        </w:rPr>
        <w:t>R. c. Wittwer</w:t>
      </w:r>
      <w:r w:rsidRPr="0001174C">
        <w:rPr>
          <w:rFonts w:cs="Times New Roman"/>
          <w:lang w:val="fr-CA"/>
        </w:rPr>
        <w:t>, 2008 CS</w:t>
      </w:r>
      <w:r>
        <w:rPr>
          <w:rFonts w:cs="Times New Roman"/>
          <w:lang w:val="fr-CA"/>
        </w:rPr>
        <w:t>C</w:t>
      </w:r>
      <w:r w:rsidRPr="0001174C">
        <w:rPr>
          <w:rFonts w:cs="Times New Roman"/>
          <w:lang w:val="fr-CA"/>
        </w:rPr>
        <w:t xml:space="preserve"> 33, </w:t>
      </w:r>
      <w:r>
        <w:rPr>
          <w:rFonts w:cs="Times New Roman"/>
          <w:lang w:val="fr-CA"/>
        </w:rPr>
        <w:t>[2008] 2 R.C.S. 235, par.</w:t>
      </w:r>
      <w:r w:rsidR="00203E16">
        <w:rPr>
          <w:rFonts w:cs="Times New Roman"/>
          <w:lang w:val="fr-CA"/>
        </w:rPr>
        <w:t xml:space="preserve"> </w:t>
      </w:r>
      <w:r w:rsidRPr="0001174C">
        <w:rPr>
          <w:rFonts w:cs="Times New Roman"/>
          <w:lang w:val="fr-CA"/>
        </w:rPr>
        <w:t>19).</w:t>
      </w:r>
    </w:p>
    <w:p w:rsidR="00AF2876" w:rsidRPr="001D0501" w:rsidRDefault="00AF2876" w:rsidP="00AF2876">
      <w:pPr>
        <w:pStyle w:val="ParaNoNdepar-AltN"/>
        <w:rPr>
          <w:rFonts w:cs="Times New Roman"/>
          <w:sz w:val="20"/>
          <w:szCs w:val="20"/>
          <w:lang w:val="fr-CA"/>
        </w:rPr>
      </w:pPr>
      <w:r>
        <w:rPr>
          <w:rFonts w:cs="Times New Roman"/>
          <w:lang w:val="fr-CA"/>
        </w:rPr>
        <w:t>U</w:t>
      </w:r>
      <w:r w:rsidRPr="0001174C">
        <w:rPr>
          <w:rFonts w:cs="Times New Roman"/>
          <w:lang w:val="fr-CA"/>
        </w:rPr>
        <w:t xml:space="preserve">ne preuve </w:t>
      </w:r>
      <w:r>
        <w:rPr>
          <w:rFonts w:cs="Times New Roman"/>
          <w:lang w:val="fr-CA"/>
        </w:rPr>
        <w:t>est</w:t>
      </w:r>
      <w:r w:rsidRPr="0001174C">
        <w:rPr>
          <w:rFonts w:cs="Times New Roman"/>
          <w:lang w:val="fr-CA"/>
        </w:rPr>
        <w:t xml:space="preserve"> </w:t>
      </w:r>
      <w:r w:rsidR="00203E16">
        <w:rPr>
          <w:rFonts w:cs="Times New Roman"/>
          <w:lang w:val="fr-CA"/>
        </w:rPr>
        <w:t>« </w:t>
      </w:r>
      <w:r w:rsidRPr="0001174C">
        <w:rPr>
          <w:rFonts w:eastAsia="Times New Roman" w:cs="Times New Roman"/>
          <w:szCs w:val="24"/>
          <w:lang w:val="fr-CA" w:eastAsia="en-CA"/>
        </w:rPr>
        <w:t>obtenu</w:t>
      </w:r>
      <w:r w:rsidR="005044C1">
        <w:rPr>
          <w:rFonts w:eastAsia="Times New Roman" w:cs="Times New Roman"/>
          <w:szCs w:val="24"/>
          <w:lang w:val="fr-CA" w:eastAsia="en-CA"/>
        </w:rPr>
        <w:t>[</w:t>
      </w:r>
      <w:r w:rsidRPr="0001174C">
        <w:rPr>
          <w:rFonts w:eastAsia="Times New Roman" w:cs="Times New Roman"/>
          <w:szCs w:val="24"/>
          <w:lang w:val="fr-CA" w:eastAsia="en-CA"/>
        </w:rPr>
        <w:t>e</w:t>
      </w:r>
      <w:r w:rsidR="005044C1">
        <w:rPr>
          <w:rFonts w:eastAsia="Times New Roman" w:cs="Times New Roman"/>
          <w:szCs w:val="24"/>
          <w:lang w:val="fr-CA" w:eastAsia="en-CA"/>
        </w:rPr>
        <w:t>]</w:t>
      </w:r>
      <w:r w:rsidRPr="0001174C">
        <w:rPr>
          <w:rFonts w:eastAsia="Times New Roman" w:cs="Times New Roman"/>
          <w:szCs w:val="24"/>
          <w:lang w:val="fr-CA" w:eastAsia="en-CA"/>
        </w:rPr>
        <w:t xml:space="preserve"> dans des conditions</w:t>
      </w:r>
      <w:r w:rsidR="00203E16">
        <w:rPr>
          <w:rFonts w:eastAsia="Times New Roman" w:cs="Times New Roman"/>
          <w:szCs w:val="24"/>
          <w:lang w:val="fr-CA" w:eastAsia="en-CA"/>
        </w:rPr>
        <w:t> »</w:t>
      </w:r>
      <w:r w:rsidRPr="0001174C">
        <w:rPr>
          <w:rFonts w:eastAsia="Times New Roman" w:cs="Times New Roman"/>
          <w:szCs w:val="24"/>
          <w:lang w:val="fr-CA" w:eastAsia="en-CA"/>
        </w:rPr>
        <w:t xml:space="preserve"> qui portent atteinte </w:t>
      </w:r>
      <w:r>
        <w:rPr>
          <w:rFonts w:eastAsia="Times New Roman" w:cs="Times New Roman"/>
          <w:szCs w:val="24"/>
          <w:lang w:val="fr-CA" w:eastAsia="en-CA"/>
        </w:rPr>
        <w:t xml:space="preserve">ou non </w:t>
      </w:r>
      <w:r w:rsidRPr="0001174C">
        <w:rPr>
          <w:rFonts w:eastAsia="Times New Roman" w:cs="Times New Roman"/>
          <w:szCs w:val="24"/>
          <w:lang w:val="fr-CA" w:eastAsia="en-CA"/>
        </w:rPr>
        <w:t xml:space="preserve">aux droits garantis par la </w:t>
      </w:r>
      <w:r w:rsidRPr="0001174C">
        <w:rPr>
          <w:rFonts w:eastAsia="Times New Roman" w:cs="Times New Roman"/>
          <w:i/>
          <w:iCs/>
          <w:szCs w:val="24"/>
          <w:lang w:val="fr-CA" w:eastAsia="en-CA"/>
        </w:rPr>
        <w:t>Charte</w:t>
      </w:r>
      <w:r w:rsidRPr="001F1BCD">
        <w:rPr>
          <w:lang w:val="fr-CA"/>
        </w:rPr>
        <w:t xml:space="preserve"> </w:t>
      </w:r>
      <w:r w:rsidRPr="0001174C">
        <w:rPr>
          <w:rFonts w:eastAsia="Times New Roman" w:cs="Times New Roman"/>
          <w:szCs w:val="24"/>
          <w:lang w:val="fr-CA" w:eastAsia="en-CA"/>
        </w:rPr>
        <w:t>à l</w:t>
      </w:r>
      <w:r>
        <w:rPr>
          <w:rFonts w:eastAsia="Times New Roman" w:cs="Times New Roman"/>
          <w:szCs w:val="24"/>
          <w:lang w:val="fr-CA" w:eastAsia="en-CA"/>
        </w:rPr>
        <w:t>’</w:t>
      </w:r>
      <w:r w:rsidRPr="0001174C">
        <w:rPr>
          <w:rFonts w:eastAsia="Times New Roman" w:cs="Times New Roman"/>
          <w:szCs w:val="24"/>
          <w:lang w:val="fr-CA" w:eastAsia="en-CA"/>
        </w:rPr>
        <w:t xml:space="preserve">accusé </w:t>
      </w:r>
      <w:r>
        <w:rPr>
          <w:rFonts w:cs="Times New Roman"/>
          <w:lang w:val="fr-CA"/>
        </w:rPr>
        <w:t xml:space="preserve">selon </w:t>
      </w:r>
      <w:r w:rsidRPr="0001174C">
        <w:rPr>
          <w:rFonts w:cs="Times New Roman"/>
          <w:lang w:val="fr-CA"/>
        </w:rPr>
        <w:t>la nature du lien entre l</w:t>
      </w:r>
      <w:r>
        <w:rPr>
          <w:rFonts w:cs="Times New Roman"/>
          <w:lang w:val="fr-CA"/>
        </w:rPr>
        <w:t xml:space="preserve">’atteinte </w:t>
      </w:r>
      <w:r w:rsidRPr="0001174C">
        <w:rPr>
          <w:rFonts w:cs="Times New Roman"/>
          <w:lang w:val="fr-CA"/>
        </w:rPr>
        <w:t xml:space="preserve">et la preuve. </w:t>
      </w:r>
      <w:r w:rsidRPr="0001174C">
        <w:rPr>
          <w:rFonts w:eastAsia="Times New Roman" w:cs="Times New Roman"/>
          <w:szCs w:val="24"/>
          <w:lang w:val="fr-CA" w:eastAsia="en-CA"/>
        </w:rPr>
        <w:t>Les tribunaux privilégi</w:t>
      </w:r>
      <w:r>
        <w:rPr>
          <w:rFonts w:eastAsia="Times New Roman" w:cs="Times New Roman"/>
          <w:szCs w:val="24"/>
          <w:lang w:val="fr-CA" w:eastAsia="en-CA"/>
        </w:rPr>
        <w:t>ent</w:t>
      </w:r>
      <w:r w:rsidRPr="0001174C">
        <w:rPr>
          <w:rFonts w:eastAsia="Times New Roman" w:cs="Times New Roman"/>
          <w:szCs w:val="24"/>
          <w:lang w:val="fr-CA" w:eastAsia="en-CA"/>
        </w:rPr>
        <w:t xml:space="preserve"> une analyse téléologique en la matière. Il</w:t>
      </w:r>
      <w:r w:rsidR="00203E16">
        <w:rPr>
          <w:rFonts w:eastAsia="Times New Roman" w:cs="Times New Roman"/>
          <w:szCs w:val="24"/>
          <w:lang w:val="fr-CA" w:eastAsia="en-CA"/>
        </w:rPr>
        <w:t xml:space="preserve"> </w:t>
      </w:r>
      <w:r w:rsidRPr="0001174C">
        <w:rPr>
          <w:rFonts w:eastAsia="Times New Roman" w:cs="Times New Roman"/>
          <w:szCs w:val="24"/>
          <w:lang w:val="fr-CA" w:eastAsia="en-CA"/>
        </w:rPr>
        <w:t>n</w:t>
      </w:r>
      <w:r>
        <w:rPr>
          <w:rFonts w:eastAsia="Times New Roman" w:cs="Times New Roman"/>
          <w:szCs w:val="24"/>
          <w:lang w:val="fr-CA" w:eastAsia="en-CA"/>
        </w:rPr>
        <w:t>’</w:t>
      </w:r>
      <w:r w:rsidRPr="0001174C">
        <w:rPr>
          <w:rFonts w:eastAsia="Times New Roman" w:cs="Times New Roman"/>
          <w:szCs w:val="24"/>
          <w:lang w:val="fr-CA" w:eastAsia="en-CA"/>
        </w:rPr>
        <w:t>est pas nécessaire d</w:t>
      </w:r>
      <w:r>
        <w:rPr>
          <w:rFonts w:eastAsia="Times New Roman" w:cs="Times New Roman"/>
          <w:szCs w:val="24"/>
          <w:lang w:val="fr-CA" w:eastAsia="en-CA"/>
        </w:rPr>
        <w:t>’</w:t>
      </w:r>
      <w:r w:rsidRPr="0001174C">
        <w:rPr>
          <w:rFonts w:eastAsia="Times New Roman" w:cs="Times New Roman"/>
          <w:szCs w:val="24"/>
          <w:lang w:val="fr-CA" w:eastAsia="en-CA"/>
        </w:rPr>
        <w:t xml:space="preserve">établir un lien causal strict entre </w:t>
      </w:r>
      <w:r>
        <w:rPr>
          <w:rFonts w:eastAsia="Times New Roman" w:cs="Times New Roman"/>
          <w:szCs w:val="24"/>
          <w:lang w:val="fr-CA" w:eastAsia="en-CA"/>
        </w:rPr>
        <w:t xml:space="preserve">l’atteinte </w:t>
      </w:r>
      <w:r w:rsidRPr="0001174C">
        <w:rPr>
          <w:rFonts w:eastAsia="Times New Roman" w:cs="Times New Roman"/>
          <w:szCs w:val="24"/>
          <w:lang w:val="fr-CA" w:eastAsia="en-CA"/>
        </w:rPr>
        <w:t xml:space="preserve">et </w:t>
      </w:r>
      <w:r>
        <w:rPr>
          <w:rFonts w:eastAsia="Times New Roman" w:cs="Times New Roman"/>
          <w:szCs w:val="24"/>
          <w:lang w:val="fr-CA" w:eastAsia="en-CA"/>
        </w:rPr>
        <w:t xml:space="preserve">l’obtention subséquente de la </w:t>
      </w:r>
      <w:r w:rsidRPr="0001174C">
        <w:rPr>
          <w:rFonts w:eastAsia="Times New Roman" w:cs="Times New Roman"/>
          <w:szCs w:val="24"/>
          <w:lang w:val="fr-CA" w:eastAsia="en-CA"/>
        </w:rPr>
        <w:t>preuve</w:t>
      </w:r>
      <w:r>
        <w:rPr>
          <w:rFonts w:eastAsia="Times New Roman" w:cs="Times New Roman"/>
          <w:szCs w:val="24"/>
          <w:lang w:val="fr-CA" w:eastAsia="en-CA"/>
        </w:rPr>
        <w:t>.</w:t>
      </w:r>
      <w:r w:rsidRPr="0001174C">
        <w:rPr>
          <w:rFonts w:eastAsia="Times New Roman" w:cs="Times New Roman"/>
          <w:szCs w:val="24"/>
          <w:lang w:val="fr-CA" w:eastAsia="en-CA"/>
        </w:rPr>
        <w:t xml:space="preserve"> </w:t>
      </w:r>
      <w:r>
        <w:rPr>
          <w:rFonts w:eastAsia="Times New Roman" w:cs="Times New Roman"/>
          <w:szCs w:val="24"/>
          <w:lang w:val="fr-CA" w:eastAsia="en-CA"/>
        </w:rPr>
        <w:t xml:space="preserve">La </w:t>
      </w:r>
      <w:r w:rsidRPr="0001174C">
        <w:rPr>
          <w:rFonts w:eastAsia="Times New Roman" w:cs="Times New Roman"/>
          <w:szCs w:val="24"/>
          <w:lang w:val="fr-CA" w:eastAsia="en-CA"/>
        </w:rPr>
        <w:t xml:space="preserve">preuve est viciée </w:t>
      </w:r>
      <w:r>
        <w:rPr>
          <w:rFonts w:eastAsia="Times New Roman" w:cs="Times New Roman"/>
          <w:szCs w:val="24"/>
          <w:lang w:val="fr-CA" w:eastAsia="en-CA"/>
        </w:rPr>
        <w:t xml:space="preserve">lorsque l’atteinte </w:t>
      </w:r>
      <w:r w:rsidRPr="0001174C">
        <w:rPr>
          <w:rFonts w:eastAsia="Times New Roman" w:cs="Times New Roman"/>
          <w:szCs w:val="24"/>
          <w:lang w:val="fr-CA" w:eastAsia="en-CA"/>
        </w:rPr>
        <w:t xml:space="preserve">et la découverte de la preuve </w:t>
      </w:r>
      <w:r>
        <w:rPr>
          <w:rFonts w:eastAsia="Times New Roman" w:cs="Times New Roman"/>
          <w:szCs w:val="24"/>
          <w:lang w:val="fr-CA" w:eastAsia="en-CA"/>
        </w:rPr>
        <w:t xml:space="preserve">dont l’admissibilité est </w:t>
      </w:r>
      <w:r w:rsidRPr="0001174C">
        <w:rPr>
          <w:rFonts w:eastAsia="Times New Roman" w:cs="Times New Roman"/>
          <w:szCs w:val="24"/>
          <w:lang w:val="fr-CA" w:eastAsia="en-CA"/>
        </w:rPr>
        <w:t>contestée s</w:t>
      </w:r>
      <w:r>
        <w:rPr>
          <w:rFonts w:eastAsia="Times New Roman" w:cs="Times New Roman"/>
          <w:szCs w:val="24"/>
          <w:lang w:val="fr-CA" w:eastAsia="en-CA"/>
        </w:rPr>
        <w:t>’</w:t>
      </w:r>
      <w:r w:rsidRPr="0001174C">
        <w:rPr>
          <w:rFonts w:eastAsia="Times New Roman" w:cs="Times New Roman"/>
          <w:szCs w:val="24"/>
          <w:lang w:val="fr-CA" w:eastAsia="en-CA"/>
        </w:rPr>
        <w:t xml:space="preserve">inscrivent dans le cadre de la même opération ou conduite. Le lien exigé entre </w:t>
      </w:r>
      <w:r>
        <w:rPr>
          <w:rFonts w:eastAsia="Times New Roman" w:cs="Times New Roman"/>
          <w:szCs w:val="24"/>
          <w:lang w:val="fr-CA" w:eastAsia="en-CA"/>
        </w:rPr>
        <w:t xml:space="preserve">l’atteinte </w:t>
      </w:r>
      <w:r w:rsidRPr="0001174C">
        <w:rPr>
          <w:rFonts w:eastAsia="Times New Roman" w:cs="Times New Roman"/>
          <w:szCs w:val="24"/>
          <w:lang w:val="fr-CA" w:eastAsia="en-CA"/>
        </w:rPr>
        <w:t xml:space="preserve">et la déclaration subséquente </w:t>
      </w:r>
      <w:r w:rsidRPr="001D0501">
        <w:rPr>
          <w:rFonts w:eastAsia="Times New Roman" w:cs="Times New Roman"/>
          <w:szCs w:val="24"/>
          <w:lang w:val="fr-CA" w:eastAsia="en-CA"/>
        </w:rPr>
        <w:t xml:space="preserve">peut être temporel, contextuel, causal ou un mélange des trois. </w:t>
      </w:r>
      <w:r w:rsidRPr="001D0501">
        <w:rPr>
          <w:lang w:val="fr-CA"/>
        </w:rPr>
        <w:t xml:space="preserve">Un lien </w:t>
      </w:r>
      <w:r w:rsidR="00203E16">
        <w:rPr>
          <w:lang w:val="fr-CA"/>
        </w:rPr>
        <w:t>« </w:t>
      </w:r>
      <w:r w:rsidR="009610B4">
        <w:rPr>
          <w:lang w:val="fr-CA"/>
        </w:rPr>
        <w:t>éloigné</w:t>
      </w:r>
      <w:bookmarkStart w:id="0" w:name="_GoBack"/>
      <w:bookmarkEnd w:id="0"/>
      <w:r w:rsidR="00203E16">
        <w:rPr>
          <w:lang w:val="fr-CA"/>
        </w:rPr>
        <w:t> »</w:t>
      </w:r>
      <w:r w:rsidRPr="001D0501">
        <w:rPr>
          <w:lang w:val="fr-CA"/>
        </w:rPr>
        <w:t xml:space="preserve"> ou </w:t>
      </w:r>
      <w:r w:rsidR="00203E16">
        <w:rPr>
          <w:lang w:val="fr-CA"/>
        </w:rPr>
        <w:t>« </w:t>
      </w:r>
      <w:r w:rsidRPr="001D0501">
        <w:rPr>
          <w:lang w:val="fr-CA"/>
        </w:rPr>
        <w:t>ténu</w:t>
      </w:r>
      <w:r w:rsidR="00203E16">
        <w:rPr>
          <w:lang w:val="fr-CA"/>
        </w:rPr>
        <w:t> »</w:t>
      </w:r>
      <w:r w:rsidRPr="001D0501">
        <w:rPr>
          <w:lang w:val="fr-CA"/>
        </w:rPr>
        <w:t xml:space="preserve"> n’est pas suffisant </w:t>
      </w:r>
      <w:r w:rsidRPr="001D0501">
        <w:rPr>
          <w:rFonts w:cs="Times New Roman"/>
          <w:lang w:val="fr-CA"/>
        </w:rPr>
        <w:t>(</w:t>
      </w:r>
      <w:r w:rsidRPr="001D0501">
        <w:rPr>
          <w:rFonts w:cs="Times New Roman"/>
          <w:i/>
          <w:lang w:val="fr-CA"/>
        </w:rPr>
        <w:t>Wittwer</w:t>
      </w:r>
      <w:r w:rsidRPr="001D0501">
        <w:rPr>
          <w:rFonts w:cs="Times New Roman"/>
          <w:lang w:val="fr-CA"/>
        </w:rPr>
        <w:t xml:space="preserve">, </w:t>
      </w:r>
      <w:r>
        <w:rPr>
          <w:rFonts w:cs="Times New Roman"/>
          <w:lang w:val="fr-CA"/>
        </w:rPr>
        <w:t>par.</w:t>
      </w:r>
      <w:r w:rsidR="00203E16">
        <w:rPr>
          <w:rFonts w:cs="Times New Roman"/>
          <w:lang w:val="fr-CA"/>
        </w:rPr>
        <w:t xml:space="preserve"> </w:t>
      </w:r>
      <w:r w:rsidRPr="001D0501">
        <w:rPr>
          <w:rFonts w:cs="Times New Roman"/>
          <w:lang w:val="fr-CA"/>
        </w:rPr>
        <w:t>21).</w:t>
      </w:r>
    </w:p>
    <w:p w:rsidR="00AF2876" w:rsidRPr="0001174C" w:rsidRDefault="00AF2876" w:rsidP="00AF2876">
      <w:pPr>
        <w:pStyle w:val="ParaNoNdepar-AltN"/>
        <w:rPr>
          <w:rFonts w:cs="Times New Roman"/>
          <w:lang w:val="fr-CA"/>
        </w:rPr>
      </w:pPr>
      <w:r w:rsidRPr="001D0501">
        <w:rPr>
          <w:rFonts w:cs="Times New Roman"/>
          <w:lang w:val="fr-CA"/>
        </w:rPr>
        <w:t xml:space="preserve">La fermeté du lien entre un élément de preuve et l’atteinte à un droit garanti par la </w:t>
      </w:r>
      <w:r w:rsidRPr="001D0501">
        <w:rPr>
          <w:rFonts w:cs="Times New Roman"/>
          <w:i/>
          <w:lang w:val="fr-CA"/>
        </w:rPr>
        <w:t xml:space="preserve">Charte </w:t>
      </w:r>
      <w:r w:rsidRPr="001D0501">
        <w:rPr>
          <w:rFonts w:cs="Times New Roman"/>
          <w:lang w:val="fr-CA"/>
        </w:rPr>
        <w:t>est une question de fait (</w:t>
      </w:r>
      <w:r w:rsidR="005044C1">
        <w:rPr>
          <w:rFonts w:cs="Times New Roman"/>
          <w:lang w:val="fr-CA"/>
        </w:rPr>
        <w:t xml:space="preserve">voir </w:t>
      </w:r>
      <w:r w:rsidRPr="001D0501">
        <w:rPr>
          <w:rFonts w:cs="Times New Roman"/>
          <w:i/>
          <w:lang w:val="fr-CA"/>
        </w:rPr>
        <w:t>R. c. Gol</w:t>
      </w:r>
      <w:r w:rsidRPr="0001174C">
        <w:rPr>
          <w:rFonts w:cs="Times New Roman"/>
          <w:i/>
          <w:lang w:val="fr-CA"/>
        </w:rPr>
        <w:t>dhart</w:t>
      </w:r>
      <w:r w:rsidRPr="0001174C">
        <w:rPr>
          <w:rFonts w:cs="Times New Roman"/>
          <w:lang w:val="fr-CA"/>
        </w:rPr>
        <w:t>, [1996] 2 S.C.R 463</w:t>
      </w:r>
      <w:r w:rsidR="005044C1">
        <w:rPr>
          <w:rFonts w:cs="Times New Roman"/>
          <w:lang w:val="fr-CA"/>
        </w:rPr>
        <w:t>,</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 xml:space="preserve">40). La décision </w:t>
      </w:r>
      <w:r>
        <w:rPr>
          <w:rFonts w:cs="Times New Roman"/>
          <w:lang w:val="fr-CA"/>
        </w:rPr>
        <w:t xml:space="preserve">du </w:t>
      </w:r>
      <w:r w:rsidRPr="0001174C">
        <w:rPr>
          <w:rFonts w:cs="Times New Roman"/>
          <w:lang w:val="fr-CA"/>
        </w:rPr>
        <w:t xml:space="preserve">juge du procès </w:t>
      </w:r>
      <w:r>
        <w:rPr>
          <w:rFonts w:cs="Times New Roman"/>
          <w:lang w:val="fr-CA"/>
        </w:rPr>
        <w:t>fondée sur le 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 xml:space="preserve">Charte </w:t>
      </w:r>
      <w:r w:rsidRPr="0001174C">
        <w:rPr>
          <w:rFonts w:cs="Times New Roman"/>
          <w:lang w:val="fr-CA"/>
        </w:rPr>
        <w:t xml:space="preserve">commande une grande déférence en appel. </w:t>
      </w:r>
      <w:r>
        <w:rPr>
          <w:rFonts w:cs="Times New Roman"/>
          <w:lang w:val="fr-CA"/>
        </w:rPr>
        <w:t xml:space="preserve">Elle </w:t>
      </w:r>
      <w:r w:rsidRPr="0001174C">
        <w:rPr>
          <w:rFonts w:cs="Times New Roman"/>
          <w:lang w:val="fr-CA"/>
        </w:rPr>
        <w:t xml:space="preserve">ne peut être modifiée que </w:t>
      </w:r>
      <w:r>
        <w:rPr>
          <w:rFonts w:cs="Times New Roman"/>
          <w:lang w:val="fr-CA"/>
        </w:rPr>
        <w:t xml:space="preserve">si </w:t>
      </w:r>
      <w:r w:rsidRPr="0001174C">
        <w:rPr>
          <w:rFonts w:cs="Times New Roman"/>
          <w:lang w:val="fr-CA"/>
        </w:rPr>
        <w:t>le juge n</w:t>
      </w:r>
      <w:r>
        <w:rPr>
          <w:rFonts w:cs="Times New Roman"/>
          <w:lang w:val="fr-CA"/>
        </w:rPr>
        <w:t>’</w:t>
      </w:r>
      <w:r w:rsidRPr="0001174C">
        <w:rPr>
          <w:rFonts w:cs="Times New Roman"/>
          <w:lang w:val="fr-CA"/>
        </w:rPr>
        <w:t xml:space="preserve">a pas </w:t>
      </w:r>
      <w:r w:rsidRPr="00755199">
        <w:rPr>
          <w:rFonts w:cs="Times New Roman"/>
          <w:lang w:val="fr-CA"/>
        </w:rPr>
        <w:t>tenu compte des bons facteurs</w:t>
      </w:r>
      <w:r w:rsidRPr="0001174C">
        <w:rPr>
          <w:rFonts w:cs="Times New Roman"/>
          <w:lang w:val="fr-CA"/>
        </w:rPr>
        <w:t xml:space="preserve"> ou qu</w:t>
      </w:r>
      <w:r>
        <w:rPr>
          <w:rFonts w:cs="Times New Roman"/>
          <w:lang w:val="fr-CA"/>
        </w:rPr>
        <w:t>’</w:t>
      </w:r>
      <w:r w:rsidRPr="0001174C">
        <w:rPr>
          <w:rFonts w:cs="Times New Roman"/>
          <w:lang w:val="fr-CA"/>
        </w:rPr>
        <w:t>il a tiré une conclusion déraisonnable (</w:t>
      </w:r>
      <w:r w:rsidRPr="0001174C">
        <w:rPr>
          <w:rFonts w:cs="Times New Roman"/>
          <w:i/>
          <w:lang w:val="fr-CA"/>
        </w:rPr>
        <w:t>R. c. Côté</w:t>
      </w:r>
      <w:r w:rsidRPr="0001174C">
        <w:rPr>
          <w:rFonts w:cs="Times New Roman"/>
          <w:lang w:val="fr-CA"/>
        </w:rPr>
        <w:t xml:space="preserve">, 2011 CSC 46, </w:t>
      </w:r>
      <w:r>
        <w:rPr>
          <w:rFonts w:cs="Times New Roman"/>
          <w:lang w:val="fr-CA"/>
        </w:rPr>
        <w:t>[2011] 3 R.C.S. 215, par.</w:t>
      </w:r>
      <w:r w:rsidR="00203E16">
        <w:rPr>
          <w:rFonts w:cs="Times New Roman"/>
          <w:lang w:val="fr-CA"/>
        </w:rPr>
        <w:t xml:space="preserve"> </w:t>
      </w:r>
      <w:r w:rsidRPr="0001174C">
        <w:rPr>
          <w:rFonts w:cs="Times New Roman"/>
          <w:lang w:val="fr-CA"/>
        </w:rPr>
        <w:t>44</w:t>
      </w:r>
      <w:r w:rsidR="005044C1">
        <w:rPr>
          <w:rFonts w:cs="Times New Roman"/>
          <w:lang w:val="fr-CA"/>
        </w:rPr>
        <w:t>,</w:t>
      </w:r>
      <w:r w:rsidRPr="0001174C">
        <w:rPr>
          <w:rFonts w:cs="Times New Roman"/>
          <w:lang w:val="fr-CA"/>
        </w:rPr>
        <w:t xml:space="preserve"> et </w:t>
      </w:r>
      <w:r w:rsidRPr="0001174C">
        <w:rPr>
          <w:rFonts w:cs="Times New Roman"/>
          <w:i/>
          <w:lang w:val="fr-CA"/>
        </w:rPr>
        <w:t>R. c. Grant</w:t>
      </w:r>
      <w:r w:rsidRPr="0001174C">
        <w:rPr>
          <w:rFonts w:cs="Times New Roman"/>
          <w:lang w:val="fr-CA"/>
        </w:rPr>
        <w:t>, 2009</w:t>
      </w:r>
      <w:r>
        <w:rPr>
          <w:rFonts w:cs="Times New Roman"/>
          <w:lang w:val="fr-CA"/>
        </w:rPr>
        <w:t xml:space="preserve"> </w:t>
      </w:r>
      <w:r w:rsidRPr="0001174C">
        <w:rPr>
          <w:rFonts w:cs="Times New Roman"/>
          <w:lang w:val="fr-CA"/>
        </w:rPr>
        <w:t>CSC</w:t>
      </w:r>
      <w:r>
        <w:rPr>
          <w:rFonts w:cs="Times New Roman"/>
          <w:lang w:val="fr-CA"/>
        </w:rPr>
        <w:t xml:space="preserve"> </w:t>
      </w:r>
      <w:r w:rsidRPr="0001174C">
        <w:rPr>
          <w:rFonts w:cs="Times New Roman"/>
          <w:lang w:val="fr-CA"/>
        </w:rPr>
        <w:t xml:space="preserve">32, </w:t>
      </w:r>
      <w:r>
        <w:rPr>
          <w:rFonts w:cs="Times New Roman"/>
          <w:lang w:val="fr-CA"/>
        </w:rPr>
        <w:t>[2009] 2 R.C.S. 353, par.</w:t>
      </w:r>
      <w:r w:rsidR="00203E16">
        <w:rPr>
          <w:rFonts w:cs="Times New Roman"/>
          <w:lang w:val="fr-CA"/>
        </w:rPr>
        <w:t xml:space="preserve"> </w:t>
      </w:r>
      <w:r w:rsidRPr="0001174C">
        <w:rPr>
          <w:rFonts w:cs="Times New Roman"/>
          <w:lang w:val="fr-CA"/>
        </w:rPr>
        <w:t xml:space="preserve">86). </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 xml:space="preserve">appelant </w:t>
      </w:r>
      <w:r>
        <w:rPr>
          <w:rFonts w:cs="Times New Roman"/>
          <w:lang w:val="fr-CA"/>
        </w:rPr>
        <w:t xml:space="preserve">soutient </w:t>
      </w:r>
      <w:r w:rsidRPr="0001174C">
        <w:rPr>
          <w:rFonts w:cs="Times New Roman"/>
          <w:lang w:val="fr-CA"/>
        </w:rPr>
        <w:t xml:space="preserve">que le juge du procès a </w:t>
      </w:r>
      <w:r>
        <w:rPr>
          <w:rFonts w:cs="Times New Roman"/>
          <w:lang w:val="fr-CA"/>
        </w:rPr>
        <w:t xml:space="preserve">eu tort de </w:t>
      </w:r>
      <w:r w:rsidRPr="0001174C">
        <w:rPr>
          <w:rFonts w:cs="Times New Roman"/>
          <w:lang w:val="fr-CA"/>
        </w:rPr>
        <w:t>conclu</w:t>
      </w:r>
      <w:r>
        <w:rPr>
          <w:rFonts w:cs="Times New Roman"/>
          <w:lang w:val="fr-CA"/>
        </w:rPr>
        <w:t>re</w:t>
      </w:r>
      <w:r w:rsidRPr="0001174C">
        <w:rPr>
          <w:rFonts w:cs="Times New Roman"/>
          <w:lang w:val="fr-CA"/>
        </w:rPr>
        <w:t xml:space="preserve"> que </w:t>
      </w:r>
      <w:r>
        <w:rPr>
          <w:rFonts w:cs="Times New Roman"/>
          <w:lang w:val="fr-CA"/>
        </w:rPr>
        <w:t>s</w:t>
      </w:r>
      <w:r w:rsidRPr="0001174C">
        <w:rPr>
          <w:rFonts w:cs="Times New Roman"/>
          <w:lang w:val="fr-CA"/>
        </w:rPr>
        <w:t xml:space="preserve">es déclarations aux agents </w:t>
      </w:r>
      <w:r>
        <w:rPr>
          <w:rFonts w:cs="Times New Roman"/>
          <w:lang w:val="fr-CA"/>
        </w:rPr>
        <w:t xml:space="preserve">banalisés </w:t>
      </w:r>
      <w:r w:rsidRPr="0001174C">
        <w:rPr>
          <w:rFonts w:cs="Times New Roman"/>
          <w:lang w:val="fr-CA"/>
        </w:rPr>
        <w:t>n</w:t>
      </w:r>
      <w:r>
        <w:rPr>
          <w:rFonts w:cs="Times New Roman"/>
          <w:lang w:val="fr-CA"/>
        </w:rPr>
        <w:t>’</w:t>
      </w:r>
      <w:r w:rsidRPr="0001174C">
        <w:rPr>
          <w:rFonts w:cs="Times New Roman"/>
          <w:lang w:val="fr-CA"/>
        </w:rPr>
        <w:t xml:space="preserve">avaient pas été </w:t>
      </w:r>
      <w:r w:rsidR="00203E16">
        <w:rPr>
          <w:rFonts w:cs="Times New Roman"/>
          <w:lang w:val="fr-CA"/>
        </w:rPr>
        <w:t>« </w:t>
      </w:r>
      <w:r w:rsidRPr="0001174C">
        <w:rPr>
          <w:rFonts w:cs="Times New Roman"/>
          <w:lang w:val="fr-CA"/>
        </w:rPr>
        <w:t>obtenu</w:t>
      </w:r>
      <w:r w:rsidR="005044C1">
        <w:rPr>
          <w:rFonts w:cs="Times New Roman"/>
          <w:lang w:val="fr-CA"/>
        </w:rPr>
        <w:t>[</w:t>
      </w:r>
      <w:r w:rsidRPr="0001174C">
        <w:rPr>
          <w:rFonts w:cs="Times New Roman"/>
          <w:lang w:val="fr-CA"/>
        </w:rPr>
        <w:t>e</w:t>
      </w:r>
      <w:r w:rsidR="005044C1">
        <w:rPr>
          <w:rFonts w:cs="Times New Roman"/>
          <w:lang w:val="fr-CA"/>
        </w:rPr>
        <w:t>]</w:t>
      </w:r>
      <w:r w:rsidRPr="0001174C">
        <w:rPr>
          <w:rFonts w:cs="Times New Roman"/>
          <w:lang w:val="fr-CA"/>
        </w:rPr>
        <w:t>s dans des conditions</w:t>
      </w:r>
      <w:r w:rsidR="00203E16">
        <w:rPr>
          <w:rFonts w:cs="Times New Roman"/>
          <w:lang w:val="fr-CA"/>
        </w:rPr>
        <w:t> »</w:t>
      </w:r>
      <w:r w:rsidRPr="0001174C">
        <w:rPr>
          <w:rFonts w:cs="Times New Roman"/>
          <w:lang w:val="fr-CA"/>
        </w:rPr>
        <w:t xml:space="preserve"> qui portaient atteinte </w:t>
      </w:r>
      <w:r>
        <w:rPr>
          <w:rFonts w:cs="Times New Roman"/>
          <w:lang w:val="fr-CA"/>
        </w:rPr>
        <w:t xml:space="preserve">à ses </w:t>
      </w:r>
      <w:r w:rsidRPr="0001174C">
        <w:rPr>
          <w:rFonts w:cs="Times New Roman"/>
          <w:lang w:val="fr-CA"/>
        </w:rPr>
        <w:t xml:space="preserve">droits </w:t>
      </w:r>
      <w:r>
        <w:rPr>
          <w:rFonts w:cs="Times New Roman"/>
          <w:lang w:val="fr-CA"/>
        </w:rPr>
        <w:t>constitutionnels</w:t>
      </w:r>
      <w:r w:rsidRPr="0001174C">
        <w:rPr>
          <w:rFonts w:cs="Times New Roman"/>
          <w:lang w:val="fr-CA"/>
        </w:rPr>
        <w:t xml:space="preserve">. </w:t>
      </w:r>
      <w:r>
        <w:rPr>
          <w:rFonts w:cs="Times New Roman"/>
          <w:lang w:val="fr-CA"/>
        </w:rPr>
        <w:t>À son avis</w:t>
      </w:r>
      <w:r w:rsidRPr="0001174C">
        <w:rPr>
          <w:rFonts w:cs="Times New Roman"/>
          <w:lang w:val="fr-CA"/>
        </w:rPr>
        <w:t xml:space="preserve">, le juge a </w:t>
      </w:r>
      <w:r>
        <w:rPr>
          <w:rFonts w:cs="Times New Roman"/>
          <w:lang w:val="fr-CA"/>
        </w:rPr>
        <w:t xml:space="preserve">appliqué </w:t>
      </w:r>
      <w:r w:rsidRPr="0001174C">
        <w:rPr>
          <w:rFonts w:cs="Times New Roman"/>
          <w:lang w:val="fr-CA"/>
        </w:rPr>
        <w:t xml:space="preserve">un </w:t>
      </w:r>
      <w:r w:rsidRPr="0001174C">
        <w:rPr>
          <w:rFonts w:cs="Times New Roman"/>
          <w:lang w:val="fr-CA"/>
        </w:rPr>
        <w:lastRenderedPageBreak/>
        <w:t xml:space="preserve">critère trop </w:t>
      </w:r>
      <w:r>
        <w:rPr>
          <w:rFonts w:cs="Times New Roman"/>
          <w:lang w:val="fr-CA"/>
        </w:rPr>
        <w:t xml:space="preserve">strict </w:t>
      </w:r>
      <w:r w:rsidRPr="0001174C">
        <w:rPr>
          <w:rFonts w:cs="Times New Roman"/>
          <w:lang w:val="fr-CA"/>
        </w:rPr>
        <w:t xml:space="preserve">pour arriver à cette conclusion. En particulier, </w:t>
      </w:r>
      <w:r>
        <w:rPr>
          <w:rFonts w:cs="Times New Roman"/>
          <w:lang w:val="fr-CA"/>
        </w:rPr>
        <w:t xml:space="preserve">il </w:t>
      </w:r>
      <w:r w:rsidRPr="0001174C">
        <w:rPr>
          <w:rFonts w:cs="Times New Roman"/>
          <w:lang w:val="fr-CA"/>
        </w:rPr>
        <w:t>a cru à tort qu</w:t>
      </w:r>
      <w:r>
        <w:rPr>
          <w:rFonts w:cs="Times New Roman"/>
          <w:lang w:val="fr-CA"/>
        </w:rPr>
        <w:t>’</w:t>
      </w:r>
      <w:r w:rsidRPr="0001174C">
        <w:rPr>
          <w:rFonts w:cs="Times New Roman"/>
          <w:lang w:val="fr-CA"/>
        </w:rPr>
        <w:t>il fallait démontrer l</w:t>
      </w:r>
      <w:r>
        <w:rPr>
          <w:rFonts w:cs="Times New Roman"/>
          <w:lang w:val="fr-CA"/>
        </w:rPr>
        <w:t>’</w:t>
      </w:r>
      <w:r w:rsidRPr="0001174C">
        <w:rPr>
          <w:rFonts w:cs="Times New Roman"/>
          <w:lang w:val="fr-CA"/>
        </w:rPr>
        <w:t>existence d</w:t>
      </w:r>
      <w:r>
        <w:rPr>
          <w:rFonts w:cs="Times New Roman"/>
          <w:lang w:val="fr-CA"/>
        </w:rPr>
        <w:t>’</w:t>
      </w:r>
      <w:r w:rsidRPr="0001174C">
        <w:rPr>
          <w:rFonts w:cs="Times New Roman"/>
          <w:lang w:val="fr-CA"/>
        </w:rPr>
        <w:t xml:space="preserve">un lien causal entre </w:t>
      </w:r>
      <w:r>
        <w:rPr>
          <w:rFonts w:cs="Times New Roman"/>
          <w:lang w:val="fr-CA"/>
        </w:rPr>
        <w:t xml:space="preserve">l’atteinte </w:t>
      </w:r>
      <w:r w:rsidRPr="0001174C">
        <w:rPr>
          <w:rFonts w:cs="Times New Roman"/>
          <w:lang w:val="fr-CA"/>
        </w:rPr>
        <w:t>et l</w:t>
      </w:r>
      <w:r>
        <w:rPr>
          <w:rFonts w:cs="Times New Roman"/>
          <w:lang w:val="fr-CA"/>
        </w:rPr>
        <w:t>’</w:t>
      </w:r>
      <w:r w:rsidRPr="0001174C">
        <w:rPr>
          <w:rFonts w:cs="Times New Roman"/>
          <w:lang w:val="fr-CA"/>
        </w:rPr>
        <w:t>obtention des éléments de preuve pour que s</w:t>
      </w:r>
      <w:r>
        <w:rPr>
          <w:rFonts w:cs="Times New Roman"/>
          <w:lang w:val="fr-CA"/>
        </w:rPr>
        <w:t>’</w:t>
      </w:r>
      <w:r w:rsidRPr="0001174C">
        <w:rPr>
          <w:rFonts w:cs="Times New Roman"/>
          <w:lang w:val="fr-CA"/>
        </w:rPr>
        <w:t>applique</w:t>
      </w:r>
      <w:r>
        <w:rPr>
          <w:rFonts w:cs="Times New Roman"/>
          <w:lang w:val="fr-CA"/>
        </w:rPr>
        <w:t xml:space="preserve"> </w:t>
      </w:r>
      <w:r w:rsidRPr="0001174C">
        <w:rPr>
          <w:rFonts w:cs="Times New Roman"/>
          <w:lang w:val="fr-CA"/>
        </w:rPr>
        <w:t xml:space="preserve">le </w:t>
      </w:r>
      <w:r>
        <w:rPr>
          <w:rFonts w:cs="Times New Roman"/>
          <w:lang w:val="fr-CA"/>
        </w:rPr>
        <w:t>par.</w:t>
      </w:r>
      <w:r w:rsidR="00203E16">
        <w:rPr>
          <w:rFonts w:cs="Times New Roman"/>
          <w:lang w:val="fr-CA"/>
        </w:rPr>
        <w:t xml:space="preserve"> </w:t>
      </w:r>
      <w:r w:rsidRPr="0001174C">
        <w:rPr>
          <w:rFonts w:cs="Times New Roman"/>
          <w:lang w:val="fr-CA"/>
        </w:rPr>
        <w:t xml:space="preserve">24(2) de la </w:t>
      </w:r>
      <w:r w:rsidRPr="0001174C">
        <w:rPr>
          <w:rFonts w:cs="Times New Roman"/>
          <w:i/>
          <w:lang w:val="fr-CA"/>
        </w:rPr>
        <w:t>Charte</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Ce moyen d</w:t>
      </w:r>
      <w:r>
        <w:rPr>
          <w:rFonts w:cs="Times New Roman"/>
          <w:lang w:val="fr-CA"/>
        </w:rPr>
        <w:t>’</w:t>
      </w:r>
      <w:r w:rsidRPr="0001174C">
        <w:rPr>
          <w:rFonts w:cs="Times New Roman"/>
          <w:lang w:val="fr-CA"/>
        </w:rPr>
        <w:t xml:space="preserve">appel </w:t>
      </w:r>
      <w:r>
        <w:rPr>
          <w:rFonts w:cs="Times New Roman"/>
          <w:lang w:val="fr-CA"/>
        </w:rPr>
        <w:t>étant axé sur l</w:t>
      </w:r>
      <w:r w:rsidRPr="0001174C">
        <w:rPr>
          <w:rFonts w:cs="Times New Roman"/>
          <w:lang w:val="fr-CA"/>
        </w:rPr>
        <w:t>es faits</w:t>
      </w:r>
      <w:r>
        <w:rPr>
          <w:rFonts w:cs="Times New Roman"/>
          <w:lang w:val="fr-CA"/>
        </w:rPr>
        <w:t>,</w:t>
      </w:r>
      <w:r w:rsidRPr="0001174C">
        <w:rPr>
          <w:rFonts w:cs="Times New Roman"/>
          <w:lang w:val="fr-CA"/>
        </w:rPr>
        <w:t xml:space="preserve"> j</w:t>
      </w:r>
      <w:r>
        <w:rPr>
          <w:rFonts w:cs="Times New Roman"/>
          <w:lang w:val="fr-CA"/>
        </w:rPr>
        <w:t>’estime qu’il n’y a pas lieu d’y faire droit</w:t>
      </w:r>
      <w:r w:rsidRPr="0001174C">
        <w:rPr>
          <w:rFonts w:cs="Times New Roman"/>
          <w:lang w:val="fr-CA"/>
        </w:rPr>
        <w:t xml:space="preserve">. </w:t>
      </w:r>
      <w:r>
        <w:rPr>
          <w:rFonts w:cs="Times New Roman"/>
          <w:lang w:val="fr-CA"/>
        </w:rPr>
        <w:t>L’</w:t>
      </w:r>
      <w:r w:rsidRPr="0001174C">
        <w:rPr>
          <w:rFonts w:cs="Times New Roman"/>
          <w:lang w:val="fr-CA"/>
        </w:rPr>
        <w:t xml:space="preserve">appelant </w:t>
      </w:r>
      <w:r>
        <w:rPr>
          <w:rFonts w:cs="Times New Roman"/>
          <w:lang w:val="fr-CA"/>
        </w:rPr>
        <w:t xml:space="preserve">nous </w:t>
      </w:r>
      <w:r w:rsidRPr="0001174C">
        <w:rPr>
          <w:rFonts w:cs="Times New Roman"/>
          <w:lang w:val="fr-CA"/>
        </w:rPr>
        <w:t xml:space="preserve">invite essentiellement à </w:t>
      </w:r>
      <w:r>
        <w:rPr>
          <w:rFonts w:cs="Times New Roman"/>
          <w:lang w:val="fr-CA"/>
        </w:rPr>
        <w:t xml:space="preserve">revenir sur </w:t>
      </w:r>
      <w:r w:rsidRPr="00755199">
        <w:rPr>
          <w:rFonts w:cs="Times New Roman"/>
          <w:lang w:val="fr-CA"/>
        </w:rPr>
        <w:t>les facteurs</w:t>
      </w:r>
      <w:r w:rsidRPr="0001174C">
        <w:rPr>
          <w:rFonts w:cs="Times New Roman"/>
          <w:lang w:val="fr-CA"/>
        </w:rPr>
        <w:t xml:space="preserve"> dont le juge a tenu compte pour décider que le </w:t>
      </w:r>
      <w:r>
        <w:rPr>
          <w:rFonts w:cs="Times New Roman"/>
          <w:lang w:val="fr-CA"/>
        </w:rPr>
        <w:t>par.</w:t>
      </w:r>
      <w:r w:rsidR="00203E16">
        <w:rPr>
          <w:rFonts w:cs="Times New Roman"/>
          <w:lang w:val="fr-CA"/>
        </w:rPr>
        <w:t xml:space="preserve"> </w:t>
      </w:r>
      <w:r w:rsidRPr="0001174C">
        <w:rPr>
          <w:rFonts w:cs="Times New Roman"/>
          <w:lang w:val="fr-CA"/>
        </w:rPr>
        <w:t>24(2) ne s</w:t>
      </w:r>
      <w:r>
        <w:rPr>
          <w:rFonts w:cs="Times New Roman"/>
          <w:lang w:val="fr-CA"/>
        </w:rPr>
        <w:t>’</w:t>
      </w:r>
      <w:r w:rsidRPr="0001174C">
        <w:rPr>
          <w:rFonts w:cs="Times New Roman"/>
          <w:lang w:val="fr-CA"/>
        </w:rPr>
        <w:t xml:space="preserve">appliquait pas. Le juge </w:t>
      </w:r>
      <w:r>
        <w:rPr>
          <w:rFonts w:cs="Times New Roman"/>
          <w:lang w:val="fr-CA"/>
        </w:rPr>
        <w:t xml:space="preserve">savait </w:t>
      </w:r>
      <w:r w:rsidRPr="0001174C">
        <w:rPr>
          <w:rFonts w:cs="Times New Roman"/>
          <w:lang w:val="fr-CA"/>
        </w:rPr>
        <w:t>qu</w:t>
      </w:r>
      <w:r>
        <w:rPr>
          <w:rFonts w:cs="Times New Roman"/>
          <w:lang w:val="fr-CA"/>
        </w:rPr>
        <w:t>’</w:t>
      </w:r>
      <w:r w:rsidRPr="0001174C">
        <w:rPr>
          <w:rFonts w:cs="Times New Roman"/>
          <w:lang w:val="fr-CA"/>
        </w:rPr>
        <w:t>il n</w:t>
      </w:r>
      <w:r>
        <w:rPr>
          <w:rFonts w:cs="Times New Roman"/>
          <w:lang w:val="fr-CA"/>
        </w:rPr>
        <w:t>’</w:t>
      </w:r>
      <w:r w:rsidRPr="0001174C">
        <w:rPr>
          <w:rFonts w:cs="Times New Roman"/>
          <w:lang w:val="fr-CA"/>
        </w:rPr>
        <w:t xml:space="preserve">était pas nécessaire </w:t>
      </w:r>
      <w:r>
        <w:rPr>
          <w:rFonts w:cs="Times New Roman"/>
          <w:lang w:val="fr-CA"/>
        </w:rPr>
        <w:t xml:space="preserve">d’établir </w:t>
      </w:r>
      <w:r w:rsidRPr="0001174C">
        <w:rPr>
          <w:rFonts w:cs="Times New Roman"/>
          <w:lang w:val="fr-CA"/>
        </w:rPr>
        <w:t>un lien causal entr</w:t>
      </w:r>
      <w:r>
        <w:rPr>
          <w:rFonts w:cs="Times New Roman"/>
          <w:lang w:val="fr-CA"/>
        </w:rPr>
        <w:t>e</w:t>
      </w:r>
      <w:r w:rsidRPr="0001174C">
        <w:rPr>
          <w:rFonts w:cs="Times New Roman"/>
          <w:lang w:val="fr-CA"/>
        </w:rPr>
        <w:t xml:space="preserve"> </w:t>
      </w:r>
      <w:r>
        <w:rPr>
          <w:rFonts w:cs="Times New Roman"/>
          <w:lang w:val="fr-CA"/>
        </w:rPr>
        <w:t xml:space="preserve">l’atteinte constitutionnelle </w:t>
      </w:r>
      <w:r w:rsidRPr="0001174C">
        <w:rPr>
          <w:rFonts w:cs="Times New Roman"/>
          <w:lang w:val="fr-CA"/>
        </w:rPr>
        <w:t>et l</w:t>
      </w:r>
      <w:r>
        <w:rPr>
          <w:rFonts w:cs="Times New Roman"/>
          <w:lang w:val="fr-CA"/>
        </w:rPr>
        <w:t>’</w:t>
      </w:r>
      <w:r w:rsidRPr="0001174C">
        <w:rPr>
          <w:rFonts w:cs="Times New Roman"/>
          <w:lang w:val="fr-CA"/>
        </w:rPr>
        <w:t xml:space="preserve">obtention des éléments de preuve. Il </w:t>
      </w:r>
      <w:r>
        <w:rPr>
          <w:rFonts w:cs="Times New Roman"/>
          <w:lang w:val="fr-CA"/>
        </w:rPr>
        <w:t xml:space="preserve">a relevé la nécessité de </w:t>
      </w:r>
      <w:r w:rsidRPr="0001174C">
        <w:rPr>
          <w:rFonts w:cs="Times New Roman"/>
          <w:lang w:val="fr-CA"/>
        </w:rPr>
        <w:t>tenir compte d</w:t>
      </w:r>
      <w:r>
        <w:rPr>
          <w:rFonts w:cs="Times New Roman"/>
          <w:lang w:val="fr-CA"/>
        </w:rPr>
        <w:t>u</w:t>
      </w:r>
      <w:r w:rsidRPr="0001174C">
        <w:rPr>
          <w:rFonts w:cs="Times New Roman"/>
          <w:lang w:val="fr-CA"/>
        </w:rPr>
        <w:t xml:space="preserve"> </w:t>
      </w:r>
      <w:r w:rsidRPr="0001174C">
        <w:rPr>
          <w:rFonts w:cs="Times New Roman"/>
          <w:smallCaps/>
          <w:lang w:val="fr-CA"/>
        </w:rPr>
        <w:t>[traduction]</w:t>
      </w:r>
      <w:r w:rsidRPr="0001174C">
        <w:rPr>
          <w:rFonts w:cs="Times New Roman"/>
          <w:lang w:val="fr-CA"/>
        </w:rPr>
        <w:t xml:space="preserve"> </w:t>
      </w:r>
      <w:r w:rsidR="00203E16">
        <w:rPr>
          <w:rFonts w:cs="Times New Roman"/>
          <w:lang w:val="fr-CA"/>
        </w:rPr>
        <w:t>« </w:t>
      </w:r>
      <w:r>
        <w:rPr>
          <w:rFonts w:cs="Times New Roman"/>
          <w:lang w:val="fr-CA"/>
        </w:rPr>
        <w:t xml:space="preserve">lien sous tous les </w:t>
      </w:r>
      <w:r w:rsidRPr="0001174C">
        <w:rPr>
          <w:rFonts w:cs="Times New Roman"/>
          <w:lang w:val="fr-CA"/>
        </w:rPr>
        <w:t>rapports</w:t>
      </w:r>
      <w:r w:rsidR="00203E16">
        <w:rPr>
          <w:rFonts w:cs="Times New Roman"/>
          <w:lang w:val="fr-CA"/>
        </w:rPr>
        <w:t> »</w:t>
      </w:r>
      <w:r w:rsidRPr="0001174C">
        <w:rPr>
          <w:rFonts w:cs="Times New Roman"/>
          <w:lang w:val="fr-CA"/>
        </w:rPr>
        <w:t xml:space="preserve"> entre </w:t>
      </w:r>
      <w:r>
        <w:rPr>
          <w:rFonts w:cs="Times New Roman"/>
          <w:lang w:val="fr-CA"/>
        </w:rPr>
        <w:t xml:space="preserve">l’atteinte </w:t>
      </w:r>
      <w:r w:rsidRPr="0001174C">
        <w:rPr>
          <w:rFonts w:cs="Times New Roman"/>
          <w:lang w:val="fr-CA"/>
        </w:rPr>
        <w:t xml:space="preserve">et </w:t>
      </w:r>
      <w:r>
        <w:rPr>
          <w:rFonts w:cs="Times New Roman"/>
          <w:lang w:val="fr-CA"/>
        </w:rPr>
        <w:t xml:space="preserve">la </w:t>
      </w:r>
      <w:r w:rsidRPr="0001174C">
        <w:rPr>
          <w:rFonts w:cs="Times New Roman"/>
          <w:lang w:val="fr-CA"/>
        </w:rPr>
        <w:t xml:space="preserve">preuve et </w:t>
      </w:r>
      <w:r>
        <w:rPr>
          <w:rFonts w:cs="Times New Roman"/>
          <w:lang w:val="fr-CA"/>
        </w:rPr>
        <w:t xml:space="preserve">a opiné </w:t>
      </w:r>
      <w:r w:rsidRPr="0001174C">
        <w:rPr>
          <w:rFonts w:cs="Times New Roman"/>
          <w:lang w:val="fr-CA"/>
        </w:rPr>
        <w:t>que le lien causal n</w:t>
      </w:r>
      <w:r>
        <w:rPr>
          <w:rFonts w:cs="Times New Roman"/>
          <w:lang w:val="fr-CA"/>
        </w:rPr>
        <w:t>’es</w:t>
      </w:r>
      <w:r w:rsidRPr="0001174C">
        <w:rPr>
          <w:rFonts w:cs="Times New Roman"/>
          <w:lang w:val="fr-CA"/>
        </w:rPr>
        <w:t xml:space="preserve">t pas </w:t>
      </w:r>
      <w:r w:rsidR="00203E16">
        <w:rPr>
          <w:rFonts w:cs="Times New Roman"/>
          <w:lang w:val="fr-CA"/>
        </w:rPr>
        <w:t>« </w:t>
      </w:r>
      <w:r w:rsidRPr="0001174C">
        <w:rPr>
          <w:rFonts w:cs="Times New Roman"/>
          <w:lang w:val="fr-CA"/>
        </w:rPr>
        <w:t>la seule pierre angulaire</w:t>
      </w:r>
      <w:r w:rsidR="00203E16">
        <w:rPr>
          <w:rFonts w:cs="Times New Roman"/>
          <w:lang w:val="fr-CA"/>
        </w:rPr>
        <w:t> »</w:t>
      </w:r>
      <w:r w:rsidRPr="0001174C">
        <w:rPr>
          <w:rFonts w:cs="Times New Roman"/>
          <w:lang w:val="fr-CA"/>
        </w:rPr>
        <w:t xml:space="preserve"> de l</w:t>
      </w:r>
      <w:r>
        <w:rPr>
          <w:rFonts w:cs="Times New Roman"/>
          <w:lang w:val="fr-CA"/>
        </w:rPr>
        <w:t>’</w:t>
      </w:r>
      <w:r w:rsidRPr="0001174C">
        <w:rPr>
          <w:rFonts w:cs="Times New Roman"/>
          <w:lang w:val="fr-CA"/>
        </w:rPr>
        <w:t>analyse (</w:t>
      </w:r>
      <w:r>
        <w:rPr>
          <w:rFonts w:cs="Times New Roman"/>
          <w:lang w:val="fr-CA"/>
        </w:rPr>
        <w:t>par.</w:t>
      </w:r>
      <w:r w:rsidR="00203E16">
        <w:rPr>
          <w:rFonts w:cs="Times New Roman"/>
          <w:lang w:val="fr-CA"/>
        </w:rPr>
        <w:t xml:space="preserve"> </w:t>
      </w:r>
      <w:r w:rsidRPr="0001174C">
        <w:rPr>
          <w:rFonts w:cs="Times New Roman"/>
          <w:lang w:val="fr-CA"/>
        </w:rPr>
        <w:t xml:space="preserve">182). </w:t>
      </w:r>
      <w:r>
        <w:rPr>
          <w:rFonts w:cs="Times New Roman"/>
          <w:lang w:val="fr-CA"/>
        </w:rPr>
        <w:t>Il</w:t>
      </w:r>
      <w:r w:rsidRPr="0001174C">
        <w:rPr>
          <w:rFonts w:cs="Times New Roman"/>
          <w:lang w:val="fr-CA"/>
        </w:rPr>
        <w:t xml:space="preserve"> </w:t>
      </w:r>
      <w:r>
        <w:rPr>
          <w:rFonts w:cs="Times New Roman"/>
          <w:lang w:val="fr-CA"/>
        </w:rPr>
        <w:t xml:space="preserve">a </w:t>
      </w:r>
      <w:r w:rsidRPr="0001174C">
        <w:rPr>
          <w:rFonts w:cs="Times New Roman"/>
          <w:lang w:val="fr-CA"/>
        </w:rPr>
        <w:t>reconn</w:t>
      </w:r>
      <w:r>
        <w:rPr>
          <w:rFonts w:cs="Times New Roman"/>
          <w:lang w:val="fr-CA"/>
        </w:rPr>
        <w:t>u l’existence d’</w:t>
      </w:r>
      <w:r w:rsidRPr="0001174C">
        <w:rPr>
          <w:rFonts w:cs="Times New Roman"/>
          <w:lang w:val="fr-CA"/>
        </w:rPr>
        <w:t xml:space="preserve">un </w:t>
      </w:r>
      <w:r w:rsidRPr="00D135CA">
        <w:rPr>
          <w:rFonts w:cs="Times New Roman"/>
          <w:lang w:val="fr-CA"/>
        </w:rPr>
        <w:t>lien</w:t>
      </w:r>
      <w:r w:rsidRPr="008D41E0">
        <w:rPr>
          <w:rFonts w:cs="Times New Roman"/>
          <w:lang w:val="fr-CA"/>
        </w:rPr>
        <w:t xml:space="preserve"> </w:t>
      </w:r>
      <w:r w:rsidRPr="0001174C">
        <w:rPr>
          <w:rFonts w:cs="Times New Roman"/>
          <w:lang w:val="fr-CA"/>
        </w:rPr>
        <w:t xml:space="preserve">temporel entre </w:t>
      </w:r>
      <w:r>
        <w:rPr>
          <w:rFonts w:cs="Times New Roman"/>
          <w:lang w:val="fr-CA"/>
        </w:rPr>
        <w:t xml:space="preserve">l’atteinte au droit garanti par </w:t>
      </w:r>
      <w:r w:rsidRPr="0001174C">
        <w:rPr>
          <w:rFonts w:cs="Times New Roman"/>
          <w:lang w:val="fr-CA"/>
        </w:rPr>
        <w:t>l</w:t>
      </w:r>
      <w:r>
        <w:rPr>
          <w:rFonts w:cs="Times New Roman"/>
          <w:lang w:val="fr-CA"/>
        </w:rPr>
        <w:t>’art.</w:t>
      </w:r>
      <w:r w:rsidR="00203E16">
        <w:rPr>
          <w:rFonts w:cs="Times New Roman"/>
          <w:lang w:val="fr-CA"/>
        </w:rPr>
        <w:t xml:space="preserve"> </w:t>
      </w:r>
      <w:r w:rsidRPr="0001174C">
        <w:rPr>
          <w:rFonts w:cs="Times New Roman"/>
          <w:lang w:val="fr-CA"/>
        </w:rPr>
        <w:t xml:space="preserve">8 et les déclarations </w:t>
      </w:r>
      <w:r>
        <w:rPr>
          <w:rFonts w:cs="Times New Roman"/>
          <w:lang w:val="fr-CA"/>
        </w:rPr>
        <w:t xml:space="preserve">de </w:t>
      </w:r>
      <w:r w:rsidRPr="0001174C">
        <w:rPr>
          <w:rFonts w:cs="Times New Roman"/>
          <w:lang w:val="fr-CA"/>
        </w:rPr>
        <w:t>l</w:t>
      </w:r>
      <w:r>
        <w:rPr>
          <w:rFonts w:cs="Times New Roman"/>
          <w:lang w:val="fr-CA"/>
        </w:rPr>
        <w:t>’</w:t>
      </w:r>
      <w:r w:rsidRPr="0001174C">
        <w:rPr>
          <w:rFonts w:cs="Times New Roman"/>
          <w:lang w:val="fr-CA"/>
        </w:rPr>
        <w:t xml:space="preserve">appelant aux agents </w:t>
      </w:r>
      <w:r>
        <w:rPr>
          <w:rFonts w:cs="Times New Roman"/>
          <w:lang w:val="fr-CA"/>
        </w:rPr>
        <w:t>banalisés</w:t>
      </w:r>
      <w:r w:rsidRPr="0001174C">
        <w:rPr>
          <w:rFonts w:cs="Times New Roman"/>
          <w:lang w:val="fr-CA"/>
        </w:rPr>
        <w:t xml:space="preserve">. Il </w:t>
      </w:r>
      <w:r>
        <w:rPr>
          <w:rFonts w:cs="Times New Roman"/>
          <w:lang w:val="fr-CA"/>
        </w:rPr>
        <w:t xml:space="preserve">a </w:t>
      </w:r>
      <w:r w:rsidRPr="0001174C">
        <w:rPr>
          <w:rFonts w:cs="Times New Roman"/>
          <w:lang w:val="fr-CA"/>
        </w:rPr>
        <w:t>ensuite examin</w:t>
      </w:r>
      <w:r>
        <w:rPr>
          <w:rFonts w:cs="Times New Roman"/>
          <w:lang w:val="fr-CA"/>
        </w:rPr>
        <w:t>é</w:t>
      </w:r>
      <w:r w:rsidRPr="0001174C">
        <w:rPr>
          <w:rFonts w:cs="Times New Roman"/>
          <w:lang w:val="fr-CA"/>
        </w:rPr>
        <w:t xml:space="preserve"> le lien causal entre l</w:t>
      </w:r>
      <w:r>
        <w:rPr>
          <w:rFonts w:cs="Times New Roman"/>
          <w:lang w:val="fr-CA"/>
        </w:rPr>
        <w:t>’</w:t>
      </w:r>
      <w:r w:rsidRPr="0001174C">
        <w:rPr>
          <w:rFonts w:cs="Times New Roman"/>
          <w:lang w:val="fr-CA"/>
        </w:rPr>
        <w:t>autorisation d</w:t>
      </w:r>
      <w:r>
        <w:rPr>
          <w:rFonts w:cs="Times New Roman"/>
          <w:lang w:val="fr-CA"/>
        </w:rPr>
        <w:t>’</w:t>
      </w:r>
      <w:r w:rsidRPr="0001174C">
        <w:rPr>
          <w:rFonts w:cs="Times New Roman"/>
          <w:lang w:val="fr-CA"/>
        </w:rPr>
        <w:t xml:space="preserve">écoute électronique et les déclarations </w:t>
      </w:r>
      <w:r>
        <w:rPr>
          <w:rFonts w:cs="Times New Roman"/>
          <w:lang w:val="fr-CA"/>
        </w:rPr>
        <w:t xml:space="preserve">pour </w:t>
      </w:r>
      <w:r w:rsidRPr="0001174C">
        <w:rPr>
          <w:rFonts w:cs="Times New Roman"/>
          <w:lang w:val="fr-CA"/>
        </w:rPr>
        <w:t>conclu</w:t>
      </w:r>
      <w:r>
        <w:rPr>
          <w:rFonts w:cs="Times New Roman"/>
          <w:lang w:val="fr-CA"/>
        </w:rPr>
        <w:t>re</w:t>
      </w:r>
      <w:r w:rsidRPr="0001174C">
        <w:rPr>
          <w:rFonts w:cs="Times New Roman"/>
          <w:lang w:val="fr-CA"/>
        </w:rPr>
        <w:t xml:space="preserve"> que </w:t>
      </w:r>
      <w:r w:rsidR="00203E16">
        <w:rPr>
          <w:rFonts w:cs="Times New Roman"/>
          <w:lang w:val="fr-CA"/>
        </w:rPr>
        <w:t>« </w:t>
      </w:r>
      <w:r w:rsidRPr="0001174C">
        <w:rPr>
          <w:rFonts w:cs="Times New Roman"/>
          <w:lang w:val="fr-CA"/>
        </w:rPr>
        <w:t xml:space="preserve">ce lien est </w:t>
      </w:r>
      <w:r>
        <w:rPr>
          <w:rFonts w:cs="Times New Roman"/>
          <w:lang w:val="fr-CA"/>
        </w:rPr>
        <w:t xml:space="preserve">si </w:t>
      </w:r>
      <w:r w:rsidRPr="0001174C">
        <w:rPr>
          <w:rFonts w:cs="Times New Roman"/>
          <w:lang w:val="fr-CA"/>
        </w:rPr>
        <w:t>ténu qu</w:t>
      </w:r>
      <w:r>
        <w:rPr>
          <w:rFonts w:cs="Times New Roman"/>
          <w:lang w:val="fr-CA"/>
        </w:rPr>
        <w:t xml:space="preserve">’il est </w:t>
      </w:r>
      <w:r w:rsidRPr="0001174C">
        <w:rPr>
          <w:rFonts w:cs="Times New Roman"/>
          <w:lang w:val="fr-CA"/>
        </w:rPr>
        <w:t>négligeable</w:t>
      </w:r>
      <w:r w:rsidR="00203E16">
        <w:rPr>
          <w:rFonts w:cs="Times New Roman"/>
          <w:lang w:val="fr-CA"/>
        </w:rPr>
        <w:t> »</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 xml:space="preserve">185). </w:t>
      </w:r>
      <w:r>
        <w:rPr>
          <w:rFonts w:cs="Times New Roman"/>
          <w:lang w:val="fr-CA"/>
        </w:rPr>
        <w:t xml:space="preserve">Considérés ensemble, </w:t>
      </w:r>
      <w:r w:rsidRPr="0001174C">
        <w:rPr>
          <w:rFonts w:cs="Times New Roman"/>
          <w:lang w:val="fr-CA"/>
        </w:rPr>
        <w:t>le lien temporel et le lien causal</w:t>
      </w:r>
      <w:r>
        <w:rPr>
          <w:rFonts w:cs="Times New Roman"/>
          <w:lang w:val="fr-CA"/>
        </w:rPr>
        <w:t xml:space="preserve"> ont amené </w:t>
      </w:r>
      <w:r w:rsidRPr="0001174C">
        <w:rPr>
          <w:rFonts w:cs="Times New Roman"/>
          <w:lang w:val="fr-CA"/>
        </w:rPr>
        <w:t xml:space="preserve">le juge du procès </w:t>
      </w:r>
      <w:r>
        <w:rPr>
          <w:rFonts w:cs="Times New Roman"/>
          <w:lang w:val="fr-CA"/>
        </w:rPr>
        <w:t xml:space="preserve">à opiner </w:t>
      </w:r>
      <w:r w:rsidRPr="0001174C">
        <w:rPr>
          <w:rFonts w:cs="Times New Roman"/>
          <w:lang w:val="fr-CA"/>
        </w:rPr>
        <w:t>que les déclarations n</w:t>
      </w:r>
      <w:r>
        <w:rPr>
          <w:rFonts w:cs="Times New Roman"/>
          <w:lang w:val="fr-CA"/>
        </w:rPr>
        <w:t xml:space="preserve">’avaient </w:t>
      </w:r>
      <w:r w:rsidRPr="0001174C">
        <w:rPr>
          <w:rFonts w:cs="Times New Roman"/>
          <w:lang w:val="fr-CA"/>
        </w:rPr>
        <w:t>pas été obtenues dans des conditions qui port</w:t>
      </w:r>
      <w:r>
        <w:rPr>
          <w:rFonts w:cs="Times New Roman"/>
          <w:lang w:val="fr-CA"/>
        </w:rPr>
        <w:t>ai</w:t>
      </w:r>
      <w:r w:rsidRPr="0001174C">
        <w:rPr>
          <w:rFonts w:cs="Times New Roman"/>
          <w:lang w:val="fr-CA"/>
        </w:rPr>
        <w:t xml:space="preserve">ent atteinte </w:t>
      </w:r>
      <w:r>
        <w:rPr>
          <w:rFonts w:cs="Times New Roman"/>
          <w:lang w:val="fr-CA"/>
        </w:rPr>
        <w:t xml:space="preserve">aux droits garantis par </w:t>
      </w:r>
      <w:r w:rsidRPr="0001174C">
        <w:rPr>
          <w:rFonts w:cs="Times New Roman"/>
          <w:lang w:val="fr-CA"/>
        </w:rPr>
        <w:t xml:space="preserve">la </w:t>
      </w:r>
      <w:r w:rsidRPr="0001174C">
        <w:rPr>
          <w:rFonts w:cs="Times New Roman"/>
          <w:i/>
          <w:lang w:val="fr-CA"/>
        </w:rPr>
        <w:t>Charte</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Certes, l</w:t>
      </w:r>
      <w:r>
        <w:rPr>
          <w:rFonts w:cs="Times New Roman"/>
          <w:lang w:val="fr-CA"/>
        </w:rPr>
        <w:t>’</w:t>
      </w:r>
      <w:r w:rsidRPr="0001174C">
        <w:rPr>
          <w:rFonts w:cs="Times New Roman"/>
          <w:lang w:val="fr-CA"/>
        </w:rPr>
        <w:t>absence de lien causal jou</w:t>
      </w:r>
      <w:r>
        <w:rPr>
          <w:rFonts w:cs="Times New Roman"/>
          <w:lang w:val="fr-CA"/>
        </w:rPr>
        <w:t>e</w:t>
      </w:r>
      <w:r w:rsidRPr="0001174C">
        <w:rPr>
          <w:rFonts w:cs="Times New Roman"/>
          <w:lang w:val="fr-CA"/>
        </w:rPr>
        <w:t xml:space="preserve"> un rôle important dans </w:t>
      </w:r>
      <w:r>
        <w:rPr>
          <w:rFonts w:cs="Times New Roman"/>
          <w:lang w:val="fr-CA"/>
        </w:rPr>
        <w:t xml:space="preserve">son </w:t>
      </w:r>
      <w:r w:rsidRPr="0001174C">
        <w:rPr>
          <w:rFonts w:cs="Times New Roman"/>
          <w:lang w:val="fr-CA"/>
        </w:rPr>
        <w:t xml:space="preserve">analyse, mais </w:t>
      </w:r>
      <w:r>
        <w:rPr>
          <w:rFonts w:cs="Times New Roman"/>
          <w:lang w:val="fr-CA"/>
        </w:rPr>
        <w:t>le bien</w:t>
      </w:r>
      <w:r w:rsidR="00203E16">
        <w:rPr>
          <w:rFonts w:cs="Times New Roman"/>
          <w:lang w:val="fr-CA"/>
        </w:rPr>
        <w:t>-</w:t>
      </w:r>
      <w:r>
        <w:rPr>
          <w:rFonts w:cs="Times New Roman"/>
          <w:lang w:val="fr-CA"/>
        </w:rPr>
        <w:t xml:space="preserve">fondé de </w:t>
      </w:r>
      <w:r w:rsidRPr="0001174C">
        <w:rPr>
          <w:rFonts w:cs="Times New Roman"/>
          <w:lang w:val="fr-CA"/>
        </w:rPr>
        <w:t>la thèse de l</w:t>
      </w:r>
      <w:r>
        <w:rPr>
          <w:rFonts w:cs="Times New Roman"/>
          <w:lang w:val="fr-CA"/>
        </w:rPr>
        <w:t>’</w:t>
      </w:r>
      <w:r w:rsidRPr="0001174C">
        <w:rPr>
          <w:rFonts w:cs="Times New Roman"/>
          <w:lang w:val="fr-CA"/>
        </w:rPr>
        <w:t>appelant</w:t>
      </w:r>
      <w:r>
        <w:rPr>
          <w:rFonts w:cs="Times New Roman"/>
          <w:lang w:val="fr-CA"/>
        </w:rPr>
        <w:t xml:space="preserve"> n’est pas pour autant établi</w:t>
      </w:r>
      <w:r w:rsidRPr="0001174C">
        <w:rPr>
          <w:rFonts w:cs="Times New Roman"/>
          <w:lang w:val="fr-CA"/>
        </w:rPr>
        <w:t xml:space="preserve">. </w:t>
      </w:r>
      <w:r>
        <w:rPr>
          <w:rFonts w:cs="Times New Roman"/>
          <w:lang w:val="fr-CA"/>
        </w:rPr>
        <w:t>L’</w:t>
      </w:r>
      <w:r w:rsidRPr="0001174C">
        <w:rPr>
          <w:rFonts w:cs="Times New Roman"/>
          <w:lang w:val="fr-CA"/>
        </w:rPr>
        <w:t>existence d</w:t>
      </w:r>
      <w:r>
        <w:rPr>
          <w:rFonts w:cs="Times New Roman"/>
          <w:lang w:val="fr-CA"/>
        </w:rPr>
        <w:t>’</w:t>
      </w:r>
      <w:r w:rsidRPr="0001174C">
        <w:rPr>
          <w:rFonts w:cs="Times New Roman"/>
          <w:lang w:val="fr-CA"/>
        </w:rPr>
        <w:t>un lien causal</w:t>
      </w:r>
      <w:r>
        <w:rPr>
          <w:rFonts w:cs="Times New Roman"/>
          <w:lang w:val="fr-CA"/>
        </w:rPr>
        <w:t xml:space="preserve"> </w:t>
      </w:r>
      <w:r w:rsidRPr="0001174C">
        <w:rPr>
          <w:rFonts w:cs="Times New Roman"/>
          <w:lang w:val="fr-CA"/>
        </w:rPr>
        <w:t>n</w:t>
      </w:r>
      <w:r>
        <w:rPr>
          <w:rFonts w:cs="Times New Roman"/>
          <w:lang w:val="fr-CA"/>
        </w:rPr>
        <w:t>’</w:t>
      </w:r>
      <w:r w:rsidRPr="0001174C">
        <w:rPr>
          <w:rFonts w:cs="Times New Roman"/>
          <w:lang w:val="fr-CA"/>
        </w:rPr>
        <w:t xml:space="preserve">est pas nécessaire </w:t>
      </w:r>
      <w:r>
        <w:rPr>
          <w:rFonts w:cs="Times New Roman"/>
          <w:lang w:val="fr-CA"/>
        </w:rPr>
        <w:t>pour conclure</w:t>
      </w:r>
      <w:r w:rsidRPr="0001174C">
        <w:rPr>
          <w:rFonts w:cs="Times New Roman"/>
          <w:lang w:val="fr-CA"/>
        </w:rPr>
        <w:t xml:space="preserve"> que la preuve a été obtenue dans des conditions qui </w:t>
      </w:r>
      <w:r>
        <w:rPr>
          <w:rFonts w:cs="Times New Roman"/>
          <w:lang w:val="fr-CA"/>
        </w:rPr>
        <w:t xml:space="preserve">portaient atteinte aux droits garantis par </w:t>
      </w:r>
      <w:r w:rsidRPr="0001174C">
        <w:rPr>
          <w:rFonts w:cs="Times New Roman"/>
          <w:lang w:val="fr-CA"/>
        </w:rPr>
        <w:t xml:space="preserve">la </w:t>
      </w:r>
      <w:r w:rsidRPr="0001174C">
        <w:rPr>
          <w:rFonts w:cs="Times New Roman"/>
          <w:i/>
          <w:lang w:val="fr-CA"/>
        </w:rPr>
        <w:t>Charte</w:t>
      </w:r>
      <w:r w:rsidRPr="0001174C">
        <w:rPr>
          <w:rFonts w:cs="Times New Roman"/>
          <w:lang w:val="fr-CA"/>
        </w:rPr>
        <w:t>, mais la nature et l</w:t>
      </w:r>
      <w:r>
        <w:rPr>
          <w:rFonts w:cs="Times New Roman"/>
          <w:lang w:val="fr-CA"/>
        </w:rPr>
        <w:t>’</w:t>
      </w:r>
      <w:r w:rsidRPr="0001174C">
        <w:rPr>
          <w:rFonts w:cs="Times New Roman"/>
          <w:lang w:val="fr-CA"/>
        </w:rPr>
        <w:t>importance d</w:t>
      </w:r>
      <w:r>
        <w:rPr>
          <w:rFonts w:cs="Times New Roman"/>
          <w:lang w:val="fr-CA"/>
        </w:rPr>
        <w:t>u</w:t>
      </w:r>
      <w:r w:rsidRPr="0001174C">
        <w:rPr>
          <w:rFonts w:cs="Times New Roman"/>
          <w:lang w:val="fr-CA"/>
        </w:rPr>
        <w:t xml:space="preserve"> lien causal demeure</w:t>
      </w:r>
      <w:r>
        <w:rPr>
          <w:rFonts w:cs="Times New Roman"/>
          <w:lang w:val="fr-CA"/>
        </w:rPr>
        <w:t>nt</w:t>
      </w:r>
      <w:r w:rsidRPr="0001174C">
        <w:rPr>
          <w:rFonts w:cs="Times New Roman"/>
          <w:lang w:val="fr-CA"/>
        </w:rPr>
        <w:t xml:space="preserve"> </w:t>
      </w:r>
      <w:r>
        <w:rPr>
          <w:rFonts w:cs="Times New Roman"/>
          <w:lang w:val="fr-CA"/>
        </w:rPr>
        <w:t xml:space="preserve">des </w:t>
      </w:r>
      <w:r w:rsidRPr="0001174C">
        <w:rPr>
          <w:rFonts w:cs="Times New Roman"/>
          <w:lang w:val="fr-CA"/>
        </w:rPr>
        <w:t>facteur</w:t>
      </w:r>
      <w:r>
        <w:rPr>
          <w:rFonts w:cs="Times New Roman"/>
          <w:lang w:val="fr-CA"/>
        </w:rPr>
        <w:t>s</w:t>
      </w:r>
      <w:r w:rsidRPr="0001174C">
        <w:rPr>
          <w:rFonts w:cs="Times New Roman"/>
          <w:lang w:val="fr-CA"/>
        </w:rPr>
        <w:t xml:space="preserve"> important</w:t>
      </w:r>
      <w:r>
        <w:rPr>
          <w:rFonts w:cs="Times New Roman"/>
          <w:lang w:val="fr-CA"/>
        </w:rPr>
        <w:t>s</w:t>
      </w:r>
      <w:r w:rsidRPr="0001174C">
        <w:rPr>
          <w:rFonts w:cs="Times New Roman"/>
          <w:lang w:val="fr-CA"/>
        </w:rPr>
        <w:t xml:space="preserve"> dont </w:t>
      </w:r>
      <w:r>
        <w:rPr>
          <w:rFonts w:cs="Times New Roman"/>
          <w:lang w:val="fr-CA"/>
        </w:rPr>
        <w:t xml:space="preserve">il faut </w:t>
      </w:r>
      <w:r w:rsidRPr="0001174C">
        <w:rPr>
          <w:rFonts w:cs="Times New Roman"/>
          <w:lang w:val="fr-CA"/>
        </w:rPr>
        <w:t xml:space="preserve">tenir </w:t>
      </w:r>
      <w:r w:rsidRPr="0001174C">
        <w:rPr>
          <w:rFonts w:cs="Times New Roman"/>
          <w:lang w:val="fr-CA"/>
        </w:rPr>
        <w:lastRenderedPageBreak/>
        <w:t xml:space="preserve">compte. </w:t>
      </w:r>
      <w:r>
        <w:rPr>
          <w:rFonts w:cs="Times New Roman"/>
          <w:lang w:val="fr-CA"/>
        </w:rPr>
        <w:t xml:space="preserve">Selon </w:t>
      </w:r>
      <w:r w:rsidRPr="0001174C">
        <w:rPr>
          <w:rFonts w:cs="Times New Roman"/>
          <w:lang w:val="fr-CA"/>
        </w:rPr>
        <w:t>le juge d</w:t>
      </w:r>
      <w:r>
        <w:rPr>
          <w:rFonts w:cs="Times New Roman"/>
          <w:lang w:val="fr-CA"/>
        </w:rPr>
        <w:t>u</w:t>
      </w:r>
      <w:r w:rsidRPr="0001174C">
        <w:rPr>
          <w:rFonts w:cs="Times New Roman"/>
          <w:lang w:val="fr-CA"/>
        </w:rPr>
        <w:t xml:space="preserve"> </w:t>
      </w:r>
      <w:r>
        <w:rPr>
          <w:rFonts w:cs="Times New Roman"/>
          <w:lang w:val="fr-CA"/>
        </w:rPr>
        <w:t>procès</w:t>
      </w:r>
      <w:r w:rsidRPr="0001174C">
        <w:rPr>
          <w:rFonts w:cs="Times New Roman"/>
          <w:lang w:val="fr-CA"/>
        </w:rPr>
        <w:t xml:space="preserve">, le </w:t>
      </w:r>
      <w:r>
        <w:rPr>
          <w:rFonts w:cs="Times New Roman"/>
          <w:lang w:val="fr-CA"/>
        </w:rPr>
        <w:t xml:space="preserve">caractère ténu du </w:t>
      </w:r>
      <w:r w:rsidRPr="0001174C">
        <w:rPr>
          <w:rFonts w:cs="Times New Roman"/>
          <w:lang w:val="fr-CA"/>
        </w:rPr>
        <w:t xml:space="preserve">lien causal </w:t>
      </w:r>
      <w:r>
        <w:rPr>
          <w:rFonts w:cs="Times New Roman"/>
          <w:lang w:val="fr-CA"/>
        </w:rPr>
        <w:t>relevé affaibli</w:t>
      </w:r>
      <w:r w:rsidRPr="0001174C">
        <w:rPr>
          <w:rFonts w:cs="Times New Roman"/>
          <w:lang w:val="fr-CA"/>
        </w:rPr>
        <w:t>t l</w:t>
      </w:r>
      <w:r>
        <w:rPr>
          <w:rFonts w:cs="Times New Roman"/>
          <w:lang w:val="fr-CA"/>
        </w:rPr>
        <w:t>’</w:t>
      </w:r>
      <w:r w:rsidRPr="0001174C">
        <w:rPr>
          <w:rFonts w:cs="Times New Roman"/>
          <w:lang w:val="fr-CA"/>
        </w:rPr>
        <w:t xml:space="preserve">importance du lien temporel. Il lui était loisible de tirer cette conclusion et je ne vois aucune raison de la </w:t>
      </w:r>
      <w:r>
        <w:rPr>
          <w:rFonts w:cs="Times New Roman"/>
          <w:lang w:val="fr-CA"/>
        </w:rPr>
        <w:t>modifier</w:t>
      </w:r>
      <w:r w:rsidRPr="0001174C">
        <w:rPr>
          <w:rFonts w:cs="Times New Roman"/>
          <w:lang w:val="fr-CA"/>
        </w:rPr>
        <w:t>.</w:t>
      </w:r>
    </w:p>
    <w:p w:rsidR="00AF2876" w:rsidRPr="0001174C" w:rsidRDefault="00AF2876" w:rsidP="00AF2876">
      <w:pPr>
        <w:pStyle w:val="Title2LevelTitre2Niveau"/>
        <w:ind w:left="576" w:hanging="576"/>
        <w:rPr>
          <w:rFonts w:cs="Times New Roman"/>
          <w:lang w:val="fr-CA"/>
        </w:rPr>
      </w:pPr>
      <w:r w:rsidRPr="0001174C">
        <w:rPr>
          <w:rFonts w:cs="Times New Roman"/>
          <w:lang w:val="fr-CA"/>
        </w:rPr>
        <w:t>Le juge du procès a</w:t>
      </w:r>
      <w:r w:rsidR="00203E16">
        <w:rPr>
          <w:rFonts w:cs="Times New Roman"/>
          <w:i w:val="0"/>
          <w:lang w:val="fr-CA"/>
        </w:rPr>
        <w:t>-</w:t>
      </w:r>
      <w:r w:rsidRPr="0001174C">
        <w:rPr>
          <w:rFonts w:cs="Times New Roman"/>
          <w:lang w:val="fr-CA"/>
        </w:rPr>
        <w:t>t</w:t>
      </w:r>
      <w:r w:rsidR="00203E16">
        <w:rPr>
          <w:rFonts w:cs="Times New Roman"/>
          <w:i w:val="0"/>
          <w:lang w:val="fr-CA"/>
        </w:rPr>
        <w:t>-</w:t>
      </w:r>
      <w:r w:rsidRPr="0001174C">
        <w:rPr>
          <w:rFonts w:cs="Times New Roman"/>
          <w:lang w:val="fr-CA"/>
        </w:rPr>
        <w:t xml:space="preserve">il </w:t>
      </w:r>
      <w:r>
        <w:rPr>
          <w:rFonts w:cs="Times New Roman"/>
          <w:lang w:val="fr-CA"/>
        </w:rPr>
        <w:t>donné</w:t>
      </w:r>
      <w:r w:rsidRPr="0001174C">
        <w:rPr>
          <w:rFonts w:cs="Times New Roman"/>
          <w:lang w:val="fr-CA"/>
        </w:rPr>
        <w:t xml:space="preserve"> au jury </w:t>
      </w:r>
      <w:r>
        <w:rPr>
          <w:rFonts w:cs="Times New Roman"/>
          <w:lang w:val="fr-CA"/>
        </w:rPr>
        <w:t>d</w:t>
      </w:r>
      <w:r w:rsidRPr="0001174C">
        <w:rPr>
          <w:rFonts w:cs="Times New Roman"/>
          <w:lang w:val="fr-CA"/>
        </w:rPr>
        <w:t xml:space="preserve">es directives </w:t>
      </w:r>
      <w:r>
        <w:rPr>
          <w:rFonts w:cs="Times New Roman"/>
          <w:lang w:val="fr-CA"/>
        </w:rPr>
        <w:t>erronées sur les</w:t>
      </w:r>
      <w:r w:rsidRPr="0001174C">
        <w:rPr>
          <w:rFonts w:cs="Times New Roman"/>
          <w:lang w:val="fr-CA"/>
        </w:rPr>
        <w:t xml:space="preserve"> aveux </w:t>
      </w:r>
      <w:r>
        <w:rPr>
          <w:rFonts w:cs="Times New Roman"/>
          <w:lang w:val="fr-CA"/>
        </w:rPr>
        <w:t>issus</w:t>
      </w:r>
      <w:r w:rsidRPr="0001174C">
        <w:rPr>
          <w:rFonts w:cs="Times New Roman"/>
          <w:lang w:val="fr-CA"/>
        </w:rPr>
        <w:t xml:space="preserve"> </w:t>
      </w:r>
      <w:r>
        <w:rPr>
          <w:rFonts w:cs="Times New Roman"/>
          <w:lang w:val="fr-CA"/>
        </w:rPr>
        <w:t>d</w:t>
      </w:r>
      <w:r w:rsidRPr="0001174C">
        <w:rPr>
          <w:rFonts w:cs="Times New Roman"/>
          <w:lang w:val="fr-CA"/>
        </w:rPr>
        <w:t>e l</w:t>
      </w:r>
      <w:r>
        <w:rPr>
          <w:rFonts w:cs="Times New Roman"/>
          <w:lang w:val="fr-CA"/>
        </w:rPr>
        <w:t>’</w:t>
      </w:r>
      <w:r w:rsidRPr="0001174C">
        <w:rPr>
          <w:rFonts w:cs="Times New Roman"/>
          <w:lang w:val="fr-CA"/>
        </w:rPr>
        <w:t xml:space="preserve">opération </w:t>
      </w:r>
      <w:r>
        <w:rPr>
          <w:rFonts w:cs="Times New Roman"/>
          <w:lang w:val="fr-CA"/>
        </w:rPr>
        <w:t>Monsieur Big</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Dans l</w:t>
      </w:r>
      <w:r>
        <w:rPr>
          <w:rFonts w:cs="Times New Roman"/>
          <w:lang w:val="fr-CA"/>
        </w:rPr>
        <w:t>’</w:t>
      </w:r>
      <w:r w:rsidRPr="0001174C">
        <w:rPr>
          <w:rFonts w:cs="Times New Roman"/>
          <w:lang w:val="fr-CA"/>
        </w:rPr>
        <w:t xml:space="preserve">arrêt </w:t>
      </w:r>
      <w:r w:rsidRPr="0001174C">
        <w:rPr>
          <w:rFonts w:cs="Times New Roman"/>
          <w:i/>
          <w:lang w:val="fr-CA"/>
        </w:rPr>
        <w:t>Hart</w:t>
      </w:r>
      <w:r w:rsidRPr="0001174C">
        <w:rPr>
          <w:rFonts w:cs="Times New Roman"/>
          <w:lang w:val="fr-CA"/>
        </w:rPr>
        <w:t>, notre Cour fait état de deux problèmes que soulèvent, sur le plan de la preuve, les aveux obtenus dans le cadre d</w:t>
      </w:r>
      <w:r>
        <w:rPr>
          <w:rFonts w:cs="Times New Roman"/>
          <w:lang w:val="fr-CA"/>
        </w:rPr>
        <w:t>’</w:t>
      </w:r>
      <w:r w:rsidRPr="0001174C">
        <w:rPr>
          <w:rFonts w:cs="Times New Roman"/>
          <w:lang w:val="fr-CA"/>
        </w:rPr>
        <w:t xml:space="preserve">une opération </w:t>
      </w:r>
      <w:r>
        <w:rPr>
          <w:rFonts w:cs="Times New Roman"/>
          <w:lang w:val="fr-CA"/>
        </w:rPr>
        <w:t>Monsieur Big</w:t>
      </w:r>
      <w:r w:rsidRPr="0001174C">
        <w:rPr>
          <w:rFonts w:cs="Times New Roman"/>
          <w:lang w:val="fr-CA"/>
        </w:rPr>
        <w:t xml:space="preserve">. Le </w:t>
      </w:r>
      <w:r>
        <w:rPr>
          <w:rFonts w:cs="Times New Roman"/>
          <w:lang w:val="fr-CA"/>
        </w:rPr>
        <w:t>premier</w:t>
      </w:r>
      <w:r w:rsidRPr="0001174C">
        <w:rPr>
          <w:rFonts w:cs="Times New Roman"/>
          <w:lang w:val="fr-CA"/>
        </w:rPr>
        <w:t xml:space="preserve"> </w:t>
      </w:r>
      <w:r>
        <w:rPr>
          <w:rFonts w:cs="Times New Roman"/>
          <w:lang w:val="fr-CA"/>
        </w:rPr>
        <w:t>réside dans</w:t>
      </w:r>
      <w:r w:rsidRPr="0001174C">
        <w:rPr>
          <w:rFonts w:cs="Times New Roman"/>
          <w:lang w:val="fr-CA"/>
        </w:rPr>
        <w:t xml:space="preserve"> la </w:t>
      </w:r>
      <w:r>
        <w:rPr>
          <w:rFonts w:cs="Times New Roman"/>
          <w:lang w:val="fr-CA"/>
        </w:rPr>
        <w:t>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w:t>
      </w:r>
      <w:r w:rsidRPr="0001174C">
        <w:rPr>
          <w:rFonts w:cs="Times New Roman"/>
          <w:lang w:val="fr-CA"/>
        </w:rPr>
        <w:t>de</w:t>
      </w:r>
      <w:r>
        <w:rPr>
          <w:rFonts w:cs="Times New Roman"/>
          <w:lang w:val="fr-CA"/>
        </w:rPr>
        <w:t>s</w:t>
      </w:r>
      <w:r w:rsidRPr="0001174C">
        <w:rPr>
          <w:rFonts w:cs="Times New Roman"/>
          <w:lang w:val="fr-CA"/>
        </w:rPr>
        <w:t xml:space="preserve"> aveux. </w:t>
      </w:r>
      <w:r>
        <w:rPr>
          <w:rFonts w:cs="Times New Roman"/>
          <w:lang w:val="fr-CA"/>
        </w:rPr>
        <w:t xml:space="preserve">Une telle </w:t>
      </w:r>
      <w:r w:rsidRPr="0001174C">
        <w:rPr>
          <w:rFonts w:cs="Times New Roman"/>
          <w:lang w:val="fr-CA"/>
        </w:rPr>
        <w:t>opération vise à soutirer des aveux au suspect qui, en raison de gratifications qui lui sont offertes, risque d</w:t>
      </w:r>
      <w:r>
        <w:rPr>
          <w:rFonts w:cs="Times New Roman"/>
          <w:lang w:val="fr-CA"/>
        </w:rPr>
        <w:t xml:space="preserve">’être </w:t>
      </w:r>
      <w:r w:rsidRPr="0001174C">
        <w:rPr>
          <w:rFonts w:cs="Times New Roman"/>
          <w:lang w:val="fr-CA"/>
        </w:rPr>
        <w:t xml:space="preserve">incité à </w:t>
      </w:r>
      <w:r>
        <w:rPr>
          <w:rFonts w:cs="Times New Roman"/>
          <w:lang w:val="fr-CA"/>
        </w:rPr>
        <w:t xml:space="preserve">les </w:t>
      </w:r>
      <w:r w:rsidRPr="0001174C">
        <w:rPr>
          <w:rFonts w:cs="Times New Roman"/>
          <w:lang w:val="fr-CA"/>
        </w:rPr>
        <w:t xml:space="preserve">faire </w:t>
      </w:r>
      <w:r>
        <w:rPr>
          <w:rFonts w:cs="Times New Roman"/>
          <w:lang w:val="fr-CA"/>
        </w:rPr>
        <w:t xml:space="preserve">même s’ils sont faux. Le </w:t>
      </w:r>
      <w:r w:rsidRPr="0001174C">
        <w:rPr>
          <w:rFonts w:cs="Times New Roman"/>
          <w:lang w:val="fr-CA"/>
        </w:rPr>
        <w:t xml:space="preserve">second </w:t>
      </w:r>
      <w:r>
        <w:rPr>
          <w:rFonts w:cs="Times New Roman"/>
          <w:lang w:val="fr-CA"/>
        </w:rPr>
        <w:t>tient à ce que</w:t>
      </w:r>
      <w:r w:rsidRPr="0001174C">
        <w:rPr>
          <w:rFonts w:cs="Times New Roman"/>
          <w:lang w:val="fr-CA"/>
        </w:rPr>
        <w:t xml:space="preserve"> les aveux </w:t>
      </w:r>
      <w:r>
        <w:rPr>
          <w:rFonts w:cs="Times New Roman"/>
          <w:lang w:val="fr-CA"/>
        </w:rPr>
        <w:t xml:space="preserve">issus </w:t>
      </w:r>
      <w:r w:rsidRPr="0001174C">
        <w:rPr>
          <w:rFonts w:cs="Times New Roman"/>
          <w:lang w:val="fr-CA"/>
        </w:rPr>
        <w:t>d</w:t>
      </w:r>
      <w:r>
        <w:rPr>
          <w:rFonts w:cs="Times New Roman"/>
          <w:lang w:val="fr-CA"/>
        </w:rPr>
        <w:t>’</w:t>
      </w:r>
      <w:r w:rsidRPr="0001174C">
        <w:rPr>
          <w:rFonts w:cs="Times New Roman"/>
          <w:lang w:val="fr-CA"/>
        </w:rPr>
        <w:t xml:space="preserve">une </w:t>
      </w:r>
      <w:r>
        <w:rPr>
          <w:rFonts w:cs="Times New Roman"/>
          <w:lang w:val="fr-CA"/>
        </w:rPr>
        <w:t xml:space="preserve">telle </w:t>
      </w:r>
      <w:r w:rsidRPr="0001174C">
        <w:rPr>
          <w:rFonts w:cs="Times New Roman"/>
          <w:lang w:val="fr-CA"/>
        </w:rPr>
        <w:t>opération s</w:t>
      </w:r>
      <w:r>
        <w:rPr>
          <w:rFonts w:cs="Times New Roman"/>
          <w:lang w:val="fr-CA"/>
        </w:rPr>
        <w:t>’</w:t>
      </w:r>
      <w:r w:rsidRPr="0001174C">
        <w:rPr>
          <w:rFonts w:cs="Times New Roman"/>
          <w:lang w:val="fr-CA"/>
        </w:rPr>
        <w:t>accompagnent invariablement d</w:t>
      </w:r>
      <w:r>
        <w:rPr>
          <w:rFonts w:cs="Times New Roman"/>
          <w:lang w:val="fr-CA"/>
        </w:rPr>
        <w:t>’</w:t>
      </w:r>
      <w:r w:rsidRPr="0001174C">
        <w:rPr>
          <w:rFonts w:cs="Times New Roman"/>
          <w:lang w:val="fr-CA"/>
        </w:rPr>
        <w:t xml:space="preserve">une preuve de mauvaise moralité </w:t>
      </w:r>
      <w:r>
        <w:rPr>
          <w:rFonts w:cs="Times New Roman"/>
          <w:lang w:val="fr-CA"/>
        </w:rPr>
        <w:t xml:space="preserve">selon laquelle </w:t>
      </w:r>
      <w:r w:rsidRPr="0001174C">
        <w:rPr>
          <w:rFonts w:cs="Times New Roman"/>
          <w:lang w:val="fr-CA"/>
        </w:rPr>
        <w:t>l</w:t>
      </w:r>
      <w:r>
        <w:rPr>
          <w:rFonts w:cs="Times New Roman"/>
          <w:lang w:val="fr-CA"/>
        </w:rPr>
        <w:t>’</w:t>
      </w:r>
      <w:r w:rsidRPr="0001174C">
        <w:rPr>
          <w:rFonts w:cs="Times New Roman"/>
          <w:lang w:val="fr-CA"/>
        </w:rPr>
        <w:t>accusé s</w:t>
      </w:r>
      <w:r>
        <w:rPr>
          <w:rFonts w:cs="Times New Roman"/>
          <w:lang w:val="fr-CA"/>
        </w:rPr>
        <w:t>’</w:t>
      </w:r>
      <w:r w:rsidRPr="0001174C">
        <w:rPr>
          <w:rFonts w:cs="Times New Roman"/>
          <w:lang w:val="fr-CA"/>
        </w:rPr>
        <w:t xml:space="preserve">est montré </w:t>
      </w:r>
      <w:r>
        <w:rPr>
          <w:rFonts w:cs="Times New Roman"/>
          <w:lang w:val="fr-CA"/>
        </w:rPr>
        <w:t xml:space="preserve">disposé </w:t>
      </w:r>
      <w:r w:rsidRPr="0001174C">
        <w:rPr>
          <w:rFonts w:cs="Times New Roman"/>
          <w:lang w:val="fr-CA"/>
        </w:rPr>
        <w:t xml:space="preserve">à commettre des </w:t>
      </w:r>
      <w:r>
        <w:rPr>
          <w:rFonts w:cs="Times New Roman"/>
          <w:lang w:val="fr-CA"/>
        </w:rPr>
        <w:t>actes criminels afin d’</w:t>
      </w:r>
      <w:r w:rsidRPr="0001174C">
        <w:rPr>
          <w:rFonts w:cs="Times New Roman"/>
          <w:lang w:val="fr-CA"/>
        </w:rPr>
        <w:t>être admis au sein d</w:t>
      </w:r>
      <w:r>
        <w:rPr>
          <w:rFonts w:cs="Times New Roman"/>
          <w:lang w:val="fr-CA"/>
        </w:rPr>
        <w:t>’</w:t>
      </w:r>
      <w:r w:rsidRPr="0001174C">
        <w:rPr>
          <w:rFonts w:cs="Times New Roman"/>
          <w:lang w:val="fr-CA"/>
        </w:rPr>
        <w:t xml:space="preserve">une organisation criminelle (voir </w:t>
      </w:r>
      <w:r w:rsidRPr="0001174C">
        <w:rPr>
          <w:rFonts w:cs="Times New Roman"/>
          <w:i/>
          <w:lang w:val="fr-CA"/>
        </w:rPr>
        <w:t>Hart</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68</w:t>
      </w:r>
      <w:r w:rsidR="005044C1">
        <w:rPr>
          <w:rFonts w:cs="Times New Roman"/>
          <w:lang w:val="fr-CA"/>
        </w:rPr>
        <w:t>-</w:t>
      </w:r>
      <w:r w:rsidRPr="0001174C">
        <w:rPr>
          <w:rFonts w:cs="Times New Roman"/>
          <w:lang w:val="fr-CA"/>
        </w:rPr>
        <w:t>77).</w:t>
      </w:r>
    </w:p>
    <w:p w:rsidR="00AF2876" w:rsidRPr="0001174C" w:rsidRDefault="00AF2876" w:rsidP="00AF2876">
      <w:pPr>
        <w:pStyle w:val="ParaNoNdepar-AltN"/>
        <w:rPr>
          <w:rFonts w:cs="Times New Roman"/>
          <w:lang w:val="fr-CA"/>
        </w:rPr>
      </w:pPr>
      <w:r w:rsidRPr="0001174C">
        <w:rPr>
          <w:rFonts w:cs="Times New Roman"/>
          <w:lang w:val="fr-CA"/>
        </w:rPr>
        <w:t xml:space="preserve">La </w:t>
      </w:r>
      <w:r>
        <w:rPr>
          <w:rFonts w:cs="Times New Roman"/>
          <w:lang w:val="fr-CA"/>
        </w:rPr>
        <w:t xml:space="preserve">nouvelle </w:t>
      </w:r>
      <w:r w:rsidRPr="0001174C">
        <w:rPr>
          <w:rFonts w:cs="Times New Roman"/>
          <w:lang w:val="fr-CA"/>
        </w:rPr>
        <w:t xml:space="preserve">règle de preuve </w:t>
      </w:r>
      <w:r w:rsidRPr="00D135CA">
        <w:rPr>
          <w:rFonts w:cs="Times New Roman"/>
          <w:lang w:val="fr-CA"/>
        </w:rPr>
        <w:t>de common law établie dans</w:t>
      </w:r>
      <w:r w:rsidRPr="008D41E0">
        <w:rPr>
          <w:rFonts w:cs="Times New Roman"/>
          <w:lang w:val="fr-CA"/>
        </w:rPr>
        <w:t xml:space="preserve"> </w:t>
      </w:r>
      <w:r w:rsidRPr="0001174C">
        <w:rPr>
          <w:rFonts w:cs="Times New Roman"/>
          <w:lang w:val="fr-CA"/>
        </w:rPr>
        <w:t>l</w:t>
      </w:r>
      <w:r>
        <w:rPr>
          <w:rFonts w:cs="Times New Roman"/>
          <w:lang w:val="fr-CA"/>
        </w:rPr>
        <w:t>’</w:t>
      </w:r>
      <w:r w:rsidRPr="0001174C">
        <w:rPr>
          <w:rFonts w:cs="Times New Roman"/>
          <w:lang w:val="fr-CA"/>
        </w:rPr>
        <w:t xml:space="preserve">arrêt </w:t>
      </w:r>
      <w:r w:rsidRPr="0001174C">
        <w:rPr>
          <w:rFonts w:cs="Times New Roman"/>
          <w:i/>
          <w:lang w:val="fr-CA"/>
        </w:rPr>
        <w:t xml:space="preserve">Hart </w:t>
      </w:r>
      <w:r w:rsidRPr="0001174C">
        <w:rPr>
          <w:rFonts w:cs="Times New Roman"/>
          <w:lang w:val="fr-CA"/>
        </w:rPr>
        <w:t>vis</w:t>
      </w:r>
      <w:r>
        <w:rPr>
          <w:rFonts w:cs="Times New Roman"/>
          <w:lang w:val="fr-CA"/>
        </w:rPr>
        <w:t>e</w:t>
      </w:r>
      <w:r w:rsidRPr="0001174C">
        <w:rPr>
          <w:rFonts w:cs="Times New Roman"/>
          <w:lang w:val="fr-CA"/>
        </w:rPr>
        <w:t xml:space="preserve"> à </w:t>
      </w:r>
      <w:r>
        <w:rPr>
          <w:rFonts w:cs="Times New Roman"/>
          <w:lang w:val="fr-CA"/>
        </w:rPr>
        <w:t xml:space="preserve">pallier ces </w:t>
      </w:r>
      <w:r w:rsidRPr="0001174C">
        <w:rPr>
          <w:rFonts w:cs="Times New Roman"/>
          <w:lang w:val="fr-CA"/>
        </w:rPr>
        <w:t>problèmes</w:t>
      </w:r>
      <w:r>
        <w:rPr>
          <w:rFonts w:cs="Times New Roman"/>
          <w:lang w:val="fr-CA"/>
        </w:rPr>
        <w:t>.</w:t>
      </w:r>
      <w:r w:rsidRPr="0001174C">
        <w:rPr>
          <w:rFonts w:cs="Times New Roman"/>
          <w:lang w:val="fr-CA"/>
        </w:rPr>
        <w:t xml:space="preserve"> Toutefois, même si elle s</w:t>
      </w:r>
      <w:r>
        <w:rPr>
          <w:rFonts w:cs="Times New Roman"/>
          <w:lang w:val="fr-CA"/>
        </w:rPr>
        <w:t xml:space="preserve">’y </w:t>
      </w:r>
      <w:r w:rsidRPr="0001174C">
        <w:rPr>
          <w:rFonts w:cs="Times New Roman"/>
          <w:lang w:val="fr-CA"/>
        </w:rPr>
        <w:t xml:space="preserve">attaque, </w:t>
      </w:r>
      <w:r>
        <w:rPr>
          <w:rFonts w:cs="Times New Roman"/>
          <w:lang w:val="fr-CA"/>
        </w:rPr>
        <w:t>elle</w:t>
      </w:r>
      <w:r w:rsidRPr="0001174C">
        <w:rPr>
          <w:rFonts w:cs="Times New Roman"/>
          <w:lang w:val="fr-CA"/>
        </w:rPr>
        <w:t xml:space="preserve"> ne </w:t>
      </w:r>
      <w:r>
        <w:rPr>
          <w:rFonts w:cs="Times New Roman"/>
          <w:lang w:val="fr-CA"/>
        </w:rPr>
        <w:t xml:space="preserve">les </w:t>
      </w:r>
      <w:r w:rsidRPr="0001174C">
        <w:rPr>
          <w:rFonts w:cs="Times New Roman"/>
          <w:lang w:val="fr-CA"/>
        </w:rPr>
        <w:t>fait pas disparaître</w:t>
      </w:r>
      <w:r>
        <w:rPr>
          <w:rFonts w:cs="Times New Roman"/>
          <w:lang w:val="fr-CA"/>
        </w:rPr>
        <w:t>.</w:t>
      </w:r>
      <w:r w:rsidRPr="0001174C">
        <w:rPr>
          <w:rFonts w:cs="Times New Roman"/>
          <w:lang w:val="fr-CA"/>
        </w:rPr>
        <w:t xml:space="preserve"> La règle vise essentiellement à déterminer si l</w:t>
      </w:r>
      <w:r>
        <w:rPr>
          <w:rFonts w:cs="Times New Roman"/>
          <w:lang w:val="fr-CA"/>
        </w:rPr>
        <w:t>’</w:t>
      </w:r>
      <w:r w:rsidRPr="0001174C">
        <w:rPr>
          <w:rFonts w:cs="Times New Roman"/>
          <w:lang w:val="fr-CA"/>
        </w:rPr>
        <w:t>aveu issu d</w:t>
      </w:r>
      <w:r>
        <w:rPr>
          <w:rFonts w:cs="Times New Roman"/>
          <w:lang w:val="fr-CA"/>
        </w:rPr>
        <w:t>’</w:t>
      </w:r>
      <w:r w:rsidRPr="0001174C">
        <w:rPr>
          <w:rFonts w:cs="Times New Roman"/>
          <w:lang w:val="fr-CA"/>
        </w:rPr>
        <w:t xml:space="preserve">une opération </w:t>
      </w:r>
      <w:r>
        <w:rPr>
          <w:rFonts w:cs="Times New Roman"/>
          <w:lang w:val="fr-CA"/>
        </w:rPr>
        <w:t>Monsieur Big</w:t>
      </w:r>
      <w:r w:rsidRPr="0001174C">
        <w:rPr>
          <w:rFonts w:cs="Times New Roman"/>
          <w:lang w:val="fr-CA"/>
        </w:rPr>
        <w:t xml:space="preserve"> d</w:t>
      </w:r>
      <w:r>
        <w:rPr>
          <w:rFonts w:cs="Times New Roman"/>
          <w:lang w:val="fr-CA"/>
        </w:rPr>
        <w:t>o</w:t>
      </w:r>
      <w:r w:rsidRPr="0001174C">
        <w:rPr>
          <w:rFonts w:cs="Times New Roman"/>
          <w:lang w:val="fr-CA"/>
        </w:rPr>
        <w:t>it être admis en preuve</w:t>
      </w:r>
      <w:r>
        <w:rPr>
          <w:rFonts w:cs="Times New Roman"/>
          <w:lang w:val="fr-CA"/>
        </w:rPr>
        <w:t xml:space="preserve"> ou non</w:t>
      </w:r>
      <w:r w:rsidRPr="0001174C">
        <w:rPr>
          <w:rFonts w:cs="Times New Roman"/>
          <w:lang w:val="fr-CA"/>
        </w:rPr>
        <w:t xml:space="preserve">. Elle ne </w:t>
      </w:r>
      <w:r>
        <w:rPr>
          <w:rFonts w:cs="Times New Roman"/>
          <w:lang w:val="fr-CA"/>
        </w:rPr>
        <w:t xml:space="preserve">permet </w:t>
      </w:r>
      <w:r w:rsidRPr="0001174C">
        <w:rPr>
          <w:rFonts w:cs="Times New Roman"/>
          <w:lang w:val="fr-CA"/>
        </w:rPr>
        <w:t xml:space="preserve">pas </w:t>
      </w:r>
      <w:r>
        <w:rPr>
          <w:rFonts w:cs="Times New Roman"/>
          <w:lang w:val="fr-CA"/>
        </w:rPr>
        <w:t xml:space="preserve">de trancher </w:t>
      </w:r>
      <w:r w:rsidRPr="0001174C">
        <w:rPr>
          <w:rFonts w:cs="Times New Roman"/>
          <w:lang w:val="fr-CA"/>
        </w:rPr>
        <w:t>la question ultime de savoir si l</w:t>
      </w:r>
      <w:r>
        <w:rPr>
          <w:rFonts w:cs="Times New Roman"/>
          <w:lang w:val="fr-CA"/>
        </w:rPr>
        <w:t>’</w:t>
      </w:r>
      <w:r w:rsidRPr="0001174C">
        <w:rPr>
          <w:rFonts w:cs="Times New Roman"/>
          <w:lang w:val="fr-CA"/>
        </w:rPr>
        <w:t xml:space="preserve">aveu est fiable </w:t>
      </w:r>
      <w:r>
        <w:rPr>
          <w:rFonts w:cs="Times New Roman"/>
          <w:lang w:val="fr-CA"/>
        </w:rPr>
        <w:t xml:space="preserve">ou non </w:t>
      </w:r>
      <w:r w:rsidRPr="0001174C">
        <w:rPr>
          <w:rFonts w:cs="Times New Roman"/>
          <w:lang w:val="fr-CA"/>
        </w:rPr>
        <w:t xml:space="preserve">et elle ne </w:t>
      </w:r>
      <w:r>
        <w:rPr>
          <w:rFonts w:cs="Times New Roman"/>
          <w:lang w:val="fr-CA"/>
        </w:rPr>
        <w:t xml:space="preserve">supprime </w:t>
      </w:r>
      <w:r w:rsidRPr="0001174C">
        <w:rPr>
          <w:rFonts w:cs="Times New Roman"/>
          <w:lang w:val="fr-CA"/>
        </w:rPr>
        <w:t xml:space="preserve">pas le </w:t>
      </w:r>
      <w:r>
        <w:rPr>
          <w:rFonts w:cs="Times New Roman"/>
          <w:lang w:val="fr-CA"/>
        </w:rPr>
        <w:t>préjudic</w:t>
      </w:r>
      <w:r w:rsidRPr="0001174C">
        <w:rPr>
          <w:rFonts w:cs="Times New Roman"/>
          <w:lang w:val="fr-CA"/>
        </w:rPr>
        <w:t xml:space="preserve">e </w:t>
      </w:r>
      <w:r>
        <w:rPr>
          <w:rFonts w:cs="Times New Roman"/>
          <w:lang w:val="fr-CA"/>
        </w:rPr>
        <w:t xml:space="preserve">infligé par </w:t>
      </w:r>
      <w:r w:rsidRPr="0001174C">
        <w:rPr>
          <w:rFonts w:cs="Times New Roman"/>
          <w:lang w:val="fr-CA"/>
        </w:rPr>
        <w:t xml:space="preserve">la preuve de moralité </w:t>
      </w:r>
      <w:r w:rsidRPr="00D135CA">
        <w:rPr>
          <w:rFonts w:cs="Times New Roman"/>
          <w:lang w:val="fr-CA"/>
        </w:rPr>
        <w:t>dont s</w:t>
      </w:r>
      <w:r>
        <w:rPr>
          <w:rFonts w:cs="Times New Roman"/>
          <w:lang w:val="fr-CA"/>
        </w:rPr>
        <w:t>’</w:t>
      </w:r>
      <w:r w:rsidRPr="00D135CA">
        <w:rPr>
          <w:rFonts w:cs="Times New Roman"/>
          <w:lang w:val="fr-CA"/>
        </w:rPr>
        <w:t>accompagne</w:t>
      </w:r>
      <w:r w:rsidRPr="0001174C">
        <w:rPr>
          <w:rFonts w:cs="Times New Roman"/>
          <w:lang w:val="fr-CA"/>
        </w:rPr>
        <w:t xml:space="preserve"> l</w:t>
      </w:r>
      <w:r>
        <w:rPr>
          <w:rFonts w:cs="Times New Roman"/>
          <w:lang w:val="fr-CA"/>
        </w:rPr>
        <w:t>’</w:t>
      </w:r>
      <w:r w:rsidRPr="0001174C">
        <w:rPr>
          <w:rFonts w:cs="Times New Roman"/>
          <w:lang w:val="fr-CA"/>
        </w:rPr>
        <w:t xml:space="preserve">aveu. </w:t>
      </w:r>
      <w:r w:rsidRPr="001D0501">
        <w:rPr>
          <w:rFonts w:cs="Times New Roman"/>
          <w:lang w:val="fr-CA"/>
        </w:rPr>
        <w:t>Ainsi, même lorsque l’aveu issu d’une opération Monsieur Big est admis en preuve, les craintes liées à sa non</w:t>
      </w:r>
      <w:r w:rsidR="00203E16">
        <w:rPr>
          <w:rFonts w:cs="Times New Roman"/>
          <w:lang w:val="fr-CA"/>
        </w:rPr>
        <w:t>-</w:t>
      </w:r>
      <w:r w:rsidRPr="001D0501">
        <w:rPr>
          <w:rFonts w:cs="Times New Roman"/>
          <w:lang w:val="fr-CA"/>
        </w:rPr>
        <w:t>fiabilité éventuelle</w:t>
      </w:r>
      <w:r w:rsidRPr="008D41E0">
        <w:rPr>
          <w:rFonts w:cs="Times New Roman"/>
          <w:lang w:val="fr-CA"/>
        </w:rPr>
        <w:t xml:space="preserve"> </w:t>
      </w:r>
      <w:r w:rsidRPr="001D0501">
        <w:rPr>
          <w:rFonts w:cs="Times New Roman"/>
          <w:lang w:val="fr-CA"/>
        </w:rPr>
        <w:t>et à son caractère préjudiciable d</w:t>
      </w:r>
      <w:r>
        <w:rPr>
          <w:rFonts w:cs="Times New Roman"/>
          <w:lang w:val="fr-CA"/>
        </w:rPr>
        <w:t>emeurent</w:t>
      </w:r>
      <w:r w:rsidRPr="0001174C">
        <w:rPr>
          <w:rFonts w:cs="Times New Roman"/>
          <w:lang w:val="fr-CA"/>
        </w:rPr>
        <w:t xml:space="preserve">. Il </w:t>
      </w:r>
      <w:r w:rsidRPr="0001174C">
        <w:rPr>
          <w:rFonts w:cs="Times New Roman"/>
          <w:lang w:val="fr-CA"/>
        </w:rPr>
        <w:lastRenderedPageBreak/>
        <w:t xml:space="preserve">incombe alors au juge du procès de donner au jury des directives appropriées sur la </w:t>
      </w:r>
      <w:r>
        <w:rPr>
          <w:rFonts w:cs="Times New Roman"/>
          <w:lang w:val="fr-CA"/>
        </w:rPr>
        <w:t xml:space="preserve">manière de jauger </w:t>
      </w:r>
      <w:r w:rsidRPr="0001174C">
        <w:rPr>
          <w:rFonts w:cs="Times New Roman"/>
          <w:lang w:val="fr-CA"/>
        </w:rPr>
        <w:t xml:space="preserve">ces aveux </w:t>
      </w:r>
      <w:r>
        <w:rPr>
          <w:rFonts w:cs="Times New Roman"/>
          <w:lang w:val="fr-CA"/>
        </w:rPr>
        <w:t xml:space="preserve">eu égard à </w:t>
      </w:r>
      <w:r w:rsidRPr="0001174C">
        <w:rPr>
          <w:rFonts w:cs="Times New Roman"/>
          <w:lang w:val="fr-CA"/>
        </w:rPr>
        <w:t>ces préoccupations.</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 xml:space="preserve">appelant </w:t>
      </w:r>
      <w:r>
        <w:rPr>
          <w:rFonts w:cs="Times New Roman"/>
          <w:lang w:val="fr-CA"/>
        </w:rPr>
        <w:t xml:space="preserve">convient </w:t>
      </w:r>
      <w:r w:rsidRPr="0001174C">
        <w:rPr>
          <w:rFonts w:cs="Times New Roman"/>
          <w:lang w:val="fr-CA"/>
        </w:rPr>
        <w:t xml:space="preserve">que </w:t>
      </w:r>
      <w:r w:rsidRPr="00D135CA">
        <w:rPr>
          <w:rFonts w:cs="Times New Roman"/>
          <w:lang w:val="fr-CA"/>
        </w:rPr>
        <w:t>la non</w:t>
      </w:r>
      <w:r w:rsidR="00203E16">
        <w:rPr>
          <w:rFonts w:cs="Times New Roman"/>
          <w:lang w:val="fr-CA"/>
        </w:rPr>
        <w:t>-</w:t>
      </w:r>
      <w:r w:rsidRPr="00D135CA">
        <w:rPr>
          <w:rFonts w:cs="Times New Roman"/>
          <w:lang w:val="fr-CA"/>
        </w:rPr>
        <w:t>fiabilité éventuelle et le caractère préjudiciable constituent tous deux des problèmes au chapitre de la preuve et que le juge du procès doit en faire part au jury dans son exposé. Pour ce qui est de la non</w:t>
      </w:r>
      <w:r w:rsidR="00203E16">
        <w:rPr>
          <w:rFonts w:cs="Times New Roman"/>
          <w:lang w:val="fr-CA"/>
        </w:rPr>
        <w:t>-</w:t>
      </w:r>
      <w:r w:rsidRPr="00D135CA">
        <w:rPr>
          <w:rFonts w:cs="Times New Roman"/>
          <w:lang w:val="fr-CA"/>
        </w:rPr>
        <w:t>fiabilité éventuelle</w:t>
      </w:r>
      <w:r w:rsidRPr="0001174C">
        <w:rPr>
          <w:rFonts w:cs="Times New Roman"/>
          <w:lang w:val="fr-CA"/>
        </w:rPr>
        <w:t xml:space="preserve">, </w:t>
      </w:r>
      <w:r>
        <w:rPr>
          <w:rFonts w:cs="Times New Roman"/>
          <w:lang w:val="fr-CA"/>
        </w:rPr>
        <w:t>le juge doit se montrer</w:t>
      </w:r>
      <w:r w:rsidRPr="0001174C">
        <w:rPr>
          <w:rFonts w:cs="Times New Roman"/>
          <w:lang w:val="fr-CA"/>
        </w:rPr>
        <w:t xml:space="preserve"> d</w:t>
      </w:r>
      <w:r>
        <w:rPr>
          <w:rFonts w:cs="Times New Roman"/>
          <w:lang w:val="fr-CA"/>
        </w:rPr>
        <w:t>’</w:t>
      </w:r>
      <w:r w:rsidRPr="0001174C">
        <w:rPr>
          <w:rFonts w:cs="Times New Roman"/>
          <w:lang w:val="fr-CA"/>
        </w:rPr>
        <w:t xml:space="preserve">une prudence </w:t>
      </w:r>
      <w:r w:rsidRPr="0001174C">
        <w:rPr>
          <w:rFonts w:cs="Times New Roman"/>
          <w:smallCaps/>
          <w:lang w:val="fr-CA"/>
        </w:rPr>
        <w:t xml:space="preserve">[traduction] </w:t>
      </w:r>
      <w:r w:rsidR="00203E16">
        <w:rPr>
          <w:rFonts w:cs="Times New Roman"/>
          <w:lang w:val="fr-CA"/>
        </w:rPr>
        <w:t>« </w:t>
      </w:r>
      <w:r w:rsidRPr="0001174C">
        <w:rPr>
          <w:rFonts w:cs="Times New Roman"/>
          <w:lang w:val="fr-CA"/>
        </w:rPr>
        <w:t>extrême</w:t>
      </w:r>
      <w:r w:rsidR="00203E16">
        <w:rPr>
          <w:rFonts w:cs="Times New Roman"/>
          <w:lang w:val="fr-CA"/>
        </w:rPr>
        <w:t> »</w:t>
      </w:r>
      <w:r w:rsidRPr="0001174C">
        <w:rPr>
          <w:rFonts w:cs="Times New Roman"/>
          <w:lang w:val="fr-CA"/>
        </w:rPr>
        <w:t xml:space="preserve"> en raison du </w:t>
      </w:r>
      <w:r w:rsidR="00203E16">
        <w:rPr>
          <w:rFonts w:cs="Times New Roman"/>
          <w:lang w:val="fr-CA"/>
        </w:rPr>
        <w:t>« </w:t>
      </w:r>
      <w:r>
        <w:rPr>
          <w:rFonts w:cs="Times New Roman"/>
          <w:lang w:val="fr-CA"/>
        </w:rPr>
        <w:t>risque</w:t>
      </w:r>
      <w:r w:rsidR="00203E16">
        <w:rPr>
          <w:rFonts w:cs="Times New Roman"/>
          <w:lang w:val="fr-CA"/>
        </w:rPr>
        <w:t> »</w:t>
      </w:r>
      <w:r w:rsidRPr="0001174C">
        <w:rPr>
          <w:rFonts w:cs="Times New Roman"/>
          <w:lang w:val="fr-CA"/>
        </w:rPr>
        <w:t xml:space="preserve"> que </w:t>
      </w:r>
      <w:r>
        <w:rPr>
          <w:rFonts w:cs="Times New Roman"/>
          <w:lang w:val="fr-CA"/>
        </w:rPr>
        <w:t>présente l’</w:t>
      </w:r>
      <w:r w:rsidRPr="0001174C">
        <w:rPr>
          <w:rFonts w:cs="Times New Roman"/>
          <w:lang w:val="fr-CA"/>
        </w:rPr>
        <w:t>a</w:t>
      </w:r>
      <w:r>
        <w:rPr>
          <w:rFonts w:cs="Times New Roman"/>
          <w:lang w:val="fr-CA"/>
        </w:rPr>
        <w:t>dmission de l’a</w:t>
      </w:r>
      <w:r w:rsidRPr="0001174C">
        <w:rPr>
          <w:rFonts w:cs="Times New Roman"/>
          <w:lang w:val="fr-CA"/>
        </w:rPr>
        <w:t xml:space="preserve">veu </w:t>
      </w:r>
      <w:r>
        <w:rPr>
          <w:rFonts w:cs="Times New Roman"/>
          <w:lang w:val="fr-CA"/>
        </w:rPr>
        <w:t xml:space="preserve">issu </w:t>
      </w:r>
      <w:r w:rsidRPr="0001174C">
        <w:rPr>
          <w:rFonts w:cs="Times New Roman"/>
          <w:lang w:val="fr-CA"/>
        </w:rPr>
        <w:t>d</w:t>
      </w:r>
      <w:r>
        <w:rPr>
          <w:rFonts w:cs="Times New Roman"/>
          <w:lang w:val="fr-CA"/>
        </w:rPr>
        <w:t>’</w:t>
      </w:r>
      <w:r w:rsidRPr="0001174C">
        <w:rPr>
          <w:rFonts w:cs="Times New Roman"/>
          <w:lang w:val="fr-CA"/>
        </w:rPr>
        <w:t xml:space="preserve">une opération </w:t>
      </w:r>
      <w:r>
        <w:rPr>
          <w:rFonts w:cs="Times New Roman"/>
          <w:lang w:val="fr-CA"/>
        </w:rPr>
        <w:t xml:space="preserve">Monsieur </w:t>
      </w:r>
      <w:r w:rsidRPr="0001174C">
        <w:rPr>
          <w:rFonts w:cs="Times New Roman"/>
          <w:lang w:val="fr-CA"/>
        </w:rPr>
        <w:t>Big (</w:t>
      </w:r>
      <w:r w:rsidRPr="00D135CA">
        <w:rPr>
          <w:rFonts w:cs="Times New Roman"/>
          <w:lang w:val="fr-CA"/>
        </w:rPr>
        <w:t xml:space="preserve">m.a., </w:t>
      </w:r>
      <w:r>
        <w:rPr>
          <w:rFonts w:cs="Times New Roman"/>
          <w:lang w:val="fr-CA"/>
        </w:rPr>
        <w:t>par.</w:t>
      </w:r>
      <w:r w:rsidR="00203E16">
        <w:rPr>
          <w:rFonts w:cs="Times New Roman"/>
          <w:lang w:val="fr-CA"/>
        </w:rPr>
        <w:t xml:space="preserve"> </w:t>
      </w:r>
      <w:r w:rsidRPr="00D135CA">
        <w:rPr>
          <w:rFonts w:cs="Times New Roman"/>
          <w:lang w:val="fr-CA"/>
        </w:rPr>
        <w:t>95</w:t>
      </w:r>
      <w:r w:rsidRPr="0001174C">
        <w:rPr>
          <w:rFonts w:cs="Times New Roman"/>
          <w:lang w:val="fr-CA"/>
        </w:rPr>
        <w:t>). L</w:t>
      </w:r>
      <w:r>
        <w:rPr>
          <w:rFonts w:cs="Times New Roman"/>
          <w:lang w:val="fr-CA"/>
        </w:rPr>
        <w:t>’</w:t>
      </w:r>
      <w:r w:rsidRPr="0001174C">
        <w:rPr>
          <w:rFonts w:cs="Times New Roman"/>
          <w:lang w:val="fr-CA"/>
        </w:rPr>
        <w:t xml:space="preserve">appelant </w:t>
      </w:r>
      <w:r w:rsidRPr="008D41E0">
        <w:rPr>
          <w:rFonts w:cs="Times New Roman"/>
          <w:lang w:val="fr-CA"/>
        </w:rPr>
        <w:t>renvoie à</w:t>
      </w:r>
      <w:r w:rsidRPr="0001174C">
        <w:rPr>
          <w:rFonts w:cs="Times New Roman"/>
          <w:lang w:val="fr-CA"/>
        </w:rPr>
        <w:t xml:space="preserve"> l</w:t>
      </w:r>
      <w:r>
        <w:rPr>
          <w:rFonts w:cs="Times New Roman"/>
          <w:lang w:val="fr-CA"/>
        </w:rPr>
        <w:t>’</w:t>
      </w:r>
      <w:r w:rsidRPr="0001174C">
        <w:rPr>
          <w:rFonts w:cs="Times New Roman"/>
          <w:lang w:val="fr-CA"/>
        </w:rPr>
        <w:t xml:space="preserve">exposé </w:t>
      </w:r>
      <w:r>
        <w:rPr>
          <w:rFonts w:cs="Times New Roman"/>
          <w:lang w:val="fr-CA"/>
        </w:rPr>
        <w:t xml:space="preserve">du </w:t>
      </w:r>
      <w:r w:rsidRPr="0001174C">
        <w:rPr>
          <w:rFonts w:cs="Times New Roman"/>
          <w:lang w:val="fr-CA"/>
        </w:rPr>
        <w:t>juge dans l</w:t>
      </w:r>
      <w:r>
        <w:rPr>
          <w:rFonts w:cs="Times New Roman"/>
          <w:lang w:val="fr-CA"/>
        </w:rPr>
        <w:t>’</w:t>
      </w:r>
      <w:r w:rsidRPr="0001174C">
        <w:rPr>
          <w:rFonts w:cs="Times New Roman"/>
          <w:lang w:val="fr-CA"/>
        </w:rPr>
        <w:t xml:space="preserve">affaire </w:t>
      </w:r>
      <w:r w:rsidRPr="0001174C">
        <w:rPr>
          <w:rFonts w:cs="Times New Roman"/>
          <w:i/>
          <w:lang w:val="fr-CA"/>
        </w:rPr>
        <w:t>R. c. Bonisteel</w:t>
      </w:r>
      <w:r w:rsidRPr="0001174C">
        <w:rPr>
          <w:rFonts w:cs="Times New Roman"/>
          <w:lang w:val="fr-CA"/>
        </w:rPr>
        <w:t xml:space="preserve">, 2008 BCCA 344, </w:t>
      </w:r>
      <w:r>
        <w:rPr>
          <w:rFonts w:cs="Times New Roman"/>
          <w:lang w:val="fr-CA"/>
        </w:rPr>
        <w:t xml:space="preserve">259 B.C.A.C. 114 </w:t>
      </w:r>
      <w:r w:rsidRPr="0001174C">
        <w:rPr>
          <w:rFonts w:cs="Times New Roman"/>
          <w:lang w:val="fr-CA"/>
        </w:rPr>
        <w:t xml:space="preserve">et </w:t>
      </w:r>
      <w:r>
        <w:rPr>
          <w:rFonts w:cs="Times New Roman"/>
          <w:lang w:val="fr-CA"/>
        </w:rPr>
        <w:t xml:space="preserve">soutient que </w:t>
      </w:r>
      <w:r w:rsidRPr="0001174C">
        <w:rPr>
          <w:rFonts w:cs="Times New Roman"/>
          <w:lang w:val="fr-CA"/>
        </w:rPr>
        <w:t>de</w:t>
      </w:r>
      <w:r>
        <w:rPr>
          <w:rFonts w:cs="Times New Roman"/>
          <w:lang w:val="fr-CA"/>
        </w:rPr>
        <w:t>s</w:t>
      </w:r>
      <w:r w:rsidRPr="0001174C">
        <w:rPr>
          <w:rFonts w:cs="Times New Roman"/>
          <w:lang w:val="fr-CA"/>
        </w:rPr>
        <w:t xml:space="preserve"> </w:t>
      </w:r>
      <w:r>
        <w:rPr>
          <w:rFonts w:cs="Times New Roman"/>
          <w:lang w:val="fr-CA"/>
        </w:rPr>
        <w:t xml:space="preserve">directives apparentées s’imposent </w:t>
      </w:r>
      <w:r w:rsidRPr="0001174C">
        <w:rPr>
          <w:rFonts w:cs="Times New Roman"/>
          <w:lang w:val="fr-CA"/>
        </w:rPr>
        <w:t xml:space="preserve">dans </w:t>
      </w:r>
      <w:r w:rsidR="00203E16">
        <w:rPr>
          <w:rFonts w:cs="Times New Roman"/>
          <w:lang w:val="fr-CA"/>
        </w:rPr>
        <w:t>« </w:t>
      </w:r>
      <w:r w:rsidRPr="0001174C">
        <w:rPr>
          <w:rFonts w:cs="Times New Roman"/>
          <w:lang w:val="fr-CA"/>
        </w:rPr>
        <w:t>la plupart, sinon la totalité</w:t>
      </w:r>
      <w:r w:rsidR="00203E16">
        <w:rPr>
          <w:rFonts w:cs="Times New Roman"/>
          <w:lang w:val="fr-CA"/>
        </w:rPr>
        <w:t> »</w:t>
      </w:r>
      <w:r>
        <w:rPr>
          <w:rFonts w:cs="Times New Roman"/>
          <w:lang w:val="fr-CA"/>
        </w:rPr>
        <w:t>,</w:t>
      </w:r>
      <w:r w:rsidRPr="0001174C">
        <w:rPr>
          <w:rFonts w:cs="Times New Roman"/>
          <w:lang w:val="fr-CA"/>
        </w:rPr>
        <w:t xml:space="preserve"> des affaires </w:t>
      </w:r>
      <w:r>
        <w:rPr>
          <w:rFonts w:cs="Times New Roman"/>
          <w:lang w:val="fr-CA"/>
        </w:rPr>
        <w:t xml:space="preserve">où </w:t>
      </w:r>
      <w:r w:rsidRPr="0001174C">
        <w:rPr>
          <w:rFonts w:cs="Times New Roman"/>
          <w:lang w:val="fr-CA"/>
        </w:rPr>
        <w:t xml:space="preserve">des aveux </w:t>
      </w:r>
      <w:r>
        <w:rPr>
          <w:rFonts w:cs="Times New Roman"/>
          <w:lang w:val="fr-CA"/>
        </w:rPr>
        <w:t xml:space="preserve">sont </w:t>
      </w:r>
      <w:r w:rsidRPr="0001174C">
        <w:rPr>
          <w:rFonts w:cs="Times New Roman"/>
          <w:lang w:val="fr-CA"/>
        </w:rPr>
        <w:t>obtenus dans le cadre d</w:t>
      </w:r>
      <w:r>
        <w:rPr>
          <w:rFonts w:cs="Times New Roman"/>
          <w:lang w:val="fr-CA"/>
        </w:rPr>
        <w:t>’</w:t>
      </w:r>
      <w:r w:rsidRPr="0001174C">
        <w:rPr>
          <w:rFonts w:cs="Times New Roman"/>
          <w:lang w:val="fr-CA"/>
        </w:rPr>
        <w:t xml:space="preserve">une opération </w:t>
      </w:r>
      <w:r>
        <w:rPr>
          <w:rFonts w:cs="Times New Roman"/>
          <w:lang w:val="fr-CA"/>
        </w:rPr>
        <w:t xml:space="preserve">Monsieur </w:t>
      </w:r>
      <w:r w:rsidRPr="0001174C">
        <w:rPr>
          <w:rFonts w:cs="Times New Roman"/>
          <w:lang w:val="fr-CA"/>
        </w:rPr>
        <w:t>Big</w:t>
      </w:r>
      <w:r>
        <w:rPr>
          <w:rFonts w:cs="Times New Roman"/>
          <w:lang w:val="fr-CA"/>
        </w:rPr>
        <w:t xml:space="preserve"> (m.a., par.</w:t>
      </w:r>
      <w:r w:rsidR="00203E16">
        <w:rPr>
          <w:rFonts w:cs="Times New Roman"/>
          <w:lang w:val="fr-CA"/>
        </w:rPr>
        <w:t xml:space="preserve"> </w:t>
      </w:r>
      <w:r>
        <w:rPr>
          <w:rFonts w:cs="Times New Roman"/>
          <w:lang w:val="fr-CA"/>
        </w:rPr>
        <w:t>96)</w:t>
      </w:r>
      <w:r w:rsidRPr="0001174C">
        <w:rPr>
          <w:rFonts w:cs="Times New Roman"/>
          <w:lang w:val="fr-CA"/>
        </w:rPr>
        <w:t xml:space="preserve">. Dans </w:t>
      </w:r>
      <w:r w:rsidRPr="0001174C">
        <w:rPr>
          <w:rFonts w:cs="Times New Roman"/>
          <w:i/>
          <w:lang w:val="fr-CA"/>
        </w:rPr>
        <w:t>Bonisteel</w:t>
      </w:r>
      <w:r w:rsidRPr="0001174C">
        <w:rPr>
          <w:rFonts w:cs="Times New Roman"/>
          <w:lang w:val="fr-CA"/>
        </w:rPr>
        <w:t xml:space="preserve">, le juge du procès </w:t>
      </w:r>
      <w:r>
        <w:rPr>
          <w:rFonts w:cs="Times New Roman"/>
          <w:lang w:val="fr-CA"/>
        </w:rPr>
        <w:t xml:space="preserve">a </w:t>
      </w:r>
      <w:r w:rsidRPr="0001174C">
        <w:rPr>
          <w:rFonts w:cs="Times New Roman"/>
          <w:lang w:val="fr-CA"/>
        </w:rPr>
        <w:t xml:space="preserve">fermement mis le jury en garde </w:t>
      </w:r>
      <w:r>
        <w:rPr>
          <w:rFonts w:cs="Times New Roman"/>
          <w:lang w:val="fr-CA"/>
        </w:rPr>
        <w:t>contre la 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w:t>
      </w:r>
      <w:r w:rsidRPr="0001174C">
        <w:rPr>
          <w:rFonts w:cs="Times New Roman"/>
          <w:lang w:val="fr-CA"/>
        </w:rPr>
        <w:t xml:space="preserve">des aveux </w:t>
      </w:r>
      <w:r>
        <w:rPr>
          <w:rFonts w:cs="Times New Roman"/>
          <w:lang w:val="fr-CA"/>
        </w:rPr>
        <w:t xml:space="preserve">issus </w:t>
      </w:r>
      <w:r w:rsidRPr="0001174C">
        <w:rPr>
          <w:rFonts w:cs="Times New Roman"/>
          <w:lang w:val="fr-CA"/>
        </w:rPr>
        <w:t>d</w:t>
      </w:r>
      <w:r>
        <w:rPr>
          <w:rFonts w:cs="Times New Roman"/>
          <w:lang w:val="fr-CA"/>
        </w:rPr>
        <w:t>’</w:t>
      </w:r>
      <w:r w:rsidRPr="0001174C">
        <w:rPr>
          <w:rFonts w:cs="Times New Roman"/>
          <w:lang w:val="fr-CA"/>
        </w:rPr>
        <w:t xml:space="preserve">une </w:t>
      </w:r>
      <w:r>
        <w:rPr>
          <w:rFonts w:cs="Times New Roman"/>
          <w:lang w:val="fr-CA"/>
        </w:rPr>
        <w:t xml:space="preserve">telle </w:t>
      </w:r>
      <w:r w:rsidRPr="0001174C">
        <w:rPr>
          <w:rFonts w:cs="Times New Roman"/>
          <w:lang w:val="fr-CA"/>
        </w:rPr>
        <w:t xml:space="preserve">opération. Il </w:t>
      </w:r>
      <w:r>
        <w:rPr>
          <w:rFonts w:cs="Times New Roman"/>
          <w:lang w:val="fr-CA"/>
        </w:rPr>
        <w:t xml:space="preserve">lui a </w:t>
      </w:r>
      <w:r w:rsidRPr="0001174C">
        <w:rPr>
          <w:rFonts w:cs="Times New Roman"/>
          <w:lang w:val="fr-CA"/>
        </w:rPr>
        <w:t xml:space="preserve">expliqué que des gens </w:t>
      </w:r>
      <w:r w:rsidRPr="0001174C">
        <w:rPr>
          <w:rFonts w:cs="Times New Roman"/>
          <w:smallCaps/>
          <w:lang w:val="fr-CA"/>
        </w:rPr>
        <w:t xml:space="preserve">[traduction] </w:t>
      </w:r>
      <w:r w:rsidR="00203E16">
        <w:rPr>
          <w:rFonts w:cs="Times New Roman"/>
          <w:lang w:val="fr-CA"/>
        </w:rPr>
        <w:t>« </w:t>
      </w:r>
      <w:r w:rsidRPr="0001174C">
        <w:rPr>
          <w:rFonts w:cs="Times New Roman"/>
          <w:lang w:val="fr-CA"/>
        </w:rPr>
        <w:t xml:space="preserve">avouent </w:t>
      </w:r>
      <w:r>
        <w:rPr>
          <w:rFonts w:cs="Times New Roman"/>
          <w:lang w:val="fr-CA"/>
        </w:rPr>
        <w:t xml:space="preserve">parfois des crimes </w:t>
      </w:r>
      <w:r w:rsidRPr="0001174C">
        <w:rPr>
          <w:rFonts w:cs="Times New Roman"/>
          <w:lang w:val="fr-CA"/>
        </w:rPr>
        <w:t>qu</w:t>
      </w:r>
      <w:r>
        <w:rPr>
          <w:rFonts w:cs="Times New Roman"/>
          <w:lang w:val="fr-CA"/>
        </w:rPr>
        <w:t>’</w:t>
      </w:r>
      <w:r w:rsidRPr="0001174C">
        <w:rPr>
          <w:rFonts w:cs="Times New Roman"/>
          <w:lang w:val="fr-CA"/>
        </w:rPr>
        <w:t>ils n</w:t>
      </w:r>
      <w:r>
        <w:rPr>
          <w:rFonts w:cs="Times New Roman"/>
          <w:lang w:val="fr-CA"/>
        </w:rPr>
        <w:t>’</w:t>
      </w:r>
      <w:r w:rsidRPr="0001174C">
        <w:rPr>
          <w:rFonts w:cs="Times New Roman"/>
          <w:lang w:val="fr-CA"/>
        </w:rPr>
        <w:t xml:space="preserve">ont </w:t>
      </w:r>
      <w:r>
        <w:rPr>
          <w:rFonts w:cs="Times New Roman"/>
          <w:lang w:val="fr-CA"/>
        </w:rPr>
        <w:t xml:space="preserve">pas </w:t>
      </w:r>
      <w:r w:rsidRPr="0001174C">
        <w:rPr>
          <w:rFonts w:cs="Times New Roman"/>
          <w:lang w:val="fr-CA"/>
        </w:rPr>
        <w:t>commis</w:t>
      </w:r>
      <w:r w:rsidR="00203E16">
        <w:rPr>
          <w:rFonts w:cs="Times New Roman"/>
          <w:lang w:val="fr-CA"/>
        </w:rPr>
        <w:t> »</w:t>
      </w:r>
      <w:r>
        <w:rPr>
          <w:rFonts w:cs="Times New Roman"/>
          <w:lang w:val="fr-CA"/>
        </w:rPr>
        <w:t xml:space="preserve"> (par.</w:t>
      </w:r>
      <w:r w:rsidR="00203E16">
        <w:rPr>
          <w:rFonts w:cs="Times New Roman"/>
          <w:lang w:val="fr-CA"/>
        </w:rPr>
        <w:t xml:space="preserve"> </w:t>
      </w:r>
      <w:r>
        <w:rPr>
          <w:rFonts w:cs="Times New Roman"/>
          <w:lang w:val="fr-CA"/>
        </w:rPr>
        <w:t>66</w:t>
      </w:r>
      <w:r w:rsidR="005044C1">
        <w:rPr>
          <w:rFonts w:cs="Times New Roman"/>
          <w:lang w:val="fr-CA"/>
        </w:rPr>
        <w:t xml:space="preserve"> (soulignement omis)</w:t>
      </w:r>
      <w:r>
        <w:rPr>
          <w:rFonts w:cs="Times New Roman"/>
          <w:lang w:val="fr-CA"/>
        </w:rPr>
        <w:t>)</w:t>
      </w:r>
      <w:r w:rsidRPr="0001174C">
        <w:rPr>
          <w:rFonts w:cs="Times New Roman"/>
          <w:lang w:val="fr-CA"/>
        </w:rPr>
        <w:t>. De</w:t>
      </w:r>
      <w:r>
        <w:rPr>
          <w:rFonts w:cs="Times New Roman"/>
          <w:lang w:val="fr-CA"/>
        </w:rPr>
        <w:t xml:space="preserve"> </w:t>
      </w:r>
      <w:r w:rsidRPr="0001174C">
        <w:rPr>
          <w:rFonts w:cs="Times New Roman"/>
          <w:lang w:val="fr-CA"/>
        </w:rPr>
        <w:t xml:space="preserve">plus, </w:t>
      </w:r>
      <w:r>
        <w:rPr>
          <w:rFonts w:cs="Times New Roman"/>
          <w:lang w:val="fr-CA"/>
        </w:rPr>
        <w:t xml:space="preserve">il </w:t>
      </w:r>
      <w:r w:rsidRPr="0001174C">
        <w:rPr>
          <w:rFonts w:cs="Times New Roman"/>
          <w:lang w:val="fr-CA"/>
        </w:rPr>
        <w:t xml:space="preserve">a </w:t>
      </w:r>
      <w:r>
        <w:rPr>
          <w:rFonts w:cs="Times New Roman"/>
          <w:lang w:val="fr-CA"/>
        </w:rPr>
        <w:t>précisé</w:t>
      </w:r>
      <w:r w:rsidRPr="0001174C">
        <w:rPr>
          <w:rFonts w:cs="Times New Roman"/>
          <w:lang w:val="fr-CA"/>
        </w:rPr>
        <w:t xml:space="preserve"> que </w:t>
      </w:r>
      <w:r w:rsidR="00203E16">
        <w:rPr>
          <w:rFonts w:cs="Times New Roman"/>
          <w:lang w:val="fr-CA"/>
        </w:rPr>
        <w:t>« </w:t>
      </w:r>
      <w:r w:rsidRPr="0001174C">
        <w:rPr>
          <w:rFonts w:cs="Times New Roman"/>
          <w:lang w:val="fr-CA"/>
        </w:rPr>
        <w:t>les aveux recueillis lors d</w:t>
      </w:r>
      <w:r>
        <w:rPr>
          <w:rFonts w:cs="Times New Roman"/>
          <w:lang w:val="fr-CA"/>
        </w:rPr>
        <w:t>’</w:t>
      </w:r>
      <w:r w:rsidRPr="0001174C">
        <w:rPr>
          <w:rFonts w:cs="Times New Roman"/>
          <w:lang w:val="fr-CA"/>
        </w:rPr>
        <w:t xml:space="preserve">une opération </w:t>
      </w:r>
      <w:r>
        <w:rPr>
          <w:rFonts w:cs="Times New Roman"/>
          <w:lang w:val="fr-CA"/>
        </w:rPr>
        <w:t xml:space="preserve">comme celle qui s’est déroulée en l’espèce </w:t>
      </w:r>
      <w:r w:rsidRPr="0001174C">
        <w:rPr>
          <w:rFonts w:cs="Times New Roman"/>
          <w:lang w:val="fr-CA"/>
        </w:rPr>
        <w:t xml:space="preserve">sont </w:t>
      </w:r>
      <w:r>
        <w:rPr>
          <w:rFonts w:cs="Times New Roman"/>
          <w:lang w:val="fr-CA"/>
        </w:rPr>
        <w:t xml:space="preserve">tenus pour </w:t>
      </w:r>
      <w:r w:rsidRPr="0001174C">
        <w:rPr>
          <w:rFonts w:cs="Times New Roman"/>
          <w:lang w:val="fr-CA"/>
        </w:rPr>
        <w:t xml:space="preserve">intrinsèquement non </w:t>
      </w:r>
      <w:r>
        <w:rPr>
          <w:rFonts w:cs="Times New Roman"/>
          <w:lang w:val="fr-CA"/>
        </w:rPr>
        <w:t>dignes de foi</w:t>
      </w:r>
      <w:r w:rsidR="00203E16">
        <w:rPr>
          <w:rFonts w:cs="Times New Roman"/>
          <w:lang w:val="fr-CA"/>
        </w:rPr>
        <w:t> »</w:t>
      </w:r>
      <w:r>
        <w:rPr>
          <w:rFonts w:cs="Times New Roman"/>
          <w:lang w:val="fr-CA"/>
        </w:rPr>
        <w:t xml:space="preserve"> (</w:t>
      </w:r>
      <w:r w:rsidRPr="00D135CA">
        <w:rPr>
          <w:rFonts w:cs="Times New Roman"/>
          <w:i/>
          <w:lang w:val="fr-CA"/>
        </w:rPr>
        <w:t>ibid.</w:t>
      </w:r>
      <w:r w:rsidRPr="00D135CA">
        <w:rPr>
          <w:rFonts w:cs="Times New Roman"/>
          <w:lang w:val="fr-CA"/>
        </w:rPr>
        <w:t>).</w:t>
      </w:r>
      <w:r w:rsidRPr="0001174C">
        <w:rPr>
          <w:rFonts w:cs="Times New Roman"/>
          <w:lang w:val="fr-CA"/>
        </w:rPr>
        <w:t xml:space="preserve"> </w:t>
      </w:r>
      <w:r>
        <w:rPr>
          <w:rFonts w:cs="Times New Roman"/>
          <w:lang w:val="fr-CA"/>
        </w:rPr>
        <w:t xml:space="preserve">Faute </w:t>
      </w:r>
      <w:r w:rsidRPr="0001174C">
        <w:rPr>
          <w:rFonts w:cs="Times New Roman"/>
          <w:lang w:val="fr-CA"/>
        </w:rPr>
        <w:t xml:space="preserve">de </w:t>
      </w:r>
      <w:r>
        <w:rPr>
          <w:rFonts w:cs="Times New Roman"/>
          <w:lang w:val="fr-CA"/>
        </w:rPr>
        <w:t xml:space="preserve">corroboration </w:t>
      </w:r>
      <w:r w:rsidRPr="0001174C">
        <w:rPr>
          <w:rFonts w:cs="Times New Roman"/>
          <w:lang w:val="fr-CA"/>
        </w:rPr>
        <w:t>indépendante</w:t>
      </w:r>
      <w:r>
        <w:rPr>
          <w:rFonts w:cs="Times New Roman"/>
          <w:lang w:val="fr-CA"/>
        </w:rPr>
        <w:t xml:space="preserve">, </w:t>
      </w:r>
      <w:r w:rsidRPr="0001174C">
        <w:rPr>
          <w:rFonts w:cs="Times New Roman"/>
          <w:lang w:val="fr-CA"/>
        </w:rPr>
        <w:t xml:space="preserve">les aveux </w:t>
      </w:r>
      <w:r>
        <w:rPr>
          <w:rFonts w:cs="Times New Roman"/>
          <w:lang w:val="fr-CA"/>
        </w:rPr>
        <w:t>issus d’une opération Monsieur</w:t>
      </w:r>
      <w:r w:rsidRPr="0001174C">
        <w:rPr>
          <w:rFonts w:cs="Times New Roman"/>
          <w:lang w:val="fr-CA"/>
        </w:rPr>
        <w:t xml:space="preserve"> Big </w:t>
      </w:r>
      <w:r>
        <w:rPr>
          <w:rFonts w:cs="Times New Roman"/>
          <w:lang w:val="fr-CA"/>
        </w:rPr>
        <w:t xml:space="preserve">étaient, selon lui, </w:t>
      </w:r>
      <w:r w:rsidR="00203E16">
        <w:rPr>
          <w:rFonts w:cs="Times New Roman"/>
          <w:lang w:val="fr-CA"/>
        </w:rPr>
        <w:t>« </w:t>
      </w:r>
      <w:r w:rsidRPr="0001174C">
        <w:rPr>
          <w:rFonts w:cs="Times New Roman"/>
          <w:lang w:val="fr-CA"/>
        </w:rPr>
        <w:t>très suspects</w:t>
      </w:r>
      <w:r w:rsidR="00203E16">
        <w:rPr>
          <w:rFonts w:cs="Times New Roman"/>
          <w:lang w:val="fr-CA"/>
        </w:rPr>
        <w:t> »</w:t>
      </w:r>
      <w:r w:rsidRPr="0001174C">
        <w:rPr>
          <w:rFonts w:cs="Times New Roman"/>
          <w:lang w:val="fr-CA"/>
        </w:rPr>
        <w:t xml:space="preserve"> </w:t>
      </w:r>
      <w:r>
        <w:rPr>
          <w:rFonts w:cs="Times New Roman"/>
          <w:lang w:val="fr-CA"/>
        </w:rPr>
        <w:t>(</w:t>
      </w:r>
      <w:r w:rsidRPr="00237353">
        <w:rPr>
          <w:rFonts w:cs="Times New Roman"/>
          <w:i/>
          <w:lang w:val="fr-CA"/>
        </w:rPr>
        <w:t>ibid.</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En ce qui concerne la preuve de mauvaise moralité admise, l</w:t>
      </w:r>
      <w:r>
        <w:rPr>
          <w:rFonts w:cs="Times New Roman"/>
          <w:lang w:val="fr-CA"/>
        </w:rPr>
        <w:t>’</w:t>
      </w:r>
      <w:r w:rsidRPr="0001174C">
        <w:rPr>
          <w:rFonts w:cs="Times New Roman"/>
          <w:lang w:val="fr-CA"/>
        </w:rPr>
        <w:t xml:space="preserve">appelant </w:t>
      </w:r>
      <w:r>
        <w:rPr>
          <w:rFonts w:cs="Times New Roman"/>
          <w:lang w:val="fr-CA"/>
        </w:rPr>
        <w:t xml:space="preserve">prétend </w:t>
      </w:r>
      <w:r w:rsidRPr="0001174C">
        <w:rPr>
          <w:rFonts w:cs="Times New Roman"/>
          <w:lang w:val="fr-CA"/>
        </w:rPr>
        <w:t xml:space="preserve">que le juge doit donner des directives restrictives </w:t>
      </w:r>
      <w:r>
        <w:rPr>
          <w:rFonts w:cs="Times New Roman"/>
          <w:lang w:val="fr-CA"/>
        </w:rPr>
        <w:t xml:space="preserve">à la fois </w:t>
      </w:r>
      <w:r w:rsidRPr="0001174C">
        <w:rPr>
          <w:rFonts w:cs="Times New Roman"/>
          <w:smallCaps/>
          <w:lang w:val="fr-CA"/>
        </w:rPr>
        <w:t xml:space="preserve">[traduction] </w:t>
      </w:r>
      <w:r w:rsidR="00203E16">
        <w:rPr>
          <w:rFonts w:cs="Times New Roman"/>
          <w:lang w:val="fr-CA"/>
        </w:rPr>
        <w:t>« </w:t>
      </w:r>
      <w:r w:rsidRPr="0001174C">
        <w:rPr>
          <w:rFonts w:cs="Times New Roman"/>
          <w:i/>
          <w:lang w:val="fr-CA"/>
        </w:rPr>
        <w:t>fermes et précises</w:t>
      </w:r>
      <w:r w:rsidR="00203E16">
        <w:rPr>
          <w:rFonts w:cs="Times New Roman"/>
          <w:lang w:val="fr-CA"/>
        </w:rPr>
        <w:t> »</w:t>
      </w:r>
      <w:r>
        <w:rPr>
          <w:rFonts w:cs="Times New Roman"/>
          <w:lang w:val="fr-CA"/>
        </w:rPr>
        <w:t>,</w:t>
      </w:r>
      <w:r w:rsidRPr="0001174C">
        <w:rPr>
          <w:rFonts w:cs="Times New Roman"/>
          <w:lang w:val="fr-CA"/>
        </w:rPr>
        <w:t xml:space="preserve"> </w:t>
      </w:r>
      <w:r>
        <w:rPr>
          <w:rFonts w:cs="Times New Roman"/>
          <w:lang w:val="fr-CA"/>
        </w:rPr>
        <w:t>en particulier</w:t>
      </w:r>
      <w:r w:rsidRPr="0001174C">
        <w:rPr>
          <w:rFonts w:cs="Times New Roman"/>
          <w:lang w:val="fr-CA"/>
        </w:rPr>
        <w:t xml:space="preserve"> </w:t>
      </w:r>
      <w:r w:rsidR="00203E16">
        <w:rPr>
          <w:rFonts w:cs="Times New Roman"/>
          <w:lang w:val="fr-CA"/>
        </w:rPr>
        <w:t>« </w:t>
      </w:r>
      <w:r>
        <w:rPr>
          <w:rFonts w:cs="Times New Roman"/>
          <w:lang w:val="fr-CA"/>
        </w:rPr>
        <w:t>sur l</w:t>
      </w:r>
      <w:r w:rsidRPr="0001174C">
        <w:rPr>
          <w:rFonts w:cs="Times New Roman"/>
          <w:lang w:val="fr-CA"/>
        </w:rPr>
        <w:t xml:space="preserve">es efforts importants déployés par les </w:t>
      </w:r>
      <w:r w:rsidRPr="0001174C">
        <w:rPr>
          <w:rFonts w:cs="Times New Roman"/>
          <w:lang w:val="fr-CA"/>
        </w:rPr>
        <w:lastRenderedPageBreak/>
        <w:t>policiers pour inciter</w:t>
      </w:r>
      <w:r w:rsidR="00203E16">
        <w:rPr>
          <w:rFonts w:cs="Times New Roman"/>
          <w:lang w:val="fr-CA"/>
        </w:rPr>
        <w:t> »</w:t>
      </w:r>
      <w:r w:rsidRPr="0001174C">
        <w:rPr>
          <w:rFonts w:cs="Times New Roman"/>
          <w:lang w:val="fr-CA"/>
        </w:rPr>
        <w:t xml:space="preserve"> l</w:t>
      </w:r>
      <w:r>
        <w:rPr>
          <w:rFonts w:cs="Times New Roman"/>
          <w:lang w:val="fr-CA"/>
        </w:rPr>
        <w:t>’</w:t>
      </w:r>
      <w:r w:rsidRPr="0001174C">
        <w:rPr>
          <w:rFonts w:cs="Times New Roman"/>
          <w:lang w:val="fr-CA"/>
        </w:rPr>
        <w:t>accusé à prendre part à des actes répréhensibles (</w:t>
      </w:r>
      <w:r>
        <w:rPr>
          <w:rFonts w:cs="Times New Roman"/>
          <w:lang w:val="fr-CA"/>
        </w:rPr>
        <w:t>m.a., par.</w:t>
      </w:r>
      <w:r w:rsidR="00203E16">
        <w:rPr>
          <w:rFonts w:cs="Times New Roman"/>
          <w:lang w:val="fr-CA"/>
        </w:rPr>
        <w:t xml:space="preserve"> </w:t>
      </w:r>
      <w:r>
        <w:rPr>
          <w:rFonts w:cs="Times New Roman"/>
          <w:lang w:val="fr-CA"/>
        </w:rPr>
        <w:t>102</w:t>
      </w:r>
      <w:r w:rsidR="005044C1">
        <w:rPr>
          <w:rFonts w:cs="Times New Roman"/>
          <w:lang w:val="fr-CA"/>
        </w:rPr>
        <w:t>-</w:t>
      </w:r>
      <w:r w:rsidRPr="0001174C">
        <w:rPr>
          <w:rFonts w:cs="Times New Roman"/>
          <w:lang w:val="fr-CA"/>
        </w:rPr>
        <w:t>103</w:t>
      </w:r>
      <w:r w:rsidR="005044C1">
        <w:rPr>
          <w:rFonts w:cs="Times New Roman"/>
          <w:lang w:val="fr-CA"/>
        </w:rPr>
        <w:t xml:space="preserve"> (en </w:t>
      </w:r>
      <w:r>
        <w:rPr>
          <w:rFonts w:cs="Times New Roman"/>
          <w:lang w:val="fr-CA"/>
        </w:rPr>
        <w:t>italique dans l’original</w:t>
      </w:r>
      <w:r w:rsidR="005044C1">
        <w:rPr>
          <w:rFonts w:cs="Times New Roman"/>
          <w:lang w:val="fr-CA"/>
        </w:rPr>
        <w:t>)</w:t>
      </w:r>
      <w:r w:rsidRPr="0001174C">
        <w:rPr>
          <w:rFonts w:cs="Times New Roman"/>
          <w:lang w:val="fr-CA"/>
        </w:rPr>
        <w:t>).</w:t>
      </w:r>
    </w:p>
    <w:p w:rsidR="00AF2876" w:rsidRPr="0001174C" w:rsidRDefault="00AF2876" w:rsidP="00AF2876">
      <w:pPr>
        <w:pStyle w:val="ParaNoNdepar-AltN"/>
        <w:rPr>
          <w:rFonts w:cs="Times New Roman"/>
          <w:lang w:val="fr-CA"/>
        </w:rPr>
      </w:pPr>
      <w:r>
        <w:rPr>
          <w:rFonts w:cs="Times New Roman"/>
          <w:lang w:val="fr-CA"/>
        </w:rPr>
        <w:t>Au vu de ces considérations</w:t>
      </w:r>
      <w:r w:rsidRPr="0001174C">
        <w:rPr>
          <w:rFonts w:cs="Times New Roman"/>
          <w:lang w:val="fr-CA"/>
        </w:rPr>
        <w:t>, l</w:t>
      </w:r>
      <w:r>
        <w:rPr>
          <w:rFonts w:cs="Times New Roman"/>
          <w:lang w:val="fr-CA"/>
        </w:rPr>
        <w:t>’</w:t>
      </w:r>
      <w:r w:rsidRPr="0001174C">
        <w:rPr>
          <w:rFonts w:cs="Times New Roman"/>
          <w:lang w:val="fr-CA"/>
        </w:rPr>
        <w:t xml:space="preserve">appelant </w:t>
      </w:r>
      <w:r>
        <w:rPr>
          <w:rFonts w:cs="Times New Roman"/>
          <w:lang w:val="fr-CA"/>
        </w:rPr>
        <w:t xml:space="preserve">fait valoir </w:t>
      </w:r>
      <w:r w:rsidRPr="0001174C">
        <w:rPr>
          <w:rFonts w:cs="Times New Roman"/>
          <w:lang w:val="fr-CA"/>
        </w:rPr>
        <w:t xml:space="preserve">que les directives </w:t>
      </w:r>
      <w:r>
        <w:rPr>
          <w:rFonts w:cs="Times New Roman"/>
          <w:lang w:val="fr-CA"/>
        </w:rPr>
        <w:t xml:space="preserve">du </w:t>
      </w:r>
      <w:r w:rsidRPr="0001174C">
        <w:rPr>
          <w:rFonts w:cs="Times New Roman"/>
          <w:lang w:val="fr-CA"/>
        </w:rPr>
        <w:t>juge</w:t>
      </w:r>
      <w:r>
        <w:rPr>
          <w:rFonts w:cs="Times New Roman"/>
          <w:lang w:val="fr-CA"/>
        </w:rPr>
        <w:t xml:space="preserve"> </w:t>
      </w:r>
      <w:r w:rsidRPr="0001174C">
        <w:rPr>
          <w:rFonts w:cs="Times New Roman"/>
          <w:lang w:val="fr-CA"/>
        </w:rPr>
        <w:t xml:space="preserve">— </w:t>
      </w:r>
      <w:r>
        <w:rPr>
          <w:rFonts w:cs="Times New Roman"/>
          <w:lang w:val="fr-CA"/>
        </w:rPr>
        <w:t xml:space="preserve">qui font </w:t>
      </w:r>
      <w:r w:rsidRPr="0001174C">
        <w:rPr>
          <w:rFonts w:cs="Times New Roman"/>
          <w:lang w:val="fr-CA"/>
        </w:rPr>
        <w:t>état en l</w:t>
      </w:r>
      <w:r>
        <w:rPr>
          <w:rFonts w:cs="Times New Roman"/>
          <w:lang w:val="fr-CA"/>
        </w:rPr>
        <w:t>’</w:t>
      </w:r>
      <w:r w:rsidRPr="0001174C">
        <w:rPr>
          <w:rFonts w:cs="Times New Roman"/>
          <w:lang w:val="fr-CA"/>
        </w:rPr>
        <w:t>espèce de</w:t>
      </w:r>
      <w:r>
        <w:rPr>
          <w:rFonts w:cs="Times New Roman"/>
          <w:lang w:val="fr-CA"/>
        </w:rPr>
        <w:t>s craintes de non</w:t>
      </w:r>
      <w:r w:rsidR="00203E16">
        <w:rPr>
          <w:rFonts w:cs="Times New Roman"/>
          <w:lang w:val="fr-CA"/>
        </w:rPr>
        <w:t>-</w:t>
      </w:r>
      <w:r w:rsidRPr="0001174C">
        <w:rPr>
          <w:rFonts w:cs="Times New Roman"/>
          <w:lang w:val="fr-CA"/>
        </w:rPr>
        <w:t xml:space="preserve">fiabilité </w:t>
      </w:r>
      <w:r w:rsidRPr="00D135CA">
        <w:rPr>
          <w:rFonts w:cs="Times New Roman"/>
          <w:lang w:val="fr-CA"/>
        </w:rPr>
        <w:t>éventuelle et du caractère préjudiciable</w:t>
      </w:r>
      <w:r w:rsidRPr="0001174C">
        <w:rPr>
          <w:rFonts w:cs="Times New Roman"/>
          <w:lang w:val="fr-CA"/>
        </w:rPr>
        <w:t xml:space="preserve"> — </w:t>
      </w:r>
      <w:r>
        <w:rPr>
          <w:rFonts w:cs="Times New Roman"/>
          <w:lang w:val="fr-CA"/>
        </w:rPr>
        <w:t xml:space="preserve">sont lacunaires </w:t>
      </w:r>
      <w:r w:rsidRPr="0001174C">
        <w:rPr>
          <w:rFonts w:cs="Times New Roman"/>
          <w:lang w:val="fr-CA"/>
        </w:rPr>
        <w:t>parce qu</w:t>
      </w:r>
      <w:r>
        <w:rPr>
          <w:rFonts w:cs="Times New Roman"/>
          <w:lang w:val="fr-CA"/>
        </w:rPr>
        <w:t>’</w:t>
      </w:r>
      <w:r w:rsidRPr="0001174C">
        <w:rPr>
          <w:rFonts w:cs="Times New Roman"/>
          <w:lang w:val="fr-CA"/>
        </w:rPr>
        <w:t xml:space="preserve">elles </w:t>
      </w:r>
      <w:r>
        <w:rPr>
          <w:rFonts w:cs="Times New Roman"/>
          <w:lang w:val="fr-CA"/>
        </w:rPr>
        <w:t xml:space="preserve">ne mettent </w:t>
      </w:r>
      <w:r w:rsidRPr="0001174C">
        <w:rPr>
          <w:rFonts w:cs="Times New Roman"/>
          <w:lang w:val="fr-CA"/>
        </w:rPr>
        <w:t xml:space="preserve">pas </w:t>
      </w:r>
      <w:r>
        <w:rPr>
          <w:rFonts w:cs="Times New Roman"/>
          <w:lang w:val="fr-CA"/>
        </w:rPr>
        <w:t xml:space="preserve">le jury </w:t>
      </w:r>
      <w:r w:rsidRPr="0001174C">
        <w:rPr>
          <w:rFonts w:cs="Times New Roman"/>
          <w:lang w:val="fr-CA"/>
        </w:rPr>
        <w:t xml:space="preserve">suffisamment en garde </w:t>
      </w:r>
      <w:r>
        <w:rPr>
          <w:rFonts w:cs="Times New Roman"/>
          <w:lang w:val="fr-CA"/>
        </w:rPr>
        <w:t xml:space="preserve">contre les risques </w:t>
      </w:r>
      <w:r w:rsidRPr="0001174C">
        <w:rPr>
          <w:rFonts w:cs="Times New Roman"/>
          <w:lang w:val="fr-CA"/>
        </w:rPr>
        <w:t xml:space="preserve">inhérents à </w:t>
      </w:r>
      <w:r>
        <w:rPr>
          <w:rFonts w:cs="Times New Roman"/>
          <w:lang w:val="fr-CA"/>
        </w:rPr>
        <w:t xml:space="preserve">une telle </w:t>
      </w:r>
      <w:r w:rsidRPr="0001174C">
        <w:rPr>
          <w:rFonts w:cs="Times New Roman"/>
          <w:lang w:val="fr-CA"/>
        </w:rPr>
        <w:t>preuve</w:t>
      </w:r>
      <w:r>
        <w:rPr>
          <w:rFonts w:cs="Times New Roman"/>
          <w:lang w:val="fr-CA"/>
        </w:rPr>
        <w:t>,</w:t>
      </w:r>
      <w:r w:rsidRPr="0001174C">
        <w:rPr>
          <w:rFonts w:cs="Times New Roman"/>
          <w:lang w:val="fr-CA"/>
        </w:rPr>
        <w:t xml:space="preserve"> </w:t>
      </w:r>
      <w:r>
        <w:rPr>
          <w:rFonts w:cs="Times New Roman"/>
          <w:lang w:val="fr-CA"/>
        </w:rPr>
        <w:t xml:space="preserve">ni ne lui enjoignent d’user de </w:t>
      </w:r>
      <w:r w:rsidRPr="0001174C">
        <w:rPr>
          <w:rFonts w:cs="Times New Roman"/>
          <w:lang w:val="fr-CA"/>
        </w:rPr>
        <w:t>prudence extrême avant de déclarer l</w:t>
      </w:r>
      <w:r>
        <w:rPr>
          <w:rFonts w:cs="Times New Roman"/>
          <w:lang w:val="fr-CA"/>
        </w:rPr>
        <w:t>’</w:t>
      </w:r>
      <w:r w:rsidRPr="0001174C">
        <w:rPr>
          <w:rFonts w:cs="Times New Roman"/>
          <w:lang w:val="fr-CA"/>
        </w:rPr>
        <w:t>accusé coupable</w:t>
      </w:r>
      <w:r>
        <w:rPr>
          <w:rFonts w:cs="Times New Roman"/>
          <w:lang w:val="fr-CA"/>
        </w:rPr>
        <w:t xml:space="preserve"> sur son fondement</w:t>
      </w:r>
      <w:r w:rsidRPr="0001174C">
        <w:rPr>
          <w:rFonts w:cs="Times New Roman"/>
          <w:lang w:val="fr-CA"/>
        </w:rPr>
        <w:t>.</w:t>
      </w:r>
    </w:p>
    <w:p w:rsidR="00AF2876" w:rsidRPr="001D0501" w:rsidRDefault="00AF2876" w:rsidP="00AF2876">
      <w:pPr>
        <w:pStyle w:val="ParaNoNdepar-AltN"/>
        <w:rPr>
          <w:rFonts w:cs="Times New Roman"/>
          <w:lang w:val="fr-CA"/>
        </w:rPr>
      </w:pPr>
      <w:r>
        <w:rPr>
          <w:rFonts w:cs="Times New Roman"/>
          <w:lang w:val="fr-CA"/>
        </w:rPr>
        <w:t>Soit dit en t</w:t>
      </w:r>
      <w:r w:rsidRPr="0001174C">
        <w:rPr>
          <w:rFonts w:cs="Times New Roman"/>
          <w:lang w:val="fr-CA"/>
        </w:rPr>
        <w:t xml:space="preserve">out </w:t>
      </w:r>
      <w:r>
        <w:rPr>
          <w:rFonts w:cs="Times New Roman"/>
          <w:lang w:val="fr-CA"/>
        </w:rPr>
        <w:t>respect</w:t>
      </w:r>
      <w:r w:rsidRPr="0001174C">
        <w:rPr>
          <w:rFonts w:cs="Times New Roman"/>
          <w:lang w:val="fr-CA"/>
        </w:rPr>
        <w:t xml:space="preserve">, je ne partage pas cet avis. </w:t>
      </w:r>
      <w:r>
        <w:rPr>
          <w:rFonts w:cs="Times New Roman"/>
          <w:lang w:val="fr-CA"/>
        </w:rPr>
        <w:t>D</w:t>
      </w:r>
      <w:r w:rsidRPr="0001174C">
        <w:rPr>
          <w:rFonts w:cs="Times New Roman"/>
          <w:lang w:val="fr-CA"/>
        </w:rPr>
        <w:t>ans les circonstances</w:t>
      </w:r>
      <w:r>
        <w:rPr>
          <w:rFonts w:cs="Times New Roman"/>
          <w:lang w:val="fr-CA"/>
        </w:rPr>
        <w:t>,</w:t>
      </w:r>
      <w:r w:rsidRPr="0001174C">
        <w:rPr>
          <w:rFonts w:cs="Times New Roman"/>
          <w:lang w:val="fr-CA"/>
        </w:rPr>
        <w:t xml:space="preserve"> </w:t>
      </w:r>
      <w:r>
        <w:rPr>
          <w:rFonts w:cs="Times New Roman"/>
          <w:lang w:val="fr-CA"/>
        </w:rPr>
        <w:t>l</w:t>
      </w:r>
      <w:r w:rsidRPr="0001174C">
        <w:rPr>
          <w:rFonts w:cs="Times New Roman"/>
          <w:lang w:val="fr-CA"/>
        </w:rPr>
        <w:t xml:space="preserve">es directives étaient à mon avis adéquates. </w:t>
      </w:r>
      <w:r>
        <w:rPr>
          <w:rFonts w:cs="Times New Roman"/>
          <w:lang w:val="fr-CA"/>
        </w:rPr>
        <w:t xml:space="preserve">Je rappelle d’ailleurs </w:t>
      </w:r>
      <w:r w:rsidRPr="0001174C">
        <w:rPr>
          <w:rFonts w:cs="Times New Roman"/>
          <w:lang w:val="fr-CA"/>
        </w:rPr>
        <w:t xml:space="preserve">ce que notre Cour a </w:t>
      </w:r>
      <w:r>
        <w:rPr>
          <w:rFonts w:cs="Times New Roman"/>
          <w:lang w:val="fr-CA"/>
        </w:rPr>
        <w:t xml:space="preserve">affirmé </w:t>
      </w:r>
      <w:r w:rsidRPr="0001174C">
        <w:rPr>
          <w:rFonts w:cs="Times New Roman"/>
          <w:lang w:val="fr-CA"/>
        </w:rPr>
        <w:t xml:space="preserve">à de nombreuses reprises, </w:t>
      </w:r>
      <w:r>
        <w:rPr>
          <w:rFonts w:cs="Times New Roman"/>
          <w:lang w:val="fr-CA"/>
        </w:rPr>
        <w:t xml:space="preserve">à savoir </w:t>
      </w:r>
      <w:r w:rsidRPr="0001174C">
        <w:rPr>
          <w:rFonts w:cs="Times New Roman"/>
          <w:lang w:val="fr-CA"/>
        </w:rPr>
        <w:t>que l</w:t>
      </w:r>
      <w:r>
        <w:rPr>
          <w:rFonts w:cs="Times New Roman"/>
          <w:lang w:val="fr-CA"/>
        </w:rPr>
        <w:t>’</w:t>
      </w:r>
      <w:r w:rsidRPr="0001174C">
        <w:rPr>
          <w:rFonts w:cs="Times New Roman"/>
          <w:lang w:val="fr-CA"/>
        </w:rPr>
        <w:t xml:space="preserve">accusé a droit à ce que le jury reçoive des directives </w:t>
      </w:r>
      <w:r>
        <w:rPr>
          <w:rFonts w:cs="Times New Roman"/>
          <w:lang w:val="fr-CA"/>
        </w:rPr>
        <w:t xml:space="preserve">non pas parfaites, mais </w:t>
      </w:r>
      <w:r w:rsidRPr="0001174C">
        <w:rPr>
          <w:rFonts w:cs="Times New Roman"/>
          <w:lang w:val="fr-CA"/>
        </w:rPr>
        <w:t>appropriées (</w:t>
      </w:r>
      <w:r w:rsidRPr="0001174C">
        <w:rPr>
          <w:rFonts w:cs="Times New Roman"/>
          <w:i/>
          <w:lang w:val="fr-CA"/>
        </w:rPr>
        <w:t>R. c. Jacquard</w:t>
      </w:r>
      <w:r w:rsidRPr="0001174C">
        <w:rPr>
          <w:rFonts w:cs="Times New Roman"/>
          <w:lang w:val="fr-CA"/>
        </w:rPr>
        <w:t xml:space="preserve">, [1997] 1 </w:t>
      </w:r>
      <w:r>
        <w:rPr>
          <w:rFonts w:cs="Times New Roman"/>
          <w:lang w:val="fr-CA"/>
        </w:rPr>
        <w:t>R.C.S</w:t>
      </w:r>
      <w:r w:rsidRPr="0001174C">
        <w:rPr>
          <w:rFonts w:cs="Times New Roman"/>
          <w:lang w:val="fr-CA"/>
        </w:rPr>
        <w:t>. 314</w:t>
      </w:r>
      <w:r>
        <w:rPr>
          <w:rFonts w:cs="Times New Roman"/>
          <w:lang w:val="fr-CA"/>
        </w:rPr>
        <w:t>,</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 xml:space="preserve">2). </w:t>
      </w:r>
      <w:r>
        <w:rPr>
          <w:rFonts w:cs="Times New Roman"/>
          <w:lang w:val="fr-CA"/>
        </w:rPr>
        <w:t xml:space="preserve">Ce </w:t>
      </w:r>
      <w:r w:rsidRPr="0001174C">
        <w:rPr>
          <w:rFonts w:cs="Times New Roman"/>
          <w:lang w:val="fr-CA"/>
        </w:rPr>
        <w:t>qui compte</w:t>
      </w:r>
      <w:r>
        <w:rPr>
          <w:rFonts w:cs="Times New Roman"/>
          <w:lang w:val="fr-CA"/>
        </w:rPr>
        <w:t xml:space="preserve"> lors de l’examen des directives</w:t>
      </w:r>
      <w:r w:rsidRPr="0001174C">
        <w:rPr>
          <w:rFonts w:cs="Times New Roman"/>
          <w:lang w:val="fr-CA"/>
        </w:rPr>
        <w:t xml:space="preserve"> c</w:t>
      </w:r>
      <w:r>
        <w:rPr>
          <w:rFonts w:cs="Times New Roman"/>
          <w:lang w:val="fr-CA"/>
        </w:rPr>
        <w:t>’</w:t>
      </w:r>
      <w:r w:rsidRPr="0001174C">
        <w:rPr>
          <w:rFonts w:cs="Times New Roman"/>
          <w:lang w:val="fr-CA"/>
        </w:rPr>
        <w:t xml:space="preserve">est </w:t>
      </w:r>
      <w:r>
        <w:rPr>
          <w:rFonts w:cs="Times New Roman"/>
          <w:lang w:val="fr-CA"/>
        </w:rPr>
        <w:t xml:space="preserve">leur teneur, </w:t>
      </w:r>
      <w:r w:rsidRPr="0001174C">
        <w:rPr>
          <w:rFonts w:cs="Times New Roman"/>
          <w:lang w:val="fr-CA"/>
        </w:rPr>
        <w:t xml:space="preserve">non </w:t>
      </w:r>
      <w:r>
        <w:rPr>
          <w:rFonts w:cs="Times New Roman"/>
          <w:lang w:val="fr-CA"/>
        </w:rPr>
        <w:t>le respect ou le non</w:t>
      </w:r>
      <w:r w:rsidR="00203E16">
        <w:rPr>
          <w:rFonts w:cs="Times New Roman"/>
          <w:lang w:val="fr-CA"/>
        </w:rPr>
        <w:t>-</w:t>
      </w:r>
      <w:r>
        <w:rPr>
          <w:rFonts w:cs="Times New Roman"/>
          <w:lang w:val="fr-CA"/>
        </w:rPr>
        <w:t xml:space="preserve">respect </w:t>
      </w:r>
      <w:r w:rsidRPr="001D0501">
        <w:rPr>
          <w:rFonts w:cs="Times New Roman"/>
          <w:lang w:val="fr-CA"/>
        </w:rPr>
        <w:t>d’une formule consacrée (</w:t>
      </w:r>
      <w:r w:rsidRPr="001D0501">
        <w:rPr>
          <w:rFonts w:cs="Times New Roman"/>
          <w:i/>
          <w:lang w:val="fr-CA"/>
        </w:rPr>
        <w:t>R. c. Luciano</w:t>
      </w:r>
      <w:r w:rsidRPr="001D0501">
        <w:rPr>
          <w:rFonts w:cs="Times New Roman"/>
          <w:lang w:val="fr-CA"/>
        </w:rPr>
        <w:t>,</w:t>
      </w:r>
      <w:r w:rsidRPr="001D0501">
        <w:rPr>
          <w:rFonts w:cs="Times New Roman"/>
          <w:i/>
          <w:lang w:val="fr-CA"/>
        </w:rPr>
        <w:t xml:space="preserve"> </w:t>
      </w:r>
      <w:r w:rsidRPr="001D0501">
        <w:rPr>
          <w:rFonts w:cs="Times New Roman"/>
          <w:lang w:val="fr-CA"/>
        </w:rPr>
        <w:t>2011 ONCA 89, 273 O.A.C. 273,</w:t>
      </w:r>
      <w:r w:rsidRPr="001D0501">
        <w:rPr>
          <w:rFonts w:cs="Times New Roman"/>
          <w:i/>
          <w:lang w:val="fr-CA"/>
        </w:rPr>
        <w:t xml:space="preserve"> </w:t>
      </w:r>
      <w:r>
        <w:rPr>
          <w:rFonts w:cs="Times New Roman"/>
          <w:lang w:val="fr-CA"/>
        </w:rPr>
        <w:t>par.</w:t>
      </w:r>
      <w:r w:rsidR="00203E16">
        <w:rPr>
          <w:rFonts w:cs="Times New Roman"/>
          <w:lang w:val="fr-CA"/>
        </w:rPr>
        <w:t xml:space="preserve"> </w:t>
      </w:r>
      <w:r w:rsidRPr="001D0501">
        <w:rPr>
          <w:rFonts w:cs="Times New Roman"/>
          <w:lang w:val="fr-CA"/>
        </w:rPr>
        <w:t>69). Le choix des mots et l’ordre des différents éléments relèvent du pouvoir discrétionnaire du juge (</w:t>
      </w:r>
      <w:r w:rsidRPr="001D0501">
        <w:rPr>
          <w:rFonts w:cs="Times New Roman"/>
          <w:i/>
          <w:lang w:val="fr-CA"/>
        </w:rPr>
        <w:t>R. c. Daley</w:t>
      </w:r>
      <w:r w:rsidRPr="001D0501">
        <w:rPr>
          <w:rFonts w:cs="Times New Roman"/>
          <w:lang w:val="fr-CA"/>
        </w:rPr>
        <w:t>,</w:t>
      </w:r>
      <w:r w:rsidRPr="001D0501">
        <w:rPr>
          <w:rFonts w:cs="Times New Roman"/>
          <w:i/>
          <w:lang w:val="fr-CA"/>
        </w:rPr>
        <w:t xml:space="preserve"> </w:t>
      </w:r>
      <w:r w:rsidRPr="001D0501">
        <w:rPr>
          <w:rFonts w:cs="Times New Roman"/>
          <w:lang w:val="fr-CA"/>
        </w:rPr>
        <w:t xml:space="preserve">2007 CSC 53, [2007] 3 R.C.S. 523, </w:t>
      </w:r>
      <w:r>
        <w:rPr>
          <w:rFonts w:cs="Times New Roman"/>
          <w:lang w:val="fr-CA"/>
        </w:rPr>
        <w:t>par.</w:t>
      </w:r>
      <w:r w:rsidR="00203E16">
        <w:rPr>
          <w:rFonts w:cs="Times New Roman"/>
          <w:lang w:val="fr-CA"/>
        </w:rPr>
        <w:t xml:space="preserve"> </w:t>
      </w:r>
      <w:r w:rsidRPr="001D0501">
        <w:rPr>
          <w:rFonts w:cs="Times New Roman"/>
          <w:lang w:val="fr-CA"/>
        </w:rPr>
        <w:t>30).</w:t>
      </w:r>
    </w:p>
    <w:p w:rsidR="00AF2876" w:rsidRPr="001D0501" w:rsidRDefault="00AF2876" w:rsidP="00AF2876">
      <w:pPr>
        <w:pStyle w:val="ParaNoNdepar-AltN"/>
        <w:rPr>
          <w:rFonts w:cs="Times New Roman"/>
          <w:lang w:val="fr-CA"/>
        </w:rPr>
      </w:pPr>
      <w:r w:rsidRPr="001D0501">
        <w:rPr>
          <w:rFonts w:cs="Times New Roman"/>
          <w:lang w:val="fr-CA"/>
        </w:rPr>
        <w:t xml:space="preserve">La démarche fonctionnelle que notre Cour a maintes fois fait sienne dans l’examen des directives au jury va à l’encontre de la thèse de l’appelant selon laquelle le juge du procès doit, chaque fois qu’une opération Monsieur Big a eu lieu, donner au jury des instructions semblables à celles jugées appropriées dans l’affaire </w:t>
      </w:r>
      <w:r w:rsidRPr="001D0501">
        <w:rPr>
          <w:rFonts w:cs="Times New Roman"/>
          <w:i/>
          <w:lang w:val="fr-CA"/>
        </w:rPr>
        <w:lastRenderedPageBreak/>
        <w:t>Bonisteel</w:t>
      </w:r>
      <w:r w:rsidRPr="001D0501">
        <w:rPr>
          <w:rFonts w:cs="Times New Roman"/>
          <w:lang w:val="fr-CA"/>
        </w:rPr>
        <w:t>. La Cour d’appel de la Colombie</w:t>
      </w:r>
      <w:r w:rsidR="00203E16">
        <w:rPr>
          <w:rFonts w:cs="Times New Roman"/>
          <w:lang w:val="fr-CA"/>
        </w:rPr>
        <w:t>-</w:t>
      </w:r>
      <w:r w:rsidRPr="001D0501">
        <w:rPr>
          <w:rFonts w:cs="Times New Roman"/>
          <w:lang w:val="fr-CA"/>
        </w:rPr>
        <w:t xml:space="preserve">Britannique a d’ailleurs rejeté cette approche et préféré soumettre les directives à un examen au cas par cas, selon le contexte (voir </w:t>
      </w:r>
      <w:r>
        <w:rPr>
          <w:rFonts w:cs="Times New Roman"/>
          <w:lang w:val="fr-CA"/>
        </w:rPr>
        <w:t>p.</w:t>
      </w:r>
      <w:r w:rsidR="00203E16">
        <w:rPr>
          <w:rFonts w:cs="Times New Roman"/>
          <w:lang w:val="fr-CA"/>
        </w:rPr>
        <w:t xml:space="preserve"> </w:t>
      </w:r>
      <w:r w:rsidRPr="001D0501">
        <w:rPr>
          <w:rFonts w:cs="Times New Roman"/>
          <w:lang w:val="fr-CA"/>
        </w:rPr>
        <w:t xml:space="preserve">ex. </w:t>
      </w:r>
      <w:r w:rsidRPr="001D0501">
        <w:rPr>
          <w:rFonts w:cs="Times New Roman"/>
          <w:i/>
          <w:lang w:val="fr-CA"/>
        </w:rPr>
        <w:t>R. c. Terrico</w:t>
      </w:r>
      <w:r w:rsidRPr="001D0501">
        <w:rPr>
          <w:rFonts w:cs="Times New Roman"/>
          <w:lang w:val="fr-CA"/>
        </w:rPr>
        <w:t>,</w:t>
      </w:r>
      <w:r w:rsidRPr="001D0501">
        <w:rPr>
          <w:rFonts w:cs="Times New Roman"/>
          <w:i/>
          <w:lang w:val="fr-CA"/>
        </w:rPr>
        <w:t xml:space="preserve"> </w:t>
      </w:r>
      <w:r w:rsidRPr="001D0501">
        <w:rPr>
          <w:rFonts w:cs="Times New Roman"/>
          <w:lang w:val="fr-CA"/>
        </w:rPr>
        <w:t xml:space="preserve">2005 BCCA 361, 214 B.C.A.C. 135, </w:t>
      </w:r>
      <w:r>
        <w:rPr>
          <w:rFonts w:cs="Times New Roman"/>
          <w:lang w:val="fr-CA"/>
        </w:rPr>
        <w:t>par.</w:t>
      </w:r>
      <w:r w:rsidR="00203E16">
        <w:rPr>
          <w:rFonts w:cs="Times New Roman"/>
          <w:lang w:val="fr-CA"/>
        </w:rPr>
        <w:t xml:space="preserve"> </w:t>
      </w:r>
      <w:r w:rsidRPr="001D0501">
        <w:rPr>
          <w:rFonts w:cs="Times New Roman"/>
          <w:lang w:val="fr-CA"/>
        </w:rPr>
        <w:t>42</w:t>
      </w:r>
      <w:r w:rsidR="005044C1">
        <w:rPr>
          <w:rFonts w:cs="Times New Roman"/>
          <w:lang w:val="fr-CA"/>
        </w:rPr>
        <w:t>-</w:t>
      </w:r>
      <w:r w:rsidRPr="001D0501">
        <w:rPr>
          <w:rFonts w:cs="Times New Roman"/>
          <w:lang w:val="fr-CA"/>
        </w:rPr>
        <w:t>43</w:t>
      </w:r>
      <w:r w:rsidR="005044C1">
        <w:rPr>
          <w:rFonts w:cs="Times New Roman"/>
          <w:lang w:val="fr-CA"/>
        </w:rPr>
        <w:t>,</w:t>
      </w:r>
      <w:r w:rsidRPr="001D0501">
        <w:rPr>
          <w:rFonts w:cs="Times New Roman"/>
          <w:lang w:val="fr-CA"/>
        </w:rPr>
        <w:t xml:space="preserve"> et </w:t>
      </w:r>
      <w:r w:rsidRPr="001D0501">
        <w:rPr>
          <w:rFonts w:cs="Times New Roman"/>
          <w:i/>
          <w:lang w:val="fr-CA"/>
        </w:rPr>
        <w:t>R. c. Fry</w:t>
      </w:r>
      <w:r w:rsidRPr="001D0501">
        <w:rPr>
          <w:rFonts w:cs="Times New Roman"/>
          <w:lang w:val="fr-CA"/>
        </w:rPr>
        <w:t xml:space="preserve">, 2011 BCCA 381, 311 B.C.A.C. 90, </w:t>
      </w:r>
      <w:r>
        <w:rPr>
          <w:rFonts w:cs="Times New Roman"/>
          <w:lang w:val="fr-CA"/>
        </w:rPr>
        <w:t>par.</w:t>
      </w:r>
      <w:r w:rsidR="00203E16">
        <w:rPr>
          <w:rFonts w:cs="Times New Roman"/>
          <w:lang w:val="fr-CA"/>
        </w:rPr>
        <w:t xml:space="preserve"> </w:t>
      </w:r>
      <w:r w:rsidRPr="001D0501">
        <w:rPr>
          <w:rFonts w:cs="Times New Roman"/>
          <w:lang w:val="fr-CA"/>
        </w:rPr>
        <w:t>82</w:t>
      </w:r>
      <w:r w:rsidR="005044C1">
        <w:rPr>
          <w:rFonts w:cs="Times New Roman"/>
          <w:lang w:val="fr-CA"/>
        </w:rPr>
        <w:t>-</w:t>
      </w:r>
      <w:r w:rsidRPr="001D0501">
        <w:rPr>
          <w:rFonts w:cs="Times New Roman"/>
          <w:lang w:val="fr-CA"/>
        </w:rPr>
        <w:t xml:space="preserve">83 et 87). </w:t>
      </w:r>
    </w:p>
    <w:p w:rsidR="00AF2876" w:rsidRPr="0001174C" w:rsidRDefault="00AF2876" w:rsidP="00AF2876">
      <w:pPr>
        <w:pStyle w:val="ParaNoNdepar-AltN"/>
        <w:rPr>
          <w:rFonts w:cs="Times New Roman"/>
          <w:lang w:val="fr-CA"/>
        </w:rPr>
      </w:pPr>
      <w:r w:rsidRPr="001D0501">
        <w:rPr>
          <w:rFonts w:cs="Times New Roman"/>
          <w:lang w:val="fr-CA"/>
        </w:rPr>
        <w:t>Je souscris à l’approche préconisée par la Cour d’appel de la Colombie</w:t>
      </w:r>
      <w:r w:rsidR="00203E16">
        <w:rPr>
          <w:rFonts w:cs="Times New Roman"/>
          <w:lang w:val="fr-CA"/>
        </w:rPr>
        <w:t>-</w:t>
      </w:r>
      <w:r w:rsidRPr="001D0501">
        <w:rPr>
          <w:rFonts w:cs="Times New Roman"/>
          <w:lang w:val="fr-CA"/>
        </w:rPr>
        <w:t>Britannique. À mon avis, nulle formule magique ne</w:t>
      </w:r>
      <w:r>
        <w:rPr>
          <w:rFonts w:cs="Times New Roman"/>
          <w:lang w:val="fr-CA"/>
        </w:rPr>
        <w:t xml:space="preserve"> doit être prononcée par </w:t>
      </w:r>
      <w:r w:rsidRPr="0001174C">
        <w:rPr>
          <w:rFonts w:cs="Times New Roman"/>
          <w:lang w:val="fr-CA"/>
        </w:rPr>
        <w:t xml:space="preserve">le juge du procès </w:t>
      </w:r>
      <w:r>
        <w:rPr>
          <w:rFonts w:cs="Times New Roman"/>
          <w:lang w:val="fr-CA"/>
        </w:rPr>
        <w:t xml:space="preserve">à l’intention du </w:t>
      </w:r>
      <w:r w:rsidRPr="0001174C">
        <w:rPr>
          <w:rFonts w:cs="Times New Roman"/>
          <w:lang w:val="fr-CA"/>
        </w:rPr>
        <w:t xml:space="preserve">jury dans toute affaire </w:t>
      </w:r>
      <w:r>
        <w:rPr>
          <w:rFonts w:cs="Times New Roman"/>
          <w:lang w:val="fr-CA"/>
        </w:rPr>
        <w:t xml:space="preserve">où une </w:t>
      </w:r>
      <w:r w:rsidRPr="0001174C">
        <w:rPr>
          <w:rFonts w:cs="Times New Roman"/>
          <w:lang w:val="fr-CA"/>
        </w:rPr>
        <w:t>opération</w:t>
      </w:r>
      <w:r>
        <w:rPr>
          <w:rFonts w:cs="Times New Roman"/>
          <w:lang w:val="fr-CA"/>
        </w:rPr>
        <w:t xml:space="preserve"> Monsieur Big s’est déroulée</w:t>
      </w:r>
      <w:r w:rsidRPr="0001174C">
        <w:rPr>
          <w:rFonts w:cs="Times New Roman"/>
          <w:lang w:val="fr-CA"/>
        </w:rPr>
        <w:t xml:space="preserve">. Le juge doit plutôt </w:t>
      </w:r>
      <w:r>
        <w:rPr>
          <w:rFonts w:cs="Times New Roman"/>
          <w:lang w:val="fr-CA"/>
        </w:rPr>
        <w:t>communiquer au</w:t>
      </w:r>
      <w:r w:rsidRPr="0001174C">
        <w:rPr>
          <w:rFonts w:cs="Times New Roman"/>
          <w:lang w:val="fr-CA"/>
        </w:rPr>
        <w:t xml:space="preserve"> jur</w:t>
      </w:r>
      <w:r>
        <w:rPr>
          <w:rFonts w:cs="Times New Roman"/>
          <w:lang w:val="fr-CA"/>
        </w:rPr>
        <w:t>y</w:t>
      </w:r>
      <w:r w:rsidRPr="0001174C">
        <w:rPr>
          <w:rFonts w:cs="Times New Roman"/>
          <w:lang w:val="fr-CA"/>
        </w:rPr>
        <w:t xml:space="preserve"> les </w:t>
      </w:r>
      <w:r>
        <w:rPr>
          <w:rFonts w:cs="Times New Roman"/>
          <w:lang w:val="fr-CA"/>
        </w:rPr>
        <w:t xml:space="preserve">éléments </w:t>
      </w:r>
      <w:r w:rsidRPr="0001174C">
        <w:rPr>
          <w:rFonts w:cs="Times New Roman"/>
          <w:lang w:val="fr-CA"/>
        </w:rPr>
        <w:t>dont il</w:t>
      </w:r>
      <w:r>
        <w:rPr>
          <w:rFonts w:cs="Times New Roman"/>
          <w:lang w:val="fr-CA"/>
        </w:rPr>
        <w:t xml:space="preserve"> a</w:t>
      </w:r>
      <w:r w:rsidRPr="0001174C">
        <w:rPr>
          <w:rFonts w:cs="Times New Roman"/>
          <w:lang w:val="fr-CA"/>
        </w:rPr>
        <w:t xml:space="preserve"> besoin pour </w:t>
      </w:r>
      <w:r>
        <w:rPr>
          <w:rFonts w:cs="Times New Roman"/>
          <w:lang w:val="fr-CA"/>
        </w:rPr>
        <w:t>tenir compte de la non</w:t>
      </w:r>
      <w:r w:rsidR="00203E16">
        <w:rPr>
          <w:rFonts w:cs="Times New Roman"/>
          <w:lang w:val="fr-CA"/>
        </w:rPr>
        <w:t>-</w:t>
      </w:r>
      <w:r w:rsidRPr="0001174C">
        <w:rPr>
          <w:rFonts w:cs="Times New Roman"/>
          <w:lang w:val="fr-CA"/>
        </w:rPr>
        <w:t xml:space="preserve">fiabilité </w:t>
      </w:r>
      <w:r>
        <w:rPr>
          <w:rFonts w:cs="Times New Roman"/>
          <w:lang w:val="fr-CA"/>
        </w:rPr>
        <w:t>éventuelle d</w:t>
      </w:r>
      <w:r w:rsidRPr="0001174C">
        <w:rPr>
          <w:rFonts w:cs="Times New Roman"/>
          <w:lang w:val="fr-CA"/>
        </w:rPr>
        <w:t>es aveux et</w:t>
      </w:r>
      <w:r>
        <w:rPr>
          <w:rFonts w:cs="Times New Roman"/>
          <w:lang w:val="fr-CA"/>
        </w:rPr>
        <w:t xml:space="preserve"> du préjudice susceptible de découler de ceux</w:t>
      </w:r>
      <w:r w:rsidR="00203E16">
        <w:rPr>
          <w:rFonts w:cs="Times New Roman"/>
          <w:lang w:val="fr-CA"/>
        </w:rPr>
        <w:t>-</w:t>
      </w:r>
      <w:r>
        <w:rPr>
          <w:rFonts w:cs="Times New Roman"/>
          <w:lang w:val="fr-CA"/>
        </w:rPr>
        <w:t>ci</w:t>
      </w:r>
      <w:r w:rsidRPr="0001174C">
        <w:rPr>
          <w:rFonts w:cs="Times New Roman"/>
          <w:lang w:val="fr-CA"/>
        </w:rPr>
        <w:t>. La nature et l</w:t>
      </w:r>
      <w:r>
        <w:rPr>
          <w:rFonts w:cs="Times New Roman"/>
          <w:lang w:val="fr-CA"/>
        </w:rPr>
        <w:t>’</w:t>
      </w:r>
      <w:r w:rsidRPr="0001174C">
        <w:rPr>
          <w:rFonts w:cs="Times New Roman"/>
          <w:lang w:val="fr-CA"/>
        </w:rPr>
        <w:t>ampleur des directives requises varient d</w:t>
      </w:r>
      <w:r>
        <w:rPr>
          <w:rFonts w:cs="Times New Roman"/>
          <w:lang w:val="fr-CA"/>
        </w:rPr>
        <w:t>’</w:t>
      </w:r>
      <w:r w:rsidRPr="0001174C">
        <w:rPr>
          <w:rFonts w:cs="Times New Roman"/>
          <w:lang w:val="fr-CA"/>
        </w:rPr>
        <w:t>une affaire à l</w:t>
      </w:r>
      <w:r>
        <w:rPr>
          <w:rFonts w:cs="Times New Roman"/>
          <w:lang w:val="fr-CA"/>
        </w:rPr>
        <w:t>’</w:t>
      </w:r>
      <w:r w:rsidRPr="0001174C">
        <w:rPr>
          <w:rFonts w:cs="Times New Roman"/>
          <w:lang w:val="fr-CA"/>
        </w:rPr>
        <w:t>autre.</w:t>
      </w:r>
    </w:p>
    <w:p w:rsidR="00AF2876" w:rsidRPr="001D0501" w:rsidRDefault="00AF2876" w:rsidP="00AF2876">
      <w:pPr>
        <w:pStyle w:val="ParaNoNdepar-AltN"/>
        <w:rPr>
          <w:rFonts w:cs="Times New Roman"/>
          <w:lang w:val="fr-CA"/>
        </w:rPr>
      </w:pPr>
      <w:r>
        <w:rPr>
          <w:rFonts w:cs="Times New Roman"/>
          <w:lang w:val="fr-CA"/>
        </w:rPr>
        <w:t xml:space="preserve">Faute d’une </w:t>
      </w:r>
      <w:r w:rsidRPr="001D0501">
        <w:rPr>
          <w:rFonts w:cs="Times New Roman"/>
          <w:lang w:val="fr-CA"/>
        </w:rPr>
        <w:t xml:space="preserve">formule consacrée, certaines balises peuvent cependant être établies à l’intention du juge appelé à instruire un jury dans une affaire où un aveu issu d’une opération Monsieur Big a été admis en preuve. </w:t>
      </w:r>
    </w:p>
    <w:p w:rsidR="00AF2876" w:rsidRPr="0001174C" w:rsidRDefault="00AF2876" w:rsidP="00AF2876">
      <w:pPr>
        <w:pStyle w:val="ParaNoNdepar-AltN"/>
        <w:rPr>
          <w:rFonts w:cs="Times New Roman"/>
          <w:lang w:val="fr-CA"/>
        </w:rPr>
      </w:pPr>
      <w:r w:rsidRPr="001D0501">
        <w:rPr>
          <w:rFonts w:cs="Times New Roman"/>
          <w:lang w:val="fr-CA"/>
        </w:rPr>
        <w:t>En ce qui concerne la non</w:t>
      </w:r>
      <w:r w:rsidR="00203E16">
        <w:rPr>
          <w:rFonts w:cs="Times New Roman"/>
          <w:lang w:val="fr-CA"/>
        </w:rPr>
        <w:t>-</w:t>
      </w:r>
      <w:r w:rsidRPr="001D0501">
        <w:rPr>
          <w:rFonts w:cs="Times New Roman"/>
          <w:lang w:val="fr-CA"/>
        </w:rPr>
        <w:t xml:space="preserve">fiabilité éventuelle de l’aveu issu d’une opération Monsieur Big, le juge doit expliquer aux jurés qu’il leur incombe de décider si l’aveu de l’accusé est digne de foi ou non. Il doit ensuite examiner avec eux les facteurs pertinents pour l’appréciation de l’aveu et de la preuve y afférente. Dans l’arrêt </w:t>
      </w:r>
      <w:r w:rsidRPr="001D0501">
        <w:rPr>
          <w:rFonts w:cs="Times New Roman"/>
          <w:i/>
          <w:lang w:val="fr-CA"/>
        </w:rPr>
        <w:t>Hart</w:t>
      </w:r>
      <w:r w:rsidRPr="001D0501">
        <w:rPr>
          <w:rFonts w:cs="Times New Roman"/>
          <w:lang w:val="fr-CA"/>
        </w:rPr>
        <w:t>, la Cour explique que la fiabilité d’un tel aveu dépend des circonstances dans lesquelles il est fait et des précisions qu’il renferme.</w:t>
      </w:r>
      <w:r w:rsidRPr="0001174C">
        <w:rPr>
          <w:rFonts w:cs="Times New Roman"/>
          <w:lang w:val="fr-CA"/>
        </w:rPr>
        <w:t xml:space="preserve"> Ainsi, le juge d</w:t>
      </w:r>
      <w:r>
        <w:rPr>
          <w:rFonts w:cs="Times New Roman"/>
          <w:lang w:val="fr-CA"/>
        </w:rPr>
        <w:t>o</w:t>
      </w:r>
      <w:r w:rsidRPr="0001174C">
        <w:rPr>
          <w:rFonts w:cs="Times New Roman"/>
          <w:lang w:val="fr-CA"/>
        </w:rPr>
        <w:t xml:space="preserve">it </w:t>
      </w:r>
      <w:r>
        <w:rPr>
          <w:rFonts w:cs="Times New Roman"/>
          <w:lang w:val="fr-CA"/>
        </w:rPr>
        <w:t>attirer l’attention du</w:t>
      </w:r>
      <w:r w:rsidRPr="0001174C">
        <w:rPr>
          <w:rFonts w:cs="Times New Roman"/>
          <w:lang w:val="fr-CA"/>
        </w:rPr>
        <w:t xml:space="preserve"> jury </w:t>
      </w:r>
      <w:r>
        <w:rPr>
          <w:rFonts w:cs="Times New Roman"/>
          <w:lang w:val="fr-CA"/>
        </w:rPr>
        <w:t xml:space="preserve">sur </w:t>
      </w:r>
      <w:r w:rsidR="00203E16">
        <w:rPr>
          <w:rFonts w:cs="Times New Roman"/>
          <w:lang w:val="fr-CA"/>
        </w:rPr>
        <w:t>« </w:t>
      </w:r>
      <w:r w:rsidRPr="008D41E0">
        <w:rPr>
          <w:rFonts w:cs="Times New Roman"/>
          <w:lang w:val="fr-CA"/>
        </w:rPr>
        <w:t xml:space="preserve">la durée de l’opération, le </w:t>
      </w:r>
      <w:r w:rsidRPr="008D41E0">
        <w:rPr>
          <w:lang w:val="fr-CA"/>
        </w:rPr>
        <w:t xml:space="preserve">nombre d’interactions entre les </w:t>
      </w:r>
      <w:r w:rsidRPr="008D41E0">
        <w:rPr>
          <w:lang w:val="fr-CA"/>
        </w:rPr>
        <w:lastRenderedPageBreak/>
        <w:t>policiers et l’accusé, la nature de la relation qui s’est tissée entre les agents et l’accusé, la nature des incitations et leur importance, le recours à des menaces, la conduite de l’interrogatoire, ainsi que la personnalité de l’accusé</w:t>
      </w:r>
      <w:r w:rsidR="00203E16">
        <w:rPr>
          <w:lang w:val="fr-CA"/>
        </w:rPr>
        <w:t> »</w:t>
      </w:r>
      <w:r w:rsidRPr="008D41E0">
        <w:rPr>
          <w:lang w:val="fr-CA"/>
        </w:rPr>
        <w:t>,</w:t>
      </w:r>
      <w:r>
        <w:rPr>
          <w:lang w:val="fr-CA"/>
        </w:rPr>
        <w:t xml:space="preserve"> </w:t>
      </w:r>
      <w:r w:rsidRPr="0001174C">
        <w:rPr>
          <w:rFonts w:cs="Times New Roman"/>
          <w:lang w:val="fr-CA"/>
        </w:rPr>
        <w:t xml:space="preserve">des facteurs qui permettent tous </w:t>
      </w:r>
      <w:r>
        <w:rPr>
          <w:rFonts w:cs="Times New Roman"/>
          <w:lang w:val="fr-CA"/>
        </w:rPr>
        <w:t>de se prononcer sur</w:t>
      </w:r>
      <w:r w:rsidRPr="0001174C">
        <w:rPr>
          <w:rFonts w:cs="Times New Roman"/>
          <w:lang w:val="fr-CA"/>
        </w:rPr>
        <w:t xml:space="preserve"> la fiabilité de l</w:t>
      </w:r>
      <w:r>
        <w:rPr>
          <w:rFonts w:cs="Times New Roman"/>
          <w:lang w:val="fr-CA"/>
        </w:rPr>
        <w:t>’</w:t>
      </w:r>
      <w:r w:rsidRPr="0001174C">
        <w:rPr>
          <w:rFonts w:cs="Times New Roman"/>
          <w:lang w:val="fr-CA"/>
        </w:rPr>
        <w:t>aveu (</w:t>
      </w:r>
      <w:r w:rsidR="005044C1">
        <w:rPr>
          <w:rFonts w:cs="Times New Roman"/>
          <w:lang w:val="fr-CA"/>
        </w:rPr>
        <w:t xml:space="preserve">voir </w:t>
      </w:r>
      <w:r w:rsidRPr="0001174C">
        <w:rPr>
          <w:rFonts w:cs="Times New Roman"/>
          <w:i/>
          <w:lang w:val="fr-CA"/>
        </w:rPr>
        <w:t>Hart</w:t>
      </w:r>
      <w:r w:rsidRPr="0001174C">
        <w:rPr>
          <w:rFonts w:cs="Times New Roman"/>
          <w:lang w:val="fr-CA"/>
        </w:rPr>
        <w:t xml:space="preserve">, </w:t>
      </w:r>
      <w:r>
        <w:rPr>
          <w:rFonts w:cs="Times New Roman"/>
          <w:lang w:val="fr-CA"/>
        </w:rPr>
        <w:t>par.</w:t>
      </w:r>
      <w:r w:rsidR="00203E16">
        <w:rPr>
          <w:rFonts w:cs="Times New Roman"/>
          <w:lang w:val="fr-CA"/>
        </w:rPr>
        <w:t xml:space="preserve"> </w:t>
      </w:r>
      <w:r>
        <w:rPr>
          <w:rFonts w:cs="Times New Roman"/>
          <w:lang w:val="fr-CA"/>
        </w:rPr>
        <w:t>102</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De plus, le juge du procès d</w:t>
      </w:r>
      <w:r>
        <w:rPr>
          <w:rFonts w:cs="Times New Roman"/>
          <w:lang w:val="fr-CA"/>
        </w:rPr>
        <w:t>o</w:t>
      </w:r>
      <w:r w:rsidRPr="0001174C">
        <w:rPr>
          <w:rFonts w:cs="Times New Roman"/>
          <w:lang w:val="fr-CA"/>
        </w:rPr>
        <w:t xml:space="preserve">it </w:t>
      </w:r>
      <w:r>
        <w:rPr>
          <w:rFonts w:cs="Times New Roman"/>
          <w:lang w:val="fr-CA"/>
        </w:rPr>
        <w:t xml:space="preserve">indiquer aux </w:t>
      </w:r>
      <w:r w:rsidRPr="0001174C">
        <w:rPr>
          <w:rFonts w:cs="Times New Roman"/>
          <w:lang w:val="fr-CA"/>
        </w:rPr>
        <w:t xml:space="preserve">jurés </w:t>
      </w:r>
      <w:r>
        <w:rPr>
          <w:rFonts w:cs="Times New Roman"/>
          <w:lang w:val="fr-CA"/>
        </w:rPr>
        <w:t xml:space="preserve">que </w:t>
      </w:r>
      <w:r w:rsidRPr="0001174C">
        <w:rPr>
          <w:lang w:val="fr-CA"/>
        </w:rPr>
        <w:t>l</w:t>
      </w:r>
      <w:r>
        <w:rPr>
          <w:lang w:val="fr-CA"/>
        </w:rPr>
        <w:t>’</w:t>
      </w:r>
      <w:r w:rsidRPr="0001174C">
        <w:rPr>
          <w:lang w:val="fr-CA"/>
        </w:rPr>
        <w:t xml:space="preserve">aveu </w:t>
      </w:r>
      <w:r>
        <w:rPr>
          <w:lang w:val="fr-CA"/>
        </w:rPr>
        <w:t xml:space="preserve">peut renfermer </w:t>
      </w:r>
      <w:r w:rsidRPr="0001174C">
        <w:rPr>
          <w:lang w:val="fr-CA"/>
        </w:rPr>
        <w:t>des indices de sa fiabilité (ou de s</w:t>
      </w:r>
      <w:r>
        <w:rPr>
          <w:lang w:val="fr-CA"/>
        </w:rPr>
        <w:t>a non</w:t>
      </w:r>
      <w:r w:rsidR="00203E16">
        <w:rPr>
          <w:lang w:val="fr-CA"/>
        </w:rPr>
        <w:t>-</w:t>
      </w:r>
      <w:r w:rsidRPr="0001174C">
        <w:rPr>
          <w:lang w:val="fr-CA"/>
        </w:rPr>
        <w:t>fiabilité). Il d</w:t>
      </w:r>
      <w:r>
        <w:rPr>
          <w:lang w:val="fr-CA"/>
        </w:rPr>
        <w:t>o</w:t>
      </w:r>
      <w:r w:rsidRPr="0001174C">
        <w:rPr>
          <w:lang w:val="fr-CA"/>
        </w:rPr>
        <w:t xml:space="preserve">it aussi les inviter à tenir compte </w:t>
      </w:r>
      <w:r>
        <w:rPr>
          <w:lang w:val="fr-CA"/>
        </w:rPr>
        <w:t xml:space="preserve">de son caractère plus ou moins </w:t>
      </w:r>
      <w:r w:rsidRPr="0001174C">
        <w:rPr>
          <w:lang w:val="fr-CA"/>
        </w:rPr>
        <w:t>détaillé, du fait qu</w:t>
      </w:r>
      <w:r>
        <w:rPr>
          <w:lang w:val="fr-CA"/>
        </w:rPr>
        <w:t>’</w:t>
      </w:r>
      <w:r w:rsidRPr="0001174C">
        <w:rPr>
          <w:lang w:val="fr-CA"/>
        </w:rPr>
        <w:t xml:space="preserve">il </w:t>
      </w:r>
      <w:r>
        <w:rPr>
          <w:lang w:val="fr-CA"/>
        </w:rPr>
        <w:t>a me</w:t>
      </w:r>
      <w:r w:rsidRPr="0001174C">
        <w:rPr>
          <w:lang w:val="fr-CA"/>
        </w:rPr>
        <w:t>n</w:t>
      </w:r>
      <w:r>
        <w:rPr>
          <w:lang w:val="fr-CA"/>
        </w:rPr>
        <w:t>é</w:t>
      </w:r>
      <w:r w:rsidRPr="0001174C">
        <w:rPr>
          <w:lang w:val="fr-CA"/>
        </w:rPr>
        <w:t xml:space="preserve"> ou non à la découverte d</w:t>
      </w:r>
      <w:r>
        <w:rPr>
          <w:lang w:val="fr-CA"/>
        </w:rPr>
        <w:t>’</w:t>
      </w:r>
      <w:r w:rsidRPr="0001174C">
        <w:rPr>
          <w:lang w:val="fr-CA"/>
        </w:rPr>
        <w:t>autres éléments de preuve, de la mention de modalités du crime non révélées au public ou du fait qu</w:t>
      </w:r>
      <w:r>
        <w:rPr>
          <w:lang w:val="fr-CA"/>
        </w:rPr>
        <w:t>’</w:t>
      </w:r>
      <w:r w:rsidRPr="0001174C">
        <w:rPr>
          <w:lang w:val="fr-CA"/>
        </w:rPr>
        <w:t xml:space="preserve">il décrit fidèlement ou non certaines données </w:t>
      </w:r>
      <w:r w:rsidRPr="00B67E3E">
        <w:rPr>
          <w:lang w:val="fr-CA"/>
        </w:rPr>
        <w:t>prosaïques</w:t>
      </w:r>
      <w:r w:rsidRPr="0001174C">
        <w:rPr>
          <w:lang w:val="fr-CA"/>
        </w:rPr>
        <w:t xml:space="preserve"> que l</w:t>
      </w:r>
      <w:r>
        <w:rPr>
          <w:lang w:val="fr-CA"/>
        </w:rPr>
        <w:t>’</w:t>
      </w:r>
      <w:r w:rsidRPr="0001174C">
        <w:rPr>
          <w:lang w:val="fr-CA"/>
        </w:rPr>
        <w:t>accusé n</w:t>
      </w:r>
      <w:r>
        <w:rPr>
          <w:lang w:val="fr-CA"/>
        </w:rPr>
        <w:t>’</w:t>
      </w:r>
      <w:r w:rsidRPr="0001174C">
        <w:rPr>
          <w:lang w:val="fr-CA"/>
        </w:rPr>
        <w:t>aurait pas connues s</w:t>
      </w:r>
      <w:r>
        <w:rPr>
          <w:lang w:val="fr-CA"/>
        </w:rPr>
        <w:t>’</w:t>
      </w:r>
      <w:r w:rsidRPr="0001174C">
        <w:rPr>
          <w:lang w:val="fr-CA"/>
        </w:rPr>
        <w:t>il n</w:t>
      </w:r>
      <w:r>
        <w:rPr>
          <w:lang w:val="fr-CA"/>
        </w:rPr>
        <w:t>’</w:t>
      </w:r>
      <w:r w:rsidRPr="0001174C">
        <w:rPr>
          <w:lang w:val="fr-CA"/>
        </w:rPr>
        <w:t xml:space="preserve">avait pas commis le crime </w:t>
      </w:r>
      <w:r w:rsidRPr="0001174C">
        <w:rPr>
          <w:rFonts w:cs="Times New Roman"/>
          <w:lang w:val="fr-CA"/>
        </w:rPr>
        <w:t>(</w:t>
      </w:r>
      <w:r w:rsidR="005044C1">
        <w:rPr>
          <w:rFonts w:cs="Times New Roman"/>
          <w:lang w:val="fr-CA"/>
        </w:rPr>
        <w:t xml:space="preserve">voir </w:t>
      </w:r>
      <w:r w:rsidRPr="0001174C">
        <w:rPr>
          <w:rFonts w:cs="Times New Roman"/>
          <w:i/>
          <w:lang w:val="fr-CA"/>
        </w:rPr>
        <w:t xml:space="preserve">Hart, </w:t>
      </w:r>
      <w:r>
        <w:rPr>
          <w:rFonts w:cs="Times New Roman"/>
          <w:lang w:val="fr-CA"/>
        </w:rPr>
        <w:t>par.</w:t>
      </w:r>
      <w:r w:rsidR="00203E16">
        <w:rPr>
          <w:rFonts w:cs="Times New Roman"/>
          <w:lang w:val="fr-CA"/>
        </w:rPr>
        <w:t xml:space="preserve"> </w:t>
      </w:r>
      <w:r>
        <w:rPr>
          <w:rFonts w:cs="Times New Roman"/>
          <w:lang w:val="fr-CA"/>
        </w:rPr>
        <w:t>105</w:t>
      </w:r>
      <w:r w:rsidRPr="0001174C">
        <w:rPr>
          <w:rFonts w:cs="Times New Roman"/>
          <w:lang w:val="fr-CA"/>
        </w:rPr>
        <w:t xml:space="preserve">). </w:t>
      </w:r>
    </w:p>
    <w:p w:rsidR="00AF2876" w:rsidRPr="0001174C" w:rsidRDefault="00AF2876" w:rsidP="00AF2876">
      <w:pPr>
        <w:pStyle w:val="ParaNoNdepar-AltN"/>
        <w:rPr>
          <w:rFonts w:cs="Times New Roman"/>
          <w:lang w:val="fr-CA"/>
        </w:rPr>
      </w:pPr>
      <w:r>
        <w:rPr>
          <w:rFonts w:cs="Times New Roman"/>
          <w:lang w:val="fr-CA"/>
        </w:rPr>
        <w:t>L</w:t>
      </w:r>
      <w:r w:rsidRPr="0001174C">
        <w:rPr>
          <w:rFonts w:cs="Times New Roman"/>
          <w:lang w:val="fr-CA"/>
        </w:rPr>
        <w:t xml:space="preserve">e juge du procès </w:t>
      </w:r>
      <w:r>
        <w:rPr>
          <w:rFonts w:cs="Times New Roman"/>
          <w:lang w:val="fr-CA"/>
        </w:rPr>
        <w:t>n’</w:t>
      </w:r>
      <w:r w:rsidRPr="0001174C">
        <w:rPr>
          <w:rFonts w:cs="Times New Roman"/>
          <w:lang w:val="fr-CA"/>
        </w:rPr>
        <w:t xml:space="preserve">est </w:t>
      </w:r>
      <w:r>
        <w:rPr>
          <w:rFonts w:cs="Times New Roman"/>
          <w:lang w:val="fr-CA"/>
        </w:rPr>
        <w:t xml:space="preserve">pas pour autant </w:t>
      </w:r>
      <w:r w:rsidRPr="0001174C">
        <w:rPr>
          <w:rFonts w:cs="Times New Roman"/>
          <w:lang w:val="fr-CA"/>
        </w:rPr>
        <w:t xml:space="preserve">tenu </w:t>
      </w:r>
      <w:r>
        <w:rPr>
          <w:rFonts w:cs="Times New Roman"/>
          <w:lang w:val="fr-CA"/>
        </w:rPr>
        <w:t xml:space="preserve">d’exposer en détail </w:t>
      </w:r>
      <w:r w:rsidRPr="0001174C">
        <w:rPr>
          <w:rFonts w:cs="Times New Roman"/>
          <w:lang w:val="fr-CA"/>
        </w:rPr>
        <w:t>cha</w:t>
      </w:r>
      <w:r>
        <w:rPr>
          <w:rFonts w:cs="Times New Roman"/>
          <w:lang w:val="fr-CA"/>
        </w:rPr>
        <w:t>cun</w:t>
      </w:r>
      <w:r w:rsidRPr="0001174C">
        <w:rPr>
          <w:rFonts w:cs="Times New Roman"/>
          <w:lang w:val="fr-CA"/>
        </w:rPr>
        <w:t xml:space="preserve"> </w:t>
      </w:r>
      <w:r>
        <w:rPr>
          <w:rFonts w:cs="Times New Roman"/>
          <w:lang w:val="fr-CA"/>
        </w:rPr>
        <w:t xml:space="preserve">des </w:t>
      </w:r>
      <w:r w:rsidRPr="0001174C">
        <w:rPr>
          <w:rFonts w:cs="Times New Roman"/>
          <w:lang w:val="fr-CA"/>
        </w:rPr>
        <w:t>élément</w:t>
      </w:r>
      <w:r>
        <w:rPr>
          <w:rFonts w:cs="Times New Roman"/>
          <w:lang w:val="fr-CA"/>
        </w:rPr>
        <w:t>s</w:t>
      </w:r>
      <w:r w:rsidRPr="0001174C">
        <w:rPr>
          <w:rFonts w:cs="Times New Roman"/>
          <w:lang w:val="fr-CA"/>
        </w:rPr>
        <w:t xml:space="preserve"> de preuve </w:t>
      </w:r>
      <w:r>
        <w:rPr>
          <w:rFonts w:cs="Times New Roman"/>
          <w:lang w:val="fr-CA"/>
        </w:rPr>
        <w:t xml:space="preserve">qui sont </w:t>
      </w:r>
      <w:r w:rsidRPr="0001174C">
        <w:rPr>
          <w:rFonts w:cs="Times New Roman"/>
          <w:lang w:val="fr-CA"/>
        </w:rPr>
        <w:t>susceptible</w:t>
      </w:r>
      <w:r>
        <w:rPr>
          <w:rFonts w:cs="Times New Roman"/>
          <w:lang w:val="fr-CA"/>
        </w:rPr>
        <w:t>s</w:t>
      </w:r>
      <w:r w:rsidRPr="0001174C">
        <w:rPr>
          <w:rFonts w:cs="Times New Roman"/>
          <w:lang w:val="fr-CA"/>
        </w:rPr>
        <w:t xml:space="preserve"> d</w:t>
      </w:r>
      <w:r>
        <w:rPr>
          <w:rFonts w:cs="Times New Roman"/>
          <w:lang w:val="fr-CA"/>
        </w:rPr>
        <w:t>’</w:t>
      </w:r>
      <w:r w:rsidRPr="0001174C">
        <w:rPr>
          <w:rFonts w:cs="Times New Roman"/>
          <w:lang w:val="fr-CA"/>
        </w:rPr>
        <w:t>avoir une incidence sur la fiabilité de l</w:t>
      </w:r>
      <w:r>
        <w:rPr>
          <w:rFonts w:cs="Times New Roman"/>
          <w:lang w:val="fr-CA"/>
        </w:rPr>
        <w:t>’</w:t>
      </w:r>
      <w:r w:rsidRPr="0001174C">
        <w:rPr>
          <w:rFonts w:cs="Times New Roman"/>
          <w:lang w:val="fr-CA"/>
        </w:rPr>
        <w:t>aveu. S</w:t>
      </w:r>
      <w:r>
        <w:rPr>
          <w:rFonts w:cs="Times New Roman"/>
          <w:lang w:val="fr-CA"/>
        </w:rPr>
        <w:t xml:space="preserve">a fonction </w:t>
      </w:r>
      <w:r w:rsidRPr="0001174C">
        <w:rPr>
          <w:rFonts w:cs="Times New Roman"/>
          <w:lang w:val="fr-CA"/>
        </w:rPr>
        <w:t>consiste simplement à attirer l</w:t>
      </w:r>
      <w:r>
        <w:rPr>
          <w:rFonts w:cs="Times New Roman"/>
          <w:lang w:val="fr-CA"/>
        </w:rPr>
        <w:t>’</w:t>
      </w:r>
      <w:r w:rsidRPr="0001174C">
        <w:rPr>
          <w:rFonts w:cs="Times New Roman"/>
          <w:lang w:val="fr-CA"/>
        </w:rPr>
        <w:t xml:space="preserve">attention des jurés sur la </w:t>
      </w:r>
      <w:r>
        <w:rPr>
          <w:rFonts w:cs="Times New Roman"/>
          <w:lang w:val="fr-CA"/>
        </w:rPr>
        <w:t>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w:t>
      </w:r>
      <w:r w:rsidRPr="0001174C">
        <w:rPr>
          <w:rFonts w:cs="Times New Roman"/>
          <w:lang w:val="fr-CA"/>
        </w:rPr>
        <w:t>de l</w:t>
      </w:r>
      <w:r>
        <w:rPr>
          <w:rFonts w:cs="Times New Roman"/>
          <w:lang w:val="fr-CA"/>
        </w:rPr>
        <w:t>’</w:t>
      </w:r>
      <w:r w:rsidRPr="0001174C">
        <w:rPr>
          <w:rFonts w:cs="Times New Roman"/>
          <w:lang w:val="fr-CA"/>
        </w:rPr>
        <w:t xml:space="preserve">aveu et </w:t>
      </w:r>
      <w:r>
        <w:rPr>
          <w:rFonts w:cs="Times New Roman"/>
          <w:lang w:val="fr-CA"/>
        </w:rPr>
        <w:t xml:space="preserve">à </w:t>
      </w:r>
      <w:r w:rsidRPr="0001174C">
        <w:rPr>
          <w:rFonts w:cs="Times New Roman"/>
          <w:lang w:val="fr-CA"/>
        </w:rPr>
        <w:t xml:space="preserve">leur signaler les </w:t>
      </w:r>
      <w:r>
        <w:rPr>
          <w:rFonts w:cs="Times New Roman"/>
          <w:lang w:val="fr-CA"/>
        </w:rPr>
        <w:t>facteurs pertinents pour se prononcer à ce sujet</w:t>
      </w:r>
      <w:r w:rsidRPr="0001174C">
        <w:rPr>
          <w:rFonts w:cs="Times New Roman"/>
          <w:lang w:val="fr-CA"/>
        </w:rPr>
        <w:t>.</w:t>
      </w:r>
    </w:p>
    <w:p w:rsidR="00AF2876" w:rsidRPr="0001174C" w:rsidRDefault="00AF2876" w:rsidP="00AF2876">
      <w:pPr>
        <w:pStyle w:val="ParaNoNdepar-AltN"/>
        <w:rPr>
          <w:rFonts w:cs="Times New Roman"/>
          <w:lang w:val="fr-CA"/>
        </w:rPr>
      </w:pPr>
      <w:r>
        <w:rPr>
          <w:rFonts w:cs="Times New Roman"/>
          <w:lang w:val="fr-CA"/>
        </w:rPr>
        <w:t xml:space="preserve">Pour </w:t>
      </w:r>
      <w:r w:rsidRPr="0001174C">
        <w:rPr>
          <w:rFonts w:cs="Times New Roman"/>
          <w:lang w:val="fr-CA"/>
        </w:rPr>
        <w:t xml:space="preserve">ce qui </w:t>
      </w:r>
      <w:r>
        <w:rPr>
          <w:rFonts w:cs="Times New Roman"/>
          <w:lang w:val="fr-CA"/>
        </w:rPr>
        <w:t xml:space="preserve">est de </w:t>
      </w:r>
      <w:r w:rsidRPr="0001174C">
        <w:rPr>
          <w:rFonts w:cs="Times New Roman"/>
          <w:lang w:val="fr-CA"/>
        </w:rPr>
        <w:t xml:space="preserve">la </w:t>
      </w:r>
      <w:r w:rsidRPr="0001174C">
        <w:rPr>
          <w:lang w:val="fr-CA"/>
        </w:rPr>
        <w:t>preuve de mauvaise moralité dont se double</w:t>
      </w:r>
      <w:r>
        <w:rPr>
          <w:lang w:val="fr-CA"/>
        </w:rPr>
        <w:t xml:space="preserve"> l’</w:t>
      </w:r>
      <w:r w:rsidRPr="0001174C">
        <w:rPr>
          <w:lang w:val="fr-CA"/>
        </w:rPr>
        <w:t xml:space="preserve">aveu </w:t>
      </w:r>
      <w:r>
        <w:rPr>
          <w:lang w:val="fr-CA"/>
        </w:rPr>
        <w:t xml:space="preserve">issu </w:t>
      </w:r>
      <w:r w:rsidRPr="0001174C">
        <w:rPr>
          <w:lang w:val="fr-CA"/>
        </w:rPr>
        <w:t>d</w:t>
      </w:r>
      <w:r>
        <w:rPr>
          <w:lang w:val="fr-CA"/>
        </w:rPr>
        <w:t>’</w:t>
      </w:r>
      <w:r w:rsidRPr="0001174C">
        <w:rPr>
          <w:lang w:val="fr-CA"/>
        </w:rPr>
        <w:t xml:space="preserve">une opération </w:t>
      </w:r>
      <w:r>
        <w:rPr>
          <w:lang w:val="fr-CA"/>
        </w:rPr>
        <w:t xml:space="preserve">Monsieur </w:t>
      </w:r>
      <w:r>
        <w:rPr>
          <w:rFonts w:cs="Times New Roman"/>
          <w:lang w:val="fr-CA"/>
        </w:rPr>
        <w:t>Big</w:t>
      </w:r>
      <w:r w:rsidRPr="0001174C">
        <w:rPr>
          <w:rFonts w:cs="Times New Roman"/>
          <w:lang w:val="fr-CA"/>
        </w:rPr>
        <w:t xml:space="preserve">, </w:t>
      </w:r>
      <w:r>
        <w:rPr>
          <w:rFonts w:cs="Times New Roman"/>
          <w:lang w:val="fr-CA"/>
        </w:rPr>
        <w:t xml:space="preserve">la démarche qui s’impose </w:t>
      </w:r>
      <w:r w:rsidRPr="0001174C">
        <w:rPr>
          <w:rFonts w:cs="Times New Roman"/>
          <w:lang w:val="fr-CA"/>
        </w:rPr>
        <w:t xml:space="preserve">est plus </w:t>
      </w:r>
      <w:r>
        <w:rPr>
          <w:rFonts w:cs="Times New Roman"/>
          <w:lang w:val="fr-CA"/>
        </w:rPr>
        <w:t>familière</w:t>
      </w:r>
      <w:r w:rsidRPr="0001174C">
        <w:rPr>
          <w:rFonts w:cs="Times New Roman"/>
          <w:lang w:val="fr-CA"/>
        </w:rPr>
        <w:t xml:space="preserve">. Le juge explique au jury que </w:t>
      </w:r>
      <w:r>
        <w:rPr>
          <w:lang w:val="fr-CA"/>
        </w:rPr>
        <w:t xml:space="preserve">cette </w:t>
      </w:r>
      <w:r w:rsidRPr="0001174C">
        <w:rPr>
          <w:lang w:val="fr-CA"/>
        </w:rPr>
        <w:t xml:space="preserve">preuve </w:t>
      </w:r>
      <w:r>
        <w:rPr>
          <w:lang w:val="fr-CA"/>
        </w:rPr>
        <w:t xml:space="preserve">est admise seulement pour situer l’aveu dans son </w:t>
      </w:r>
      <w:r w:rsidRPr="0001174C">
        <w:rPr>
          <w:lang w:val="fr-CA"/>
        </w:rPr>
        <w:t>contexte</w:t>
      </w:r>
      <w:r>
        <w:rPr>
          <w:lang w:val="fr-CA"/>
        </w:rPr>
        <w:t>. Il</w:t>
      </w:r>
      <w:r w:rsidRPr="0001174C">
        <w:rPr>
          <w:rFonts w:cs="Times New Roman"/>
          <w:lang w:val="fr-CA"/>
        </w:rPr>
        <w:t xml:space="preserve"> </w:t>
      </w:r>
      <w:r w:rsidRPr="001D0501">
        <w:rPr>
          <w:rFonts w:cs="Times New Roman"/>
          <w:lang w:val="fr-CA"/>
        </w:rPr>
        <w:t>devrait préciser au jury qu’il ne peut se fonder sur cette seule preuve pour déclarer l’accusé coupable. De plus, il devrait rappeler</w:t>
      </w:r>
      <w:r w:rsidRPr="0001174C">
        <w:rPr>
          <w:rFonts w:cs="Times New Roman"/>
          <w:lang w:val="fr-CA"/>
        </w:rPr>
        <w:t xml:space="preserve"> au</w:t>
      </w:r>
      <w:r>
        <w:rPr>
          <w:rFonts w:cs="Times New Roman"/>
          <w:lang w:val="fr-CA"/>
        </w:rPr>
        <w:t>x</w:t>
      </w:r>
      <w:r w:rsidRPr="0001174C">
        <w:rPr>
          <w:rFonts w:cs="Times New Roman"/>
          <w:lang w:val="fr-CA"/>
        </w:rPr>
        <w:t xml:space="preserve"> jur</w:t>
      </w:r>
      <w:r>
        <w:rPr>
          <w:rFonts w:cs="Times New Roman"/>
          <w:lang w:val="fr-CA"/>
        </w:rPr>
        <w:t>és</w:t>
      </w:r>
      <w:r w:rsidRPr="0001174C">
        <w:rPr>
          <w:rFonts w:cs="Times New Roman"/>
          <w:lang w:val="fr-CA"/>
        </w:rPr>
        <w:t xml:space="preserve"> que l</w:t>
      </w:r>
      <w:r>
        <w:rPr>
          <w:rFonts w:cs="Times New Roman"/>
          <w:lang w:val="fr-CA"/>
        </w:rPr>
        <w:t>’</w:t>
      </w:r>
      <w:r w:rsidRPr="0001174C">
        <w:rPr>
          <w:rFonts w:cs="Times New Roman"/>
          <w:lang w:val="fr-CA"/>
        </w:rPr>
        <w:t xml:space="preserve">activité </w:t>
      </w:r>
      <w:r w:rsidRPr="0001174C">
        <w:rPr>
          <w:rFonts w:cs="Times New Roman"/>
          <w:lang w:val="fr-CA"/>
        </w:rPr>
        <w:lastRenderedPageBreak/>
        <w:t>criminelle simulée — même celle à laquelle l</w:t>
      </w:r>
      <w:r>
        <w:rPr>
          <w:rFonts w:cs="Times New Roman"/>
          <w:lang w:val="fr-CA"/>
        </w:rPr>
        <w:t>’</w:t>
      </w:r>
      <w:r w:rsidRPr="0001174C">
        <w:rPr>
          <w:rFonts w:cs="Times New Roman"/>
          <w:lang w:val="fr-CA"/>
        </w:rPr>
        <w:t xml:space="preserve">accusé a </w:t>
      </w:r>
      <w:r>
        <w:rPr>
          <w:rFonts w:cs="Times New Roman"/>
          <w:lang w:val="fr-CA"/>
        </w:rPr>
        <w:t xml:space="preserve">ardemment voulu prendre part </w:t>
      </w:r>
      <w:r w:rsidRPr="0001174C">
        <w:rPr>
          <w:rFonts w:cs="Times New Roman"/>
          <w:lang w:val="fr-CA"/>
        </w:rPr>
        <w:t xml:space="preserve">— </w:t>
      </w:r>
      <w:r>
        <w:rPr>
          <w:rFonts w:cs="Times New Roman"/>
          <w:lang w:val="fr-CA"/>
        </w:rPr>
        <w:t>est une pure invention</w:t>
      </w:r>
      <w:r w:rsidRPr="0001174C">
        <w:rPr>
          <w:rFonts w:cs="Times New Roman"/>
          <w:lang w:val="fr-CA"/>
        </w:rPr>
        <w:t xml:space="preserve"> des représentants de l</w:t>
      </w:r>
      <w:r>
        <w:rPr>
          <w:rFonts w:cs="Times New Roman"/>
          <w:lang w:val="fr-CA"/>
        </w:rPr>
        <w:t>’</w:t>
      </w:r>
      <w:r w:rsidRPr="0001174C">
        <w:rPr>
          <w:rFonts w:cs="Times New Roman"/>
          <w:lang w:val="fr-CA"/>
        </w:rPr>
        <w:t xml:space="preserve">État, qui ont </w:t>
      </w:r>
      <w:r>
        <w:rPr>
          <w:rFonts w:cs="Times New Roman"/>
          <w:lang w:val="fr-CA"/>
        </w:rPr>
        <w:t xml:space="preserve">encouragé </w:t>
      </w:r>
      <w:r w:rsidRPr="0001174C">
        <w:rPr>
          <w:rFonts w:cs="Times New Roman"/>
          <w:lang w:val="fr-CA"/>
        </w:rPr>
        <w:t>l</w:t>
      </w:r>
      <w:r>
        <w:rPr>
          <w:rFonts w:cs="Times New Roman"/>
          <w:lang w:val="fr-CA"/>
        </w:rPr>
        <w:t>’</w:t>
      </w:r>
      <w:r w:rsidRPr="0001174C">
        <w:rPr>
          <w:rFonts w:cs="Times New Roman"/>
          <w:lang w:val="fr-CA"/>
        </w:rPr>
        <w:t>accusé à y participer.</w:t>
      </w:r>
    </w:p>
    <w:p w:rsidR="00AF2876" w:rsidRPr="0001174C" w:rsidRDefault="00AF2876" w:rsidP="00AF2876">
      <w:pPr>
        <w:pStyle w:val="ParaNoNdepar-AltN"/>
        <w:rPr>
          <w:rFonts w:cs="Times New Roman"/>
          <w:lang w:val="fr-CA"/>
        </w:rPr>
      </w:pPr>
      <w:r w:rsidRPr="0001174C">
        <w:rPr>
          <w:rFonts w:cs="Times New Roman"/>
          <w:lang w:val="fr-CA"/>
        </w:rPr>
        <w:t xml:space="preserve">Dans le cas qui nous occupe, </w:t>
      </w:r>
      <w:r>
        <w:rPr>
          <w:rFonts w:cs="Times New Roman"/>
          <w:lang w:val="fr-CA"/>
        </w:rPr>
        <w:t xml:space="preserve">l’exposé fait état </w:t>
      </w:r>
      <w:r w:rsidRPr="000B6077">
        <w:rPr>
          <w:rFonts w:cs="Times New Roman"/>
          <w:lang w:val="fr-CA"/>
        </w:rPr>
        <w:t>de la non</w:t>
      </w:r>
      <w:r w:rsidR="00203E16">
        <w:rPr>
          <w:rFonts w:cs="Times New Roman"/>
          <w:lang w:val="fr-CA"/>
        </w:rPr>
        <w:t>-</w:t>
      </w:r>
      <w:r w:rsidRPr="000B6077">
        <w:rPr>
          <w:rFonts w:cs="Times New Roman"/>
          <w:lang w:val="fr-CA"/>
        </w:rPr>
        <w:t xml:space="preserve">fiabilité éventuelle et du caractère préjudiciable. </w:t>
      </w:r>
      <w:r>
        <w:rPr>
          <w:rFonts w:cs="Times New Roman"/>
          <w:lang w:val="fr-CA"/>
        </w:rPr>
        <w:t>Le juge explique</w:t>
      </w:r>
      <w:r w:rsidRPr="0001174C">
        <w:rPr>
          <w:rFonts w:cs="Times New Roman"/>
          <w:lang w:val="fr-CA"/>
        </w:rPr>
        <w:t xml:space="preserve"> aux jurés qu</w:t>
      </w:r>
      <w:r>
        <w:rPr>
          <w:rFonts w:cs="Times New Roman"/>
          <w:lang w:val="fr-CA"/>
        </w:rPr>
        <w:t>’</w:t>
      </w:r>
      <w:r w:rsidRPr="0001174C">
        <w:rPr>
          <w:rFonts w:cs="Times New Roman"/>
          <w:lang w:val="fr-CA"/>
        </w:rPr>
        <w:t>ils d</w:t>
      </w:r>
      <w:r>
        <w:rPr>
          <w:rFonts w:cs="Times New Roman"/>
          <w:lang w:val="fr-CA"/>
        </w:rPr>
        <w:t>oiv</w:t>
      </w:r>
      <w:r w:rsidRPr="0001174C">
        <w:rPr>
          <w:rFonts w:cs="Times New Roman"/>
          <w:lang w:val="fr-CA"/>
        </w:rPr>
        <w:t xml:space="preserve">ent </w:t>
      </w:r>
      <w:r w:rsidRPr="0001174C">
        <w:rPr>
          <w:rFonts w:cs="Times New Roman"/>
          <w:smallCaps/>
          <w:lang w:val="fr-CA"/>
        </w:rPr>
        <w:t>[traduction]</w:t>
      </w:r>
      <w:r>
        <w:rPr>
          <w:rFonts w:cs="Times New Roman"/>
          <w:lang w:val="fr-CA"/>
        </w:rPr>
        <w:t xml:space="preserve"> </w:t>
      </w:r>
      <w:r w:rsidR="00203E16">
        <w:rPr>
          <w:rFonts w:cs="Times New Roman"/>
          <w:lang w:val="fr-CA"/>
        </w:rPr>
        <w:t>« </w:t>
      </w:r>
      <w:r w:rsidRPr="0001174C">
        <w:rPr>
          <w:rFonts w:cs="Times New Roman"/>
          <w:lang w:val="fr-CA"/>
        </w:rPr>
        <w:t xml:space="preserve">examiner attentivement si les </w:t>
      </w:r>
      <w:r>
        <w:rPr>
          <w:rFonts w:cs="Times New Roman"/>
          <w:lang w:val="fr-CA"/>
        </w:rPr>
        <w:t xml:space="preserve">éléments que sont </w:t>
      </w:r>
      <w:r w:rsidRPr="0001174C">
        <w:rPr>
          <w:rFonts w:cs="Times New Roman"/>
          <w:lang w:val="fr-CA"/>
        </w:rPr>
        <w:t xml:space="preserve">la violence et </w:t>
      </w:r>
      <w:r>
        <w:rPr>
          <w:rFonts w:cs="Times New Roman"/>
          <w:lang w:val="fr-CA"/>
        </w:rPr>
        <w:t xml:space="preserve">l’importance </w:t>
      </w:r>
      <w:r w:rsidRPr="0001174C">
        <w:rPr>
          <w:rFonts w:cs="Times New Roman"/>
          <w:lang w:val="fr-CA"/>
        </w:rPr>
        <w:t xml:space="preserve">des </w:t>
      </w:r>
      <w:r>
        <w:rPr>
          <w:lang w:val="fr-CA"/>
        </w:rPr>
        <w:t xml:space="preserve">gratifications offertes ont </w:t>
      </w:r>
      <w:r w:rsidRPr="0001174C">
        <w:rPr>
          <w:lang w:val="fr-CA"/>
        </w:rPr>
        <w:t>pu raisonnablement compromettre la fiabilité</w:t>
      </w:r>
      <w:r w:rsidR="00203E16">
        <w:rPr>
          <w:lang w:val="fr-CA"/>
        </w:rPr>
        <w:t> »</w:t>
      </w:r>
      <w:r w:rsidRPr="0001174C">
        <w:rPr>
          <w:lang w:val="fr-CA"/>
        </w:rPr>
        <w:t xml:space="preserve"> des aveux de </w:t>
      </w:r>
      <w:r>
        <w:rPr>
          <w:rFonts w:cs="Times New Roman"/>
          <w:lang w:val="fr-CA"/>
        </w:rPr>
        <w:t>l’appelant</w:t>
      </w:r>
      <w:r w:rsidRPr="0001174C">
        <w:rPr>
          <w:rFonts w:cs="Times New Roman"/>
          <w:lang w:val="fr-CA"/>
        </w:rPr>
        <w:t xml:space="preserve">. Il </w:t>
      </w:r>
      <w:r>
        <w:rPr>
          <w:rFonts w:cs="Times New Roman"/>
          <w:lang w:val="fr-CA"/>
        </w:rPr>
        <w:t xml:space="preserve">leur enjoint </w:t>
      </w:r>
      <w:r w:rsidRPr="0001174C">
        <w:rPr>
          <w:rFonts w:cs="Times New Roman"/>
          <w:lang w:val="fr-CA"/>
        </w:rPr>
        <w:t xml:space="preserve">expressément </w:t>
      </w:r>
      <w:r>
        <w:rPr>
          <w:rFonts w:cs="Times New Roman"/>
          <w:lang w:val="fr-CA"/>
        </w:rPr>
        <w:t xml:space="preserve">de </w:t>
      </w:r>
      <w:r w:rsidR="00203E16">
        <w:rPr>
          <w:rFonts w:cs="Times New Roman"/>
          <w:lang w:val="fr-CA"/>
        </w:rPr>
        <w:t>« </w:t>
      </w:r>
      <w:r w:rsidRPr="0001174C">
        <w:rPr>
          <w:rFonts w:cs="Times New Roman"/>
          <w:lang w:val="fr-CA"/>
        </w:rPr>
        <w:t>tenir compte du contexte, de l</w:t>
      </w:r>
      <w:r>
        <w:rPr>
          <w:rFonts w:cs="Times New Roman"/>
          <w:lang w:val="fr-CA"/>
        </w:rPr>
        <w:t>’</w:t>
      </w:r>
      <w:r w:rsidRPr="0001174C">
        <w:rPr>
          <w:rFonts w:cs="Times New Roman"/>
          <w:lang w:val="fr-CA"/>
        </w:rPr>
        <w:t>attrait de l</w:t>
      </w:r>
      <w:r>
        <w:rPr>
          <w:rFonts w:cs="Times New Roman"/>
          <w:lang w:val="fr-CA"/>
        </w:rPr>
        <w:t>’</w:t>
      </w:r>
      <w:r w:rsidRPr="0001174C">
        <w:rPr>
          <w:rFonts w:cs="Times New Roman"/>
          <w:lang w:val="fr-CA"/>
        </w:rPr>
        <w:t>argent facile, de la violence, de l</w:t>
      </w:r>
      <w:r>
        <w:rPr>
          <w:rFonts w:cs="Times New Roman"/>
          <w:lang w:val="fr-CA"/>
        </w:rPr>
        <w:t>’</w:t>
      </w:r>
      <w:r w:rsidRPr="0001174C">
        <w:rPr>
          <w:rFonts w:cs="Times New Roman"/>
          <w:lang w:val="fr-CA"/>
        </w:rPr>
        <w:t xml:space="preserve">importance </w:t>
      </w:r>
      <w:r>
        <w:rPr>
          <w:rFonts w:cs="Times New Roman"/>
          <w:lang w:val="fr-CA"/>
        </w:rPr>
        <w:t xml:space="preserve">accordée à </w:t>
      </w:r>
      <w:r w:rsidRPr="0001174C">
        <w:rPr>
          <w:rFonts w:cs="Times New Roman"/>
          <w:lang w:val="fr-CA"/>
        </w:rPr>
        <w:t>l</w:t>
      </w:r>
      <w:r>
        <w:rPr>
          <w:rFonts w:cs="Times New Roman"/>
          <w:lang w:val="fr-CA"/>
        </w:rPr>
        <w:t>’</w:t>
      </w:r>
      <w:r w:rsidRPr="0001174C">
        <w:rPr>
          <w:rFonts w:cs="Times New Roman"/>
          <w:lang w:val="fr-CA"/>
        </w:rPr>
        <w:t xml:space="preserve">honnêteté et </w:t>
      </w:r>
      <w:r>
        <w:rPr>
          <w:rFonts w:cs="Times New Roman"/>
          <w:lang w:val="fr-CA"/>
        </w:rPr>
        <w:t xml:space="preserve">à </w:t>
      </w:r>
      <w:r w:rsidRPr="0001174C">
        <w:rPr>
          <w:rFonts w:cs="Times New Roman"/>
          <w:lang w:val="fr-CA"/>
        </w:rPr>
        <w:t>l</w:t>
      </w:r>
      <w:r>
        <w:rPr>
          <w:rFonts w:cs="Times New Roman"/>
          <w:lang w:val="fr-CA"/>
        </w:rPr>
        <w:t>’</w:t>
      </w:r>
      <w:r w:rsidRPr="0001174C">
        <w:rPr>
          <w:rFonts w:cs="Times New Roman"/>
          <w:lang w:val="fr-CA"/>
        </w:rPr>
        <w:t xml:space="preserve">intégrité, de toute porte de sortie </w:t>
      </w:r>
      <w:r>
        <w:rPr>
          <w:rFonts w:cs="Times New Roman"/>
          <w:lang w:val="fr-CA"/>
        </w:rPr>
        <w:t xml:space="preserve">offerte </w:t>
      </w:r>
      <w:r w:rsidRPr="0001174C">
        <w:rPr>
          <w:rFonts w:cs="Times New Roman"/>
          <w:lang w:val="fr-CA"/>
        </w:rPr>
        <w:t>et de tout</w:t>
      </w:r>
      <w:r>
        <w:rPr>
          <w:rFonts w:cs="Times New Roman"/>
          <w:lang w:val="fr-CA"/>
        </w:rPr>
        <w:t xml:space="preserve"> acte de </w:t>
      </w:r>
      <w:r w:rsidRPr="0001174C">
        <w:rPr>
          <w:rFonts w:cs="Times New Roman"/>
          <w:lang w:val="fr-CA"/>
        </w:rPr>
        <w:t xml:space="preserve">menace ou </w:t>
      </w:r>
      <w:r>
        <w:rPr>
          <w:rFonts w:cs="Times New Roman"/>
          <w:lang w:val="fr-CA"/>
        </w:rPr>
        <w:t>d’</w:t>
      </w:r>
      <w:r w:rsidRPr="0001174C">
        <w:rPr>
          <w:rFonts w:cs="Times New Roman"/>
          <w:lang w:val="fr-CA"/>
        </w:rPr>
        <w:t>intimidation</w:t>
      </w:r>
      <w:r w:rsidR="00203E16">
        <w:rPr>
          <w:rFonts w:cs="Times New Roman"/>
          <w:lang w:val="fr-CA"/>
        </w:rPr>
        <w:t> »</w:t>
      </w:r>
      <w:r w:rsidRPr="0001174C">
        <w:rPr>
          <w:rFonts w:cs="Times New Roman"/>
          <w:lang w:val="fr-CA"/>
        </w:rPr>
        <w:t xml:space="preserve">. </w:t>
      </w:r>
      <w:r>
        <w:rPr>
          <w:rFonts w:cs="Times New Roman"/>
          <w:lang w:val="fr-CA"/>
        </w:rPr>
        <w:t>Finalement</w:t>
      </w:r>
      <w:r w:rsidRPr="0001174C">
        <w:rPr>
          <w:rFonts w:cs="Times New Roman"/>
          <w:lang w:val="fr-CA"/>
        </w:rPr>
        <w:t>, le juge laiss</w:t>
      </w:r>
      <w:r>
        <w:rPr>
          <w:rFonts w:cs="Times New Roman"/>
          <w:lang w:val="fr-CA"/>
        </w:rPr>
        <w:t>e</w:t>
      </w:r>
      <w:r w:rsidRPr="0001174C">
        <w:rPr>
          <w:rFonts w:cs="Times New Roman"/>
          <w:lang w:val="fr-CA"/>
        </w:rPr>
        <w:t xml:space="preserve"> au jury le soin de </w:t>
      </w:r>
      <w:r>
        <w:rPr>
          <w:rFonts w:cs="Times New Roman"/>
          <w:lang w:val="fr-CA"/>
        </w:rPr>
        <w:t xml:space="preserve">décider au final si les </w:t>
      </w:r>
      <w:r w:rsidRPr="0001174C">
        <w:rPr>
          <w:rFonts w:cs="Times New Roman"/>
          <w:lang w:val="fr-CA"/>
        </w:rPr>
        <w:t>aveux de l</w:t>
      </w:r>
      <w:r>
        <w:rPr>
          <w:rFonts w:cs="Times New Roman"/>
          <w:lang w:val="fr-CA"/>
        </w:rPr>
        <w:t>’</w:t>
      </w:r>
      <w:r w:rsidRPr="0001174C">
        <w:rPr>
          <w:rFonts w:cs="Times New Roman"/>
          <w:lang w:val="fr-CA"/>
        </w:rPr>
        <w:t>appelant</w:t>
      </w:r>
      <w:r>
        <w:rPr>
          <w:rFonts w:cs="Times New Roman"/>
          <w:lang w:val="fr-CA"/>
        </w:rPr>
        <w:t xml:space="preserve"> sont dignes de foi ou non</w:t>
      </w:r>
      <w:r w:rsidR="00203E16">
        <w:rPr>
          <w:rFonts w:cs="Times New Roman"/>
          <w:lang w:val="fr-CA"/>
        </w:rPr>
        <w:t xml:space="preserve"> </w:t>
      </w:r>
      <w:r>
        <w:rPr>
          <w:rFonts w:cs="Times New Roman"/>
          <w:lang w:val="fr-CA"/>
        </w:rPr>
        <w:t>:</w:t>
      </w:r>
    </w:p>
    <w:p w:rsidR="00AF2876" w:rsidRPr="001D0501" w:rsidRDefault="00AF2876" w:rsidP="00AF2876">
      <w:pPr>
        <w:pStyle w:val="Citation-AltC"/>
        <w:spacing w:after="240"/>
        <w:ind w:hanging="1166"/>
        <w:contextualSpacing w:val="0"/>
        <w:rPr>
          <w:lang w:val="fr-CA"/>
        </w:rPr>
      </w:pPr>
      <w:r>
        <w:rPr>
          <w:smallCaps/>
          <w:lang w:val="fr-CA"/>
        </w:rPr>
        <w:tab/>
      </w:r>
      <w:r w:rsidRPr="0001174C">
        <w:rPr>
          <w:smallCaps/>
          <w:lang w:val="fr-CA"/>
        </w:rPr>
        <w:t>[traduction]</w:t>
      </w:r>
      <w:r>
        <w:rPr>
          <w:smallCaps/>
          <w:lang w:val="fr-CA"/>
        </w:rPr>
        <w:t xml:space="preserve">  </w:t>
      </w:r>
      <w:r w:rsidRPr="0001174C">
        <w:rPr>
          <w:lang w:val="fr-CA"/>
        </w:rPr>
        <w:t xml:space="preserve">Au bout du compte, il vous incombe de décider si les déclarations attribuées à </w:t>
      </w:r>
      <w:r>
        <w:rPr>
          <w:lang w:val="fr-CA"/>
        </w:rPr>
        <w:t>M.</w:t>
      </w:r>
      <w:r w:rsidR="00203E16">
        <w:rPr>
          <w:lang w:val="fr-CA"/>
        </w:rPr>
        <w:t xml:space="preserve"> </w:t>
      </w:r>
      <w:r w:rsidRPr="0001174C">
        <w:rPr>
          <w:lang w:val="fr-CA"/>
        </w:rPr>
        <w:t xml:space="preserve">Mack sont </w:t>
      </w:r>
      <w:r>
        <w:rPr>
          <w:lang w:val="fr-CA"/>
        </w:rPr>
        <w:t xml:space="preserve">dignes de foi ou non, </w:t>
      </w:r>
      <w:r w:rsidRPr="0001174C">
        <w:rPr>
          <w:lang w:val="fr-CA"/>
        </w:rPr>
        <w:t>en totalité ou en partie</w:t>
      </w:r>
      <w:r>
        <w:rPr>
          <w:lang w:val="fr-CA"/>
        </w:rPr>
        <w:t>,</w:t>
      </w:r>
      <w:r w:rsidRPr="0001174C">
        <w:rPr>
          <w:lang w:val="fr-CA"/>
        </w:rPr>
        <w:t xml:space="preserve"> en gardant </w:t>
      </w:r>
      <w:r>
        <w:rPr>
          <w:lang w:val="fr-CA"/>
        </w:rPr>
        <w:t xml:space="preserve">présent </w:t>
      </w:r>
      <w:r w:rsidRPr="0001174C">
        <w:rPr>
          <w:lang w:val="fr-CA"/>
        </w:rPr>
        <w:t xml:space="preserve">à </w:t>
      </w:r>
      <w:r>
        <w:rPr>
          <w:lang w:val="fr-CA"/>
        </w:rPr>
        <w:t>l’</w:t>
      </w:r>
      <w:r w:rsidRPr="0001174C">
        <w:rPr>
          <w:lang w:val="fr-CA"/>
        </w:rPr>
        <w:t xml:space="preserve">esprit le témoignage de </w:t>
      </w:r>
      <w:r>
        <w:rPr>
          <w:lang w:val="fr-CA"/>
        </w:rPr>
        <w:t>M.</w:t>
      </w:r>
      <w:r w:rsidR="00203E16">
        <w:rPr>
          <w:lang w:val="fr-CA"/>
        </w:rPr>
        <w:t xml:space="preserve"> </w:t>
      </w:r>
      <w:r w:rsidRPr="0001174C">
        <w:rPr>
          <w:lang w:val="fr-CA"/>
        </w:rPr>
        <w:t xml:space="preserve">Mack </w:t>
      </w:r>
      <w:r>
        <w:rPr>
          <w:lang w:val="fr-CA"/>
        </w:rPr>
        <w:t xml:space="preserve">selon </w:t>
      </w:r>
      <w:r w:rsidRPr="0001174C">
        <w:rPr>
          <w:lang w:val="fr-CA"/>
        </w:rPr>
        <w:t xml:space="preserve">lequel </w:t>
      </w:r>
      <w:r w:rsidRPr="001D0501">
        <w:rPr>
          <w:lang w:val="fr-CA"/>
        </w:rPr>
        <w:t>il faisait l’objet d’encouragements quotidiens [</w:t>
      </w:r>
      <w:r w:rsidR="00B60986">
        <w:rPr>
          <w:lang w:val="fr-CA"/>
        </w:rPr>
        <w:t>. . .</w:t>
      </w:r>
      <w:r w:rsidRPr="001D0501">
        <w:rPr>
          <w:lang w:val="fr-CA"/>
        </w:rPr>
        <w:t>], il se sentait redevable [</w:t>
      </w:r>
      <w:r w:rsidR="00B60986">
        <w:rPr>
          <w:lang w:val="fr-CA"/>
        </w:rPr>
        <w:t>. . .</w:t>
      </w:r>
      <w:r w:rsidRPr="001D0501">
        <w:rPr>
          <w:lang w:val="fr-CA"/>
        </w:rPr>
        <w:t>] et il était très inquiet, surtout après avoir entendu parler du règlement de compte pour l’agression au pic à glace. Il faut également tenir compte du fait que M.</w:t>
      </w:r>
      <w:r w:rsidR="00203E16">
        <w:rPr>
          <w:lang w:val="fr-CA"/>
        </w:rPr>
        <w:t xml:space="preserve"> </w:t>
      </w:r>
      <w:r w:rsidRPr="001D0501">
        <w:rPr>
          <w:lang w:val="fr-CA"/>
        </w:rPr>
        <w:t>Mack se sentait dépassé et que chaque fois qu’il commençait à raconter quelque chose, il sentait qu’on le pressait d’avouer.</w:t>
      </w:r>
    </w:p>
    <w:p w:rsidR="00AF2876" w:rsidRPr="0001174C" w:rsidRDefault="00AF2876" w:rsidP="00AF2876">
      <w:pPr>
        <w:pStyle w:val="Citation-AltC"/>
        <w:ind w:hanging="1166"/>
        <w:rPr>
          <w:lang w:val="fr-CA"/>
        </w:rPr>
      </w:pPr>
      <w:r w:rsidRPr="001D0501">
        <w:rPr>
          <w:lang w:val="fr-CA"/>
        </w:rPr>
        <w:tab/>
      </w:r>
      <w:r w:rsidRPr="001D0501">
        <w:rPr>
          <w:u w:val="single"/>
          <w:lang w:val="fr-CA"/>
        </w:rPr>
        <w:t>Lorsqu’une déclaration a pu être motivée en partie par la crainte et en partie par l’appât du gain facile, il importe d’apprécier sa fiablilité, à supposer qu’elle en ait. Vous devez alors bien apprécier sa fiabilité en fonction de l’ensemble de la preuve non seulement</w:t>
      </w:r>
      <w:r w:rsidRPr="0001174C">
        <w:rPr>
          <w:u w:val="single"/>
          <w:lang w:val="fr-CA"/>
        </w:rPr>
        <w:t xml:space="preserve"> pour dé</w:t>
      </w:r>
      <w:r>
        <w:rPr>
          <w:u w:val="single"/>
          <w:lang w:val="fr-CA"/>
        </w:rPr>
        <w:t xml:space="preserve">terminer </w:t>
      </w:r>
      <w:r w:rsidRPr="0001174C">
        <w:rPr>
          <w:u w:val="single"/>
          <w:lang w:val="fr-CA"/>
        </w:rPr>
        <w:t xml:space="preserve">ce qui a été dit, mais </w:t>
      </w:r>
      <w:r>
        <w:rPr>
          <w:u w:val="single"/>
          <w:lang w:val="fr-CA"/>
        </w:rPr>
        <w:t xml:space="preserve">aussi </w:t>
      </w:r>
      <w:r w:rsidRPr="0001174C">
        <w:rPr>
          <w:u w:val="single"/>
          <w:lang w:val="fr-CA"/>
        </w:rPr>
        <w:t>pour dé</w:t>
      </w:r>
      <w:r>
        <w:rPr>
          <w:u w:val="single"/>
          <w:lang w:val="fr-CA"/>
        </w:rPr>
        <w:t xml:space="preserve">cider </w:t>
      </w:r>
      <w:r w:rsidRPr="0001174C">
        <w:rPr>
          <w:u w:val="single"/>
          <w:lang w:val="fr-CA"/>
        </w:rPr>
        <w:t xml:space="preserve">si ce qui a été dit était </w:t>
      </w:r>
      <w:r w:rsidRPr="00117744">
        <w:rPr>
          <w:u w:val="single"/>
          <w:lang w:val="fr-CA"/>
        </w:rPr>
        <w:t>vrai.</w:t>
      </w:r>
      <w:r>
        <w:rPr>
          <w:lang w:val="fr-CA"/>
        </w:rPr>
        <w:t xml:space="preserve"> [Je souligne.]</w:t>
      </w:r>
    </w:p>
    <w:p w:rsidR="00AF2876" w:rsidRPr="0001174C" w:rsidRDefault="00AF2876" w:rsidP="00AF2876">
      <w:pPr>
        <w:pStyle w:val="ParaNoNdepar-AltN"/>
        <w:rPr>
          <w:rFonts w:cs="Times New Roman"/>
          <w:lang w:val="fr-CA"/>
        </w:rPr>
      </w:pPr>
      <w:r w:rsidRPr="0001174C">
        <w:rPr>
          <w:rFonts w:cs="Times New Roman"/>
          <w:lang w:val="fr-CA"/>
        </w:rPr>
        <w:lastRenderedPageBreak/>
        <w:t xml:space="preserve">En ce qui </w:t>
      </w:r>
      <w:r>
        <w:rPr>
          <w:rFonts w:cs="Times New Roman"/>
          <w:lang w:val="fr-CA"/>
        </w:rPr>
        <w:t xml:space="preserve">a trait à </w:t>
      </w:r>
      <w:r w:rsidRPr="0001174C">
        <w:rPr>
          <w:rFonts w:cs="Times New Roman"/>
          <w:lang w:val="fr-CA"/>
        </w:rPr>
        <w:t xml:space="preserve">la preuve de mauvaise moralité qui </w:t>
      </w:r>
      <w:r>
        <w:rPr>
          <w:rFonts w:cs="Times New Roman"/>
          <w:lang w:val="fr-CA"/>
        </w:rPr>
        <w:t xml:space="preserve">a été admise de pair avec </w:t>
      </w:r>
      <w:r w:rsidRPr="0001174C">
        <w:rPr>
          <w:rFonts w:cs="Times New Roman"/>
          <w:lang w:val="fr-CA"/>
        </w:rPr>
        <w:t xml:space="preserve">les aveux </w:t>
      </w:r>
      <w:r>
        <w:rPr>
          <w:rFonts w:cs="Times New Roman"/>
          <w:lang w:val="fr-CA"/>
        </w:rPr>
        <w:t xml:space="preserve">issus </w:t>
      </w:r>
      <w:r w:rsidRPr="0001174C">
        <w:rPr>
          <w:rFonts w:cs="Times New Roman"/>
          <w:lang w:val="fr-CA"/>
        </w:rPr>
        <w:t>de l</w:t>
      </w:r>
      <w:r>
        <w:rPr>
          <w:rFonts w:cs="Times New Roman"/>
          <w:lang w:val="fr-CA"/>
        </w:rPr>
        <w:t>’</w:t>
      </w:r>
      <w:r w:rsidRPr="0001174C">
        <w:rPr>
          <w:rFonts w:cs="Times New Roman"/>
          <w:lang w:val="fr-CA"/>
        </w:rPr>
        <w:t xml:space="preserve">opération </w:t>
      </w:r>
      <w:r>
        <w:rPr>
          <w:rFonts w:cs="Times New Roman"/>
          <w:lang w:val="fr-CA"/>
        </w:rPr>
        <w:t>Monsieur Big</w:t>
      </w:r>
      <w:r w:rsidRPr="0001174C">
        <w:rPr>
          <w:rFonts w:cs="Times New Roman"/>
          <w:lang w:val="fr-CA"/>
        </w:rPr>
        <w:t xml:space="preserve">, </w:t>
      </w:r>
      <w:r w:rsidRPr="008D41E0">
        <w:rPr>
          <w:rFonts w:cs="Times New Roman"/>
          <w:lang w:val="fr-CA"/>
        </w:rPr>
        <w:t>sans l’aborder directement</w:t>
      </w:r>
      <w:r w:rsidRPr="0001174C">
        <w:rPr>
          <w:rFonts w:cs="Times New Roman"/>
          <w:lang w:val="fr-CA"/>
        </w:rPr>
        <w:t xml:space="preserve">, le juge du procès </w:t>
      </w:r>
      <w:r>
        <w:rPr>
          <w:rFonts w:cs="Times New Roman"/>
          <w:lang w:val="fr-CA"/>
        </w:rPr>
        <w:t>donne</w:t>
      </w:r>
      <w:r w:rsidRPr="0001174C">
        <w:rPr>
          <w:rFonts w:cs="Times New Roman"/>
          <w:lang w:val="fr-CA"/>
        </w:rPr>
        <w:t xml:space="preserve"> au jury </w:t>
      </w:r>
      <w:r>
        <w:rPr>
          <w:rFonts w:cs="Times New Roman"/>
          <w:lang w:val="fr-CA"/>
        </w:rPr>
        <w:t>la</w:t>
      </w:r>
      <w:r w:rsidRPr="0001174C">
        <w:rPr>
          <w:rFonts w:cs="Times New Roman"/>
          <w:lang w:val="fr-CA"/>
        </w:rPr>
        <w:t xml:space="preserve"> directive restrictive </w:t>
      </w:r>
      <w:r w:rsidRPr="001D0501">
        <w:rPr>
          <w:rFonts w:cs="Times New Roman"/>
          <w:lang w:val="fr-CA"/>
        </w:rPr>
        <w:t>habituelle</w:t>
      </w:r>
      <w:r>
        <w:rPr>
          <w:rFonts w:cs="Times New Roman"/>
          <w:lang w:val="fr-CA"/>
        </w:rPr>
        <w:t xml:space="preserve"> sur </w:t>
      </w:r>
      <w:r w:rsidRPr="0001174C">
        <w:rPr>
          <w:rFonts w:cs="Times New Roman"/>
          <w:lang w:val="fr-CA"/>
        </w:rPr>
        <w:t>l</w:t>
      </w:r>
      <w:r>
        <w:rPr>
          <w:rFonts w:cs="Times New Roman"/>
          <w:lang w:val="fr-CA"/>
        </w:rPr>
        <w:t>’</w:t>
      </w:r>
      <w:r w:rsidRPr="0001174C">
        <w:rPr>
          <w:rFonts w:cs="Times New Roman"/>
          <w:lang w:val="fr-CA"/>
        </w:rPr>
        <w:t>utilisation qui p</w:t>
      </w:r>
      <w:r>
        <w:rPr>
          <w:rFonts w:cs="Times New Roman"/>
          <w:lang w:val="fr-CA"/>
        </w:rPr>
        <w:t>eu</w:t>
      </w:r>
      <w:r w:rsidRPr="0001174C">
        <w:rPr>
          <w:rFonts w:cs="Times New Roman"/>
          <w:lang w:val="fr-CA"/>
        </w:rPr>
        <w:t xml:space="preserve">t être faite de tout élément de preuve </w:t>
      </w:r>
      <w:r>
        <w:rPr>
          <w:rFonts w:cs="Times New Roman"/>
          <w:lang w:val="fr-CA"/>
        </w:rPr>
        <w:t xml:space="preserve">relatif à </w:t>
      </w:r>
      <w:r w:rsidRPr="0001174C">
        <w:rPr>
          <w:rFonts w:cs="Times New Roman"/>
          <w:lang w:val="fr-CA"/>
        </w:rPr>
        <w:t>la moralité de l</w:t>
      </w:r>
      <w:r>
        <w:rPr>
          <w:rFonts w:cs="Times New Roman"/>
          <w:lang w:val="fr-CA"/>
        </w:rPr>
        <w:t>’</w:t>
      </w:r>
      <w:r w:rsidRPr="0001174C">
        <w:rPr>
          <w:rFonts w:cs="Times New Roman"/>
          <w:lang w:val="fr-CA"/>
        </w:rPr>
        <w:t>accusé</w:t>
      </w:r>
      <w:r w:rsidR="00203E16">
        <w:rPr>
          <w:rFonts w:cs="Times New Roman"/>
          <w:lang w:val="fr-CA"/>
        </w:rPr>
        <w:t xml:space="preserve"> </w:t>
      </w:r>
      <w:r>
        <w:rPr>
          <w:rFonts w:cs="Times New Roman"/>
          <w:lang w:val="fr-CA"/>
        </w:rPr>
        <w:t>:</w:t>
      </w:r>
      <w:r w:rsidRPr="0001174C">
        <w:rPr>
          <w:rFonts w:cs="Times New Roman"/>
          <w:lang w:val="fr-CA"/>
        </w:rPr>
        <w:t xml:space="preserve"> </w:t>
      </w:r>
    </w:p>
    <w:p w:rsidR="00AF2876" w:rsidRPr="0001174C" w:rsidRDefault="00AF2876" w:rsidP="00AF2876">
      <w:pPr>
        <w:pStyle w:val="Citation-AltC"/>
        <w:spacing w:after="240"/>
        <w:ind w:hanging="1166"/>
        <w:contextualSpacing w:val="0"/>
        <w:rPr>
          <w:lang w:val="fr-CA"/>
        </w:rPr>
      </w:pPr>
      <w:r>
        <w:rPr>
          <w:smallCaps/>
          <w:lang w:val="fr-CA"/>
        </w:rPr>
        <w:tab/>
      </w:r>
      <w:r w:rsidRPr="0001174C">
        <w:rPr>
          <w:smallCaps/>
          <w:lang w:val="fr-CA"/>
        </w:rPr>
        <w:t>[traduction]</w:t>
      </w:r>
      <w:r>
        <w:rPr>
          <w:smallCaps/>
          <w:lang w:val="fr-CA"/>
        </w:rPr>
        <w:t xml:space="preserve">  </w:t>
      </w:r>
      <w:r w:rsidRPr="0001174C">
        <w:rPr>
          <w:lang w:val="fr-CA"/>
        </w:rPr>
        <w:t xml:space="preserve">Vous vous souviendrez que, dans mes </w:t>
      </w:r>
      <w:r>
        <w:rPr>
          <w:lang w:val="fr-CA"/>
        </w:rPr>
        <w:t xml:space="preserve">remarques </w:t>
      </w:r>
      <w:r w:rsidRPr="0001174C">
        <w:rPr>
          <w:lang w:val="fr-CA"/>
        </w:rPr>
        <w:t xml:space="preserve">préliminaires, je vous ai </w:t>
      </w:r>
      <w:r>
        <w:rPr>
          <w:lang w:val="fr-CA"/>
        </w:rPr>
        <w:t xml:space="preserve">signalé </w:t>
      </w:r>
      <w:r w:rsidRPr="0001174C">
        <w:rPr>
          <w:lang w:val="fr-CA"/>
        </w:rPr>
        <w:t xml:space="preserve">que vous entendriez </w:t>
      </w:r>
      <w:r>
        <w:rPr>
          <w:lang w:val="fr-CA"/>
        </w:rPr>
        <w:t>vraisem</w:t>
      </w:r>
      <w:r w:rsidRPr="0001174C">
        <w:rPr>
          <w:lang w:val="fr-CA"/>
        </w:rPr>
        <w:t>b</w:t>
      </w:r>
      <w:r>
        <w:rPr>
          <w:lang w:val="fr-CA"/>
        </w:rPr>
        <w:t>l</w:t>
      </w:r>
      <w:r w:rsidRPr="0001174C">
        <w:rPr>
          <w:lang w:val="fr-CA"/>
        </w:rPr>
        <w:t>ablement des éléments de preuve qui ne présentent pas M.</w:t>
      </w:r>
      <w:r w:rsidR="00203E16">
        <w:rPr>
          <w:lang w:val="fr-CA"/>
        </w:rPr>
        <w:t xml:space="preserve"> </w:t>
      </w:r>
      <w:r w:rsidRPr="0001174C">
        <w:rPr>
          <w:lang w:val="fr-CA"/>
        </w:rPr>
        <w:t>Mack sous un jour favorable et qu</w:t>
      </w:r>
      <w:r>
        <w:rPr>
          <w:lang w:val="fr-CA"/>
        </w:rPr>
        <w:t>i</w:t>
      </w:r>
      <w:r w:rsidRPr="0001174C">
        <w:rPr>
          <w:lang w:val="fr-CA"/>
        </w:rPr>
        <w:t xml:space="preserve"> </w:t>
      </w:r>
      <w:r>
        <w:rPr>
          <w:lang w:val="fr-CA"/>
        </w:rPr>
        <w:t xml:space="preserve">font notamment état </w:t>
      </w:r>
      <w:r w:rsidRPr="0001174C">
        <w:rPr>
          <w:lang w:val="fr-CA"/>
        </w:rPr>
        <w:t>d</w:t>
      </w:r>
      <w:r>
        <w:rPr>
          <w:lang w:val="fr-CA"/>
        </w:rPr>
        <w:t>’</w:t>
      </w:r>
      <w:r w:rsidRPr="0001174C">
        <w:rPr>
          <w:lang w:val="fr-CA"/>
        </w:rPr>
        <w:t xml:space="preserve">opinions et </w:t>
      </w:r>
      <w:r>
        <w:rPr>
          <w:lang w:val="fr-CA"/>
        </w:rPr>
        <w:t>d’</w:t>
      </w:r>
      <w:r w:rsidRPr="0001174C">
        <w:rPr>
          <w:lang w:val="fr-CA"/>
        </w:rPr>
        <w:t xml:space="preserve">actes </w:t>
      </w:r>
      <w:r>
        <w:rPr>
          <w:lang w:val="fr-CA"/>
        </w:rPr>
        <w:t>qui lui sont défavorables</w:t>
      </w:r>
      <w:r w:rsidRPr="0001174C">
        <w:rPr>
          <w:lang w:val="fr-CA"/>
        </w:rPr>
        <w:t xml:space="preserve">. Vous avez </w:t>
      </w:r>
      <w:r>
        <w:rPr>
          <w:lang w:val="fr-CA"/>
        </w:rPr>
        <w:t xml:space="preserve">maintenant </w:t>
      </w:r>
      <w:r w:rsidRPr="0001174C">
        <w:rPr>
          <w:lang w:val="fr-CA"/>
        </w:rPr>
        <w:t>entendu certains témoignages en ce sens</w:t>
      </w:r>
      <w:r>
        <w:rPr>
          <w:lang w:val="fr-CA"/>
        </w:rPr>
        <w:t>,</w:t>
      </w:r>
      <w:r w:rsidRPr="0001174C">
        <w:rPr>
          <w:lang w:val="fr-CA"/>
        </w:rPr>
        <w:t xml:space="preserve"> et </w:t>
      </w:r>
      <w:r w:rsidRPr="0001174C">
        <w:rPr>
          <w:u w:val="single"/>
          <w:lang w:val="fr-CA"/>
        </w:rPr>
        <w:t xml:space="preserve">je vous rappelle de ne pas vous fonder sur </w:t>
      </w:r>
      <w:r>
        <w:rPr>
          <w:u w:val="single"/>
          <w:lang w:val="fr-CA"/>
        </w:rPr>
        <w:t xml:space="preserve">eux </w:t>
      </w:r>
      <w:r w:rsidRPr="0001174C">
        <w:rPr>
          <w:u w:val="single"/>
          <w:lang w:val="fr-CA"/>
        </w:rPr>
        <w:t xml:space="preserve">pour conclure </w:t>
      </w:r>
      <w:r>
        <w:rPr>
          <w:u w:val="single"/>
          <w:lang w:val="fr-CA"/>
        </w:rPr>
        <w:t xml:space="preserve">à la culpabilité de </w:t>
      </w:r>
      <w:r w:rsidRPr="0001174C">
        <w:rPr>
          <w:u w:val="single"/>
          <w:lang w:val="fr-CA"/>
        </w:rPr>
        <w:t>M.</w:t>
      </w:r>
      <w:r w:rsidR="00203E16">
        <w:rPr>
          <w:u w:val="single"/>
          <w:lang w:val="fr-CA"/>
        </w:rPr>
        <w:t xml:space="preserve"> </w:t>
      </w:r>
      <w:r w:rsidRPr="0001174C">
        <w:rPr>
          <w:u w:val="single"/>
          <w:lang w:val="fr-CA"/>
        </w:rPr>
        <w:t>Mack</w:t>
      </w:r>
      <w:r>
        <w:rPr>
          <w:u w:val="single"/>
          <w:lang w:val="fr-CA"/>
        </w:rPr>
        <w:t>,</w:t>
      </w:r>
      <w:r w:rsidRPr="0001174C">
        <w:rPr>
          <w:u w:val="single"/>
          <w:lang w:val="fr-CA"/>
        </w:rPr>
        <w:t xml:space="preserve"> </w:t>
      </w:r>
      <w:r>
        <w:rPr>
          <w:u w:val="single"/>
          <w:lang w:val="fr-CA"/>
        </w:rPr>
        <w:t xml:space="preserve">ni </w:t>
      </w:r>
      <w:r w:rsidRPr="0001174C">
        <w:rPr>
          <w:u w:val="single"/>
          <w:lang w:val="fr-CA"/>
        </w:rPr>
        <w:t xml:space="preserve">même </w:t>
      </w:r>
      <w:r>
        <w:rPr>
          <w:u w:val="single"/>
          <w:lang w:val="fr-CA"/>
        </w:rPr>
        <w:t xml:space="preserve">pour </w:t>
      </w:r>
      <w:r w:rsidRPr="0001174C">
        <w:rPr>
          <w:u w:val="single"/>
          <w:lang w:val="fr-CA"/>
        </w:rPr>
        <w:t>conclure qu</w:t>
      </w:r>
      <w:r>
        <w:rPr>
          <w:u w:val="single"/>
          <w:lang w:val="fr-CA"/>
        </w:rPr>
        <w:t>’</w:t>
      </w:r>
      <w:r w:rsidRPr="0001174C">
        <w:rPr>
          <w:u w:val="single"/>
          <w:lang w:val="fr-CA"/>
        </w:rPr>
        <w:t>il est plus probable</w:t>
      </w:r>
      <w:r>
        <w:rPr>
          <w:u w:val="single"/>
          <w:lang w:val="fr-CA"/>
        </w:rPr>
        <w:t xml:space="preserve"> qu’improbable</w:t>
      </w:r>
      <w:r w:rsidRPr="0001174C">
        <w:rPr>
          <w:u w:val="single"/>
          <w:lang w:val="fr-CA"/>
        </w:rPr>
        <w:t xml:space="preserve"> qu</w:t>
      </w:r>
      <w:r>
        <w:rPr>
          <w:u w:val="single"/>
          <w:lang w:val="fr-CA"/>
        </w:rPr>
        <w:t>’</w:t>
      </w:r>
      <w:r w:rsidRPr="0001174C">
        <w:rPr>
          <w:u w:val="single"/>
          <w:lang w:val="fr-CA"/>
        </w:rPr>
        <w:t>il soit coupable du crime dont il est accusé</w:t>
      </w:r>
      <w:r w:rsidRPr="0001174C">
        <w:rPr>
          <w:lang w:val="fr-CA"/>
        </w:rPr>
        <w:t>.</w:t>
      </w:r>
    </w:p>
    <w:p w:rsidR="00AF2876" w:rsidRPr="0001174C" w:rsidRDefault="00AF2876" w:rsidP="00AF2876">
      <w:pPr>
        <w:pStyle w:val="Citation-AltC"/>
        <w:spacing w:after="240"/>
        <w:ind w:hanging="1166"/>
        <w:contextualSpacing w:val="0"/>
        <w:rPr>
          <w:lang w:val="fr-CA"/>
        </w:rPr>
      </w:pPr>
      <w:r>
        <w:rPr>
          <w:lang w:val="fr-CA"/>
        </w:rPr>
        <w:tab/>
      </w:r>
      <w:r w:rsidRPr="0001174C">
        <w:rPr>
          <w:lang w:val="fr-CA"/>
        </w:rPr>
        <w:t xml:space="preserve">Au Canada, on ne poursuit </w:t>
      </w:r>
      <w:r>
        <w:rPr>
          <w:lang w:val="fr-CA"/>
        </w:rPr>
        <w:t>pas une personne</w:t>
      </w:r>
      <w:r w:rsidRPr="0001174C">
        <w:rPr>
          <w:lang w:val="fr-CA"/>
        </w:rPr>
        <w:t xml:space="preserve"> </w:t>
      </w:r>
      <w:r>
        <w:rPr>
          <w:lang w:val="fr-CA"/>
        </w:rPr>
        <w:t xml:space="preserve">et on ne la </w:t>
      </w:r>
      <w:r w:rsidRPr="0001174C">
        <w:rPr>
          <w:lang w:val="fr-CA"/>
        </w:rPr>
        <w:t xml:space="preserve">juge </w:t>
      </w:r>
      <w:r>
        <w:rPr>
          <w:lang w:val="fr-CA"/>
        </w:rPr>
        <w:t xml:space="preserve">pas </w:t>
      </w:r>
      <w:r w:rsidRPr="0001174C">
        <w:rPr>
          <w:lang w:val="fr-CA"/>
        </w:rPr>
        <w:t>coupable</w:t>
      </w:r>
      <w:r>
        <w:rPr>
          <w:lang w:val="fr-CA"/>
        </w:rPr>
        <w:t xml:space="preserve"> </w:t>
      </w:r>
      <w:r w:rsidRPr="0001174C">
        <w:rPr>
          <w:lang w:val="fr-CA"/>
        </w:rPr>
        <w:t xml:space="preserve">à cause de </w:t>
      </w:r>
      <w:r>
        <w:rPr>
          <w:lang w:val="fr-CA"/>
        </w:rPr>
        <w:t>ses croyances ou de ses valeurs</w:t>
      </w:r>
      <w:r w:rsidRPr="0001174C">
        <w:rPr>
          <w:lang w:val="fr-CA"/>
        </w:rPr>
        <w:t xml:space="preserve">. </w:t>
      </w:r>
      <w:r>
        <w:rPr>
          <w:u w:val="single"/>
          <w:lang w:val="fr-CA"/>
        </w:rPr>
        <w:t xml:space="preserve">La </w:t>
      </w:r>
      <w:r w:rsidRPr="0001174C">
        <w:rPr>
          <w:u w:val="single"/>
          <w:lang w:val="fr-CA"/>
        </w:rPr>
        <w:t xml:space="preserve">preuve </w:t>
      </w:r>
      <w:r>
        <w:rPr>
          <w:u w:val="single"/>
          <w:lang w:val="fr-CA"/>
        </w:rPr>
        <w:t>de ce que M.</w:t>
      </w:r>
      <w:r w:rsidR="00203E16">
        <w:rPr>
          <w:u w:val="single"/>
          <w:lang w:val="fr-CA"/>
        </w:rPr>
        <w:t xml:space="preserve"> </w:t>
      </w:r>
      <w:r w:rsidRPr="0001174C">
        <w:rPr>
          <w:u w:val="single"/>
          <w:lang w:val="fr-CA"/>
        </w:rPr>
        <w:t xml:space="preserve">Mack a pu </w:t>
      </w:r>
      <w:r>
        <w:rPr>
          <w:u w:val="single"/>
          <w:lang w:val="fr-CA"/>
        </w:rPr>
        <w:t xml:space="preserve">dire </w:t>
      </w:r>
      <w:r w:rsidRPr="0001174C">
        <w:rPr>
          <w:u w:val="single"/>
          <w:lang w:val="fr-CA"/>
        </w:rPr>
        <w:t xml:space="preserve">ou </w:t>
      </w:r>
      <w:r>
        <w:rPr>
          <w:u w:val="single"/>
          <w:lang w:val="fr-CA"/>
        </w:rPr>
        <w:t xml:space="preserve">faire </w:t>
      </w:r>
      <w:r w:rsidRPr="0001174C">
        <w:rPr>
          <w:u w:val="single"/>
          <w:lang w:val="fr-CA"/>
        </w:rPr>
        <w:t>et qu</w:t>
      </w:r>
      <w:r>
        <w:rPr>
          <w:u w:val="single"/>
          <w:lang w:val="fr-CA"/>
        </w:rPr>
        <w:t>i</w:t>
      </w:r>
      <w:r w:rsidRPr="0001174C">
        <w:rPr>
          <w:u w:val="single"/>
          <w:lang w:val="fr-CA"/>
        </w:rPr>
        <w:t xml:space="preserve"> </w:t>
      </w:r>
      <w:r>
        <w:rPr>
          <w:u w:val="single"/>
          <w:lang w:val="fr-CA"/>
        </w:rPr>
        <w:t xml:space="preserve">paraît </w:t>
      </w:r>
      <w:r w:rsidRPr="0001174C">
        <w:rPr>
          <w:u w:val="single"/>
          <w:lang w:val="fr-CA"/>
        </w:rPr>
        <w:t xml:space="preserve">répréhensible ne vous </w:t>
      </w:r>
      <w:r>
        <w:rPr>
          <w:u w:val="single"/>
          <w:lang w:val="fr-CA"/>
        </w:rPr>
        <w:t xml:space="preserve">a </w:t>
      </w:r>
      <w:r w:rsidRPr="0001174C">
        <w:rPr>
          <w:u w:val="single"/>
          <w:lang w:val="fr-CA"/>
        </w:rPr>
        <w:t xml:space="preserve">été </w:t>
      </w:r>
      <w:r>
        <w:rPr>
          <w:u w:val="single"/>
          <w:lang w:val="fr-CA"/>
        </w:rPr>
        <w:t xml:space="preserve">communiquée </w:t>
      </w:r>
      <w:r w:rsidRPr="0001174C">
        <w:rPr>
          <w:u w:val="single"/>
          <w:lang w:val="fr-CA"/>
        </w:rPr>
        <w:t xml:space="preserve">que dans le but </w:t>
      </w:r>
      <w:r>
        <w:rPr>
          <w:u w:val="single"/>
          <w:lang w:val="fr-CA"/>
        </w:rPr>
        <w:t xml:space="preserve">bien délimité </w:t>
      </w:r>
      <w:r w:rsidRPr="0001174C">
        <w:rPr>
          <w:u w:val="single"/>
          <w:lang w:val="fr-CA"/>
        </w:rPr>
        <w:t xml:space="preserve">de vous </w:t>
      </w:r>
      <w:r>
        <w:rPr>
          <w:u w:val="single"/>
          <w:lang w:val="fr-CA"/>
        </w:rPr>
        <w:t xml:space="preserve">faire connaître le </w:t>
      </w:r>
      <w:r w:rsidRPr="0001174C">
        <w:rPr>
          <w:u w:val="single"/>
          <w:lang w:val="fr-CA"/>
        </w:rPr>
        <w:t xml:space="preserve">contexte </w:t>
      </w:r>
      <w:r>
        <w:rPr>
          <w:u w:val="single"/>
          <w:lang w:val="fr-CA"/>
        </w:rPr>
        <w:t>d’</w:t>
      </w:r>
      <w:r w:rsidRPr="0001174C">
        <w:rPr>
          <w:u w:val="single"/>
          <w:lang w:val="fr-CA"/>
        </w:rPr>
        <w:t xml:space="preserve">autres </w:t>
      </w:r>
      <w:r>
        <w:rPr>
          <w:u w:val="single"/>
          <w:lang w:val="fr-CA"/>
        </w:rPr>
        <w:t xml:space="preserve">propos </w:t>
      </w:r>
      <w:r w:rsidRPr="0001174C">
        <w:rPr>
          <w:u w:val="single"/>
          <w:lang w:val="fr-CA"/>
        </w:rPr>
        <w:t xml:space="preserve">et </w:t>
      </w:r>
      <w:r>
        <w:rPr>
          <w:u w:val="single"/>
          <w:lang w:val="fr-CA"/>
        </w:rPr>
        <w:t xml:space="preserve">d’autres </w:t>
      </w:r>
      <w:r w:rsidRPr="0001174C">
        <w:rPr>
          <w:u w:val="single"/>
          <w:lang w:val="fr-CA"/>
        </w:rPr>
        <w:t>actes qui se rapportent directement à l</w:t>
      </w:r>
      <w:r>
        <w:rPr>
          <w:u w:val="single"/>
          <w:lang w:val="fr-CA"/>
        </w:rPr>
        <w:t>’</w:t>
      </w:r>
      <w:r w:rsidRPr="0001174C">
        <w:rPr>
          <w:u w:val="single"/>
          <w:lang w:val="fr-CA"/>
        </w:rPr>
        <w:t xml:space="preserve">infraction </w:t>
      </w:r>
      <w:r>
        <w:rPr>
          <w:u w:val="single"/>
          <w:lang w:val="fr-CA"/>
        </w:rPr>
        <w:t>reprochée</w:t>
      </w:r>
      <w:r w:rsidRPr="00117744">
        <w:rPr>
          <w:u w:val="single"/>
          <w:lang w:val="fr-CA"/>
        </w:rPr>
        <w:t>.</w:t>
      </w:r>
      <w:r w:rsidRPr="0001174C">
        <w:rPr>
          <w:lang w:val="fr-CA"/>
        </w:rPr>
        <w:t xml:space="preserve"> L</w:t>
      </w:r>
      <w:r>
        <w:rPr>
          <w:lang w:val="fr-CA"/>
        </w:rPr>
        <w:t xml:space="preserve">a </w:t>
      </w:r>
      <w:r w:rsidRPr="0001174C">
        <w:rPr>
          <w:lang w:val="fr-CA"/>
        </w:rPr>
        <w:t xml:space="preserve">preuve </w:t>
      </w:r>
      <w:r>
        <w:rPr>
          <w:lang w:val="fr-CA"/>
        </w:rPr>
        <w:t xml:space="preserve">à vocation </w:t>
      </w:r>
      <w:r w:rsidRPr="0001174C">
        <w:rPr>
          <w:lang w:val="fr-CA"/>
        </w:rPr>
        <w:t>contextuel</w:t>
      </w:r>
      <w:r>
        <w:rPr>
          <w:lang w:val="fr-CA"/>
        </w:rPr>
        <w:t>le</w:t>
      </w:r>
      <w:r w:rsidRPr="0001174C">
        <w:rPr>
          <w:lang w:val="fr-CA"/>
        </w:rPr>
        <w:t xml:space="preserve"> que l</w:t>
      </w:r>
      <w:r>
        <w:rPr>
          <w:lang w:val="fr-CA"/>
        </w:rPr>
        <w:t>’</w:t>
      </w:r>
      <w:r w:rsidRPr="0001174C">
        <w:rPr>
          <w:lang w:val="fr-CA"/>
        </w:rPr>
        <w:t xml:space="preserve">on appelle parfois </w:t>
      </w:r>
      <w:r w:rsidR="00203E16">
        <w:rPr>
          <w:lang w:val="fr-CA"/>
        </w:rPr>
        <w:t>« </w:t>
      </w:r>
      <w:r w:rsidRPr="0001174C">
        <w:rPr>
          <w:lang w:val="fr-CA"/>
        </w:rPr>
        <w:t>récit des faits</w:t>
      </w:r>
      <w:r w:rsidR="00203E16">
        <w:rPr>
          <w:lang w:val="fr-CA"/>
        </w:rPr>
        <w:t> »</w:t>
      </w:r>
      <w:r w:rsidRPr="0001174C">
        <w:rPr>
          <w:lang w:val="fr-CA"/>
        </w:rPr>
        <w:t xml:space="preserve"> vous </w:t>
      </w:r>
      <w:r>
        <w:rPr>
          <w:lang w:val="fr-CA"/>
        </w:rPr>
        <w:t xml:space="preserve">est </w:t>
      </w:r>
      <w:r w:rsidRPr="0001174C">
        <w:rPr>
          <w:lang w:val="fr-CA"/>
        </w:rPr>
        <w:t>fourni</w:t>
      </w:r>
      <w:r>
        <w:rPr>
          <w:lang w:val="fr-CA"/>
        </w:rPr>
        <w:t>e</w:t>
      </w:r>
      <w:r w:rsidRPr="0001174C">
        <w:rPr>
          <w:lang w:val="fr-CA"/>
        </w:rPr>
        <w:t xml:space="preserve"> pour vous permettre de mieux comprendre le contexte </w:t>
      </w:r>
      <w:r>
        <w:rPr>
          <w:lang w:val="fr-CA"/>
        </w:rPr>
        <w:t xml:space="preserve">global </w:t>
      </w:r>
      <w:r w:rsidRPr="0001174C">
        <w:rPr>
          <w:lang w:val="fr-CA"/>
        </w:rPr>
        <w:t xml:space="preserve">et de mieux décider </w:t>
      </w:r>
      <w:r>
        <w:rPr>
          <w:lang w:val="fr-CA"/>
        </w:rPr>
        <w:t xml:space="preserve">en </w:t>
      </w:r>
      <w:r w:rsidRPr="0001174C">
        <w:rPr>
          <w:lang w:val="fr-CA"/>
        </w:rPr>
        <w:t xml:space="preserve">quoi et </w:t>
      </w:r>
      <w:r>
        <w:rPr>
          <w:lang w:val="fr-CA"/>
        </w:rPr>
        <w:t xml:space="preserve">en </w:t>
      </w:r>
      <w:r w:rsidRPr="0001174C">
        <w:rPr>
          <w:lang w:val="fr-CA"/>
        </w:rPr>
        <w:t xml:space="preserve">qui </w:t>
      </w:r>
      <w:r>
        <w:rPr>
          <w:lang w:val="fr-CA"/>
        </w:rPr>
        <w:t>mettre votre foi</w:t>
      </w:r>
      <w:r w:rsidRPr="0001174C">
        <w:rPr>
          <w:lang w:val="fr-CA"/>
        </w:rPr>
        <w:t>.</w:t>
      </w:r>
    </w:p>
    <w:p w:rsidR="00AF2876" w:rsidRPr="0001174C" w:rsidRDefault="00AF2876" w:rsidP="00AF2876">
      <w:pPr>
        <w:pStyle w:val="Citation-AltC"/>
        <w:ind w:hanging="1166"/>
        <w:contextualSpacing w:val="0"/>
        <w:rPr>
          <w:lang w:val="fr-CA"/>
        </w:rPr>
      </w:pPr>
      <w:r>
        <w:rPr>
          <w:lang w:val="fr-CA"/>
        </w:rPr>
        <w:tab/>
      </w:r>
      <w:r w:rsidRPr="0001174C">
        <w:rPr>
          <w:lang w:val="fr-CA"/>
        </w:rPr>
        <w:t xml:space="preserve">Je vous rappelle donc que vous ne devez pas trancher </w:t>
      </w:r>
      <w:r>
        <w:rPr>
          <w:lang w:val="fr-CA"/>
        </w:rPr>
        <w:t xml:space="preserve">en l’espèce </w:t>
      </w:r>
      <w:r w:rsidRPr="0001174C">
        <w:rPr>
          <w:lang w:val="fr-CA"/>
        </w:rPr>
        <w:t xml:space="preserve">en vous fondant sur </w:t>
      </w:r>
      <w:r>
        <w:rPr>
          <w:lang w:val="fr-CA"/>
        </w:rPr>
        <w:t xml:space="preserve">ce que vous croyez </w:t>
      </w:r>
      <w:r w:rsidRPr="0001174C">
        <w:rPr>
          <w:lang w:val="fr-CA"/>
        </w:rPr>
        <w:t>être le système de valeurs</w:t>
      </w:r>
      <w:r>
        <w:rPr>
          <w:lang w:val="fr-CA"/>
        </w:rPr>
        <w:t xml:space="preserve"> de M.</w:t>
      </w:r>
      <w:r w:rsidR="00203E16">
        <w:rPr>
          <w:lang w:val="fr-CA"/>
        </w:rPr>
        <w:t xml:space="preserve"> </w:t>
      </w:r>
      <w:r w:rsidRPr="0001174C">
        <w:rPr>
          <w:lang w:val="fr-CA"/>
        </w:rPr>
        <w:t>Mack ou ses opinions</w:t>
      </w:r>
      <w:r>
        <w:rPr>
          <w:lang w:val="fr-CA"/>
        </w:rPr>
        <w:t>,</w:t>
      </w:r>
      <w:r w:rsidRPr="0001174C">
        <w:rPr>
          <w:lang w:val="fr-CA"/>
        </w:rPr>
        <w:t xml:space="preserve"> </w:t>
      </w:r>
      <w:r>
        <w:rPr>
          <w:lang w:val="fr-CA"/>
        </w:rPr>
        <w:t>non plus qu’</w:t>
      </w:r>
      <w:r w:rsidRPr="0001174C">
        <w:rPr>
          <w:lang w:val="fr-CA"/>
        </w:rPr>
        <w:t>en vous demandant s</w:t>
      </w:r>
      <w:r>
        <w:rPr>
          <w:lang w:val="fr-CA"/>
        </w:rPr>
        <w:t>’</w:t>
      </w:r>
      <w:r w:rsidRPr="0001174C">
        <w:rPr>
          <w:lang w:val="fr-CA"/>
        </w:rPr>
        <w:t xml:space="preserve">il a pu commettre </w:t>
      </w:r>
      <w:r>
        <w:rPr>
          <w:lang w:val="fr-CA"/>
        </w:rPr>
        <w:t xml:space="preserve">quelque </w:t>
      </w:r>
      <w:r w:rsidRPr="0001174C">
        <w:rPr>
          <w:lang w:val="fr-CA"/>
        </w:rPr>
        <w:t xml:space="preserve">autre acte illicite </w:t>
      </w:r>
      <w:r>
        <w:rPr>
          <w:lang w:val="fr-CA"/>
        </w:rPr>
        <w:t xml:space="preserve">ou </w:t>
      </w:r>
      <w:r w:rsidRPr="0001174C">
        <w:rPr>
          <w:lang w:val="fr-CA"/>
        </w:rPr>
        <w:t xml:space="preserve">infraction. </w:t>
      </w:r>
      <w:r w:rsidRPr="0001174C">
        <w:rPr>
          <w:u w:val="single"/>
          <w:lang w:val="fr-CA"/>
        </w:rPr>
        <w:t>La seule chose qui nous intéresse en l</w:t>
      </w:r>
      <w:r>
        <w:rPr>
          <w:u w:val="single"/>
          <w:lang w:val="fr-CA"/>
        </w:rPr>
        <w:t>’</w:t>
      </w:r>
      <w:r w:rsidRPr="0001174C">
        <w:rPr>
          <w:u w:val="single"/>
          <w:lang w:val="fr-CA"/>
        </w:rPr>
        <w:t>espèce c</w:t>
      </w:r>
      <w:r>
        <w:rPr>
          <w:u w:val="single"/>
          <w:lang w:val="fr-CA"/>
        </w:rPr>
        <w:t>’</w:t>
      </w:r>
      <w:r w:rsidRPr="0001174C">
        <w:rPr>
          <w:u w:val="single"/>
          <w:lang w:val="fr-CA"/>
        </w:rPr>
        <w:t>est l</w:t>
      </w:r>
      <w:r>
        <w:rPr>
          <w:u w:val="single"/>
          <w:lang w:val="fr-CA"/>
        </w:rPr>
        <w:t>’</w:t>
      </w:r>
      <w:r w:rsidRPr="0001174C">
        <w:rPr>
          <w:u w:val="single"/>
          <w:lang w:val="fr-CA"/>
        </w:rPr>
        <w:t xml:space="preserve">acte </w:t>
      </w:r>
      <w:r>
        <w:rPr>
          <w:u w:val="single"/>
          <w:lang w:val="fr-CA"/>
        </w:rPr>
        <w:t>reproché</w:t>
      </w:r>
      <w:r w:rsidRPr="0001174C">
        <w:rPr>
          <w:u w:val="single"/>
          <w:lang w:val="fr-CA"/>
        </w:rPr>
        <w:t xml:space="preserve">, en </w:t>
      </w:r>
      <w:r>
        <w:rPr>
          <w:u w:val="single"/>
          <w:lang w:val="fr-CA"/>
        </w:rPr>
        <w:t>l’occurrence</w:t>
      </w:r>
      <w:r w:rsidRPr="0001174C">
        <w:rPr>
          <w:u w:val="single"/>
          <w:lang w:val="fr-CA"/>
        </w:rPr>
        <w:t xml:space="preserve"> le meurtre de Robert Levoi</w:t>
      </w:r>
      <w:r w:rsidRPr="00117744">
        <w:rPr>
          <w:u w:val="single"/>
          <w:lang w:val="fr-CA"/>
        </w:rPr>
        <w:t>r.</w:t>
      </w:r>
      <w:r w:rsidRPr="0001174C">
        <w:rPr>
          <w:lang w:val="fr-CA"/>
        </w:rPr>
        <w:t xml:space="preserve"> </w:t>
      </w:r>
      <w:r>
        <w:rPr>
          <w:lang w:val="fr-CA"/>
        </w:rPr>
        <w:t xml:space="preserve">[Je </w:t>
      </w:r>
      <w:r w:rsidRPr="0001174C">
        <w:rPr>
          <w:lang w:val="fr-CA"/>
        </w:rPr>
        <w:t>soulign</w:t>
      </w:r>
      <w:r>
        <w:rPr>
          <w:lang w:val="fr-CA"/>
        </w:rPr>
        <w:t>e</w:t>
      </w:r>
      <w:r w:rsidRPr="0001174C">
        <w:rPr>
          <w:lang w:val="fr-CA"/>
        </w:rPr>
        <w:t>.</w:t>
      </w:r>
      <w:r>
        <w:rPr>
          <w:lang w:val="fr-CA"/>
        </w:rPr>
        <w:t>]</w:t>
      </w:r>
    </w:p>
    <w:p w:rsidR="00AF2876" w:rsidRPr="0001174C" w:rsidRDefault="00AF2876" w:rsidP="00AF2876">
      <w:pPr>
        <w:pStyle w:val="ParaNoNdepar-AltN"/>
        <w:rPr>
          <w:rFonts w:cs="Times New Roman"/>
          <w:lang w:val="fr-CA"/>
        </w:rPr>
      </w:pPr>
      <w:r>
        <w:rPr>
          <w:rFonts w:cs="Times New Roman"/>
          <w:lang w:val="fr-CA"/>
        </w:rPr>
        <w:t xml:space="preserve">Considérées au regard </w:t>
      </w:r>
      <w:r w:rsidRPr="0001174C">
        <w:rPr>
          <w:rFonts w:cs="Times New Roman"/>
          <w:lang w:val="fr-CA"/>
        </w:rPr>
        <w:t>de la méthode fonctionnelle, ces directives sur l</w:t>
      </w:r>
      <w:r>
        <w:rPr>
          <w:rFonts w:cs="Times New Roman"/>
          <w:lang w:val="fr-CA"/>
        </w:rPr>
        <w:t xml:space="preserve">e caractère </w:t>
      </w:r>
      <w:r w:rsidRPr="0001174C">
        <w:rPr>
          <w:rFonts w:cs="Times New Roman"/>
          <w:lang w:val="fr-CA"/>
        </w:rPr>
        <w:t>fiab</w:t>
      </w:r>
      <w:r>
        <w:rPr>
          <w:rFonts w:cs="Times New Roman"/>
          <w:lang w:val="fr-CA"/>
        </w:rPr>
        <w:t>le ou non</w:t>
      </w:r>
      <w:r w:rsidRPr="0001174C">
        <w:rPr>
          <w:rFonts w:cs="Times New Roman"/>
          <w:lang w:val="fr-CA"/>
        </w:rPr>
        <w:t xml:space="preserve"> des aveux et </w:t>
      </w:r>
      <w:r>
        <w:rPr>
          <w:rFonts w:cs="Times New Roman"/>
          <w:lang w:val="fr-CA"/>
        </w:rPr>
        <w:t xml:space="preserve">sur </w:t>
      </w:r>
      <w:r w:rsidRPr="0001174C">
        <w:rPr>
          <w:rFonts w:cs="Times New Roman"/>
          <w:lang w:val="fr-CA"/>
        </w:rPr>
        <w:t>la preuve de mauvaise moralité</w:t>
      </w:r>
      <w:r>
        <w:rPr>
          <w:rFonts w:cs="Times New Roman"/>
          <w:lang w:val="fr-CA"/>
        </w:rPr>
        <w:t xml:space="preserve"> ne sont entachées d’aucune erreur</w:t>
      </w:r>
      <w:r w:rsidRPr="0001174C">
        <w:rPr>
          <w:rFonts w:cs="Times New Roman"/>
          <w:lang w:val="fr-CA"/>
        </w:rPr>
        <w:t>. Le juge abord</w:t>
      </w:r>
      <w:r>
        <w:rPr>
          <w:rFonts w:cs="Times New Roman"/>
          <w:lang w:val="fr-CA"/>
        </w:rPr>
        <w:t>e</w:t>
      </w:r>
      <w:r w:rsidRPr="0001174C">
        <w:rPr>
          <w:rFonts w:cs="Times New Roman"/>
          <w:lang w:val="fr-CA"/>
        </w:rPr>
        <w:t xml:space="preserve"> </w:t>
      </w:r>
      <w:r>
        <w:rPr>
          <w:rFonts w:cs="Times New Roman"/>
          <w:lang w:val="fr-CA"/>
        </w:rPr>
        <w:t xml:space="preserve">franchement </w:t>
      </w:r>
      <w:r w:rsidRPr="0001174C">
        <w:rPr>
          <w:rFonts w:cs="Times New Roman"/>
          <w:lang w:val="fr-CA"/>
        </w:rPr>
        <w:t xml:space="preserve">les deux </w:t>
      </w:r>
      <w:r>
        <w:rPr>
          <w:rFonts w:cs="Times New Roman"/>
          <w:lang w:val="fr-CA"/>
        </w:rPr>
        <w:t xml:space="preserve">problèmes </w:t>
      </w:r>
      <w:r w:rsidRPr="0001174C">
        <w:rPr>
          <w:rFonts w:cs="Times New Roman"/>
          <w:lang w:val="fr-CA"/>
        </w:rPr>
        <w:t>que soul</w:t>
      </w:r>
      <w:r>
        <w:rPr>
          <w:rFonts w:cs="Times New Roman"/>
          <w:lang w:val="fr-CA"/>
        </w:rPr>
        <w:t>è</w:t>
      </w:r>
      <w:r w:rsidRPr="0001174C">
        <w:rPr>
          <w:rFonts w:cs="Times New Roman"/>
          <w:lang w:val="fr-CA"/>
        </w:rPr>
        <w:t xml:space="preserve">ve </w:t>
      </w:r>
      <w:r>
        <w:rPr>
          <w:rFonts w:cs="Times New Roman"/>
          <w:lang w:val="fr-CA"/>
        </w:rPr>
        <w:t>l’admission d</w:t>
      </w:r>
      <w:r w:rsidRPr="0001174C">
        <w:rPr>
          <w:rFonts w:cs="Times New Roman"/>
          <w:lang w:val="fr-CA"/>
        </w:rPr>
        <w:t>es aveux de l</w:t>
      </w:r>
      <w:r>
        <w:rPr>
          <w:rFonts w:cs="Times New Roman"/>
          <w:lang w:val="fr-CA"/>
        </w:rPr>
        <w:t>’</w:t>
      </w:r>
      <w:r w:rsidRPr="0001174C">
        <w:rPr>
          <w:rFonts w:cs="Times New Roman"/>
          <w:lang w:val="fr-CA"/>
        </w:rPr>
        <w:t xml:space="preserve">appelant aux agents </w:t>
      </w:r>
      <w:r>
        <w:rPr>
          <w:rFonts w:cs="Times New Roman"/>
          <w:lang w:val="fr-CA"/>
        </w:rPr>
        <w:t>banalisés</w:t>
      </w:r>
      <w:r w:rsidRPr="0001174C">
        <w:rPr>
          <w:rFonts w:cs="Times New Roman"/>
          <w:lang w:val="fr-CA"/>
        </w:rPr>
        <w:t xml:space="preserve">. Il </w:t>
      </w:r>
      <w:r>
        <w:rPr>
          <w:rFonts w:cs="Times New Roman"/>
          <w:lang w:val="fr-CA"/>
        </w:rPr>
        <w:t xml:space="preserve">enjoint </w:t>
      </w:r>
      <w:r w:rsidRPr="0001174C">
        <w:rPr>
          <w:rFonts w:cs="Times New Roman"/>
          <w:lang w:val="fr-CA"/>
        </w:rPr>
        <w:t xml:space="preserve">au jury de </w:t>
      </w:r>
      <w:r w:rsidRPr="001D0501">
        <w:rPr>
          <w:rFonts w:cs="Times New Roman"/>
          <w:smallCaps/>
          <w:lang w:val="fr-CA"/>
        </w:rPr>
        <w:t>[traduction]</w:t>
      </w:r>
      <w:r w:rsidRPr="0001174C">
        <w:rPr>
          <w:rFonts w:cs="Times New Roman"/>
          <w:smallCaps/>
          <w:lang w:val="fr-CA"/>
        </w:rPr>
        <w:t xml:space="preserve"> </w:t>
      </w:r>
      <w:r w:rsidR="00203E16">
        <w:rPr>
          <w:rFonts w:cs="Times New Roman"/>
          <w:lang w:val="fr-CA"/>
        </w:rPr>
        <w:t>« </w:t>
      </w:r>
      <w:r>
        <w:rPr>
          <w:rFonts w:cs="Times New Roman"/>
          <w:lang w:val="fr-CA"/>
        </w:rPr>
        <w:t>bien apprécier</w:t>
      </w:r>
      <w:r w:rsidR="00203E16">
        <w:rPr>
          <w:rFonts w:cs="Times New Roman"/>
          <w:lang w:val="fr-CA"/>
        </w:rPr>
        <w:t> »</w:t>
      </w:r>
      <w:r>
        <w:rPr>
          <w:rFonts w:cs="Times New Roman"/>
          <w:lang w:val="fr-CA"/>
        </w:rPr>
        <w:t xml:space="preserve"> la fiabilité d</w:t>
      </w:r>
      <w:r w:rsidRPr="0001174C">
        <w:rPr>
          <w:rFonts w:cs="Times New Roman"/>
          <w:lang w:val="fr-CA"/>
        </w:rPr>
        <w:t xml:space="preserve">es aveux </w:t>
      </w:r>
      <w:r>
        <w:rPr>
          <w:rFonts w:cs="Times New Roman"/>
          <w:lang w:val="fr-CA"/>
        </w:rPr>
        <w:t xml:space="preserve">de </w:t>
      </w:r>
      <w:r w:rsidRPr="0001174C">
        <w:rPr>
          <w:rFonts w:cs="Times New Roman"/>
          <w:lang w:val="fr-CA"/>
        </w:rPr>
        <w:t>l</w:t>
      </w:r>
      <w:r>
        <w:rPr>
          <w:rFonts w:cs="Times New Roman"/>
          <w:lang w:val="fr-CA"/>
        </w:rPr>
        <w:t>’</w:t>
      </w:r>
      <w:r w:rsidRPr="0001174C">
        <w:rPr>
          <w:rFonts w:cs="Times New Roman"/>
          <w:lang w:val="fr-CA"/>
        </w:rPr>
        <w:t xml:space="preserve">appelant et il </w:t>
      </w:r>
      <w:r>
        <w:rPr>
          <w:rFonts w:cs="Times New Roman"/>
          <w:lang w:val="fr-CA"/>
        </w:rPr>
        <w:t xml:space="preserve">renvoie </w:t>
      </w:r>
      <w:r w:rsidRPr="0001174C">
        <w:rPr>
          <w:rFonts w:cs="Times New Roman"/>
          <w:lang w:val="fr-CA"/>
        </w:rPr>
        <w:lastRenderedPageBreak/>
        <w:t xml:space="preserve">expressément </w:t>
      </w:r>
      <w:r>
        <w:rPr>
          <w:rFonts w:cs="Times New Roman"/>
          <w:lang w:val="fr-CA"/>
        </w:rPr>
        <w:t xml:space="preserve">à </w:t>
      </w:r>
      <w:r w:rsidRPr="0001174C">
        <w:rPr>
          <w:rFonts w:cs="Times New Roman"/>
          <w:lang w:val="fr-CA"/>
        </w:rPr>
        <w:t xml:space="preserve">la duperie des policiers, </w:t>
      </w:r>
      <w:r>
        <w:rPr>
          <w:rFonts w:cs="Times New Roman"/>
          <w:lang w:val="fr-CA"/>
        </w:rPr>
        <w:t xml:space="preserve">à </w:t>
      </w:r>
      <w:r w:rsidRPr="0001174C">
        <w:rPr>
          <w:rFonts w:cs="Times New Roman"/>
          <w:lang w:val="fr-CA"/>
        </w:rPr>
        <w:t>l</w:t>
      </w:r>
      <w:r>
        <w:rPr>
          <w:rFonts w:cs="Times New Roman"/>
          <w:lang w:val="fr-CA"/>
        </w:rPr>
        <w:t>’importance des gratifications</w:t>
      </w:r>
      <w:r w:rsidRPr="0001174C">
        <w:rPr>
          <w:rFonts w:cs="Times New Roman"/>
          <w:lang w:val="fr-CA"/>
        </w:rPr>
        <w:t xml:space="preserve">, </w:t>
      </w:r>
      <w:r>
        <w:rPr>
          <w:rFonts w:cs="Times New Roman"/>
          <w:lang w:val="fr-CA"/>
        </w:rPr>
        <w:t xml:space="preserve">à </w:t>
      </w:r>
      <w:r w:rsidR="00203E16">
        <w:rPr>
          <w:rFonts w:cs="Times New Roman"/>
          <w:lang w:val="fr-CA"/>
        </w:rPr>
        <w:t>« </w:t>
      </w:r>
      <w:r w:rsidRPr="0001174C">
        <w:rPr>
          <w:rFonts w:cs="Times New Roman"/>
          <w:lang w:val="fr-CA"/>
        </w:rPr>
        <w:t>l</w:t>
      </w:r>
      <w:r>
        <w:rPr>
          <w:rFonts w:cs="Times New Roman"/>
          <w:lang w:val="fr-CA"/>
        </w:rPr>
        <w:t>’</w:t>
      </w:r>
      <w:r w:rsidRPr="0001174C">
        <w:rPr>
          <w:rFonts w:cs="Times New Roman"/>
          <w:lang w:val="fr-CA"/>
        </w:rPr>
        <w:t>attrait de l</w:t>
      </w:r>
      <w:r>
        <w:rPr>
          <w:rFonts w:cs="Times New Roman"/>
          <w:lang w:val="fr-CA"/>
        </w:rPr>
        <w:t>’</w:t>
      </w:r>
      <w:r w:rsidRPr="0001174C">
        <w:rPr>
          <w:rFonts w:cs="Times New Roman"/>
          <w:lang w:val="fr-CA"/>
        </w:rPr>
        <w:t>argent facile</w:t>
      </w:r>
      <w:r w:rsidR="00203E16">
        <w:rPr>
          <w:rFonts w:cs="Times New Roman"/>
          <w:lang w:val="fr-CA"/>
        </w:rPr>
        <w:t> »</w:t>
      </w:r>
      <w:r w:rsidRPr="0001174C">
        <w:rPr>
          <w:rFonts w:cs="Times New Roman"/>
          <w:lang w:val="fr-CA"/>
        </w:rPr>
        <w:t xml:space="preserve"> et </w:t>
      </w:r>
      <w:r>
        <w:rPr>
          <w:rFonts w:cs="Times New Roman"/>
          <w:lang w:val="fr-CA"/>
        </w:rPr>
        <w:t xml:space="preserve">à l’existence </w:t>
      </w:r>
      <w:r w:rsidRPr="0001174C">
        <w:rPr>
          <w:rFonts w:cs="Times New Roman"/>
          <w:lang w:val="fr-CA"/>
        </w:rPr>
        <w:t>de tout</w:t>
      </w:r>
      <w:r>
        <w:rPr>
          <w:rFonts w:cs="Times New Roman"/>
          <w:lang w:val="fr-CA"/>
        </w:rPr>
        <w:t xml:space="preserve"> acte de </w:t>
      </w:r>
      <w:r w:rsidRPr="0001174C">
        <w:rPr>
          <w:rFonts w:cs="Times New Roman"/>
          <w:lang w:val="fr-CA"/>
        </w:rPr>
        <w:t xml:space="preserve">menace ou </w:t>
      </w:r>
      <w:r>
        <w:rPr>
          <w:rFonts w:cs="Times New Roman"/>
          <w:lang w:val="fr-CA"/>
        </w:rPr>
        <w:t>d’</w:t>
      </w:r>
      <w:r w:rsidRPr="0001174C">
        <w:rPr>
          <w:rFonts w:cs="Times New Roman"/>
          <w:lang w:val="fr-CA"/>
        </w:rPr>
        <w:t xml:space="preserve">intimidation. Au cours du procès et </w:t>
      </w:r>
      <w:r>
        <w:rPr>
          <w:rFonts w:cs="Times New Roman"/>
          <w:lang w:val="fr-CA"/>
        </w:rPr>
        <w:t xml:space="preserve">dans </w:t>
      </w:r>
      <w:r w:rsidRPr="0001174C">
        <w:rPr>
          <w:rFonts w:cs="Times New Roman"/>
          <w:lang w:val="fr-CA"/>
        </w:rPr>
        <w:t>ses directives finales, le juge invit</w:t>
      </w:r>
      <w:r>
        <w:rPr>
          <w:rFonts w:cs="Times New Roman"/>
          <w:lang w:val="fr-CA"/>
        </w:rPr>
        <w:t>e</w:t>
      </w:r>
      <w:r w:rsidRPr="0001174C">
        <w:rPr>
          <w:rFonts w:cs="Times New Roman"/>
          <w:lang w:val="fr-CA"/>
        </w:rPr>
        <w:t xml:space="preserve"> les jurés à </w:t>
      </w:r>
      <w:r>
        <w:rPr>
          <w:rFonts w:cs="Times New Roman"/>
          <w:lang w:val="fr-CA"/>
        </w:rPr>
        <w:t xml:space="preserve">faire abstraction </w:t>
      </w:r>
      <w:r w:rsidRPr="0001174C">
        <w:rPr>
          <w:rFonts w:cs="Times New Roman"/>
          <w:lang w:val="fr-CA"/>
        </w:rPr>
        <w:t>de la preuve de mauvaise moralité préjudiciable pour arriver à leur verdict.</w:t>
      </w:r>
    </w:p>
    <w:p w:rsidR="00AF2876" w:rsidRPr="0001174C" w:rsidRDefault="00AF2876" w:rsidP="00AF2876">
      <w:pPr>
        <w:pStyle w:val="ParaNoNdepar-AltN"/>
        <w:rPr>
          <w:rFonts w:cs="Times New Roman"/>
          <w:lang w:val="fr-CA"/>
        </w:rPr>
      </w:pPr>
      <w:r w:rsidRPr="0001174C">
        <w:rPr>
          <w:rFonts w:cs="Times New Roman"/>
          <w:lang w:val="fr-CA"/>
        </w:rPr>
        <w:t>Certes, le juge du procès aurait pu</w:t>
      </w:r>
      <w:r>
        <w:rPr>
          <w:rFonts w:cs="Times New Roman"/>
          <w:lang w:val="fr-CA"/>
        </w:rPr>
        <w:t xml:space="preserve"> en dire davantage sur</w:t>
      </w:r>
      <w:r w:rsidRPr="0001174C">
        <w:rPr>
          <w:rFonts w:cs="Times New Roman"/>
          <w:lang w:val="fr-CA"/>
        </w:rPr>
        <w:t xml:space="preserve"> la </w:t>
      </w:r>
      <w:r>
        <w:rPr>
          <w:rFonts w:cs="Times New Roman"/>
          <w:lang w:val="fr-CA"/>
        </w:rPr>
        <w:t>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w:t>
      </w:r>
      <w:r w:rsidRPr="0001174C">
        <w:rPr>
          <w:rFonts w:cs="Times New Roman"/>
          <w:lang w:val="fr-CA"/>
        </w:rPr>
        <w:t>d</w:t>
      </w:r>
      <w:r>
        <w:rPr>
          <w:rFonts w:cs="Times New Roman"/>
          <w:lang w:val="fr-CA"/>
        </w:rPr>
        <w:t xml:space="preserve">’un </w:t>
      </w:r>
      <w:r w:rsidRPr="0001174C">
        <w:rPr>
          <w:rFonts w:cs="Times New Roman"/>
          <w:lang w:val="fr-CA"/>
        </w:rPr>
        <w:t>aveu</w:t>
      </w:r>
      <w:r>
        <w:rPr>
          <w:rFonts w:cs="Times New Roman"/>
          <w:lang w:val="fr-CA"/>
        </w:rPr>
        <w:t xml:space="preserve"> issu d’une </w:t>
      </w:r>
      <w:r w:rsidRPr="0001174C">
        <w:rPr>
          <w:rFonts w:cs="Times New Roman"/>
          <w:lang w:val="fr-CA"/>
        </w:rPr>
        <w:t xml:space="preserve">opération </w:t>
      </w:r>
      <w:r>
        <w:rPr>
          <w:rFonts w:cs="Times New Roman"/>
          <w:lang w:val="fr-CA"/>
        </w:rPr>
        <w:t xml:space="preserve">Monsieur </w:t>
      </w:r>
      <w:r w:rsidRPr="0001174C">
        <w:rPr>
          <w:rFonts w:cs="Times New Roman"/>
          <w:lang w:val="fr-CA"/>
        </w:rPr>
        <w:t xml:space="preserve">Big. Il aurait pu, par exemple, </w:t>
      </w:r>
      <w:r>
        <w:rPr>
          <w:rFonts w:cs="Times New Roman"/>
          <w:lang w:val="fr-CA"/>
        </w:rPr>
        <w:t xml:space="preserve">revenir </w:t>
      </w:r>
      <w:r w:rsidRPr="0001174C">
        <w:rPr>
          <w:rFonts w:cs="Times New Roman"/>
          <w:lang w:val="fr-CA"/>
        </w:rPr>
        <w:t xml:space="preserve">spécifiquement </w:t>
      </w:r>
      <w:r>
        <w:rPr>
          <w:rFonts w:cs="Times New Roman"/>
          <w:lang w:val="fr-CA"/>
        </w:rPr>
        <w:t xml:space="preserve">sur </w:t>
      </w:r>
      <w:r w:rsidRPr="0001174C">
        <w:rPr>
          <w:rFonts w:cs="Times New Roman"/>
          <w:lang w:val="fr-CA"/>
        </w:rPr>
        <w:t xml:space="preserve">les sommes </w:t>
      </w:r>
      <w:r>
        <w:rPr>
          <w:rFonts w:cs="Times New Roman"/>
          <w:lang w:val="fr-CA"/>
        </w:rPr>
        <w:t xml:space="preserve">touchées </w:t>
      </w:r>
      <w:r w:rsidRPr="0001174C">
        <w:rPr>
          <w:rFonts w:cs="Times New Roman"/>
          <w:lang w:val="fr-CA"/>
        </w:rPr>
        <w:t>par l</w:t>
      </w:r>
      <w:r>
        <w:rPr>
          <w:rFonts w:cs="Times New Roman"/>
          <w:lang w:val="fr-CA"/>
        </w:rPr>
        <w:t>’</w:t>
      </w:r>
      <w:r w:rsidRPr="0001174C">
        <w:rPr>
          <w:rFonts w:cs="Times New Roman"/>
          <w:lang w:val="fr-CA"/>
        </w:rPr>
        <w:t>appelant au cours de l</w:t>
      </w:r>
      <w:r>
        <w:rPr>
          <w:rFonts w:cs="Times New Roman"/>
          <w:lang w:val="fr-CA"/>
        </w:rPr>
        <w:t>’</w:t>
      </w:r>
      <w:r w:rsidRPr="0001174C">
        <w:rPr>
          <w:rFonts w:cs="Times New Roman"/>
          <w:lang w:val="fr-CA"/>
        </w:rPr>
        <w:t xml:space="preserve">opération ou </w:t>
      </w:r>
      <w:r>
        <w:rPr>
          <w:rFonts w:cs="Times New Roman"/>
          <w:lang w:val="fr-CA"/>
        </w:rPr>
        <w:t xml:space="preserve">sur les exhortations de </w:t>
      </w:r>
      <w:r w:rsidRPr="0001174C">
        <w:rPr>
          <w:rFonts w:cs="Times New Roman"/>
          <w:lang w:val="fr-CA"/>
        </w:rPr>
        <w:t xml:space="preserve">Ben et </w:t>
      </w:r>
      <w:r>
        <w:rPr>
          <w:rFonts w:cs="Times New Roman"/>
          <w:lang w:val="fr-CA"/>
        </w:rPr>
        <w:t xml:space="preserve">de </w:t>
      </w:r>
      <w:r w:rsidRPr="0001174C">
        <w:rPr>
          <w:rFonts w:cs="Times New Roman"/>
          <w:lang w:val="fr-CA"/>
        </w:rPr>
        <w:t>Liam</w:t>
      </w:r>
      <w:r>
        <w:rPr>
          <w:rFonts w:cs="Times New Roman"/>
          <w:lang w:val="fr-CA"/>
        </w:rPr>
        <w:t xml:space="preserve"> </w:t>
      </w:r>
      <w:r w:rsidRPr="0001174C">
        <w:rPr>
          <w:rFonts w:cs="Times New Roman"/>
          <w:lang w:val="fr-CA"/>
        </w:rPr>
        <w:t xml:space="preserve">à passer aux aveux. </w:t>
      </w:r>
      <w:r w:rsidRPr="001D0501">
        <w:rPr>
          <w:rFonts w:cs="Times New Roman"/>
          <w:lang w:val="fr-CA"/>
        </w:rPr>
        <w:t>Toutefois, il aurait pu également préciser les éléments de preuve propres à militer en faveur de la fiabilité des aveux de l’appelant, dont le fait que ce dernier aurait pu bien gagner sa vie lorsque les gratifications financières lui ont été offertes, le fait que l’appelant</w:t>
      </w:r>
      <w:r w:rsidRPr="0001174C">
        <w:rPr>
          <w:rFonts w:cs="Times New Roman"/>
          <w:lang w:val="fr-CA"/>
        </w:rPr>
        <w:t xml:space="preserve"> </w:t>
      </w:r>
      <w:r>
        <w:rPr>
          <w:rFonts w:cs="Times New Roman"/>
          <w:lang w:val="fr-CA"/>
        </w:rPr>
        <w:t xml:space="preserve">a </w:t>
      </w:r>
      <w:r w:rsidRPr="0001174C">
        <w:rPr>
          <w:rFonts w:cs="Times New Roman"/>
          <w:lang w:val="fr-CA"/>
        </w:rPr>
        <w:t>indiqué avec précision l</w:t>
      </w:r>
      <w:r>
        <w:rPr>
          <w:rFonts w:cs="Times New Roman"/>
          <w:lang w:val="fr-CA"/>
        </w:rPr>
        <w:t>’</w:t>
      </w:r>
      <w:r w:rsidRPr="0001174C">
        <w:rPr>
          <w:rFonts w:cs="Times New Roman"/>
          <w:lang w:val="fr-CA"/>
        </w:rPr>
        <w:t>endroit où se trouvai</w:t>
      </w:r>
      <w:r>
        <w:rPr>
          <w:rFonts w:cs="Times New Roman"/>
          <w:lang w:val="fr-CA"/>
        </w:rPr>
        <w:t>en</w:t>
      </w:r>
      <w:r w:rsidRPr="0001174C">
        <w:rPr>
          <w:rFonts w:cs="Times New Roman"/>
          <w:lang w:val="fr-CA"/>
        </w:rPr>
        <w:t xml:space="preserve">t </w:t>
      </w:r>
      <w:r>
        <w:rPr>
          <w:rFonts w:cs="Times New Roman"/>
          <w:lang w:val="fr-CA"/>
        </w:rPr>
        <w:t xml:space="preserve">les restes </w:t>
      </w:r>
      <w:r w:rsidRPr="0001174C">
        <w:rPr>
          <w:rFonts w:cs="Times New Roman"/>
          <w:lang w:val="fr-CA"/>
        </w:rPr>
        <w:t xml:space="preserve">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lorsqu</w:t>
      </w:r>
      <w:r>
        <w:rPr>
          <w:rFonts w:cs="Times New Roman"/>
          <w:lang w:val="fr-CA"/>
        </w:rPr>
        <w:t>’</w:t>
      </w:r>
      <w:r w:rsidRPr="0001174C">
        <w:rPr>
          <w:rFonts w:cs="Times New Roman"/>
          <w:lang w:val="fr-CA"/>
        </w:rPr>
        <w:t xml:space="preserve">il </w:t>
      </w:r>
      <w:r>
        <w:rPr>
          <w:rFonts w:cs="Times New Roman"/>
          <w:lang w:val="fr-CA"/>
        </w:rPr>
        <w:t xml:space="preserve">a avoué le meurtre </w:t>
      </w:r>
      <w:r w:rsidRPr="0001174C">
        <w:rPr>
          <w:rFonts w:cs="Times New Roman"/>
          <w:lang w:val="fr-CA"/>
        </w:rPr>
        <w:t xml:space="preserve">à Ben et </w:t>
      </w:r>
      <w:r>
        <w:rPr>
          <w:rFonts w:cs="Times New Roman"/>
          <w:lang w:val="fr-CA"/>
        </w:rPr>
        <w:t xml:space="preserve">le fait </w:t>
      </w:r>
      <w:r w:rsidRPr="0001174C">
        <w:rPr>
          <w:rFonts w:cs="Times New Roman"/>
          <w:lang w:val="fr-CA"/>
        </w:rPr>
        <w:t xml:space="preserve">que des douilles provenant de la carabine </w:t>
      </w:r>
      <w:r>
        <w:rPr>
          <w:rFonts w:cs="Times New Roman"/>
          <w:lang w:val="fr-CA"/>
        </w:rPr>
        <w:t xml:space="preserve">trouvée </w:t>
      </w:r>
      <w:r w:rsidRPr="0001174C">
        <w:rPr>
          <w:rFonts w:cs="Times New Roman"/>
          <w:lang w:val="fr-CA"/>
        </w:rPr>
        <w:t>chez l</w:t>
      </w:r>
      <w:r>
        <w:rPr>
          <w:rFonts w:cs="Times New Roman"/>
          <w:lang w:val="fr-CA"/>
        </w:rPr>
        <w:t>’</w:t>
      </w:r>
      <w:r w:rsidRPr="0001174C">
        <w:rPr>
          <w:rFonts w:cs="Times New Roman"/>
          <w:lang w:val="fr-CA"/>
        </w:rPr>
        <w:t xml:space="preserve">appelant </w:t>
      </w:r>
      <w:r>
        <w:rPr>
          <w:rFonts w:cs="Times New Roman"/>
          <w:lang w:val="fr-CA"/>
        </w:rPr>
        <w:t xml:space="preserve">ont </w:t>
      </w:r>
      <w:r w:rsidRPr="0001174C">
        <w:rPr>
          <w:rFonts w:cs="Times New Roman"/>
          <w:lang w:val="fr-CA"/>
        </w:rPr>
        <w:t xml:space="preserve">été découvertes dans le foyer </w:t>
      </w:r>
      <w:r>
        <w:rPr>
          <w:rFonts w:cs="Times New Roman"/>
          <w:lang w:val="fr-CA"/>
        </w:rPr>
        <w:t>en plein air</w:t>
      </w:r>
      <w:r w:rsidRPr="0001174C">
        <w:rPr>
          <w:rFonts w:cs="Times New Roman"/>
          <w:lang w:val="fr-CA"/>
        </w:rPr>
        <w:t>. Le juge n</w:t>
      </w:r>
      <w:r>
        <w:rPr>
          <w:rFonts w:cs="Times New Roman"/>
          <w:lang w:val="fr-CA"/>
        </w:rPr>
        <w:t>’</w:t>
      </w:r>
      <w:r w:rsidRPr="0001174C">
        <w:rPr>
          <w:rFonts w:cs="Times New Roman"/>
          <w:lang w:val="fr-CA"/>
        </w:rPr>
        <w:t xml:space="preserve">en </w:t>
      </w:r>
      <w:r>
        <w:rPr>
          <w:rFonts w:cs="Times New Roman"/>
          <w:lang w:val="fr-CA"/>
        </w:rPr>
        <w:t xml:space="preserve">a </w:t>
      </w:r>
      <w:r w:rsidRPr="0001174C">
        <w:rPr>
          <w:rFonts w:cs="Times New Roman"/>
          <w:lang w:val="fr-CA"/>
        </w:rPr>
        <w:t>fait</w:t>
      </w:r>
      <w:r>
        <w:rPr>
          <w:rFonts w:cs="Times New Roman"/>
          <w:lang w:val="fr-CA"/>
        </w:rPr>
        <w:t xml:space="preserve"> </w:t>
      </w:r>
      <w:r w:rsidRPr="0001174C">
        <w:rPr>
          <w:rFonts w:cs="Times New Roman"/>
          <w:lang w:val="fr-CA"/>
        </w:rPr>
        <w:t xml:space="preserve">rien, mais ses directives </w:t>
      </w:r>
      <w:r>
        <w:rPr>
          <w:rFonts w:cs="Times New Roman"/>
          <w:lang w:val="fr-CA"/>
        </w:rPr>
        <w:t>ne sont pas pour autant lacunaires</w:t>
      </w:r>
      <w:r w:rsidRPr="0001174C">
        <w:rPr>
          <w:rFonts w:cs="Times New Roman"/>
          <w:lang w:val="fr-CA"/>
        </w:rPr>
        <w:t xml:space="preserve">. </w:t>
      </w:r>
      <w:r>
        <w:rPr>
          <w:rFonts w:cs="Times New Roman"/>
          <w:lang w:val="fr-CA"/>
        </w:rPr>
        <w:t>N</w:t>
      </w:r>
      <w:r w:rsidRPr="0001174C">
        <w:rPr>
          <w:rFonts w:cs="Times New Roman"/>
          <w:lang w:val="fr-CA"/>
        </w:rPr>
        <w:t xml:space="preserve">e pas </w:t>
      </w:r>
      <w:r>
        <w:rPr>
          <w:rFonts w:cs="Times New Roman"/>
          <w:lang w:val="fr-CA"/>
        </w:rPr>
        <w:t xml:space="preserve">avoir dit </w:t>
      </w:r>
      <w:r w:rsidRPr="0001174C">
        <w:rPr>
          <w:rFonts w:cs="Times New Roman"/>
          <w:lang w:val="fr-CA"/>
        </w:rPr>
        <w:t xml:space="preserve">tout ce qui aurait pu </w:t>
      </w:r>
      <w:r>
        <w:rPr>
          <w:rFonts w:cs="Times New Roman"/>
          <w:lang w:val="fr-CA"/>
        </w:rPr>
        <w:t>l’</w:t>
      </w:r>
      <w:r w:rsidRPr="0001174C">
        <w:rPr>
          <w:rFonts w:cs="Times New Roman"/>
          <w:lang w:val="fr-CA"/>
        </w:rPr>
        <w:t>être ne constitue pas une erreur de droit</w:t>
      </w:r>
      <w:r w:rsidR="00203E16">
        <w:rPr>
          <w:rFonts w:cs="Times New Roman"/>
          <w:lang w:val="fr-CA"/>
        </w:rPr>
        <w:t xml:space="preserve"> </w:t>
      </w:r>
      <w:r>
        <w:rPr>
          <w:rFonts w:cs="Times New Roman"/>
          <w:lang w:val="fr-CA"/>
        </w:rPr>
        <w:t>:</w:t>
      </w:r>
    </w:p>
    <w:p w:rsidR="005044C1" w:rsidRDefault="00AF2876" w:rsidP="005044C1">
      <w:pPr>
        <w:pStyle w:val="Citation-AltC"/>
        <w:spacing w:after="240"/>
        <w:ind w:hanging="1166"/>
        <w:contextualSpacing w:val="0"/>
        <w:rPr>
          <w:color w:val="000000"/>
          <w:lang w:val="fr-CA"/>
        </w:rPr>
      </w:pPr>
      <w:r>
        <w:rPr>
          <w:lang w:val="fr-CA"/>
        </w:rPr>
        <w:tab/>
      </w:r>
      <w:r w:rsidR="00B60986">
        <w:rPr>
          <w:lang w:val="fr-CA"/>
        </w:rPr>
        <w:t>. . .</w:t>
      </w:r>
      <w:r w:rsidRPr="0001174C">
        <w:rPr>
          <w:lang w:val="fr-CA"/>
        </w:rPr>
        <w:t xml:space="preserve"> </w:t>
      </w:r>
      <w:r w:rsidRPr="0001174C">
        <w:rPr>
          <w:rStyle w:val="highlight"/>
          <w:color w:val="000000"/>
          <w:lang w:val="fr-CA"/>
        </w:rPr>
        <w:t>je ne saurais trop insister sur le fait que le droit d</w:t>
      </w:r>
      <w:r>
        <w:rPr>
          <w:rStyle w:val="highlight"/>
          <w:color w:val="000000"/>
          <w:lang w:val="fr-CA"/>
        </w:rPr>
        <w:t>’</w:t>
      </w:r>
      <w:r w:rsidRPr="0001174C">
        <w:rPr>
          <w:rStyle w:val="highlight"/>
          <w:color w:val="000000"/>
          <w:lang w:val="fr-CA"/>
        </w:rPr>
        <w:t>un accusé à un</w:t>
      </w:r>
      <w:r w:rsidRPr="0001174C">
        <w:rPr>
          <w:color w:val="000000"/>
          <w:lang w:val="fr-CA"/>
        </w:rPr>
        <w:t xml:space="preserve"> jury ayant reçu des directives appropriées n</w:t>
      </w:r>
      <w:r>
        <w:rPr>
          <w:color w:val="000000"/>
          <w:lang w:val="fr-CA"/>
        </w:rPr>
        <w:t>’</w:t>
      </w:r>
      <w:r w:rsidRPr="0001174C">
        <w:rPr>
          <w:color w:val="000000"/>
          <w:lang w:val="fr-CA"/>
        </w:rPr>
        <w:t>équivaut pas au droit à un jury ayant reçu des directives parfaites. L</w:t>
      </w:r>
      <w:r>
        <w:rPr>
          <w:color w:val="000000"/>
          <w:lang w:val="fr-CA"/>
        </w:rPr>
        <w:t>’</w:t>
      </w:r>
      <w:r w:rsidRPr="0001174C">
        <w:rPr>
          <w:color w:val="000000"/>
          <w:lang w:val="fr-CA"/>
        </w:rPr>
        <w:t>accusé a droit à un jury qui comprenne le lien qui existe entre la preuve et les questions juridiques soulevées. Cela requiert une analyse fonctionnelle des directives qui ont été données, et non pas une analyse idéalisée des directives qui auraient pu être données.</w:t>
      </w:r>
    </w:p>
    <w:p w:rsidR="00AF2876" w:rsidRPr="0001174C" w:rsidRDefault="005044C1" w:rsidP="00AF2876">
      <w:pPr>
        <w:pStyle w:val="Citation-AltC"/>
        <w:ind w:hanging="1166"/>
        <w:contextualSpacing w:val="0"/>
        <w:rPr>
          <w:lang w:val="fr-CA"/>
        </w:rPr>
      </w:pPr>
      <w:r w:rsidRPr="005044C1">
        <w:rPr>
          <w:lang w:val="fr-CA"/>
        </w:rPr>
        <w:t>(</w:t>
      </w:r>
      <w:r w:rsidR="00AF2876" w:rsidRPr="000B6077">
        <w:rPr>
          <w:i/>
          <w:lang w:val="fr-CA"/>
        </w:rPr>
        <w:t>Jacquard</w:t>
      </w:r>
      <w:r w:rsidR="00AF2876" w:rsidRPr="000B6077">
        <w:rPr>
          <w:lang w:val="fr-CA"/>
        </w:rPr>
        <w:t xml:space="preserve">, </w:t>
      </w:r>
      <w:r w:rsidR="00AF2876">
        <w:rPr>
          <w:lang w:val="fr-CA"/>
        </w:rPr>
        <w:t>par.</w:t>
      </w:r>
      <w:r w:rsidR="00203E16">
        <w:rPr>
          <w:lang w:val="fr-CA"/>
        </w:rPr>
        <w:t xml:space="preserve"> </w:t>
      </w:r>
      <w:r w:rsidR="00AF2876" w:rsidRPr="000B6077">
        <w:rPr>
          <w:lang w:val="fr-CA"/>
        </w:rPr>
        <w:t xml:space="preserve">32, </w:t>
      </w:r>
      <w:r w:rsidR="00AF2876" w:rsidRPr="005044C1">
        <w:rPr>
          <w:lang w:val="fr-CA"/>
        </w:rPr>
        <w:t xml:space="preserve">le </w:t>
      </w:r>
      <w:r w:rsidR="00AF2876" w:rsidRPr="000B6077">
        <w:rPr>
          <w:lang w:val="fr-CA"/>
        </w:rPr>
        <w:t>juge en chef Lamer</w:t>
      </w:r>
      <w:r>
        <w:rPr>
          <w:lang w:val="fr-CA"/>
        </w:rPr>
        <w:t>)</w:t>
      </w:r>
    </w:p>
    <w:p w:rsidR="00AF2876" w:rsidRPr="0001174C" w:rsidRDefault="00AF2876" w:rsidP="00AF2876">
      <w:pPr>
        <w:pStyle w:val="ParaNoNdepar-AltN"/>
        <w:rPr>
          <w:rFonts w:cs="Times New Roman"/>
          <w:lang w:val="fr-CA"/>
        </w:rPr>
      </w:pPr>
      <w:r>
        <w:rPr>
          <w:rFonts w:cs="Times New Roman"/>
          <w:lang w:val="fr-CA"/>
        </w:rPr>
        <w:lastRenderedPageBreak/>
        <w:t xml:space="preserve">Rappelons aussi </w:t>
      </w:r>
      <w:r w:rsidRPr="0001174C">
        <w:rPr>
          <w:rFonts w:cs="Times New Roman"/>
          <w:lang w:val="fr-CA"/>
        </w:rPr>
        <w:t>que l</w:t>
      </w:r>
      <w:r>
        <w:rPr>
          <w:rFonts w:cs="Times New Roman"/>
          <w:lang w:val="fr-CA"/>
        </w:rPr>
        <w:t>’</w:t>
      </w:r>
      <w:r w:rsidRPr="0001174C">
        <w:rPr>
          <w:rFonts w:cs="Times New Roman"/>
          <w:lang w:val="fr-CA"/>
        </w:rPr>
        <w:t>avocat de la défense s</w:t>
      </w:r>
      <w:r>
        <w:rPr>
          <w:rFonts w:cs="Times New Roman"/>
          <w:lang w:val="fr-CA"/>
        </w:rPr>
        <w:t>’</w:t>
      </w:r>
      <w:r w:rsidRPr="0001174C">
        <w:rPr>
          <w:rFonts w:cs="Times New Roman"/>
          <w:lang w:val="fr-CA"/>
        </w:rPr>
        <w:t>est vu remettre</w:t>
      </w:r>
      <w:r>
        <w:rPr>
          <w:rFonts w:cs="Times New Roman"/>
          <w:lang w:val="fr-CA"/>
        </w:rPr>
        <w:t xml:space="preserve"> </w:t>
      </w:r>
      <w:r w:rsidRPr="008D41E0">
        <w:rPr>
          <w:rFonts w:cs="Times New Roman"/>
          <w:lang w:val="fr-CA"/>
        </w:rPr>
        <w:t>au préalable</w:t>
      </w:r>
      <w:r>
        <w:rPr>
          <w:rFonts w:cs="Times New Roman"/>
          <w:lang w:val="fr-CA"/>
        </w:rPr>
        <w:t xml:space="preserve"> </w:t>
      </w:r>
      <w:r w:rsidRPr="0001174C">
        <w:rPr>
          <w:rFonts w:cs="Times New Roman"/>
          <w:lang w:val="fr-CA"/>
        </w:rPr>
        <w:t xml:space="preserve"> </w:t>
      </w:r>
      <w:r>
        <w:rPr>
          <w:rFonts w:cs="Times New Roman"/>
          <w:lang w:val="fr-CA"/>
        </w:rPr>
        <w:t>l’</w:t>
      </w:r>
      <w:r w:rsidRPr="0001174C">
        <w:rPr>
          <w:rFonts w:cs="Times New Roman"/>
          <w:lang w:val="fr-CA"/>
        </w:rPr>
        <w:t xml:space="preserve">ébauche </w:t>
      </w:r>
      <w:r>
        <w:rPr>
          <w:rFonts w:cs="Times New Roman"/>
          <w:lang w:val="fr-CA"/>
        </w:rPr>
        <w:t>de l’exposé</w:t>
      </w:r>
      <w:r w:rsidRPr="0001174C">
        <w:rPr>
          <w:rFonts w:cs="Times New Roman"/>
          <w:lang w:val="fr-CA"/>
        </w:rPr>
        <w:t xml:space="preserve"> </w:t>
      </w:r>
      <w:r>
        <w:rPr>
          <w:rFonts w:cs="Times New Roman"/>
          <w:lang w:val="fr-CA"/>
        </w:rPr>
        <w:t xml:space="preserve">destiné au jury </w:t>
      </w:r>
      <w:r w:rsidRPr="0001174C">
        <w:rPr>
          <w:rFonts w:cs="Times New Roman"/>
          <w:lang w:val="fr-CA"/>
        </w:rPr>
        <w:t>et qu</w:t>
      </w:r>
      <w:r>
        <w:rPr>
          <w:rFonts w:cs="Times New Roman"/>
          <w:lang w:val="fr-CA"/>
        </w:rPr>
        <w:t xml:space="preserve">’il </w:t>
      </w:r>
      <w:r w:rsidRPr="0001174C">
        <w:rPr>
          <w:rFonts w:cs="Times New Roman"/>
          <w:lang w:val="fr-CA"/>
        </w:rPr>
        <w:t>n</w:t>
      </w:r>
      <w:r>
        <w:rPr>
          <w:rFonts w:cs="Times New Roman"/>
          <w:lang w:val="fr-CA"/>
        </w:rPr>
        <w:t>’</w:t>
      </w:r>
      <w:r w:rsidRPr="0001174C">
        <w:rPr>
          <w:rFonts w:cs="Times New Roman"/>
          <w:lang w:val="fr-CA"/>
        </w:rPr>
        <w:t>a pas f</w:t>
      </w:r>
      <w:r>
        <w:rPr>
          <w:rFonts w:cs="Times New Roman"/>
          <w:lang w:val="fr-CA"/>
        </w:rPr>
        <w:t>ait</w:t>
      </w:r>
      <w:r w:rsidRPr="0001174C">
        <w:rPr>
          <w:rFonts w:cs="Times New Roman"/>
          <w:lang w:val="fr-CA"/>
        </w:rPr>
        <w:t xml:space="preserve"> objection </w:t>
      </w:r>
      <w:r>
        <w:rPr>
          <w:rFonts w:cs="Times New Roman"/>
          <w:lang w:val="fr-CA"/>
        </w:rPr>
        <w:t>aux directives sur l</w:t>
      </w:r>
      <w:r w:rsidRPr="0001174C">
        <w:rPr>
          <w:rFonts w:cs="Times New Roman"/>
          <w:lang w:val="fr-CA"/>
        </w:rPr>
        <w:t xml:space="preserve">es aveux </w:t>
      </w:r>
      <w:r>
        <w:rPr>
          <w:rFonts w:cs="Times New Roman"/>
          <w:lang w:val="fr-CA"/>
        </w:rPr>
        <w:t xml:space="preserve">issus de </w:t>
      </w:r>
      <w:r w:rsidRPr="0001174C">
        <w:rPr>
          <w:rFonts w:cs="Times New Roman"/>
          <w:lang w:val="fr-CA"/>
        </w:rPr>
        <w:t>l</w:t>
      </w:r>
      <w:r>
        <w:rPr>
          <w:rFonts w:cs="Times New Roman"/>
          <w:lang w:val="fr-CA"/>
        </w:rPr>
        <w:t>’</w:t>
      </w:r>
      <w:r w:rsidRPr="0001174C">
        <w:rPr>
          <w:rFonts w:cs="Times New Roman"/>
          <w:lang w:val="fr-CA"/>
        </w:rPr>
        <w:t xml:space="preserve">opération </w:t>
      </w:r>
      <w:r>
        <w:rPr>
          <w:rFonts w:cs="Times New Roman"/>
          <w:lang w:val="fr-CA"/>
        </w:rPr>
        <w:t xml:space="preserve">Monsieur </w:t>
      </w:r>
      <w:r w:rsidRPr="0001174C">
        <w:rPr>
          <w:rFonts w:cs="Times New Roman"/>
          <w:lang w:val="fr-CA"/>
        </w:rPr>
        <w:t>Big. Bien qu</w:t>
      </w:r>
      <w:r>
        <w:rPr>
          <w:rFonts w:cs="Times New Roman"/>
          <w:lang w:val="fr-CA"/>
        </w:rPr>
        <w:t xml:space="preserve">’il incombe au </w:t>
      </w:r>
      <w:r w:rsidRPr="0001174C">
        <w:rPr>
          <w:rFonts w:cs="Times New Roman"/>
          <w:lang w:val="fr-CA"/>
        </w:rPr>
        <w:t xml:space="preserve">juge du procès </w:t>
      </w:r>
      <w:r>
        <w:rPr>
          <w:rFonts w:cs="Times New Roman"/>
          <w:lang w:val="fr-CA"/>
        </w:rPr>
        <w:t xml:space="preserve">de bien instruire </w:t>
      </w:r>
      <w:r w:rsidRPr="0001174C">
        <w:rPr>
          <w:rFonts w:cs="Times New Roman"/>
          <w:lang w:val="fr-CA"/>
        </w:rPr>
        <w:t xml:space="preserve">le jury, </w:t>
      </w:r>
      <w:r>
        <w:rPr>
          <w:lang w:val="fr-CA"/>
        </w:rPr>
        <w:t>l’</w:t>
      </w:r>
      <w:r w:rsidRPr="0001174C">
        <w:rPr>
          <w:lang w:val="fr-CA"/>
        </w:rPr>
        <w:t>avocat</w:t>
      </w:r>
      <w:r>
        <w:rPr>
          <w:lang w:val="fr-CA"/>
        </w:rPr>
        <w:t xml:space="preserve"> de la défense est censé </w:t>
      </w:r>
      <w:r w:rsidR="00203E16">
        <w:rPr>
          <w:lang w:val="fr-CA"/>
        </w:rPr>
        <w:t>« </w:t>
      </w:r>
      <w:r>
        <w:rPr>
          <w:lang w:val="fr-CA"/>
        </w:rPr>
        <w:t>[l’]</w:t>
      </w:r>
      <w:r w:rsidRPr="0001174C">
        <w:rPr>
          <w:lang w:val="fr-CA"/>
        </w:rPr>
        <w:t>assist</w:t>
      </w:r>
      <w:r>
        <w:rPr>
          <w:lang w:val="fr-CA"/>
        </w:rPr>
        <w:t>[er]</w:t>
      </w:r>
      <w:r w:rsidRPr="0001174C">
        <w:rPr>
          <w:lang w:val="fr-CA"/>
        </w:rPr>
        <w:t xml:space="preserve"> en relevant les aspects des directives au jury qu</w:t>
      </w:r>
      <w:r>
        <w:rPr>
          <w:lang w:val="fr-CA"/>
        </w:rPr>
        <w:t>’</w:t>
      </w:r>
      <w:r w:rsidRPr="0001174C">
        <w:rPr>
          <w:lang w:val="fr-CA"/>
        </w:rPr>
        <w:t>i</w:t>
      </w:r>
      <w:r>
        <w:rPr>
          <w:lang w:val="fr-CA"/>
        </w:rPr>
        <w:t>[</w:t>
      </w:r>
      <w:r w:rsidRPr="0001174C">
        <w:rPr>
          <w:lang w:val="fr-CA"/>
        </w:rPr>
        <w:t>l</w:t>
      </w:r>
      <w:r>
        <w:rPr>
          <w:lang w:val="fr-CA"/>
        </w:rPr>
        <w:t>]</w:t>
      </w:r>
      <w:r w:rsidRPr="0001174C">
        <w:rPr>
          <w:lang w:val="fr-CA"/>
        </w:rPr>
        <w:t xml:space="preserve"> estim</w:t>
      </w:r>
      <w:r>
        <w:rPr>
          <w:lang w:val="fr-CA"/>
        </w:rPr>
        <w:t>[</w:t>
      </w:r>
      <w:r w:rsidRPr="0001174C">
        <w:rPr>
          <w:lang w:val="fr-CA"/>
        </w:rPr>
        <w:t>e</w:t>
      </w:r>
      <w:r>
        <w:rPr>
          <w:lang w:val="fr-CA"/>
        </w:rPr>
        <w:t>]</w:t>
      </w:r>
      <w:r w:rsidRPr="0001174C">
        <w:rPr>
          <w:lang w:val="fr-CA"/>
        </w:rPr>
        <w:t xml:space="preserve"> problématiques</w:t>
      </w:r>
      <w:r w:rsidR="00203E16">
        <w:rPr>
          <w:lang w:val="fr-CA"/>
        </w:rPr>
        <w:t> »</w:t>
      </w:r>
      <w:r w:rsidRPr="0001174C">
        <w:rPr>
          <w:lang w:val="fr-CA"/>
        </w:rPr>
        <w:t xml:space="preserve"> </w:t>
      </w:r>
      <w:r w:rsidRPr="005044C1">
        <w:rPr>
          <w:rFonts w:cs="Times New Roman"/>
          <w:lang w:val="fr-CA"/>
        </w:rPr>
        <w:t>(</w:t>
      </w:r>
      <w:r w:rsidRPr="0001174C">
        <w:rPr>
          <w:rFonts w:cs="Times New Roman"/>
          <w:i/>
          <w:lang w:val="fr-CA"/>
        </w:rPr>
        <w:t>Daley</w:t>
      </w:r>
      <w:r w:rsidRPr="0001174C">
        <w:rPr>
          <w:rFonts w:cs="Times New Roman"/>
          <w:lang w:val="fr-CA"/>
        </w:rPr>
        <w:t xml:space="preserve">, </w:t>
      </w:r>
      <w:r>
        <w:rPr>
          <w:rFonts w:cs="Times New Roman"/>
          <w:lang w:val="fr-CA"/>
        </w:rPr>
        <w:t>par.</w:t>
      </w:r>
      <w:r w:rsidR="00203E16">
        <w:rPr>
          <w:rFonts w:cs="Times New Roman"/>
          <w:lang w:val="fr-CA"/>
        </w:rPr>
        <w:t xml:space="preserve"> </w:t>
      </w:r>
      <w:r w:rsidRPr="0001174C">
        <w:rPr>
          <w:rFonts w:cs="Times New Roman"/>
          <w:lang w:val="fr-CA"/>
        </w:rPr>
        <w:t xml:space="preserve">58). </w:t>
      </w:r>
      <w:r w:rsidRPr="0001174C">
        <w:rPr>
          <w:lang w:val="fr-CA"/>
        </w:rPr>
        <w:t>L</w:t>
      </w:r>
      <w:r>
        <w:rPr>
          <w:lang w:val="fr-CA"/>
        </w:rPr>
        <w:t xml:space="preserve">’omission </w:t>
      </w:r>
      <w:r w:rsidRPr="0001174C">
        <w:rPr>
          <w:lang w:val="fr-CA"/>
        </w:rPr>
        <w:t xml:space="preserve">de </w:t>
      </w:r>
      <w:r>
        <w:rPr>
          <w:lang w:val="fr-CA"/>
        </w:rPr>
        <w:t xml:space="preserve">faire </w:t>
      </w:r>
      <w:r w:rsidRPr="0001174C">
        <w:rPr>
          <w:lang w:val="fr-CA"/>
        </w:rPr>
        <w:t xml:space="preserve">objection </w:t>
      </w:r>
      <w:r>
        <w:rPr>
          <w:lang w:val="fr-CA"/>
        </w:rPr>
        <w:t xml:space="preserve">lors du </w:t>
      </w:r>
      <w:r w:rsidRPr="0001174C">
        <w:rPr>
          <w:lang w:val="fr-CA"/>
        </w:rPr>
        <w:t xml:space="preserve">procès </w:t>
      </w:r>
      <w:r w:rsidR="00203E16">
        <w:rPr>
          <w:lang w:val="fr-CA"/>
        </w:rPr>
        <w:t>« </w:t>
      </w:r>
      <w:r w:rsidRPr="0001174C">
        <w:rPr>
          <w:lang w:val="fr-CA"/>
        </w:rPr>
        <w:t>peut être significati</w:t>
      </w:r>
      <w:r>
        <w:rPr>
          <w:lang w:val="fr-CA"/>
        </w:rPr>
        <w:t>ve</w:t>
      </w:r>
      <w:r w:rsidRPr="0001174C">
        <w:rPr>
          <w:lang w:val="fr-CA"/>
        </w:rPr>
        <w:t xml:space="preserve"> quant à la grav</w:t>
      </w:r>
      <w:r>
        <w:rPr>
          <w:lang w:val="fr-CA"/>
        </w:rPr>
        <w:t>ité de l’irrégularité reprochée</w:t>
      </w:r>
      <w:r w:rsidR="00203E16">
        <w:rPr>
          <w:lang w:val="fr-CA"/>
        </w:rPr>
        <w:t> »</w:t>
      </w:r>
      <w:r w:rsidRPr="0001174C">
        <w:rPr>
          <w:lang w:val="fr-CA"/>
        </w:rPr>
        <w:t xml:space="preserve"> </w:t>
      </w:r>
      <w:r w:rsidRPr="0001174C">
        <w:rPr>
          <w:rFonts w:cs="Times New Roman"/>
          <w:i/>
          <w:lang w:val="fr-CA"/>
        </w:rPr>
        <w:t>(</w:t>
      </w:r>
      <w:r>
        <w:rPr>
          <w:rFonts w:cs="Times New Roman"/>
          <w:i/>
          <w:lang w:val="fr-CA"/>
        </w:rPr>
        <w:t>ibid.</w:t>
      </w:r>
      <w:r w:rsidRPr="0001174C">
        <w:rPr>
          <w:rFonts w:cs="Times New Roman"/>
          <w:lang w:val="fr-CA"/>
        </w:rPr>
        <w:t>). En l</w:t>
      </w:r>
      <w:r>
        <w:rPr>
          <w:rFonts w:cs="Times New Roman"/>
          <w:lang w:val="fr-CA"/>
        </w:rPr>
        <w:t>’</w:t>
      </w:r>
      <w:r w:rsidRPr="0001174C">
        <w:rPr>
          <w:rFonts w:cs="Times New Roman"/>
          <w:lang w:val="fr-CA"/>
        </w:rPr>
        <w:t>espèce, bien qu</w:t>
      </w:r>
      <w:r>
        <w:rPr>
          <w:rFonts w:cs="Times New Roman"/>
          <w:lang w:val="fr-CA"/>
        </w:rPr>
        <w:t>’</w:t>
      </w:r>
      <w:r w:rsidRPr="0001174C">
        <w:rPr>
          <w:rFonts w:cs="Times New Roman"/>
          <w:lang w:val="fr-CA"/>
        </w:rPr>
        <w:t>elle ne soit pas déterminante, l</w:t>
      </w:r>
      <w:r>
        <w:rPr>
          <w:rFonts w:cs="Times New Roman"/>
          <w:lang w:val="fr-CA"/>
        </w:rPr>
        <w:t>’</w:t>
      </w:r>
      <w:r w:rsidRPr="0001174C">
        <w:rPr>
          <w:rFonts w:cs="Times New Roman"/>
          <w:lang w:val="fr-CA"/>
        </w:rPr>
        <w:t>omission de l</w:t>
      </w:r>
      <w:r>
        <w:rPr>
          <w:rFonts w:cs="Times New Roman"/>
          <w:lang w:val="fr-CA"/>
        </w:rPr>
        <w:t>’</w:t>
      </w:r>
      <w:r w:rsidRPr="0001174C">
        <w:rPr>
          <w:rFonts w:cs="Times New Roman"/>
          <w:lang w:val="fr-CA"/>
        </w:rPr>
        <w:t xml:space="preserve">avocat de la défense de </w:t>
      </w:r>
      <w:r>
        <w:rPr>
          <w:rFonts w:cs="Times New Roman"/>
          <w:lang w:val="fr-CA"/>
        </w:rPr>
        <w:t>faire objection</w:t>
      </w:r>
      <w:r w:rsidRPr="0001174C">
        <w:rPr>
          <w:rFonts w:cs="Times New Roman"/>
          <w:lang w:val="fr-CA"/>
        </w:rPr>
        <w:t xml:space="preserve"> </w:t>
      </w:r>
      <w:r>
        <w:rPr>
          <w:rFonts w:cs="Times New Roman"/>
          <w:lang w:val="fr-CA"/>
        </w:rPr>
        <w:t xml:space="preserve">à l’exposé </w:t>
      </w:r>
      <w:r w:rsidRPr="0001174C">
        <w:rPr>
          <w:rFonts w:cs="Times New Roman"/>
          <w:lang w:val="fr-CA"/>
        </w:rPr>
        <w:t xml:space="preserve">me conforte dans </w:t>
      </w:r>
      <w:r>
        <w:rPr>
          <w:rFonts w:cs="Times New Roman"/>
          <w:lang w:val="fr-CA"/>
        </w:rPr>
        <w:t xml:space="preserve">l’opinion </w:t>
      </w:r>
      <w:r w:rsidRPr="0001174C">
        <w:rPr>
          <w:rFonts w:cs="Times New Roman"/>
          <w:lang w:val="fr-CA"/>
        </w:rPr>
        <w:t xml:space="preserve">que les directives </w:t>
      </w:r>
      <w:r>
        <w:rPr>
          <w:rFonts w:cs="Times New Roman"/>
          <w:lang w:val="fr-CA"/>
        </w:rPr>
        <w:t xml:space="preserve">sur </w:t>
      </w:r>
      <w:r w:rsidRPr="0001174C">
        <w:rPr>
          <w:rFonts w:cs="Times New Roman"/>
          <w:lang w:val="fr-CA"/>
        </w:rPr>
        <w:t xml:space="preserve">la fiabilité </w:t>
      </w:r>
      <w:r>
        <w:rPr>
          <w:rFonts w:cs="Times New Roman"/>
          <w:lang w:val="fr-CA"/>
        </w:rPr>
        <w:t xml:space="preserve">des aveux </w:t>
      </w:r>
      <w:r w:rsidRPr="0001174C">
        <w:rPr>
          <w:rFonts w:cs="Times New Roman"/>
          <w:lang w:val="fr-CA"/>
        </w:rPr>
        <w:t xml:space="preserve">et </w:t>
      </w:r>
      <w:r>
        <w:rPr>
          <w:rFonts w:cs="Times New Roman"/>
          <w:lang w:val="fr-CA"/>
        </w:rPr>
        <w:t xml:space="preserve">sur </w:t>
      </w:r>
      <w:r w:rsidRPr="0001174C">
        <w:rPr>
          <w:rFonts w:cs="Times New Roman"/>
          <w:lang w:val="fr-CA"/>
        </w:rPr>
        <w:t>la preuve de mauvaise moralité étaient appropriées dans les circonstances.</w:t>
      </w:r>
    </w:p>
    <w:p w:rsidR="00AF2876" w:rsidRPr="0001174C" w:rsidRDefault="00AF2876" w:rsidP="00AF2876">
      <w:pPr>
        <w:pStyle w:val="ParaNoNdepar-AltN"/>
        <w:rPr>
          <w:rFonts w:cs="Times New Roman"/>
          <w:lang w:val="fr-CA"/>
        </w:rPr>
      </w:pPr>
      <w:r w:rsidRPr="0001174C">
        <w:rPr>
          <w:rFonts w:cs="Times New Roman"/>
          <w:lang w:val="fr-CA"/>
        </w:rPr>
        <w:t xml:space="preserve">À mon avis, les directives du </w:t>
      </w:r>
      <w:r>
        <w:rPr>
          <w:rFonts w:cs="Times New Roman"/>
          <w:lang w:val="fr-CA"/>
        </w:rPr>
        <w:t>juge</w:t>
      </w:r>
      <w:r w:rsidRPr="0001174C">
        <w:rPr>
          <w:rFonts w:cs="Times New Roman"/>
          <w:lang w:val="fr-CA"/>
        </w:rPr>
        <w:t xml:space="preserve"> </w:t>
      </w:r>
      <w:r>
        <w:rPr>
          <w:rFonts w:cs="Times New Roman"/>
          <w:lang w:val="fr-CA"/>
        </w:rPr>
        <w:t xml:space="preserve">ont </w:t>
      </w:r>
      <w:r w:rsidRPr="0001174C">
        <w:rPr>
          <w:rFonts w:cs="Times New Roman"/>
          <w:lang w:val="fr-CA"/>
        </w:rPr>
        <w:t>perm</w:t>
      </w:r>
      <w:r>
        <w:rPr>
          <w:rFonts w:cs="Times New Roman"/>
          <w:lang w:val="fr-CA"/>
        </w:rPr>
        <w:t xml:space="preserve">is </w:t>
      </w:r>
      <w:r w:rsidRPr="0001174C">
        <w:rPr>
          <w:rFonts w:cs="Times New Roman"/>
          <w:lang w:val="fr-CA"/>
        </w:rPr>
        <w:t xml:space="preserve">au jury de </w:t>
      </w:r>
      <w:r>
        <w:rPr>
          <w:rFonts w:cs="Times New Roman"/>
          <w:lang w:val="fr-CA"/>
        </w:rPr>
        <w:t>tenir compte de la non</w:t>
      </w:r>
      <w:r w:rsidR="00203E16">
        <w:rPr>
          <w:rFonts w:cs="Times New Roman"/>
          <w:lang w:val="fr-CA"/>
        </w:rPr>
        <w:t>-</w:t>
      </w:r>
      <w:r w:rsidRPr="0001174C">
        <w:rPr>
          <w:rFonts w:cs="Times New Roman"/>
          <w:lang w:val="fr-CA"/>
        </w:rPr>
        <w:t xml:space="preserve">fiabilité </w:t>
      </w:r>
      <w:r>
        <w:rPr>
          <w:rFonts w:cs="Times New Roman"/>
          <w:lang w:val="fr-CA"/>
        </w:rPr>
        <w:t xml:space="preserve">éventuelle </w:t>
      </w:r>
      <w:r w:rsidRPr="0001174C">
        <w:rPr>
          <w:rFonts w:cs="Times New Roman"/>
          <w:lang w:val="fr-CA"/>
        </w:rPr>
        <w:t xml:space="preserve">des aveux </w:t>
      </w:r>
      <w:r>
        <w:rPr>
          <w:rFonts w:cs="Times New Roman"/>
          <w:lang w:val="fr-CA"/>
        </w:rPr>
        <w:t>issus de l’</w:t>
      </w:r>
      <w:r w:rsidRPr="0001174C">
        <w:rPr>
          <w:rFonts w:cs="Times New Roman"/>
          <w:lang w:val="fr-CA"/>
        </w:rPr>
        <w:t xml:space="preserve">opération </w:t>
      </w:r>
      <w:r>
        <w:rPr>
          <w:rFonts w:cs="Times New Roman"/>
          <w:lang w:val="fr-CA"/>
        </w:rPr>
        <w:t xml:space="preserve">Monsieur </w:t>
      </w:r>
      <w:r w:rsidRPr="0001174C">
        <w:rPr>
          <w:rFonts w:cs="Times New Roman"/>
          <w:lang w:val="fr-CA"/>
        </w:rPr>
        <w:t xml:space="preserve">Big et </w:t>
      </w:r>
      <w:r>
        <w:rPr>
          <w:rFonts w:cs="Times New Roman"/>
          <w:lang w:val="fr-CA"/>
        </w:rPr>
        <w:t xml:space="preserve">du </w:t>
      </w:r>
      <w:r w:rsidRPr="0001174C">
        <w:rPr>
          <w:rFonts w:cs="Times New Roman"/>
          <w:lang w:val="fr-CA"/>
        </w:rPr>
        <w:t xml:space="preserve">préjudice </w:t>
      </w:r>
      <w:r>
        <w:rPr>
          <w:rFonts w:cs="Times New Roman"/>
          <w:lang w:val="fr-CA"/>
        </w:rPr>
        <w:t>infligé par l’admission de ceux</w:t>
      </w:r>
      <w:r w:rsidR="00203E16">
        <w:rPr>
          <w:rFonts w:cs="Times New Roman"/>
          <w:lang w:val="fr-CA"/>
        </w:rPr>
        <w:t>-</w:t>
      </w:r>
      <w:r>
        <w:rPr>
          <w:rFonts w:cs="Times New Roman"/>
          <w:lang w:val="fr-CA"/>
        </w:rPr>
        <w:t>ci</w:t>
      </w:r>
      <w:r w:rsidRPr="0001174C">
        <w:rPr>
          <w:rFonts w:cs="Times New Roman"/>
          <w:lang w:val="fr-CA"/>
        </w:rPr>
        <w:t xml:space="preserve">. </w:t>
      </w:r>
      <w:r>
        <w:rPr>
          <w:rFonts w:cs="Times New Roman"/>
          <w:lang w:val="fr-CA"/>
        </w:rPr>
        <w:t xml:space="preserve">Nulle </w:t>
      </w:r>
      <w:r w:rsidRPr="0001174C">
        <w:rPr>
          <w:rFonts w:cs="Times New Roman"/>
          <w:lang w:val="fr-CA"/>
        </w:rPr>
        <w:t>erreur n</w:t>
      </w:r>
      <w:r>
        <w:rPr>
          <w:rFonts w:cs="Times New Roman"/>
          <w:lang w:val="fr-CA"/>
        </w:rPr>
        <w:t>’</w:t>
      </w:r>
      <w:r w:rsidRPr="0001174C">
        <w:rPr>
          <w:rFonts w:cs="Times New Roman"/>
          <w:lang w:val="fr-CA"/>
        </w:rPr>
        <w:t xml:space="preserve">a été démontrée. Par conséquent, je </w:t>
      </w:r>
      <w:r>
        <w:rPr>
          <w:rFonts w:cs="Times New Roman"/>
          <w:lang w:val="fr-CA"/>
        </w:rPr>
        <w:t xml:space="preserve">suis d’avis de </w:t>
      </w:r>
      <w:r w:rsidRPr="0001174C">
        <w:rPr>
          <w:rFonts w:cs="Times New Roman"/>
          <w:lang w:val="fr-CA"/>
        </w:rPr>
        <w:t>rejeter ce moyen d</w:t>
      </w:r>
      <w:r>
        <w:rPr>
          <w:rFonts w:cs="Times New Roman"/>
          <w:lang w:val="fr-CA"/>
        </w:rPr>
        <w:t>’</w:t>
      </w:r>
      <w:r w:rsidRPr="0001174C">
        <w:rPr>
          <w:rFonts w:cs="Times New Roman"/>
          <w:lang w:val="fr-CA"/>
        </w:rPr>
        <w:t>appel.</w:t>
      </w:r>
    </w:p>
    <w:p w:rsidR="00AF2876" w:rsidRPr="0001174C" w:rsidRDefault="00AF2876" w:rsidP="00AF2876">
      <w:pPr>
        <w:pStyle w:val="Title2LevelTitre2Niveau"/>
        <w:ind w:left="576" w:hanging="576"/>
        <w:rPr>
          <w:rFonts w:cs="Times New Roman"/>
          <w:lang w:val="fr-CA"/>
        </w:rPr>
      </w:pPr>
      <w:r w:rsidRPr="0001174C">
        <w:rPr>
          <w:rFonts w:cs="Times New Roman"/>
          <w:lang w:val="fr-CA"/>
        </w:rPr>
        <w:t>Le juge du procès a</w:t>
      </w:r>
      <w:r w:rsidR="00203E16">
        <w:rPr>
          <w:rFonts w:cs="Times New Roman"/>
          <w:i w:val="0"/>
          <w:lang w:val="fr-CA"/>
        </w:rPr>
        <w:t>-</w:t>
      </w:r>
      <w:r w:rsidRPr="0001174C">
        <w:rPr>
          <w:rFonts w:cs="Times New Roman"/>
          <w:lang w:val="fr-CA"/>
        </w:rPr>
        <w:t>t</w:t>
      </w:r>
      <w:r w:rsidR="00203E16">
        <w:rPr>
          <w:rFonts w:cs="Times New Roman"/>
          <w:i w:val="0"/>
          <w:lang w:val="fr-CA"/>
        </w:rPr>
        <w:t>-</w:t>
      </w:r>
      <w:r w:rsidRPr="0001174C">
        <w:rPr>
          <w:rFonts w:cs="Times New Roman"/>
          <w:lang w:val="fr-CA"/>
        </w:rPr>
        <w:t xml:space="preserve">il donné au jury </w:t>
      </w:r>
      <w:r>
        <w:rPr>
          <w:rFonts w:cs="Times New Roman"/>
          <w:lang w:val="fr-CA"/>
        </w:rPr>
        <w:t>d</w:t>
      </w:r>
      <w:r w:rsidRPr="0001174C">
        <w:rPr>
          <w:rFonts w:cs="Times New Roman"/>
          <w:lang w:val="fr-CA"/>
        </w:rPr>
        <w:t xml:space="preserve">es directives </w:t>
      </w:r>
      <w:r>
        <w:rPr>
          <w:rFonts w:cs="Times New Roman"/>
          <w:lang w:val="fr-CA"/>
        </w:rPr>
        <w:t xml:space="preserve">erronées sur le </w:t>
      </w:r>
      <w:r w:rsidRPr="0001174C">
        <w:rPr>
          <w:rFonts w:cs="Times New Roman"/>
          <w:lang w:val="fr-CA"/>
        </w:rPr>
        <w:t xml:space="preserve">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w:t>
      </w:r>
      <w:r>
        <w:rPr>
          <w:rFonts w:cs="Times New Roman"/>
          <w:lang w:val="fr-CA"/>
        </w:rPr>
        <w:t xml:space="preserve"> </w:t>
      </w:r>
    </w:p>
    <w:p w:rsidR="00AF2876" w:rsidRPr="001D0501" w:rsidRDefault="00AF2876" w:rsidP="00AF2876">
      <w:pPr>
        <w:pStyle w:val="ParaNoNdepar-AltN"/>
        <w:rPr>
          <w:rFonts w:cs="Times New Roman"/>
          <w:lang w:val="fr-CA"/>
        </w:rPr>
      </w:pPr>
      <w:r w:rsidRPr="0001174C">
        <w:rPr>
          <w:rFonts w:cs="Times New Roman"/>
          <w:lang w:val="fr-CA"/>
        </w:rPr>
        <w:t>Dans s</w:t>
      </w:r>
      <w:r>
        <w:rPr>
          <w:rFonts w:cs="Times New Roman"/>
          <w:lang w:val="fr-CA"/>
        </w:rPr>
        <w:t>on exposé</w:t>
      </w:r>
      <w:r w:rsidRPr="0001174C">
        <w:rPr>
          <w:rFonts w:cs="Times New Roman"/>
          <w:lang w:val="fr-CA"/>
        </w:rPr>
        <w:t xml:space="preserve">, le juge </w:t>
      </w:r>
      <w:r>
        <w:rPr>
          <w:rFonts w:cs="Times New Roman"/>
          <w:lang w:val="fr-CA"/>
        </w:rPr>
        <w:t xml:space="preserve">enjoint </w:t>
      </w:r>
      <w:r w:rsidRPr="0001174C">
        <w:rPr>
          <w:rFonts w:cs="Times New Roman"/>
          <w:lang w:val="fr-CA"/>
        </w:rPr>
        <w:t>aux jurés d</w:t>
      </w:r>
      <w:r>
        <w:rPr>
          <w:rFonts w:cs="Times New Roman"/>
          <w:lang w:val="fr-CA"/>
        </w:rPr>
        <w:t>’</w:t>
      </w:r>
      <w:r w:rsidRPr="0001174C">
        <w:rPr>
          <w:rFonts w:cs="Times New Roman"/>
          <w:lang w:val="fr-CA"/>
        </w:rPr>
        <w:t xml:space="preserve">examiner 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à la lumière </w:t>
      </w:r>
      <w:r w:rsidRPr="0001174C">
        <w:rPr>
          <w:rFonts w:cs="Times New Roman"/>
          <w:lang w:val="fr-CA"/>
        </w:rPr>
        <w:t xml:space="preserve">de la thèse de la défense suivant laquelle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w:t>
      </w:r>
      <w:r>
        <w:rPr>
          <w:rFonts w:cs="Times New Roman"/>
          <w:lang w:val="fr-CA"/>
        </w:rPr>
        <w:t>ur</w:t>
      </w:r>
      <w:r w:rsidRPr="0001174C">
        <w:rPr>
          <w:rFonts w:cs="Times New Roman"/>
          <w:lang w:val="fr-CA"/>
        </w:rPr>
        <w:t xml:space="preserve">ait </w:t>
      </w:r>
      <w:r>
        <w:rPr>
          <w:rFonts w:cs="Times New Roman"/>
          <w:lang w:val="fr-CA"/>
        </w:rPr>
        <w:t>assasiné 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 xml:space="preserve">Il </w:t>
      </w:r>
      <w:r w:rsidRPr="0001174C">
        <w:rPr>
          <w:rFonts w:cs="Times New Roman"/>
          <w:lang w:val="fr-CA"/>
        </w:rPr>
        <w:t>évoqu</w:t>
      </w:r>
      <w:r>
        <w:rPr>
          <w:rFonts w:cs="Times New Roman"/>
          <w:lang w:val="fr-CA"/>
        </w:rPr>
        <w:t>e</w:t>
      </w:r>
      <w:r w:rsidRPr="0001174C">
        <w:rPr>
          <w:rFonts w:cs="Times New Roman"/>
          <w:lang w:val="fr-CA"/>
        </w:rPr>
        <w:t xml:space="preserve"> la possibilité que l</w:t>
      </w:r>
      <w:r>
        <w:rPr>
          <w:rFonts w:cs="Times New Roman"/>
          <w:lang w:val="fr-CA"/>
        </w:rPr>
        <w:t>’</w:t>
      </w:r>
      <w:r w:rsidRPr="0001174C">
        <w:rPr>
          <w:rFonts w:cs="Times New Roman"/>
          <w:lang w:val="fr-CA"/>
        </w:rPr>
        <w:t xml:space="preserve">appelant ait été </w:t>
      </w:r>
      <w:r>
        <w:rPr>
          <w:rFonts w:cs="Times New Roman"/>
          <w:lang w:val="fr-CA"/>
        </w:rPr>
        <w:t>informé</w:t>
      </w:r>
      <w:r w:rsidRPr="0001174C">
        <w:rPr>
          <w:rFonts w:cs="Times New Roman"/>
          <w:lang w:val="fr-CA"/>
        </w:rPr>
        <w:t xml:space="preserve"> du meurtre par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Il </w:t>
      </w:r>
      <w:r>
        <w:rPr>
          <w:rFonts w:cs="Times New Roman"/>
          <w:lang w:val="fr-CA"/>
        </w:rPr>
        <w:t xml:space="preserve">signale </w:t>
      </w:r>
      <w:r w:rsidRPr="0001174C">
        <w:rPr>
          <w:rFonts w:cs="Times New Roman"/>
          <w:lang w:val="fr-CA"/>
        </w:rPr>
        <w:t xml:space="preserve">également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a reconnu s’être </w:t>
      </w:r>
      <w:r w:rsidRPr="0001174C">
        <w:rPr>
          <w:rFonts w:cs="Times New Roman"/>
          <w:lang w:val="fr-CA"/>
        </w:rPr>
        <w:t>parjuré lorsqu</w:t>
      </w:r>
      <w:r>
        <w:rPr>
          <w:rFonts w:cs="Times New Roman"/>
          <w:lang w:val="fr-CA"/>
        </w:rPr>
        <w:t>’</w:t>
      </w:r>
      <w:r w:rsidRPr="0001174C">
        <w:rPr>
          <w:rFonts w:cs="Times New Roman"/>
          <w:lang w:val="fr-CA"/>
        </w:rPr>
        <w:t xml:space="preserve">il </w:t>
      </w:r>
      <w:r>
        <w:rPr>
          <w:rFonts w:cs="Times New Roman"/>
          <w:lang w:val="fr-CA"/>
        </w:rPr>
        <w:t xml:space="preserve">avait </w:t>
      </w:r>
      <w:r w:rsidRPr="0001174C">
        <w:rPr>
          <w:rFonts w:cs="Times New Roman"/>
          <w:lang w:val="fr-CA"/>
        </w:rPr>
        <w:t xml:space="preserve">dit aux policiers </w:t>
      </w:r>
      <w:r>
        <w:rPr>
          <w:rFonts w:cs="Times New Roman"/>
          <w:lang w:val="fr-CA"/>
        </w:rPr>
        <w:t xml:space="preserve">ne </w:t>
      </w:r>
      <w:r w:rsidRPr="0001174C">
        <w:rPr>
          <w:rFonts w:cs="Times New Roman"/>
          <w:lang w:val="fr-CA"/>
        </w:rPr>
        <w:t xml:space="preserve">pas </w:t>
      </w:r>
      <w:r>
        <w:rPr>
          <w:rFonts w:cs="Times New Roman"/>
          <w:lang w:val="fr-CA"/>
        </w:rPr>
        <w:t xml:space="preserve">avoir </w:t>
      </w:r>
      <w:r w:rsidRPr="0001174C">
        <w:rPr>
          <w:rFonts w:cs="Times New Roman"/>
          <w:lang w:val="fr-CA"/>
        </w:rPr>
        <w:t>discuté avec l</w:t>
      </w:r>
      <w:r>
        <w:rPr>
          <w:rFonts w:cs="Times New Roman"/>
          <w:lang w:val="fr-CA"/>
        </w:rPr>
        <w:t>’</w:t>
      </w:r>
      <w:r w:rsidRPr="0001174C">
        <w:rPr>
          <w:rFonts w:cs="Times New Roman"/>
          <w:lang w:val="fr-CA"/>
        </w:rPr>
        <w:t xml:space="preserve">appelant du décès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lors d</w:t>
      </w:r>
      <w:r>
        <w:rPr>
          <w:rFonts w:cs="Times New Roman"/>
          <w:lang w:val="fr-CA"/>
        </w:rPr>
        <w:t xml:space="preserve">u </w:t>
      </w:r>
      <w:r w:rsidRPr="0001174C">
        <w:rPr>
          <w:rFonts w:cs="Times New Roman"/>
          <w:lang w:val="fr-CA"/>
        </w:rPr>
        <w:t>trajet de retour en voiture entre Edmonton et Fort</w:t>
      </w:r>
      <w:r w:rsidR="00203E16">
        <w:rPr>
          <w:rFonts w:cs="Times New Roman"/>
          <w:lang w:val="fr-CA"/>
        </w:rPr>
        <w:t xml:space="preserve"> </w:t>
      </w:r>
      <w:r w:rsidRPr="0001174C">
        <w:rPr>
          <w:rFonts w:cs="Times New Roman"/>
          <w:lang w:val="fr-CA"/>
        </w:rPr>
        <w:t xml:space="preserve">McMurray. </w:t>
      </w:r>
      <w:r>
        <w:rPr>
          <w:rFonts w:cs="Times New Roman"/>
          <w:lang w:val="fr-CA"/>
        </w:rPr>
        <w:t xml:space="preserve">Il </w:t>
      </w:r>
      <w:r>
        <w:rPr>
          <w:rFonts w:cs="Times New Roman"/>
          <w:lang w:val="fr-CA"/>
        </w:rPr>
        <w:lastRenderedPageBreak/>
        <w:t>indique que M.</w:t>
      </w:r>
      <w:r w:rsidR="00203E16">
        <w:rPr>
          <w:rFonts w:cs="Times New Roman"/>
          <w:lang w:val="fr-CA"/>
        </w:rPr>
        <w:t xml:space="preserve"> </w:t>
      </w:r>
      <w:r>
        <w:rPr>
          <w:rFonts w:cs="Times New Roman"/>
          <w:lang w:val="fr-CA"/>
        </w:rPr>
        <w:t>Argueta</w:t>
      </w:r>
      <w:r w:rsidRPr="0001174C">
        <w:rPr>
          <w:rFonts w:cs="Times New Roman"/>
          <w:lang w:val="fr-CA"/>
        </w:rPr>
        <w:t xml:space="preserve"> n</w:t>
      </w:r>
      <w:r>
        <w:rPr>
          <w:rFonts w:cs="Times New Roman"/>
          <w:lang w:val="fr-CA"/>
        </w:rPr>
        <w:t>’</w:t>
      </w:r>
      <w:r w:rsidRPr="0001174C">
        <w:rPr>
          <w:rFonts w:cs="Times New Roman"/>
          <w:lang w:val="fr-CA"/>
        </w:rPr>
        <w:t>a</w:t>
      </w:r>
      <w:r>
        <w:rPr>
          <w:rFonts w:cs="Times New Roman"/>
          <w:lang w:val="fr-CA"/>
        </w:rPr>
        <w:t xml:space="preserve"> offert </w:t>
      </w:r>
      <w:r w:rsidRPr="0001174C">
        <w:rPr>
          <w:rFonts w:cs="Times New Roman"/>
          <w:smallCaps/>
          <w:lang w:val="fr-CA"/>
        </w:rPr>
        <w:t xml:space="preserve">[traduction] </w:t>
      </w:r>
      <w:r w:rsidR="00203E16">
        <w:rPr>
          <w:rFonts w:cs="Times New Roman"/>
          <w:lang w:val="fr-CA"/>
        </w:rPr>
        <w:t>« </w:t>
      </w:r>
      <w:r w:rsidRPr="0001174C">
        <w:rPr>
          <w:rFonts w:cs="Times New Roman"/>
          <w:lang w:val="fr-CA"/>
        </w:rPr>
        <w:t xml:space="preserve">aucune </w:t>
      </w:r>
      <w:r>
        <w:rPr>
          <w:rFonts w:cs="Times New Roman"/>
          <w:lang w:val="fr-CA"/>
        </w:rPr>
        <w:t>explication</w:t>
      </w:r>
      <w:r w:rsidR="00203E16">
        <w:rPr>
          <w:rFonts w:cs="Times New Roman"/>
          <w:lang w:val="fr-CA"/>
        </w:rPr>
        <w:t> »</w:t>
      </w:r>
      <w:r w:rsidRPr="0001174C">
        <w:rPr>
          <w:rFonts w:cs="Times New Roman"/>
          <w:lang w:val="fr-CA"/>
        </w:rPr>
        <w:t xml:space="preserve"> </w:t>
      </w:r>
      <w:r>
        <w:rPr>
          <w:rFonts w:cs="Times New Roman"/>
          <w:lang w:val="fr-CA"/>
        </w:rPr>
        <w:t xml:space="preserve">de </w:t>
      </w:r>
      <w:r w:rsidRPr="001D0501">
        <w:rPr>
          <w:rFonts w:cs="Times New Roman"/>
          <w:lang w:val="fr-CA"/>
        </w:rPr>
        <w:t xml:space="preserve">ce parjure et qu’il a semblé </w:t>
      </w:r>
      <w:r w:rsidR="00203E16">
        <w:rPr>
          <w:rFonts w:cs="Times New Roman"/>
          <w:lang w:val="fr-CA"/>
        </w:rPr>
        <w:t>« </w:t>
      </w:r>
      <w:r w:rsidRPr="001D0501">
        <w:rPr>
          <w:rFonts w:cs="Times New Roman"/>
          <w:lang w:val="fr-CA"/>
        </w:rPr>
        <w:t>ne pas en être du tout désolé</w:t>
      </w:r>
      <w:r w:rsidR="00203E16">
        <w:rPr>
          <w:rFonts w:cs="Times New Roman"/>
          <w:lang w:val="fr-CA"/>
        </w:rPr>
        <w:t> »</w:t>
      </w:r>
      <w:r w:rsidRPr="001D0501">
        <w:rPr>
          <w:rFonts w:cs="Times New Roman"/>
          <w:lang w:val="fr-CA"/>
        </w:rPr>
        <w:t>. Il précise au jury que cette indifférence apparente vis</w:t>
      </w:r>
      <w:r w:rsidR="00203E16">
        <w:rPr>
          <w:rFonts w:cs="Times New Roman"/>
          <w:lang w:val="fr-CA"/>
        </w:rPr>
        <w:t>-</w:t>
      </w:r>
      <w:r w:rsidRPr="001D0501">
        <w:rPr>
          <w:rFonts w:cs="Times New Roman"/>
          <w:lang w:val="fr-CA"/>
        </w:rPr>
        <w:t>à</w:t>
      </w:r>
      <w:r w:rsidR="00203E16">
        <w:rPr>
          <w:rFonts w:cs="Times New Roman"/>
          <w:lang w:val="fr-CA"/>
        </w:rPr>
        <w:t>-</w:t>
      </w:r>
      <w:r w:rsidRPr="001D0501">
        <w:rPr>
          <w:rFonts w:cs="Times New Roman"/>
          <w:lang w:val="fr-CA"/>
        </w:rPr>
        <w:t xml:space="preserve">vis de la solennité du serment </w:t>
      </w:r>
      <w:r w:rsidR="00203E16">
        <w:rPr>
          <w:rFonts w:cs="Times New Roman"/>
          <w:lang w:val="fr-CA"/>
        </w:rPr>
        <w:t>« </w:t>
      </w:r>
      <w:r w:rsidRPr="001D0501">
        <w:rPr>
          <w:rFonts w:cs="Times New Roman"/>
          <w:lang w:val="fr-CA"/>
        </w:rPr>
        <w:t>permet de se demander si on peut ajouter foi à ses propos quels qu’ils soient</w:t>
      </w:r>
      <w:r w:rsidR="00203E16">
        <w:rPr>
          <w:rFonts w:cs="Times New Roman"/>
          <w:lang w:val="fr-CA"/>
        </w:rPr>
        <w:t> »</w:t>
      </w:r>
      <w:r w:rsidRPr="001D0501">
        <w:rPr>
          <w:rFonts w:cs="Times New Roman"/>
          <w:lang w:val="fr-CA"/>
        </w:rPr>
        <w:t>.</w:t>
      </w:r>
    </w:p>
    <w:p w:rsidR="00AF2876" w:rsidRPr="0001174C" w:rsidRDefault="00AF2876" w:rsidP="00AF2876">
      <w:pPr>
        <w:pStyle w:val="ParaNoNdepar-AltN"/>
        <w:rPr>
          <w:rFonts w:cs="Times New Roman"/>
          <w:lang w:val="fr-CA"/>
        </w:rPr>
      </w:pPr>
      <w:r w:rsidRPr="001D0501">
        <w:rPr>
          <w:rFonts w:cs="Times New Roman"/>
          <w:lang w:val="fr-CA"/>
        </w:rPr>
        <w:t xml:space="preserve">À cause de ces réserves, le juge fait une mise en garde de type </w:t>
      </w:r>
      <w:r w:rsidRPr="001D0501">
        <w:rPr>
          <w:rFonts w:cs="Times New Roman"/>
          <w:i/>
          <w:lang w:val="fr-CA"/>
        </w:rPr>
        <w:t>Vetrovec</w:t>
      </w:r>
      <w:r w:rsidRPr="001D0501">
        <w:rPr>
          <w:rStyle w:val="FootnoteReference"/>
          <w:rFonts w:cs="Times New Roman"/>
          <w:lang w:val="fr-CA"/>
        </w:rPr>
        <w:footnoteReference w:id="4"/>
      </w:r>
      <w:r w:rsidRPr="001D0501">
        <w:rPr>
          <w:rFonts w:cs="Times New Roman"/>
          <w:lang w:val="fr-CA"/>
        </w:rPr>
        <w:t xml:space="preserve"> à l’égard du témoignage de M.</w:t>
      </w:r>
      <w:r w:rsidR="00203E16">
        <w:rPr>
          <w:rFonts w:cs="Times New Roman"/>
          <w:lang w:val="fr-CA"/>
        </w:rPr>
        <w:t xml:space="preserve"> </w:t>
      </w:r>
      <w:r w:rsidRPr="001D0501">
        <w:rPr>
          <w:rFonts w:cs="Times New Roman"/>
          <w:lang w:val="fr-CA"/>
        </w:rPr>
        <w:t>Argueta et explique aux jurés qu’il serait</w:t>
      </w:r>
      <w:r>
        <w:rPr>
          <w:rFonts w:cs="Times New Roman"/>
          <w:lang w:val="fr-CA"/>
        </w:rPr>
        <w:t xml:space="preserve"> </w:t>
      </w:r>
      <w:r w:rsidRPr="0001174C">
        <w:rPr>
          <w:rFonts w:cs="Times New Roman"/>
          <w:smallCaps/>
          <w:lang w:val="fr-CA"/>
        </w:rPr>
        <w:t xml:space="preserve">[traduction] </w:t>
      </w:r>
      <w:r w:rsidR="00203E16">
        <w:rPr>
          <w:rFonts w:cs="Times New Roman"/>
          <w:lang w:val="fr-CA"/>
        </w:rPr>
        <w:t>« </w:t>
      </w:r>
      <w:r>
        <w:rPr>
          <w:rFonts w:cs="Times New Roman"/>
          <w:lang w:val="fr-CA"/>
        </w:rPr>
        <w:t>risqué</w:t>
      </w:r>
      <w:r w:rsidR="00203E16">
        <w:rPr>
          <w:rFonts w:cs="Times New Roman"/>
          <w:lang w:val="fr-CA"/>
        </w:rPr>
        <w:t> »</w:t>
      </w:r>
      <w:r w:rsidRPr="0001174C">
        <w:rPr>
          <w:rFonts w:cs="Times New Roman"/>
          <w:lang w:val="fr-CA"/>
        </w:rPr>
        <w:t xml:space="preserve"> d</w:t>
      </w:r>
      <w:r>
        <w:rPr>
          <w:rFonts w:cs="Times New Roman"/>
          <w:lang w:val="fr-CA"/>
        </w:rPr>
        <w:t xml:space="preserve">’ajouter foi au </w:t>
      </w:r>
      <w:r w:rsidRPr="0001174C">
        <w:rPr>
          <w:rFonts w:cs="Times New Roman"/>
          <w:lang w:val="fr-CA"/>
        </w:rPr>
        <w:t xml:space="preserve">témoignage </w:t>
      </w:r>
      <w:r>
        <w:rPr>
          <w:rFonts w:cs="Times New Roman"/>
          <w:lang w:val="fr-CA"/>
        </w:rPr>
        <w:t>sans que celui</w:t>
      </w:r>
      <w:r w:rsidR="00203E16">
        <w:rPr>
          <w:rFonts w:cs="Times New Roman"/>
          <w:lang w:val="fr-CA"/>
        </w:rPr>
        <w:t>-</w:t>
      </w:r>
      <w:r>
        <w:rPr>
          <w:rFonts w:cs="Times New Roman"/>
          <w:lang w:val="fr-CA"/>
        </w:rPr>
        <w:t>ci ne soit corroboré par d’autres éléments</w:t>
      </w:r>
      <w:r w:rsidRPr="0001174C">
        <w:rPr>
          <w:rFonts w:cs="Times New Roman"/>
          <w:lang w:val="fr-CA"/>
        </w:rPr>
        <w:t xml:space="preserve">. </w:t>
      </w:r>
      <w:r>
        <w:rPr>
          <w:rFonts w:cs="Times New Roman"/>
          <w:lang w:val="fr-CA"/>
        </w:rPr>
        <w:t xml:space="preserve">Il </w:t>
      </w:r>
      <w:r w:rsidRPr="0001174C">
        <w:rPr>
          <w:rFonts w:cs="Times New Roman"/>
          <w:lang w:val="fr-CA"/>
        </w:rPr>
        <w:t>donn</w:t>
      </w:r>
      <w:r>
        <w:rPr>
          <w:rFonts w:cs="Times New Roman"/>
          <w:lang w:val="fr-CA"/>
        </w:rPr>
        <w:t>e</w:t>
      </w:r>
      <w:r w:rsidRPr="0001174C">
        <w:rPr>
          <w:rFonts w:cs="Times New Roman"/>
          <w:lang w:val="fr-CA"/>
        </w:rPr>
        <w:t xml:space="preserve"> deux exemples </w:t>
      </w:r>
      <w:r>
        <w:rPr>
          <w:rFonts w:cs="Times New Roman"/>
          <w:lang w:val="fr-CA"/>
        </w:rPr>
        <w:t xml:space="preserve">de tels </w:t>
      </w:r>
      <w:r w:rsidRPr="0001174C">
        <w:rPr>
          <w:rFonts w:cs="Times New Roman"/>
          <w:lang w:val="fr-CA"/>
        </w:rPr>
        <w:t>éléments</w:t>
      </w:r>
      <w:r>
        <w:rPr>
          <w:rFonts w:cs="Times New Roman"/>
          <w:lang w:val="fr-CA"/>
        </w:rPr>
        <w:t>.</w:t>
      </w:r>
      <w:r w:rsidRPr="0001174C">
        <w:rPr>
          <w:rFonts w:cs="Times New Roman"/>
          <w:lang w:val="fr-CA"/>
        </w:rPr>
        <w:t xml:space="preserve"> Le premier </w:t>
      </w:r>
      <w:r>
        <w:rPr>
          <w:rFonts w:cs="Times New Roman"/>
          <w:lang w:val="fr-CA"/>
        </w:rPr>
        <w:t xml:space="preserve">réside dans </w:t>
      </w:r>
      <w:r w:rsidRPr="0001174C">
        <w:rPr>
          <w:rFonts w:cs="Times New Roman"/>
          <w:lang w:val="fr-CA"/>
        </w:rPr>
        <w:t xml:space="preserve">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selon lequel l</w:t>
      </w:r>
      <w:r>
        <w:rPr>
          <w:rFonts w:cs="Times New Roman"/>
          <w:lang w:val="fr-CA"/>
        </w:rPr>
        <w:t>’</w:t>
      </w:r>
      <w:r w:rsidRPr="0001174C">
        <w:rPr>
          <w:rFonts w:cs="Times New Roman"/>
          <w:lang w:val="fr-CA"/>
        </w:rPr>
        <w:t xml:space="preserve">appelant était </w:t>
      </w:r>
      <w:r>
        <w:rPr>
          <w:rFonts w:cs="Times New Roman"/>
          <w:lang w:val="fr-CA"/>
        </w:rPr>
        <w:t xml:space="preserve">fâché </w:t>
      </w:r>
      <w:r w:rsidRPr="0001174C">
        <w:rPr>
          <w:rFonts w:cs="Times New Roman"/>
          <w:lang w:val="fr-CA"/>
        </w:rPr>
        <w:t xml:space="preserve">contre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parce qu</w:t>
      </w:r>
      <w:r>
        <w:rPr>
          <w:rFonts w:cs="Times New Roman"/>
          <w:lang w:val="fr-CA"/>
        </w:rPr>
        <w:t>’</w:t>
      </w:r>
      <w:r w:rsidRPr="0001174C">
        <w:rPr>
          <w:rFonts w:cs="Times New Roman"/>
          <w:lang w:val="fr-CA"/>
        </w:rPr>
        <w:t>il le soupçonnait d</w:t>
      </w:r>
      <w:r>
        <w:rPr>
          <w:rFonts w:cs="Times New Roman"/>
          <w:lang w:val="fr-CA"/>
        </w:rPr>
        <w:t>’</w:t>
      </w:r>
      <w:r w:rsidRPr="0001174C">
        <w:rPr>
          <w:rFonts w:cs="Times New Roman"/>
          <w:lang w:val="fr-CA"/>
        </w:rPr>
        <w:t>avoir volé de l</w:t>
      </w:r>
      <w:r>
        <w:rPr>
          <w:rFonts w:cs="Times New Roman"/>
          <w:lang w:val="fr-CA"/>
        </w:rPr>
        <w:t>’</w:t>
      </w:r>
      <w:r w:rsidRPr="0001174C">
        <w:rPr>
          <w:rFonts w:cs="Times New Roman"/>
          <w:lang w:val="fr-CA"/>
        </w:rPr>
        <w:t xml:space="preserve">argent dans la tirelire de son fils et </w:t>
      </w:r>
      <w:r>
        <w:rPr>
          <w:rFonts w:cs="Times New Roman"/>
          <w:lang w:val="fr-CA"/>
        </w:rPr>
        <w:t xml:space="preserve">d’avoir </w:t>
      </w:r>
      <w:r w:rsidR="00203E16">
        <w:rPr>
          <w:rFonts w:cs="Times New Roman"/>
          <w:lang w:val="fr-CA"/>
        </w:rPr>
        <w:t>« </w:t>
      </w:r>
      <w:r>
        <w:rPr>
          <w:rFonts w:cs="Times New Roman"/>
          <w:lang w:val="fr-CA"/>
        </w:rPr>
        <w:t xml:space="preserve">monté des factures </w:t>
      </w:r>
      <w:r w:rsidRPr="0001174C">
        <w:rPr>
          <w:rFonts w:cs="Times New Roman"/>
          <w:lang w:val="fr-CA"/>
        </w:rPr>
        <w:t>d</w:t>
      </w:r>
      <w:r>
        <w:rPr>
          <w:rFonts w:cs="Times New Roman"/>
          <w:lang w:val="fr-CA"/>
        </w:rPr>
        <w:t>e téléphone chez [l’appelant]</w:t>
      </w:r>
      <w:r w:rsidR="00203E16">
        <w:rPr>
          <w:rFonts w:cs="Times New Roman"/>
          <w:lang w:val="fr-CA"/>
        </w:rPr>
        <w:t> »</w:t>
      </w:r>
      <w:r w:rsidRPr="0001174C">
        <w:rPr>
          <w:rFonts w:cs="Times New Roman"/>
          <w:lang w:val="fr-CA"/>
        </w:rPr>
        <w:t xml:space="preserve">. Le second </w:t>
      </w:r>
      <w:r>
        <w:rPr>
          <w:rFonts w:cs="Times New Roman"/>
          <w:lang w:val="fr-CA"/>
        </w:rPr>
        <w:t xml:space="preserve">s’entend du </w:t>
      </w:r>
      <w:r w:rsidRPr="0001174C">
        <w:rPr>
          <w:rFonts w:cs="Times New Roman"/>
          <w:lang w:val="fr-CA"/>
        </w:rPr>
        <w:t>fait que l</w:t>
      </w:r>
      <w:r>
        <w:rPr>
          <w:rFonts w:cs="Times New Roman"/>
          <w:lang w:val="fr-CA"/>
        </w:rPr>
        <w:t>’</w:t>
      </w:r>
      <w:r w:rsidRPr="0001174C">
        <w:rPr>
          <w:rFonts w:cs="Times New Roman"/>
          <w:lang w:val="fr-CA"/>
        </w:rPr>
        <w:t xml:space="preserve">appelant </w:t>
      </w:r>
      <w:r w:rsidR="00203E16">
        <w:rPr>
          <w:rFonts w:cs="Times New Roman"/>
          <w:lang w:val="fr-CA"/>
        </w:rPr>
        <w:t>« </w:t>
      </w:r>
      <w:r w:rsidRPr="0001174C">
        <w:rPr>
          <w:rFonts w:cs="Times New Roman"/>
          <w:lang w:val="fr-CA"/>
        </w:rPr>
        <w:t>a lui</w:t>
      </w:r>
      <w:r w:rsidR="00203E16">
        <w:rPr>
          <w:rFonts w:cs="Times New Roman"/>
          <w:lang w:val="fr-CA"/>
        </w:rPr>
        <w:t>-</w:t>
      </w:r>
      <w:r w:rsidRPr="0001174C">
        <w:rPr>
          <w:rFonts w:cs="Times New Roman"/>
          <w:lang w:val="fr-CA"/>
        </w:rPr>
        <w:t xml:space="preserve">même </w:t>
      </w:r>
      <w:r>
        <w:rPr>
          <w:rFonts w:cs="Times New Roman"/>
          <w:lang w:val="fr-CA"/>
        </w:rPr>
        <w:t>témoigné de ce qu’il savait de la mise à prix de la tête de [M.]</w:t>
      </w:r>
      <w:r w:rsidR="00203E16">
        <w:rPr>
          <w:rFonts w:cs="Times New Roman"/>
          <w:lang w:val="fr-CA"/>
        </w:rPr>
        <w:t xml:space="preserve"> </w:t>
      </w:r>
      <w:r>
        <w:rPr>
          <w:rFonts w:cs="Times New Roman"/>
          <w:lang w:val="fr-CA"/>
        </w:rPr>
        <w:t>Levoir</w:t>
      </w:r>
      <w:r w:rsidR="00203E16">
        <w:rPr>
          <w:rFonts w:cs="Times New Roman"/>
          <w:lang w:val="fr-CA"/>
        </w:rPr>
        <w:t> »</w:t>
      </w:r>
      <w:r w:rsidRPr="0001174C">
        <w:rPr>
          <w:rFonts w:cs="Times New Roman"/>
          <w:lang w:val="fr-CA"/>
        </w:rPr>
        <w:t xml:space="preserve">, ce qui </w:t>
      </w:r>
      <w:r w:rsidR="00203E16">
        <w:rPr>
          <w:rFonts w:cs="Times New Roman"/>
          <w:lang w:val="fr-CA"/>
        </w:rPr>
        <w:t>« </w:t>
      </w:r>
      <w:r>
        <w:rPr>
          <w:rFonts w:cs="Times New Roman"/>
          <w:lang w:val="fr-CA"/>
        </w:rPr>
        <w:t>s’apparente</w:t>
      </w:r>
      <w:r w:rsidRPr="0001174C">
        <w:rPr>
          <w:rFonts w:cs="Times New Roman"/>
          <w:lang w:val="fr-CA"/>
        </w:rPr>
        <w:t xml:space="preserve"> à ce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 dit à ce sujet, </w:t>
      </w:r>
      <w:r>
        <w:rPr>
          <w:rFonts w:cs="Times New Roman"/>
          <w:lang w:val="fr-CA"/>
        </w:rPr>
        <w:t>mais qui ne lui a pas été attribué par [l’appelant]</w:t>
      </w:r>
      <w:r w:rsidR="00203E16">
        <w:rPr>
          <w:rFonts w:cs="Times New Roman"/>
          <w:lang w:val="fr-CA"/>
        </w:rPr>
        <w:t> »</w:t>
      </w:r>
      <w:r w:rsidRPr="0001174C">
        <w:rPr>
          <w:rFonts w:cs="Times New Roman"/>
          <w:lang w:val="fr-CA"/>
        </w:rPr>
        <w:t>.</w:t>
      </w:r>
    </w:p>
    <w:p w:rsidR="00AF2876" w:rsidRPr="0001174C" w:rsidRDefault="00AF2876" w:rsidP="00AF2876">
      <w:pPr>
        <w:pStyle w:val="ParaNoNdepar-AltN"/>
        <w:rPr>
          <w:rFonts w:cs="Times New Roman"/>
          <w:lang w:val="fr-CA"/>
        </w:rPr>
      </w:pPr>
      <w:r w:rsidRPr="0001174C">
        <w:rPr>
          <w:rFonts w:cs="Times New Roman"/>
          <w:lang w:val="fr-CA"/>
        </w:rPr>
        <w:t>L</w:t>
      </w:r>
      <w:r>
        <w:rPr>
          <w:rFonts w:cs="Times New Roman"/>
          <w:lang w:val="fr-CA"/>
        </w:rPr>
        <w:t>’</w:t>
      </w:r>
      <w:r w:rsidRPr="0001174C">
        <w:rPr>
          <w:rFonts w:cs="Times New Roman"/>
          <w:lang w:val="fr-CA"/>
        </w:rPr>
        <w:t xml:space="preserve">appelant </w:t>
      </w:r>
      <w:r>
        <w:rPr>
          <w:rFonts w:cs="Times New Roman"/>
          <w:lang w:val="fr-CA"/>
        </w:rPr>
        <w:t xml:space="preserve">fait valoir qu’il s’agit de </w:t>
      </w:r>
      <w:r w:rsidRPr="0001174C">
        <w:rPr>
          <w:rFonts w:cs="Times New Roman"/>
          <w:lang w:val="fr-CA"/>
        </w:rPr>
        <w:t xml:space="preserve">directives </w:t>
      </w:r>
      <w:r>
        <w:rPr>
          <w:rFonts w:cs="Times New Roman"/>
          <w:lang w:val="fr-CA"/>
        </w:rPr>
        <w:t>lacunaires</w:t>
      </w:r>
      <w:r w:rsidRPr="0001174C">
        <w:rPr>
          <w:rFonts w:cs="Times New Roman"/>
          <w:lang w:val="fr-CA"/>
        </w:rPr>
        <w:t xml:space="preserve">. Il </w:t>
      </w:r>
      <w:r>
        <w:rPr>
          <w:rFonts w:cs="Times New Roman"/>
          <w:lang w:val="fr-CA"/>
        </w:rPr>
        <w:t xml:space="preserve">dit </w:t>
      </w:r>
      <w:r w:rsidRPr="0001174C">
        <w:rPr>
          <w:rFonts w:cs="Times New Roman"/>
          <w:lang w:val="fr-CA"/>
        </w:rPr>
        <w:t xml:space="preserve">notamment </w:t>
      </w:r>
      <w:r>
        <w:rPr>
          <w:rFonts w:cs="Times New Roman"/>
          <w:lang w:val="fr-CA"/>
        </w:rPr>
        <w:t xml:space="preserve">qu’elles sont sources de confusion en ce qui concerne </w:t>
      </w:r>
      <w:r w:rsidRPr="0001174C">
        <w:rPr>
          <w:rFonts w:cs="Times New Roman"/>
          <w:lang w:val="fr-CA"/>
        </w:rPr>
        <w:t>l</w:t>
      </w:r>
      <w:r>
        <w:rPr>
          <w:rFonts w:cs="Times New Roman"/>
          <w:lang w:val="fr-CA"/>
        </w:rPr>
        <w:t>’</w:t>
      </w:r>
      <w:r w:rsidRPr="0001174C">
        <w:rPr>
          <w:rFonts w:cs="Times New Roman"/>
          <w:lang w:val="fr-CA"/>
        </w:rPr>
        <w:t xml:space="preserve">importance </w:t>
      </w:r>
      <w:r>
        <w:rPr>
          <w:rFonts w:cs="Times New Roman"/>
          <w:lang w:val="fr-CA"/>
        </w:rPr>
        <w:t>des</w:t>
      </w:r>
      <w:r w:rsidRPr="0001174C">
        <w:rPr>
          <w:rFonts w:cs="Times New Roman"/>
          <w:lang w:val="fr-CA"/>
        </w:rPr>
        <w:t xml:space="preserve"> </w:t>
      </w:r>
      <w:r>
        <w:rPr>
          <w:rFonts w:cs="Times New Roman"/>
          <w:lang w:val="fr-CA"/>
        </w:rPr>
        <w:t>propos mensongers que M.</w:t>
      </w:r>
      <w:r w:rsidR="00203E16">
        <w:rPr>
          <w:rFonts w:cs="Times New Roman"/>
          <w:lang w:val="fr-CA"/>
        </w:rPr>
        <w:t xml:space="preserve"> </w:t>
      </w:r>
      <w:r>
        <w:rPr>
          <w:rFonts w:cs="Times New Roman"/>
          <w:lang w:val="fr-CA"/>
        </w:rPr>
        <w:t xml:space="preserve">Argueta a reconnu avoir tenus aux policiers car, </w:t>
      </w:r>
      <w:r w:rsidRPr="0001174C">
        <w:rPr>
          <w:rFonts w:cs="Times New Roman"/>
          <w:lang w:val="fr-CA"/>
        </w:rPr>
        <w:t>au procès, l</w:t>
      </w:r>
      <w:r>
        <w:rPr>
          <w:rFonts w:cs="Times New Roman"/>
          <w:lang w:val="fr-CA"/>
        </w:rPr>
        <w:t>’</w:t>
      </w:r>
      <w:r w:rsidRPr="0001174C">
        <w:rPr>
          <w:rFonts w:cs="Times New Roman"/>
          <w:lang w:val="fr-CA"/>
        </w:rPr>
        <w:t xml:space="preserve">appelant </w:t>
      </w:r>
      <w:r>
        <w:rPr>
          <w:rFonts w:cs="Times New Roman"/>
          <w:lang w:val="fr-CA"/>
        </w:rPr>
        <w:t xml:space="preserve">a soutenu </w:t>
      </w:r>
      <w:r w:rsidRPr="0001174C">
        <w:rPr>
          <w:rFonts w:cs="Times New Roman"/>
          <w:lang w:val="fr-CA"/>
        </w:rPr>
        <w:t xml:space="preserve">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avait dit la vérité aux policiers et que son </w:t>
      </w:r>
      <w:r>
        <w:rPr>
          <w:rFonts w:cs="Times New Roman"/>
          <w:lang w:val="fr-CA"/>
        </w:rPr>
        <w:t xml:space="preserve">[aveu à lui] </w:t>
      </w:r>
      <w:r w:rsidRPr="0001174C">
        <w:rPr>
          <w:rFonts w:cs="Times New Roman"/>
          <w:lang w:val="fr-CA"/>
        </w:rPr>
        <w:t>était faux. De plus, l</w:t>
      </w:r>
      <w:r>
        <w:rPr>
          <w:rFonts w:cs="Times New Roman"/>
          <w:lang w:val="fr-CA"/>
        </w:rPr>
        <w:t>’</w:t>
      </w:r>
      <w:r w:rsidRPr="0001174C">
        <w:rPr>
          <w:rFonts w:cs="Times New Roman"/>
          <w:lang w:val="fr-CA"/>
        </w:rPr>
        <w:t xml:space="preserve">appelant </w:t>
      </w:r>
      <w:r>
        <w:rPr>
          <w:rFonts w:cs="Times New Roman"/>
          <w:lang w:val="fr-CA"/>
        </w:rPr>
        <w:t xml:space="preserve">soutient </w:t>
      </w:r>
      <w:r w:rsidRPr="0001174C">
        <w:rPr>
          <w:rFonts w:cs="Times New Roman"/>
          <w:lang w:val="fr-CA"/>
        </w:rPr>
        <w:t xml:space="preserve">que la mise en garde de type </w:t>
      </w:r>
      <w:r w:rsidRPr="0001174C">
        <w:rPr>
          <w:rFonts w:cs="Times New Roman"/>
          <w:i/>
          <w:lang w:val="fr-CA"/>
        </w:rPr>
        <w:t xml:space="preserve">Vetrovec </w:t>
      </w:r>
      <w:r w:rsidRPr="0001174C">
        <w:rPr>
          <w:rFonts w:cs="Times New Roman"/>
          <w:lang w:val="fr-CA"/>
        </w:rPr>
        <w:t xml:space="preserve">et, dans </w:t>
      </w:r>
      <w:r>
        <w:rPr>
          <w:rFonts w:cs="Times New Roman"/>
          <w:lang w:val="fr-CA"/>
        </w:rPr>
        <w:t>s</w:t>
      </w:r>
      <w:r w:rsidRPr="0001174C">
        <w:rPr>
          <w:rFonts w:cs="Times New Roman"/>
          <w:lang w:val="fr-CA"/>
        </w:rPr>
        <w:t xml:space="preserve">a foulée, </w:t>
      </w:r>
      <w:r>
        <w:rPr>
          <w:rFonts w:cs="Times New Roman"/>
          <w:lang w:val="fr-CA"/>
        </w:rPr>
        <w:t xml:space="preserve">la directive </w:t>
      </w:r>
      <w:r w:rsidRPr="0001174C">
        <w:rPr>
          <w:rFonts w:cs="Times New Roman"/>
          <w:lang w:val="fr-CA"/>
        </w:rPr>
        <w:t xml:space="preserve">de </w:t>
      </w:r>
      <w:r>
        <w:rPr>
          <w:rFonts w:cs="Times New Roman"/>
          <w:lang w:val="fr-CA"/>
        </w:rPr>
        <w:t>re</w:t>
      </w:r>
      <w:r w:rsidRPr="0001174C">
        <w:rPr>
          <w:rFonts w:cs="Times New Roman"/>
          <w:lang w:val="fr-CA"/>
        </w:rPr>
        <w:t>chercher une preuve de corroboration avant d</w:t>
      </w:r>
      <w:r>
        <w:rPr>
          <w:rFonts w:cs="Times New Roman"/>
          <w:lang w:val="fr-CA"/>
        </w:rPr>
        <w:t>’</w:t>
      </w:r>
      <w:r w:rsidRPr="0001174C">
        <w:rPr>
          <w:rFonts w:cs="Times New Roman"/>
          <w:lang w:val="fr-CA"/>
        </w:rPr>
        <w:t xml:space="preserve">ajouter foi au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étaient injustifiées, </w:t>
      </w:r>
      <w:r>
        <w:rPr>
          <w:rFonts w:cs="Times New Roman"/>
          <w:lang w:val="fr-CA"/>
        </w:rPr>
        <w:t xml:space="preserve">car </w:t>
      </w:r>
      <w:r w:rsidRPr="0001174C">
        <w:rPr>
          <w:rFonts w:cs="Times New Roman"/>
          <w:lang w:val="fr-CA"/>
        </w:rPr>
        <w:t xml:space="preserve">si </w:t>
      </w:r>
      <w:r>
        <w:rPr>
          <w:rFonts w:cs="Times New Roman"/>
          <w:lang w:val="fr-CA"/>
        </w:rPr>
        <w:t xml:space="preserve">les </w:t>
      </w:r>
      <w:r>
        <w:rPr>
          <w:rFonts w:cs="Times New Roman"/>
          <w:lang w:val="fr-CA"/>
        </w:rPr>
        <w:lastRenderedPageBreak/>
        <w:t>renseignements sur le</w:t>
      </w:r>
      <w:r w:rsidRPr="0001174C">
        <w:rPr>
          <w:rFonts w:cs="Times New Roman"/>
          <w:lang w:val="fr-CA"/>
        </w:rPr>
        <w:t xml:space="preserve"> meurtre </w:t>
      </w:r>
      <w:r>
        <w:rPr>
          <w:rFonts w:cs="Times New Roman"/>
          <w:lang w:val="fr-CA"/>
        </w:rPr>
        <w:t>donnés par 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s’étaient révélés </w:t>
      </w:r>
      <w:r w:rsidRPr="0001174C">
        <w:rPr>
          <w:rFonts w:cs="Times New Roman"/>
          <w:lang w:val="fr-CA"/>
        </w:rPr>
        <w:t>exacts, cela n</w:t>
      </w:r>
      <w:r>
        <w:rPr>
          <w:rFonts w:cs="Times New Roman"/>
          <w:lang w:val="fr-CA"/>
        </w:rPr>
        <w:t>’</w:t>
      </w:r>
      <w:r w:rsidRPr="0001174C">
        <w:rPr>
          <w:rFonts w:cs="Times New Roman"/>
          <w:lang w:val="fr-CA"/>
        </w:rPr>
        <w:t>étayait pas la thèse du ministère public suivant laquelle l</w:t>
      </w:r>
      <w:r>
        <w:rPr>
          <w:rFonts w:cs="Times New Roman"/>
          <w:lang w:val="fr-CA"/>
        </w:rPr>
        <w:t>’</w:t>
      </w:r>
      <w:r w:rsidRPr="0001174C">
        <w:rPr>
          <w:rFonts w:cs="Times New Roman"/>
          <w:lang w:val="fr-CA"/>
        </w:rPr>
        <w:t>appelant était coupable du meurtre, mais confirmait plutôt la thèse de la défense</w:t>
      </w:r>
      <w:r>
        <w:rPr>
          <w:rFonts w:cs="Times New Roman"/>
          <w:lang w:val="fr-CA"/>
        </w:rPr>
        <w:t>,</w:t>
      </w:r>
      <w:r w:rsidRPr="0001174C">
        <w:rPr>
          <w:rFonts w:cs="Times New Roman"/>
          <w:lang w:val="fr-CA"/>
        </w:rPr>
        <w:t xml:space="preserve"> </w:t>
      </w:r>
      <w:r>
        <w:rPr>
          <w:rFonts w:cs="Times New Roman"/>
          <w:lang w:val="fr-CA"/>
        </w:rPr>
        <w:t>à savoir que l’assassin était M.</w:t>
      </w:r>
      <w:r w:rsidR="00203E16">
        <w:rPr>
          <w:rFonts w:cs="Times New Roman"/>
          <w:lang w:val="fr-CA"/>
        </w:rPr>
        <w:t xml:space="preserve"> </w:t>
      </w:r>
      <w:r>
        <w:rPr>
          <w:rFonts w:cs="Times New Roman"/>
          <w:lang w:val="fr-CA"/>
        </w:rPr>
        <w:t>Argueta, et non l’appelant</w:t>
      </w:r>
      <w:r w:rsidRPr="0001174C">
        <w:rPr>
          <w:rFonts w:cs="Times New Roman"/>
          <w:lang w:val="fr-CA"/>
        </w:rPr>
        <w:t xml:space="preserve">. </w:t>
      </w:r>
    </w:p>
    <w:p w:rsidR="00AF2876" w:rsidRPr="0001174C" w:rsidRDefault="00AF2876" w:rsidP="00AF2876">
      <w:pPr>
        <w:pStyle w:val="ParaNoNdepar-AltN"/>
        <w:rPr>
          <w:rFonts w:cs="Times New Roman"/>
          <w:lang w:val="fr-CA"/>
        </w:rPr>
      </w:pPr>
      <w:r w:rsidRPr="0001174C">
        <w:rPr>
          <w:rFonts w:cs="Times New Roman"/>
          <w:lang w:val="fr-CA"/>
        </w:rPr>
        <w:t xml:space="preserve">Je ne </w:t>
      </w:r>
      <w:r>
        <w:rPr>
          <w:rFonts w:cs="Times New Roman"/>
          <w:lang w:val="fr-CA"/>
        </w:rPr>
        <w:t xml:space="preserve">fais </w:t>
      </w:r>
      <w:r w:rsidRPr="0001174C">
        <w:rPr>
          <w:rFonts w:cs="Times New Roman"/>
          <w:lang w:val="fr-CA"/>
        </w:rPr>
        <w:t xml:space="preserve">pas </w:t>
      </w:r>
      <w:r>
        <w:rPr>
          <w:rFonts w:cs="Times New Roman"/>
          <w:lang w:val="fr-CA"/>
        </w:rPr>
        <w:t xml:space="preserve">droit aux prétentions </w:t>
      </w:r>
      <w:r w:rsidRPr="0001174C">
        <w:rPr>
          <w:rFonts w:cs="Times New Roman"/>
          <w:lang w:val="fr-CA"/>
        </w:rPr>
        <w:t>de l</w:t>
      </w:r>
      <w:r>
        <w:rPr>
          <w:rFonts w:cs="Times New Roman"/>
          <w:lang w:val="fr-CA"/>
        </w:rPr>
        <w:t>’</w:t>
      </w:r>
      <w:r w:rsidRPr="0001174C">
        <w:rPr>
          <w:rFonts w:cs="Times New Roman"/>
          <w:lang w:val="fr-CA"/>
        </w:rPr>
        <w:t xml:space="preserve">appelant. À mon avis, la mise en garde </w:t>
      </w:r>
      <w:r>
        <w:rPr>
          <w:rFonts w:cs="Times New Roman"/>
          <w:lang w:val="fr-CA"/>
        </w:rPr>
        <w:t xml:space="preserve">du </w:t>
      </w:r>
      <w:r w:rsidRPr="0001174C">
        <w:rPr>
          <w:rFonts w:cs="Times New Roman"/>
          <w:lang w:val="fr-CA"/>
        </w:rPr>
        <w:t xml:space="preserve">juge </w:t>
      </w:r>
      <w:r>
        <w:rPr>
          <w:rFonts w:cs="Times New Roman"/>
          <w:lang w:val="fr-CA"/>
        </w:rPr>
        <w:t xml:space="preserve">concernant la déposition </w:t>
      </w:r>
      <w:r w:rsidRPr="0001174C">
        <w:rPr>
          <w:rFonts w:cs="Times New Roman"/>
          <w:lang w:val="fr-CA"/>
        </w:rPr>
        <w:t>mensong</w:t>
      </w:r>
      <w:r>
        <w:rPr>
          <w:rFonts w:cs="Times New Roman"/>
          <w:lang w:val="fr-CA"/>
        </w:rPr>
        <w:t>ère</w:t>
      </w:r>
      <w:r w:rsidRPr="0001174C">
        <w:rPr>
          <w:rFonts w:cs="Times New Roman"/>
          <w:lang w:val="fr-CA"/>
        </w:rPr>
        <w:t xml:space="preserve">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a reconnu </w:t>
      </w:r>
      <w:r w:rsidRPr="0001174C">
        <w:rPr>
          <w:rFonts w:cs="Times New Roman"/>
          <w:lang w:val="fr-CA"/>
        </w:rPr>
        <w:t xml:space="preserve">avoir </w:t>
      </w:r>
      <w:r>
        <w:rPr>
          <w:rFonts w:cs="Times New Roman"/>
          <w:lang w:val="fr-CA"/>
        </w:rPr>
        <w:t xml:space="preserve">faite </w:t>
      </w:r>
      <w:r w:rsidRPr="0001174C">
        <w:rPr>
          <w:rFonts w:cs="Times New Roman"/>
          <w:lang w:val="fr-CA"/>
        </w:rPr>
        <w:t xml:space="preserve">à la police </w:t>
      </w:r>
      <w:r>
        <w:rPr>
          <w:rFonts w:cs="Times New Roman"/>
          <w:lang w:val="fr-CA"/>
        </w:rPr>
        <w:t xml:space="preserve">n’était </w:t>
      </w:r>
      <w:r w:rsidRPr="0001174C">
        <w:rPr>
          <w:rFonts w:cs="Times New Roman"/>
          <w:lang w:val="fr-CA"/>
        </w:rPr>
        <w:t xml:space="preserve">pas </w:t>
      </w:r>
      <w:r>
        <w:rPr>
          <w:rFonts w:cs="Times New Roman"/>
          <w:lang w:val="fr-CA"/>
        </w:rPr>
        <w:t xml:space="preserve">source de </w:t>
      </w:r>
      <w:r w:rsidRPr="0001174C">
        <w:rPr>
          <w:rFonts w:cs="Times New Roman"/>
          <w:lang w:val="fr-CA"/>
        </w:rPr>
        <w:t>confus</w:t>
      </w:r>
      <w:r>
        <w:rPr>
          <w:rFonts w:cs="Times New Roman"/>
          <w:lang w:val="fr-CA"/>
        </w:rPr>
        <w:t>ion</w:t>
      </w:r>
      <w:r w:rsidRPr="0001174C">
        <w:rPr>
          <w:rFonts w:cs="Times New Roman"/>
          <w:lang w:val="fr-CA"/>
        </w:rPr>
        <w:t>. L</w:t>
      </w:r>
      <w:r>
        <w:rPr>
          <w:rFonts w:cs="Times New Roman"/>
          <w:lang w:val="fr-CA"/>
        </w:rPr>
        <w:t>’</w:t>
      </w:r>
      <w:r w:rsidRPr="0001174C">
        <w:rPr>
          <w:rFonts w:cs="Times New Roman"/>
          <w:lang w:val="fr-CA"/>
        </w:rPr>
        <w:t xml:space="preserve">appelant </w:t>
      </w:r>
      <w:r>
        <w:rPr>
          <w:rFonts w:cs="Times New Roman"/>
          <w:lang w:val="fr-CA"/>
        </w:rPr>
        <w:t>interprète</w:t>
      </w:r>
      <w:r w:rsidRPr="0001174C">
        <w:rPr>
          <w:rFonts w:cs="Times New Roman"/>
          <w:lang w:val="fr-CA"/>
        </w:rPr>
        <w:t xml:space="preserve"> </w:t>
      </w:r>
      <w:r>
        <w:rPr>
          <w:rFonts w:cs="Times New Roman"/>
          <w:lang w:val="fr-CA"/>
        </w:rPr>
        <w:t xml:space="preserve">la directive de manière </w:t>
      </w:r>
      <w:r w:rsidRPr="0001174C">
        <w:rPr>
          <w:rFonts w:cs="Times New Roman"/>
          <w:lang w:val="fr-CA"/>
        </w:rPr>
        <w:t xml:space="preserve">formaliste. </w:t>
      </w:r>
      <w:r>
        <w:rPr>
          <w:rFonts w:cs="Times New Roman"/>
          <w:lang w:val="fr-CA"/>
        </w:rPr>
        <w:t>Si on l’</w:t>
      </w:r>
      <w:r w:rsidRPr="0001174C">
        <w:rPr>
          <w:rFonts w:cs="Times New Roman"/>
          <w:lang w:val="fr-CA"/>
        </w:rPr>
        <w:t xml:space="preserve">interprète </w:t>
      </w:r>
      <w:r>
        <w:rPr>
          <w:rFonts w:cs="Times New Roman"/>
          <w:lang w:val="fr-CA"/>
        </w:rPr>
        <w:t xml:space="preserve">de manière </w:t>
      </w:r>
      <w:r w:rsidRPr="0001174C">
        <w:rPr>
          <w:rFonts w:cs="Times New Roman"/>
          <w:lang w:val="fr-CA"/>
        </w:rPr>
        <w:t>impartial</w:t>
      </w:r>
      <w:r>
        <w:rPr>
          <w:rFonts w:cs="Times New Roman"/>
          <w:lang w:val="fr-CA"/>
        </w:rPr>
        <w:t>e</w:t>
      </w:r>
      <w:r w:rsidRPr="0001174C">
        <w:rPr>
          <w:rFonts w:cs="Times New Roman"/>
          <w:lang w:val="fr-CA"/>
        </w:rPr>
        <w:t xml:space="preserve"> et context</w:t>
      </w:r>
      <w:r>
        <w:rPr>
          <w:rFonts w:cs="Times New Roman"/>
          <w:lang w:val="fr-CA"/>
        </w:rPr>
        <w:t>uelle</w:t>
      </w:r>
      <w:r w:rsidRPr="0001174C">
        <w:rPr>
          <w:rFonts w:cs="Times New Roman"/>
          <w:lang w:val="fr-CA"/>
        </w:rPr>
        <w:t>, la directive contestée expliqu</w:t>
      </w:r>
      <w:r>
        <w:rPr>
          <w:rFonts w:cs="Times New Roman"/>
          <w:lang w:val="fr-CA"/>
        </w:rPr>
        <w:t>e</w:t>
      </w:r>
      <w:r w:rsidRPr="0001174C">
        <w:rPr>
          <w:rFonts w:cs="Times New Roman"/>
          <w:lang w:val="fr-CA"/>
        </w:rPr>
        <w:t xml:space="preserve"> aux jurés que</w:t>
      </w:r>
      <w:r>
        <w:rPr>
          <w:rFonts w:cs="Times New Roman"/>
          <w:lang w:val="fr-CA"/>
        </w:rPr>
        <w:t xml:space="preserve"> 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a reconnu s’être </w:t>
      </w:r>
      <w:r w:rsidRPr="0001174C">
        <w:rPr>
          <w:rFonts w:cs="Times New Roman"/>
          <w:lang w:val="fr-CA"/>
        </w:rPr>
        <w:t xml:space="preserve">parjuré </w:t>
      </w:r>
      <w:r>
        <w:rPr>
          <w:rFonts w:cs="Times New Roman"/>
          <w:lang w:val="fr-CA"/>
        </w:rPr>
        <w:t xml:space="preserve">et qu’il n’a offert aucune </w:t>
      </w:r>
      <w:r w:rsidRPr="0001174C">
        <w:rPr>
          <w:rFonts w:cs="Times New Roman"/>
          <w:lang w:val="fr-CA"/>
        </w:rPr>
        <w:t xml:space="preserve">explication </w:t>
      </w:r>
      <w:r>
        <w:rPr>
          <w:rFonts w:cs="Times New Roman"/>
          <w:lang w:val="fr-CA"/>
        </w:rPr>
        <w:t>de sa conduite</w:t>
      </w:r>
      <w:r w:rsidRPr="0001174C">
        <w:rPr>
          <w:rFonts w:cs="Times New Roman"/>
          <w:lang w:val="fr-CA"/>
        </w:rPr>
        <w:t xml:space="preserve">. Il y avait donc lieu de se demander si le jury pouvait </w:t>
      </w:r>
      <w:r>
        <w:rPr>
          <w:rFonts w:cs="Times New Roman"/>
          <w:lang w:val="fr-CA"/>
        </w:rPr>
        <w:t xml:space="preserve">ajouter foi à ses propos quels qu’ils soient. On ne peut conclure de </w:t>
      </w:r>
      <w:r w:rsidRPr="0001174C">
        <w:rPr>
          <w:rFonts w:cs="Times New Roman"/>
          <w:lang w:val="fr-CA"/>
        </w:rPr>
        <w:t>cette directive</w:t>
      </w:r>
      <w:r>
        <w:rPr>
          <w:rFonts w:cs="Times New Roman"/>
          <w:lang w:val="fr-CA"/>
        </w:rPr>
        <w:t>,</w:t>
      </w:r>
      <w:r w:rsidRPr="0001174C">
        <w:rPr>
          <w:rFonts w:cs="Times New Roman"/>
          <w:lang w:val="fr-CA"/>
        </w:rPr>
        <w:t xml:space="preserve"> </w:t>
      </w:r>
      <w:r>
        <w:rPr>
          <w:rFonts w:cs="Times New Roman"/>
          <w:lang w:val="fr-CA"/>
        </w:rPr>
        <w:t xml:space="preserve">considérée de pair avec </w:t>
      </w:r>
      <w:r w:rsidRPr="0001174C">
        <w:rPr>
          <w:rFonts w:cs="Times New Roman"/>
          <w:lang w:val="fr-CA"/>
        </w:rPr>
        <w:t xml:space="preserve">la mise en garde </w:t>
      </w:r>
      <w:r>
        <w:rPr>
          <w:rFonts w:cs="Times New Roman"/>
          <w:lang w:val="fr-CA"/>
        </w:rPr>
        <w:t xml:space="preserve">selon </w:t>
      </w:r>
      <w:r w:rsidRPr="0001174C">
        <w:rPr>
          <w:rFonts w:cs="Times New Roman"/>
          <w:lang w:val="fr-CA"/>
        </w:rPr>
        <w:t xml:space="preserve">laquelle il </w:t>
      </w:r>
      <w:r>
        <w:rPr>
          <w:rFonts w:cs="Times New Roman"/>
          <w:lang w:val="fr-CA"/>
        </w:rPr>
        <w:t xml:space="preserve">était risqué </w:t>
      </w:r>
      <w:r w:rsidRPr="0001174C">
        <w:rPr>
          <w:rFonts w:cs="Times New Roman"/>
          <w:lang w:val="fr-CA"/>
        </w:rPr>
        <w:t xml:space="preserve">de se fonder sur 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sans que celui</w:t>
      </w:r>
      <w:r w:rsidR="00203E16">
        <w:rPr>
          <w:rFonts w:cs="Times New Roman"/>
          <w:lang w:val="fr-CA"/>
        </w:rPr>
        <w:t>-</w:t>
      </w:r>
      <w:r>
        <w:rPr>
          <w:rFonts w:cs="Times New Roman"/>
          <w:lang w:val="fr-CA"/>
        </w:rPr>
        <w:t xml:space="preserve">ci ne soit </w:t>
      </w:r>
      <w:r w:rsidRPr="0001174C">
        <w:rPr>
          <w:rFonts w:cs="Times New Roman"/>
          <w:lang w:val="fr-CA"/>
        </w:rPr>
        <w:t>corrobor</w:t>
      </w:r>
      <w:r>
        <w:rPr>
          <w:rFonts w:cs="Times New Roman"/>
          <w:lang w:val="fr-CA"/>
        </w:rPr>
        <w:t>é</w:t>
      </w:r>
      <w:r w:rsidRPr="0001174C">
        <w:rPr>
          <w:rFonts w:cs="Times New Roman"/>
          <w:lang w:val="fr-CA"/>
        </w:rPr>
        <w:t xml:space="preserve">, que le juge </w:t>
      </w:r>
      <w:r>
        <w:rPr>
          <w:rFonts w:cs="Times New Roman"/>
          <w:lang w:val="fr-CA"/>
        </w:rPr>
        <w:t xml:space="preserve">retient </w:t>
      </w:r>
      <w:r w:rsidRPr="0001174C">
        <w:rPr>
          <w:rFonts w:cs="Times New Roman"/>
          <w:lang w:val="fr-CA"/>
        </w:rPr>
        <w:t xml:space="preserve">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au procès </w:t>
      </w:r>
      <w:r w:rsidRPr="0001174C">
        <w:rPr>
          <w:rFonts w:cs="Times New Roman"/>
          <w:lang w:val="fr-CA"/>
        </w:rPr>
        <w:t xml:space="preserve">de préférence à </w:t>
      </w:r>
      <w:r>
        <w:rPr>
          <w:rFonts w:cs="Times New Roman"/>
          <w:lang w:val="fr-CA"/>
        </w:rPr>
        <w:t>l</w:t>
      </w:r>
      <w:r w:rsidRPr="0001174C">
        <w:rPr>
          <w:rFonts w:cs="Times New Roman"/>
          <w:lang w:val="fr-CA"/>
        </w:rPr>
        <w:t xml:space="preserve">a version des faits </w:t>
      </w:r>
      <w:r>
        <w:rPr>
          <w:rFonts w:cs="Times New Roman"/>
          <w:lang w:val="fr-CA"/>
        </w:rPr>
        <w:t xml:space="preserve">qu’il avait auparavant donnée </w:t>
      </w:r>
      <w:r w:rsidRPr="0001174C">
        <w:rPr>
          <w:rFonts w:cs="Times New Roman"/>
          <w:lang w:val="fr-CA"/>
        </w:rPr>
        <w:t>à la police. Le juge expliqu</w:t>
      </w:r>
      <w:r>
        <w:rPr>
          <w:rFonts w:cs="Times New Roman"/>
          <w:lang w:val="fr-CA"/>
        </w:rPr>
        <w:t xml:space="preserve">e </w:t>
      </w:r>
      <w:r w:rsidRPr="0001174C">
        <w:rPr>
          <w:rFonts w:cs="Times New Roman"/>
          <w:lang w:val="fr-CA"/>
        </w:rPr>
        <w:t>s</w:t>
      </w:r>
      <w:r>
        <w:rPr>
          <w:rFonts w:cs="Times New Roman"/>
          <w:lang w:val="fr-CA"/>
        </w:rPr>
        <w:t>eu</w:t>
      </w:r>
      <w:r w:rsidRPr="0001174C">
        <w:rPr>
          <w:rFonts w:cs="Times New Roman"/>
          <w:lang w:val="fr-CA"/>
        </w:rPr>
        <w:t>lement au jur</w:t>
      </w:r>
      <w:r>
        <w:rPr>
          <w:rFonts w:cs="Times New Roman"/>
          <w:lang w:val="fr-CA"/>
        </w:rPr>
        <w:t>y</w:t>
      </w:r>
      <w:r w:rsidRPr="0001174C">
        <w:rPr>
          <w:rFonts w:cs="Times New Roman"/>
          <w:lang w:val="fr-CA"/>
        </w:rPr>
        <w:t xml:space="preserve"> que 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est </w:t>
      </w:r>
      <w:r w:rsidRPr="0001174C">
        <w:rPr>
          <w:rFonts w:cs="Times New Roman"/>
          <w:lang w:val="fr-CA"/>
        </w:rPr>
        <w:t>extrêmement suspect et qu</w:t>
      </w:r>
      <w:r>
        <w:rPr>
          <w:rFonts w:cs="Times New Roman"/>
          <w:lang w:val="fr-CA"/>
        </w:rPr>
        <w:t>’</w:t>
      </w:r>
      <w:r w:rsidRPr="0001174C">
        <w:rPr>
          <w:rFonts w:cs="Times New Roman"/>
          <w:lang w:val="fr-CA"/>
        </w:rPr>
        <w:t xml:space="preserve">il serait </w:t>
      </w:r>
      <w:r>
        <w:rPr>
          <w:rFonts w:cs="Times New Roman"/>
          <w:lang w:val="fr-CA"/>
        </w:rPr>
        <w:t xml:space="preserve">risqué </w:t>
      </w:r>
      <w:r w:rsidRPr="0001174C">
        <w:rPr>
          <w:rFonts w:cs="Times New Roman"/>
          <w:lang w:val="fr-CA"/>
        </w:rPr>
        <w:t>de déclarer l</w:t>
      </w:r>
      <w:r>
        <w:rPr>
          <w:rFonts w:cs="Times New Roman"/>
          <w:lang w:val="fr-CA"/>
        </w:rPr>
        <w:t>’</w:t>
      </w:r>
      <w:r w:rsidRPr="0001174C">
        <w:rPr>
          <w:rFonts w:cs="Times New Roman"/>
          <w:lang w:val="fr-CA"/>
        </w:rPr>
        <w:t>accusé coupable</w:t>
      </w:r>
      <w:r>
        <w:rPr>
          <w:rFonts w:cs="Times New Roman"/>
          <w:lang w:val="fr-CA"/>
        </w:rPr>
        <w:t xml:space="preserve"> sur son fondement sans qu’il soit </w:t>
      </w:r>
      <w:r w:rsidRPr="0001174C">
        <w:rPr>
          <w:rFonts w:cs="Times New Roman"/>
          <w:lang w:val="fr-CA"/>
        </w:rPr>
        <w:t>corrobor</w:t>
      </w:r>
      <w:r>
        <w:rPr>
          <w:rFonts w:cs="Times New Roman"/>
          <w:lang w:val="fr-CA"/>
        </w:rPr>
        <w:t>é</w:t>
      </w:r>
      <w:r w:rsidRPr="0001174C">
        <w:rPr>
          <w:rFonts w:cs="Times New Roman"/>
          <w:lang w:val="fr-CA"/>
        </w:rPr>
        <w:t>. S</w:t>
      </w:r>
      <w:r>
        <w:rPr>
          <w:rFonts w:cs="Times New Roman"/>
          <w:lang w:val="fr-CA"/>
        </w:rPr>
        <w:t>’</w:t>
      </w:r>
      <w:r w:rsidRPr="0001174C">
        <w:rPr>
          <w:rFonts w:cs="Times New Roman"/>
          <w:lang w:val="fr-CA"/>
        </w:rPr>
        <w:t>il n</w:t>
      </w:r>
      <w:r>
        <w:rPr>
          <w:rFonts w:cs="Times New Roman"/>
          <w:lang w:val="fr-CA"/>
        </w:rPr>
        <w:t>’</w:t>
      </w:r>
      <w:r w:rsidRPr="0001174C">
        <w:rPr>
          <w:rFonts w:cs="Times New Roman"/>
          <w:lang w:val="fr-CA"/>
        </w:rPr>
        <w:t xml:space="preserve">avait pas donné cette directive, son </w:t>
      </w:r>
      <w:r>
        <w:rPr>
          <w:rFonts w:cs="Times New Roman"/>
          <w:lang w:val="fr-CA"/>
        </w:rPr>
        <w:t xml:space="preserve">omission </w:t>
      </w:r>
      <w:r w:rsidRPr="0001174C">
        <w:rPr>
          <w:rFonts w:cs="Times New Roman"/>
          <w:lang w:val="fr-CA"/>
        </w:rPr>
        <w:t xml:space="preserve">de le faire aurait </w:t>
      </w:r>
      <w:r>
        <w:rPr>
          <w:rFonts w:cs="Times New Roman"/>
          <w:lang w:val="fr-CA"/>
        </w:rPr>
        <w:t xml:space="preserve">assurément conféré </w:t>
      </w:r>
      <w:r w:rsidRPr="0001174C">
        <w:rPr>
          <w:rFonts w:cs="Times New Roman"/>
          <w:lang w:val="fr-CA"/>
        </w:rPr>
        <w:t>un moyen d</w:t>
      </w:r>
      <w:r>
        <w:rPr>
          <w:rFonts w:cs="Times New Roman"/>
          <w:lang w:val="fr-CA"/>
        </w:rPr>
        <w:t>’</w:t>
      </w:r>
      <w:r w:rsidRPr="0001174C">
        <w:rPr>
          <w:rFonts w:cs="Times New Roman"/>
          <w:lang w:val="fr-CA"/>
        </w:rPr>
        <w:t>appel</w:t>
      </w:r>
      <w:r>
        <w:rPr>
          <w:rFonts w:cs="Times New Roman"/>
          <w:lang w:val="fr-CA"/>
        </w:rPr>
        <w:t xml:space="preserve"> à l’accusé</w:t>
      </w:r>
      <w:r w:rsidRPr="0001174C">
        <w:rPr>
          <w:rFonts w:cs="Times New Roman"/>
          <w:lang w:val="fr-CA"/>
        </w:rPr>
        <w:t>.</w:t>
      </w:r>
    </w:p>
    <w:p w:rsidR="00AF2876" w:rsidRPr="0001174C" w:rsidRDefault="00AF2876" w:rsidP="00AF2876">
      <w:pPr>
        <w:pStyle w:val="ParaNoNdepar-AltN"/>
        <w:rPr>
          <w:rFonts w:cs="Times New Roman"/>
          <w:lang w:val="fr-CA"/>
        </w:rPr>
      </w:pPr>
      <w:r>
        <w:rPr>
          <w:rFonts w:cs="Times New Roman"/>
          <w:lang w:val="fr-CA"/>
        </w:rPr>
        <w:t>Par ailleurs</w:t>
      </w:r>
      <w:r w:rsidRPr="0001174C">
        <w:rPr>
          <w:rFonts w:cs="Times New Roman"/>
          <w:lang w:val="fr-CA"/>
        </w:rPr>
        <w:t xml:space="preserve">, je ne puis </w:t>
      </w:r>
      <w:r>
        <w:rPr>
          <w:rFonts w:cs="Times New Roman"/>
          <w:lang w:val="fr-CA"/>
        </w:rPr>
        <w:t xml:space="preserve">convenir </w:t>
      </w:r>
      <w:r w:rsidRPr="0001174C">
        <w:rPr>
          <w:rFonts w:cs="Times New Roman"/>
          <w:lang w:val="fr-CA"/>
        </w:rPr>
        <w:t xml:space="preserve">que le juge du procès a </w:t>
      </w:r>
      <w:r>
        <w:rPr>
          <w:rFonts w:cs="Times New Roman"/>
          <w:lang w:val="fr-CA"/>
        </w:rPr>
        <w:t>eu tort d’enjoindre</w:t>
      </w:r>
      <w:r w:rsidRPr="0001174C">
        <w:rPr>
          <w:rFonts w:cs="Times New Roman"/>
          <w:lang w:val="fr-CA"/>
        </w:rPr>
        <w:t xml:space="preserve"> aux jurés de </w:t>
      </w:r>
      <w:r>
        <w:rPr>
          <w:rFonts w:cs="Times New Roman"/>
          <w:lang w:val="fr-CA"/>
        </w:rPr>
        <w:t>re</w:t>
      </w:r>
      <w:r w:rsidRPr="0001174C">
        <w:rPr>
          <w:rFonts w:cs="Times New Roman"/>
          <w:lang w:val="fr-CA"/>
        </w:rPr>
        <w:t xml:space="preserve">chercher </w:t>
      </w:r>
      <w:r>
        <w:rPr>
          <w:rFonts w:cs="Times New Roman"/>
          <w:lang w:val="fr-CA"/>
        </w:rPr>
        <w:t xml:space="preserve">une preuve </w:t>
      </w:r>
      <w:r w:rsidRPr="0001174C">
        <w:rPr>
          <w:rFonts w:cs="Times New Roman"/>
          <w:lang w:val="fr-CA"/>
        </w:rPr>
        <w:t>de corroboration avant d</w:t>
      </w:r>
      <w:r>
        <w:rPr>
          <w:rFonts w:cs="Times New Roman"/>
          <w:lang w:val="fr-CA"/>
        </w:rPr>
        <w:t>’</w:t>
      </w:r>
      <w:r w:rsidRPr="0001174C">
        <w:rPr>
          <w:rFonts w:cs="Times New Roman"/>
          <w:lang w:val="fr-CA"/>
        </w:rPr>
        <w:t xml:space="preserve">ajouter foi au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Certes, </w:t>
      </w:r>
      <w:r>
        <w:rPr>
          <w:rFonts w:cs="Times New Roman"/>
          <w:lang w:val="fr-CA"/>
        </w:rPr>
        <w:t>il</w:t>
      </w:r>
      <w:r w:rsidRPr="0001174C">
        <w:rPr>
          <w:rFonts w:cs="Times New Roman"/>
          <w:lang w:val="fr-CA"/>
        </w:rPr>
        <w:t xml:space="preserve"> </w:t>
      </w:r>
      <w:r>
        <w:rPr>
          <w:rFonts w:cs="Times New Roman"/>
          <w:lang w:val="fr-CA"/>
        </w:rPr>
        <w:t xml:space="preserve">donne un </w:t>
      </w:r>
      <w:r w:rsidRPr="0001174C">
        <w:rPr>
          <w:rFonts w:cs="Times New Roman"/>
          <w:lang w:val="fr-CA"/>
        </w:rPr>
        <w:t>exemple d</w:t>
      </w:r>
      <w:r>
        <w:rPr>
          <w:rFonts w:cs="Times New Roman"/>
          <w:lang w:val="fr-CA"/>
        </w:rPr>
        <w:t>’</w:t>
      </w:r>
      <w:r w:rsidRPr="0001174C">
        <w:rPr>
          <w:rFonts w:cs="Times New Roman"/>
          <w:lang w:val="fr-CA"/>
        </w:rPr>
        <w:t xml:space="preserve">élément de preuve </w:t>
      </w:r>
      <w:r>
        <w:rPr>
          <w:rFonts w:cs="Times New Roman"/>
          <w:lang w:val="fr-CA"/>
        </w:rPr>
        <w:t xml:space="preserve">non </w:t>
      </w:r>
      <w:r w:rsidRPr="0001174C">
        <w:rPr>
          <w:rFonts w:cs="Times New Roman"/>
          <w:lang w:val="fr-CA"/>
        </w:rPr>
        <w:lastRenderedPageBreak/>
        <w:t xml:space="preserve">susceptible de </w:t>
      </w:r>
      <w:r>
        <w:rPr>
          <w:rFonts w:cs="Times New Roman"/>
          <w:lang w:val="fr-CA"/>
        </w:rPr>
        <w:t>corroborer c</w:t>
      </w:r>
      <w:r w:rsidRPr="0001174C">
        <w:rPr>
          <w:rFonts w:cs="Times New Roman"/>
          <w:lang w:val="fr-CA"/>
        </w:rPr>
        <w:t>e témoignage. Contrairement à ce qu</w:t>
      </w:r>
      <w:r>
        <w:rPr>
          <w:rFonts w:cs="Times New Roman"/>
          <w:lang w:val="fr-CA"/>
        </w:rPr>
        <w:t>’il</w:t>
      </w:r>
      <w:r w:rsidRPr="0001174C">
        <w:rPr>
          <w:rFonts w:cs="Times New Roman"/>
          <w:lang w:val="fr-CA"/>
        </w:rPr>
        <w:t xml:space="preserve"> </w:t>
      </w:r>
      <w:r>
        <w:rPr>
          <w:rFonts w:cs="Times New Roman"/>
          <w:lang w:val="fr-CA"/>
        </w:rPr>
        <w:t xml:space="preserve">dit </w:t>
      </w:r>
      <w:r w:rsidRPr="0001174C">
        <w:rPr>
          <w:rFonts w:cs="Times New Roman"/>
          <w:lang w:val="fr-CA"/>
        </w:rPr>
        <w:t>dans son exposé, l</w:t>
      </w:r>
      <w:r>
        <w:rPr>
          <w:rFonts w:cs="Times New Roman"/>
          <w:lang w:val="fr-CA"/>
        </w:rPr>
        <w:t>’</w:t>
      </w:r>
      <w:r w:rsidRPr="0001174C">
        <w:rPr>
          <w:rFonts w:cs="Times New Roman"/>
          <w:lang w:val="fr-CA"/>
        </w:rPr>
        <w:t>appelant n</w:t>
      </w:r>
      <w:r>
        <w:rPr>
          <w:rFonts w:cs="Times New Roman"/>
          <w:lang w:val="fr-CA"/>
        </w:rPr>
        <w:t>’</w:t>
      </w:r>
      <w:r w:rsidRPr="0001174C">
        <w:rPr>
          <w:rFonts w:cs="Times New Roman"/>
          <w:lang w:val="fr-CA"/>
        </w:rPr>
        <w:t>a pas déclaré</w:t>
      </w:r>
      <w:r>
        <w:rPr>
          <w:rFonts w:cs="Times New Roman"/>
          <w:lang w:val="fr-CA"/>
        </w:rPr>
        <w:t>,</w:t>
      </w:r>
      <w:r w:rsidRPr="0001174C">
        <w:rPr>
          <w:rFonts w:cs="Times New Roman"/>
          <w:lang w:val="fr-CA"/>
        </w:rPr>
        <w:t xml:space="preserve"> </w:t>
      </w:r>
      <w:r>
        <w:rPr>
          <w:rFonts w:cs="Times New Roman"/>
          <w:lang w:val="fr-CA"/>
        </w:rPr>
        <w:t xml:space="preserve">lors de </w:t>
      </w:r>
      <w:r w:rsidRPr="0001174C">
        <w:rPr>
          <w:rFonts w:cs="Times New Roman"/>
          <w:lang w:val="fr-CA"/>
        </w:rPr>
        <w:t>son témoignage</w:t>
      </w:r>
      <w:r>
        <w:rPr>
          <w:rFonts w:cs="Times New Roman"/>
          <w:lang w:val="fr-CA"/>
        </w:rPr>
        <w:t>,</w:t>
      </w:r>
      <w:r w:rsidRPr="0001174C">
        <w:rPr>
          <w:rFonts w:cs="Times New Roman"/>
          <w:lang w:val="fr-CA"/>
        </w:rPr>
        <w:t xml:space="preserve"> qu</w:t>
      </w:r>
      <w:r>
        <w:rPr>
          <w:rFonts w:cs="Times New Roman"/>
          <w:lang w:val="fr-CA"/>
        </w:rPr>
        <w:t>’</w:t>
      </w:r>
      <w:r w:rsidRPr="0001174C">
        <w:rPr>
          <w:rFonts w:cs="Times New Roman"/>
          <w:lang w:val="fr-CA"/>
        </w:rPr>
        <w:t xml:space="preserve">il </w:t>
      </w:r>
      <w:r>
        <w:rPr>
          <w:rFonts w:cs="Times New Roman"/>
          <w:lang w:val="fr-CA"/>
        </w:rPr>
        <w:t xml:space="preserve">savait </w:t>
      </w:r>
      <w:r w:rsidRPr="0001174C">
        <w:rPr>
          <w:rFonts w:cs="Times New Roman"/>
          <w:lang w:val="fr-CA"/>
        </w:rPr>
        <w:t xml:space="preserve">que la tête de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w:t>
      </w:r>
      <w:r>
        <w:rPr>
          <w:rFonts w:cs="Times New Roman"/>
          <w:lang w:val="fr-CA"/>
        </w:rPr>
        <w:t xml:space="preserve">était </w:t>
      </w:r>
      <w:r w:rsidRPr="0001174C">
        <w:rPr>
          <w:rFonts w:cs="Times New Roman"/>
          <w:lang w:val="fr-CA"/>
        </w:rPr>
        <w:t xml:space="preserve">mise à prix. Il a plutôt </w:t>
      </w:r>
      <w:r>
        <w:rPr>
          <w:rFonts w:cs="Times New Roman"/>
          <w:lang w:val="fr-CA"/>
        </w:rPr>
        <w:t xml:space="preserve">affirmé avoir </w:t>
      </w:r>
      <w:r w:rsidRPr="0001174C">
        <w:rPr>
          <w:rFonts w:cs="Times New Roman"/>
          <w:lang w:val="fr-CA"/>
        </w:rPr>
        <w:t xml:space="preserve">entendu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le dire</w:t>
      </w:r>
      <w:r w:rsidRPr="0001174C">
        <w:rPr>
          <w:rFonts w:cs="Times New Roman"/>
          <w:lang w:val="fr-CA"/>
        </w:rPr>
        <w:t>. Il est possible que le juge se soit simplement mal exprimé et qu</w:t>
      </w:r>
      <w:r>
        <w:rPr>
          <w:rFonts w:cs="Times New Roman"/>
          <w:lang w:val="fr-CA"/>
        </w:rPr>
        <w:t>’</w:t>
      </w:r>
      <w:r w:rsidRPr="0001174C">
        <w:rPr>
          <w:rFonts w:cs="Times New Roman"/>
          <w:lang w:val="fr-CA"/>
        </w:rPr>
        <w:t xml:space="preserve">il </w:t>
      </w:r>
      <w:r>
        <w:rPr>
          <w:rFonts w:cs="Times New Roman"/>
          <w:lang w:val="fr-CA"/>
        </w:rPr>
        <w:t xml:space="preserve">ait </w:t>
      </w:r>
      <w:r w:rsidRPr="0001174C">
        <w:rPr>
          <w:rFonts w:cs="Times New Roman"/>
          <w:lang w:val="fr-CA"/>
        </w:rPr>
        <w:t>voul</w:t>
      </w:r>
      <w:r>
        <w:rPr>
          <w:rFonts w:cs="Times New Roman"/>
          <w:lang w:val="fr-CA"/>
        </w:rPr>
        <w:t>u</w:t>
      </w:r>
      <w:r w:rsidRPr="0001174C">
        <w:rPr>
          <w:rFonts w:cs="Times New Roman"/>
          <w:lang w:val="fr-CA"/>
        </w:rPr>
        <w:t xml:space="preserve"> faire allusion au fait que</w:t>
      </w:r>
      <w:r>
        <w:rPr>
          <w:rFonts w:cs="Times New Roman"/>
          <w:lang w:val="fr-CA"/>
        </w:rPr>
        <w:t>,</w:t>
      </w:r>
      <w:r w:rsidRPr="0001174C">
        <w:rPr>
          <w:rFonts w:cs="Times New Roman"/>
          <w:lang w:val="fr-CA"/>
        </w:rPr>
        <w:t xml:space="preserve"> dans leur</w:t>
      </w:r>
      <w:r>
        <w:rPr>
          <w:rFonts w:cs="Times New Roman"/>
          <w:lang w:val="fr-CA"/>
        </w:rPr>
        <w:t>s</w:t>
      </w:r>
      <w:r w:rsidRPr="0001174C">
        <w:rPr>
          <w:rFonts w:cs="Times New Roman"/>
          <w:lang w:val="fr-CA"/>
        </w:rPr>
        <w:t xml:space="preserve"> témoignage</w:t>
      </w:r>
      <w:r>
        <w:rPr>
          <w:rFonts w:cs="Times New Roman"/>
          <w:lang w:val="fr-CA"/>
        </w:rPr>
        <w:t>s,</w:t>
      </w:r>
      <w:r w:rsidRPr="0001174C">
        <w:rPr>
          <w:rFonts w:cs="Times New Roman"/>
          <w:lang w:val="fr-CA"/>
        </w:rPr>
        <w:t xml:space="preserv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et l</w:t>
      </w:r>
      <w:r>
        <w:rPr>
          <w:rFonts w:cs="Times New Roman"/>
          <w:lang w:val="fr-CA"/>
        </w:rPr>
        <w:t>’</w:t>
      </w:r>
      <w:r w:rsidRPr="0001174C">
        <w:rPr>
          <w:rFonts w:cs="Times New Roman"/>
          <w:lang w:val="fr-CA"/>
        </w:rPr>
        <w:t xml:space="preserve">appelant avaient tous deux </w:t>
      </w:r>
      <w:r>
        <w:rPr>
          <w:rFonts w:cs="Times New Roman"/>
          <w:lang w:val="fr-CA"/>
        </w:rPr>
        <w:t xml:space="preserve">dit savoir </w:t>
      </w:r>
      <w:r w:rsidRPr="0001174C">
        <w:rPr>
          <w:rFonts w:cs="Times New Roman"/>
          <w:lang w:val="fr-CA"/>
        </w:rPr>
        <w:t xml:space="preserve">que la victime </w:t>
      </w:r>
      <w:r>
        <w:rPr>
          <w:rFonts w:cs="Times New Roman"/>
          <w:lang w:val="fr-CA"/>
        </w:rPr>
        <w:t xml:space="preserve">se livrait au </w:t>
      </w:r>
      <w:r w:rsidRPr="0001174C">
        <w:rPr>
          <w:rFonts w:cs="Times New Roman"/>
          <w:lang w:val="fr-CA"/>
        </w:rPr>
        <w:t xml:space="preserve">trafic de </w:t>
      </w:r>
      <w:r>
        <w:rPr>
          <w:rFonts w:cs="Times New Roman"/>
          <w:lang w:val="fr-CA"/>
        </w:rPr>
        <w:t xml:space="preserve">la </w:t>
      </w:r>
      <w:r w:rsidRPr="0001174C">
        <w:rPr>
          <w:rFonts w:cs="Times New Roman"/>
          <w:lang w:val="fr-CA"/>
        </w:rPr>
        <w:t>drogue en Colombie</w:t>
      </w:r>
      <w:r w:rsidR="00203E16">
        <w:rPr>
          <w:rFonts w:cs="Times New Roman"/>
          <w:lang w:val="fr-CA"/>
        </w:rPr>
        <w:t>-</w:t>
      </w:r>
      <w:r>
        <w:rPr>
          <w:rFonts w:cs="Times New Roman"/>
          <w:lang w:val="fr-CA"/>
        </w:rPr>
        <w:t>Britannique. Mais p</w:t>
      </w:r>
      <w:r w:rsidRPr="0001174C">
        <w:rPr>
          <w:rFonts w:cs="Times New Roman"/>
          <w:lang w:val="fr-CA"/>
        </w:rPr>
        <w:t>eu importe</w:t>
      </w:r>
      <w:r>
        <w:rPr>
          <w:rFonts w:cs="Times New Roman"/>
          <w:lang w:val="fr-CA"/>
        </w:rPr>
        <w:t>,</w:t>
      </w:r>
      <w:r w:rsidRPr="0001174C">
        <w:rPr>
          <w:rFonts w:cs="Times New Roman"/>
          <w:lang w:val="fr-CA"/>
        </w:rPr>
        <w:t xml:space="preserve"> le message </w:t>
      </w:r>
      <w:r>
        <w:rPr>
          <w:rFonts w:cs="Times New Roman"/>
          <w:lang w:val="fr-CA"/>
        </w:rPr>
        <w:t xml:space="preserve">finalement </w:t>
      </w:r>
      <w:r w:rsidRPr="0001174C">
        <w:rPr>
          <w:rFonts w:cs="Times New Roman"/>
          <w:lang w:val="fr-CA"/>
        </w:rPr>
        <w:t xml:space="preserve">transmis au jury </w:t>
      </w:r>
      <w:r>
        <w:rPr>
          <w:rFonts w:cs="Times New Roman"/>
          <w:lang w:val="fr-CA"/>
        </w:rPr>
        <w:t xml:space="preserve">est </w:t>
      </w:r>
      <w:r w:rsidRPr="0001174C">
        <w:rPr>
          <w:rFonts w:cs="Times New Roman"/>
          <w:lang w:val="fr-CA"/>
        </w:rPr>
        <w:t>clair</w:t>
      </w:r>
      <w:r w:rsidR="00203E16">
        <w:rPr>
          <w:rFonts w:cs="Times New Roman"/>
          <w:lang w:val="fr-CA"/>
        </w:rPr>
        <w:t xml:space="preserve"> </w:t>
      </w:r>
      <w:r>
        <w:rPr>
          <w:rFonts w:cs="Times New Roman"/>
          <w:lang w:val="fr-CA"/>
        </w:rPr>
        <w:t>:</w:t>
      </w:r>
      <w:r w:rsidRPr="0001174C">
        <w:rPr>
          <w:rFonts w:cs="Times New Roman"/>
          <w:lang w:val="fr-CA"/>
        </w:rPr>
        <w:t xml:space="preserve"> il </w:t>
      </w:r>
      <w:r>
        <w:rPr>
          <w:rFonts w:cs="Times New Roman"/>
          <w:lang w:val="fr-CA"/>
        </w:rPr>
        <w:t xml:space="preserve">est risqué </w:t>
      </w:r>
      <w:r w:rsidRPr="0001174C">
        <w:rPr>
          <w:rFonts w:cs="Times New Roman"/>
          <w:lang w:val="fr-CA"/>
        </w:rPr>
        <w:t xml:space="preserve">de se fonder sur 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sans </w:t>
      </w:r>
      <w:r>
        <w:rPr>
          <w:rFonts w:cs="Times New Roman"/>
          <w:lang w:val="fr-CA"/>
        </w:rPr>
        <w:t>corroboration de celui</w:t>
      </w:r>
      <w:r w:rsidR="00203E16">
        <w:rPr>
          <w:rFonts w:cs="Times New Roman"/>
          <w:lang w:val="fr-CA"/>
        </w:rPr>
        <w:t>-</w:t>
      </w:r>
      <w:r>
        <w:rPr>
          <w:rFonts w:cs="Times New Roman"/>
          <w:lang w:val="fr-CA"/>
        </w:rPr>
        <w:t>ci</w:t>
      </w:r>
      <w:r w:rsidRPr="0001174C">
        <w:rPr>
          <w:rFonts w:cs="Times New Roman"/>
          <w:lang w:val="fr-CA"/>
        </w:rPr>
        <w:t>. Fait important, le juge expliqu</w:t>
      </w:r>
      <w:r>
        <w:rPr>
          <w:rFonts w:cs="Times New Roman"/>
          <w:lang w:val="fr-CA"/>
        </w:rPr>
        <w:t>e</w:t>
      </w:r>
      <w:r w:rsidRPr="0001174C">
        <w:rPr>
          <w:rFonts w:cs="Times New Roman"/>
          <w:lang w:val="fr-CA"/>
        </w:rPr>
        <w:t xml:space="preserve"> aux jurés qu</w:t>
      </w:r>
      <w:r>
        <w:rPr>
          <w:rFonts w:cs="Times New Roman"/>
          <w:lang w:val="fr-CA"/>
        </w:rPr>
        <w:t>’</w:t>
      </w:r>
      <w:r w:rsidRPr="0001174C">
        <w:rPr>
          <w:rFonts w:cs="Times New Roman"/>
          <w:lang w:val="fr-CA"/>
        </w:rPr>
        <w:t>il leur apparti</w:t>
      </w:r>
      <w:r>
        <w:rPr>
          <w:rFonts w:cs="Times New Roman"/>
          <w:lang w:val="fr-CA"/>
        </w:rPr>
        <w:t>en</w:t>
      </w:r>
      <w:r w:rsidRPr="0001174C">
        <w:rPr>
          <w:rFonts w:cs="Times New Roman"/>
          <w:lang w:val="fr-CA"/>
        </w:rPr>
        <w:t xml:space="preserve">t de décider </w:t>
      </w:r>
      <w:r>
        <w:rPr>
          <w:rFonts w:cs="Times New Roman"/>
          <w:lang w:val="fr-CA"/>
        </w:rPr>
        <w:t xml:space="preserve">si quelque </w:t>
      </w:r>
      <w:r w:rsidRPr="0001174C">
        <w:rPr>
          <w:rFonts w:cs="Times New Roman"/>
          <w:lang w:val="fr-CA"/>
        </w:rPr>
        <w:t xml:space="preserve">élément de preuve </w:t>
      </w:r>
      <w:r>
        <w:rPr>
          <w:rFonts w:cs="Times New Roman"/>
          <w:lang w:val="fr-CA"/>
        </w:rPr>
        <w:t xml:space="preserve">est </w:t>
      </w:r>
      <w:r w:rsidRPr="0001174C">
        <w:rPr>
          <w:rFonts w:cs="Times New Roman"/>
          <w:lang w:val="fr-CA"/>
        </w:rPr>
        <w:t xml:space="preserve">susceptible de </w:t>
      </w:r>
      <w:r>
        <w:rPr>
          <w:rFonts w:cs="Times New Roman"/>
          <w:lang w:val="fr-CA"/>
        </w:rPr>
        <w:t xml:space="preserve">corroborer </w:t>
      </w:r>
      <w:r w:rsidRPr="0001174C">
        <w:rPr>
          <w:rFonts w:cs="Times New Roman"/>
          <w:lang w:val="fr-CA"/>
        </w:rPr>
        <w:t xml:space="preserve">le 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Les jurés </w:t>
      </w:r>
      <w:r>
        <w:rPr>
          <w:rFonts w:cs="Times New Roman"/>
          <w:lang w:val="fr-CA"/>
        </w:rPr>
        <w:t xml:space="preserve">auront </w:t>
      </w:r>
      <w:r w:rsidRPr="0001174C">
        <w:rPr>
          <w:rFonts w:cs="Times New Roman"/>
          <w:lang w:val="fr-CA"/>
        </w:rPr>
        <w:t>bien compris que, pour acquitter l</w:t>
      </w:r>
      <w:r>
        <w:rPr>
          <w:rFonts w:cs="Times New Roman"/>
          <w:lang w:val="fr-CA"/>
        </w:rPr>
        <w:t>’</w:t>
      </w:r>
      <w:r w:rsidRPr="0001174C">
        <w:rPr>
          <w:rFonts w:cs="Times New Roman"/>
          <w:lang w:val="fr-CA"/>
        </w:rPr>
        <w:t>appelant, il</w:t>
      </w:r>
      <w:r>
        <w:rPr>
          <w:rFonts w:cs="Times New Roman"/>
          <w:lang w:val="fr-CA"/>
        </w:rPr>
        <w:t>s</w:t>
      </w:r>
      <w:r w:rsidRPr="0001174C">
        <w:rPr>
          <w:rFonts w:cs="Times New Roman"/>
          <w:lang w:val="fr-CA"/>
        </w:rPr>
        <w:t xml:space="preserve"> </w:t>
      </w:r>
      <w:r>
        <w:rPr>
          <w:rFonts w:cs="Times New Roman"/>
          <w:lang w:val="fr-CA"/>
        </w:rPr>
        <w:t xml:space="preserve">n’avaient </w:t>
      </w:r>
      <w:r w:rsidRPr="0001174C">
        <w:rPr>
          <w:rFonts w:cs="Times New Roman"/>
          <w:lang w:val="fr-CA"/>
        </w:rPr>
        <w:t xml:space="preserve">pas </w:t>
      </w:r>
      <w:r>
        <w:rPr>
          <w:rFonts w:cs="Times New Roman"/>
          <w:lang w:val="fr-CA"/>
        </w:rPr>
        <w:t xml:space="preserve">à </w:t>
      </w:r>
      <w:r w:rsidRPr="0001174C">
        <w:rPr>
          <w:rFonts w:cs="Times New Roman"/>
          <w:lang w:val="fr-CA"/>
        </w:rPr>
        <w:t xml:space="preserve">croire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était l</w:t>
      </w:r>
      <w:r>
        <w:rPr>
          <w:rFonts w:cs="Times New Roman"/>
          <w:lang w:val="fr-CA"/>
        </w:rPr>
        <w:t>’</w:t>
      </w:r>
      <w:r w:rsidRPr="0001174C">
        <w:rPr>
          <w:rFonts w:cs="Times New Roman"/>
          <w:lang w:val="fr-CA"/>
        </w:rPr>
        <w:t xml:space="preserve">assassin; il </w:t>
      </w:r>
      <w:r>
        <w:rPr>
          <w:rFonts w:cs="Times New Roman"/>
          <w:lang w:val="fr-CA"/>
        </w:rPr>
        <w:t xml:space="preserve">leur </w:t>
      </w:r>
      <w:r w:rsidRPr="0001174C">
        <w:rPr>
          <w:rFonts w:cs="Times New Roman"/>
          <w:lang w:val="fr-CA"/>
        </w:rPr>
        <w:t xml:space="preserve">fallait plutôt </w:t>
      </w:r>
      <w:r>
        <w:rPr>
          <w:rFonts w:cs="Times New Roman"/>
          <w:lang w:val="fr-CA"/>
        </w:rPr>
        <w:t xml:space="preserve">être </w:t>
      </w:r>
      <w:r w:rsidRPr="0001174C">
        <w:rPr>
          <w:rFonts w:cs="Times New Roman"/>
          <w:lang w:val="fr-CA"/>
        </w:rPr>
        <w:t>convaincus hors de tout doute raisonnable que l</w:t>
      </w:r>
      <w:r>
        <w:rPr>
          <w:rFonts w:cs="Times New Roman"/>
          <w:lang w:val="fr-CA"/>
        </w:rPr>
        <w:t>’</w:t>
      </w:r>
      <w:r w:rsidRPr="0001174C">
        <w:rPr>
          <w:rFonts w:cs="Times New Roman"/>
          <w:lang w:val="fr-CA"/>
        </w:rPr>
        <w:t>appelant était l</w:t>
      </w:r>
      <w:r>
        <w:rPr>
          <w:rFonts w:cs="Times New Roman"/>
          <w:lang w:val="fr-CA"/>
        </w:rPr>
        <w:t>’</w:t>
      </w:r>
      <w:r w:rsidRPr="0001174C">
        <w:rPr>
          <w:rFonts w:cs="Times New Roman"/>
          <w:lang w:val="fr-CA"/>
        </w:rPr>
        <w:t>assassin et, s</w:t>
      </w:r>
      <w:r>
        <w:rPr>
          <w:rFonts w:cs="Times New Roman"/>
          <w:lang w:val="fr-CA"/>
        </w:rPr>
        <w:t>’</w:t>
      </w:r>
      <w:r w:rsidRPr="0001174C">
        <w:rPr>
          <w:rFonts w:cs="Times New Roman"/>
          <w:lang w:val="fr-CA"/>
        </w:rPr>
        <w:t>ils avaient un doute raisonnable, ils devaient l</w:t>
      </w:r>
      <w:r>
        <w:rPr>
          <w:rFonts w:cs="Times New Roman"/>
          <w:lang w:val="fr-CA"/>
        </w:rPr>
        <w:t>’</w:t>
      </w:r>
      <w:r w:rsidRPr="0001174C">
        <w:rPr>
          <w:rFonts w:cs="Times New Roman"/>
          <w:lang w:val="fr-CA"/>
        </w:rPr>
        <w:t>acquitter.</w:t>
      </w:r>
    </w:p>
    <w:p w:rsidR="00AF2876" w:rsidRPr="0001174C" w:rsidRDefault="00AF2876" w:rsidP="00AF2876">
      <w:pPr>
        <w:pStyle w:val="ParaNoNdepar-AltN"/>
        <w:rPr>
          <w:rFonts w:cs="Times New Roman"/>
          <w:lang w:val="fr-CA"/>
        </w:rPr>
      </w:pPr>
      <w:r>
        <w:rPr>
          <w:rFonts w:cs="Times New Roman"/>
          <w:lang w:val="fr-CA"/>
        </w:rPr>
        <w:t>A</w:t>
      </w:r>
      <w:r w:rsidRPr="0001174C">
        <w:rPr>
          <w:rFonts w:cs="Times New Roman"/>
          <w:lang w:val="fr-CA"/>
        </w:rPr>
        <w:t xml:space="preserve">bstraction </w:t>
      </w:r>
      <w:r>
        <w:rPr>
          <w:rFonts w:cs="Times New Roman"/>
          <w:lang w:val="fr-CA"/>
        </w:rPr>
        <w:t xml:space="preserve">faite </w:t>
      </w:r>
      <w:r w:rsidRPr="0001174C">
        <w:rPr>
          <w:rFonts w:cs="Times New Roman"/>
          <w:lang w:val="fr-CA"/>
        </w:rPr>
        <w:t xml:space="preserve">des </w:t>
      </w:r>
      <w:r>
        <w:rPr>
          <w:rFonts w:cs="Times New Roman"/>
          <w:lang w:val="fr-CA"/>
        </w:rPr>
        <w:t xml:space="preserve">doutes </w:t>
      </w:r>
      <w:r w:rsidRPr="0001174C">
        <w:rPr>
          <w:rFonts w:cs="Times New Roman"/>
          <w:lang w:val="fr-CA"/>
        </w:rPr>
        <w:t xml:space="preserve">précis </w:t>
      </w:r>
      <w:r>
        <w:rPr>
          <w:rFonts w:cs="Times New Roman"/>
          <w:lang w:val="fr-CA"/>
        </w:rPr>
        <w:t xml:space="preserve">exprimés </w:t>
      </w:r>
      <w:r w:rsidRPr="0001174C">
        <w:rPr>
          <w:rFonts w:cs="Times New Roman"/>
          <w:lang w:val="fr-CA"/>
        </w:rPr>
        <w:t>par l</w:t>
      </w:r>
      <w:r>
        <w:rPr>
          <w:rFonts w:cs="Times New Roman"/>
          <w:lang w:val="fr-CA"/>
        </w:rPr>
        <w:t>’</w:t>
      </w:r>
      <w:r w:rsidRPr="0001174C">
        <w:rPr>
          <w:rFonts w:cs="Times New Roman"/>
          <w:lang w:val="fr-CA"/>
        </w:rPr>
        <w:t xml:space="preserve">appelant, on peut également </w:t>
      </w:r>
      <w:r>
        <w:rPr>
          <w:rFonts w:cs="Times New Roman"/>
          <w:lang w:val="fr-CA"/>
        </w:rPr>
        <w:t xml:space="preserve">statuer sur </w:t>
      </w:r>
      <w:r w:rsidRPr="0001174C">
        <w:rPr>
          <w:rFonts w:cs="Times New Roman"/>
          <w:lang w:val="fr-CA"/>
        </w:rPr>
        <w:t>ce moyen d</w:t>
      </w:r>
      <w:r>
        <w:rPr>
          <w:rFonts w:cs="Times New Roman"/>
          <w:lang w:val="fr-CA"/>
        </w:rPr>
        <w:t>’</w:t>
      </w:r>
      <w:r w:rsidRPr="0001174C">
        <w:rPr>
          <w:rFonts w:cs="Times New Roman"/>
          <w:lang w:val="fr-CA"/>
        </w:rPr>
        <w:t xml:space="preserve">appel en </w:t>
      </w:r>
      <w:r>
        <w:rPr>
          <w:rFonts w:cs="Times New Roman"/>
          <w:lang w:val="fr-CA"/>
        </w:rPr>
        <w:t xml:space="preserve">recourant </w:t>
      </w:r>
      <w:r w:rsidRPr="0001174C">
        <w:rPr>
          <w:rFonts w:cs="Times New Roman"/>
          <w:lang w:val="fr-CA"/>
        </w:rPr>
        <w:t>au simple bon sens. L</w:t>
      </w:r>
      <w:r>
        <w:rPr>
          <w:rFonts w:cs="Times New Roman"/>
          <w:lang w:val="fr-CA"/>
        </w:rPr>
        <w:t>e risque</w:t>
      </w:r>
      <w:r w:rsidRPr="0001174C">
        <w:rPr>
          <w:rFonts w:cs="Times New Roman"/>
          <w:lang w:val="fr-CA"/>
        </w:rPr>
        <w:t xml:space="preserve"> </w:t>
      </w:r>
      <w:r>
        <w:rPr>
          <w:rFonts w:cs="Times New Roman"/>
          <w:lang w:val="fr-CA"/>
        </w:rPr>
        <w:t xml:space="preserve">d’ajouter foi au </w:t>
      </w:r>
      <w:r w:rsidRPr="0001174C">
        <w:rPr>
          <w:rFonts w:cs="Times New Roman"/>
          <w:lang w:val="fr-CA"/>
        </w:rPr>
        <w:t xml:space="preserve">témoignage de </w:t>
      </w:r>
      <w:r>
        <w:rPr>
          <w:rFonts w:cs="Times New Roman"/>
          <w:lang w:val="fr-CA"/>
        </w:rPr>
        <w:t>M.</w:t>
      </w:r>
      <w:r w:rsidR="00203E16">
        <w:rPr>
          <w:rFonts w:cs="Times New Roman"/>
          <w:lang w:val="fr-CA"/>
        </w:rPr>
        <w:t xml:space="preserve"> </w:t>
      </w:r>
      <w:r>
        <w:rPr>
          <w:rFonts w:cs="Times New Roman"/>
          <w:lang w:val="fr-CA"/>
        </w:rPr>
        <w:t>Argueta était clair et évident</w:t>
      </w:r>
      <w:r w:rsidRPr="0001174C">
        <w:rPr>
          <w:rFonts w:cs="Times New Roman"/>
          <w:lang w:val="fr-CA"/>
        </w:rPr>
        <w:t xml:space="preserve">. </w:t>
      </w:r>
      <w:r>
        <w:rPr>
          <w:rFonts w:cs="Times New Roman"/>
          <w:lang w:val="fr-CA"/>
        </w:rPr>
        <w:t xml:space="preserve">Selon </w:t>
      </w:r>
      <w:r w:rsidRPr="0001174C">
        <w:rPr>
          <w:rFonts w:cs="Times New Roman"/>
          <w:lang w:val="fr-CA"/>
        </w:rPr>
        <w:t>la défense</w:t>
      </w:r>
      <w:r>
        <w:rPr>
          <w:rFonts w:cs="Times New Roman"/>
          <w:lang w:val="fr-CA"/>
        </w:rPr>
        <w:t>,</w:t>
      </w:r>
      <w:r w:rsidRPr="0001174C">
        <w:rPr>
          <w:rFonts w:cs="Times New Roman"/>
          <w:lang w:val="fr-CA"/>
        </w:rPr>
        <w:t xml:space="preserv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était </w:t>
      </w:r>
      <w:r w:rsidRPr="0001174C">
        <w:rPr>
          <w:rFonts w:cs="Times New Roman"/>
          <w:lang w:val="fr-CA"/>
        </w:rPr>
        <w:t>l</w:t>
      </w:r>
      <w:r>
        <w:rPr>
          <w:rFonts w:cs="Times New Roman"/>
          <w:lang w:val="fr-CA"/>
        </w:rPr>
        <w:t>’</w:t>
      </w:r>
      <w:r w:rsidRPr="0001174C">
        <w:rPr>
          <w:rFonts w:cs="Times New Roman"/>
          <w:lang w:val="fr-CA"/>
        </w:rPr>
        <w:t>assassin et mentait pour incriminer l</w:t>
      </w:r>
      <w:r>
        <w:rPr>
          <w:rFonts w:cs="Times New Roman"/>
          <w:lang w:val="fr-CA"/>
        </w:rPr>
        <w:t>’</w:t>
      </w:r>
      <w:r w:rsidRPr="0001174C">
        <w:rPr>
          <w:rFonts w:cs="Times New Roman"/>
          <w:lang w:val="fr-CA"/>
        </w:rPr>
        <w:t xml:space="preserve">appelant. </w:t>
      </w:r>
      <w:r>
        <w:rPr>
          <w:rFonts w:cs="Times New Roman"/>
          <w:lang w:val="fr-CA"/>
        </w:rPr>
        <w:t>L</w:t>
      </w:r>
      <w:r w:rsidRPr="0001174C">
        <w:rPr>
          <w:rFonts w:cs="Times New Roman"/>
          <w:lang w:val="fr-CA"/>
        </w:rPr>
        <w:t xml:space="preserve">a preuve </w:t>
      </w:r>
      <w:r>
        <w:rPr>
          <w:rFonts w:cs="Times New Roman"/>
          <w:lang w:val="fr-CA"/>
        </w:rPr>
        <w:t>établissait qu’</w:t>
      </w:r>
      <w:r w:rsidRPr="0001174C">
        <w:rPr>
          <w:rFonts w:cs="Times New Roman"/>
          <w:lang w:val="fr-CA"/>
        </w:rPr>
        <w:t xml:space="preserve">il avait un mobile </w:t>
      </w:r>
      <w:r>
        <w:rPr>
          <w:rFonts w:cs="Times New Roman"/>
          <w:lang w:val="fr-CA"/>
        </w:rPr>
        <w:t xml:space="preserve">pour </w:t>
      </w:r>
      <w:r w:rsidRPr="0001174C">
        <w:rPr>
          <w:rFonts w:cs="Times New Roman"/>
          <w:lang w:val="fr-CA"/>
        </w:rPr>
        <w:t xml:space="preserve">tuer </w:t>
      </w:r>
      <w:r>
        <w:rPr>
          <w:rFonts w:cs="Times New Roman"/>
          <w:lang w:val="fr-CA"/>
        </w:rPr>
        <w:t>M.</w:t>
      </w:r>
      <w:r w:rsidR="00203E16">
        <w:rPr>
          <w:rFonts w:cs="Times New Roman"/>
          <w:lang w:val="fr-CA"/>
        </w:rPr>
        <w:t xml:space="preserve"> </w:t>
      </w:r>
      <w:r>
        <w:rPr>
          <w:rFonts w:cs="Times New Roman"/>
          <w:lang w:val="fr-CA"/>
        </w:rPr>
        <w:t>Levoir</w:t>
      </w:r>
      <w:r w:rsidRPr="0001174C">
        <w:rPr>
          <w:rFonts w:cs="Times New Roman"/>
          <w:lang w:val="fr-CA"/>
        </w:rPr>
        <w:t xml:space="preserve">. Et même en considérant son témoignage sous </w:t>
      </w:r>
      <w:r>
        <w:rPr>
          <w:rFonts w:cs="Times New Roman"/>
          <w:lang w:val="fr-CA"/>
        </w:rPr>
        <w:t xml:space="preserve">le </w:t>
      </w:r>
      <w:r w:rsidRPr="0001174C">
        <w:rPr>
          <w:rFonts w:cs="Times New Roman"/>
          <w:lang w:val="fr-CA"/>
        </w:rPr>
        <w:t>jour le plus favorable, il demeur</w:t>
      </w:r>
      <w:r>
        <w:rPr>
          <w:rFonts w:cs="Times New Roman"/>
          <w:lang w:val="fr-CA"/>
        </w:rPr>
        <w:t>ait</w:t>
      </w:r>
      <w:r w:rsidRPr="0001174C">
        <w:rPr>
          <w:rFonts w:cs="Times New Roman"/>
          <w:lang w:val="fr-CA"/>
        </w:rPr>
        <w:t xml:space="preserve">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s</w:t>
      </w:r>
      <w:r>
        <w:rPr>
          <w:rFonts w:cs="Times New Roman"/>
          <w:lang w:val="fr-CA"/>
        </w:rPr>
        <w:t xml:space="preserve">’était </w:t>
      </w:r>
      <w:r w:rsidRPr="0001174C">
        <w:rPr>
          <w:rFonts w:cs="Times New Roman"/>
          <w:lang w:val="fr-CA"/>
        </w:rPr>
        <w:t>parjuré.</w:t>
      </w:r>
    </w:p>
    <w:p w:rsidR="00AF2876" w:rsidRPr="0001174C" w:rsidRDefault="00AF2876" w:rsidP="00AF2876">
      <w:pPr>
        <w:pStyle w:val="ParaNoNdepar-AltN"/>
        <w:rPr>
          <w:rFonts w:cs="Times New Roman"/>
          <w:lang w:val="fr-CA"/>
        </w:rPr>
      </w:pPr>
      <w:r w:rsidRPr="0001174C">
        <w:rPr>
          <w:rFonts w:cs="Times New Roman"/>
          <w:lang w:val="fr-CA"/>
        </w:rPr>
        <w:t>En fin de compte, il s</w:t>
      </w:r>
      <w:r>
        <w:rPr>
          <w:rFonts w:cs="Times New Roman"/>
          <w:lang w:val="fr-CA"/>
        </w:rPr>
        <w:t>’</w:t>
      </w:r>
      <w:r w:rsidRPr="0001174C">
        <w:rPr>
          <w:rFonts w:cs="Times New Roman"/>
          <w:lang w:val="fr-CA"/>
        </w:rPr>
        <w:t xml:space="preserve">agit de </w:t>
      </w:r>
      <w:r>
        <w:rPr>
          <w:rFonts w:cs="Times New Roman"/>
          <w:lang w:val="fr-CA"/>
        </w:rPr>
        <w:t>considérations</w:t>
      </w:r>
      <w:r w:rsidRPr="0001174C">
        <w:rPr>
          <w:rFonts w:cs="Times New Roman"/>
          <w:lang w:val="fr-CA"/>
        </w:rPr>
        <w:t xml:space="preserve"> que le juge du procès avait l</w:t>
      </w:r>
      <w:r>
        <w:rPr>
          <w:rFonts w:cs="Times New Roman"/>
          <w:lang w:val="fr-CA"/>
        </w:rPr>
        <w:t>’</w:t>
      </w:r>
      <w:r w:rsidRPr="0001174C">
        <w:rPr>
          <w:rFonts w:cs="Times New Roman"/>
          <w:lang w:val="fr-CA"/>
        </w:rPr>
        <w:t>obligation de signaler aux jurés dans ses directives. À mon sens, c</w:t>
      </w:r>
      <w:r>
        <w:rPr>
          <w:rFonts w:cs="Times New Roman"/>
          <w:lang w:val="fr-CA"/>
        </w:rPr>
        <w:t>’</w:t>
      </w:r>
      <w:r w:rsidRPr="0001174C">
        <w:rPr>
          <w:rFonts w:cs="Times New Roman"/>
          <w:lang w:val="fr-CA"/>
        </w:rPr>
        <w:t xml:space="preserve">est précisément </w:t>
      </w:r>
      <w:r w:rsidRPr="0001174C">
        <w:rPr>
          <w:rFonts w:cs="Times New Roman"/>
          <w:lang w:val="fr-CA"/>
        </w:rPr>
        <w:lastRenderedPageBreak/>
        <w:t>ce qu</w:t>
      </w:r>
      <w:r>
        <w:rPr>
          <w:rFonts w:cs="Times New Roman"/>
          <w:lang w:val="fr-CA"/>
        </w:rPr>
        <w:t>’</w:t>
      </w:r>
      <w:r w:rsidRPr="0001174C">
        <w:rPr>
          <w:rFonts w:cs="Times New Roman"/>
          <w:lang w:val="fr-CA"/>
        </w:rPr>
        <w:t xml:space="preserve">il a fait. Il </w:t>
      </w:r>
      <w:r>
        <w:rPr>
          <w:rFonts w:cs="Times New Roman"/>
          <w:lang w:val="fr-CA"/>
        </w:rPr>
        <w:t xml:space="preserve">leur a </w:t>
      </w:r>
      <w:r w:rsidRPr="0001174C">
        <w:rPr>
          <w:rFonts w:cs="Times New Roman"/>
          <w:lang w:val="fr-CA"/>
        </w:rPr>
        <w:t xml:space="preserve">rappelé la thèse de la défense </w:t>
      </w:r>
      <w:r>
        <w:rPr>
          <w:rFonts w:cs="Times New Roman"/>
          <w:lang w:val="fr-CA"/>
        </w:rPr>
        <w:t>voulant que 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 xml:space="preserve">soit </w:t>
      </w:r>
      <w:r w:rsidRPr="0001174C">
        <w:rPr>
          <w:rFonts w:cs="Times New Roman"/>
          <w:lang w:val="fr-CA"/>
        </w:rPr>
        <w:t>l</w:t>
      </w:r>
      <w:r>
        <w:rPr>
          <w:rFonts w:cs="Times New Roman"/>
          <w:lang w:val="fr-CA"/>
        </w:rPr>
        <w:t>’</w:t>
      </w:r>
      <w:r w:rsidRPr="0001174C">
        <w:rPr>
          <w:rFonts w:cs="Times New Roman"/>
          <w:lang w:val="fr-CA"/>
        </w:rPr>
        <w:t>assassin. Il leur a dit que c</w:t>
      </w:r>
      <w:r>
        <w:rPr>
          <w:rFonts w:cs="Times New Roman"/>
          <w:lang w:val="fr-CA"/>
        </w:rPr>
        <w:t>’</w:t>
      </w:r>
      <w:r w:rsidRPr="0001174C">
        <w:rPr>
          <w:rFonts w:cs="Times New Roman"/>
          <w:lang w:val="fr-CA"/>
        </w:rPr>
        <w:t>était peut</w:t>
      </w:r>
      <w:r w:rsidR="00203E16">
        <w:rPr>
          <w:rFonts w:cs="Times New Roman"/>
          <w:lang w:val="fr-CA"/>
        </w:rPr>
        <w:t>-</w:t>
      </w:r>
      <w:r w:rsidRPr="0001174C">
        <w:rPr>
          <w:rFonts w:cs="Times New Roman"/>
          <w:lang w:val="fr-CA"/>
        </w:rPr>
        <w:t xml:space="preserve">être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qui avait </w:t>
      </w:r>
      <w:r>
        <w:rPr>
          <w:rFonts w:cs="Times New Roman"/>
          <w:lang w:val="fr-CA"/>
        </w:rPr>
        <w:t xml:space="preserve">informé </w:t>
      </w:r>
      <w:r w:rsidRPr="0001174C">
        <w:rPr>
          <w:rFonts w:cs="Times New Roman"/>
          <w:lang w:val="fr-CA"/>
        </w:rPr>
        <w:t>l</w:t>
      </w:r>
      <w:r>
        <w:rPr>
          <w:rFonts w:cs="Times New Roman"/>
          <w:lang w:val="fr-CA"/>
        </w:rPr>
        <w:t>’</w:t>
      </w:r>
      <w:r w:rsidRPr="0001174C">
        <w:rPr>
          <w:rFonts w:cs="Times New Roman"/>
          <w:lang w:val="fr-CA"/>
        </w:rPr>
        <w:t xml:space="preserve">appelant du meurtre. Il a </w:t>
      </w:r>
      <w:r>
        <w:rPr>
          <w:rFonts w:cs="Times New Roman"/>
          <w:lang w:val="fr-CA"/>
        </w:rPr>
        <w:t>indiqu</w:t>
      </w:r>
      <w:r w:rsidRPr="0001174C">
        <w:rPr>
          <w:rFonts w:cs="Times New Roman"/>
          <w:lang w:val="fr-CA"/>
        </w:rPr>
        <w:t xml:space="preserve">é que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avait </w:t>
      </w:r>
      <w:r>
        <w:rPr>
          <w:rFonts w:cs="Times New Roman"/>
          <w:lang w:val="fr-CA"/>
        </w:rPr>
        <w:t xml:space="preserve">manifestement </w:t>
      </w:r>
      <w:r w:rsidRPr="0001174C">
        <w:rPr>
          <w:rFonts w:cs="Times New Roman"/>
          <w:lang w:val="fr-CA"/>
        </w:rPr>
        <w:t>menti aux policiers et que le peu d</w:t>
      </w:r>
      <w:r>
        <w:rPr>
          <w:rFonts w:cs="Times New Roman"/>
          <w:lang w:val="fr-CA"/>
        </w:rPr>
        <w:t>’</w:t>
      </w:r>
      <w:r w:rsidRPr="0001174C">
        <w:rPr>
          <w:rFonts w:cs="Times New Roman"/>
          <w:lang w:val="fr-CA"/>
        </w:rPr>
        <w:t>importance qu</w:t>
      </w:r>
      <w:r>
        <w:rPr>
          <w:rFonts w:cs="Times New Roman"/>
          <w:lang w:val="fr-CA"/>
        </w:rPr>
        <w:t xml:space="preserve">’il </w:t>
      </w:r>
      <w:r w:rsidRPr="0001174C">
        <w:rPr>
          <w:rFonts w:cs="Times New Roman"/>
          <w:lang w:val="fr-CA"/>
        </w:rPr>
        <w:t>accordait au serment permettait de se demander si l</w:t>
      </w:r>
      <w:r>
        <w:rPr>
          <w:rFonts w:cs="Times New Roman"/>
          <w:lang w:val="fr-CA"/>
        </w:rPr>
        <w:t>’</w:t>
      </w:r>
      <w:r w:rsidRPr="0001174C">
        <w:rPr>
          <w:rFonts w:cs="Times New Roman"/>
          <w:lang w:val="fr-CA"/>
        </w:rPr>
        <w:t xml:space="preserve">on pouvait </w:t>
      </w:r>
      <w:r>
        <w:rPr>
          <w:rFonts w:cs="Times New Roman"/>
          <w:lang w:val="fr-CA"/>
        </w:rPr>
        <w:t>ajouter foi à ses propos quels qu’ils soient</w:t>
      </w:r>
      <w:r w:rsidRPr="0001174C">
        <w:rPr>
          <w:rFonts w:cs="Times New Roman"/>
          <w:lang w:val="fr-CA"/>
        </w:rPr>
        <w:t xml:space="preserve">. Il a également </w:t>
      </w:r>
      <w:r>
        <w:rPr>
          <w:rFonts w:cs="Times New Roman"/>
          <w:lang w:val="fr-CA"/>
        </w:rPr>
        <w:t xml:space="preserve">précisé </w:t>
      </w:r>
      <w:r w:rsidRPr="0001174C">
        <w:rPr>
          <w:rFonts w:cs="Times New Roman"/>
          <w:lang w:val="fr-CA"/>
        </w:rPr>
        <w:t>qu</w:t>
      </w:r>
      <w:r>
        <w:rPr>
          <w:rFonts w:cs="Times New Roman"/>
          <w:lang w:val="fr-CA"/>
        </w:rPr>
        <w:t>’</w:t>
      </w:r>
      <w:r w:rsidRPr="0001174C">
        <w:rPr>
          <w:rFonts w:cs="Times New Roman"/>
          <w:lang w:val="fr-CA"/>
        </w:rPr>
        <w:t xml:space="preserve">il </w:t>
      </w:r>
      <w:r>
        <w:rPr>
          <w:rFonts w:cs="Times New Roman"/>
          <w:lang w:val="fr-CA"/>
        </w:rPr>
        <w:t>était</w:t>
      </w:r>
      <w:r w:rsidRPr="0001174C">
        <w:rPr>
          <w:rFonts w:cs="Times New Roman"/>
          <w:lang w:val="fr-CA"/>
        </w:rPr>
        <w:t xml:space="preserve"> </w:t>
      </w:r>
      <w:r>
        <w:rPr>
          <w:rFonts w:cs="Times New Roman"/>
          <w:lang w:val="fr-CA"/>
        </w:rPr>
        <w:t xml:space="preserve">risqué d’ajouter foi au </w:t>
      </w:r>
      <w:r w:rsidRPr="0001174C">
        <w:rPr>
          <w:rFonts w:cs="Times New Roman"/>
          <w:lang w:val="fr-CA"/>
        </w:rPr>
        <w:t xml:space="preserve">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sans que celui</w:t>
      </w:r>
      <w:r w:rsidR="00203E16">
        <w:rPr>
          <w:rFonts w:cs="Times New Roman"/>
          <w:lang w:val="fr-CA"/>
        </w:rPr>
        <w:t>-</w:t>
      </w:r>
      <w:r>
        <w:rPr>
          <w:rFonts w:cs="Times New Roman"/>
          <w:lang w:val="fr-CA"/>
        </w:rPr>
        <w:t xml:space="preserve">ci ne soit </w:t>
      </w:r>
      <w:r w:rsidRPr="0001174C">
        <w:rPr>
          <w:rFonts w:cs="Times New Roman"/>
          <w:lang w:val="fr-CA"/>
        </w:rPr>
        <w:t>corrobor</w:t>
      </w:r>
      <w:r>
        <w:rPr>
          <w:rFonts w:cs="Times New Roman"/>
          <w:lang w:val="fr-CA"/>
        </w:rPr>
        <w:t>é</w:t>
      </w:r>
      <w:r w:rsidRPr="0001174C">
        <w:rPr>
          <w:rFonts w:cs="Times New Roman"/>
          <w:lang w:val="fr-CA"/>
        </w:rPr>
        <w:t>. Il n</w:t>
      </w:r>
      <w:r>
        <w:rPr>
          <w:rFonts w:cs="Times New Roman"/>
          <w:lang w:val="fr-CA"/>
        </w:rPr>
        <w:t>’</w:t>
      </w:r>
      <w:r w:rsidRPr="0001174C">
        <w:rPr>
          <w:rFonts w:cs="Times New Roman"/>
          <w:lang w:val="fr-CA"/>
        </w:rPr>
        <w:t>était pas tenu d</w:t>
      </w:r>
      <w:r>
        <w:rPr>
          <w:rFonts w:cs="Times New Roman"/>
          <w:lang w:val="fr-CA"/>
        </w:rPr>
        <w:t>’</w:t>
      </w:r>
      <w:r w:rsidRPr="0001174C">
        <w:rPr>
          <w:rFonts w:cs="Times New Roman"/>
          <w:lang w:val="fr-CA"/>
        </w:rPr>
        <w:t>en faire davantage. C</w:t>
      </w:r>
      <w:r>
        <w:rPr>
          <w:rFonts w:cs="Times New Roman"/>
          <w:lang w:val="fr-CA"/>
        </w:rPr>
        <w:t>’</w:t>
      </w:r>
      <w:r w:rsidRPr="0001174C">
        <w:rPr>
          <w:rFonts w:cs="Times New Roman"/>
          <w:lang w:val="fr-CA"/>
        </w:rPr>
        <w:t>est ce qu</w:t>
      </w:r>
      <w:r>
        <w:rPr>
          <w:rFonts w:cs="Times New Roman"/>
          <w:lang w:val="fr-CA"/>
        </w:rPr>
        <w:t>’</w:t>
      </w:r>
      <w:r w:rsidRPr="0001174C">
        <w:rPr>
          <w:rFonts w:cs="Times New Roman"/>
          <w:lang w:val="fr-CA"/>
        </w:rPr>
        <w:t xml:space="preserve">a </w:t>
      </w:r>
      <w:r>
        <w:rPr>
          <w:rFonts w:cs="Times New Roman"/>
          <w:lang w:val="fr-CA"/>
        </w:rPr>
        <w:t xml:space="preserve">dû estimer </w:t>
      </w:r>
      <w:r w:rsidRPr="0001174C">
        <w:rPr>
          <w:rFonts w:cs="Times New Roman"/>
          <w:lang w:val="fr-CA"/>
        </w:rPr>
        <w:t>l</w:t>
      </w:r>
      <w:r>
        <w:rPr>
          <w:rFonts w:cs="Times New Roman"/>
          <w:lang w:val="fr-CA"/>
        </w:rPr>
        <w:t>’</w:t>
      </w:r>
      <w:r w:rsidRPr="0001174C">
        <w:rPr>
          <w:rFonts w:cs="Times New Roman"/>
          <w:lang w:val="fr-CA"/>
        </w:rPr>
        <w:t xml:space="preserve">avocat de la défense, </w:t>
      </w:r>
      <w:r>
        <w:rPr>
          <w:rFonts w:cs="Times New Roman"/>
          <w:lang w:val="fr-CA"/>
        </w:rPr>
        <w:t xml:space="preserve">car il </w:t>
      </w:r>
      <w:r w:rsidRPr="0001174C">
        <w:rPr>
          <w:rFonts w:cs="Times New Roman"/>
          <w:lang w:val="fr-CA"/>
        </w:rPr>
        <w:t>n</w:t>
      </w:r>
      <w:r>
        <w:rPr>
          <w:rFonts w:cs="Times New Roman"/>
          <w:lang w:val="fr-CA"/>
        </w:rPr>
        <w:t>’</w:t>
      </w:r>
      <w:r w:rsidRPr="0001174C">
        <w:rPr>
          <w:rFonts w:cs="Times New Roman"/>
          <w:lang w:val="fr-CA"/>
        </w:rPr>
        <w:t xml:space="preserve">a pas </w:t>
      </w:r>
      <w:r>
        <w:rPr>
          <w:rFonts w:cs="Times New Roman"/>
          <w:lang w:val="fr-CA"/>
        </w:rPr>
        <w:t xml:space="preserve">fait objection à la </w:t>
      </w:r>
      <w:r w:rsidRPr="0001174C">
        <w:rPr>
          <w:rFonts w:cs="Times New Roman"/>
          <w:lang w:val="fr-CA"/>
        </w:rPr>
        <w:t xml:space="preserve">directive </w:t>
      </w:r>
      <w:r>
        <w:rPr>
          <w:rFonts w:cs="Times New Roman"/>
          <w:lang w:val="fr-CA"/>
        </w:rPr>
        <w:t xml:space="preserve">du </w:t>
      </w:r>
      <w:r w:rsidRPr="0001174C">
        <w:rPr>
          <w:rFonts w:cs="Times New Roman"/>
          <w:lang w:val="fr-CA"/>
        </w:rPr>
        <w:t xml:space="preserve">juge </w:t>
      </w:r>
      <w:r>
        <w:rPr>
          <w:rFonts w:cs="Times New Roman"/>
          <w:lang w:val="fr-CA"/>
        </w:rPr>
        <w:t xml:space="preserve">concernant le </w:t>
      </w:r>
      <w:r w:rsidRPr="0001174C">
        <w:rPr>
          <w:rFonts w:cs="Times New Roman"/>
          <w:lang w:val="fr-CA"/>
        </w:rPr>
        <w:t xml:space="preserve">témoignage de </w:t>
      </w:r>
      <w:r>
        <w:rPr>
          <w:rFonts w:cs="Times New Roman"/>
          <w:lang w:val="fr-CA"/>
        </w:rPr>
        <w:t>M.</w:t>
      </w:r>
      <w:r w:rsidR="00203E16">
        <w:rPr>
          <w:rFonts w:cs="Times New Roman"/>
          <w:lang w:val="fr-CA"/>
        </w:rPr>
        <w:t xml:space="preserve"> </w:t>
      </w:r>
      <w:r>
        <w:rPr>
          <w:rFonts w:cs="Times New Roman"/>
          <w:lang w:val="fr-CA"/>
        </w:rPr>
        <w:t>Argueta</w:t>
      </w:r>
      <w:r w:rsidRPr="0001174C">
        <w:rPr>
          <w:rFonts w:cs="Times New Roman"/>
          <w:lang w:val="fr-CA"/>
        </w:rPr>
        <w:t xml:space="preserve">. </w:t>
      </w:r>
      <w:r>
        <w:rPr>
          <w:rFonts w:cs="Times New Roman"/>
          <w:lang w:val="fr-CA"/>
        </w:rPr>
        <w:t>H</w:t>
      </w:r>
      <w:r w:rsidRPr="0001174C">
        <w:rPr>
          <w:rFonts w:eastAsia="Times New Roman" w:cs="Times New Roman"/>
          <w:szCs w:val="24"/>
          <w:lang w:val="fr-CA" w:eastAsia="en-CA"/>
        </w:rPr>
        <w:t>ormis l</w:t>
      </w:r>
      <w:r>
        <w:rPr>
          <w:rFonts w:eastAsia="Times New Roman" w:cs="Times New Roman"/>
          <w:szCs w:val="24"/>
          <w:lang w:val="fr-CA" w:eastAsia="en-CA"/>
        </w:rPr>
        <w:t>’</w:t>
      </w:r>
      <w:r w:rsidRPr="0001174C">
        <w:rPr>
          <w:rFonts w:eastAsia="Times New Roman" w:cs="Times New Roman"/>
          <w:szCs w:val="24"/>
          <w:lang w:val="fr-CA" w:eastAsia="en-CA"/>
        </w:rPr>
        <w:t xml:space="preserve">appelant, </w:t>
      </w:r>
      <w:r>
        <w:rPr>
          <w:rFonts w:eastAsia="Times New Roman" w:cs="Times New Roman"/>
          <w:szCs w:val="24"/>
          <w:lang w:val="fr-CA" w:eastAsia="en-CA"/>
        </w:rPr>
        <w:t>M.</w:t>
      </w:r>
      <w:r w:rsidR="00203E16">
        <w:rPr>
          <w:rFonts w:eastAsia="Times New Roman" w:cs="Times New Roman"/>
          <w:szCs w:val="24"/>
          <w:lang w:val="fr-CA" w:eastAsia="en-CA"/>
        </w:rPr>
        <w:t xml:space="preserve"> </w:t>
      </w:r>
      <w:r>
        <w:rPr>
          <w:rFonts w:eastAsia="Times New Roman" w:cs="Times New Roman"/>
          <w:szCs w:val="24"/>
          <w:lang w:val="fr-CA" w:eastAsia="en-CA"/>
        </w:rPr>
        <w:t>Argueta</w:t>
      </w:r>
      <w:r w:rsidRPr="0001174C">
        <w:rPr>
          <w:rFonts w:eastAsia="Times New Roman" w:cs="Times New Roman"/>
          <w:szCs w:val="24"/>
          <w:lang w:val="fr-CA" w:eastAsia="en-CA"/>
        </w:rPr>
        <w:t xml:space="preserve"> était le témoin le plus important du point de vue de la défense, </w:t>
      </w:r>
      <w:r>
        <w:rPr>
          <w:rFonts w:eastAsia="Times New Roman" w:cs="Times New Roman"/>
          <w:szCs w:val="24"/>
          <w:lang w:val="fr-CA" w:eastAsia="en-CA"/>
        </w:rPr>
        <w:t xml:space="preserve">de sorte que l’omission </w:t>
      </w:r>
      <w:r w:rsidRPr="0001174C">
        <w:rPr>
          <w:rFonts w:eastAsia="Times New Roman" w:cs="Times New Roman"/>
          <w:szCs w:val="24"/>
          <w:lang w:val="fr-CA" w:eastAsia="en-CA"/>
        </w:rPr>
        <w:t>de l</w:t>
      </w:r>
      <w:r>
        <w:rPr>
          <w:rFonts w:eastAsia="Times New Roman" w:cs="Times New Roman"/>
          <w:szCs w:val="24"/>
          <w:lang w:val="fr-CA" w:eastAsia="en-CA"/>
        </w:rPr>
        <w:t>’</w:t>
      </w:r>
      <w:r w:rsidRPr="0001174C">
        <w:rPr>
          <w:rFonts w:eastAsia="Times New Roman" w:cs="Times New Roman"/>
          <w:szCs w:val="24"/>
          <w:lang w:val="fr-CA" w:eastAsia="en-CA"/>
        </w:rPr>
        <w:t xml:space="preserve">avocat de la défense de </w:t>
      </w:r>
      <w:r>
        <w:rPr>
          <w:rFonts w:eastAsia="Times New Roman" w:cs="Times New Roman"/>
          <w:szCs w:val="24"/>
          <w:lang w:val="fr-CA" w:eastAsia="en-CA"/>
        </w:rPr>
        <w:t>faire objection à l’exposé</w:t>
      </w:r>
      <w:r w:rsidRPr="0001174C">
        <w:rPr>
          <w:rFonts w:eastAsia="Times New Roman" w:cs="Times New Roman"/>
          <w:szCs w:val="24"/>
          <w:lang w:val="fr-CA" w:eastAsia="en-CA"/>
        </w:rPr>
        <w:t xml:space="preserve"> </w:t>
      </w:r>
      <w:r>
        <w:rPr>
          <w:rFonts w:eastAsia="Times New Roman" w:cs="Times New Roman"/>
          <w:szCs w:val="24"/>
          <w:lang w:val="fr-CA" w:eastAsia="en-CA"/>
        </w:rPr>
        <w:t xml:space="preserve">me conforte dans l’opinion </w:t>
      </w:r>
      <w:r w:rsidRPr="0001174C">
        <w:rPr>
          <w:rFonts w:eastAsia="Times New Roman" w:cs="Times New Roman"/>
          <w:szCs w:val="24"/>
          <w:lang w:val="fr-CA" w:eastAsia="en-CA"/>
        </w:rPr>
        <w:t xml:space="preserve">que le juge du procès a </w:t>
      </w:r>
      <w:r>
        <w:rPr>
          <w:rFonts w:eastAsia="Times New Roman" w:cs="Times New Roman"/>
          <w:szCs w:val="24"/>
          <w:lang w:val="fr-CA" w:eastAsia="en-CA"/>
        </w:rPr>
        <w:t xml:space="preserve">bien fait état des réserves que suscitait </w:t>
      </w:r>
      <w:r w:rsidRPr="0001174C">
        <w:rPr>
          <w:rFonts w:eastAsia="Times New Roman" w:cs="Times New Roman"/>
          <w:szCs w:val="24"/>
          <w:lang w:val="fr-CA" w:eastAsia="en-CA"/>
        </w:rPr>
        <w:t xml:space="preserve">le témoignage de </w:t>
      </w:r>
      <w:r>
        <w:rPr>
          <w:rFonts w:eastAsia="Times New Roman" w:cs="Times New Roman"/>
          <w:szCs w:val="24"/>
          <w:lang w:val="fr-CA" w:eastAsia="en-CA"/>
        </w:rPr>
        <w:t>M.</w:t>
      </w:r>
      <w:r w:rsidR="00203E16">
        <w:rPr>
          <w:rFonts w:eastAsia="Times New Roman" w:cs="Times New Roman"/>
          <w:szCs w:val="24"/>
          <w:lang w:val="fr-CA" w:eastAsia="en-CA"/>
        </w:rPr>
        <w:t xml:space="preserve"> </w:t>
      </w:r>
      <w:r>
        <w:rPr>
          <w:rFonts w:eastAsia="Times New Roman" w:cs="Times New Roman"/>
          <w:szCs w:val="24"/>
          <w:lang w:val="fr-CA" w:eastAsia="en-CA"/>
        </w:rPr>
        <w:t>Argueta</w:t>
      </w:r>
      <w:r w:rsidRPr="0001174C">
        <w:rPr>
          <w:rFonts w:eastAsia="Times New Roman" w:cs="Times New Roman"/>
          <w:szCs w:val="24"/>
          <w:lang w:val="fr-CA" w:eastAsia="en-CA"/>
        </w:rPr>
        <w:t>.</w:t>
      </w:r>
    </w:p>
    <w:p w:rsidR="00AF2876" w:rsidRPr="0001174C" w:rsidRDefault="00AF2876" w:rsidP="00AF2876">
      <w:pPr>
        <w:pStyle w:val="Title1LevelTitre1Niveau-AltL"/>
        <w:rPr>
          <w:rFonts w:cs="Times New Roman"/>
          <w:lang w:val="fr-CA"/>
        </w:rPr>
      </w:pPr>
      <w:r w:rsidRPr="0001174C">
        <w:rPr>
          <w:rFonts w:cs="Times New Roman"/>
          <w:lang w:val="fr-CA"/>
        </w:rPr>
        <w:t>Dispositif</w:t>
      </w:r>
    </w:p>
    <w:p w:rsidR="00AF2876" w:rsidRPr="0001174C" w:rsidRDefault="00AF2876" w:rsidP="00AF2876">
      <w:pPr>
        <w:pStyle w:val="ParaNoNdepar-AltN"/>
        <w:rPr>
          <w:rFonts w:cs="Times New Roman"/>
          <w:lang w:val="fr-CA"/>
        </w:rPr>
      </w:pPr>
      <w:r w:rsidRPr="0001174C">
        <w:rPr>
          <w:rFonts w:cs="Times New Roman"/>
          <w:lang w:val="fr-CA"/>
        </w:rPr>
        <w:t>Pour ces motifs, je suis d</w:t>
      </w:r>
      <w:r>
        <w:rPr>
          <w:rFonts w:cs="Times New Roman"/>
          <w:lang w:val="fr-CA"/>
        </w:rPr>
        <w:t>’</w:t>
      </w:r>
      <w:r w:rsidRPr="0001174C">
        <w:rPr>
          <w:rFonts w:cs="Times New Roman"/>
          <w:lang w:val="fr-CA"/>
        </w:rPr>
        <w:t>avis de rejeter le pourvoi.</w:t>
      </w:r>
    </w:p>
    <w:p w:rsidR="004D7D95" w:rsidRPr="00AB03E8" w:rsidRDefault="004D7D95" w:rsidP="000B6F03">
      <w:pPr>
        <w:pStyle w:val="SCCNormalDoubleSpacing"/>
        <w:spacing w:before="480" w:after="480"/>
        <w:rPr>
          <w:lang w:val="fr-CA"/>
        </w:rPr>
      </w:pPr>
      <w:r w:rsidRPr="00AB03E8">
        <w:rPr>
          <w:lang w:val="fr-CA"/>
        </w:rPr>
        <w:tab/>
      </w:r>
      <w:r w:rsidR="00204EE6" w:rsidRPr="00AB03E8">
        <w:rPr>
          <w:i/>
          <w:lang w:val="fr-CA"/>
        </w:rPr>
        <w:t>Pourvoi rejeté</w:t>
      </w:r>
      <w:r w:rsidR="002E7F1A" w:rsidRPr="00AB03E8">
        <w:rPr>
          <w:i/>
          <w:lang w:val="fr-CA"/>
        </w:rPr>
        <w:t>.</w:t>
      </w:r>
    </w:p>
    <w:p w:rsidR="002E7F1A" w:rsidRPr="00AB03E8" w:rsidRDefault="002E7F1A" w:rsidP="000B6F03">
      <w:pPr>
        <w:pStyle w:val="SCCLawFirm"/>
        <w:spacing w:before="480" w:after="480"/>
        <w:rPr>
          <w:lang w:val="fr-CA"/>
        </w:rPr>
      </w:pPr>
      <w:r w:rsidRPr="00AB03E8">
        <w:rPr>
          <w:lang w:val="fr-CA"/>
        </w:rPr>
        <w:tab/>
        <w:t>Procureurs de l’appelant</w:t>
      </w:r>
      <w:r w:rsidR="00203E16">
        <w:rPr>
          <w:lang w:val="fr-CA"/>
        </w:rPr>
        <w:t xml:space="preserve"> </w:t>
      </w:r>
      <w:r w:rsidR="00561BFB" w:rsidRPr="00AB03E8">
        <w:rPr>
          <w:lang w:val="fr-CA"/>
        </w:rPr>
        <w:t>:</w:t>
      </w:r>
      <w:r w:rsidR="00203E16">
        <w:rPr>
          <w:lang w:val="fr-CA"/>
        </w:rPr>
        <w:t xml:space="preserve"> </w:t>
      </w:r>
      <w:r w:rsidRPr="00AB03E8">
        <w:rPr>
          <w:lang w:val="fr-CA"/>
        </w:rPr>
        <w:t>Dawson Stevens Duckett &amp; Shaigec, Edmonton.</w:t>
      </w:r>
    </w:p>
    <w:p w:rsidR="002E7F1A" w:rsidRPr="00AB03E8" w:rsidRDefault="002E7F1A" w:rsidP="000B6F03">
      <w:pPr>
        <w:pStyle w:val="SCCLawFirm"/>
        <w:spacing w:before="480" w:after="480"/>
        <w:rPr>
          <w:lang w:val="fr-CA"/>
        </w:rPr>
      </w:pPr>
      <w:r w:rsidRPr="00AB03E8">
        <w:rPr>
          <w:lang w:val="fr-CA"/>
        </w:rPr>
        <w:tab/>
        <w:t>Procureur de l’intimée</w:t>
      </w:r>
      <w:r w:rsidR="00203E16">
        <w:rPr>
          <w:lang w:val="fr-CA"/>
        </w:rPr>
        <w:t xml:space="preserve"> </w:t>
      </w:r>
      <w:r w:rsidR="00561BFB" w:rsidRPr="00AB03E8">
        <w:rPr>
          <w:lang w:val="fr-CA"/>
        </w:rPr>
        <w:t>:</w:t>
      </w:r>
      <w:r w:rsidR="00203E16">
        <w:rPr>
          <w:lang w:val="fr-CA"/>
        </w:rPr>
        <w:t xml:space="preserve"> </w:t>
      </w:r>
      <w:r w:rsidRPr="00AB03E8">
        <w:rPr>
          <w:lang w:val="fr-CA"/>
        </w:rPr>
        <w:t>Procureur général de l’Alberta, Edmonton et Lethbridge.</w:t>
      </w:r>
    </w:p>
    <w:p w:rsidR="002E7F1A" w:rsidRPr="00AB03E8" w:rsidRDefault="002E7F1A" w:rsidP="000B6F03">
      <w:pPr>
        <w:pStyle w:val="SCCLawFirm"/>
        <w:spacing w:before="480" w:after="480"/>
        <w:rPr>
          <w:lang w:val="fr-CA"/>
        </w:rPr>
      </w:pPr>
      <w:r w:rsidRPr="00AB03E8">
        <w:rPr>
          <w:lang w:val="fr-CA"/>
        </w:rPr>
        <w:lastRenderedPageBreak/>
        <w:tab/>
        <w:t>Procureur de l’intervenant le procureur général de l’Ontario</w:t>
      </w:r>
      <w:r w:rsidR="00203E16">
        <w:rPr>
          <w:lang w:val="fr-CA"/>
        </w:rPr>
        <w:t xml:space="preserve"> </w:t>
      </w:r>
      <w:r w:rsidR="00561BFB" w:rsidRPr="00AB03E8">
        <w:rPr>
          <w:lang w:val="fr-CA"/>
        </w:rPr>
        <w:t>:</w:t>
      </w:r>
      <w:r w:rsidR="00203E16">
        <w:rPr>
          <w:lang w:val="fr-CA"/>
        </w:rPr>
        <w:t xml:space="preserve"> </w:t>
      </w:r>
      <w:r w:rsidRPr="00AB03E8">
        <w:rPr>
          <w:lang w:val="fr-CA"/>
        </w:rPr>
        <w:t>Procureur général de l’Ontario, Toronto.</w:t>
      </w:r>
    </w:p>
    <w:p w:rsidR="009B57B3" w:rsidRDefault="002E7F1A" w:rsidP="00AF2876">
      <w:pPr>
        <w:pStyle w:val="SCCLawFirm"/>
        <w:rPr>
          <w:b/>
          <w:i w:val="0"/>
          <w:lang w:val="fr-CA"/>
        </w:rPr>
      </w:pPr>
      <w:r w:rsidRPr="00AB03E8">
        <w:rPr>
          <w:lang w:val="fr-CA"/>
        </w:rPr>
        <w:tab/>
        <w:t>Procureur de l’intervenant le procureur général de la Colombie</w:t>
      </w:r>
      <w:r w:rsidR="00203E16">
        <w:rPr>
          <w:lang w:val="fr-CA"/>
        </w:rPr>
        <w:t>-</w:t>
      </w:r>
      <w:r w:rsidRPr="00AB03E8">
        <w:rPr>
          <w:lang w:val="fr-CA"/>
        </w:rPr>
        <w:t>Britannique</w:t>
      </w:r>
      <w:r w:rsidR="00203E16">
        <w:rPr>
          <w:lang w:val="fr-CA"/>
        </w:rPr>
        <w:t xml:space="preserve"> </w:t>
      </w:r>
      <w:r w:rsidR="00561BFB" w:rsidRPr="00AB03E8">
        <w:rPr>
          <w:lang w:val="fr-CA"/>
        </w:rPr>
        <w:t>:</w:t>
      </w:r>
      <w:r w:rsidR="00203E16">
        <w:rPr>
          <w:lang w:val="fr-CA"/>
        </w:rPr>
        <w:t xml:space="preserve"> </w:t>
      </w:r>
      <w:r w:rsidRPr="00AB03E8">
        <w:rPr>
          <w:lang w:val="fr-CA"/>
        </w:rPr>
        <w:t>Procureur général de la Colombie</w:t>
      </w:r>
      <w:r w:rsidR="00203E16">
        <w:rPr>
          <w:lang w:val="fr-CA"/>
        </w:rPr>
        <w:t>-</w:t>
      </w:r>
      <w:r w:rsidRPr="00AB03E8">
        <w:rPr>
          <w:lang w:val="fr-CA"/>
        </w:rPr>
        <w:t>Britannique, Victoria.</w:t>
      </w:r>
    </w:p>
    <w:p w:rsidR="00AF2876" w:rsidRPr="00AF2876" w:rsidRDefault="00AF2876" w:rsidP="00AF2876">
      <w:pPr>
        <w:pStyle w:val="SCCNormalDoubleSpacing"/>
        <w:rPr>
          <w:lang w:val="fr-CA"/>
        </w:rPr>
      </w:pPr>
    </w:p>
    <w:sectPr w:rsidR="00AF2876" w:rsidRPr="00AF287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E16" w:rsidRDefault="00203E16">
      <w:r>
        <w:separator/>
      </w:r>
    </w:p>
  </w:endnote>
  <w:endnote w:type="continuationSeparator" w:id="0">
    <w:p w:rsidR="00203E16" w:rsidRDefault="0020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E16" w:rsidRDefault="00203E16">
      <w:r>
        <w:separator/>
      </w:r>
    </w:p>
  </w:footnote>
  <w:footnote w:type="continuationSeparator" w:id="0">
    <w:p w:rsidR="00203E16" w:rsidRDefault="00203E16">
      <w:r>
        <w:continuationSeparator/>
      </w:r>
    </w:p>
  </w:footnote>
  <w:footnote w:id="1">
    <w:p w:rsidR="00203E16" w:rsidRPr="008D41E0" w:rsidRDefault="00203E16" w:rsidP="006C4B26">
      <w:pPr>
        <w:pStyle w:val="FootnoteText"/>
        <w:ind w:left="180" w:hanging="180"/>
        <w:jc w:val="both"/>
        <w:rPr>
          <w:lang w:val="fr-CA"/>
        </w:rPr>
      </w:pPr>
      <w:r w:rsidRPr="008D41E0">
        <w:rPr>
          <w:rStyle w:val="FootnoteReference"/>
          <w:lang w:val="fr-CA"/>
        </w:rPr>
        <w:footnoteRef/>
      </w:r>
      <w:r w:rsidRPr="008D41E0">
        <w:rPr>
          <w:lang w:val="fr-CA"/>
        </w:rPr>
        <w:t xml:space="preserve"> </w:t>
      </w:r>
      <w:r>
        <w:rPr>
          <w:lang w:val="fr-CA"/>
        </w:rPr>
        <w:tab/>
      </w:r>
      <w:r w:rsidRPr="008D41E0">
        <w:rPr>
          <w:lang w:val="fr-CA"/>
        </w:rPr>
        <w:t>L’identité de l’agent est protégée par une interdiction de publication; il s’agit, dans le dossier, de l’</w:t>
      </w:r>
      <w:r w:rsidRPr="008D41E0">
        <w:rPr>
          <w:smallCaps/>
          <w:lang w:val="fr-CA"/>
        </w:rPr>
        <w:t>[traduction]</w:t>
      </w:r>
      <w:r w:rsidRPr="008D41E0">
        <w:rPr>
          <w:lang w:val="fr-CA"/>
        </w:rPr>
        <w:t xml:space="preserve"> </w:t>
      </w:r>
      <w:r>
        <w:rPr>
          <w:lang w:val="fr-CA"/>
        </w:rPr>
        <w:t>« </w:t>
      </w:r>
      <w:r w:rsidRPr="008D41E0">
        <w:rPr>
          <w:lang w:val="fr-CA"/>
        </w:rPr>
        <w:t>agent banalisé n</w:t>
      </w:r>
      <w:r w:rsidRPr="008D41E0">
        <w:rPr>
          <w:vertAlign w:val="superscript"/>
          <w:lang w:val="fr-CA"/>
        </w:rPr>
        <w:t>o</w:t>
      </w:r>
      <w:r>
        <w:rPr>
          <w:lang w:val="fr-CA"/>
        </w:rPr>
        <w:t xml:space="preserve"> </w:t>
      </w:r>
      <w:r w:rsidRPr="008D41E0">
        <w:rPr>
          <w:lang w:val="fr-CA"/>
        </w:rPr>
        <w:t>2</w:t>
      </w:r>
      <w:r>
        <w:rPr>
          <w:lang w:val="fr-CA"/>
        </w:rPr>
        <w:t> »</w:t>
      </w:r>
      <w:r w:rsidRPr="008D41E0">
        <w:rPr>
          <w:lang w:val="fr-CA"/>
        </w:rPr>
        <w:t xml:space="preserve">. </w:t>
      </w:r>
    </w:p>
  </w:footnote>
  <w:footnote w:id="2">
    <w:p w:rsidR="00203E16" w:rsidRPr="008D41E0" w:rsidRDefault="00203E16" w:rsidP="005044C1">
      <w:pPr>
        <w:pStyle w:val="FootnoteText"/>
        <w:ind w:left="180" w:hanging="180"/>
        <w:jc w:val="both"/>
        <w:rPr>
          <w:lang w:val="fr-CA"/>
        </w:rPr>
      </w:pPr>
      <w:r w:rsidRPr="008D41E0">
        <w:rPr>
          <w:rStyle w:val="FootnoteReference"/>
          <w:lang w:val="fr-CA"/>
        </w:rPr>
        <w:footnoteRef/>
      </w:r>
      <w:r w:rsidRPr="008D41E0">
        <w:rPr>
          <w:lang w:val="fr-CA"/>
        </w:rPr>
        <w:t xml:space="preserve"> </w:t>
      </w:r>
      <w:r>
        <w:rPr>
          <w:lang w:val="fr-CA"/>
        </w:rPr>
        <w:tab/>
      </w:r>
      <w:r w:rsidRPr="008D41E0">
        <w:rPr>
          <w:lang w:val="fr-CA"/>
        </w:rPr>
        <w:t xml:space="preserve">Plus précisément, le ministère public a admis que l’on ne pouvait démontrer que cette mesure était </w:t>
      </w:r>
      <w:r>
        <w:rPr>
          <w:lang w:val="fr-CA"/>
        </w:rPr>
        <w:t>« </w:t>
      </w:r>
      <w:r w:rsidRPr="008D41E0">
        <w:rPr>
          <w:lang w:val="fr-CA"/>
        </w:rPr>
        <w:t>nécessaire pour l’enquête</w:t>
      </w:r>
      <w:r>
        <w:rPr>
          <w:lang w:val="fr-CA"/>
        </w:rPr>
        <w:t> »</w:t>
      </w:r>
      <w:r w:rsidRPr="008D41E0">
        <w:rPr>
          <w:lang w:val="fr-CA"/>
        </w:rPr>
        <w:t>. Une autorisation d’écoute électronique ne peut être accordée aux termes de la partie</w:t>
      </w:r>
      <w:r>
        <w:rPr>
          <w:lang w:val="fr-CA"/>
        </w:rPr>
        <w:t xml:space="preserve"> </w:t>
      </w:r>
      <w:r w:rsidRPr="008D41E0">
        <w:rPr>
          <w:lang w:val="fr-CA"/>
        </w:rPr>
        <w:t xml:space="preserve">VI que lorsque </w:t>
      </w:r>
      <w:r>
        <w:rPr>
          <w:rStyle w:val="highlight"/>
          <w:lang w:val="fr-CA"/>
        </w:rPr>
        <w:t>« </w:t>
      </w:r>
      <w:r w:rsidRPr="008D41E0">
        <w:rPr>
          <w:rStyle w:val="highlight"/>
          <w:lang w:val="fr-CA"/>
        </w:rPr>
        <w:t>d’autres méthodes d’enquête ont été essayées et ont échoué, ou ont peu de chance de succès, ou que l’urgence de l’affaire est telle qu’il ne serait pas pratique de mener l’enquête relative à l’infraction en n’utilisant que les autres méthodes d’enquête</w:t>
      </w:r>
      <w:r>
        <w:rPr>
          <w:rStyle w:val="highlight"/>
          <w:lang w:val="fr-CA"/>
        </w:rPr>
        <w:t> »</w:t>
      </w:r>
      <w:r w:rsidRPr="008D41E0">
        <w:rPr>
          <w:rStyle w:val="highlight"/>
          <w:lang w:val="fr-CA"/>
        </w:rPr>
        <w:t xml:space="preserve"> </w:t>
      </w:r>
      <w:r w:rsidRPr="008D41E0">
        <w:rPr>
          <w:lang w:val="fr-CA"/>
        </w:rPr>
        <w:t>(al.</w:t>
      </w:r>
      <w:r>
        <w:rPr>
          <w:lang w:val="fr-CA"/>
        </w:rPr>
        <w:t xml:space="preserve"> </w:t>
      </w:r>
      <w:r w:rsidRPr="008D41E0">
        <w:rPr>
          <w:lang w:val="fr-CA"/>
        </w:rPr>
        <w:t>186(1)</w:t>
      </w:r>
      <w:r w:rsidRPr="008D41E0">
        <w:rPr>
          <w:i/>
          <w:iCs/>
          <w:lang w:val="fr-CA"/>
        </w:rPr>
        <w:t>b</w:t>
      </w:r>
      <w:r w:rsidRPr="008D41E0">
        <w:rPr>
          <w:lang w:val="fr-CA"/>
        </w:rPr>
        <w:t>)). Selon le ministère public, cette condition ne pouvait être respectée en raison de l’opération Monsieur Big en cours.</w:t>
      </w:r>
    </w:p>
  </w:footnote>
  <w:footnote w:id="3">
    <w:p w:rsidR="00203E16" w:rsidRPr="008D41E0" w:rsidRDefault="00203E16" w:rsidP="005044C1">
      <w:pPr>
        <w:pStyle w:val="FootnoteText"/>
        <w:ind w:left="180" w:hanging="180"/>
        <w:jc w:val="both"/>
        <w:rPr>
          <w:lang w:val="fr-CA"/>
        </w:rPr>
      </w:pPr>
      <w:r w:rsidRPr="008D41E0">
        <w:rPr>
          <w:rStyle w:val="FootnoteReference"/>
        </w:rPr>
        <w:footnoteRef/>
      </w:r>
      <w:r w:rsidRPr="008D41E0">
        <w:rPr>
          <w:lang w:val="fr-CA"/>
        </w:rPr>
        <w:t xml:space="preserve">  </w:t>
      </w:r>
      <w:r>
        <w:rPr>
          <w:lang w:val="fr-CA"/>
        </w:rPr>
        <w:tab/>
      </w:r>
      <w:r w:rsidRPr="008D41E0">
        <w:rPr>
          <w:lang w:val="fr-CA"/>
        </w:rPr>
        <w:t xml:space="preserve">Depuis le prononcé de l’arrêt </w:t>
      </w:r>
      <w:r w:rsidRPr="008D41E0">
        <w:rPr>
          <w:i/>
          <w:lang w:val="fr-CA"/>
        </w:rPr>
        <w:t>Hart</w:t>
      </w:r>
      <w:r w:rsidRPr="008D41E0">
        <w:rPr>
          <w:lang w:val="fr-CA"/>
        </w:rPr>
        <w:t>, l’appelant a eu amplement le temps de demander une nouvelle audition du pourvoi afin de contester l’admissibilité de ses aveux au regard de la démarche adoptée par la Cour dans cet arrêt. Il ne l’a pas fait.</w:t>
      </w:r>
    </w:p>
  </w:footnote>
  <w:footnote w:id="4">
    <w:p w:rsidR="00203E16" w:rsidRPr="008D41E0" w:rsidRDefault="00203E16" w:rsidP="00AF2876">
      <w:pPr>
        <w:pStyle w:val="FootnoteText"/>
        <w:rPr>
          <w:lang w:val="fr-CA"/>
        </w:rPr>
      </w:pPr>
      <w:r w:rsidRPr="008D41E0">
        <w:rPr>
          <w:rStyle w:val="FootnoteReference"/>
          <w:lang w:val="fr-CA"/>
        </w:rPr>
        <w:footnoteRef/>
      </w:r>
      <w:r w:rsidRPr="008D41E0">
        <w:rPr>
          <w:lang w:val="fr-CA"/>
        </w:rPr>
        <w:t xml:space="preserve"> Voir l’arrêt </w:t>
      </w:r>
      <w:r w:rsidRPr="008D41E0">
        <w:rPr>
          <w:i/>
          <w:lang w:val="fr-CA"/>
        </w:rPr>
        <w:t>Vetrovec c. La Reine</w:t>
      </w:r>
      <w:r w:rsidRPr="008D41E0">
        <w:rPr>
          <w:lang w:val="fr-CA"/>
        </w:rPr>
        <w:t>, [1982] 1 R.C.S. 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16" w:rsidRPr="00450352" w:rsidRDefault="00203E1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711A"/>
    <w:multiLevelType w:val="hybridMultilevel"/>
    <w:tmpl w:val="9D5A1B1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F071F0"/>
    <w:multiLevelType w:val="multilevel"/>
    <w:tmpl w:val="C698593A"/>
    <w:lvl w:ilvl="0">
      <w:start w:val="1"/>
      <w:numFmt w:val="upperRoman"/>
      <w:lvlText w:val="%1."/>
      <w:lvlJc w:val="left"/>
      <w:pPr>
        <w:tabs>
          <w:tab w:val="num" w:pos="5616"/>
        </w:tabs>
        <w:ind w:left="5616" w:hanging="432"/>
      </w:pPr>
      <w:rPr>
        <w:rFonts w:hint="default"/>
        <w:sz w:val="24"/>
      </w:rPr>
    </w:lvl>
    <w:lvl w:ilvl="1">
      <w:start w:val="1"/>
      <w:numFmt w:val="upperLetter"/>
      <w:lvlText w:val="%2."/>
      <w:lvlJc w:val="left"/>
      <w:pPr>
        <w:tabs>
          <w:tab w:val="num" w:pos="5616"/>
        </w:tabs>
        <w:ind w:left="5616" w:hanging="432"/>
      </w:pPr>
      <w:rPr>
        <w:rFonts w:ascii="Times New Roman" w:hAnsi="Times New Roman" w:hint="default"/>
        <w:b w:val="0"/>
        <w:i w:val="0"/>
        <w:sz w:val="24"/>
      </w:rPr>
    </w:lvl>
    <w:lvl w:ilvl="2">
      <w:start w:val="1"/>
      <w:numFmt w:val="decimal"/>
      <w:lvlText w:val="(%3)"/>
      <w:lvlJc w:val="left"/>
      <w:pPr>
        <w:tabs>
          <w:tab w:val="num" w:pos="6048"/>
        </w:tabs>
        <w:ind w:left="6048"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54283EE8"/>
    <w:multiLevelType w:val="multilevel"/>
    <w:tmpl w:val="CE06318C"/>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871E7C"/>
    <w:multiLevelType w:val="hybridMultilevel"/>
    <w:tmpl w:val="7E7AA458"/>
    <w:lvl w:ilvl="0" w:tplc="87EC0E64">
      <w:start w:val="1"/>
      <w:numFmt w:val="decimal"/>
      <w:lvlText w:val="%1."/>
      <w:lvlJc w:val="left"/>
      <w:pPr>
        <w:tabs>
          <w:tab w:val="num" w:pos="360"/>
        </w:tabs>
        <w:ind w:left="360" w:firstLine="0"/>
      </w:pPr>
      <w:rPr>
        <w:rFonts w:ascii="Arial" w:hAnsi="Arial" w:hint="default"/>
        <w:b w:val="0"/>
        <w:sz w:val="24"/>
      </w:rPr>
    </w:lvl>
    <w:lvl w:ilvl="1" w:tplc="04090019">
      <w:start w:val="1"/>
      <w:numFmt w:val="lowerLetter"/>
      <w:lvlText w:val="%2."/>
      <w:lvlJc w:val="left"/>
      <w:pPr>
        <w:tabs>
          <w:tab w:val="num" w:pos="1440"/>
        </w:tabs>
        <w:ind w:left="1440" w:hanging="360"/>
      </w:pPr>
      <w:rPr>
        <w:rFonts w:hint="default"/>
        <w:b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0"/>
  </w:num>
  <w:num w:numId="5">
    <w:abstractNumId w:val="4"/>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1C8D"/>
    <w:rsid w:val="000429AE"/>
    <w:rsid w:val="00053EF9"/>
    <w:rsid w:val="000578A3"/>
    <w:rsid w:val="00062E8F"/>
    <w:rsid w:val="000648CC"/>
    <w:rsid w:val="000B6F03"/>
    <w:rsid w:val="000B76AA"/>
    <w:rsid w:val="000C59B8"/>
    <w:rsid w:val="000C6AF0"/>
    <w:rsid w:val="000D0A77"/>
    <w:rsid w:val="000F6823"/>
    <w:rsid w:val="000F7993"/>
    <w:rsid w:val="00104F33"/>
    <w:rsid w:val="00111DE2"/>
    <w:rsid w:val="00116B38"/>
    <w:rsid w:val="00117F8C"/>
    <w:rsid w:val="00135406"/>
    <w:rsid w:val="00135972"/>
    <w:rsid w:val="001412BD"/>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03477"/>
    <w:rsid w:val="00203E16"/>
    <w:rsid w:val="00204EE6"/>
    <w:rsid w:val="00220FC2"/>
    <w:rsid w:val="002222F4"/>
    <w:rsid w:val="00224FC0"/>
    <w:rsid w:val="00225EA4"/>
    <w:rsid w:val="00226EAF"/>
    <w:rsid w:val="00231F3A"/>
    <w:rsid w:val="002406EE"/>
    <w:rsid w:val="00243EC8"/>
    <w:rsid w:val="00270D93"/>
    <w:rsid w:val="002745CC"/>
    <w:rsid w:val="002950F0"/>
    <w:rsid w:val="002B3D44"/>
    <w:rsid w:val="002B6FBE"/>
    <w:rsid w:val="002B7924"/>
    <w:rsid w:val="002C10A6"/>
    <w:rsid w:val="002D28C3"/>
    <w:rsid w:val="002D39A4"/>
    <w:rsid w:val="002D41F3"/>
    <w:rsid w:val="002E58AD"/>
    <w:rsid w:val="002E6705"/>
    <w:rsid w:val="002E7F1A"/>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D2466"/>
    <w:rsid w:val="003D3253"/>
    <w:rsid w:val="003E1C71"/>
    <w:rsid w:val="003F327B"/>
    <w:rsid w:val="004030E3"/>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042F"/>
    <w:rsid w:val="004C478D"/>
    <w:rsid w:val="004D7D95"/>
    <w:rsid w:val="004E2C26"/>
    <w:rsid w:val="005044C1"/>
    <w:rsid w:val="005125A8"/>
    <w:rsid w:val="00517549"/>
    <w:rsid w:val="00520ABC"/>
    <w:rsid w:val="00521AE8"/>
    <w:rsid w:val="00527180"/>
    <w:rsid w:val="00527CB3"/>
    <w:rsid w:val="00555291"/>
    <w:rsid w:val="00561BFB"/>
    <w:rsid w:val="00566AD1"/>
    <w:rsid w:val="0058211A"/>
    <w:rsid w:val="00583EDE"/>
    <w:rsid w:val="005909ED"/>
    <w:rsid w:val="005A6079"/>
    <w:rsid w:val="005C760B"/>
    <w:rsid w:val="005D0F0A"/>
    <w:rsid w:val="005E4698"/>
    <w:rsid w:val="005F18A8"/>
    <w:rsid w:val="00603924"/>
    <w:rsid w:val="00610539"/>
    <w:rsid w:val="00613969"/>
    <w:rsid w:val="0062595F"/>
    <w:rsid w:val="00625C35"/>
    <w:rsid w:val="00637073"/>
    <w:rsid w:val="00647E49"/>
    <w:rsid w:val="00656313"/>
    <w:rsid w:val="006565F4"/>
    <w:rsid w:val="00684EEA"/>
    <w:rsid w:val="00692145"/>
    <w:rsid w:val="0069265F"/>
    <w:rsid w:val="0069689B"/>
    <w:rsid w:val="006B5FF5"/>
    <w:rsid w:val="006C1E7E"/>
    <w:rsid w:val="006C4B26"/>
    <w:rsid w:val="006E1DAA"/>
    <w:rsid w:val="006F30AF"/>
    <w:rsid w:val="00701759"/>
    <w:rsid w:val="00705C15"/>
    <w:rsid w:val="007110F6"/>
    <w:rsid w:val="007208D1"/>
    <w:rsid w:val="00723C27"/>
    <w:rsid w:val="00744518"/>
    <w:rsid w:val="00747288"/>
    <w:rsid w:val="00747DD3"/>
    <w:rsid w:val="007549C8"/>
    <w:rsid w:val="00754C25"/>
    <w:rsid w:val="00766D14"/>
    <w:rsid w:val="00767A0F"/>
    <w:rsid w:val="00791272"/>
    <w:rsid w:val="007A05F6"/>
    <w:rsid w:val="007B6F4A"/>
    <w:rsid w:val="007E1C47"/>
    <w:rsid w:val="007E337A"/>
    <w:rsid w:val="007E5C70"/>
    <w:rsid w:val="007F2FF5"/>
    <w:rsid w:val="007F3F08"/>
    <w:rsid w:val="007F61E2"/>
    <w:rsid w:val="00804CC6"/>
    <w:rsid w:val="00817190"/>
    <w:rsid w:val="00822B21"/>
    <w:rsid w:val="00825D77"/>
    <w:rsid w:val="008260E2"/>
    <w:rsid w:val="008322BD"/>
    <w:rsid w:val="00834F73"/>
    <w:rsid w:val="00853401"/>
    <w:rsid w:val="00863B43"/>
    <w:rsid w:val="00864C8A"/>
    <w:rsid w:val="00864CF8"/>
    <w:rsid w:val="00874914"/>
    <w:rsid w:val="00891422"/>
    <w:rsid w:val="00892E1A"/>
    <w:rsid w:val="008B660A"/>
    <w:rsid w:val="008C01DA"/>
    <w:rsid w:val="008C191E"/>
    <w:rsid w:val="008D0DA0"/>
    <w:rsid w:val="008F2674"/>
    <w:rsid w:val="008F78E9"/>
    <w:rsid w:val="009179F9"/>
    <w:rsid w:val="00917C7A"/>
    <w:rsid w:val="00921843"/>
    <w:rsid w:val="00933E5E"/>
    <w:rsid w:val="00935218"/>
    <w:rsid w:val="00937C52"/>
    <w:rsid w:val="009403F3"/>
    <w:rsid w:val="00944991"/>
    <w:rsid w:val="00944E4C"/>
    <w:rsid w:val="009555B7"/>
    <w:rsid w:val="009567AA"/>
    <w:rsid w:val="009602C9"/>
    <w:rsid w:val="009610B4"/>
    <w:rsid w:val="00967374"/>
    <w:rsid w:val="00975979"/>
    <w:rsid w:val="009A06BB"/>
    <w:rsid w:val="009A343A"/>
    <w:rsid w:val="009B24FB"/>
    <w:rsid w:val="009B2F23"/>
    <w:rsid w:val="009B57B3"/>
    <w:rsid w:val="009D2920"/>
    <w:rsid w:val="009D5AEB"/>
    <w:rsid w:val="009E3707"/>
    <w:rsid w:val="009F0E33"/>
    <w:rsid w:val="00A149DF"/>
    <w:rsid w:val="00A1755C"/>
    <w:rsid w:val="00A21B90"/>
    <w:rsid w:val="00A22AAC"/>
    <w:rsid w:val="00A361DF"/>
    <w:rsid w:val="00A41805"/>
    <w:rsid w:val="00A51882"/>
    <w:rsid w:val="00A52AFB"/>
    <w:rsid w:val="00A548CB"/>
    <w:rsid w:val="00A5521C"/>
    <w:rsid w:val="00A643E7"/>
    <w:rsid w:val="00A73C38"/>
    <w:rsid w:val="00A7767C"/>
    <w:rsid w:val="00A7799D"/>
    <w:rsid w:val="00AA19F2"/>
    <w:rsid w:val="00AB03E8"/>
    <w:rsid w:val="00AB670D"/>
    <w:rsid w:val="00AF03C5"/>
    <w:rsid w:val="00AF2876"/>
    <w:rsid w:val="00B000D8"/>
    <w:rsid w:val="00B00F75"/>
    <w:rsid w:val="00B145B6"/>
    <w:rsid w:val="00B279EB"/>
    <w:rsid w:val="00B50C81"/>
    <w:rsid w:val="00B557F8"/>
    <w:rsid w:val="00B60986"/>
    <w:rsid w:val="00B65662"/>
    <w:rsid w:val="00B815FC"/>
    <w:rsid w:val="00B93FBC"/>
    <w:rsid w:val="00BA7DA0"/>
    <w:rsid w:val="00BB2EE4"/>
    <w:rsid w:val="00BB4C92"/>
    <w:rsid w:val="00BC2108"/>
    <w:rsid w:val="00BD0E9E"/>
    <w:rsid w:val="00BD1BEC"/>
    <w:rsid w:val="00BD32FF"/>
    <w:rsid w:val="00BF0321"/>
    <w:rsid w:val="00BF146F"/>
    <w:rsid w:val="00BF6FE9"/>
    <w:rsid w:val="00C002ED"/>
    <w:rsid w:val="00C02092"/>
    <w:rsid w:val="00C2355C"/>
    <w:rsid w:val="00C24D91"/>
    <w:rsid w:val="00C26027"/>
    <w:rsid w:val="00C26DB2"/>
    <w:rsid w:val="00C53F14"/>
    <w:rsid w:val="00C600CF"/>
    <w:rsid w:val="00C6084F"/>
    <w:rsid w:val="00C62A66"/>
    <w:rsid w:val="00C66359"/>
    <w:rsid w:val="00C71458"/>
    <w:rsid w:val="00C77613"/>
    <w:rsid w:val="00C828E7"/>
    <w:rsid w:val="00C86719"/>
    <w:rsid w:val="00C921DD"/>
    <w:rsid w:val="00CA6391"/>
    <w:rsid w:val="00CA6611"/>
    <w:rsid w:val="00CE036E"/>
    <w:rsid w:val="00CE3171"/>
    <w:rsid w:val="00CE7635"/>
    <w:rsid w:val="00CF1601"/>
    <w:rsid w:val="00D0172F"/>
    <w:rsid w:val="00D01E33"/>
    <w:rsid w:val="00D068A7"/>
    <w:rsid w:val="00D13DA4"/>
    <w:rsid w:val="00D17476"/>
    <w:rsid w:val="00D32086"/>
    <w:rsid w:val="00D37A3F"/>
    <w:rsid w:val="00D4431D"/>
    <w:rsid w:val="00D4667A"/>
    <w:rsid w:val="00D63A1C"/>
    <w:rsid w:val="00D727B9"/>
    <w:rsid w:val="00D7516F"/>
    <w:rsid w:val="00D95F8E"/>
    <w:rsid w:val="00DA0590"/>
    <w:rsid w:val="00DA3A6B"/>
    <w:rsid w:val="00DC1739"/>
    <w:rsid w:val="00DC1788"/>
    <w:rsid w:val="00DE319C"/>
    <w:rsid w:val="00DF0CA8"/>
    <w:rsid w:val="00DF2B48"/>
    <w:rsid w:val="00DF49A7"/>
    <w:rsid w:val="00E07C32"/>
    <w:rsid w:val="00E07EE2"/>
    <w:rsid w:val="00E07FD1"/>
    <w:rsid w:val="00E24573"/>
    <w:rsid w:val="00E25E1E"/>
    <w:rsid w:val="00E27EE7"/>
    <w:rsid w:val="00E35404"/>
    <w:rsid w:val="00E45109"/>
    <w:rsid w:val="00E47B7A"/>
    <w:rsid w:val="00E56A44"/>
    <w:rsid w:val="00E57B8F"/>
    <w:rsid w:val="00E60269"/>
    <w:rsid w:val="00E87895"/>
    <w:rsid w:val="00E930C3"/>
    <w:rsid w:val="00E97830"/>
    <w:rsid w:val="00EA602E"/>
    <w:rsid w:val="00EE0830"/>
    <w:rsid w:val="00EE543C"/>
    <w:rsid w:val="00EE6CB8"/>
    <w:rsid w:val="00EF0683"/>
    <w:rsid w:val="00F0070C"/>
    <w:rsid w:val="00F00EB7"/>
    <w:rsid w:val="00F1106B"/>
    <w:rsid w:val="00F16B32"/>
    <w:rsid w:val="00F175AF"/>
    <w:rsid w:val="00F1774F"/>
    <w:rsid w:val="00F265BE"/>
    <w:rsid w:val="00F36AB6"/>
    <w:rsid w:val="00F37A09"/>
    <w:rsid w:val="00F409CE"/>
    <w:rsid w:val="00F4379D"/>
    <w:rsid w:val="00F50D2D"/>
    <w:rsid w:val="00F56C8B"/>
    <w:rsid w:val="00F62639"/>
    <w:rsid w:val="00F654F3"/>
    <w:rsid w:val="00F66810"/>
    <w:rsid w:val="00F84DF4"/>
    <w:rsid w:val="00F85C97"/>
    <w:rsid w:val="00F86660"/>
    <w:rsid w:val="00F97F53"/>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0B76A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F287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F2876"/>
    <w:rPr>
      <w:rFonts w:eastAsiaTheme="minorHAnsi" w:cstheme="minorBidi"/>
      <w:sz w:val="24"/>
      <w:szCs w:val="22"/>
      <w:lang w:eastAsia="en-US"/>
    </w:rPr>
  </w:style>
  <w:style w:type="character" w:customStyle="1" w:styleId="SCCBanSummaryChar">
    <w:name w:val="SCC.BanSummary Char"/>
    <w:basedOn w:val="DefaultParagraphFont"/>
    <w:link w:val="SCCBanSummary"/>
    <w:rsid w:val="00AF2876"/>
    <w:rPr>
      <w:b/>
      <w:sz w:val="24"/>
    </w:rPr>
  </w:style>
  <w:style w:type="table" w:styleId="TableGrid">
    <w:name w:val="Table Grid"/>
    <w:basedOn w:val="TableNormal"/>
    <w:uiPriority w:val="59"/>
    <w:rsid w:val="00AF287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F287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F287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F287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F2876"/>
    <w:pPr>
      <w:numPr>
        <w:numId w:val="7"/>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F287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F2876"/>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F2876"/>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F2876"/>
    <w:pPr>
      <w:numPr>
        <w:ilvl w:val="4"/>
      </w:numPr>
      <w:tabs>
        <w:tab w:val="clear" w:pos="576"/>
        <w:tab w:val="left" w:pos="1620"/>
      </w:tabs>
      <w:ind w:left="1620" w:hanging="540"/>
    </w:pPr>
  </w:style>
  <w:style w:type="paragraph" w:styleId="TOC1">
    <w:name w:val="toc 1"/>
    <w:basedOn w:val="Normal"/>
    <w:next w:val="Normal"/>
    <w:autoRedefine/>
    <w:uiPriority w:val="39"/>
    <w:unhideWhenUsed/>
    <w:rsid w:val="00AF287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F287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F287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F287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F287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F2876"/>
    <w:pPr>
      <w:tabs>
        <w:tab w:val="left" w:pos="2160"/>
        <w:tab w:val="right" w:leader="dot" w:pos="8270"/>
      </w:tabs>
      <w:spacing w:after="100"/>
      <w:ind w:left="1800"/>
    </w:pPr>
    <w:rPr>
      <w:noProof/>
    </w:rPr>
  </w:style>
  <w:style w:type="table" w:customStyle="1" w:styleId="TableGrid1">
    <w:name w:val="Table Grid1"/>
    <w:basedOn w:val="TableNormal"/>
    <w:uiPriority w:val="59"/>
    <w:rsid w:val="00AF287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F2876"/>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AF2876"/>
    <w:rPr>
      <w:sz w:val="20"/>
    </w:rPr>
  </w:style>
  <w:style w:type="character" w:customStyle="1" w:styleId="FootnoteTextChar">
    <w:name w:val="Footnote Text Char"/>
    <w:basedOn w:val="DefaultParagraphFont"/>
    <w:link w:val="FootnoteText"/>
    <w:uiPriority w:val="99"/>
    <w:rsid w:val="00AF2876"/>
  </w:style>
  <w:style w:type="character" w:styleId="FootnoteReference">
    <w:name w:val="footnote reference"/>
    <w:basedOn w:val="DefaultParagraphFont"/>
    <w:uiPriority w:val="99"/>
    <w:unhideWhenUsed/>
    <w:rsid w:val="00AF2876"/>
    <w:rPr>
      <w:vertAlign w:val="superscript"/>
    </w:rPr>
  </w:style>
  <w:style w:type="character" w:styleId="Hyperlink">
    <w:name w:val="Hyperlink"/>
    <w:basedOn w:val="DefaultParagraphFont"/>
    <w:uiPriority w:val="99"/>
    <w:semiHidden/>
    <w:unhideWhenUsed/>
    <w:rsid w:val="00AF2876"/>
    <w:rPr>
      <w:rFonts w:ascii="Verdana" w:hAnsi="Verdana" w:hint="default"/>
      <w:strike w:val="0"/>
      <w:dstrike w:val="0"/>
      <w:color w:val="004B91"/>
      <w:u w:val="none"/>
      <w:effect w:val="none"/>
    </w:rPr>
  </w:style>
  <w:style w:type="character" w:customStyle="1" w:styleId="italic1">
    <w:name w:val="italic1"/>
    <w:basedOn w:val="DefaultParagraphFont"/>
    <w:rsid w:val="00AF2876"/>
    <w:rPr>
      <w:i/>
      <w:iCs/>
    </w:rPr>
  </w:style>
  <w:style w:type="paragraph" w:customStyle="1" w:styleId="felsky11">
    <w:name w:val="felsky11"/>
    <w:basedOn w:val="Normal"/>
    <w:rsid w:val="00AF2876"/>
    <w:pPr>
      <w:autoSpaceDE w:val="0"/>
      <w:autoSpaceDN w:val="0"/>
    </w:pPr>
    <w:rPr>
      <w:szCs w:val="24"/>
    </w:rPr>
  </w:style>
  <w:style w:type="paragraph" w:customStyle="1" w:styleId="loose">
    <w:name w:val="loose"/>
    <w:basedOn w:val="Normal"/>
    <w:rsid w:val="00AF2876"/>
    <w:pPr>
      <w:spacing w:before="210"/>
    </w:pPr>
    <w:rPr>
      <w:szCs w:val="24"/>
    </w:rPr>
  </w:style>
  <w:style w:type="character" w:customStyle="1" w:styleId="bold1">
    <w:name w:val="bold1"/>
    <w:basedOn w:val="DefaultParagraphFont"/>
    <w:rsid w:val="00AF2876"/>
    <w:rPr>
      <w:b/>
      <w:bCs/>
    </w:rPr>
  </w:style>
  <w:style w:type="character" w:customStyle="1" w:styleId="highlight">
    <w:name w:val="highlight"/>
    <w:basedOn w:val="DefaultParagraphFont"/>
    <w:rsid w:val="00AF2876"/>
  </w:style>
  <w:style w:type="character" w:customStyle="1" w:styleId="decisia-reflex2-icon">
    <w:name w:val="decisia-reflex2-icon"/>
    <w:basedOn w:val="DefaultParagraphFont"/>
    <w:rsid w:val="00AF2876"/>
    <w:rPr>
      <w:strike w:val="0"/>
      <w:dstrike w:val="0"/>
      <w:sz w:val="19"/>
      <w:szCs w:val="19"/>
      <w:u w:val="none"/>
      <w:effect w:val="none"/>
    </w:rPr>
  </w:style>
  <w:style w:type="character" w:customStyle="1" w:styleId="SCCLsocPartyRoleChar">
    <w:name w:val="SCC.Lsoc.PartyRole Char"/>
    <w:basedOn w:val="DefaultParagraphFont"/>
    <w:rsid w:val="004030E3"/>
    <w:rPr>
      <w:lang w:val="fr-CA"/>
    </w:rPr>
  </w:style>
  <w:style w:type="paragraph" w:customStyle="1" w:styleId="SCCLsocPrefix">
    <w:name w:val="SCC.Lsoc.Prefix"/>
    <w:basedOn w:val="Normal"/>
    <w:next w:val="Normal"/>
    <w:link w:val="SCCLsocPrefixChar"/>
    <w:rsid w:val="004030E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030E3"/>
    <w:rPr>
      <w:rFonts w:eastAsiaTheme="minorHAnsi" w:cstheme="minorBidi"/>
      <w:b/>
      <w:smallCaps/>
      <w:sz w:val="24"/>
      <w:szCs w:val="24"/>
      <w:lang w:val="fr-CA" w:eastAsia="en-US"/>
    </w:rPr>
  </w:style>
  <w:style w:type="paragraph" w:styleId="Quote">
    <w:name w:val="Quote"/>
    <w:basedOn w:val="Normal"/>
    <w:next w:val="Normal"/>
    <w:link w:val="QuoteChar"/>
    <w:uiPriority w:val="29"/>
    <w:qFormat/>
    <w:rsid w:val="004030E3"/>
    <w:rPr>
      <w:i/>
      <w:iCs/>
      <w:color w:val="000000" w:themeColor="text1"/>
    </w:rPr>
  </w:style>
  <w:style w:type="character" w:customStyle="1" w:styleId="QuoteChar">
    <w:name w:val="Quote Char"/>
    <w:basedOn w:val="DefaultParagraphFont"/>
    <w:link w:val="Quote"/>
    <w:uiPriority w:val="29"/>
    <w:rsid w:val="004030E3"/>
    <w:rPr>
      <w:i/>
      <w:iCs/>
      <w:color w:val="000000" w:themeColor="text1"/>
      <w:sz w:val="24"/>
    </w:rPr>
  </w:style>
  <w:style w:type="paragraph" w:customStyle="1" w:styleId="SCCAppellantForCitation">
    <w:name w:val="SCC.AppellantForCitation"/>
    <w:basedOn w:val="Normal"/>
    <w:next w:val="Normal"/>
    <w:link w:val="SCCAppellantForCitationChar"/>
    <w:rsid w:val="004030E3"/>
    <w:rPr>
      <w:i/>
    </w:rPr>
  </w:style>
  <w:style w:type="character" w:customStyle="1" w:styleId="SCCAppellantForCitationChar">
    <w:name w:val="SCC.AppellantForCitation Char"/>
    <w:basedOn w:val="DefaultParagraphFont"/>
    <w:link w:val="SCCAppellantForCitation"/>
    <w:rsid w:val="004030E3"/>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2022-12-06T20:49:00Z</dcterms:created>
  <dcterms:modified xsi:type="dcterms:W3CDTF">2022-12-06T20:49:00Z</dcterms:modified>
</cp:coreProperties>
</file>