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3E" w:rsidRDefault="0018243E" w:rsidP="0018243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93701946" r:id="rId9"/>
        </w:object>
      </w:r>
      <w:r>
        <w:t xml:space="preserve"> </w:t>
      </w:r>
      <w:r>
        <w:ptab w:relativeTo="margin" w:alignment="right" w:leader="none"/>
      </w:r>
    </w:p>
    <w:p w:rsidR="0018243E" w:rsidRDefault="0018243E" w:rsidP="0018243E">
      <w:pPr>
        <w:pStyle w:val="Header"/>
      </w:pPr>
    </w:p>
    <w:p w:rsidR="0018243E" w:rsidRPr="001E12E2" w:rsidRDefault="0018243E" w:rsidP="0018243E">
      <w:pPr>
        <w:jc w:val="center"/>
        <w:rPr>
          <w:b/>
        </w:rPr>
      </w:pPr>
      <w:r w:rsidRPr="001E12E2">
        <w:rPr>
          <w:b/>
        </w:rPr>
        <w:t>COUR SUPRÊME DU CANADA</w:t>
      </w:r>
    </w:p>
    <w:p w:rsidR="0018243E" w:rsidRDefault="0018243E" w:rsidP="0018243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8243E" w:rsidRPr="001E12E2" w:rsidTr="00734A88">
        <w:trPr>
          <w:cantSplit/>
        </w:trPr>
        <w:tc>
          <w:tcPr>
            <w:tcW w:w="6768" w:type="dxa"/>
          </w:tcPr>
          <w:p w:rsidR="0018243E" w:rsidRPr="001E12E2" w:rsidRDefault="0018243E" w:rsidP="00734A88">
            <w:r>
              <w:rPr>
                <w:b/>
                <w:smallCaps/>
              </w:rPr>
              <w:t>Référence :</w:t>
            </w:r>
            <w:r w:rsidRPr="001E12E2">
              <w:t xml:space="preserve"> </w:t>
            </w:r>
            <w:r w:rsidRPr="00645F7E">
              <w:t xml:space="preserve">Association de la police </w:t>
            </w:r>
            <w:proofErr w:type="spellStart"/>
            <w:r w:rsidRPr="00645F7E">
              <w:t>montée</w:t>
            </w:r>
            <w:proofErr w:type="spellEnd"/>
            <w:r w:rsidRPr="00645F7E">
              <w:t xml:space="preserve"> de </w:t>
            </w:r>
            <w:proofErr w:type="spellStart"/>
            <w:r w:rsidRPr="00645F7E">
              <w:t>l’Ontario</w:t>
            </w:r>
            <w:proofErr w:type="spellEnd"/>
            <w:r w:rsidRPr="00645F7E">
              <w:t xml:space="preserve"> </w:t>
            </w:r>
            <w:r w:rsidRPr="00645F7E">
              <w:rPr>
                <w:i/>
              </w:rPr>
              <w:t>c.</w:t>
            </w:r>
            <w:r w:rsidRPr="00645F7E">
              <w:t xml:space="preserve"> Canada (</w:t>
            </w:r>
            <w:proofErr w:type="spellStart"/>
            <w:r w:rsidRPr="00645F7E">
              <w:t>Procureur</w:t>
            </w:r>
            <w:proofErr w:type="spellEnd"/>
            <w:r w:rsidRPr="00645F7E">
              <w:t xml:space="preserve"> </w:t>
            </w:r>
            <w:proofErr w:type="spellStart"/>
            <w:r w:rsidRPr="00645F7E">
              <w:t>général</w:t>
            </w:r>
            <w:proofErr w:type="spellEnd"/>
            <w:r w:rsidRPr="00645F7E">
              <w:t>)</w:t>
            </w:r>
            <w:r>
              <w:t xml:space="preserve">, 2015 CSC 1, </w:t>
            </w:r>
            <w:r w:rsidRPr="00B802A5">
              <w:rPr>
                <w:lang w:val="fr-CA"/>
              </w:rPr>
              <w:t xml:space="preserve">[2015] </w:t>
            </w:r>
            <w:r>
              <w:rPr>
                <w:lang w:val="fr-CA"/>
              </w:rPr>
              <w:t xml:space="preserve">1 </w:t>
            </w:r>
            <w:r w:rsidRPr="00B802A5">
              <w:rPr>
                <w:lang w:val="fr-CA"/>
              </w:rPr>
              <w:t>R.C.S. 3</w:t>
            </w:r>
          </w:p>
        </w:tc>
        <w:tc>
          <w:tcPr>
            <w:tcW w:w="2808" w:type="dxa"/>
          </w:tcPr>
          <w:p w:rsidR="0018243E" w:rsidRPr="001E12E2" w:rsidRDefault="0018243E" w:rsidP="00734A88">
            <w:r w:rsidRPr="001E12E2">
              <w:rPr>
                <w:b/>
                <w:smallCaps/>
              </w:rPr>
              <w:t>Date</w:t>
            </w:r>
            <w:r>
              <w:rPr>
                <w:b/>
                <w:smallCaps/>
              </w:rPr>
              <w:t> :</w:t>
            </w:r>
            <w:r w:rsidRPr="001E12E2">
              <w:t xml:space="preserve"> </w:t>
            </w:r>
            <w:r>
              <w:t>20150116</w:t>
            </w:r>
          </w:p>
          <w:p w:rsidR="0018243E" w:rsidRPr="001E12E2" w:rsidRDefault="0018243E" w:rsidP="00734A88">
            <w:r w:rsidRPr="001E12E2">
              <w:rPr>
                <w:b/>
                <w:smallCaps/>
              </w:rPr>
              <w:t>Do</w:t>
            </w:r>
            <w:r>
              <w:rPr>
                <w:b/>
                <w:smallCaps/>
              </w:rPr>
              <w:t>ssier :</w:t>
            </w:r>
            <w:r w:rsidRPr="001E12E2">
              <w:t xml:space="preserve"> </w:t>
            </w:r>
            <w:r>
              <w:t>34948</w:t>
            </w:r>
          </w:p>
        </w:tc>
      </w:tr>
    </w:tbl>
    <w:p w:rsidR="0018243E" w:rsidRPr="001E12E2" w:rsidRDefault="0018243E" w:rsidP="0018243E"/>
    <w:p w:rsidR="0018243E" w:rsidRDefault="0018243E" w:rsidP="0018243E">
      <w:pPr>
        <w:pStyle w:val="SCCLsocPrefix"/>
      </w:pPr>
      <w:r>
        <w:t>Entre :</w:t>
      </w:r>
    </w:p>
    <w:p w:rsidR="0018243E" w:rsidRDefault="0018243E" w:rsidP="0018243E">
      <w:pPr>
        <w:pStyle w:val="SCCLsocParty"/>
        <w:jc w:val="center"/>
      </w:pPr>
      <w:r>
        <w:t xml:space="preserve">Association de la police </w:t>
      </w:r>
      <w:proofErr w:type="spellStart"/>
      <w:r>
        <w:t>montée</w:t>
      </w:r>
      <w:proofErr w:type="spellEnd"/>
      <w:r>
        <w:t xml:space="preserve"> de </w:t>
      </w:r>
      <w:proofErr w:type="spellStart"/>
      <w:r>
        <w:t>l’Ontario</w:t>
      </w:r>
      <w:proofErr w:type="spellEnd"/>
      <w:r>
        <w:t xml:space="preserve"> </w:t>
      </w:r>
      <w:proofErr w:type="gramStart"/>
      <w:r>
        <w:t>et</w:t>
      </w:r>
      <w:proofErr w:type="gramEnd"/>
      <w:r>
        <w:t xml:space="preserve"> British Columbia Mounted Police Professional Association, en </w:t>
      </w:r>
      <w:proofErr w:type="spellStart"/>
      <w:r>
        <w:t>leur</w:t>
      </w:r>
      <w:proofErr w:type="spellEnd"/>
      <w:r>
        <w:t xml:space="preserve"> </w:t>
      </w:r>
      <w:proofErr w:type="spellStart"/>
      <w:r>
        <w:t>propre</w:t>
      </w:r>
      <w:proofErr w:type="spellEnd"/>
      <w:r>
        <w:t xml:space="preserve"> nom et au nom de </w:t>
      </w:r>
      <w:proofErr w:type="spellStart"/>
      <w:r>
        <w:t>tous</w:t>
      </w:r>
      <w:proofErr w:type="spellEnd"/>
      <w:r>
        <w:t xml:space="preserve"> les </w:t>
      </w:r>
      <w:proofErr w:type="spellStart"/>
      <w:r>
        <w:t>membres</w:t>
      </w:r>
      <w:proofErr w:type="spellEnd"/>
    </w:p>
    <w:p w:rsidR="0018243E" w:rsidRDefault="0018243E" w:rsidP="0018243E">
      <w:pPr>
        <w:pStyle w:val="SCCLsocParty"/>
        <w:jc w:val="center"/>
      </w:pPr>
      <w:proofErr w:type="gramStart"/>
      <w:r>
        <w:t>et</w:t>
      </w:r>
      <w:proofErr w:type="gramEnd"/>
      <w:r>
        <w:t xml:space="preserve"> les </w:t>
      </w:r>
      <w:proofErr w:type="spellStart"/>
      <w:r>
        <w:t>employés</w:t>
      </w:r>
      <w:proofErr w:type="spellEnd"/>
      <w:r>
        <w:t xml:space="preserve"> de la Gendarmerie </w:t>
      </w:r>
      <w:proofErr w:type="spellStart"/>
      <w:r>
        <w:t>royale</w:t>
      </w:r>
      <w:proofErr w:type="spellEnd"/>
      <w:r>
        <w:t xml:space="preserve"> du Canada</w:t>
      </w:r>
    </w:p>
    <w:p w:rsidR="0018243E" w:rsidRDefault="0018243E" w:rsidP="0018243E">
      <w:pPr>
        <w:jc w:val="center"/>
      </w:pPr>
      <w:proofErr w:type="spellStart"/>
      <w:r>
        <w:t>Appelants</w:t>
      </w:r>
      <w:proofErr w:type="spellEnd"/>
    </w:p>
    <w:p w:rsidR="0018243E" w:rsidRPr="0018243E" w:rsidRDefault="0018243E" w:rsidP="0018243E">
      <w:pPr>
        <w:pStyle w:val="SCCLsocVersus"/>
        <w:spacing w:after="0"/>
        <w:jc w:val="center"/>
        <w:rPr>
          <w:i w:val="0"/>
        </w:rPr>
      </w:pPr>
      <w:proofErr w:type="gramStart"/>
      <w:r w:rsidRPr="0018243E">
        <w:rPr>
          <w:i w:val="0"/>
        </w:rPr>
        <w:t>et</w:t>
      </w:r>
      <w:proofErr w:type="gramEnd"/>
    </w:p>
    <w:p w:rsidR="0018243E" w:rsidRDefault="0018243E" w:rsidP="0018243E">
      <w:pPr>
        <w:pStyle w:val="SCCLsocParty"/>
        <w:jc w:val="center"/>
      </w:pPr>
      <w:proofErr w:type="spellStart"/>
      <w:r>
        <w:t>Procureur</w:t>
      </w:r>
      <w:proofErr w:type="spellEnd"/>
      <w:r>
        <w:t xml:space="preserve"> </w:t>
      </w:r>
      <w:proofErr w:type="spellStart"/>
      <w:r>
        <w:t>général</w:t>
      </w:r>
      <w:proofErr w:type="spellEnd"/>
      <w:r>
        <w:t xml:space="preserve"> du Canada</w:t>
      </w:r>
    </w:p>
    <w:p w:rsidR="0018243E" w:rsidRDefault="0018243E" w:rsidP="0018243E">
      <w:pPr>
        <w:jc w:val="center"/>
      </w:pPr>
      <w:proofErr w:type="spellStart"/>
      <w:r>
        <w:t>Intimé</w:t>
      </w:r>
      <w:proofErr w:type="spellEnd"/>
    </w:p>
    <w:p w:rsidR="0018243E" w:rsidRDefault="0018243E" w:rsidP="0018243E">
      <w:pPr>
        <w:pStyle w:val="SCCLsocOtherPartySeparator"/>
        <w:spacing w:after="0"/>
        <w:jc w:val="center"/>
      </w:pPr>
      <w:r>
        <w:t xml:space="preserve">- </w:t>
      </w:r>
      <w:proofErr w:type="gramStart"/>
      <w:r>
        <w:t>et</w:t>
      </w:r>
      <w:proofErr w:type="gramEnd"/>
      <w:r>
        <w:t xml:space="preserve"> -</w:t>
      </w:r>
    </w:p>
    <w:p w:rsidR="0018243E" w:rsidRDefault="0018243E" w:rsidP="0018243E">
      <w:pPr>
        <w:pStyle w:val="SCCLsocParty"/>
        <w:jc w:val="center"/>
      </w:pPr>
      <w:proofErr w:type="spellStart"/>
      <w:r>
        <w:t>Procureur</w:t>
      </w:r>
      <w:proofErr w:type="spellEnd"/>
      <w:r>
        <w:t xml:space="preserve"> </w:t>
      </w:r>
      <w:proofErr w:type="spellStart"/>
      <w:r>
        <w:t>général</w:t>
      </w:r>
      <w:proofErr w:type="spellEnd"/>
      <w:r>
        <w:t xml:space="preserve"> de </w:t>
      </w:r>
      <w:proofErr w:type="spellStart"/>
      <w:r>
        <w:t>l’Ontario</w:t>
      </w:r>
      <w:proofErr w:type="spellEnd"/>
      <w:r>
        <w:t xml:space="preserve">, </w:t>
      </w:r>
      <w:proofErr w:type="spellStart"/>
      <w:r>
        <w:t>procureur</w:t>
      </w:r>
      <w:proofErr w:type="spellEnd"/>
      <w:r>
        <w:t xml:space="preserve"> </w:t>
      </w:r>
      <w:proofErr w:type="spellStart"/>
      <w:r>
        <w:t>général</w:t>
      </w:r>
      <w:proofErr w:type="spellEnd"/>
      <w:r>
        <w:t xml:space="preserve"> de la </w:t>
      </w:r>
      <w:proofErr w:type="spellStart"/>
      <w:r>
        <w:t>Colombie-Britannique</w:t>
      </w:r>
      <w:proofErr w:type="spellEnd"/>
      <w:r>
        <w:t>,</w:t>
      </w:r>
    </w:p>
    <w:p w:rsidR="0018243E" w:rsidRDefault="0018243E" w:rsidP="0018243E">
      <w:pPr>
        <w:pStyle w:val="SCCLsocParty"/>
        <w:jc w:val="center"/>
      </w:pPr>
      <w:proofErr w:type="spellStart"/>
      <w:proofErr w:type="gramStart"/>
      <w:r>
        <w:t>procureur</w:t>
      </w:r>
      <w:proofErr w:type="spellEnd"/>
      <w:proofErr w:type="gramEnd"/>
      <w:r>
        <w:t xml:space="preserve"> </w:t>
      </w:r>
      <w:proofErr w:type="spellStart"/>
      <w:r>
        <w:t>général</w:t>
      </w:r>
      <w:proofErr w:type="spellEnd"/>
      <w:r>
        <w:t xml:space="preserve"> de la Saskatchewan, </w:t>
      </w:r>
      <w:proofErr w:type="spellStart"/>
      <w:r>
        <w:t>procureur</w:t>
      </w:r>
      <w:proofErr w:type="spellEnd"/>
      <w:r>
        <w:t xml:space="preserve"> </w:t>
      </w:r>
      <w:proofErr w:type="spellStart"/>
      <w:r>
        <w:t>général</w:t>
      </w:r>
      <w:proofErr w:type="spellEnd"/>
      <w:r>
        <w:t xml:space="preserve"> de </w:t>
      </w:r>
      <w:proofErr w:type="spellStart"/>
      <w:r>
        <w:t>l’Alberta</w:t>
      </w:r>
      <w:proofErr w:type="spellEnd"/>
      <w:r>
        <w:t>,</w:t>
      </w:r>
    </w:p>
    <w:p w:rsidR="0018243E" w:rsidRDefault="0018243E" w:rsidP="0018243E">
      <w:pPr>
        <w:pStyle w:val="SCCLsocParty"/>
        <w:jc w:val="center"/>
      </w:pPr>
      <w:r>
        <w:t xml:space="preserve">Association des </w:t>
      </w:r>
      <w:proofErr w:type="spellStart"/>
      <w:r>
        <w:t>membres</w:t>
      </w:r>
      <w:proofErr w:type="spellEnd"/>
      <w:r>
        <w:t xml:space="preserve"> de la Police </w:t>
      </w:r>
      <w:proofErr w:type="spellStart"/>
      <w:r>
        <w:t>Montée</w:t>
      </w:r>
      <w:proofErr w:type="spellEnd"/>
      <w:r>
        <w:t xml:space="preserve"> du Québec Inc., </w:t>
      </w:r>
      <w:proofErr w:type="spellStart"/>
      <w:r>
        <w:t>Fonds</w:t>
      </w:r>
      <w:proofErr w:type="spellEnd"/>
      <w:r>
        <w:t xml:space="preserve"> de </w:t>
      </w:r>
      <w:proofErr w:type="spellStart"/>
      <w:r>
        <w:t>recours</w:t>
      </w:r>
      <w:proofErr w:type="spellEnd"/>
      <w:r>
        <w:t xml:space="preserve"> </w:t>
      </w:r>
      <w:proofErr w:type="spellStart"/>
      <w:r>
        <w:t>juridique</w:t>
      </w:r>
      <w:proofErr w:type="spellEnd"/>
      <w:r>
        <w:t xml:space="preserve"> des </w:t>
      </w:r>
      <w:proofErr w:type="spellStart"/>
      <w:r>
        <w:t>membres</w:t>
      </w:r>
      <w:proofErr w:type="spellEnd"/>
      <w:r>
        <w:t xml:space="preserve"> de la Gendarmerie, </w:t>
      </w:r>
      <w:proofErr w:type="spellStart"/>
      <w:r>
        <w:t>Confédération</w:t>
      </w:r>
      <w:proofErr w:type="spellEnd"/>
      <w:r>
        <w:t xml:space="preserve"> des </w:t>
      </w:r>
      <w:proofErr w:type="spellStart"/>
      <w:r>
        <w:t>syndicats</w:t>
      </w:r>
      <w:proofErr w:type="spellEnd"/>
      <w:r>
        <w:t xml:space="preserve"> </w:t>
      </w:r>
      <w:proofErr w:type="spellStart"/>
      <w:r>
        <w:t>nationaux</w:t>
      </w:r>
      <w:proofErr w:type="spellEnd"/>
      <w:r>
        <w:t>,</w:t>
      </w:r>
    </w:p>
    <w:p w:rsidR="0018243E" w:rsidRDefault="0018243E" w:rsidP="0018243E">
      <w:pPr>
        <w:pStyle w:val="SCCLsocParty"/>
        <w:jc w:val="center"/>
      </w:pPr>
      <w:r>
        <w:t xml:space="preserve">Association </w:t>
      </w:r>
      <w:proofErr w:type="spellStart"/>
      <w:r>
        <w:t>canadienne</w:t>
      </w:r>
      <w:proofErr w:type="spellEnd"/>
      <w:r>
        <w:t xml:space="preserve"> des </w:t>
      </w:r>
      <w:proofErr w:type="spellStart"/>
      <w:r>
        <w:t>policiers</w:t>
      </w:r>
      <w:proofErr w:type="spellEnd"/>
      <w:r>
        <w:t xml:space="preserve">, </w:t>
      </w:r>
      <w:proofErr w:type="spellStart"/>
      <w:r>
        <w:t>Congrès</w:t>
      </w:r>
      <w:proofErr w:type="spellEnd"/>
      <w:r>
        <w:t xml:space="preserve"> du travail du Canada, Association </w:t>
      </w:r>
      <w:proofErr w:type="spellStart"/>
      <w:r>
        <w:t>canadienne</w:t>
      </w:r>
      <w:proofErr w:type="spellEnd"/>
      <w:r>
        <w:t xml:space="preserve"> des </w:t>
      </w:r>
      <w:proofErr w:type="spellStart"/>
      <w:r>
        <w:t>libertés</w:t>
      </w:r>
      <w:proofErr w:type="spellEnd"/>
      <w:r>
        <w:t xml:space="preserve"> </w:t>
      </w:r>
      <w:proofErr w:type="spellStart"/>
      <w:r>
        <w:t>civiles</w:t>
      </w:r>
      <w:proofErr w:type="spellEnd"/>
      <w:r>
        <w:t xml:space="preserve">, </w:t>
      </w:r>
      <w:proofErr w:type="spellStart"/>
      <w:r>
        <w:t>Allliance</w:t>
      </w:r>
      <w:proofErr w:type="spellEnd"/>
      <w:r>
        <w:t xml:space="preserve"> de la </w:t>
      </w:r>
      <w:proofErr w:type="spellStart"/>
      <w:r>
        <w:t>Fonction</w:t>
      </w:r>
      <w:proofErr w:type="spellEnd"/>
      <w:r>
        <w:t xml:space="preserve"> </w:t>
      </w:r>
      <w:proofErr w:type="spellStart"/>
      <w:r>
        <w:t>publique</w:t>
      </w:r>
      <w:proofErr w:type="spellEnd"/>
      <w:r>
        <w:t xml:space="preserve"> du Canada et</w:t>
      </w:r>
    </w:p>
    <w:p w:rsidR="0018243E" w:rsidRDefault="0018243E" w:rsidP="0018243E">
      <w:pPr>
        <w:pStyle w:val="SCCLsocParty"/>
        <w:jc w:val="center"/>
      </w:pPr>
      <w:r w:rsidRPr="00901DDE">
        <w:t xml:space="preserve">Association des </w:t>
      </w:r>
      <w:proofErr w:type="spellStart"/>
      <w:r w:rsidRPr="00901DDE">
        <w:t>libertés</w:t>
      </w:r>
      <w:proofErr w:type="spellEnd"/>
      <w:r w:rsidRPr="00901DDE">
        <w:t xml:space="preserve"> </w:t>
      </w:r>
      <w:proofErr w:type="spellStart"/>
      <w:r w:rsidRPr="00901DDE">
        <w:t>civiles</w:t>
      </w:r>
      <w:proofErr w:type="spellEnd"/>
      <w:r w:rsidRPr="00901DDE">
        <w:t xml:space="preserve"> de la </w:t>
      </w:r>
      <w:proofErr w:type="spellStart"/>
      <w:r w:rsidRPr="00901DDE">
        <w:t>Colombie</w:t>
      </w:r>
      <w:r>
        <w:t>-</w:t>
      </w:r>
      <w:r w:rsidRPr="00901DDE">
        <w:t>Britannique</w:t>
      </w:r>
      <w:proofErr w:type="spellEnd"/>
    </w:p>
    <w:p w:rsidR="0018243E" w:rsidRDefault="0018243E" w:rsidP="0018243E">
      <w:pPr>
        <w:jc w:val="center"/>
      </w:pPr>
      <w:proofErr w:type="spellStart"/>
      <w:r>
        <w:t>Intervenants</w:t>
      </w:r>
      <w:proofErr w:type="spellEnd"/>
      <w:r>
        <w:br/>
      </w:r>
    </w:p>
    <w:p w:rsidR="0018243E" w:rsidRDefault="0018243E" w:rsidP="0018243E"/>
    <w:p w:rsidR="0018243E" w:rsidRPr="001E12E2" w:rsidRDefault="0018243E" w:rsidP="0018243E">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18243E" w:rsidRPr="001E12E2" w:rsidRDefault="0018243E" w:rsidP="0018243E"/>
    <w:p w:rsidR="0018243E" w:rsidRPr="001E12E2" w:rsidRDefault="0018243E" w:rsidP="0018243E">
      <w:proofErr w:type="gramStart"/>
      <w:r w:rsidRPr="001E12E2">
        <w:rPr>
          <w:b/>
          <w:smallCaps/>
        </w:rPr>
        <w:t>Coram</w:t>
      </w:r>
      <w:r>
        <w:rPr>
          <w:b/>
          <w:smallCaps/>
        </w:rPr>
        <w:t> :</w:t>
      </w:r>
      <w:proofErr w:type="gramEnd"/>
      <w:r w:rsidRPr="001E12E2">
        <w:t xml:space="preserve"> </w:t>
      </w:r>
      <w:r>
        <w:t xml:space="preserve">La </w:t>
      </w:r>
      <w:proofErr w:type="spellStart"/>
      <w:r>
        <w:t>juge</w:t>
      </w:r>
      <w:proofErr w:type="spellEnd"/>
      <w:r>
        <w:t xml:space="preserve"> en chef </w:t>
      </w:r>
      <w:proofErr w:type="spellStart"/>
      <w:r>
        <w:t>McLachlin</w:t>
      </w:r>
      <w:proofErr w:type="spellEnd"/>
      <w:r>
        <w:t xml:space="preserve"> et les </w:t>
      </w:r>
      <w:proofErr w:type="spellStart"/>
      <w:r>
        <w:t>juges</w:t>
      </w:r>
      <w:proofErr w:type="spellEnd"/>
      <w:r>
        <w:t xml:space="preserve">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et </w:t>
      </w:r>
      <w:r w:rsidRPr="002D228C">
        <w:t>Wagner</w:t>
      </w:r>
    </w:p>
    <w:p w:rsidR="0018243E" w:rsidRPr="001E12E2" w:rsidRDefault="0018243E" w:rsidP="001824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8243E" w:rsidRPr="001E12E2" w:rsidTr="00734A88">
        <w:trPr>
          <w:cantSplit/>
        </w:trPr>
        <w:tc>
          <w:tcPr>
            <w:tcW w:w="3618" w:type="dxa"/>
          </w:tcPr>
          <w:p w:rsidR="0018243E" w:rsidRDefault="0018243E" w:rsidP="00734A88">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xml:space="preserve"> </w:t>
            </w:r>
            <w:proofErr w:type="spellStart"/>
            <w:r>
              <w:rPr>
                <w:b/>
                <w:smallCaps/>
              </w:rPr>
              <w:t>conjoints</w:t>
            </w:r>
            <w:proofErr w:type="spellEnd"/>
            <w:r>
              <w:rPr>
                <w:b/>
                <w:smallCaps/>
              </w:rPr>
              <w:t> :</w:t>
            </w:r>
          </w:p>
          <w:p w:rsidR="0018243E" w:rsidRPr="009B156D" w:rsidRDefault="0018243E" w:rsidP="00734A88">
            <w:pPr>
              <w:rPr>
                <w:smallCaps/>
              </w:rPr>
            </w:pPr>
            <w:r>
              <w:t>(par. 1 à 158)</w:t>
            </w:r>
          </w:p>
          <w:p w:rsidR="0018243E" w:rsidRPr="009B156D" w:rsidRDefault="0018243E" w:rsidP="00734A88">
            <w:pPr>
              <w:rPr>
                <w:smallCaps/>
              </w:rPr>
            </w:pPr>
          </w:p>
          <w:p w:rsidR="0018243E" w:rsidRPr="009B156D" w:rsidRDefault="0018243E" w:rsidP="00734A88">
            <w:pPr>
              <w:rPr>
                <w:b/>
                <w:smallCaps/>
              </w:rPr>
            </w:pPr>
            <w:r w:rsidRPr="009B156D">
              <w:rPr>
                <w:b/>
                <w:smallCaps/>
              </w:rPr>
              <w:t>Motifs dissidents :</w:t>
            </w:r>
          </w:p>
          <w:p w:rsidR="0018243E" w:rsidRDefault="0018243E" w:rsidP="00734A88">
            <w:r>
              <w:t>(par. 159 à 270)</w:t>
            </w:r>
          </w:p>
          <w:p w:rsidR="0018243E" w:rsidRPr="001E12E2" w:rsidRDefault="0018243E" w:rsidP="00734A88"/>
        </w:tc>
        <w:tc>
          <w:tcPr>
            <w:tcW w:w="5958" w:type="dxa"/>
          </w:tcPr>
          <w:p w:rsidR="0018243E" w:rsidRDefault="0018243E" w:rsidP="00734A88">
            <w:r>
              <w:t xml:space="preserve">La </w:t>
            </w:r>
            <w:proofErr w:type="spellStart"/>
            <w:r>
              <w:t>juge</w:t>
            </w:r>
            <w:proofErr w:type="spellEnd"/>
            <w:r>
              <w:t xml:space="preserve"> en chef </w:t>
            </w:r>
            <w:proofErr w:type="spellStart"/>
            <w:r>
              <w:t>McLachlin</w:t>
            </w:r>
            <w:proofErr w:type="spellEnd"/>
            <w:r>
              <w:t xml:space="preserve"> et le </w:t>
            </w:r>
            <w:proofErr w:type="spellStart"/>
            <w:r>
              <w:t>juge</w:t>
            </w:r>
            <w:proofErr w:type="spellEnd"/>
            <w:r>
              <w:t xml:space="preserve"> </w:t>
            </w:r>
            <w:proofErr w:type="spellStart"/>
            <w:r>
              <w:t>LeBel</w:t>
            </w:r>
            <w:proofErr w:type="spellEnd"/>
            <w:r>
              <w:t xml:space="preserve"> (avec </w:t>
            </w:r>
            <w:proofErr w:type="spellStart"/>
            <w:r>
              <w:t>l’accord</w:t>
            </w:r>
            <w:proofErr w:type="spellEnd"/>
            <w:r>
              <w:t xml:space="preserve"> des </w:t>
            </w:r>
            <w:proofErr w:type="spellStart"/>
            <w:r>
              <w:t>juges</w:t>
            </w:r>
            <w:proofErr w:type="spellEnd"/>
            <w:r>
              <w:t xml:space="preserve"> </w:t>
            </w:r>
            <w:proofErr w:type="spellStart"/>
            <w:r>
              <w:t>Abella</w:t>
            </w:r>
            <w:proofErr w:type="spellEnd"/>
            <w:r>
              <w:t xml:space="preserve">, Cromwell, </w:t>
            </w:r>
            <w:proofErr w:type="spellStart"/>
            <w:r>
              <w:t>Karakatsanis</w:t>
            </w:r>
            <w:proofErr w:type="spellEnd"/>
            <w:r>
              <w:t xml:space="preserve"> et Wagner)</w:t>
            </w:r>
          </w:p>
          <w:p w:rsidR="0018243E" w:rsidRDefault="0018243E" w:rsidP="00734A88"/>
          <w:p w:rsidR="0018243E" w:rsidRDefault="0018243E" w:rsidP="00734A88"/>
          <w:p w:rsidR="0018243E" w:rsidRDefault="0018243E" w:rsidP="00734A88">
            <w:r>
              <w:t xml:space="preserve">Le </w:t>
            </w:r>
            <w:proofErr w:type="spellStart"/>
            <w:r>
              <w:t>juge</w:t>
            </w:r>
            <w:proofErr w:type="spellEnd"/>
            <w:r>
              <w:t xml:space="preserve"> Rothstein</w:t>
            </w:r>
          </w:p>
          <w:p w:rsidR="0018243E" w:rsidRPr="001E12E2" w:rsidRDefault="0018243E" w:rsidP="00734A88"/>
        </w:tc>
      </w:tr>
    </w:tbl>
    <w:p w:rsidR="0018243E" w:rsidRDefault="0018243E" w:rsidP="0018243E"/>
    <w:p w:rsidR="0018243E" w:rsidRPr="001E12E2" w:rsidRDefault="0018243E" w:rsidP="0018243E">
      <w:r w:rsidRPr="00E92767">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8243E" w:rsidRDefault="0018243E" w:rsidP="00AB5A16">
      <w:pPr>
        <w:spacing w:after="720"/>
        <w:jc w:val="both"/>
        <w:rPr>
          <w:smallCaps/>
          <w:lang w:val="fr-CA"/>
        </w:rPr>
      </w:pPr>
    </w:p>
    <w:p w:rsidR="004D7D95" w:rsidRPr="00901DDE" w:rsidRDefault="00B802A5" w:rsidP="00AB5A16">
      <w:pPr>
        <w:spacing w:after="720"/>
        <w:jc w:val="both"/>
        <w:rPr>
          <w:lang w:val="fr-CA"/>
        </w:rPr>
      </w:pPr>
      <w:r w:rsidRPr="00B802A5">
        <w:rPr>
          <w:smallCaps/>
          <w:lang w:val="fr-CA"/>
        </w:rPr>
        <w:lastRenderedPageBreak/>
        <w:t>association de la police montée de l’</w:t>
      </w:r>
      <w:proofErr w:type="spellStart"/>
      <w:r w:rsidRPr="00B802A5">
        <w:rPr>
          <w:smallCaps/>
          <w:lang w:val="fr-CA"/>
        </w:rPr>
        <w:t>ontario</w:t>
      </w:r>
      <w:proofErr w:type="spellEnd"/>
      <w:r w:rsidRPr="00B802A5">
        <w:rPr>
          <w:smallCaps/>
          <w:lang w:val="fr-CA"/>
        </w:rPr>
        <w:t xml:space="preserve"> </w:t>
      </w:r>
      <w:r w:rsidRPr="00B802A5">
        <w:rPr>
          <w:i/>
          <w:lang w:val="fr-CA"/>
        </w:rPr>
        <w:t>c.</w:t>
      </w:r>
      <w:r w:rsidRPr="00B802A5">
        <w:rPr>
          <w:lang w:val="fr-CA"/>
        </w:rPr>
        <w:t xml:space="preserve"> </w:t>
      </w:r>
      <w:r w:rsidRPr="00B802A5">
        <w:rPr>
          <w:smallCaps/>
          <w:lang w:val="fr-CA"/>
        </w:rPr>
        <w:t>canada (</w:t>
      </w:r>
      <w:r w:rsidRPr="00B802A5">
        <w:rPr>
          <w:rStyle w:val="SCCRespondentForIndexChar"/>
          <w:b w:val="0"/>
          <w:smallCaps/>
          <w:lang w:val="fr-CA"/>
        </w:rPr>
        <w:t xml:space="preserve">procureur général), </w:t>
      </w:r>
      <w:r w:rsidRPr="00B802A5">
        <w:rPr>
          <w:lang w:val="fr-CA"/>
        </w:rPr>
        <w:t xml:space="preserve">2015 CSC 1, [2015] </w:t>
      </w:r>
      <w:r>
        <w:rPr>
          <w:lang w:val="fr-CA"/>
        </w:rPr>
        <w:t xml:space="preserve">1 </w:t>
      </w:r>
      <w:r w:rsidRPr="00B802A5">
        <w:rPr>
          <w:lang w:val="fr-CA"/>
        </w:rPr>
        <w:t>R.C.S. 3</w:t>
      </w:r>
    </w:p>
    <w:p w:rsidR="00475613" w:rsidRPr="00901DDE" w:rsidRDefault="00276982" w:rsidP="00795B2B">
      <w:pPr>
        <w:pStyle w:val="SCCLsocParty"/>
        <w:rPr>
          <w:lang w:val="fr-CA"/>
        </w:rPr>
      </w:pPr>
      <w:r w:rsidRPr="00901DDE">
        <w:rPr>
          <w:lang w:val="fr-CA"/>
        </w:rPr>
        <w:t>Association de la police montée de l’Ontario</w:t>
      </w:r>
      <w:r w:rsidR="00FA76F2" w:rsidRPr="00901DDE">
        <w:rPr>
          <w:lang w:val="fr-CA"/>
        </w:rPr>
        <w:t xml:space="preserve"> et</w:t>
      </w:r>
    </w:p>
    <w:p w:rsidR="00901DDE" w:rsidRPr="00B60DF9" w:rsidRDefault="00276982" w:rsidP="00795B2B">
      <w:pPr>
        <w:pStyle w:val="SCCLsocParty"/>
        <w:rPr>
          <w:lang w:val="en-US"/>
        </w:rPr>
      </w:pPr>
      <w:r w:rsidRPr="00B60DF9">
        <w:rPr>
          <w:lang w:val="en-US"/>
        </w:rPr>
        <w:t>B</w:t>
      </w:r>
      <w:r w:rsidR="00C62AA2" w:rsidRPr="00B60DF9">
        <w:rPr>
          <w:lang w:val="en-US"/>
        </w:rPr>
        <w:t xml:space="preserve">ritish </w:t>
      </w:r>
      <w:r w:rsidRPr="00B60DF9">
        <w:rPr>
          <w:lang w:val="en-US"/>
        </w:rPr>
        <w:t>C</w:t>
      </w:r>
      <w:r w:rsidR="00C62AA2" w:rsidRPr="00B60DF9">
        <w:rPr>
          <w:lang w:val="en-US"/>
        </w:rPr>
        <w:t>olumbia</w:t>
      </w:r>
      <w:r w:rsidRPr="00B60DF9">
        <w:rPr>
          <w:lang w:val="en-US"/>
        </w:rPr>
        <w:t xml:space="preserve"> Mounted Police Professional Association, </w:t>
      </w:r>
    </w:p>
    <w:p w:rsidR="00901DDE" w:rsidRDefault="00276982" w:rsidP="00795B2B">
      <w:pPr>
        <w:pStyle w:val="SCCLsocParty"/>
        <w:rPr>
          <w:lang w:val="fr-CA"/>
        </w:rPr>
      </w:pPr>
      <w:proofErr w:type="gramStart"/>
      <w:r w:rsidRPr="00901DDE">
        <w:rPr>
          <w:lang w:val="fr-CA"/>
        </w:rPr>
        <w:t>en</w:t>
      </w:r>
      <w:proofErr w:type="gramEnd"/>
      <w:r w:rsidRPr="00901DDE">
        <w:rPr>
          <w:lang w:val="fr-CA"/>
        </w:rPr>
        <w:t xml:space="preserve"> leur propre nom et au nom de tous les </w:t>
      </w:r>
    </w:p>
    <w:p w:rsidR="00475613" w:rsidRPr="00901DDE" w:rsidRDefault="00276982" w:rsidP="00795B2B">
      <w:pPr>
        <w:pStyle w:val="SCCLsocParty"/>
        <w:spacing w:after="720"/>
        <w:rPr>
          <w:lang w:val="fr-CA"/>
        </w:rPr>
      </w:pPr>
      <w:proofErr w:type="gramStart"/>
      <w:r w:rsidRPr="00901DDE">
        <w:rPr>
          <w:lang w:val="fr-CA"/>
        </w:rPr>
        <w:t>membres</w:t>
      </w:r>
      <w:proofErr w:type="gramEnd"/>
      <w:r w:rsidRPr="00901DDE">
        <w:rPr>
          <w:lang w:val="fr-CA"/>
        </w:rPr>
        <w:t xml:space="preserve"> et </w:t>
      </w:r>
      <w:r w:rsidR="006061C7">
        <w:rPr>
          <w:lang w:val="fr-CA"/>
        </w:rPr>
        <w:t xml:space="preserve">les </w:t>
      </w:r>
      <w:r w:rsidRPr="00901DDE">
        <w:rPr>
          <w:lang w:val="fr-CA"/>
        </w:rPr>
        <w:t>employés de la Gendarmerie royale du Canada</w:t>
      </w:r>
      <w:r w:rsidRPr="00901DDE">
        <w:rPr>
          <w:rStyle w:val="SCCLsocPartyRole"/>
          <w:lang w:val="fr-CA"/>
        </w:rPr>
        <w:tab/>
        <w:t>Appelantes</w:t>
      </w:r>
    </w:p>
    <w:p w:rsidR="00475613" w:rsidRPr="00901DDE" w:rsidRDefault="00276982" w:rsidP="00795B2B">
      <w:pPr>
        <w:pStyle w:val="SCCLsocLastPartyInRole"/>
        <w:rPr>
          <w:lang w:val="fr-CA"/>
        </w:rPr>
      </w:pPr>
      <w:r w:rsidRPr="00901DDE">
        <w:rPr>
          <w:lang w:val="fr-CA"/>
        </w:rPr>
        <w:t>Procureur général du Canada</w:t>
      </w:r>
      <w:r w:rsidRPr="00901DDE">
        <w:rPr>
          <w:rStyle w:val="SCCLsocPartyRole"/>
          <w:lang w:val="fr-CA"/>
        </w:rPr>
        <w:tab/>
        <w:t>Intimé</w:t>
      </w:r>
    </w:p>
    <w:p w:rsidR="00475613" w:rsidRPr="00901DDE" w:rsidRDefault="00276982" w:rsidP="00795B2B">
      <w:pPr>
        <w:pStyle w:val="SCCLsocOtherPartySeparator"/>
        <w:rPr>
          <w:lang w:val="fr-CA"/>
        </w:rPr>
      </w:pPr>
      <w:proofErr w:type="gramStart"/>
      <w:r w:rsidRPr="00901DDE">
        <w:rPr>
          <w:lang w:val="fr-CA"/>
        </w:rPr>
        <w:t>et</w:t>
      </w:r>
      <w:proofErr w:type="gramEnd"/>
    </w:p>
    <w:p w:rsidR="00475613" w:rsidRPr="00901DDE" w:rsidRDefault="00276982" w:rsidP="00795B2B">
      <w:pPr>
        <w:pStyle w:val="SCCLsocParty"/>
        <w:rPr>
          <w:lang w:val="fr-CA"/>
        </w:rPr>
      </w:pPr>
      <w:r w:rsidRPr="00901DDE">
        <w:rPr>
          <w:lang w:val="fr-CA"/>
        </w:rPr>
        <w:t>Procureur général de l’Ontario,</w:t>
      </w:r>
    </w:p>
    <w:p w:rsidR="00FA76F2" w:rsidRPr="00901DDE" w:rsidRDefault="00BF5DA2" w:rsidP="00795B2B">
      <w:pPr>
        <w:pStyle w:val="SCCLsocParty"/>
        <w:rPr>
          <w:lang w:val="fr-CA"/>
        </w:rPr>
      </w:pPr>
      <w:proofErr w:type="gramStart"/>
      <w:r>
        <w:rPr>
          <w:lang w:val="fr-CA"/>
        </w:rPr>
        <w:t>p</w:t>
      </w:r>
      <w:r w:rsidR="00FA76F2" w:rsidRPr="00901DDE">
        <w:rPr>
          <w:lang w:val="fr-CA"/>
        </w:rPr>
        <w:t>rocureur</w:t>
      </w:r>
      <w:proofErr w:type="gramEnd"/>
      <w:r w:rsidR="00FA76F2" w:rsidRPr="00901DDE">
        <w:rPr>
          <w:lang w:val="fr-CA"/>
        </w:rPr>
        <w:t xml:space="preserve"> général de la Colombie</w:t>
      </w:r>
      <w:r w:rsidR="00795B2B">
        <w:rPr>
          <w:lang w:val="fr-CA"/>
        </w:rPr>
        <w:t>-</w:t>
      </w:r>
      <w:r w:rsidR="00FA76F2" w:rsidRPr="00901DDE">
        <w:rPr>
          <w:lang w:val="fr-CA"/>
        </w:rPr>
        <w:t>Britannique,</w:t>
      </w:r>
    </w:p>
    <w:p w:rsidR="00475613" w:rsidRPr="00901DDE" w:rsidRDefault="00BF5DA2" w:rsidP="00795B2B">
      <w:pPr>
        <w:pStyle w:val="SCCLsocParty"/>
        <w:rPr>
          <w:lang w:val="fr-CA"/>
        </w:rPr>
      </w:pPr>
      <w:proofErr w:type="gramStart"/>
      <w:r>
        <w:rPr>
          <w:lang w:val="fr-CA"/>
        </w:rPr>
        <w:t>p</w:t>
      </w:r>
      <w:r w:rsidR="00276982" w:rsidRPr="00901DDE">
        <w:rPr>
          <w:lang w:val="fr-CA"/>
        </w:rPr>
        <w:t>rocureur</w:t>
      </w:r>
      <w:proofErr w:type="gramEnd"/>
      <w:r w:rsidR="00276982" w:rsidRPr="00901DDE">
        <w:rPr>
          <w:lang w:val="fr-CA"/>
        </w:rPr>
        <w:t xml:space="preserve"> général de la Saskatchewan,</w:t>
      </w:r>
    </w:p>
    <w:p w:rsidR="00475613" w:rsidRPr="00901DDE" w:rsidRDefault="00BF5DA2" w:rsidP="00795B2B">
      <w:pPr>
        <w:pStyle w:val="SCCLsocParty"/>
        <w:rPr>
          <w:lang w:val="fr-CA"/>
        </w:rPr>
      </w:pPr>
      <w:proofErr w:type="gramStart"/>
      <w:r>
        <w:rPr>
          <w:lang w:val="fr-CA"/>
        </w:rPr>
        <w:t>p</w:t>
      </w:r>
      <w:r w:rsidR="00276982" w:rsidRPr="00901DDE">
        <w:rPr>
          <w:lang w:val="fr-CA"/>
        </w:rPr>
        <w:t>rocureur</w:t>
      </w:r>
      <w:proofErr w:type="gramEnd"/>
      <w:r w:rsidR="00276982" w:rsidRPr="00901DDE">
        <w:rPr>
          <w:lang w:val="fr-CA"/>
        </w:rPr>
        <w:t xml:space="preserve"> général de l’Alberta,</w:t>
      </w:r>
    </w:p>
    <w:p w:rsidR="00475613" w:rsidRPr="00901DDE" w:rsidRDefault="00276982" w:rsidP="00795B2B">
      <w:pPr>
        <w:pStyle w:val="SCCLsocParty"/>
        <w:rPr>
          <w:lang w:val="fr-CA"/>
        </w:rPr>
      </w:pPr>
      <w:r w:rsidRPr="00901DDE">
        <w:rPr>
          <w:lang w:val="fr-CA"/>
        </w:rPr>
        <w:t xml:space="preserve">Association des membres de la </w:t>
      </w:r>
      <w:r w:rsidR="0042385E">
        <w:rPr>
          <w:lang w:val="fr-CA"/>
        </w:rPr>
        <w:t>P</w:t>
      </w:r>
      <w:r w:rsidRPr="00901DDE">
        <w:rPr>
          <w:lang w:val="fr-CA"/>
        </w:rPr>
        <w:t xml:space="preserve">olice </w:t>
      </w:r>
      <w:r w:rsidR="0042385E">
        <w:rPr>
          <w:lang w:val="fr-CA"/>
        </w:rPr>
        <w:t>M</w:t>
      </w:r>
      <w:r w:rsidRPr="00901DDE">
        <w:rPr>
          <w:lang w:val="fr-CA"/>
        </w:rPr>
        <w:t>ontée du Québec</w:t>
      </w:r>
      <w:r w:rsidR="00CC4F1D" w:rsidRPr="00901DDE">
        <w:rPr>
          <w:lang w:val="fr-CA"/>
        </w:rPr>
        <w:t xml:space="preserve"> Inc.</w:t>
      </w:r>
      <w:r w:rsidRPr="00901DDE">
        <w:rPr>
          <w:lang w:val="fr-CA"/>
        </w:rPr>
        <w:t>,</w:t>
      </w:r>
    </w:p>
    <w:p w:rsidR="00475613" w:rsidRPr="00901DDE" w:rsidRDefault="00276982" w:rsidP="00795B2B">
      <w:pPr>
        <w:pStyle w:val="SCCLsocParty"/>
        <w:rPr>
          <w:lang w:val="fr-CA"/>
        </w:rPr>
      </w:pPr>
      <w:r w:rsidRPr="00901DDE">
        <w:rPr>
          <w:lang w:val="fr-CA"/>
        </w:rPr>
        <w:t>Fonds de recours juridique des membres de la Gendarmerie,</w:t>
      </w:r>
    </w:p>
    <w:p w:rsidR="00475613" w:rsidRPr="00901DDE" w:rsidRDefault="00276982" w:rsidP="00795B2B">
      <w:pPr>
        <w:pStyle w:val="SCCLsocParty"/>
        <w:rPr>
          <w:lang w:val="fr-CA"/>
        </w:rPr>
      </w:pPr>
      <w:r w:rsidRPr="00901DDE">
        <w:rPr>
          <w:lang w:val="fr-CA"/>
        </w:rPr>
        <w:t>Confédération des syndicats nationaux,</w:t>
      </w:r>
    </w:p>
    <w:p w:rsidR="00475613" w:rsidRPr="00901DDE" w:rsidRDefault="00276982" w:rsidP="00795B2B">
      <w:pPr>
        <w:pStyle w:val="SCCLsocParty"/>
        <w:rPr>
          <w:lang w:val="fr-CA"/>
        </w:rPr>
      </w:pPr>
      <w:r w:rsidRPr="00901DDE">
        <w:rPr>
          <w:lang w:val="fr-CA"/>
        </w:rPr>
        <w:t>Association canadienne des policiers,</w:t>
      </w:r>
    </w:p>
    <w:p w:rsidR="00475613" w:rsidRPr="00901DDE" w:rsidRDefault="00276982" w:rsidP="00795B2B">
      <w:pPr>
        <w:pStyle w:val="SCCLsocParty"/>
        <w:rPr>
          <w:lang w:val="fr-CA"/>
        </w:rPr>
      </w:pPr>
      <w:r w:rsidRPr="00901DDE">
        <w:rPr>
          <w:lang w:val="fr-CA"/>
        </w:rPr>
        <w:t>Congrès du travail du Canada,</w:t>
      </w:r>
    </w:p>
    <w:p w:rsidR="00475613" w:rsidRPr="00901DDE" w:rsidRDefault="00276982" w:rsidP="00795B2B">
      <w:pPr>
        <w:pStyle w:val="SCCLsocParty"/>
        <w:rPr>
          <w:lang w:val="fr-CA"/>
        </w:rPr>
      </w:pPr>
      <w:r w:rsidRPr="00901DDE">
        <w:rPr>
          <w:lang w:val="fr-CA"/>
        </w:rPr>
        <w:t>Association canadienne des libertés civiles,</w:t>
      </w:r>
    </w:p>
    <w:p w:rsidR="00475613" w:rsidRPr="00901DDE" w:rsidRDefault="00276982" w:rsidP="00795B2B">
      <w:pPr>
        <w:pStyle w:val="SCCLsocParty"/>
        <w:rPr>
          <w:lang w:val="fr-CA"/>
        </w:rPr>
      </w:pPr>
      <w:r w:rsidRPr="00901DDE">
        <w:rPr>
          <w:lang w:val="fr-CA"/>
        </w:rPr>
        <w:t>Alliance de la Fonction publique du Canada</w:t>
      </w:r>
      <w:r w:rsidR="00FA76F2" w:rsidRPr="00901DDE">
        <w:rPr>
          <w:lang w:val="fr-CA"/>
        </w:rPr>
        <w:t xml:space="preserve"> et</w:t>
      </w:r>
    </w:p>
    <w:p w:rsidR="00475613" w:rsidRPr="00901DDE" w:rsidRDefault="00FA76F2" w:rsidP="00795B2B">
      <w:pPr>
        <w:pStyle w:val="SCCLsocLastPartyInRole"/>
        <w:rPr>
          <w:lang w:val="fr-CA"/>
        </w:rPr>
      </w:pPr>
      <w:r w:rsidRPr="00901DDE">
        <w:rPr>
          <w:lang w:val="fr-CA"/>
        </w:rPr>
        <w:t>Association des libertés civiles de la Colombie</w:t>
      </w:r>
      <w:r w:rsidR="00795B2B">
        <w:rPr>
          <w:lang w:val="fr-CA"/>
        </w:rPr>
        <w:t>-</w:t>
      </w:r>
      <w:r w:rsidRPr="00901DDE">
        <w:rPr>
          <w:lang w:val="fr-CA"/>
        </w:rPr>
        <w:t>Britannique</w:t>
      </w:r>
      <w:r w:rsidR="00276982" w:rsidRPr="00901DDE">
        <w:rPr>
          <w:rStyle w:val="SCCLsocPartyRole"/>
          <w:lang w:val="fr-CA"/>
        </w:rPr>
        <w:tab/>
        <w:t>Intervenants</w:t>
      </w:r>
    </w:p>
    <w:p w:rsidR="004D7D95" w:rsidRPr="00901DDE" w:rsidRDefault="004D7D95" w:rsidP="00795B2B">
      <w:pPr>
        <w:spacing w:after="720"/>
        <w:jc w:val="both"/>
        <w:rPr>
          <w:b/>
          <w:lang w:val="fr-CA"/>
        </w:rPr>
      </w:pPr>
      <w:r w:rsidRPr="00BB4C92">
        <w:rPr>
          <w:b/>
          <w:lang w:val="fr-CA"/>
        </w:rPr>
        <w:t>Répertorié</w:t>
      </w:r>
      <w:r w:rsidR="00795B2B">
        <w:rPr>
          <w:b/>
          <w:lang w:val="fr-CA"/>
        </w:rPr>
        <w:t xml:space="preserve"> : </w:t>
      </w:r>
      <w:r w:rsidR="00276982" w:rsidRPr="00276982">
        <w:rPr>
          <w:b/>
          <w:lang w:val="fr-CA"/>
        </w:rPr>
        <w:t>Association de la police montée de l’Ontario</w:t>
      </w:r>
      <w:r w:rsidRPr="00BB4C92">
        <w:rPr>
          <w:b/>
          <w:lang w:val="fr-CA"/>
        </w:rPr>
        <w:t xml:space="preserve"> </w:t>
      </w:r>
      <w:r w:rsidRPr="00BB4C92">
        <w:rPr>
          <w:b/>
          <w:i/>
          <w:lang w:val="fr-CA"/>
        </w:rPr>
        <w:t>c.</w:t>
      </w:r>
      <w:r w:rsidRPr="00BB4C92">
        <w:rPr>
          <w:b/>
          <w:lang w:val="fr-CA"/>
        </w:rPr>
        <w:t xml:space="preserve"> </w:t>
      </w:r>
      <w:r w:rsidR="00276982">
        <w:rPr>
          <w:b/>
          <w:lang w:val="fr-CA"/>
        </w:rPr>
        <w:t>Canada (</w:t>
      </w:r>
      <w:r w:rsidRPr="00901DDE">
        <w:rPr>
          <w:rStyle w:val="SCCRespondentForIndexChar"/>
          <w:lang w:val="fr-CA"/>
        </w:rPr>
        <w:t>Procureur général</w:t>
      </w:r>
      <w:r w:rsidR="00276982" w:rsidRPr="00901DDE">
        <w:rPr>
          <w:rStyle w:val="SCCRespondentForIndexChar"/>
          <w:lang w:val="fr-CA"/>
        </w:rPr>
        <w:t>)</w:t>
      </w:r>
    </w:p>
    <w:p w:rsidR="004D7D95" w:rsidRPr="00901DDE" w:rsidRDefault="00F62639" w:rsidP="00795B2B">
      <w:pPr>
        <w:pStyle w:val="SCCSystemYear"/>
        <w:spacing w:after="720"/>
        <w:jc w:val="both"/>
        <w:rPr>
          <w:lang w:val="fr-CA"/>
        </w:rPr>
      </w:pPr>
      <w:r w:rsidRPr="00901DDE">
        <w:rPr>
          <w:lang w:val="fr-CA"/>
        </w:rPr>
        <w:t>201</w:t>
      </w:r>
      <w:r w:rsidR="00F52E6B">
        <w:rPr>
          <w:lang w:val="fr-CA"/>
        </w:rPr>
        <w:t>5</w:t>
      </w:r>
      <w:r w:rsidR="00284515">
        <w:rPr>
          <w:lang w:val="fr-CA"/>
        </w:rPr>
        <w:t xml:space="preserve"> CSC</w:t>
      </w:r>
      <w:r w:rsidR="00795B2B">
        <w:rPr>
          <w:lang w:val="fr-CA"/>
        </w:rPr>
        <w:t xml:space="preserve"> </w:t>
      </w:r>
      <w:r w:rsidR="00284515">
        <w:rPr>
          <w:lang w:val="fr-CA"/>
        </w:rPr>
        <w:t>1</w:t>
      </w:r>
    </w:p>
    <w:p w:rsidR="004D7D95" w:rsidRPr="00901DDE" w:rsidRDefault="004D7D95" w:rsidP="00795B2B">
      <w:pPr>
        <w:spacing w:after="720"/>
        <w:jc w:val="both"/>
        <w:rPr>
          <w:lang w:val="fr-CA"/>
        </w:rPr>
      </w:pPr>
      <w:r w:rsidRPr="00901DDE">
        <w:rPr>
          <w:lang w:val="fr-CA"/>
        </w:rPr>
        <w:t>N</w:t>
      </w:r>
      <w:r w:rsidRPr="00901DDE">
        <w:rPr>
          <w:vertAlign w:val="superscript"/>
          <w:lang w:val="fr-CA"/>
        </w:rPr>
        <w:t>o</w:t>
      </w:r>
      <w:r w:rsidRPr="00901DDE">
        <w:rPr>
          <w:lang w:val="fr-CA"/>
        </w:rPr>
        <w:t xml:space="preserve"> du greffe</w:t>
      </w:r>
      <w:r w:rsidR="00795B2B">
        <w:rPr>
          <w:lang w:val="fr-CA"/>
        </w:rPr>
        <w:t xml:space="preserve"> : </w:t>
      </w:r>
      <w:r w:rsidRPr="00901DDE">
        <w:rPr>
          <w:lang w:val="fr-CA"/>
        </w:rPr>
        <w:t>34948.</w:t>
      </w:r>
    </w:p>
    <w:p w:rsidR="004D7D95" w:rsidRPr="00901DDE" w:rsidRDefault="00F62639" w:rsidP="00795B2B">
      <w:pPr>
        <w:spacing w:after="720"/>
        <w:jc w:val="both"/>
        <w:rPr>
          <w:lang w:val="fr-CA"/>
        </w:rPr>
      </w:pPr>
      <w:r w:rsidRPr="00901DDE">
        <w:rPr>
          <w:lang w:val="fr-CA"/>
        </w:rPr>
        <w:t>2014</w:t>
      </w:r>
      <w:r w:rsidR="00795B2B">
        <w:rPr>
          <w:lang w:val="fr-CA"/>
        </w:rPr>
        <w:t xml:space="preserve"> : </w:t>
      </w:r>
      <w:r w:rsidRPr="00901DDE">
        <w:rPr>
          <w:lang w:val="fr-CA"/>
        </w:rPr>
        <w:t>18</w:t>
      </w:r>
      <w:r w:rsidR="00795B2B">
        <w:rPr>
          <w:lang w:val="fr-CA"/>
        </w:rPr>
        <w:t xml:space="preserve"> </w:t>
      </w:r>
      <w:r w:rsidRPr="00901DDE">
        <w:rPr>
          <w:lang w:val="fr-CA"/>
        </w:rPr>
        <w:t>février</w:t>
      </w:r>
      <w:r w:rsidR="004D7D95" w:rsidRPr="00901DDE">
        <w:rPr>
          <w:lang w:val="fr-CA"/>
        </w:rPr>
        <w:t xml:space="preserve">; </w:t>
      </w:r>
      <w:r w:rsidR="0034195C" w:rsidRPr="00901DDE">
        <w:rPr>
          <w:lang w:val="fr-CA"/>
        </w:rPr>
        <w:t>201</w:t>
      </w:r>
      <w:r w:rsidR="00F52E6B">
        <w:rPr>
          <w:lang w:val="fr-CA"/>
        </w:rPr>
        <w:t>5</w:t>
      </w:r>
      <w:r w:rsidR="00795B2B">
        <w:rPr>
          <w:lang w:val="fr-CA"/>
        </w:rPr>
        <w:t xml:space="preserve"> : </w:t>
      </w:r>
      <w:r w:rsidR="00CF19F5">
        <w:rPr>
          <w:lang w:val="fr-CA"/>
        </w:rPr>
        <w:t>16</w:t>
      </w:r>
      <w:r w:rsidR="00795B2B">
        <w:rPr>
          <w:lang w:val="fr-CA"/>
        </w:rPr>
        <w:t xml:space="preserve"> </w:t>
      </w:r>
      <w:r w:rsidR="00CF19F5">
        <w:rPr>
          <w:lang w:val="fr-CA"/>
        </w:rPr>
        <w:t>janvier</w:t>
      </w:r>
      <w:r w:rsidR="004D7D95" w:rsidRPr="00901DDE">
        <w:rPr>
          <w:lang w:val="fr-CA"/>
        </w:rPr>
        <w:t>.</w:t>
      </w:r>
    </w:p>
    <w:p w:rsidR="004D7D95" w:rsidRPr="00901DDE" w:rsidRDefault="004D7D95" w:rsidP="00795B2B">
      <w:pPr>
        <w:spacing w:after="720"/>
        <w:jc w:val="both"/>
        <w:rPr>
          <w:lang w:val="fr-CA"/>
        </w:rPr>
      </w:pPr>
      <w:r w:rsidRPr="00901DDE">
        <w:rPr>
          <w:lang w:val="fr-CA"/>
        </w:rPr>
        <w:lastRenderedPageBreak/>
        <w:t>Présents</w:t>
      </w:r>
      <w:r w:rsidR="00795B2B">
        <w:rPr>
          <w:lang w:val="fr-CA"/>
        </w:rPr>
        <w:t xml:space="preserve"> : </w:t>
      </w:r>
      <w:r w:rsidRPr="00901DDE">
        <w:rPr>
          <w:lang w:val="fr-CA"/>
        </w:rPr>
        <w:t xml:space="preserve">La juge en chef </w:t>
      </w:r>
      <w:proofErr w:type="spellStart"/>
      <w:r w:rsidRPr="00901DDE">
        <w:rPr>
          <w:lang w:val="fr-CA"/>
        </w:rPr>
        <w:t>McLachlin</w:t>
      </w:r>
      <w:proofErr w:type="spellEnd"/>
      <w:r w:rsidRPr="00901DDE">
        <w:rPr>
          <w:lang w:val="fr-CA"/>
        </w:rPr>
        <w:t xml:space="preserve"> et les juges </w:t>
      </w:r>
      <w:proofErr w:type="spellStart"/>
      <w:r w:rsidRPr="00901DDE">
        <w:rPr>
          <w:lang w:val="fr-CA"/>
        </w:rPr>
        <w:t>LeBel</w:t>
      </w:r>
      <w:proofErr w:type="spellEnd"/>
      <w:r w:rsidRPr="00901DDE">
        <w:rPr>
          <w:lang w:val="fr-CA"/>
        </w:rPr>
        <w:t xml:space="preserve">, Abella, </w:t>
      </w:r>
      <w:proofErr w:type="spellStart"/>
      <w:r w:rsidRPr="00901DDE">
        <w:rPr>
          <w:lang w:val="fr-CA"/>
        </w:rPr>
        <w:t>Rothstein</w:t>
      </w:r>
      <w:proofErr w:type="spellEnd"/>
      <w:r w:rsidRPr="00901DDE">
        <w:rPr>
          <w:lang w:val="fr-CA"/>
        </w:rPr>
        <w:t xml:space="preserve">, Cromwell, </w:t>
      </w:r>
      <w:proofErr w:type="spellStart"/>
      <w:r w:rsidRPr="00901DDE">
        <w:rPr>
          <w:lang w:val="fr-CA"/>
        </w:rPr>
        <w:t>Karakatsanis</w:t>
      </w:r>
      <w:proofErr w:type="spellEnd"/>
      <w:r w:rsidRPr="00901DDE">
        <w:rPr>
          <w:lang w:val="fr-CA"/>
        </w:rPr>
        <w:t xml:space="preserve"> et Wagner.</w:t>
      </w:r>
    </w:p>
    <w:p w:rsidR="004D7D95" w:rsidRPr="0034195C" w:rsidRDefault="004D7D95" w:rsidP="00795B2B">
      <w:pPr>
        <w:spacing w:after="720"/>
        <w:jc w:val="both"/>
        <w:rPr>
          <w:smallCaps/>
          <w:lang w:val="fr-CA"/>
        </w:rPr>
      </w:pPr>
      <w:r w:rsidRPr="0034195C">
        <w:rPr>
          <w:smallCaps/>
          <w:lang w:val="fr-CA"/>
        </w:rPr>
        <w:t xml:space="preserve">en appel de la </w:t>
      </w:r>
      <w:r w:rsidRPr="00901DDE">
        <w:rPr>
          <w:smallCaps/>
          <w:lang w:val="fr-CA"/>
        </w:rPr>
        <w:t>cour d</w:t>
      </w:r>
      <w:r w:rsidR="00276982" w:rsidRPr="00901DDE">
        <w:rPr>
          <w:smallCaps/>
          <w:lang w:val="fr-CA"/>
        </w:rPr>
        <w:t>’</w:t>
      </w:r>
      <w:r w:rsidRPr="00901DDE">
        <w:rPr>
          <w:smallCaps/>
          <w:lang w:val="fr-CA"/>
        </w:rPr>
        <w:t>appel de l</w:t>
      </w:r>
      <w:r w:rsidR="00276982" w:rsidRPr="00901DDE">
        <w:rPr>
          <w:smallCaps/>
          <w:lang w:val="fr-CA"/>
        </w:rPr>
        <w:t>’</w:t>
      </w:r>
      <w:proofErr w:type="spellStart"/>
      <w:r w:rsidRPr="00901DDE">
        <w:rPr>
          <w:smallCaps/>
          <w:lang w:val="fr-CA"/>
        </w:rPr>
        <w:t>ontario</w:t>
      </w:r>
      <w:proofErr w:type="spellEnd"/>
    </w:p>
    <w:p w:rsidR="00D60EBC" w:rsidRPr="005D7D1E" w:rsidRDefault="004D7D95" w:rsidP="00795B2B">
      <w:pPr>
        <w:pStyle w:val="SCCNormalDoubleSpacing"/>
        <w:spacing w:after="480"/>
        <w:rPr>
          <w:lang w:val="fr-CA"/>
        </w:rPr>
      </w:pPr>
      <w:r w:rsidRPr="00BB4C92">
        <w:rPr>
          <w:lang w:val="fr-CA"/>
        </w:rPr>
        <w:tab/>
      </w:r>
      <w:r w:rsidR="00D60EBC" w:rsidRPr="005D7D1E">
        <w:rPr>
          <w:i/>
          <w:lang w:val="fr-CA"/>
        </w:rPr>
        <w:t xml:space="preserve">Droit constitutionnel — Charte des droits — Liberté d’association — Droit de négocier collectivement — Portée de la protection constitutionnelle — Contestation par des </w:t>
      </w:r>
      <w:r w:rsidR="00D60EBC" w:rsidRPr="005D7D1E">
        <w:rPr>
          <w:i/>
          <w:iCs/>
          <w:lang w:val="fr-CA"/>
        </w:rPr>
        <w:t xml:space="preserve">associations privées de membres de la GRC de la constitutionnalité de la législation qui exclut les membres de la GRC du régime de relations du travail de la fonction publique et impose un régime non syndical </w:t>
      </w:r>
      <w:r w:rsidR="00D60EBC" w:rsidRPr="005D7D1E">
        <w:rPr>
          <w:i/>
          <w:lang w:val="fr-CA"/>
        </w:rPr>
        <w:t xml:space="preserve">— Le régime imposé par la législation n’est pas indépendant de la direction et ne permet pas aux employés de choisir leur association ni de </w:t>
      </w:r>
      <w:r w:rsidR="00D60EBC" w:rsidRPr="005D7D1E">
        <w:rPr>
          <w:i/>
          <w:iCs/>
          <w:lang w:val="fr-CA"/>
        </w:rPr>
        <w:t xml:space="preserve">participer au choix des objectifs collectifs </w:t>
      </w:r>
      <w:r w:rsidR="00D60EBC" w:rsidRPr="005D7D1E">
        <w:rPr>
          <w:i/>
          <w:lang w:val="fr-CA"/>
        </w:rPr>
        <w:t xml:space="preserve">— La législation contestée </w:t>
      </w:r>
      <w:r w:rsidR="003A6E91">
        <w:rPr>
          <w:i/>
          <w:lang w:val="fr-CA"/>
        </w:rPr>
        <w:t>entrave</w:t>
      </w:r>
      <w:r w:rsidR="00795B2B">
        <w:rPr>
          <w:i/>
          <w:lang w:val="fr-CA"/>
        </w:rPr>
        <w:t>-</w:t>
      </w:r>
      <w:r w:rsidR="00D60EBC" w:rsidRPr="005D7D1E">
        <w:rPr>
          <w:i/>
          <w:lang w:val="fr-CA"/>
        </w:rPr>
        <w:t>t</w:t>
      </w:r>
      <w:r w:rsidR="00795B2B">
        <w:rPr>
          <w:i/>
          <w:lang w:val="fr-CA"/>
        </w:rPr>
        <w:t>-</w:t>
      </w:r>
      <w:r w:rsidR="00D60EBC" w:rsidRPr="005D7D1E">
        <w:rPr>
          <w:i/>
          <w:lang w:val="fr-CA"/>
        </w:rPr>
        <w:t xml:space="preserve">elle substantiellement </w:t>
      </w:r>
      <w:r w:rsidR="003A6E91">
        <w:rPr>
          <w:i/>
          <w:lang w:val="fr-CA"/>
        </w:rPr>
        <w:t>le</w:t>
      </w:r>
      <w:r w:rsidR="00D60EBC" w:rsidRPr="005D7D1E">
        <w:rPr>
          <w:i/>
          <w:lang w:val="fr-CA"/>
        </w:rPr>
        <w:t xml:space="preserve"> droit à un processus véritable de négociation collective et, du coup, viole</w:t>
      </w:r>
      <w:r w:rsidR="00795B2B">
        <w:rPr>
          <w:i/>
          <w:lang w:val="fr-CA"/>
        </w:rPr>
        <w:t>-</w:t>
      </w:r>
      <w:r w:rsidR="00D60EBC" w:rsidRPr="005D7D1E">
        <w:rPr>
          <w:i/>
          <w:lang w:val="fr-CA"/>
        </w:rPr>
        <w:t>t</w:t>
      </w:r>
      <w:r w:rsidR="00795B2B">
        <w:rPr>
          <w:i/>
          <w:lang w:val="fr-CA"/>
        </w:rPr>
        <w:t>-</w:t>
      </w:r>
      <w:r w:rsidR="00D60EBC" w:rsidRPr="005D7D1E">
        <w:rPr>
          <w:i/>
          <w:lang w:val="fr-CA"/>
        </w:rPr>
        <w:t>elle la garantie constitutionnelle relative à la liberté d’association? — Dans l’affirmative, cette violation est</w:t>
      </w:r>
      <w:r w:rsidR="00795B2B">
        <w:rPr>
          <w:i/>
          <w:lang w:val="fr-CA"/>
        </w:rPr>
        <w:t>-</w:t>
      </w:r>
      <w:r w:rsidR="00D60EBC" w:rsidRPr="005D7D1E">
        <w:rPr>
          <w:i/>
          <w:lang w:val="fr-CA"/>
        </w:rPr>
        <w:t xml:space="preserve">elle justifiée? — Charte canadienne des droits et libertés, </w:t>
      </w:r>
      <w:r w:rsidR="0053416A">
        <w:rPr>
          <w:i/>
          <w:lang w:val="fr-CA"/>
        </w:rPr>
        <w:t>art.</w:t>
      </w:r>
      <w:r w:rsidR="00795B2B">
        <w:rPr>
          <w:i/>
          <w:lang w:val="fr-CA"/>
        </w:rPr>
        <w:t xml:space="preserve"> </w:t>
      </w:r>
      <w:r w:rsidR="00E622FE">
        <w:rPr>
          <w:i/>
          <w:lang w:val="fr-CA"/>
        </w:rPr>
        <w:t>1</w:t>
      </w:r>
      <w:r w:rsidR="00796B06">
        <w:rPr>
          <w:i/>
          <w:lang w:val="fr-CA"/>
        </w:rPr>
        <w:t>,</w:t>
      </w:r>
      <w:r w:rsidR="00D60EBC" w:rsidRPr="005D7D1E">
        <w:rPr>
          <w:i/>
          <w:lang w:val="fr-CA"/>
        </w:rPr>
        <w:t xml:space="preserve"> 2d) — Règlement de la Gendarmerie royale du Canada</w:t>
      </w:r>
      <w:r w:rsidR="00D60EBC">
        <w:rPr>
          <w:i/>
          <w:lang w:val="fr-CA"/>
        </w:rPr>
        <w:t xml:space="preserve"> </w:t>
      </w:r>
      <w:r w:rsidR="00D91651">
        <w:rPr>
          <w:i/>
          <w:lang w:val="fr-CA"/>
        </w:rPr>
        <w:t>(</w:t>
      </w:r>
      <w:r w:rsidR="00D60EBC" w:rsidRPr="005D7D1E">
        <w:rPr>
          <w:i/>
          <w:lang w:val="fr-CA"/>
        </w:rPr>
        <w:t>1988</w:t>
      </w:r>
      <w:r w:rsidR="00D91651">
        <w:rPr>
          <w:i/>
          <w:lang w:val="fr-CA"/>
        </w:rPr>
        <w:t>)</w:t>
      </w:r>
      <w:r w:rsidR="00D60EBC" w:rsidRPr="00D91651">
        <w:rPr>
          <w:i/>
          <w:lang w:val="fr-CA"/>
        </w:rPr>
        <w:t>,</w:t>
      </w:r>
      <w:r w:rsidR="00D60EBC" w:rsidRPr="005D7D1E">
        <w:rPr>
          <w:i/>
          <w:lang w:val="fr-CA"/>
        </w:rPr>
        <w:t xml:space="preserve"> DORS/88</w:t>
      </w:r>
      <w:r w:rsidR="00795B2B">
        <w:rPr>
          <w:i/>
          <w:lang w:val="fr-CA"/>
        </w:rPr>
        <w:t>-</w:t>
      </w:r>
      <w:r w:rsidR="00D60EBC" w:rsidRPr="005D7D1E">
        <w:rPr>
          <w:i/>
          <w:lang w:val="fr-CA"/>
        </w:rPr>
        <w:t xml:space="preserve">361, </w:t>
      </w:r>
      <w:r w:rsidR="0053416A">
        <w:rPr>
          <w:i/>
          <w:lang w:val="fr-CA"/>
        </w:rPr>
        <w:t>art.</w:t>
      </w:r>
      <w:r w:rsidR="00795B2B">
        <w:rPr>
          <w:i/>
          <w:lang w:val="fr-CA"/>
        </w:rPr>
        <w:t xml:space="preserve"> </w:t>
      </w:r>
      <w:r w:rsidR="00D60EBC" w:rsidRPr="005D7D1E">
        <w:rPr>
          <w:i/>
          <w:lang w:val="fr-CA"/>
        </w:rPr>
        <w:t>96 — Loi sur les relations de travail dans la fonction publique, L.C.</w:t>
      </w:r>
      <w:r w:rsidR="00795B2B">
        <w:rPr>
          <w:i/>
          <w:lang w:val="fr-CA"/>
        </w:rPr>
        <w:t xml:space="preserve"> </w:t>
      </w:r>
      <w:r w:rsidR="00D60EBC" w:rsidRPr="005D7D1E">
        <w:rPr>
          <w:i/>
          <w:lang w:val="fr-CA"/>
        </w:rPr>
        <w:t>2003, c.</w:t>
      </w:r>
      <w:r w:rsidR="00795B2B">
        <w:rPr>
          <w:i/>
          <w:lang w:val="fr-CA"/>
        </w:rPr>
        <w:t xml:space="preserve"> </w:t>
      </w:r>
      <w:r w:rsidR="00D60EBC" w:rsidRPr="005D7D1E">
        <w:rPr>
          <w:i/>
          <w:lang w:val="fr-CA"/>
        </w:rPr>
        <w:t xml:space="preserve">22, </w:t>
      </w:r>
      <w:r w:rsidR="0053416A">
        <w:rPr>
          <w:i/>
          <w:lang w:val="fr-CA"/>
        </w:rPr>
        <w:t>art.</w:t>
      </w:r>
      <w:r w:rsidR="00795B2B">
        <w:rPr>
          <w:i/>
          <w:lang w:val="fr-CA"/>
        </w:rPr>
        <w:t xml:space="preserve"> </w:t>
      </w:r>
      <w:r w:rsidR="00D60EBC" w:rsidRPr="005D7D1E">
        <w:rPr>
          <w:i/>
          <w:lang w:val="fr-CA"/>
        </w:rPr>
        <w:t xml:space="preserve">2(1) </w:t>
      </w:r>
      <w:r w:rsidR="00795B2B">
        <w:rPr>
          <w:i/>
          <w:lang w:val="fr-CA"/>
        </w:rPr>
        <w:t>« </w:t>
      </w:r>
      <w:r w:rsidR="00D60EBC" w:rsidRPr="005D7D1E">
        <w:rPr>
          <w:i/>
          <w:lang w:val="fr-CA"/>
        </w:rPr>
        <w:t>fonctionnaire</w:t>
      </w:r>
      <w:r w:rsidR="00795B2B">
        <w:rPr>
          <w:i/>
          <w:lang w:val="fr-CA"/>
        </w:rPr>
        <w:t> »</w:t>
      </w:r>
      <w:r w:rsidR="00D60EBC">
        <w:rPr>
          <w:i/>
          <w:lang w:val="fr-CA"/>
        </w:rPr>
        <w:t xml:space="preserve"> </w:t>
      </w:r>
      <w:r w:rsidR="00D60EBC" w:rsidRPr="005D7D1E">
        <w:rPr>
          <w:i/>
          <w:lang w:val="fr-CA"/>
        </w:rPr>
        <w:t>d).</w:t>
      </w:r>
      <w:r w:rsidR="00D60EBC" w:rsidRPr="005D7D1E">
        <w:rPr>
          <w:lang w:val="fr-CA"/>
        </w:rPr>
        <w:t xml:space="preserve"> </w:t>
      </w:r>
    </w:p>
    <w:p w:rsidR="00D60EBC" w:rsidRPr="005D7D1E" w:rsidRDefault="00D60EBC" w:rsidP="00795B2B">
      <w:pPr>
        <w:pStyle w:val="SCCNormalDoubleSpacing"/>
        <w:spacing w:after="480"/>
        <w:rPr>
          <w:lang w:val="fr-CA"/>
        </w:rPr>
      </w:pPr>
      <w:r w:rsidRPr="005D7D1E">
        <w:rPr>
          <w:lang w:val="fr-CA"/>
        </w:rPr>
        <w:tab/>
      </w:r>
      <w:r w:rsidRPr="00E30A18">
        <w:rPr>
          <w:lang w:val="fr-CA"/>
        </w:rPr>
        <w:t>Les membres de la GRC ne peuvent ni se syndiquer ni négocier collectivement</w:t>
      </w:r>
      <w:r w:rsidR="0053416A">
        <w:rPr>
          <w:lang w:val="fr-CA"/>
        </w:rPr>
        <w:t xml:space="preserve">.  </w:t>
      </w:r>
      <w:r w:rsidRPr="00E30A18">
        <w:rPr>
          <w:lang w:val="fr-CA"/>
        </w:rPr>
        <w:t xml:space="preserve">Ils sont exclus du régime de relations de travail qui s’applique à la fonction publique fédérale depuis que la négociation collective </w:t>
      </w:r>
      <w:r w:rsidR="00D512AD">
        <w:rPr>
          <w:lang w:val="fr-CA"/>
        </w:rPr>
        <w:t xml:space="preserve">y </w:t>
      </w:r>
      <w:r w:rsidRPr="00E30A18">
        <w:rPr>
          <w:lang w:val="fr-CA"/>
        </w:rPr>
        <w:t>a été instaurée</w:t>
      </w:r>
      <w:r>
        <w:rPr>
          <w:lang w:val="fr-CA"/>
        </w:rPr>
        <w:t xml:space="preserve">, tout d’abord en </w:t>
      </w:r>
      <w:r w:rsidR="00D512AD">
        <w:rPr>
          <w:lang w:val="fr-CA"/>
        </w:rPr>
        <w:t>application</w:t>
      </w:r>
      <w:r>
        <w:rPr>
          <w:lang w:val="fr-CA"/>
        </w:rPr>
        <w:t xml:space="preserve"> de </w:t>
      </w:r>
      <w:r w:rsidRPr="00095BE7">
        <w:rPr>
          <w:iCs/>
          <w:lang w:val="fr-CA"/>
        </w:rPr>
        <w:t>la</w:t>
      </w:r>
      <w:r w:rsidR="00E622FE">
        <w:rPr>
          <w:iCs/>
          <w:lang w:val="fr-CA"/>
        </w:rPr>
        <w:t xml:space="preserve"> première</w:t>
      </w:r>
      <w:r w:rsidRPr="00095BE7">
        <w:rPr>
          <w:i/>
          <w:iCs/>
          <w:lang w:val="fr-CA"/>
        </w:rPr>
        <w:t xml:space="preserve"> Loi sur le</w:t>
      </w:r>
      <w:r w:rsidR="00D91651">
        <w:rPr>
          <w:i/>
          <w:iCs/>
          <w:lang w:val="fr-CA"/>
        </w:rPr>
        <w:t>s relations de travail dans la F</w:t>
      </w:r>
      <w:r w:rsidRPr="00095BE7">
        <w:rPr>
          <w:i/>
          <w:iCs/>
          <w:lang w:val="fr-CA"/>
        </w:rPr>
        <w:t>onction publique</w:t>
      </w:r>
      <w:r w:rsidRPr="00095BE7">
        <w:rPr>
          <w:iCs/>
          <w:lang w:val="fr-CA"/>
        </w:rPr>
        <w:t xml:space="preserve"> (</w:t>
      </w:r>
      <w:r w:rsidR="00795B2B">
        <w:rPr>
          <w:iCs/>
          <w:lang w:val="fr-CA"/>
        </w:rPr>
        <w:t>« </w:t>
      </w:r>
      <w:r>
        <w:rPr>
          <w:iCs/>
          <w:lang w:val="fr-CA"/>
        </w:rPr>
        <w:t xml:space="preserve">première </w:t>
      </w:r>
      <w:r w:rsidRPr="00095BE7">
        <w:rPr>
          <w:i/>
          <w:iCs/>
          <w:lang w:val="fr-CA"/>
        </w:rPr>
        <w:t>LRTFP</w:t>
      </w:r>
      <w:r w:rsidR="00795B2B">
        <w:rPr>
          <w:iCs/>
          <w:lang w:val="fr-CA"/>
        </w:rPr>
        <w:t> »</w:t>
      </w:r>
      <w:r>
        <w:rPr>
          <w:iCs/>
          <w:lang w:val="fr-CA"/>
        </w:rPr>
        <w:t xml:space="preserve">) et aujourd’hui en </w:t>
      </w:r>
      <w:r w:rsidR="00D512AD">
        <w:rPr>
          <w:iCs/>
          <w:lang w:val="fr-CA"/>
        </w:rPr>
        <w:t>application</w:t>
      </w:r>
      <w:r>
        <w:rPr>
          <w:iCs/>
          <w:lang w:val="fr-CA"/>
        </w:rPr>
        <w:t xml:space="preserve"> de la </w:t>
      </w:r>
      <w:r w:rsidRPr="00E30A18">
        <w:rPr>
          <w:i/>
          <w:lang w:val="fr-CA"/>
        </w:rPr>
        <w:t>Loi sur les relations de travail dans la fonction publique</w:t>
      </w:r>
      <w:r>
        <w:rPr>
          <w:lang w:val="fr-CA"/>
        </w:rPr>
        <w:t xml:space="preserve"> </w:t>
      </w:r>
      <w:r w:rsidR="00E622FE">
        <w:rPr>
          <w:lang w:val="fr-CA"/>
        </w:rPr>
        <w:t xml:space="preserve">actuellement en vigueur </w:t>
      </w:r>
      <w:r>
        <w:rPr>
          <w:lang w:val="fr-CA"/>
        </w:rPr>
        <w:t>(</w:t>
      </w:r>
      <w:r w:rsidR="00795B2B">
        <w:rPr>
          <w:lang w:val="fr-CA"/>
        </w:rPr>
        <w:t>« </w:t>
      </w:r>
      <w:r w:rsidRPr="00095BE7">
        <w:rPr>
          <w:i/>
          <w:lang w:val="fr-CA"/>
        </w:rPr>
        <w:t>LRTFP</w:t>
      </w:r>
      <w:r>
        <w:rPr>
          <w:lang w:val="fr-CA"/>
        </w:rPr>
        <w:t xml:space="preserve"> </w:t>
      </w:r>
      <w:r>
        <w:rPr>
          <w:lang w:val="fr-CA"/>
        </w:rPr>
        <w:lastRenderedPageBreak/>
        <w:t>actuelle</w:t>
      </w:r>
      <w:r w:rsidR="00795B2B">
        <w:rPr>
          <w:lang w:val="fr-CA"/>
        </w:rPr>
        <w:t> »</w:t>
      </w:r>
      <w:r>
        <w:rPr>
          <w:lang w:val="fr-CA"/>
        </w:rPr>
        <w:t>)</w:t>
      </w:r>
      <w:r w:rsidR="0053416A">
        <w:rPr>
          <w:lang w:val="fr-CA"/>
        </w:rPr>
        <w:t xml:space="preserve">.  </w:t>
      </w:r>
      <w:r>
        <w:rPr>
          <w:lang w:val="fr-CA"/>
        </w:rPr>
        <w:t>Les membres de la GRC</w:t>
      </w:r>
      <w:r w:rsidRPr="00E30A18">
        <w:rPr>
          <w:lang w:val="fr-CA"/>
        </w:rPr>
        <w:t xml:space="preserve"> s</w:t>
      </w:r>
      <w:r>
        <w:rPr>
          <w:lang w:val="fr-CA"/>
        </w:rPr>
        <w:t>e trouvent</w:t>
      </w:r>
      <w:r w:rsidRPr="00E30A18">
        <w:rPr>
          <w:lang w:val="fr-CA"/>
        </w:rPr>
        <w:t xml:space="preserve"> plutôt assujettis à un régime non syndical de relations de travail</w:t>
      </w:r>
      <w:r w:rsidR="00D512AD">
        <w:rPr>
          <w:lang w:val="fr-CA"/>
        </w:rPr>
        <w:t>. À la date de l’audition du présent pourvoi, ce régime</w:t>
      </w:r>
      <w:r>
        <w:rPr>
          <w:lang w:val="fr-CA"/>
        </w:rPr>
        <w:t xml:space="preserve"> leur </w:t>
      </w:r>
      <w:r w:rsidR="00D512AD">
        <w:rPr>
          <w:lang w:val="fr-CA"/>
        </w:rPr>
        <w:t>était</w:t>
      </w:r>
      <w:r>
        <w:rPr>
          <w:lang w:val="fr-CA"/>
        </w:rPr>
        <w:t xml:space="preserve"> imposé par l’</w:t>
      </w:r>
      <w:r w:rsidR="0053416A">
        <w:rPr>
          <w:lang w:val="fr-CA"/>
        </w:rPr>
        <w:t>art.</w:t>
      </w:r>
      <w:r w:rsidR="00795B2B">
        <w:rPr>
          <w:lang w:val="fr-CA"/>
        </w:rPr>
        <w:t xml:space="preserve"> </w:t>
      </w:r>
      <w:r>
        <w:rPr>
          <w:lang w:val="fr-CA"/>
        </w:rPr>
        <w:t xml:space="preserve">96 du </w:t>
      </w:r>
      <w:r w:rsidRPr="00095BE7">
        <w:rPr>
          <w:i/>
          <w:lang w:val="fr-CA"/>
        </w:rPr>
        <w:t>Règlement de la Gendarmerie royale du Canada (1988)</w:t>
      </w:r>
      <w:r>
        <w:rPr>
          <w:lang w:val="fr-CA"/>
        </w:rPr>
        <w:t xml:space="preserve"> </w:t>
      </w:r>
      <w:r w:rsidR="00D512AD">
        <w:rPr>
          <w:lang w:val="fr-CA"/>
        </w:rPr>
        <w:t>(</w:t>
      </w:r>
      <w:r w:rsidR="00795B2B">
        <w:rPr>
          <w:lang w:val="fr-CA"/>
        </w:rPr>
        <w:t>« </w:t>
      </w:r>
      <w:r w:rsidRPr="00095BE7">
        <w:rPr>
          <w:i/>
          <w:lang w:val="fr-CA"/>
        </w:rPr>
        <w:t>Règlement de la GRC</w:t>
      </w:r>
      <w:r w:rsidR="00795B2B">
        <w:rPr>
          <w:lang w:val="fr-CA"/>
        </w:rPr>
        <w:t> »</w:t>
      </w:r>
      <w:r>
        <w:rPr>
          <w:lang w:val="fr-CA"/>
        </w:rPr>
        <w:t>)</w:t>
      </w:r>
      <w:r w:rsidR="00D512AD">
        <w:rPr>
          <w:lang w:val="fr-CA"/>
        </w:rPr>
        <w:t>, abrogé depuis et remplacé par une disposition essentiellement similaire, l’art.</w:t>
      </w:r>
      <w:r w:rsidR="00795B2B">
        <w:rPr>
          <w:lang w:val="fr-CA"/>
        </w:rPr>
        <w:t xml:space="preserve"> </w:t>
      </w:r>
      <w:r w:rsidR="00D512AD">
        <w:rPr>
          <w:lang w:val="fr-CA"/>
        </w:rPr>
        <w:t xml:space="preserve">56 du </w:t>
      </w:r>
      <w:r w:rsidR="00D512AD" w:rsidRPr="00D512AD">
        <w:rPr>
          <w:i/>
          <w:lang w:val="fr-CA"/>
        </w:rPr>
        <w:t xml:space="preserve">Règlement de </w:t>
      </w:r>
      <w:r w:rsidR="00D91651">
        <w:rPr>
          <w:i/>
          <w:lang w:val="fr-CA"/>
        </w:rPr>
        <w:t>la Gendarmerie royale du Canada</w:t>
      </w:r>
      <w:r w:rsidR="00D512AD" w:rsidRPr="00D512AD">
        <w:rPr>
          <w:i/>
          <w:lang w:val="fr-CA"/>
        </w:rPr>
        <w:t xml:space="preserve"> </w:t>
      </w:r>
      <w:r w:rsidR="00D91651">
        <w:rPr>
          <w:i/>
          <w:lang w:val="fr-CA"/>
        </w:rPr>
        <w:t>(</w:t>
      </w:r>
      <w:r w:rsidR="00D512AD" w:rsidRPr="00D512AD">
        <w:rPr>
          <w:i/>
          <w:lang w:val="fr-CA"/>
        </w:rPr>
        <w:t>2014</w:t>
      </w:r>
      <w:r w:rsidR="00D91651">
        <w:rPr>
          <w:i/>
          <w:lang w:val="fr-CA"/>
        </w:rPr>
        <w:t>)</w:t>
      </w:r>
      <w:r w:rsidR="00D512AD">
        <w:rPr>
          <w:lang w:val="fr-CA"/>
        </w:rPr>
        <w:t xml:space="preserve">, </w:t>
      </w:r>
      <w:r w:rsidR="007B57C5">
        <w:rPr>
          <w:lang w:val="fr-CA"/>
        </w:rPr>
        <w:t>DORS/2014-281</w:t>
      </w:r>
      <w:r w:rsidR="00E622FE">
        <w:rPr>
          <w:lang w:val="fr-CA"/>
        </w:rPr>
        <w:t>.</w:t>
      </w:r>
      <w:r w:rsidRPr="005D7D1E">
        <w:rPr>
          <w:lang w:val="fr-CA"/>
        </w:rPr>
        <w:t xml:space="preserve"> </w:t>
      </w:r>
    </w:p>
    <w:p w:rsidR="00D60EBC" w:rsidRPr="005D7D1E" w:rsidRDefault="00D60EBC" w:rsidP="00795B2B">
      <w:pPr>
        <w:pStyle w:val="SCCNormalDoubleSpacing"/>
        <w:spacing w:after="480"/>
        <w:rPr>
          <w:lang w:val="fr-CA"/>
        </w:rPr>
      </w:pPr>
      <w:r w:rsidRPr="005D7D1E">
        <w:rPr>
          <w:lang w:val="fr-CA"/>
        </w:rPr>
        <w:tab/>
      </w:r>
      <w:r>
        <w:rPr>
          <w:lang w:val="fr-CA"/>
        </w:rPr>
        <w:t>Le Programme de représentants des relations fonctionnelles (</w:t>
      </w:r>
      <w:r w:rsidR="00795B2B">
        <w:rPr>
          <w:lang w:val="fr-CA"/>
        </w:rPr>
        <w:t>« </w:t>
      </w:r>
      <w:r w:rsidRPr="00E30A18">
        <w:rPr>
          <w:lang w:val="fr-CA"/>
        </w:rPr>
        <w:t>PRRF</w:t>
      </w:r>
      <w:r w:rsidR="00795B2B">
        <w:rPr>
          <w:lang w:val="fr-CA"/>
        </w:rPr>
        <w:t> »</w:t>
      </w:r>
      <w:r>
        <w:rPr>
          <w:lang w:val="fr-CA"/>
        </w:rPr>
        <w:t>)</w:t>
      </w:r>
      <w:r w:rsidRPr="00E30A18">
        <w:rPr>
          <w:lang w:val="fr-CA"/>
        </w:rPr>
        <w:t xml:space="preserve"> est au cœur du régime</w:t>
      </w:r>
      <w:r w:rsidR="00D91651">
        <w:rPr>
          <w:lang w:val="fr-CA"/>
        </w:rPr>
        <w:t xml:space="preserve"> actuel de relations de</w:t>
      </w:r>
      <w:r>
        <w:rPr>
          <w:lang w:val="fr-CA"/>
        </w:rPr>
        <w:t xml:space="preserve"> travail de la GRC. </w:t>
      </w:r>
      <w:r w:rsidRPr="005D7D1E">
        <w:rPr>
          <w:lang w:val="fr-CA"/>
        </w:rPr>
        <w:t xml:space="preserve"> </w:t>
      </w:r>
      <w:r w:rsidRPr="00E30A18">
        <w:rPr>
          <w:lang w:val="fr-CA"/>
        </w:rPr>
        <w:t xml:space="preserve">Le PRRF </w:t>
      </w:r>
      <w:r>
        <w:rPr>
          <w:lang w:val="fr-CA"/>
        </w:rPr>
        <w:t>constitue</w:t>
      </w:r>
      <w:r w:rsidRPr="00E30A18">
        <w:rPr>
          <w:lang w:val="fr-CA"/>
        </w:rPr>
        <w:t xml:space="preserve"> le principal mécanisme par lequel les membres de la GRC peuvent soulever des questions concernant les relations de travail (à l’exception de la solde), et l’unique forme de représentation des employés que reconnaît la direction</w:t>
      </w:r>
      <w:r w:rsidR="0053416A">
        <w:rPr>
          <w:lang w:val="fr-CA"/>
        </w:rPr>
        <w:t xml:space="preserve">.  </w:t>
      </w:r>
      <w:r>
        <w:rPr>
          <w:lang w:val="fr-CA"/>
        </w:rPr>
        <w:t xml:space="preserve">Le </w:t>
      </w:r>
      <w:r w:rsidR="00D512AD">
        <w:rPr>
          <w:lang w:val="fr-CA"/>
        </w:rPr>
        <w:t>PRRF</w:t>
      </w:r>
      <w:r>
        <w:rPr>
          <w:lang w:val="fr-CA"/>
        </w:rPr>
        <w:t xml:space="preserve"> est dirigé par le Comité exécutif national (</w:t>
      </w:r>
      <w:r w:rsidR="00795B2B">
        <w:rPr>
          <w:lang w:val="fr-CA"/>
        </w:rPr>
        <w:t>« </w:t>
      </w:r>
      <w:r>
        <w:rPr>
          <w:lang w:val="fr-CA"/>
        </w:rPr>
        <w:t>CEN</w:t>
      </w:r>
      <w:r w:rsidR="00795B2B">
        <w:rPr>
          <w:lang w:val="fr-CA"/>
        </w:rPr>
        <w:t> »</w:t>
      </w:r>
      <w:r w:rsidR="007B57C5">
        <w:rPr>
          <w:lang w:val="fr-CA"/>
        </w:rPr>
        <w:t>) et il est</w:t>
      </w:r>
      <w:r>
        <w:rPr>
          <w:lang w:val="fr-CA"/>
        </w:rPr>
        <w:t xml:space="preserve"> composé de membres représentants provenant de diverses régions et divisions de la GRC</w:t>
      </w:r>
      <w:r w:rsidR="00E622FE">
        <w:rPr>
          <w:lang w:val="fr-CA"/>
        </w:rPr>
        <w:t xml:space="preserve"> et</w:t>
      </w:r>
      <w:r>
        <w:rPr>
          <w:lang w:val="fr-CA"/>
        </w:rPr>
        <w:t xml:space="preserve"> élus pour un mandat de deux</w:t>
      </w:r>
      <w:r w:rsidR="00795B2B">
        <w:rPr>
          <w:lang w:val="fr-CA"/>
        </w:rPr>
        <w:t xml:space="preserve"> </w:t>
      </w:r>
      <w:r>
        <w:rPr>
          <w:lang w:val="fr-CA"/>
        </w:rPr>
        <w:t xml:space="preserve">ans </w:t>
      </w:r>
      <w:r w:rsidRPr="00E30A18">
        <w:rPr>
          <w:lang w:val="fr-CA"/>
        </w:rPr>
        <w:t>par les membres réguliers et civils</w:t>
      </w:r>
      <w:r w:rsidR="0053416A">
        <w:rPr>
          <w:lang w:val="fr-CA"/>
        </w:rPr>
        <w:t xml:space="preserve">.  </w:t>
      </w:r>
      <w:r>
        <w:rPr>
          <w:lang w:val="fr-CA"/>
        </w:rPr>
        <w:t xml:space="preserve">Deux </w:t>
      </w:r>
      <w:r w:rsidR="00D512AD">
        <w:rPr>
          <w:lang w:val="fr-CA"/>
        </w:rPr>
        <w:t xml:space="preserve">des </w:t>
      </w:r>
      <w:r>
        <w:rPr>
          <w:lang w:val="fr-CA"/>
        </w:rPr>
        <w:t xml:space="preserve">représentants </w:t>
      </w:r>
      <w:r w:rsidRPr="00E30A18">
        <w:rPr>
          <w:lang w:val="fr-CA"/>
        </w:rPr>
        <w:t xml:space="preserve">agissent comme point de contact officiel </w:t>
      </w:r>
      <w:r>
        <w:rPr>
          <w:lang w:val="fr-CA"/>
        </w:rPr>
        <w:t xml:space="preserve">avec </w:t>
      </w:r>
      <w:r w:rsidRPr="00E30A18">
        <w:rPr>
          <w:lang w:val="fr-CA"/>
        </w:rPr>
        <w:t>la direction nationale de la GRC</w:t>
      </w:r>
      <w:r w:rsidR="0053416A">
        <w:rPr>
          <w:lang w:val="fr-CA"/>
        </w:rPr>
        <w:t xml:space="preserve">.  </w:t>
      </w:r>
      <w:r w:rsidR="007B57C5">
        <w:rPr>
          <w:lang w:val="fr-CA"/>
        </w:rPr>
        <w:t>Le p</w:t>
      </w:r>
      <w:r>
        <w:rPr>
          <w:lang w:val="fr-CA"/>
        </w:rPr>
        <w:t>rogramme</w:t>
      </w:r>
      <w:r w:rsidRPr="00E30A18">
        <w:rPr>
          <w:lang w:val="fr-CA"/>
        </w:rPr>
        <w:t xml:space="preserve"> vise à permettre, à chaque niveau </w:t>
      </w:r>
      <w:r>
        <w:rPr>
          <w:lang w:val="fr-CA"/>
        </w:rPr>
        <w:t>de la hiérarchie</w:t>
      </w:r>
      <w:r w:rsidRPr="00E30A18">
        <w:rPr>
          <w:lang w:val="fr-CA"/>
        </w:rPr>
        <w:t>, la tenue de consultations entr</w:t>
      </w:r>
      <w:r w:rsidR="0091152D">
        <w:rPr>
          <w:lang w:val="fr-CA"/>
        </w:rPr>
        <w:t>e les représentants des employé</w:t>
      </w:r>
      <w:r w:rsidRPr="00E30A18">
        <w:rPr>
          <w:lang w:val="fr-CA"/>
        </w:rPr>
        <w:t xml:space="preserve">s et la direction au sujet des initiatives et des politiques relatives aux ressources humaines, même </w:t>
      </w:r>
      <w:r w:rsidR="00D512AD" w:rsidRPr="00D512AD">
        <w:rPr>
          <w:lang w:val="fr-CA"/>
        </w:rPr>
        <w:t>s’</w:t>
      </w:r>
      <w:r w:rsidRPr="00D512AD">
        <w:rPr>
          <w:lang w:val="fr-CA"/>
        </w:rPr>
        <w:t>il e</w:t>
      </w:r>
      <w:r w:rsidRPr="00E30A18">
        <w:rPr>
          <w:lang w:val="fr-CA"/>
        </w:rPr>
        <w:t>st entendu que la décision finale revient toujours à la direction</w:t>
      </w:r>
      <w:r w:rsidRPr="005D7D1E">
        <w:rPr>
          <w:lang w:val="fr-CA"/>
        </w:rPr>
        <w:t>.</w:t>
      </w:r>
    </w:p>
    <w:p w:rsidR="00D60EBC" w:rsidRPr="005D7D1E" w:rsidRDefault="00D60EBC" w:rsidP="00795B2B">
      <w:pPr>
        <w:pStyle w:val="SCCNormalDoubleSpacing"/>
        <w:spacing w:after="480"/>
        <w:rPr>
          <w:lang w:val="fr-CA"/>
        </w:rPr>
      </w:pPr>
      <w:r w:rsidRPr="005D7D1E">
        <w:rPr>
          <w:lang w:val="fr-CA"/>
        </w:rPr>
        <w:tab/>
      </w:r>
      <w:r w:rsidRPr="00E30A18">
        <w:rPr>
          <w:lang w:val="fr-CA"/>
        </w:rPr>
        <w:t xml:space="preserve">Il y </w:t>
      </w:r>
      <w:r w:rsidRPr="00D512AD">
        <w:rPr>
          <w:lang w:val="fr-CA"/>
        </w:rPr>
        <w:t xml:space="preserve">a un peu plus de </w:t>
      </w:r>
      <w:r w:rsidR="00D91651">
        <w:rPr>
          <w:lang w:val="fr-CA"/>
        </w:rPr>
        <w:t>15</w:t>
      </w:r>
      <w:r w:rsidRPr="00D512AD">
        <w:rPr>
          <w:lang w:val="fr-CA"/>
        </w:rPr>
        <w:t xml:space="preserve"> ans,</w:t>
      </w:r>
      <w:r>
        <w:rPr>
          <w:lang w:val="fr-CA"/>
        </w:rPr>
        <w:t xml:space="preserve"> </w:t>
      </w:r>
      <w:r w:rsidRPr="00E30A18">
        <w:rPr>
          <w:lang w:val="fr-CA"/>
        </w:rPr>
        <w:t xml:space="preserve">la Cour a conclu que l’exclusion des membres de la GRC du régime de négociation collective établi par </w:t>
      </w:r>
      <w:r>
        <w:rPr>
          <w:lang w:val="fr-CA"/>
        </w:rPr>
        <w:t xml:space="preserve">la première </w:t>
      </w:r>
      <w:r w:rsidRPr="00EE0931">
        <w:rPr>
          <w:i/>
          <w:lang w:val="fr-CA"/>
        </w:rPr>
        <w:t>LRTFP</w:t>
      </w:r>
      <w:r w:rsidRPr="00E30A18">
        <w:rPr>
          <w:lang w:val="fr-CA"/>
        </w:rPr>
        <w:t xml:space="preserve"> alors en vigueur ne portait pas atteinte à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w:t>
      </w:r>
      <w:r>
        <w:rPr>
          <w:lang w:val="fr-CA"/>
        </w:rPr>
        <w:t xml:space="preserve"> de la </w:t>
      </w:r>
      <w:r w:rsidRPr="00712645">
        <w:rPr>
          <w:i/>
          <w:lang w:val="fr-CA"/>
        </w:rPr>
        <w:t>Charte</w:t>
      </w:r>
      <w:r w:rsidR="00795B2B">
        <w:rPr>
          <w:lang w:val="fr-CA"/>
        </w:rPr>
        <w:t> :</w:t>
      </w:r>
      <w:r w:rsidRPr="00E30A18">
        <w:rPr>
          <w:lang w:val="fr-CA"/>
        </w:rPr>
        <w:t xml:space="preserve"> </w:t>
      </w:r>
      <w:r w:rsidRPr="00E30A18">
        <w:rPr>
          <w:i/>
          <w:lang w:val="fr-CA"/>
        </w:rPr>
        <w:t>Delisle c. Canada (Sous</w:t>
      </w:r>
      <w:r w:rsidR="00795B2B">
        <w:rPr>
          <w:i/>
          <w:lang w:val="fr-CA"/>
        </w:rPr>
        <w:t>-</w:t>
      </w:r>
      <w:r w:rsidRPr="00E30A18">
        <w:rPr>
          <w:i/>
          <w:lang w:val="fr-CA"/>
        </w:rPr>
        <w:t>procureur général)</w:t>
      </w:r>
      <w:r w:rsidRPr="00E30A18">
        <w:rPr>
          <w:lang w:val="fr-CA"/>
        </w:rPr>
        <w:t>,</w:t>
      </w:r>
      <w:r>
        <w:rPr>
          <w:lang w:val="fr-CA"/>
        </w:rPr>
        <w:t xml:space="preserve"> [1999] </w:t>
      </w:r>
      <w:r w:rsidRPr="00E30A18">
        <w:rPr>
          <w:lang w:val="fr-CA"/>
        </w:rPr>
        <w:t>2</w:t>
      </w:r>
      <w:r>
        <w:rPr>
          <w:lang w:val="fr-CA"/>
        </w:rPr>
        <w:t xml:space="preserve"> </w:t>
      </w:r>
      <w:r w:rsidRPr="00E30A18">
        <w:rPr>
          <w:lang w:val="fr-CA"/>
        </w:rPr>
        <w:t>R.C.S.</w:t>
      </w:r>
      <w:r>
        <w:rPr>
          <w:lang w:val="fr-CA"/>
        </w:rPr>
        <w:t xml:space="preserve"> </w:t>
      </w:r>
      <w:r w:rsidRPr="00E30A18">
        <w:rPr>
          <w:lang w:val="fr-CA"/>
        </w:rPr>
        <w:t>989</w:t>
      </w:r>
      <w:r w:rsidR="0053416A">
        <w:rPr>
          <w:lang w:val="fr-CA"/>
        </w:rPr>
        <w:t xml:space="preserve">.  </w:t>
      </w:r>
      <w:r>
        <w:rPr>
          <w:lang w:val="fr-CA"/>
        </w:rPr>
        <w:t>D</w:t>
      </w:r>
      <w:r w:rsidRPr="00E30A18">
        <w:rPr>
          <w:lang w:val="fr-CA"/>
        </w:rPr>
        <w:t xml:space="preserve">ans cette affaire, </w:t>
      </w:r>
      <w:r>
        <w:rPr>
          <w:lang w:val="fr-CA"/>
        </w:rPr>
        <w:t xml:space="preserve">la valeur </w:t>
      </w:r>
      <w:r>
        <w:rPr>
          <w:lang w:val="fr-CA"/>
        </w:rPr>
        <w:lastRenderedPageBreak/>
        <w:t xml:space="preserve">constitutionnelle du régime de relations de travail de la GRC en entier </w:t>
      </w:r>
      <w:r w:rsidRPr="00E30A18">
        <w:rPr>
          <w:lang w:val="fr-CA"/>
        </w:rPr>
        <w:t>n’était pas directement contesté</w:t>
      </w:r>
      <w:r>
        <w:rPr>
          <w:lang w:val="fr-CA"/>
        </w:rPr>
        <w:t>e</w:t>
      </w:r>
      <w:r w:rsidR="0053416A">
        <w:rPr>
          <w:lang w:val="fr-CA"/>
        </w:rPr>
        <w:t xml:space="preserve">.  </w:t>
      </w:r>
      <w:r>
        <w:rPr>
          <w:lang w:val="fr-CA"/>
        </w:rPr>
        <w:t xml:space="preserve">Depuis que ce jugement a été rendu, le régime de relations de travail de la GRC </w:t>
      </w:r>
      <w:r w:rsidRPr="00E30A18">
        <w:rPr>
          <w:lang w:val="fr-CA"/>
        </w:rPr>
        <w:t xml:space="preserve">a connu plusieurs changements </w:t>
      </w:r>
      <w:r>
        <w:rPr>
          <w:lang w:val="fr-CA"/>
        </w:rPr>
        <w:t xml:space="preserve">qui ont </w:t>
      </w:r>
      <w:r w:rsidRPr="00E30A18">
        <w:rPr>
          <w:lang w:val="fr-CA"/>
        </w:rPr>
        <w:t xml:space="preserve">permis </w:t>
      </w:r>
      <w:r>
        <w:rPr>
          <w:lang w:val="fr-CA"/>
        </w:rPr>
        <w:t>de rendre le</w:t>
      </w:r>
      <w:r w:rsidRPr="00E30A18">
        <w:rPr>
          <w:lang w:val="fr-CA"/>
        </w:rPr>
        <w:t xml:space="preserve"> PRRF plus indépendant</w:t>
      </w:r>
      <w:r>
        <w:rPr>
          <w:lang w:val="fr-CA"/>
        </w:rPr>
        <w:t xml:space="preserve">, mais </w:t>
      </w:r>
      <w:r w:rsidRPr="00E30A18">
        <w:rPr>
          <w:lang w:val="fr-CA"/>
        </w:rPr>
        <w:t xml:space="preserve">aucun </w:t>
      </w:r>
      <w:r>
        <w:rPr>
          <w:lang w:val="fr-CA"/>
        </w:rPr>
        <w:t xml:space="preserve">de ces changements </w:t>
      </w:r>
      <w:r w:rsidRPr="00E30A18">
        <w:rPr>
          <w:lang w:val="fr-CA"/>
        </w:rPr>
        <w:t>n’a eu pour effet de modifier sensiblement l’objectif qu’il poursuit, son rôle ou ses fonctions au sein de la chaîne de commandement de la GR</w:t>
      </w:r>
      <w:r>
        <w:rPr>
          <w:lang w:val="fr-CA"/>
        </w:rPr>
        <w:t>C</w:t>
      </w:r>
      <w:r w:rsidRPr="00E30A18">
        <w:rPr>
          <w:lang w:val="fr-CA"/>
        </w:rPr>
        <w:t>.</w:t>
      </w:r>
    </w:p>
    <w:p w:rsidR="00D60EBC" w:rsidRPr="005D7D1E" w:rsidRDefault="00D60EBC" w:rsidP="00795B2B">
      <w:pPr>
        <w:pStyle w:val="SCCNormalDoubleSpacing"/>
        <w:spacing w:after="480"/>
        <w:rPr>
          <w:lang w:val="fr-CA"/>
        </w:rPr>
      </w:pPr>
      <w:r w:rsidRPr="005D7D1E">
        <w:rPr>
          <w:lang w:val="fr-CA"/>
        </w:rPr>
        <w:tab/>
      </w:r>
      <w:r>
        <w:rPr>
          <w:lang w:val="fr-CA"/>
        </w:rPr>
        <w:t>En mai 2006, une contestation constitutionnelle a été intentée par deux associations privées de membres de la GRC dont l’</w:t>
      </w:r>
      <w:r w:rsidRPr="00E30A18">
        <w:rPr>
          <w:lang w:val="fr-CA"/>
        </w:rPr>
        <w:t xml:space="preserve">objectif </w:t>
      </w:r>
      <w:r>
        <w:rPr>
          <w:lang w:val="fr-CA"/>
        </w:rPr>
        <w:t xml:space="preserve">consiste à </w:t>
      </w:r>
      <w:r w:rsidRPr="00E30A18">
        <w:rPr>
          <w:lang w:val="fr-CA"/>
        </w:rPr>
        <w:t>représenter des membres de la GRC</w:t>
      </w:r>
      <w:r>
        <w:rPr>
          <w:lang w:val="fr-CA"/>
        </w:rPr>
        <w:t xml:space="preserve"> en Ontario et en Colombie</w:t>
      </w:r>
      <w:r w:rsidR="00795B2B">
        <w:rPr>
          <w:lang w:val="fr-CA"/>
        </w:rPr>
        <w:t>-</w:t>
      </w:r>
      <w:r>
        <w:rPr>
          <w:lang w:val="fr-CA"/>
        </w:rPr>
        <w:t>Britannique quant aux questions relatives à leurs conditions de travail</w:t>
      </w:r>
      <w:r w:rsidR="0053416A">
        <w:rPr>
          <w:lang w:val="fr-CA"/>
        </w:rPr>
        <w:t xml:space="preserve">.  </w:t>
      </w:r>
      <w:r w:rsidR="00D512AD">
        <w:rPr>
          <w:lang w:val="fr-CA"/>
        </w:rPr>
        <w:t>A</w:t>
      </w:r>
      <w:r w:rsidRPr="00E30A18">
        <w:rPr>
          <w:lang w:val="fr-CA"/>
        </w:rPr>
        <w:t xml:space="preserve">ucune n’a </w:t>
      </w:r>
      <w:r w:rsidR="00D512AD">
        <w:rPr>
          <w:lang w:val="fr-CA"/>
        </w:rPr>
        <w:t xml:space="preserve">toutefois </w:t>
      </w:r>
      <w:r w:rsidRPr="00E30A18">
        <w:rPr>
          <w:lang w:val="fr-CA"/>
        </w:rPr>
        <w:t>été reconnue</w:t>
      </w:r>
      <w:r>
        <w:rPr>
          <w:lang w:val="fr-CA"/>
        </w:rPr>
        <w:t xml:space="preserve"> à quelque moment que ce soit, </w:t>
      </w:r>
      <w:r w:rsidRPr="00E30A18">
        <w:rPr>
          <w:lang w:val="fr-CA"/>
        </w:rPr>
        <w:t>par la direction de la GRC ou par le gouvernement fédéral, aux fins de négociations collectives ou de consultations au sujet d’enjeux relatifs au travail</w:t>
      </w:r>
      <w:r w:rsidR="0053416A">
        <w:rPr>
          <w:lang w:val="fr-CA"/>
        </w:rPr>
        <w:t xml:space="preserve">.  </w:t>
      </w:r>
      <w:r>
        <w:rPr>
          <w:lang w:val="fr-CA"/>
        </w:rPr>
        <w:t xml:space="preserve">Elles voulaient obtenir un jugement déclarant que l’effet combiné de l’exclusion des membres de la GRC </w:t>
      </w:r>
      <w:r w:rsidR="00D512AD">
        <w:rPr>
          <w:lang w:val="fr-CA"/>
        </w:rPr>
        <w:t>du champ d</w:t>
      </w:r>
      <w:r>
        <w:rPr>
          <w:lang w:val="fr-CA"/>
        </w:rPr>
        <w:t xml:space="preserve">’application de la </w:t>
      </w:r>
      <w:r w:rsidRPr="000F4B8A">
        <w:rPr>
          <w:i/>
          <w:lang w:val="fr-CA"/>
        </w:rPr>
        <w:t>LRTFP</w:t>
      </w:r>
      <w:r>
        <w:rPr>
          <w:lang w:val="fr-CA"/>
        </w:rPr>
        <w:t xml:space="preserve"> </w:t>
      </w:r>
      <w:r w:rsidR="007B57C5">
        <w:rPr>
          <w:lang w:val="fr-CA"/>
        </w:rPr>
        <w:t xml:space="preserve">actuelle </w:t>
      </w:r>
      <w:r>
        <w:rPr>
          <w:lang w:val="fr-CA"/>
        </w:rPr>
        <w:t xml:space="preserve">et de l’imposition du </w:t>
      </w:r>
      <w:r w:rsidR="00D512AD">
        <w:rPr>
          <w:lang w:val="fr-CA"/>
        </w:rPr>
        <w:t>PRRF</w:t>
      </w:r>
      <w:r>
        <w:rPr>
          <w:lang w:val="fr-CA"/>
        </w:rPr>
        <w:t xml:space="preserve"> comme régime de relations de travail viole la liberté d’association des membres d’une manière qui ne saurait se justifier.</w:t>
      </w:r>
      <w:r w:rsidRPr="005D7D1E">
        <w:rPr>
          <w:lang w:val="fr-CA"/>
        </w:rPr>
        <w:t xml:space="preserve"> </w:t>
      </w:r>
      <w:r>
        <w:rPr>
          <w:lang w:val="fr-CA"/>
        </w:rPr>
        <w:t xml:space="preserve">Un juge de la Cour supérieure de justice de </w:t>
      </w:r>
      <w:proofErr w:type="gramStart"/>
      <w:r>
        <w:rPr>
          <w:lang w:val="fr-CA"/>
        </w:rPr>
        <w:t xml:space="preserve">l’Ontario </w:t>
      </w:r>
      <w:r w:rsidRPr="00E30A18">
        <w:rPr>
          <w:lang w:val="fr-CA"/>
        </w:rPr>
        <w:t>a</w:t>
      </w:r>
      <w:proofErr w:type="gramEnd"/>
      <w:r w:rsidRPr="00E30A18">
        <w:rPr>
          <w:lang w:val="fr-CA"/>
        </w:rPr>
        <w:t xml:space="preserve"> conclu que l’</w:t>
      </w:r>
      <w:r w:rsidR="0053416A">
        <w:rPr>
          <w:lang w:val="fr-CA"/>
        </w:rPr>
        <w:t>art.</w:t>
      </w:r>
      <w:r w:rsidR="00795B2B">
        <w:rPr>
          <w:lang w:val="fr-CA"/>
        </w:rPr>
        <w:t xml:space="preserve"> </w:t>
      </w:r>
      <w:r w:rsidRPr="00E30A18">
        <w:rPr>
          <w:lang w:val="fr-CA"/>
        </w:rPr>
        <w:t xml:space="preserve">96 du </w:t>
      </w:r>
      <w:r w:rsidRPr="00E30A18">
        <w:rPr>
          <w:i/>
          <w:lang w:val="fr-CA"/>
        </w:rPr>
        <w:t>Règlement de la GRC</w:t>
      </w:r>
      <w:r>
        <w:rPr>
          <w:lang w:val="fr-CA"/>
        </w:rPr>
        <w:t>, qui impos</w:t>
      </w:r>
      <w:r w:rsidR="00D512AD">
        <w:rPr>
          <w:lang w:val="fr-CA"/>
        </w:rPr>
        <w:t>ait</w:t>
      </w:r>
      <w:r>
        <w:rPr>
          <w:lang w:val="fr-CA"/>
        </w:rPr>
        <w:t xml:space="preserve"> le </w:t>
      </w:r>
      <w:r w:rsidR="00D512AD">
        <w:rPr>
          <w:lang w:val="fr-CA"/>
        </w:rPr>
        <w:t>PRRF</w:t>
      </w:r>
      <w:r>
        <w:rPr>
          <w:lang w:val="fr-CA"/>
        </w:rPr>
        <w:t xml:space="preserve"> à titre de régime de relations de travail, </w:t>
      </w:r>
      <w:r w:rsidRPr="00E30A18">
        <w:rPr>
          <w:lang w:val="fr-CA"/>
        </w:rPr>
        <w:t>entravait substantiellement la liberté d’association</w:t>
      </w:r>
      <w:r>
        <w:rPr>
          <w:lang w:val="fr-CA"/>
        </w:rPr>
        <w:t xml:space="preserve"> et ne pouvait se justifier </w:t>
      </w:r>
      <w:r w:rsidR="0020669B">
        <w:rPr>
          <w:lang w:val="fr-CA"/>
        </w:rPr>
        <w:t>au regard de</w:t>
      </w:r>
      <w:r>
        <w:rPr>
          <w:lang w:val="fr-CA"/>
        </w:rPr>
        <w:t xml:space="preserve"> l’article premier de la </w:t>
      </w:r>
      <w:r w:rsidRPr="00AC756C">
        <w:rPr>
          <w:i/>
          <w:lang w:val="fr-CA"/>
        </w:rPr>
        <w:t>Charte</w:t>
      </w:r>
      <w:r w:rsidR="0053416A">
        <w:rPr>
          <w:lang w:val="fr-CA"/>
        </w:rPr>
        <w:t xml:space="preserve">.  </w:t>
      </w:r>
      <w:r w:rsidR="00D512AD">
        <w:rPr>
          <w:lang w:val="fr-CA"/>
        </w:rPr>
        <w:t>L</w:t>
      </w:r>
      <w:r>
        <w:rPr>
          <w:lang w:val="fr-CA"/>
        </w:rPr>
        <w:t xml:space="preserve">e juge était </w:t>
      </w:r>
      <w:r w:rsidR="00D512AD">
        <w:rPr>
          <w:lang w:val="fr-CA"/>
        </w:rPr>
        <w:t xml:space="preserve">cependant </w:t>
      </w:r>
      <w:r>
        <w:rPr>
          <w:lang w:val="fr-CA"/>
        </w:rPr>
        <w:t>également d’avis que l’exclusion des membres de la GRC du régime de relations de travail dans la fonction publique fédérale ne portait pas atteinte au droit garanti par l’</w:t>
      </w:r>
      <w:r w:rsidR="0053416A">
        <w:rPr>
          <w:lang w:val="fr-CA"/>
        </w:rPr>
        <w:t>al.</w:t>
      </w:r>
      <w:r w:rsidR="00795B2B">
        <w:rPr>
          <w:lang w:val="fr-CA"/>
        </w:rPr>
        <w:t xml:space="preserve"> </w:t>
      </w:r>
      <w:r>
        <w:rPr>
          <w:lang w:val="fr-CA"/>
        </w:rPr>
        <w:t>2</w:t>
      </w:r>
      <w:r w:rsidRPr="00AC756C">
        <w:rPr>
          <w:i/>
          <w:lang w:val="fr-CA"/>
        </w:rPr>
        <w:t>d</w:t>
      </w:r>
      <w:r>
        <w:rPr>
          <w:lang w:val="fr-CA"/>
        </w:rPr>
        <w:t xml:space="preserve">) de la </w:t>
      </w:r>
      <w:r w:rsidRPr="00AC756C">
        <w:rPr>
          <w:i/>
          <w:lang w:val="fr-CA"/>
        </w:rPr>
        <w:t>Charte</w:t>
      </w:r>
      <w:r>
        <w:rPr>
          <w:lang w:val="fr-CA"/>
        </w:rPr>
        <w:t>. L</w:t>
      </w:r>
      <w:r w:rsidRPr="00E30A18">
        <w:rPr>
          <w:lang w:val="fr-CA"/>
        </w:rPr>
        <w:t>a Cour d’appel</w:t>
      </w:r>
      <w:r>
        <w:rPr>
          <w:lang w:val="fr-CA"/>
        </w:rPr>
        <w:t xml:space="preserve"> a accueilli l’appel interjeté par le procureur général du Canada et a </w:t>
      </w:r>
      <w:r>
        <w:rPr>
          <w:lang w:val="fr-CA"/>
        </w:rPr>
        <w:lastRenderedPageBreak/>
        <w:t xml:space="preserve">conclu que </w:t>
      </w:r>
      <w:r w:rsidRPr="00E30A18">
        <w:rPr>
          <w:lang w:val="fr-CA"/>
        </w:rPr>
        <w:t>le régime actuel</w:t>
      </w:r>
      <w:r>
        <w:rPr>
          <w:lang w:val="fr-CA"/>
        </w:rPr>
        <w:t xml:space="preserve"> de relations de travail de la GRC</w:t>
      </w:r>
      <w:r w:rsidRPr="00E30A18">
        <w:rPr>
          <w:lang w:val="fr-CA"/>
        </w:rPr>
        <w:t xml:space="preserve"> ne violait pas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 xml:space="preserve">) de la </w:t>
      </w:r>
      <w:r w:rsidRPr="00E30A18">
        <w:rPr>
          <w:i/>
          <w:lang w:val="fr-CA"/>
        </w:rPr>
        <w:t>Charte.</w:t>
      </w:r>
    </w:p>
    <w:p w:rsidR="00D60EBC" w:rsidRPr="005D7D1E" w:rsidRDefault="00D60EBC" w:rsidP="00795B2B">
      <w:pPr>
        <w:pStyle w:val="SCCNormalDoubleSpacing"/>
        <w:spacing w:after="480"/>
        <w:rPr>
          <w:lang w:val="fr-CA"/>
        </w:rPr>
      </w:pPr>
      <w:r w:rsidRPr="005D7D1E">
        <w:rPr>
          <w:lang w:val="fr-CA"/>
        </w:rPr>
        <w:tab/>
      </w:r>
      <w:r>
        <w:rPr>
          <w:rStyle w:val="QuoteChar"/>
          <w:lang w:val="fr-CA"/>
        </w:rPr>
        <w:t>Arrêt</w:t>
      </w:r>
      <w:r w:rsidRPr="00284515">
        <w:rPr>
          <w:rStyle w:val="QuoteChar"/>
          <w:i w:val="0"/>
          <w:lang w:val="fr-CA"/>
        </w:rPr>
        <w:t xml:space="preserve"> (le juge </w:t>
      </w:r>
      <w:proofErr w:type="spellStart"/>
      <w:r w:rsidRPr="00284515">
        <w:rPr>
          <w:rStyle w:val="QuoteChar"/>
          <w:i w:val="0"/>
          <w:lang w:val="fr-CA"/>
        </w:rPr>
        <w:t>Rothstein</w:t>
      </w:r>
      <w:proofErr w:type="spellEnd"/>
      <w:r w:rsidRPr="00284515">
        <w:rPr>
          <w:rStyle w:val="QuoteChar"/>
          <w:i w:val="0"/>
          <w:lang w:val="fr-CA"/>
        </w:rPr>
        <w:t xml:space="preserve"> est dissident)</w:t>
      </w:r>
      <w:r w:rsidR="00795B2B">
        <w:rPr>
          <w:rStyle w:val="QuoteChar"/>
          <w:i w:val="0"/>
          <w:lang w:val="fr-CA"/>
        </w:rPr>
        <w:t> :</w:t>
      </w:r>
      <w:r w:rsidRPr="00284515">
        <w:rPr>
          <w:lang w:val="fr-CA"/>
        </w:rPr>
        <w:t xml:space="preserve"> </w:t>
      </w:r>
      <w:r>
        <w:rPr>
          <w:lang w:val="fr-CA"/>
        </w:rPr>
        <w:t>Le pourvoi est accueilli</w:t>
      </w:r>
      <w:r w:rsidR="0053416A">
        <w:rPr>
          <w:lang w:val="fr-CA"/>
        </w:rPr>
        <w:t xml:space="preserve">.  </w:t>
      </w:r>
      <w:r w:rsidR="00D512AD">
        <w:rPr>
          <w:lang w:val="fr-CA"/>
        </w:rPr>
        <w:t>L</w:t>
      </w:r>
      <w:r w:rsidR="00D512AD" w:rsidRPr="00E30A18">
        <w:rPr>
          <w:lang w:val="fr-CA"/>
        </w:rPr>
        <w:t>’</w:t>
      </w:r>
      <w:r w:rsidR="00D512AD">
        <w:rPr>
          <w:lang w:val="fr-CA"/>
        </w:rPr>
        <w:t>art</w:t>
      </w:r>
      <w:r w:rsidR="0091152D">
        <w:rPr>
          <w:lang w:val="fr-CA"/>
        </w:rPr>
        <w:t>icle</w:t>
      </w:r>
      <w:r w:rsidR="00795B2B">
        <w:rPr>
          <w:lang w:val="fr-CA"/>
        </w:rPr>
        <w:t xml:space="preserve"> </w:t>
      </w:r>
      <w:r w:rsidR="00D512AD" w:rsidRPr="00E30A18">
        <w:rPr>
          <w:lang w:val="fr-CA"/>
        </w:rPr>
        <w:t xml:space="preserve">96 du </w:t>
      </w:r>
      <w:r w:rsidR="00D512AD" w:rsidRPr="00E30A18">
        <w:rPr>
          <w:i/>
          <w:lang w:val="fr-CA"/>
        </w:rPr>
        <w:t>Règlement de la GRC</w:t>
      </w:r>
      <w:r w:rsidR="00D512AD">
        <w:rPr>
          <w:lang w:val="fr-CA"/>
        </w:rPr>
        <w:t xml:space="preserve">, qui était en vigueur au moment de l’audition du présent pourvoi, </w:t>
      </w:r>
      <w:r w:rsidR="00D512AD" w:rsidRPr="00E30A18">
        <w:rPr>
          <w:lang w:val="fr-CA"/>
        </w:rPr>
        <w:t>viol</w:t>
      </w:r>
      <w:r w:rsidR="00B21DC0">
        <w:rPr>
          <w:lang w:val="fr-CA"/>
        </w:rPr>
        <w:t>ai</w:t>
      </w:r>
      <w:r w:rsidR="00D512AD">
        <w:rPr>
          <w:lang w:val="fr-CA"/>
        </w:rPr>
        <w:t>t</w:t>
      </w:r>
      <w:r w:rsidR="00D512AD" w:rsidRPr="00E30A18">
        <w:rPr>
          <w:lang w:val="fr-CA"/>
        </w:rPr>
        <w:t xml:space="preserve"> l’</w:t>
      </w:r>
      <w:r w:rsidR="00D512AD">
        <w:rPr>
          <w:lang w:val="fr-CA"/>
        </w:rPr>
        <w:t>al.</w:t>
      </w:r>
      <w:r w:rsidR="00795B2B">
        <w:rPr>
          <w:lang w:val="fr-CA"/>
        </w:rPr>
        <w:t xml:space="preserve"> </w:t>
      </w:r>
      <w:r w:rsidR="00D512AD" w:rsidRPr="00E30A18">
        <w:rPr>
          <w:lang w:val="fr-CA"/>
        </w:rPr>
        <w:t>2</w:t>
      </w:r>
      <w:r w:rsidR="00D512AD" w:rsidRPr="00E30A18">
        <w:rPr>
          <w:i/>
          <w:lang w:val="fr-CA"/>
        </w:rPr>
        <w:t>d</w:t>
      </w:r>
      <w:r w:rsidR="00D512AD" w:rsidRPr="00E30A18">
        <w:rPr>
          <w:lang w:val="fr-CA"/>
        </w:rPr>
        <w:t xml:space="preserve">) de la </w:t>
      </w:r>
      <w:r w:rsidR="00D512AD" w:rsidRPr="00E30A18">
        <w:rPr>
          <w:i/>
          <w:lang w:val="fr-CA"/>
        </w:rPr>
        <w:t>Charte</w:t>
      </w:r>
      <w:r w:rsidR="00B21DC0">
        <w:rPr>
          <w:lang w:val="fr-CA"/>
        </w:rPr>
        <w:t>.</w:t>
      </w:r>
      <w:r w:rsidR="00D512AD">
        <w:rPr>
          <w:lang w:val="fr-CA"/>
        </w:rPr>
        <w:t xml:space="preserve"> </w:t>
      </w:r>
      <w:r w:rsidR="00B21DC0">
        <w:rPr>
          <w:lang w:val="fr-CA"/>
        </w:rPr>
        <w:t>De même, l</w:t>
      </w:r>
      <w:r w:rsidRPr="00E30A18">
        <w:rPr>
          <w:lang w:val="fr-CA"/>
        </w:rPr>
        <w:t>’</w:t>
      </w:r>
      <w:r>
        <w:rPr>
          <w:lang w:val="fr-CA"/>
        </w:rPr>
        <w:t>al</w:t>
      </w:r>
      <w:r w:rsidR="0091152D">
        <w:rPr>
          <w:lang w:val="fr-CA"/>
        </w:rPr>
        <w:t>.</w:t>
      </w:r>
      <w:r w:rsidR="00795B2B">
        <w:rPr>
          <w:lang w:val="fr-CA"/>
        </w:rPr>
        <w:t xml:space="preserve"> </w:t>
      </w:r>
      <w:r w:rsidR="00D512AD" w:rsidRPr="00D512AD">
        <w:rPr>
          <w:i/>
          <w:lang w:val="fr-CA"/>
        </w:rPr>
        <w:t>d</w:t>
      </w:r>
      <w:r w:rsidR="00D512AD">
        <w:rPr>
          <w:lang w:val="fr-CA"/>
        </w:rPr>
        <w:t xml:space="preserve">) de la définition de </w:t>
      </w:r>
      <w:r w:rsidR="00795B2B">
        <w:rPr>
          <w:lang w:val="fr-CA"/>
        </w:rPr>
        <w:t>« </w:t>
      </w:r>
      <w:r w:rsidR="00D512AD">
        <w:rPr>
          <w:lang w:val="fr-CA"/>
        </w:rPr>
        <w:t>fonctionnaire</w:t>
      </w:r>
      <w:r w:rsidR="00795B2B">
        <w:rPr>
          <w:lang w:val="fr-CA"/>
        </w:rPr>
        <w:t> »</w:t>
      </w:r>
      <w:r w:rsidRPr="00E30A18">
        <w:rPr>
          <w:lang w:val="fr-CA"/>
        </w:rPr>
        <w:t xml:space="preserve"> </w:t>
      </w:r>
      <w:r w:rsidR="00D512AD">
        <w:rPr>
          <w:lang w:val="fr-CA"/>
        </w:rPr>
        <w:t>qui figure au par.</w:t>
      </w:r>
      <w:r w:rsidR="00795B2B">
        <w:rPr>
          <w:lang w:val="fr-CA"/>
        </w:rPr>
        <w:t xml:space="preserve"> </w:t>
      </w:r>
      <w:r w:rsidR="00D512AD">
        <w:rPr>
          <w:lang w:val="fr-CA"/>
        </w:rPr>
        <w:t xml:space="preserve">2(1) </w:t>
      </w:r>
      <w:r>
        <w:rPr>
          <w:lang w:val="fr-CA"/>
        </w:rPr>
        <w:t xml:space="preserve">de </w:t>
      </w:r>
      <w:r w:rsidRPr="00E30A18">
        <w:rPr>
          <w:lang w:val="fr-CA"/>
        </w:rPr>
        <w:t xml:space="preserve">la </w:t>
      </w:r>
      <w:r w:rsidRPr="00E30A18">
        <w:rPr>
          <w:i/>
          <w:lang w:val="fr-CA"/>
        </w:rPr>
        <w:t>LRTFP</w:t>
      </w:r>
      <w:r w:rsidRPr="00E30A18">
        <w:rPr>
          <w:lang w:val="fr-CA"/>
        </w:rPr>
        <w:t xml:space="preserve"> </w:t>
      </w:r>
      <w:r w:rsidR="00D512AD">
        <w:rPr>
          <w:lang w:val="fr-CA"/>
        </w:rPr>
        <w:t>actuelle</w:t>
      </w:r>
      <w:r w:rsidR="00B21DC0">
        <w:rPr>
          <w:lang w:val="fr-CA"/>
        </w:rPr>
        <w:t xml:space="preserve"> viole l’al.</w:t>
      </w:r>
      <w:r w:rsidR="00795B2B">
        <w:rPr>
          <w:lang w:val="fr-CA"/>
        </w:rPr>
        <w:t xml:space="preserve"> </w:t>
      </w:r>
      <w:r w:rsidR="00B21DC0">
        <w:rPr>
          <w:lang w:val="fr-CA"/>
        </w:rPr>
        <w:t>2</w:t>
      </w:r>
      <w:r w:rsidR="00B21DC0" w:rsidRPr="00B21DC0">
        <w:rPr>
          <w:i/>
          <w:lang w:val="fr-CA"/>
        </w:rPr>
        <w:t>d</w:t>
      </w:r>
      <w:r w:rsidR="00B21DC0">
        <w:rPr>
          <w:lang w:val="fr-CA"/>
        </w:rPr>
        <w:t>)</w:t>
      </w:r>
      <w:r w:rsidR="0053416A">
        <w:rPr>
          <w:lang w:val="fr-CA"/>
        </w:rPr>
        <w:t xml:space="preserve">.  </w:t>
      </w:r>
      <w:r>
        <w:rPr>
          <w:lang w:val="fr-CA"/>
        </w:rPr>
        <w:t xml:space="preserve">Aucune de ces violations n’est justifiée </w:t>
      </w:r>
      <w:r w:rsidR="0020669B">
        <w:rPr>
          <w:lang w:val="fr-CA"/>
        </w:rPr>
        <w:t>au regard de</w:t>
      </w:r>
      <w:r>
        <w:rPr>
          <w:lang w:val="fr-CA"/>
        </w:rPr>
        <w:t xml:space="preserve"> l’article premier de la </w:t>
      </w:r>
      <w:r w:rsidRPr="00263220">
        <w:rPr>
          <w:i/>
          <w:lang w:val="fr-CA"/>
        </w:rPr>
        <w:t>Charte</w:t>
      </w:r>
      <w:r>
        <w:rPr>
          <w:lang w:val="fr-CA"/>
        </w:rPr>
        <w:t>.</w:t>
      </w:r>
      <w:r w:rsidRPr="005D7D1E">
        <w:rPr>
          <w:lang w:val="fr-CA"/>
        </w:rPr>
        <w:t xml:space="preserve">  </w:t>
      </w:r>
      <w:r w:rsidR="00B21DC0">
        <w:rPr>
          <w:lang w:val="fr-CA"/>
        </w:rPr>
        <w:t>N’eût été son abrogation, l’art.</w:t>
      </w:r>
      <w:r w:rsidR="00795B2B">
        <w:rPr>
          <w:lang w:val="fr-CA"/>
        </w:rPr>
        <w:t xml:space="preserve"> </w:t>
      </w:r>
      <w:r w:rsidR="00B21DC0">
        <w:rPr>
          <w:lang w:val="fr-CA"/>
        </w:rPr>
        <w:t xml:space="preserve">96 du </w:t>
      </w:r>
      <w:r w:rsidR="00B21DC0" w:rsidRPr="00B21DC0">
        <w:rPr>
          <w:i/>
          <w:lang w:val="fr-CA"/>
        </w:rPr>
        <w:t>Règlement de la GRC</w:t>
      </w:r>
      <w:r w:rsidR="00B21DC0">
        <w:rPr>
          <w:lang w:val="fr-CA"/>
        </w:rPr>
        <w:t xml:space="preserve"> aurait été déclaré inopérant. </w:t>
      </w:r>
      <w:r>
        <w:rPr>
          <w:lang w:val="fr-CA"/>
        </w:rPr>
        <w:t>L</w:t>
      </w:r>
      <w:r w:rsidR="00B21DC0">
        <w:rPr>
          <w:lang w:val="fr-CA"/>
        </w:rPr>
        <w:t>a</w:t>
      </w:r>
      <w:r>
        <w:rPr>
          <w:lang w:val="fr-CA"/>
        </w:rPr>
        <w:t xml:space="preserve"> disposition attentatoire </w:t>
      </w:r>
      <w:r w:rsidR="00B21DC0">
        <w:rPr>
          <w:lang w:val="fr-CA"/>
        </w:rPr>
        <w:t xml:space="preserve">de la </w:t>
      </w:r>
      <w:r w:rsidR="00B21DC0" w:rsidRPr="00B21DC0">
        <w:rPr>
          <w:i/>
          <w:lang w:val="fr-CA"/>
        </w:rPr>
        <w:t>LRTFP</w:t>
      </w:r>
      <w:r w:rsidR="00B21DC0">
        <w:rPr>
          <w:lang w:val="fr-CA"/>
        </w:rPr>
        <w:t xml:space="preserve"> </w:t>
      </w:r>
      <w:r w:rsidR="007B57C5">
        <w:rPr>
          <w:lang w:val="fr-CA"/>
        </w:rPr>
        <w:t xml:space="preserve">actuelle </w:t>
      </w:r>
      <w:r w:rsidR="00B21DC0">
        <w:rPr>
          <w:lang w:val="fr-CA"/>
        </w:rPr>
        <w:t>es</w:t>
      </w:r>
      <w:r w:rsidRPr="00DD3C35">
        <w:rPr>
          <w:lang w:val="fr-CA"/>
        </w:rPr>
        <w:t>t inopérant</w:t>
      </w:r>
      <w:r>
        <w:rPr>
          <w:lang w:val="fr-CA"/>
        </w:rPr>
        <w:t>e</w:t>
      </w:r>
      <w:r w:rsidRPr="00DD3C35">
        <w:rPr>
          <w:lang w:val="fr-CA"/>
        </w:rPr>
        <w:t xml:space="preserve"> </w:t>
      </w:r>
      <w:r w:rsidR="00B21DC0">
        <w:rPr>
          <w:lang w:val="fr-CA"/>
        </w:rPr>
        <w:t>en application de</w:t>
      </w:r>
      <w:r w:rsidRPr="00DD3C35">
        <w:rPr>
          <w:lang w:val="fr-CA"/>
        </w:rPr>
        <w:t xml:space="preserve"> l’</w:t>
      </w:r>
      <w:r w:rsidR="0053416A">
        <w:rPr>
          <w:lang w:val="fr-CA"/>
        </w:rPr>
        <w:t>art.</w:t>
      </w:r>
      <w:r w:rsidR="00795B2B">
        <w:rPr>
          <w:lang w:val="fr-CA"/>
        </w:rPr>
        <w:t xml:space="preserve"> </w:t>
      </w:r>
      <w:r w:rsidRPr="00DD3C35">
        <w:rPr>
          <w:lang w:val="fr-CA"/>
        </w:rPr>
        <w:t xml:space="preserve">52 de la </w:t>
      </w:r>
      <w:r w:rsidRPr="00DD3C35">
        <w:rPr>
          <w:i/>
          <w:lang w:val="fr-CA"/>
        </w:rPr>
        <w:t>Loi constitutionnelle de 1982</w:t>
      </w:r>
      <w:r w:rsidR="0053416A">
        <w:rPr>
          <w:lang w:val="fr-CA"/>
        </w:rPr>
        <w:t xml:space="preserve">.  </w:t>
      </w:r>
      <w:r w:rsidR="00B21DC0">
        <w:rPr>
          <w:lang w:val="fr-CA"/>
        </w:rPr>
        <w:t>La</w:t>
      </w:r>
      <w:r w:rsidRPr="00DD3C35">
        <w:rPr>
          <w:lang w:val="fr-CA"/>
        </w:rPr>
        <w:t xml:space="preserve"> prise d’effet de la déclaration d’invalidité </w:t>
      </w:r>
      <w:r w:rsidR="00B21DC0">
        <w:rPr>
          <w:lang w:val="fr-CA"/>
        </w:rPr>
        <w:t xml:space="preserve">est suspendue </w:t>
      </w:r>
      <w:r w:rsidRPr="00DD3C35">
        <w:rPr>
          <w:lang w:val="fr-CA"/>
        </w:rPr>
        <w:t xml:space="preserve">pour </w:t>
      </w:r>
      <w:r w:rsidR="00B21DC0">
        <w:rPr>
          <w:lang w:val="fr-CA"/>
        </w:rPr>
        <w:t xml:space="preserve">une période de </w:t>
      </w:r>
      <w:r w:rsidRPr="00DD3C35">
        <w:rPr>
          <w:lang w:val="fr-CA"/>
        </w:rPr>
        <w:t>12</w:t>
      </w:r>
      <w:r w:rsidR="00795B2B">
        <w:rPr>
          <w:lang w:val="fr-CA"/>
        </w:rPr>
        <w:t xml:space="preserve"> </w:t>
      </w:r>
      <w:r w:rsidRPr="00DD3C35">
        <w:rPr>
          <w:lang w:val="fr-CA"/>
        </w:rPr>
        <w:t>mois.</w:t>
      </w:r>
    </w:p>
    <w:p w:rsidR="00D60EBC" w:rsidRPr="005D7D1E" w:rsidRDefault="00D60EBC" w:rsidP="00795B2B">
      <w:pPr>
        <w:pStyle w:val="SCCNormalDoubleSpacing"/>
        <w:spacing w:after="480"/>
        <w:rPr>
          <w:lang w:val="fr-CA"/>
        </w:rPr>
      </w:pPr>
      <w:r w:rsidRPr="005D7D1E">
        <w:rPr>
          <w:lang w:val="fr-CA"/>
        </w:rPr>
        <w:tab/>
      </w:r>
      <w:r w:rsidRPr="007B57C5">
        <w:rPr>
          <w:i/>
          <w:lang w:val="fr-CA"/>
        </w:rPr>
        <w:t>La</w:t>
      </w:r>
      <w:r>
        <w:rPr>
          <w:lang w:val="fr-CA"/>
        </w:rPr>
        <w:t xml:space="preserve"> juge en chef </w:t>
      </w:r>
      <w:proofErr w:type="spellStart"/>
      <w:r w:rsidRPr="0091152D">
        <w:rPr>
          <w:lang w:val="fr-CA"/>
        </w:rPr>
        <w:t>McLachlin</w:t>
      </w:r>
      <w:proofErr w:type="spellEnd"/>
      <w:r w:rsidRPr="005D7D1E">
        <w:rPr>
          <w:lang w:val="fr-CA"/>
        </w:rPr>
        <w:t xml:space="preserve"> </w:t>
      </w:r>
      <w:r>
        <w:rPr>
          <w:lang w:val="fr-CA"/>
        </w:rPr>
        <w:t xml:space="preserve">et les juges </w:t>
      </w:r>
      <w:proofErr w:type="spellStart"/>
      <w:r w:rsidRPr="0091152D">
        <w:rPr>
          <w:lang w:val="fr-CA"/>
        </w:rPr>
        <w:t>LeBel</w:t>
      </w:r>
      <w:proofErr w:type="spellEnd"/>
      <w:r w:rsidRPr="005D7D1E">
        <w:rPr>
          <w:lang w:val="fr-CA"/>
        </w:rPr>
        <w:t xml:space="preserve">, Abella, Cromwell, </w:t>
      </w:r>
      <w:proofErr w:type="spellStart"/>
      <w:r w:rsidRPr="005D7D1E">
        <w:rPr>
          <w:lang w:val="fr-CA"/>
        </w:rPr>
        <w:t>Karakatsanis</w:t>
      </w:r>
      <w:proofErr w:type="spellEnd"/>
      <w:r w:rsidRPr="005D7D1E">
        <w:rPr>
          <w:lang w:val="fr-CA"/>
        </w:rPr>
        <w:t xml:space="preserve"> </w:t>
      </w:r>
      <w:r>
        <w:rPr>
          <w:lang w:val="fr-CA"/>
        </w:rPr>
        <w:t>et Wagner</w:t>
      </w:r>
      <w:r w:rsidR="00795B2B">
        <w:rPr>
          <w:lang w:val="fr-CA"/>
        </w:rPr>
        <w:t> :</w:t>
      </w:r>
      <w:r w:rsidRPr="005D7D1E">
        <w:rPr>
          <w:lang w:val="fr-CA"/>
        </w:rPr>
        <w:t xml:space="preserve"> </w:t>
      </w:r>
      <w:r>
        <w:rPr>
          <w:lang w:val="fr-CA"/>
        </w:rPr>
        <w:t>L</w:t>
      </w:r>
      <w:r w:rsidRPr="00E30A18">
        <w:rPr>
          <w:lang w:val="fr-CA"/>
        </w:rPr>
        <w:t>a liberté d’association garantie par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 xml:space="preserve">) protège l’existence d’un </w:t>
      </w:r>
      <w:r>
        <w:rPr>
          <w:lang w:val="fr-CA"/>
        </w:rPr>
        <w:t>processus véritable</w:t>
      </w:r>
      <w:r w:rsidRPr="00E30A18">
        <w:rPr>
          <w:lang w:val="fr-CA"/>
        </w:rPr>
        <w:t xml:space="preserve"> de négociation collective qui offre aux employés une liberté de choix et une indépendance suffisantes pour leur permettre de décider de leurs intérêts collectifs et de les défendre</w:t>
      </w:r>
      <w:r w:rsidR="0053416A">
        <w:rPr>
          <w:lang w:val="fr-CA"/>
        </w:rPr>
        <w:t xml:space="preserve">.  </w:t>
      </w:r>
      <w:r>
        <w:rPr>
          <w:lang w:val="fr-CA"/>
        </w:rPr>
        <w:t>Toutefois, l</w:t>
      </w:r>
      <w:r w:rsidRPr="00E30A18">
        <w:rPr>
          <w:lang w:val="fr-CA"/>
        </w:rPr>
        <w:t>e régime actuel de relations de travail prive les membres de la GRC de cette liberté de choix et leur impose un programme qui ne leur permet pas de définir et de faire valoir leurs préoccupations professionnelles à l’abri de l’influence de la direction.</w:t>
      </w:r>
      <w:r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Pr>
          <w:lang w:val="fr-CA"/>
        </w:rPr>
        <w:t>L</w:t>
      </w:r>
      <w:r w:rsidR="00D60EBC" w:rsidRPr="00E30A18">
        <w:rPr>
          <w:lang w:val="fr-CA"/>
        </w:rPr>
        <w:t>’</w:t>
      </w:r>
      <w:r w:rsidR="00D60EBC">
        <w:rPr>
          <w:lang w:val="fr-CA"/>
        </w:rPr>
        <w:t>alinéa</w:t>
      </w:r>
      <w:r w:rsidR="00795B2B">
        <w:rPr>
          <w:lang w:val="fr-CA"/>
        </w:rPr>
        <w:t xml:space="preserve"> </w:t>
      </w:r>
      <w:r w:rsidR="00D60EBC" w:rsidRPr="00E30A18">
        <w:rPr>
          <w:lang w:val="fr-CA"/>
        </w:rPr>
        <w:t>2</w:t>
      </w:r>
      <w:r w:rsidR="00D60EBC" w:rsidRPr="00E30A18">
        <w:rPr>
          <w:i/>
          <w:lang w:val="fr-CA"/>
        </w:rPr>
        <w:t>d</w:t>
      </w:r>
      <w:r w:rsidR="00D60EBC" w:rsidRPr="00E30A18">
        <w:rPr>
          <w:lang w:val="fr-CA"/>
        </w:rPr>
        <w:t>) protège trois catégories d’activités</w:t>
      </w:r>
      <w:r w:rsidR="00795B2B">
        <w:rPr>
          <w:lang w:val="fr-CA"/>
        </w:rPr>
        <w:t> :</w:t>
      </w:r>
      <w:r w:rsidR="00D60EBC" w:rsidRPr="00E30A18">
        <w:rPr>
          <w:lang w:val="fr-CA"/>
        </w:rPr>
        <w:t xml:space="preserve"> (1)</w:t>
      </w:r>
      <w:r w:rsidR="00795B2B">
        <w:rPr>
          <w:lang w:val="fr-CA"/>
        </w:rPr>
        <w:t xml:space="preserve"> </w:t>
      </w:r>
      <w:r w:rsidR="00D60EBC" w:rsidRPr="00E30A18">
        <w:rPr>
          <w:lang w:val="fr-CA"/>
        </w:rPr>
        <w:t>le droit de s’unir à d’autres et de constituer des associations; (2)</w:t>
      </w:r>
      <w:r w:rsidR="00795B2B">
        <w:rPr>
          <w:lang w:val="fr-CA"/>
        </w:rPr>
        <w:t xml:space="preserve"> </w:t>
      </w:r>
      <w:r w:rsidR="00D60EBC" w:rsidRPr="00E30A18">
        <w:rPr>
          <w:lang w:val="fr-CA"/>
        </w:rPr>
        <w:t>le droit de s’unir à d’autres pour exercer d’autres droits constitutionnels; et</w:t>
      </w:r>
      <w:r w:rsidR="00D60EBC">
        <w:rPr>
          <w:lang w:val="fr-CA"/>
        </w:rPr>
        <w:t xml:space="preserve"> (3)</w:t>
      </w:r>
      <w:r w:rsidR="00795B2B">
        <w:rPr>
          <w:lang w:val="fr-CA"/>
        </w:rPr>
        <w:t xml:space="preserve"> </w:t>
      </w:r>
      <w:r w:rsidR="00D60EBC" w:rsidRPr="00E30A18">
        <w:rPr>
          <w:lang w:val="fr-CA"/>
        </w:rPr>
        <w:t xml:space="preserve">le droit de s’unir à d’autres pour faire face, à </w:t>
      </w:r>
      <w:r w:rsidR="00D60EBC" w:rsidRPr="00E30A18">
        <w:rPr>
          <w:lang w:val="fr-CA"/>
        </w:rPr>
        <w:lastRenderedPageBreak/>
        <w:t>armes plus égales, à la puissance et à la force d’autres groupes ou entités</w:t>
      </w:r>
      <w:r w:rsidR="0053416A">
        <w:rPr>
          <w:lang w:val="fr-CA"/>
        </w:rPr>
        <w:t xml:space="preserve">.  </w:t>
      </w:r>
      <w:r w:rsidR="00D60EBC">
        <w:rPr>
          <w:lang w:val="fr-CA"/>
        </w:rPr>
        <w:t>Considéré en fonction de son objet, l’</w:t>
      </w:r>
      <w:r w:rsidR="0053416A">
        <w:rPr>
          <w:lang w:val="fr-CA"/>
        </w:rPr>
        <w:t>al.</w:t>
      </w:r>
      <w:r w:rsidR="00795B2B">
        <w:rPr>
          <w:lang w:val="fr-CA"/>
        </w:rPr>
        <w:t xml:space="preserve"> </w:t>
      </w:r>
      <w:r w:rsidR="00D60EBC">
        <w:rPr>
          <w:lang w:val="fr-CA"/>
        </w:rPr>
        <w:t>2</w:t>
      </w:r>
      <w:r w:rsidR="00D60EBC" w:rsidRPr="008667D8">
        <w:rPr>
          <w:i/>
          <w:lang w:val="fr-CA"/>
        </w:rPr>
        <w:t>d</w:t>
      </w:r>
      <w:r w:rsidR="00D60EBC">
        <w:rPr>
          <w:lang w:val="fr-CA"/>
        </w:rPr>
        <w:t xml:space="preserve">) </w:t>
      </w:r>
      <w:r w:rsidR="00D60EBC" w:rsidRPr="00E30A18">
        <w:rPr>
          <w:lang w:val="fr-CA"/>
        </w:rPr>
        <w:t xml:space="preserve">garantit le droit des employés de </w:t>
      </w:r>
      <w:r w:rsidR="00D60EBC">
        <w:rPr>
          <w:lang w:val="fr-CA"/>
        </w:rPr>
        <w:t xml:space="preserve">véritablement </w:t>
      </w:r>
      <w:r w:rsidR="00D60EBC" w:rsidRPr="00E30A18">
        <w:rPr>
          <w:lang w:val="fr-CA"/>
        </w:rPr>
        <w:t xml:space="preserve">s’associer en vue de réaliser des objectifs collectifs relatifs </w:t>
      </w:r>
      <w:r w:rsidR="00E622FE">
        <w:rPr>
          <w:lang w:val="fr-CA"/>
        </w:rPr>
        <w:t>à leurs</w:t>
      </w:r>
      <w:r w:rsidR="00D60EBC">
        <w:rPr>
          <w:lang w:val="fr-CA"/>
        </w:rPr>
        <w:t xml:space="preserve"> conditions de travail</w:t>
      </w:r>
      <w:r w:rsidR="0053416A">
        <w:rPr>
          <w:lang w:val="fr-CA"/>
        </w:rPr>
        <w:t xml:space="preserve">.  </w:t>
      </w:r>
      <w:r w:rsidR="00D60EBC" w:rsidRPr="00E30A18">
        <w:rPr>
          <w:lang w:val="fr-CA"/>
        </w:rPr>
        <w:t>Cette protection inclut un droit de négocier collectivement</w:t>
      </w:r>
      <w:r w:rsidR="0053416A">
        <w:rPr>
          <w:lang w:val="fr-CA"/>
        </w:rPr>
        <w:t xml:space="preserve">.  </w:t>
      </w:r>
      <w:r w:rsidR="00D60EBC">
        <w:rPr>
          <w:lang w:val="fr-CA"/>
        </w:rPr>
        <w:t>L</w:t>
      </w:r>
      <w:r w:rsidR="00D60EBC" w:rsidRPr="00E30A18">
        <w:rPr>
          <w:lang w:val="fr-CA"/>
        </w:rPr>
        <w:t xml:space="preserve">a négociation collective </w:t>
      </w:r>
      <w:r w:rsidR="00D60EBC">
        <w:rPr>
          <w:lang w:val="fr-CA"/>
        </w:rPr>
        <w:t xml:space="preserve">est </w:t>
      </w:r>
      <w:r w:rsidR="00D60EBC" w:rsidRPr="00E30A18">
        <w:rPr>
          <w:lang w:val="fr-CA"/>
        </w:rPr>
        <w:t>une condition qui doit nécessairement être réalisée pour permettre l’exercice véritable de la liberté d’association garantie par la Constitution</w:t>
      </w:r>
      <w:r w:rsidR="0053416A">
        <w:rPr>
          <w:lang w:val="fr-CA"/>
        </w:rPr>
        <w:t xml:space="preserve">.  </w:t>
      </w:r>
      <w:r w:rsidR="00D60EBC">
        <w:rPr>
          <w:lang w:val="fr-CA"/>
        </w:rPr>
        <w:t xml:space="preserve">Il ne s’agit pas d’un droit dérivé </w:t>
      </w:r>
      <w:r w:rsidR="00D60EBC" w:rsidRPr="00E30A18">
        <w:rPr>
          <w:lang w:val="fr-CA"/>
        </w:rPr>
        <w:t xml:space="preserve">protégé </w:t>
      </w:r>
      <w:r w:rsidR="00E622FE">
        <w:rPr>
          <w:lang w:val="fr-CA"/>
        </w:rPr>
        <w:t>uniquement</w:t>
      </w:r>
      <w:r w:rsidR="00D60EBC" w:rsidRPr="00E30A18">
        <w:rPr>
          <w:lang w:val="fr-CA"/>
        </w:rPr>
        <w:t xml:space="preserve"> si l’acte de l’État rend </w:t>
      </w:r>
      <w:r w:rsidR="00B21DC0">
        <w:rPr>
          <w:lang w:val="fr-CA"/>
        </w:rPr>
        <w:t xml:space="preserve">effectivement </w:t>
      </w:r>
      <w:r w:rsidR="00D60EBC" w:rsidRPr="001448A2">
        <w:rPr>
          <w:lang w:val="fr-CA"/>
        </w:rPr>
        <w:t xml:space="preserve">impossible </w:t>
      </w:r>
      <w:r w:rsidR="00D60EBC" w:rsidRPr="00E30A18">
        <w:rPr>
          <w:lang w:val="fr-CA"/>
        </w:rPr>
        <w:t>l’association en vue de régler des questions relatives au travail.</w:t>
      </w:r>
      <w:r w:rsidR="00D60EBC" w:rsidRPr="005D7D1E">
        <w:rPr>
          <w:lang w:val="fr-CA"/>
        </w:rPr>
        <w:t xml:space="preserve">  </w:t>
      </w:r>
      <w:r w:rsidR="00E622FE">
        <w:rPr>
          <w:lang w:val="fr-CA"/>
        </w:rPr>
        <w:t>L</w:t>
      </w:r>
      <w:r w:rsidR="00D60EBC">
        <w:rPr>
          <w:lang w:val="fr-CA"/>
        </w:rPr>
        <w:t xml:space="preserve">e droit à la négociation collective </w:t>
      </w:r>
      <w:r w:rsidR="00D60EBC" w:rsidRPr="00E30A18">
        <w:rPr>
          <w:lang w:val="fr-CA"/>
        </w:rPr>
        <w:t xml:space="preserve">garantit </w:t>
      </w:r>
      <w:r w:rsidR="00D60EBC">
        <w:rPr>
          <w:lang w:val="fr-CA"/>
        </w:rPr>
        <w:t xml:space="preserve">toutefois </w:t>
      </w:r>
      <w:r w:rsidR="00D60EBC" w:rsidRPr="00E30A18">
        <w:rPr>
          <w:lang w:val="fr-CA"/>
        </w:rPr>
        <w:t xml:space="preserve">un processus plutôt qu’un résultat ou </w:t>
      </w:r>
      <w:r w:rsidR="00D60EBC">
        <w:rPr>
          <w:lang w:val="fr-CA"/>
        </w:rPr>
        <w:t>qu’</w:t>
      </w:r>
      <w:r w:rsidR="00D60EBC" w:rsidRPr="00E30A18">
        <w:rPr>
          <w:lang w:val="fr-CA"/>
        </w:rPr>
        <w:t>un modèle particulier de relations de travail.</w:t>
      </w:r>
      <w:r w:rsidR="00D60EBC"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sidRPr="00E30A18">
        <w:rPr>
          <w:lang w:val="fr-CA"/>
        </w:rPr>
        <w:t xml:space="preserve">Le gouvernement ne saurait adopter des lois ou imposer un processus </w:t>
      </w:r>
      <w:r w:rsidR="00D60EBC">
        <w:rPr>
          <w:lang w:val="fr-CA"/>
        </w:rPr>
        <w:t xml:space="preserve">de relations de travail </w:t>
      </w:r>
      <w:r w:rsidR="00D60EBC" w:rsidRPr="00E30A18">
        <w:rPr>
          <w:lang w:val="fr-CA"/>
        </w:rPr>
        <w:t>qui entrave substantiellement le droit des employés de s’associer en vue de réaliser véritablement des objectifs collectifs relatifs au travail</w:t>
      </w:r>
      <w:r w:rsidR="0053416A">
        <w:rPr>
          <w:lang w:val="fr-CA"/>
        </w:rPr>
        <w:t xml:space="preserve">.  </w:t>
      </w:r>
      <w:r w:rsidR="00D60EBC" w:rsidRPr="00E30A18">
        <w:rPr>
          <w:lang w:val="fr-CA"/>
        </w:rPr>
        <w:t>Tout comme l’interdiction pour des employés de s’associer</w:t>
      </w:r>
      <w:r w:rsidR="00FF4897">
        <w:rPr>
          <w:lang w:val="fr-CA"/>
        </w:rPr>
        <w:t xml:space="preserve"> porte atteinte à la liberté d’association</w:t>
      </w:r>
      <w:r w:rsidR="00D60EBC" w:rsidRPr="00E30A18">
        <w:rPr>
          <w:lang w:val="fr-CA"/>
        </w:rPr>
        <w:t xml:space="preserve">, le </w:t>
      </w:r>
      <w:r w:rsidR="00D60EBC">
        <w:rPr>
          <w:lang w:val="fr-CA"/>
        </w:rPr>
        <w:t>modèle de relations de travail</w:t>
      </w:r>
      <w:r w:rsidR="00D60EBC" w:rsidRPr="00E30A18">
        <w:rPr>
          <w:lang w:val="fr-CA"/>
        </w:rPr>
        <w:t xml:space="preserve"> qui entrave substantiellement la possibilité d’engager de véritables négociations collectives sur des questions relatives au travail porte </w:t>
      </w:r>
      <w:r w:rsidR="00FF4897">
        <w:rPr>
          <w:lang w:val="fr-CA"/>
        </w:rPr>
        <w:t xml:space="preserve">également </w:t>
      </w:r>
      <w:r w:rsidR="00D60EBC" w:rsidRPr="00E30A18">
        <w:rPr>
          <w:lang w:val="fr-CA"/>
        </w:rPr>
        <w:t xml:space="preserve">atteinte à </w:t>
      </w:r>
      <w:r w:rsidR="00FF4897">
        <w:rPr>
          <w:lang w:val="fr-CA"/>
        </w:rPr>
        <w:t xml:space="preserve">cette </w:t>
      </w:r>
      <w:r w:rsidR="00D60EBC" w:rsidRPr="00E30A18">
        <w:rPr>
          <w:lang w:val="fr-CA"/>
        </w:rPr>
        <w:t>liberté</w:t>
      </w:r>
      <w:r w:rsidR="0053416A">
        <w:rPr>
          <w:lang w:val="fr-CA"/>
        </w:rPr>
        <w:t xml:space="preserve">.  </w:t>
      </w:r>
      <w:r w:rsidR="00D60EBC">
        <w:rPr>
          <w:lang w:val="fr-CA"/>
        </w:rPr>
        <w:t>De même, un</w:t>
      </w:r>
      <w:r w:rsidR="00D60EBC" w:rsidRPr="00E30A18">
        <w:rPr>
          <w:lang w:val="fr-CA"/>
        </w:rPr>
        <w:t xml:space="preserve"> processus de négociation collective n</w:t>
      </w:r>
      <w:r w:rsidR="00D60EBC">
        <w:rPr>
          <w:lang w:val="fr-CA"/>
        </w:rPr>
        <w:t>’aura</w:t>
      </w:r>
      <w:r w:rsidR="00D60EBC" w:rsidRPr="00E30A18">
        <w:rPr>
          <w:lang w:val="fr-CA"/>
        </w:rPr>
        <w:t xml:space="preserve"> pas un </w:t>
      </w:r>
      <w:r w:rsidR="00D60EBC">
        <w:rPr>
          <w:lang w:val="fr-CA"/>
        </w:rPr>
        <w:t>caractère</w:t>
      </w:r>
      <w:r w:rsidR="00D60EBC" w:rsidRPr="00E30A18">
        <w:rPr>
          <w:lang w:val="fr-CA"/>
        </w:rPr>
        <w:t xml:space="preserve"> véritable s’il empêche les employés de poursuivre leurs objectifs</w:t>
      </w:r>
      <w:r w:rsidR="0053416A">
        <w:rPr>
          <w:lang w:val="fr-CA"/>
        </w:rPr>
        <w:t xml:space="preserve">.  </w:t>
      </w:r>
      <w:r w:rsidR="00D60EBC" w:rsidRPr="00E30A18">
        <w:rPr>
          <w:lang w:val="fr-CA"/>
        </w:rPr>
        <w:t>Quelle que soit la nature de la restriction, il faut essentiellement déterminer si les mesures en question perturbent l’équilibre des rapports de force entre les employés et l’employeur que l’</w:t>
      </w:r>
      <w:r w:rsidR="0053416A">
        <w:rPr>
          <w:lang w:val="fr-CA"/>
        </w:rPr>
        <w:t>al.</w:t>
      </w:r>
      <w:r w:rsidR="00795B2B">
        <w:rPr>
          <w:lang w:val="fr-CA"/>
        </w:rPr>
        <w:t xml:space="preserve"> </w:t>
      </w:r>
      <w:r w:rsidR="00D60EBC" w:rsidRPr="00E30A18">
        <w:rPr>
          <w:lang w:val="fr-CA"/>
        </w:rPr>
        <w:t>2</w:t>
      </w:r>
      <w:r w:rsidR="00D60EBC" w:rsidRPr="00E30A18">
        <w:rPr>
          <w:i/>
          <w:lang w:val="fr-CA"/>
        </w:rPr>
        <w:t>d</w:t>
      </w:r>
      <w:r w:rsidR="00D60EBC" w:rsidRPr="00E30A18">
        <w:rPr>
          <w:lang w:val="fr-CA"/>
        </w:rPr>
        <w:t xml:space="preserve">) vise à établir, de telle sorte qu’elles </w:t>
      </w:r>
      <w:r w:rsidR="00B21DC0">
        <w:rPr>
          <w:lang w:val="fr-CA"/>
        </w:rPr>
        <w:t>interfèren</w:t>
      </w:r>
      <w:r w:rsidR="00D60EBC" w:rsidRPr="00E30A18">
        <w:rPr>
          <w:lang w:val="fr-CA"/>
        </w:rPr>
        <w:t xml:space="preserve">t de façon </w:t>
      </w:r>
      <w:r w:rsidR="00D60EBC" w:rsidRPr="00B21DC0">
        <w:rPr>
          <w:lang w:val="fr-CA"/>
        </w:rPr>
        <w:t xml:space="preserve">substantielle avec un </w:t>
      </w:r>
      <w:r w:rsidR="00D60EBC">
        <w:rPr>
          <w:lang w:val="fr-CA"/>
        </w:rPr>
        <w:t xml:space="preserve">processus </w:t>
      </w:r>
      <w:r w:rsidR="00E622FE" w:rsidRPr="00B21DC0">
        <w:rPr>
          <w:lang w:val="fr-CA"/>
        </w:rPr>
        <w:t>véritable</w:t>
      </w:r>
      <w:r w:rsidR="00E622FE">
        <w:rPr>
          <w:lang w:val="fr-CA"/>
        </w:rPr>
        <w:t xml:space="preserve"> </w:t>
      </w:r>
      <w:r w:rsidR="00D60EBC">
        <w:rPr>
          <w:lang w:val="fr-CA"/>
        </w:rPr>
        <w:t>de négociation collective</w:t>
      </w:r>
      <w:r w:rsidR="00D60EBC" w:rsidRPr="005D7D1E">
        <w:rPr>
          <w:lang w:val="fr-CA"/>
        </w:rPr>
        <w:t>.</w:t>
      </w:r>
    </w:p>
    <w:p w:rsidR="00D60EBC" w:rsidRPr="005D7D1E" w:rsidRDefault="00284515" w:rsidP="00795B2B">
      <w:pPr>
        <w:pStyle w:val="SCCNormalDoubleSpacing"/>
        <w:spacing w:after="480"/>
        <w:rPr>
          <w:lang w:val="fr-CA"/>
        </w:rPr>
      </w:pPr>
      <w:r>
        <w:rPr>
          <w:lang w:val="fr-CA"/>
        </w:rPr>
        <w:lastRenderedPageBreak/>
        <w:tab/>
      </w:r>
      <w:r w:rsidR="00D60EBC">
        <w:rPr>
          <w:lang w:val="fr-CA"/>
        </w:rPr>
        <w:t>U</w:t>
      </w:r>
      <w:r w:rsidR="00D60EBC" w:rsidRPr="00E30A18">
        <w:rPr>
          <w:lang w:val="fr-CA"/>
        </w:rPr>
        <w:t>n processus véritable de négociation collective est tel qu’il offre aux employés une liberté de choix et une indépendance suffisantes pour leur permettre de décider de leurs intérêts collectifs et de véritablement les réaliser</w:t>
      </w:r>
      <w:r w:rsidR="0053416A">
        <w:rPr>
          <w:lang w:val="fr-CA"/>
        </w:rPr>
        <w:t xml:space="preserve">.  </w:t>
      </w:r>
      <w:r w:rsidR="00D60EBC" w:rsidRPr="00E30A18">
        <w:rPr>
          <w:lang w:val="fr-CA"/>
        </w:rPr>
        <w:t>Cela dit, cette liberté de choix et cette indépendance ne sont pas absolues</w:t>
      </w:r>
      <w:r w:rsidR="00795B2B">
        <w:rPr>
          <w:lang w:val="fr-CA"/>
        </w:rPr>
        <w:t> :</w:t>
      </w:r>
      <w:r w:rsidR="00D60EBC" w:rsidRPr="00E30A18">
        <w:rPr>
          <w:lang w:val="fr-CA"/>
        </w:rPr>
        <w:t xml:space="preserve"> elles sont limitées par le contexte de la négociation collective.</w:t>
      </w:r>
      <w:r w:rsidR="00D60EBC" w:rsidRPr="005D7D1E">
        <w:rPr>
          <w:lang w:val="fr-CA"/>
        </w:rPr>
        <w:t xml:space="preserve"> </w:t>
      </w:r>
    </w:p>
    <w:p w:rsidR="00D60EBC" w:rsidRPr="00B21DC0" w:rsidRDefault="00284515" w:rsidP="00795B2B">
      <w:pPr>
        <w:pStyle w:val="SCCNormalDoubleSpacing"/>
        <w:spacing w:after="480"/>
        <w:rPr>
          <w:lang w:val="fr-CA"/>
        </w:rPr>
      </w:pPr>
      <w:r>
        <w:rPr>
          <w:lang w:val="fr-CA"/>
        </w:rPr>
        <w:tab/>
      </w:r>
      <w:r w:rsidR="00D60EBC">
        <w:rPr>
          <w:lang w:val="fr-CA"/>
        </w:rPr>
        <w:t>L</w:t>
      </w:r>
      <w:r w:rsidR="00D60EBC" w:rsidRPr="00E30A18">
        <w:rPr>
          <w:lang w:val="fr-CA"/>
        </w:rPr>
        <w:t>a liberté de choix requise pa</w:t>
      </w:r>
      <w:r w:rsidR="00D60EBC">
        <w:rPr>
          <w:lang w:val="fr-CA"/>
        </w:rPr>
        <w:t>r</w:t>
      </w:r>
      <w:r w:rsidR="00D60EBC" w:rsidRPr="00E30A18">
        <w:rPr>
          <w:lang w:val="fr-CA"/>
        </w:rPr>
        <w:t xml:space="preserve"> la </w:t>
      </w:r>
      <w:r w:rsidR="00D60EBC" w:rsidRPr="00E30A18">
        <w:rPr>
          <w:i/>
          <w:lang w:val="fr-CA"/>
        </w:rPr>
        <w:t>Charte</w:t>
      </w:r>
      <w:r w:rsidR="00D60EBC" w:rsidRPr="00E30A18">
        <w:rPr>
          <w:lang w:val="fr-CA"/>
        </w:rPr>
        <w:t xml:space="preserve"> à des fins de négociation collective </w:t>
      </w:r>
      <w:r w:rsidR="00D60EBC">
        <w:rPr>
          <w:lang w:val="fr-CA"/>
        </w:rPr>
        <w:t>correspond à</w:t>
      </w:r>
      <w:r w:rsidR="00D60EBC" w:rsidRPr="00E30A18">
        <w:rPr>
          <w:lang w:val="fr-CA"/>
        </w:rPr>
        <w:t xml:space="preserve"> celle qui permet aux employés de participer véritablement au choix de</w:t>
      </w:r>
      <w:r w:rsidR="00D60EBC">
        <w:rPr>
          <w:lang w:val="fr-CA"/>
        </w:rPr>
        <w:t>s</w:t>
      </w:r>
      <w:r w:rsidR="00D60EBC" w:rsidRPr="00E30A18">
        <w:rPr>
          <w:lang w:val="fr-CA"/>
        </w:rPr>
        <w:t xml:space="preserve"> objectifs collectifs</w:t>
      </w:r>
      <w:r w:rsidR="00D60EBC">
        <w:rPr>
          <w:lang w:val="fr-CA"/>
        </w:rPr>
        <w:t xml:space="preserve"> que devra poursuivre leur association</w:t>
      </w:r>
      <w:r w:rsidR="0053416A">
        <w:rPr>
          <w:lang w:val="fr-CA"/>
        </w:rPr>
        <w:t xml:space="preserve">.  </w:t>
      </w:r>
      <w:r w:rsidR="00D60EBC">
        <w:rPr>
          <w:lang w:val="fr-CA"/>
        </w:rPr>
        <w:t>En outre, l</w:t>
      </w:r>
      <w:r w:rsidR="00D60EBC" w:rsidRPr="00E30A18">
        <w:rPr>
          <w:lang w:val="fr-CA"/>
        </w:rPr>
        <w:t xml:space="preserve">’obligation </w:t>
      </w:r>
      <w:r w:rsidR="00E622FE" w:rsidRPr="00E30A18">
        <w:rPr>
          <w:lang w:val="fr-CA"/>
        </w:rPr>
        <w:t xml:space="preserve">de l’association </w:t>
      </w:r>
      <w:r w:rsidR="00D60EBC" w:rsidRPr="00E30A18">
        <w:rPr>
          <w:lang w:val="fr-CA"/>
        </w:rPr>
        <w:t xml:space="preserve">de rendre compte aux membres joue un rôle important </w:t>
      </w:r>
      <w:r w:rsidR="00D60EBC">
        <w:rPr>
          <w:lang w:val="fr-CA"/>
        </w:rPr>
        <w:t xml:space="preserve">pour apprécier </w:t>
      </w:r>
      <w:r w:rsidR="00D60EBC" w:rsidRPr="00E30A18">
        <w:rPr>
          <w:lang w:val="fr-CA"/>
        </w:rPr>
        <w:t>la suffisance de la liberté de choix de</w:t>
      </w:r>
      <w:r w:rsidR="00D60EBC">
        <w:rPr>
          <w:lang w:val="fr-CA"/>
        </w:rPr>
        <w:t>s</w:t>
      </w:r>
      <w:r w:rsidR="00D60EBC" w:rsidRPr="00E30A18">
        <w:rPr>
          <w:lang w:val="fr-CA"/>
        </w:rPr>
        <w:t xml:space="preserve"> employé</w:t>
      </w:r>
      <w:r w:rsidR="00D60EBC">
        <w:rPr>
          <w:lang w:val="fr-CA"/>
        </w:rPr>
        <w:t>s</w:t>
      </w:r>
      <w:r w:rsidR="00D60EBC" w:rsidRPr="00E30A18">
        <w:rPr>
          <w:lang w:val="fr-CA"/>
        </w:rPr>
        <w:t xml:space="preserve"> dans un régime </w:t>
      </w:r>
      <w:r w:rsidR="00D60EBC">
        <w:rPr>
          <w:lang w:val="fr-CA"/>
        </w:rPr>
        <w:t xml:space="preserve">de relations de travail </w:t>
      </w:r>
      <w:r w:rsidR="00D60EBC" w:rsidRPr="00E30A18">
        <w:rPr>
          <w:lang w:val="fr-CA"/>
        </w:rPr>
        <w:t xml:space="preserve">donné. </w:t>
      </w:r>
      <w:r w:rsidR="00D60EBC" w:rsidRPr="005D7D1E">
        <w:rPr>
          <w:lang w:val="fr-CA"/>
        </w:rPr>
        <w:t xml:space="preserve"> </w:t>
      </w:r>
      <w:r w:rsidR="00D60EBC" w:rsidRPr="00E30A18">
        <w:rPr>
          <w:lang w:val="fr-CA"/>
        </w:rPr>
        <w:t>Tout régime qui oblige les représentants à rendre compte aux employés qui les ont choisis</w:t>
      </w:r>
      <w:r w:rsidR="00B21DC0">
        <w:rPr>
          <w:lang w:val="fr-CA"/>
        </w:rPr>
        <w:t xml:space="preserve"> garantit que</w:t>
      </w:r>
      <w:r w:rsidR="00D60EBC" w:rsidRPr="00FB07BA">
        <w:rPr>
          <w:color w:val="FF0000"/>
          <w:lang w:val="fr-CA"/>
        </w:rPr>
        <w:t xml:space="preserve"> </w:t>
      </w:r>
      <w:r w:rsidR="00D60EBC" w:rsidRPr="00B21DC0">
        <w:rPr>
          <w:lang w:val="fr-CA"/>
        </w:rPr>
        <w:t xml:space="preserve">l’association travaille à </w:t>
      </w:r>
      <w:r w:rsidR="00B21DC0" w:rsidRPr="00B21DC0">
        <w:rPr>
          <w:lang w:val="fr-CA"/>
        </w:rPr>
        <w:t>l’atteinte</w:t>
      </w:r>
      <w:r w:rsidR="00D60EBC" w:rsidRPr="00B21DC0">
        <w:rPr>
          <w:lang w:val="fr-CA"/>
        </w:rPr>
        <w:t xml:space="preserve"> des objectifs pour lesquels les employés se sont </w:t>
      </w:r>
      <w:r w:rsidR="00B21DC0" w:rsidRPr="00B21DC0">
        <w:rPr>
          <w:lang w:val="fr-CA"/>
        </w:rPr>
        <w:t>associés.</w:t>
      </w:r>
      <w:r w:rsidR="00D60EBC" w:rsidRPr="00B21DC0">
        <w:rPr>
          <w:lang w:val="fr-CA"/>
        </w:rPr>
        <w:t xml:space="preserve"> </w:t>
      </w:r>
    </w:p>
    <w:p w:rsidR="00D60EBC" w:rsidRPr="005D7D1E" w:rsidRDefault="00D60EBC" w:rsidP="00795B2B">
      <w:pPr>
        <w:pStyle w:val="SCCNormalDoubleSpacing"/>
        <w:spacing w:after="480"/>
        <w:rPr>
          <w:lang w:val="fr-CA"/>
        </w:rPr>
      </w:pPr>
      <w:r w:rsidRPr="005D7D1E">
        <w:rPr>
          <w:lang w:val="fr-CA"/>
        </w:rPr>
        <w:tab/>
      </w:r>
      <w:r w:rsidRPr="00E30A18">
        <w:rPr>
          <w:lang w:val="fr-CA"/>
        </w:rPr>
        <w:t xml:space="preserve">Dans la même veine, l’indépendance </w:t>
      </w:r>
      <w:r>
        <w:rPr>
          <w:lang w:val="fr-CA"/>
        </w:rPr>
        <w:t>exigée</w:t>
      </w:r>
      <w:r w:rsidRPr="00E30A18">
        <w:rPr>
          <w:lang w:val="fr-CA"/>
        </w:rPr>
        <w:t xml:space="preserve"> par la </w:t>
      </w:r>
      <w:r w:rsidRPr="00E30A18">
        <w:rPr>
          <w:i/>
          <w:lang w:val="fr-CA"/>
        </w:rPr>
        <w:t>Charte</w:t>
      </w:r>
      <w:r w:rsidRPr="00E30A18">
        <w:rPr>
          <w:lang w:val="fr-CA"/>
        </w:rPr>
        <w:t xml:space="preserve"> à des fins de négociation collective </w:t>
      </w:r>
      <w:r>
        <w:rPr>
          <w:lang w:val="fr-CA"/>
        </w:rPr>
        <w:t>se définit comme celle qu’assure une correspondance entre</w:t>
      </w:r>
      <w:r w:rsidRPr="00E30A18">
        <w:rPr>
          <w:lang w:val="fr-CA"/>
        </w:rPr>
        <w:t xml:space="preserve"> les activités de l’association </w:t>
      </w:r>
      <w:r>
        <w:rPr>
          <w:lang w:val="fr-CA"/>
        </w:rPr>
        <w:t>et les</w:t>
      </w:r>
      <w:r w:rsidRPr="00E30A18">
        <w:rPr>
          <w:lang w:val="fr-CA"/>
        </w:rPr>
        <w:t xml:space="preserve"> intérêts de ses membres</w:t>
      </w:r>
      <w:r w:rsidR="0053416A">
        <w:rPr>
          <w:lang w:val="fr-CA"/>
        </w:rPr>
        <w:t xml:space="preserve">.  </w:t>
      </w:r>
      <w:r>
        <w:rPr>
          <w:lang w:val="fr-CA"/>
        </w:rPr>
        <w:t>Certes, l</w:t>
      </w:r>
      <w:r w:rsidRPr="00E30A18">
        <w:rPr>
          <w:lang w:val="fr-CA"/>
        </w:rPr>
        <w:t>’objectif de la négociation collective n’</w:t>
      </w:r>
      <w:r>
        <w:rPr>
          <w:lang w:val="fr-CA"/>
        </w:rPr>
        <w:t>est pas atteint si l’employeur domine ou influence le</w:t>
      </w:r>
      <w:r w:rsidRPr="00E30A18">
        <w:rPr>
          <w:lang w:val="fr-CA"/>
        </w:rPr>
        <w:t xml:space="preserve"> processus qui l’</w:t>
      </w:r>
      <w:r>
        <w:rPr>
          <w:lang w:val="fr-CA"/>
        </w:rPr>
        <w:t>entoure</w:t>
      </w:r>
      <w:r w:rsidRPr="005D7D1E">
        <w:rPr>
          <w:lang w:val="fr-CA"/>
        </w:rPr>
        <w:t xml:space="preserve">, </w:t>
      </w:r>
      <w:r>
        <w:rPr>
          <w:lang w:val="fr-CA"/>
        </w:rPr>
        <w:t>mais, à</w:t>
      </w:r>
      <w:r w:rsidRPr="00E30A18">
        <w:rPr>
          <w:lang w:val="fr-CA"/>
        </w:rPr>
        <w:t xml:space="preserve"> l’instar de la liberté de choix, l’indépendance dans le contexte de la négociation collective n’est pas absolue</w:t>
      </w:r>
      <w:r w:rsidR="0053416A">
        <w:rPr>
          <w:lang w:val="fr-CA"/>
        </w:rPr>
        <w:t xml:space="preserve">.  </w:t>
      </w:r>
      <w:r w:rsidRPr="00E30A18">
        <w:rPr>
          <w:lang w:val="fr-CA"/>
        </w:rPr>
        <w:t>L</w:t>
      </w:r>
      <w:r>
        <w:rPr>
          <w:lang w:val="fr-CA"/>
        </w:rPr>
        <w:t>’</w:t>
      </w:r>
      <w:r w:rsidRPr="00E30A18">
        <w:rPr>
          <w:lang w:val="fr-CA"/>
        </w:rPr>
        <w:t>indépendance requis</w:t>
      </w:r>
      <w:r>
        <w:rPr>
          <w:lang w:val="fr-CA"/>
        </w:rPr>
        <w:t>e</w:t>
      </w:r>
      <w:r w:rsidRPr="00E30A18">
        <w:rPr>
          <w:lang w:val="fr-CA"/>
        </w:rPr>
        <w:t xml:space="preserve"> est cel</w:t>
      </w:r>
      <w:r>
        <w:rPr>
          <w:lang w:val="fr-CA"/>
        </w:rPr>
        <w:t>le</w:t>
      </w:r>
      <w:r w:rsidRPr="00E30A18">
        <w:rPr>
          <w:lang w:val="fr-CA"/>
        </w:rPr>
        <w:t xml:space="preserve"> qui fait </w:t>
      </w:r>
      <w:r>
        <w:rPr>
          <w:lang w:val="fr-CA"/>
        </w:rPr>
        <w:t>correspondre</w:t>
      </w:r>
      <w:r w:rsidRPr="00E30A18">
        <w:rPr>
          <w:lang w:val="fr-CA"/>
        </w:rPr>
        <w:t xml:space="preserve"> les activités de l’association aux intérêts de ses membres.</w:t>
      </w:r>
      <w:r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Pr>
          <w:lang w:val="fr-CA"/>
        </w:rPr>
        <w:t>Les conditions nécessaires</w:t>
      </w:r>
      <w:r w:rsidR="00D60EBC" w:rsidRPr="00E30A18">
        <w:rPr>
          <w:lang w:val="fr-CA"/>
        </w:rPr>
        <w:t xml:space="preserve"> pour permettre une véritable négociation collective varie</w:t>
      </w:r>
      <w:r w:rsidR="00D60EBC">
        <w:rPr>
          <w:lang w:val="fr-CA"/>
        </w:rPr>
        <w:t>nt</w:t>
      </w:r>
      <w:r w:rsidR="00D60EBC" w:rsidRPr="00E30A18">
        <w:rPr>
          <w:lang w:val="fr-CA"/>
        </w:rPr>
        <w:t xml:space="preserve"> en fonction de la culture du secteur d’activité et du milieu de travail </w:t>
      </w:r>
      <w:r w:rsidR="00D60EBC" w:rsidRPr="00E30A18">
        <w:rPr>
          <w:lang w:val="fr-CA"/>
        </w:rPr>
        <w:lastRenderedPageBreak/>
        <w:t>en question</w:t>
      </w:r>
      <w:r w:rsidR="0053416A">
        <w:rPr>
          <w:lang w:val="fr-CA"/>
        </w:rPr>
        <w:t xml:space="preserve">.  </w:t>
      </w:r>
      <w:r w:rsidR="00D60EBC" w:rsidRPr="00E30A18">
        <w:rPr>
          <w:lang w:val="fr-CA"/>
        </w:rPr>
        <w:t>Comme pour tous les examens fondés sur l’</w:t>
      </w:r>
      <w:r w:rsidR="0053416A">
        <w:rPr>
          <w:lang w:val="fr-CA"/>
        </w:rPr>
        <w:t>al.</w:t>
      </w:r>
      <w:r w:rsidR="00795B2B">
        <w:rPr>
          <w:lang w:val="fr-CA"/>
        </w:rPr>
        <w:t xml:space="preserve"> </w:t>
      </w:r>
      <w:r w:rsidR="00D60EBC" w:rsidRPr="00E30A18">
        <w:rPr>
          <w:lang w:val="fr-CA"/>
        </w:rPr>
        <w:t>2</w:t>
      </w:r>
      <w:r w:rsidR="00D60EBC" w:rsidRPr="00E30A18">
        <w:rPr>
          <w:i/>
          <w:lang w:val="fr-CA"/>
        </w:rPr>
        <w:t>d</w:t>
      </w:r>
      <w:r w:rsidR="00D60EBC" w:rsidRPr="00E30A18">
        <w:rPr>
          <w:lang w:val="fr-CA"/>
        </w:rPr>
        <w:t xml:space="preserve">), l’analyse </w:t>
      </w:r>
      <w:r w:rsidR="00D60EBC">
        <w:rPr>
          <w:lang w:val="fr-CA"/>
        </w:rPr>
        <w:t xml:space="preserve">requise </w:t>
      </w:r>
      <w:r w:rsidR="00D60EBC" w:rsidRPr="00E30A18">
        <w:rPr>
          <w:lang w:val="fr-CA"/>
        </w:rPr>
        <w:t>est contextuelle</w:t>
      </w:r>
      <w:r w:rsidR="0053416A">
        <w:rPr>
          <w:lang w:val="fr-CA"/>
        </w:rPr>
        <w:t xml:space="preserve">.  </w:t>
      </w:r>
      <w:r w:rsidR="00D60EBC" w:rsidRPr="00E30A18">
        <w:rPr>
          <w:lang w:val="fr-CA"/>
        </w:rPr>
        <w:t xml:space="preserve">La liberté de choix et l’indépendance </w:t>
      </w:r>
      <w:r w:rsidR="00D60EBC" w:rsidRPr="00710659">
        <w:rPr>
          <w:lang w:val="fr-CA"/>
        </w:rPr>
        <w:t>n’exigent</w:t>
      </w:r>
      <w:r w:rsidR="00D60EBC" w:rsidRPr="00E30A18">
        <w:rPr>
          <w:lang w:val="fr-CA"/>
        </w:rPr>
        <w:t xml:space="preserve"> pas des relations de travail de nature contradictoire; rien dans la </w:t>
      </w:r>
      <w:r w:rsidR="00D60EBC" w:rsidRPr="00E30A18">
        <w:rPr>
          <w:i/>
          <w:lang w:val="fr-CA"/>
        </w:rPr>
        <w:t xml:space="preserve">Charte </w:t>
      </w:r>
      <w:r w:rsidR="00D60EBC" w:rsidRPr="00E30A18">
        <w:rPr>
          <w:lang w:val="fr-CA"/>
        </w:rPr>
        <w:t>n’empêche une association d’employés de s’engager librement avec l’employeur dans un type de négociation différent, moins contradictoire et davantage axé sur la collaboration</w:t>
      </w:r>
      <w:r w:rsidR="0053416A">
        <w:rPr>
          <w:lang w:val="fr-CA"/>
        </w:rPr>
        <w:t xml:space="preserve">.  </w:t>
      </w:r>
      <w:r w:rsidR="00D60EBC">
        <w:rPr>
          <w:lang w:val="fr-CA"/>
        </w:rPr>
        <w:t>Sans égard au</w:t>
      </w:r>
      <w:r w:rsidR="00D60EBC" w:rsidRPr="00E30A18">
        <w:rPr>
          <w:lang w:val="fr-CA"/>
        </w:rPr>
        <w:t xml:space="preserve"> modèle</w:t>
      </w:r>
      <w:r w:rsidR="00D60EBC">
        <w:rPr>
          <w:lang w:val="fr-CA"/>
        </w:rPr>
        <w:t xml:space="preserve"> de relations de travail</w:t>
      </w:r>
      <w:r w:rsidR="00D60EBC" w:rsidRPr="00E30A18">
        <w:rPr>
          <w:lang w:val="fr-CA"/>
        </w:rPr>
        <w:t xml:space="preserve">, la </w:t>
      </w:r>
      <w:r w:rsidR="00D60EBC" w:rsidRPr="00E30A18">
        <w:rPr>
          <w:i/>
          <w:lang w:val="fr-CA"/>
        </w:rPr>
        <w:t>Charte</w:t>
      </w:r>
      <w:r w:rsidR="00D60EBC" w:rsidRPr="00E30A18">
        <w:rPr>
          <w:lang w:val="fr-CA"/>
        </w:rPr>
        <w:t xml:space="preserve"> n’autorise </w:t>
      </w:r>
      <w:r w:rsidR="00D60EBC">
        <w:rPr>
          <w:lang w:val="fr-CA"/>
        </w:rPr>
        <w:t xml:space="preserve">cependant </w:t>
      </w:r>
      <w:r w:rsidR="00D60EBC" w:rsidRPr="00E30A18">
        <w:rPr>
          <w:lang w:val="fr-CA"/>
        </w:rPr>
        <w:t>pas que l</w:t>
      </w:r>
      <w:r w:rsidR="00D60EBC">
        <w:rPr>
          <w:lang w:val="fr-CA"/>
        </w:rPr>
        <w:t>a liberté de</w:t>
      </w:r>
      <w:r w:rsidR="00D60EBC" w:rsidRPr="00E30A18">
        <w:rPr>
          <w:lang w:val="fr-CA"/>
        </w:rPr>
        <w:t xml:space="preserve"> choix et l’indépendance soi</w:t>
      </w:r>
      <w:r w:rsidR="00D60EBC">
        <w:rPr>
          <w:lang w:val="fr-CA"/>
        </w:rPr>
        <w:t>ent</w:t>
      </w:r>
      <w:r w:rsidR="00D60EBC" w:rsidRPr="00E30A18">
        <w:rPr>
          <w:lang w:val="fr-CA"/>
        </w:rPr>
        <w:t xml:space="preserve"> </w:t>
      </w:r>
      <w:r w:rsidR="00D60EBC">
        <w:rPr>
          <w:lang w:val="fr-CA"/>
        </w:rPr>
        <w:t>affaiblies jusqu’au point où</w:t>
      </w:r>
      <w:r w:rsidR="00D60EBC" w:rsidRPr="00E30A18">
        <w:rPr>
          <w:lang w:val="fr-CA"/>
        </w:rPr>
        <w:t xml:space="preserve"> </w:t>
      </w:r>
      <w:r w:rsidR="00B21DC0">
        <w:rPr>
          <w:lang w:val="fr-CA"/>
        </w:rPr>
        <w:t xml:space="preserve">apparaît </w:t>
      </w:r>
      <w:r w:rsidR="00D60EBC" w:rsidRPr="00E30A18">
        <w:rPr>
          <w:lang w:val="fr-CA"/>
        </w:rPr>
        <w:t>une entrave substantielle à l’existence d’un processus véritable de négociation collective.</w:t>
      </w:r>
      <w:r w:rsidR="00D60EBC"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Pr>
          <w:lang w:val="fr-CA"/>
        </w:rPr>
        <w:t>E</w:t>
      </w:r>
      <w:r w:rsidR="00D60EBC" w:rsidRPr="00E30A18">
        <w:rPr>
          <w:lang w:val="fr-CA"/>
        </w:rPr>
        <w:t>n l’espèce</w:t>
      </w:r>
      <w:r w:rsidR="00D60EBC">
        <w:rPr>
          <w:lang w:val="fr-CA"/>
        </w:rPr>
        <w:t xml:space="preserve">, on ne se trouve pas devant </w:t>
      </w:r>
      <w:r w:rsidR="00D60EBC" w:rsidRPr="00E30A18">
        <w:rPr>
          <w:lang w:val="fr-CA"/>
        </w:rPr>
        <w:t>un cas de négation complète du droit constitutionnel de s’associer</w:t>
      </w:r>
      <w:r w:rsidR="0053416A">
        <w:rPr>
          <w:lang w:val="fr-CA"/>
        </w:rPr>
        <w:t xml:space="preserve">.  </w:t>
      </w:r>
      <w:r w:rsidR="00D60EBC">
        <w:rPr>
          <w:lang w:val="fr-CA"/>
        </w:rPr>
        <w:t>Il s’agit</w:t>
      </w:r>
      <w:r w:rsidR="00D60EBC" w:rsidRPr="00E30A18">
        <w:rPr>
          <w:lang w:val="fr-CA"/>
        </w:rPr>
        <w:t xml:space="preserve"> plutôt </w:t>
      </w:r>
      <w:r w:rsidR="00D60EBC">
        <w:rPr>
          <w:lang w:val="fr-CA"/>
        </w:rPr>
        <w:t>d’un cas d’</w:t>
      </w:r>
      <w:r w:rsidR="00D60EBC" w:rsidRPr="00E30A18">
        <w:rPr>
          <w:lang w:val="fr-CA"/>
        </w:rPr>
        <w:t>entrave substantielle au droit de s’associer en vue de réaliser des objectifs relatifs au travail au moyen d’un processus véritable de négociation collective, à l’abri du contrôle de l’employeur</w:t>
      </w:r>
      <w:r w:rsidR="0053416A">
        <w:rPr>
          <w:lang w:val="fr-CA"/>
        </w:rPr>
        <w:t xml:space="preserve">.  </w:t>
      </w:r>
      <w:r w:rsidR="00D60EBC">
        <w:rPr>
          <w:lang w:val="fr-CA"/>
        </w:rPr>
        <w:t>L</w:t>
      </w:r>
      <w:r w:rsidR="00D60EBC" w:rsidRPr="00E30A18">
        <w:rPr>
          <w:lang w:val="fr-CA"/>
        </w:rPr>
        <w:t xml:space="preserve">es lacunes relevées dans le PRRF empêchent la tenue de </w:t>
      </w:r>
      <w:proofErr w:type="gramStart"/>
      <w:r w:rsidR="00D60EBC" w:rsidRPr="00E30A18">
        <w:rPr>
          <w:lang w:val="fr-CA"/>
        </w:rPr>
        <w:t>véritables négociations collectives et violent</w:t>
      </w:r>
      <w:proofErr w:type="gramEnd"/>
      <w:r w:rsidR="00D60EBC" w:rsidRPr="00E30A18">
        <w:rPr>
          <w:lang w:val="fr-CA"/>
        </w:rPr>
        <w:t xml:space="preserve"> l’</w:t>
      </w:r>
      <w:r w:rsidR="0053416A">
        <w:rPr>
          <w:lang w:val="fr-CA"/>
        </w:rPr>
        <w:t>al.</w:t>
      </w:r>
      <w:r w:rsidR="00795B2B">
        <w:rPr>
          <w:lang w:val="fr-CA"/>
        </w:rPr>
        <w:t xml:space="preserve"> </w:t>
      </w:r>
      <w:r w:rsidR="00D60EBC" w:rsidRPr="00E30A18">
        <w:rPr>
          <w:lang w:val="fr-CA"/>
        </w:rPr>
        <w:t>2</w:t>
      </w:r>
      <w:r w:rsidR="00D60EBC" w:rsidRPr="00E30A18">
        <w:rPr>
          <w:i/>
          <w:lang w:val="fr-CA"/>
        </w:rPr>
        <w:t>d</w:t>
      </w:r>
      <w:r w:rsidR="00D60EBC" w:rsidRPr="00E30A18">
        <w:rPr>
          <w:lang w:val="fr-CA"/>
        </w:rPr>
        <w:t>)</w:t>
      </w:r>
      <w:r w:rsidR="00D60EBC">
        <w:rPr>
          <w:lang w:val="fr-CA"/>
        </w:rPr>
        <w:t xml:space="preserve"> de la </w:t>
      </w:r>
      <w:r w:rsidR="00D60EBC" w:rsidRPr="001326ED">
        <w:rPr>
          <w:i/>
          <w:lang w:val="fr-CA"/>
        </w:rPr>
        <w:t>Charte</w:t>
      </w:r>
      <w:r w:rsidR="0053416A">
        <w:rPr>
          <w:lang w:val="fr-CA"/>
        </w:rPr>
        <w:t xml:space="preserve">.  </w:t>
      </w:r>
      <w:r w:rsidR="00D60EBC">
        <w:rPr>
          <w:lang w:val="fr-CA"/>
        </w:rPr>
        <w:t xml:space="preserve">Ce processus </w:t>
      </w:r>
      <w:r w:rsidR="00D60EBC" w:rsidRPr="00E30A18">
        <w:rPr>
          <w:lang w:val="fr-CA"/>
        </w:rPr>
        <w:t xml:space="preserve">contrevient </w:t>
      </w:r>
      <w:r w:rsidR="00D60EBC">
        <w:rPr>
          <w:lang w:val="fr-CA"/>
        </w:rPr>
        <w:t xml:space="preserve">donc </w:t>
      </w:r>
      <w:r w:rsidR="00D60EBC" w:rsidRPr="00E30A18">
        <w:rPr>
          <w:lang w:val="fr-CA"/>
        </w:rPr>
        <w:t>à la liberté d’association des membres de la GRC tant par son objet que par ses effets.</w:t>
      </w:r>
      <w:r w:rsidR="00D60EBC"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Pr>
          <w:lang w:val="fr-CA"/>
        </w:rPr>
        <w:t>L</w:t>
      </w:r>
      <w:r w:rsidR="00D60EBC" w:rsidRPr="00E30A18">
        <w:rPr>
          <w:lang w:val="fr-CA"/>
        </w:rPr>
        <w:t>’article</w:t>
      </w:r>
      <w:r w:rsidR="00795B2B">
        <w:rPr>
          <w:lang w:val="fr-CA"/>
        </w:rPr>
        <w:t xml:space="preserve"> </w:t>
      </w:r>
      <w:r w:rsidR="00D60EBC" w:rsidRPr="00E30A18">
        <w:rPr>
          <w:lang w:val="fr-CA"/>
        </w:rPr>
        <w:t xml:space="preserve">96 du </w:t>
      </w:r>
      <w:r w:rsidR="00D60EBC" w:rsidRPr="00E30A18">
        <w:rPr>
          <w:i/>
          <w:lang w:val="fr-CA"/>
        </w:rPr>
        <w:t xml:space="preserve">Règlement de la GRC </w:t>
      </w:r>
      <w:r w:rsidR="00D60EBC" w:rsidRPr="00E30A18">
        <w:rPr>
          <w:lang w:val="fr-CA"/>
        </w:rPr>
        <w:t>impos</w:t>
      </w:r>
      <w:r w:rsidR="00B21DC0">
        <w:rPr>
          <w:lang w:val="fr-CA"/>
        </w:rPr>
        <w:t>ait</w:t>
      </w:r>
      <w:r w:rsidR="00D60EBC" w:rsidRPr="00E30A18">
        <w:rPr>
          <w:lang w:val="fr-CA"/>
        </w:rPr>
        <w:t xml:space="preserve"> aux membres de la GRC le PRRF </w:t>
      </w:r>
      <w:r w:rsidR="00D60EBC">
        <w:rPr>
          <w:lang w:val="fr-CA"/>
        </w:rPr>
        <w:t>afin d’</w:t>
      </w:r>
      <w:r w:rsidR="00D60EBC" w:rsidRPr="00E30A18">
        <w:rPr>
          <w:lang w:val="fr-CA"/>
        </w:rPr>
        <w:t>empêcher la négociation collective au moyen d’une association indépendante</w:t>
      </w:r>
      <w:r w:rsidR="0053416A">
        <w:rPr>
          <w:lang w:val="fr-CA"/>
        </w:rPr>
        <w:t xml:space="preserve">.  </w:t>
      </w:r>
      <w:r w:rsidR="00D60EBC">
        <w:rPr>
          <w:lang w:val="fr-CA"/>
        </w:rPr>
        <w:t>Non seulement l</w:t>
      </w:r>
      <w:r w:rsidR="00D60EBC" w:rsidRPr="00E30A18">
        <w:rPr>
          <w:lang w:val="fr-CA"/>
        </w:rPr>
        <w:t xml:space="preserve">es membres </w:t>
      </w:r>
      <w:r w:rsidR="00D60EBC">
        <w:rPr>
          <w:lang w:val="fr-CA"/>
        </w:rPr>
        <w:t xml:space="preserve">se trouvent </w:t>
      </w:r>
      <w:r w:rsidR="00D60EBC" w:rsidRPr="00E30A18">
        <w:rPr>
          <w:lang w:val="fr-CA"/>
        </w:rPr>
        <w:t>représentés par un organisme qu’ils n’ont pas choisi et qu’ils ne contrôlent pas</w:t>
      </w:r>
      <w:r w:rsidR="00D60EBC">
        <w:rPr>
          <w:lang w:val="fr-CA"/>
        </w:rPr>
        <w:t>, mais i</w:t>
      </w:r>
      <w:r w:rsidR="00D60EBC" w:rsidRPr="00E30A18">
        <w:rPr>
          <w:lang w:val="fr-CA"/>
        </w:rPr>
        <w:t>ls sont tributaires d’une structure</w:t>
      </w:r>
      <w:r w:rsidR="00D60EBC" w:rsidRPr="005D7D1E">
        <w:rPr>
          <w:lang w:val="fr-CA"/>
        </w:rPr>
        <w:t xml:space="preserve"> </w:t>
      </w:r>
      <w:r w:rsidR="00D60EBC">
        <w:rPr>
          <w:lang w:val="fr-CA"/>
        </w:rPr>
        <w:t xml:space="preserve">qui </w:t>
      </w:r>
      <w:r w:rsidR="00D60EBC" w:rsidRPr="00E30A18">
        <w:rPr>
          <w:lang w:val="fr-CA"/>
        </w:rPr>
        <w:t>relève de l’organisme de gestion de la GRC</w:t>
      </w:r>
      <w:r w:rsidR="00D60EBC" w:rsidRPr="005D7D1E">
        <w:rPr>
          <w:lang w:val="fr-CA"/>
        </w:rPr>
        <w:t xml:space="preserve"> </w:t>
      </w:r>
      <w:r w:rsidR="00D60EBC">
        <w:rPr>
          <w:lang w:val="fr-CA"/>
        </w:rPr>
        <w:t xml:space="preserve">et </w:t>
      </w:r>
      <w:r w:rsidR="007B57C5">
        <w:rPr>
          <w:lang w:val="fr-CA"/>
        </w:rPr>
        <w:t xml:space="preserve">qui </w:t>
      </w:r>
      <w:r w:rsidR="00D60EBC">
        <w:rPr>
          <w:lang w:val="fr-CA"/>
        </w:rPr>
        <w:t xml:space="preserve">est ainsi dépourvue </w:t>
      </w:r>
      <w:r w:rsidR="00D60EBC" w:rsidRPr="00B21DC0">
        <w:rPr>
          <w:lang w:val="fr-CA"/>
        </w:rPr>
        <w:t>d’indépendance à</w:t>
      </w:r>
      <w:r w:rsidR="00D60EBC">
        <w:rPr>
          <w:lang w:val="fr-CA"/>
        </w:rPr>
        <w:t xml:space="preserve"> l’égard de la direction</w:t>
      </w:r>
      <w:r w:rsidR="0053416A">
        <w:rPr>
          <w:lang w:val="fr-CA"/>
        </w:rPr>
        <w:t xml:space="preserve">.  </w:t>
      </w:r>
      <w:r w:rsidR="00D60EBC">
        <w:rPr>
          <w:lang w:val="fr-CA"/>
        </w:rPr>
        <w:t>Les employés se trouvent dans une position désavantageuse et vulnérable parce que l</w:t>
      </w:r>
      <w:r w:rsidR="00D60EBC" w:rsidRPr="00E30A18">
        <w:rPr>
          <w:lang w:val="fr-CA"/>
        </w:rPr>
        <w:t xml:space="preserve">e </w:t>
      </w:r>
      <w:r w:rsidR="00E622FE">
        <w:rPr>
          <w:lang w:val="fr-CA"/>
        </w:rPr>
        <w:t>PRRF</w:t>
      </w:r>
      <w:r w:rsidR="00D60EBC" w:rsidRPr="00E30A18">
        <w:rPr>
          <w:lang w:val="fr-CA"/>
        </w:rPr>
        <w:t xml:space="preserve"> n’</w:t>
      </w:r>
      <w:r w:rsidR="00D60EBC">
        <w:rPr>
          <w:lang w:val="fr-CA"/>
        </w:rPr>
        <w:t>établit</w:t>
      </w:r>
      <w:r w:rsidR="00D60EBC" w:rsidRPr="00E30A18">
        <w:rPr>
          <w:lang w:val="fr-CA"/>
        </w:rPr>
        <w:t xml:space="preserve"> pas</w:t>
      </w:r>
      <w:r w:rsidR="00D60EBC">
        <w:rPr>
          <w:lang w:val="fr-CA"/>
        </w:rPr>
        <w:t>,</w:t>
      </w:r>
      <w:r w:rsidR="00D60EBC" w:rsidRPr="00E30A18">
        <w:rPr>
          <w:lang w:val="fr-CA"/>
        </w:rPr>
        <w:t xml:space="preserve"> </w:t>
      </w:r>
      <w:r w:rsidR="00D60EBC">
        <w:rPr>
          <w:lang w:val="fr-CA"/>
        </w:rPr>
        <w:t>entre eux</w:t>
      </w:r>
      <w:r w:rsidR="00D60EBC" w:rsidRPr="00E30A18">
        <w:rPr>
          <w:lang w:val="fr-CA"/>
        </w:rPr>
        <w:t xml:space="preserve"> et l’employeur</w:t>
      </w:r>
      <w:r w:rsidR="00D60EBC">
        <w:rPr>
          <w:lang w:val="fr-CA"/>
        </w:rPr>
        <w:t>,</w:t>
      </w:r>
      <w:r w:rsidR="00D60EBC" w:rsidRPr="00E30A18">
        <w:rPr>
          <w:lang w:val="fr-CA"/>
        </w:rPr>
        <w:t xml:space="preserve"> </w:t>
      </w:r>
      <w:r w:rsidR="00D60EBC">
        <w:rPr>
          <w:lang w:val="fr-CA"/>
        </w:rPr>
        <w:t>l’équilibre</w:t>
      </w:r>
      <w:r w:rsidR="00D60EBC" w:rsidRPr="00E30A18">
        <w:rPr>
          <w:lang w:val="fr-CA"/>
        </w:rPr>
        <w:t xml:space="preserve"> essentiel à la tenue d’une véritable négociation collective.</w:t>
      </w:r>
      <w:r w:rsidR="00D60EBC" w:rsidRPr="005D7D1E">
        <w:rPr>
          <w:lang w:val="fr-CA"/>
        </w:rPr>
        <w:t xml:space="preserve"> </w:t>
      </w:r>
    </w:p>
    <w:p w:rsidR="00D60EBC" w:rsidRPr="005D7D1E" w:rsidRDefault="00284515" w:rsidP="00795B2B">
      <w:pPr>
        <w:pStyle w:val="SCCNormalDoubleSpacing"/>
        <w:spacing w:after="480"/>
        <w:rPr>
          <w:lang w:val="fr-CA"/>
        </w:rPr>
      </w:pPr>
      <w:r>
        <w:rPr>
          <w:lang w:val="fr-CA"/>
        </w:rPr>
        <w:lastRenderedPageBreak/>
        <w:tab/>
      </w:r>
      <w:r w:rsidR="00D60EBC">
        <w:rPr>
          <w:lang w:val="fr-CA"/>
        </w:rPr>
        <w:t xml:space="preserve">Le </w:t>
      </w:r>
      <w:r w:rsidR="00E622FE">
        <w:rPr>
          <w:lang w:val="fr-CA"/>
        </w:rPr>
        <w:t>PRRF</w:t>
      </w:r>
      <w:r w:rsidR="00D60EBC">
        <w:rPr>
          <w:lang w:val="fr-CA"/>
        </w:rPr>
        <w:t xml:space="preserve"> </w:t>
      </w:r>
      <w:r w:rsidR="00D60EBC" w:rsidRPr="00E30A18">
        <w:rPr>
          <w:lang w:val="fr-CA"/>
        </w:rPr>
        <w:t xml:space="preserve">viole </w:t>
      </w:r>
      <w:r w:rsidR="00D60EBC">
        <w:rPr>
          <w:lang w:val="fr-CA"/>
        </w:rPr>
        <w:t xml:space="preserve">également </w:t>
      </w:r>
      <w:r w:rsidR="00D60EBC" w:rsidRPr="00E30A18">
        <w:rPr>
          <w:lang w:val="fr-CA"/>
        </w:rPr>
        <w:t>l’</w:t>
      </w:r>
      <w:r w:rsidR="0053416A">
        <w:rPr>
          <w:lang w:val="fr-CA"/>
        </w:rPr>
        <w:t>al.</w:t>
      </w:r>
      <w:r w:rsidR="00795B2B">
        <w:rPr>
          <w:lang w:val="fr-CA"/>
        </w:rPr>
        <w:t xml:space="preserve"> </w:t>
      </w:r>
      <w:r w:rsidR="00D60EBC" w:rsidRPr="00E30A18">
        <w:rPr>
          <w:lang w:val="fr-CA"/>
        </w:rPr>
        <w:t>2</w:t>
      </w:r>
      <w:r w:rsidR="00D60EBC" w:rsidRPr="00E30A18">
        <w:rPr>
          <w:i/>
          <w:lang w:val="fr-CA"/>
        </w:rPr>
        <w:t>d</w:t>
      </w:r>
      <w:r w:rsidR="00D60EBC" w:rsidRPr="00E30A18">
        <w:rPr>
          <w:lang w:val="fr-CA"/>
        </w:rPr>
        <w:t xml:space="preserve">) </w:t>
      </w:r>
      <w:r w:rsidR="00D60EBC">
        <w:rPr>
          <w:lang w:val="fr-CA"/>
        </w:rPr>
        <w:t>en raison de</w:t>
      </w:r>
      <w:r w:rsidR="00D60EBC" w:rsidRPr="00E30A18">
        <w:rPr>
          <w:lang w:val="fr-CA"/>
        </w:rPr>
        <w:t xml:space="preserve"> ses effets</w:t>
      </w:r>
      <w:r w:rsidR="0053416A">
        <w:rPr>
          <w:lang w:val="fr-CA"/>
        </w:rPr>
        <w:t xml:space="preserve">.  </w:t>
      </w:r>
      <w:r w:rsidR="00D60EBC">
        <w:rPr>
          <w:lang w:val="fr-CA"/>
        </w:rPr>
        <w:t xml:space="preserve">La question qu’il faut poser est celle de savoir </w:t>
      </w:r>
      <w:r w:rsidR="00D60EBC" w:rsidRPr="00E30A18">
        <w:rPr>
          <w:lang w:val="fr-CA"/>
        </w:rPr>
        <w:t xml:space="preserve">si les </w:t>
      </w:r>
      <w:r w:rsidR="00D60EBC">
        <w:rPr>
          <w:lang w:val="fr-CA"/>
        </w:rPr>
        <w:t xml:space="preserve">membres de la GRC </w:t>
      </w:r>
      <w:r w:rsidR="00D60EBC" w:rsidRPr="00E30A18">
        <w:rPr>
          <w:lang w:val="fr-CA"/>
        </w:rPr>
        <w:t>peuvent faire véritablement valoir leurs propres intérêts, au moyen du PRRF, sans ingérence de la direction de la GRC</w:t>
      </w:r>
      <w:r w:rsidR="0053416A">
        <w:rPr>
          <w:lang w:val="fr-CA"/>
        </w:rPr>
        <w:t xml:space="preserve">.  </w:t>
      </w:r>
      <w:r w:rsidR="00D60EBC">
        <w:rPr>
          <w:lang w:val="fr-CA"/>
        </w:rPr>
        <w:t>Le</w:t>
      </w:r>
      <w:r w:rsidR="00D60EBC" w:rsidRPr="00E30A18">
        <w:rPr>
          <w:lang w:val="fr-CA"/>
        </w:rPr>
        <w:t xml:space="preserve"> dossier </w:t>
      </w:r>
      <w:r w:rsidR="00D60EBC">
        <w:rPr>
          <w:lang w:val="fr-CA"/>
        </w:rPr>
        <w:t>de l’espèce démontre</w:t>
      </w:r>
      <w:r w:rsidR="00D60EBC" w:rsidRPr="00E30A18">
        <w:rPr>
          <w:lang w:val="fr-CA"/>
        </w:rPr>
        <w:t xml:space="preserve"> que tel n’est pas le cas</w:t>
      </w:r>
      <w:r w:rsidR="0053416A">
        <w:rPr>
          <w:lang w:val="fr-CA"/>
        </w:rPr>
        <w:t xml:space="preserve">.  </w:t>
      </w:r>
      <w:r w:rsidR="00D60EBC">
        <w:rPr>
          <w:lang w:val="fr-CA"/>
        </w:rPr>
        <w:t>Autrement dit</w:t>
      </w:r>
      <w:r w:rsidR="00D60EBC" w:rsidRPr="00E30A18">
        <w:rPr>
          <w:lang w:val="fr-CA"/>
        </w:rPr>
        <w:t>, le PRRF n</w:t>
      </w:r>
      <w:r w:rsidR="00D60EBC">
        <w:rPr>
          <w:lang w:val="fr-CA"/>
        </w:rPr>
        <w:t>e constitue</w:t>
      </w:r>
      <w:r w:rsidR="00D60EBC" w:rsidRPr="00E30A18">
        <w:rPr>
          <w:lang w:val="fr-CA"/>
        </w:rPr>
        <w:t xml:space="preserve"> pas une association au vrai sens du terme ni un exercice du droit à la liberté d’association</w:t>
      </w:r>
      <w:r w:rsidR="0053416A">
        <w:rPr>
          <w:lang w:val="fr-CA"/>
        </w:rPr>
        <w:t xml:space="preserve">.  </w:t>
      </w:r>
      <w:r w:rsidR="00D60EBC" w:rsidRPr="00E30A18">
        <w:rPr>
          <w:lang w:val="fr-CA"/>
        </w:rPr>
        <w:t>Il s’agit simplement d’un régime interne de relations humaines imposé aux membres de la GRC par la direction</w:t>
      </w:r>
      <w:r w:rsidR="00D60EBC">
        <w:rPr>
          <w:lang w:val="fr-CA"/>
        </w:rPr>
        <w:t xml:space="preserve"> de celle</w:t>
      </w:r>
      <w:r w:rsidR="00795B2B">
        <w:rPr>
          <w:lang w:val="fr-CA"/>
        </w:rPr>
        <w:t>-</w:t>
      </w:r>
      <w:r w:rsidR="00D60EBC">
        <w:rPr>
          <w:lang w:val="fr-CA"/>
        </w:rPr>
        <w:t>ci</w:t>
      </w:r>
      <w:r w:rsidR="0053416A">
        <w:rPr>
          <w:lang w:val="fr-CA"/>
        </w:rPr>
        <w:t xml:space="preserve">.  </w:t>
      </w:r>
      <w:r w:rsidR="00D60EBC" w:rsidRPr="00E30A18">
        <w:rPr>
          <w:lang w:val="fr-CA"/>
        </w:rPr>
        <w:t xml:space="preserve">La liberté de choix de l’employé </w:t>
      </w:r>
      <w:r w:rsidR="00B21DC0">
        <w:rPr>
          <w:lang w:val="fr-CA"/>
        </w:rPr>
        <w:t>devient</w:t>
      </w:r>
      <w:r w:rsidR="00D60EBC" w:rsidRPr="00E30A18">
        <w:rPr>
          <w:lang w:val="fr-CA"/>
        </w:rPr>
        <w:t xml:space="preserve"> donc pratiquement inexistante</w:t>
      </w:r>
      <w:r w:rsidR="00D60EBC" w:rsidRPr="005D7D1E">
        <w:rPr>
          <w:lang w:val="fr-CA"/>
        </w:rPr>
        <w:t xml:space="preserve"> </w:t>
      </w:r>
      <w:r w:rsidR="00D60EBC">
        <w:rPr>
          <w:lang w:val="fr-CA"/>
        </w:rPr>
        <w:t xml:space="preserve">et </w:t>
      </w:r>
      <w:r w:rsidR="00D60EBC" w:rsidRPr="00E30A18">
        <w:rPr>
          <w:lang w:val="fr-CA"/>
        </w:rPr>
        <w:t>la structure en question n’est pas indépendante de la direction</w:t>
      </w:r>
      <w:r w:rsidR="00D60EBC" w:rsidRPr="005D7D1E">
        <w:rPr>
          <w:lang w:val="fr-CA"/>
        </w:rPr>
        <w:t xml:space="preserve">.  </w:t>
      </w:r>
    </w:p>
    <w:p w:rsidR="00D60EBC" w:rsidRPr="005D7D1E" w:rsidRDefault="00284515" w:rsidP="00795B2B">
      <w:pPr>
        <w:pStyle w:val="SCCNormalDoubleSpacing"/>
        <w:spacing w:after="480"/>
        <w:rPr>
          <w:lang w:val="fr-CA"/>
        </w:rPr>
      </w:pPr>
      <w:r>
        <w:rPr>
          <w:lang w:val="fr-CA"/>
        </w:rPr>
        <w:tab/>
      </w:r>
      <w:r w:rsidR="00D60EBC">
        <w:rPr>
          <w:lang w:val="fr-CA"/>
        </w:rPr>
        <w:t xml:space="preserve">La deuxième question que soulève la présente contestation constitutionnelle porte sur l’exclusion des membres de </w:t>
      </w:r>
      <w:r w:rsidR="00D60EBC" w:rsidRPr="00E30A18">
        <w:rPr>
          <w:lang w:val="fr-CA"/>
        </w:rPr>
        <w:t xml:space="preserve">la GRC </w:t>
      </w:r>
      <w:r w:rsidR="00D60EBC">
        <w:rPr>
          <w:lang w:val="fr-CA"/>
        </w:rPr>
        <w:t>du régime établi par l’</w:t>
      </w:r>
      <w:r w:rsidR="0053416A">
        <w:rPr>
          <w:lang w:val="fr-CA"/>
        </w:rPr>
        <w:t>al.</w:t>
      </w:r>
      <w:r w:rsidR="00795B2B">
        <w:rPr>
          <w:lang w:val="fr-CA"/>
        </w:rPr>
        <w:t xml:space="preserve"> </w:t>
      </w:r>
      <w:r w:rsidR="00D60EBC" w:rsidRPr="00C64C28">
        <w:rPr>
          <w:i/>
          <w:lang w:val="fr-CA"/>
        </w:rPr>
        <w:t>d</w:t>
      </w:r>
      <w:r w:rsidR="00D60EBC">
        <w:rPr>
          <w:lang w:val="fr-CA"/>
        </w:rPr>
        <w:t>) de la définition d</w:t>
      </w:r>
      <w:r w:rsidR="00B21DC0">
        <w:rPr>
          <w:lang w:val="fr-CA"/>
        </w:rPr>
        <w:t>e</w:t>
      </w:r>
      <w:r w:rsidR="00E622FE">
        <w:rPr>
          <w:lang w:val="fr-CA"/>
        </w:rPr>
        <w:t xml:space="preserve"> </w:t>
      </w:r>
      <w:r w:rsidR="00795B2B">
        <w:rPr>
          <w:lang w:val="fr-CA"/>
        </w:rPr>
        <w:t>« </w:t>
      </w:r>
      <w:r w:rsidR="00B21DC0">
        <w:rPr>
          <w:lang w:val="fr-CA"/>
        </w:rPr>
        <w:t>fonctionnaire</w:t>
      </w:r>
      <w:r w:rsidR="00795B2B">
        <w:rPr>
          <w:lang w:val="fr-CA"/>
        </w:rPr>
        <w:t> »</w:t>
      </w:r>
      <w:r w:rsidR="00D60EBC">
        <w:rPr>
          <w:lang w:val="fr-CA"/>
        </w:rPr>
        <w:t xml:space="preserve"> qui figure au </w:t>
      </w:r>
      <w:r w:rsidR="0053416A">
        <w:rPr>
          <w:lang w:val="fr-CA"/>
        </w:rPr>
        <w:t>par.</w:t>
      </w:r>
      <w:r w:rsidR="00795B2B">
        <w:rPr>
          <w:lang w:val="fr-CA"/>
        </w:rPr>
        <w:t xml:space="preserve"> </w:t>
      </w:r>
      <w:r w:rsidR="00D60EBC">
        <w:rPr>
          <w:lang w:val="fr-CA"/>
        </w:rPr>
        <w:t>2(1)</w:t>
      </w:r>
      <w:r w:rsidR="00B21DC0">
        <w:rPr>
          <w:lang w:val="fr-CA"/>
        </w:rPr>
        <w:t xml:space="preserve"> de la </w:t>
      </w:r>
      <w:r w:rsidR="00B21DC0" w:rsidRPr="00B21DC0">
        <w:rPr>
          <w:i/>
          <w:lang w:val="fr-CA"/>
        </w:rPr>
        <w:t>LRTFP</w:t>
      </w:r>
      <w:r w:rsidR="00B21DC0">
        <w:rPr>
          <w:lang w:val="fr-CA"/>
        </w:rPr>
        <w:t xml:space="preserve"> actuelle</w:t>
      </w:r>
      <w:r w:rsidR="00D60EBC">
        <w:rPr>
          <w:lang w:val="fr-CA"/>
        </w:rPr>
        <w:t xml:space="preserve">.  </w:t>
      </w:r>
      <w:r w:rsidR="00D60EBC" w:rsidRPr="00E30A18">
        <w:rPr>
          <w:lang w:val="fr-CA"/>
        </w:rPr>
        <w:t xml:space="preserve">Dans l’arrêt </w:t>
      </w:r>
      <w:r w:rsidR="00D60EBC" w:rsidRPr="00E30A18">
        <w:rPr>
          <w:i/>
          <w:lang w:val="fr-CA"/>
        </w:rPr>
        <w:t>Delisle</w:t>
      </w:r>
      <w:r w:rsidR="00D60EBC" w:rsidRPr="00E30A18">
        <w:rPr>
          <w:lang w:val="fr-CA"/>
        </w:rPr>
        <w:t xml:space="preserve">, la Cour a jugé que l’exclusion de cet organisme du régime de la première </w:t>
      </w:r>
      <w:r w:rsidR="00D60EBC" w:rsidRPr="00E30A18">
        <w:rPr>
          <w:i/>
          <w:lang w:val="fr-CA"/>
        </w:rPr>
        <w:t>LRTFP</w:t>
      </w:r>
      <w:r w:rsidR="00D60EBC" w:rsidRPr="00E30A18">
        <w:rPr>
          <w:lang w:val="fr-CA"/>
        </w:rPr>
        <w:t xml:space="preserve"> ne violait pas l’</w:t>
      </w:r>
      <w:r w:rsidR="0053416A">
        <w:rPr>
          <w:lang w:val="fr-CA"/>
        </w:rPr>
        <w:t>al.</w:t>
      </w:r>
      <w:r w:rsidR="00795B2B">
        <w:rPr>
          <w:lang w:val="fr-CA"/>
        </w:rPr>
        <w:t xml:space="preserve"> </w:t>
      </w:r>
      <w:r w:rsidR="00D60EBC" w:rsidRPr="00E30A18">
        <w:rPr>
          <w:lang w:val="fr-CA"/>
        </w:rPr>
        <w:t>2</w:t>
      </w:r>
      <w:r w:rsidR="00D60EBC" w:rsidRPr="00E30A18">
        <w:rPr>
          <w:i/>
          <w:lang w:val="fr-CA"/>
        </w:rPr>
        <w:t>d</w:t>
      </w:r>
      <w:r w:rsidR="00D60EBC" w:rsidRPr="00E30A18">
        <w:rPr>
          <w:lang w:val="fr-CA"/>
        </w:rPr>
        <w:t xml:space="preserve">) de la </w:t>
      </w:r>
      <w:r w:rsidR="00D60EBC" w:rsidRPr="00E30A18">
        <w:rPr>
          <w:i/>
          <w:lang w:val="fr-CA"/>
        </w:rPr>
        <w:t>Charte</w:t>
      </w:r>
      <w:r w:rsidR="00D60EBC" w:rsidRPr="00E30A18">
        <w:rPr>
          <w:lang w:val="fr-CA"/>
        </w:rPr>
        <w:t>.</w:t>
      </w:r>
      <w:r w:rsidR="00D60EBC" w:rsidRPr="005D7D1E">
        <w:rPr>
          <w:lang w:val="fr-CA"/>
        </w:rPr>
        <w:t xml:space="preserve">  </w:t>
      </w:r>
      <w:r w:rsidR="00D60EBC">
        <w:rPr>
          <w:lang w:val="fr-CA"/>
        </w:rPr>
        <w:t>Il faut se garder</w:t>
      </w:r>
      <w:r w:rsidR="00D60EBC" w:rsidRPr="00E30A18">
        <w:rPr>
          <w:lang w:val="fr-CA"/>
        </w:rPr>
        <w:t xml:space="preserve"> d’écarter un précédent de la Cour à la légère</w:t>
      </w:r>
      <w:r w:rsidR="0053416A">
        <w:rPr>
          <w:lang w:val="fr-CA"/>
        </w:rPr>
        <w:t xml:space="preserve">.  </w:t>
      </w:r>
      <w:r w:rsidR="00D60EBC" w:rsidRPr="00E30A18">
        <w:rPr>
          <w:lang w:val="fr-CA"/>
        </w:rPr>
        <w:t xml:space="preserve">Cependant, la décision rendue dans </w:t>
      </w:r>
      <w:r w:rsidR="00D60EBC" w:rsidRPr="00E30A18">
        <w:rPr>
          <w:i/>
          <w:lang w:val="fr-CA"/>
        </w:rPr>
        <w:t>Delisle</w:t>
      </w:r>
      <w:r w:rsidR="00D60EBC" w:rsidRPr="00E30A18">
        <w:rPr>
          <w:lang w:val="fr-CA"/>
        </w:rPr>
        <w:t xml:space="preserve"> a précédé le </w:t>
      </w:r>
      <w:r w:rsidR="00D60EBC">
        <w:rPr>
          <w:lang w:val="fr-CA"/>
        </w:rPr>
        <w:t>changement d’orientation effectué</w:t>
      </w:r>
      <w:r w:rsidR="00D60EBC" w:rsidRPr="00E30A18">
        <w:rPr>
          <w:lang w:val="fr-CA"/>
        </w:rPr>
        <w:t xml:space="preserve"> par la Cour vers une interprétation généreuse et téléologique </w:t>
      </w:r>
      <w:r w:rsidR="00B21DC0">
        <w:rPr>
          <w:lang w:val="fr-CA"/>
        </w:rPr>
        <w:t>des relations de travail</w:t>
      </w:r>
      <w:r w:rsidR="00D60EBC">
        <w:rPr>
          <w:lang w:val="fr-CA"/>
        </w:rPr>
        <w:t xml:space="preserve"> et elle</w:t>
      </w:r>
      <w:r w:rsidR="00D60EBC" w:rsidRPr="00E30A18">
        <w:rPr>
          <w:lang w:val="fr-CA"/>
        </w:rPr>
        <w:t xml:space="preserve"> portait sur une question différente de celle dont nous sommes saisi</w:t>
      </w:r>
      <w:r w:rsidR="00D60EBC">
        <w:rPr>
          <w:lang w:val="fr-CA"/>
        </w:rPr>
        <w:t xml:space="preserve">s </w:t>
      </w:r>
      <w:r w:rsidR="00D60EBC" w:rsidRPr="00E30A18">
        <w:rPr>
          <w:lang w:val="fr-CA"/>
        </w:rPr>
        <w:t>en l’espèce et sur des aspects plus restreints du régime</w:t>
      </w:r>
      <w:r w:rsidR="00D60EBC">
        <w:rPr>
          <w:lang w:val="fr-CA"/>
        </w:rPr>
        <w:t xml:space="preserve"> de relations de travail </w:t>
      </w:r>
      <w:r w:rsidR="00B21DC0">
        <w:rPr>
          <w:lang w:val="fr-CA"/>
        </w:rPr>
        <w:t xml:space="preserve">que ceux </w:t>
      </w:r>
      <w:r w:rsidR="00D60EBC">
        <w:rPr>
          <w:lang w:val="fr-CA"/>
        </w:rPr>
        <w:t xml:space="preserve">en cause </w:t>
      </w:r>
      <w:r w:rsidR="00E622FE">
        <w:rPr>
          <w:lang w:val="fr-CA"/>
        </w:rPr>
        <w:t>dans la présente affaire</w:t>
      </w:r>
      <w:r w:rsidR="0053416A">
        <w:rPr>
          <w:lang w:val="fr-CA"/>
        </w:rPr>
        <w:t xml:space="preserve">.  </w:t>
      </w:r>
      <w:r w:rsidR="00D60EBC" w:rsidRPr="00E30A18">
        <w:rPr>
          <w:lang w:val="fr-CA"/>
        </w:rPr>
        <w:t xml:space="preserve">En conséquence, il y a lieu de revoir la décision rendue dans </w:t>
      </w:r>
      <w:r w:rsidR="00D60EBC" w:rsidRPr="00E30A18">
        <w:rPr>
          <w:i/>
          <w:lang w:val="fr-CA"/>
        </w:rPr>
        <w:t>Delisle</w:t>
      </w:r>
      <w:r w:rsidR="00D60EBC" w:rsidRPr="00E30A18">
        <w:rPr>
          <w:lang w:val="fr-CA"/>
        </w:rPr>
        <w:t>.</w:t>
      </w:r>
    </w:p>
    <w:p w:rsidR="00D60EBC" w:rsidRPr="005D7D1E" w:rsidRDefault="00D60EBC" w:rsidP="00795B2B">
      <w:pPr>
        <w:pStyle w:val="SCCNormalDoubleSpacing"/>
        <w:spacing w:after="480"/>
        <w:rPr>
          <w:lang w:val="fr-CA"/>
        </w:rPr>
      </w:pPr>
      <w:r w:rsidRPr="005D7D1E">
        <w:rPr>
          <w:lang w:val="fr-CA"/>
        </w:rPr>
        <w:tab/>
      </w:r>
      <w:r w:rsidRPr="00E30A18">
        <w:rPr>
          <w:lang w:val="fr-CA"/>
        </w:rPr>
        <w:t>Considéré dans son contexte historique, l’objet de l’</w:t>
      </w:r>
      <w:r w:rsidR="0053416A">
        <w:rPr>
          <w:lang w:val="fr-CA"/>
        </w:rPr>
        <w:t>al.</w:t>
      </w:r>
      <w:r w:rsidR="00795B2B">
        <w:rPr>
          <w:lang w:val="fr-CA"/>
        </w:rPr>
        <w:t xml:space="preserve"> </w:t>
      </w:r>
      <w:r w:rsidR="00B21DC0" w:rsidRPr="00BE2ED2">
        <w:rPr>
          <w:i/>
          <w:lang w:val="fr-CA"/>
        </w:rPr>
        <w:t xml:space="preserve"> </w:t>
      </w:r>
      <w:r w:rsidRPr="00BE2ED2">
        <w:rPr>
          <w:i/>
          <w:lang w:val="fr-CA"/>
        </w:rPr>
        <w:t>d</w:t>
      </w:r>
      <w:r w:rsidRPr="00BE2ED2">
        <w:rPr>
          <w:lang w:val="fr-CA"/>
        </w:rPr>
        <w:t>)</w:t>
      </w:r>
      <w:r w:rsidRPr="00E30A18">
        <w:rPr>
          <w:lang w:val="fr-CA"/>
        </w:rPr>
        <w:t xml:space="preserve"> </w:t>
      </w:r>
      <w:r w:rsidR="00B21DC0">
        <w:rPr>
          <w:lang w:val="fr-CA"/>
        </w:rPr>
        <w:t xml:space="preserve">de la définition de </w:t>
      </w:r>
      <w:r w:rsidR="00795B2B">
        <w:rPr>
          <w:lang w:val="fr-CA"/>
        </w:rPr>
        <w:t>« </w:t>
      </w:r>
      <w:r w:rsidR="00B21DC0">
        <w:rPr>
          <w:lang w:val="fr-CA"/>
        </w:rPr>
        <w:t>fonctionnaire</w:t>
      </w:r>
      <w:r w:rsidR="00795B2B">
        <w:rPr>
          <w:lang w:val="fr-CA"/>
        </w:rPr>
        <w:t> »</w:t>
      </w:r>
      <w:r w:rsidR="00B21DC0">
        <w:rPr>
          <w:lang w:val="fr-CA"/>
        </w:rPr>
        <w:t xml:space="preserve"> qui figure au par.</w:t>
      </w:r>
      <w:r w:rsidR="00795B2B">
        <w:rPr>
          <w:lang w:val="fr-CA"/>
        </w:rPr>
        <w:t xml:space="preserve"> </w:t>
      </w:r>
      <w:r w:rsidR="00B21DC0">
        <w:rPr>
          <w:lang w:val="fr-CA"/>
        </w:rPr>
        <w:t xml:space="preserve">2(1) </w:t>
      </w:r>
      <w:r w:rsidRPr="00E30A18">
        <w:rPr>
          <w:lang w:val="fr-CA"/>
        </w:rPr>
        <w:t xml:space="preserve">de la </w:t>
      </w:r>
      <w:r w:rsidRPr="00E30A18">
        <w:rPr>
          <w:i/>
          <w:lang w:val="fr-CA"/>
        </w:rPr>
        <w:t>LRTFP</w:t>
      </w:r>
      <w:r w:rsidRPr="00E30A18">
        <w:rPr>
          <w:lang w:val="fr-CA"/>
        </w:rPr>
        <w:t xml:space="preserve"> </w:t>
      </w:r>
      <w:r>
        <w:rPr>
          <w:lang w:val="fr-CA"/>
        </w:rPr>
        <w:t>actuelle</w:t>
      </w:r>
      <w:r w:rsidRPr="00E30A18">
        <w:rPr>
          <w:lang w:val="fr-CA"/>
        </w:rPr>
        <w:t xml:space="preserve"> contrevient à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 xml:space="preserve">) de la </w:t>
      </w:r>
      <w:r w:rsidRPr="00E30A18">
        <w:rPr>
          <w:i/>
          <w:lang w:val="fr-CA"/>
        </w:rPr>
        <w:t>Charte</w:t>
      </w:r>
      <w:r w:rsidR="0053416A">
        <w:rPr>
          <w:lang w:val="fr-CA"/>
        </w:rPr>
        <w:t xml:space="preserve">.  </w:t>
      </w:r>
      <w:r>
        <w:rPr>
          <w:lang w:val="fr-CA"/>
        </w:rPr>
        <w:t xml:space="preserve">Les deux versions successives de la </w:t>
      </w:r>
      <w:r w:rsidRPr="00E30A18">
        <w:rPr>
          <w:i/>
          <w:lang w:val="fr-CA"/>
        </w:rPr>
        <w:t>LRTFP</w:t>
      </w:r>
      <w:r w:rsidRPr="00E30A18">
        <w:rPr>
          <w:lang w:val="fr-CA"/>
        </w:rPr>
        <w:t xml:space="preserve"> </w:t>
      </w:r>
      <w:r>
        <w:rPr>
          <w:lang w:val="fr-CA"/>
        </w:rPr>
        <w:t>ont</w:t>
      </w:r>
      <w:r w:rsidRPr="00E30A18">
        <w:rPr>
          <w:lang w:val="fr-CA"/>
        </w:rPr>
        <w:t xml:space="preserve"> établi le cadre </w:t>
      </w:r>
      <w:r w:rsidRPr="00E30A18">
        <w:rPr>
          <w:lang w:val="fr-CA"/>
        </w:rPr>
        <w:lastRenderedPageBreak/>
        <w:t xml:space="preserve">général applicable aux relations de travail et à la négociation collective dans </w:t>
      </w:r>
      <w:r w:rsidR="00B21DC0">
        <w:rPr>
          <w:lang w:val="fr-CA"/>
        </w:rPr>
        <w:t>la fonction publique fédérale</w:t>
      </w:r>
      <w:r w:rsidR="0053416A">
        <w:rPr>
          <w:lang w:val="fr-CA"/>
        </w:rPr>
        <w:t xml:space="preserve">.  </w:t>
      </w:r>
      <w:r>
        <w:rPr>
          <w:lang w:val="fr-CA"/>
        </w:rPr>
        <w:t>U</w:t>
      </w:r>
      <w:r w:rsidRPr="00E30A18">
        <w:rPr>
          <w:lang w:val="fr-CA"/>
        </w:rPr>
        <w:t>ne catégorie d’employés, soit les membres de la GRC, est</w:t>
      </w:r>
      <w:r>
        <w:rPr>
          <w:lang w:val="fr-CA"/>
        </w:rPr>
        <w:t xml:space="preserve"> exclue de ce régime, et ce, depuis son adoption, afin de les empêcher d’exercer le droit à la liberté d’association que leur confère l’</w:t>
      </w:r>
      <w:r w:rsidR="0053416A">
        <w:rPr>
          <w:lang w:val="fr-CA"/>
        </w:rPr>
        <w:t>al.</w:t>
      </w:r>
      <w:r w:rsidR="00795B2B">
        <w:rPr>
          <w:lang w:val="fr-CA"/>
        </w:rPr>
        <w:t xml:space="preserve"> </w:t>
      </w:r>
      <w:r>
        <w:rPr>
          <w:lang w:val="fr-CA"/>
        </w:rPr>
        <w:t>2</w:t>
      </w:r>
      <w:r w:rsidRPr="005B2D6F">
        <w:rPr>
          <w:i/>
          <w:lang w:val="fr-CA"/>
        </w:rPr>
        <w:t>d</w:t>
      </w:r>
      <w:r>
        <w:rPr>
          <w:lang w:val="fr-CA"/>
        </w:rPr>
        <w:t xml:space="preserve">) de la </w:t>
      </w:r>
      <w:r w:rsidRPr="005B2D6F">
        <w:rPr>
          <w:i/>
          <w:lang w:val="fr-CA"/>
        </w:rPr>
        <w:t>Charte</w:t>
      </w:r>
      <w:r w:rsidR="0053416A">
        <w:rPr>
          <w:lang w:val="fr-CA"/>
        </w:rPr>
        <w:t xml:space="preserve">. </w:t>
      </w:r>
      <w:r>
        <w:rPr>
          <w:lang w:val="fr-CA"/>
        </w:rPr>
        <w:t>L’objet de l’exclusion d’une catégorie particulière d’employés</w:t>
      </w:r>
      <w:r w:rsidRPr="00E30A18">
        <w:rPr>
          <w:lang w:val="fr-CA"/>
        </w:rPr>
        <w:t xml:space="preserve"> du régime </w:t>
      </w:r>
      <w:r>
        <w:rPr>
          <w:lang w:val="fr-CA"/>
        </w:rPr>
        <w:t>de relation</w:t>
      </w:r>
      <w:r w:rsidR="007B57C5">
        <w:rPr>
          <w:lang w:val="fr-CA"/>
        </w:rPr>
        <w:t>s</w:t>
      </w:r>
      <w:r>
        <w:rPr>
          <w:lang w:val="fr-CA"/>
        </w:rPr>
        <w:t xml:space="preserve"> de travail en vue de les </w:t>
      </w:r>
      <w:r w:rsidRPr="00E30A18">
        <w:rPr>
          <w:lang w:val="fr-CA"/>
        </w:rPr>
        <w:t>priver de l’exercice de leur droit à la liberté d’association contrevient de façon inacceptable aux droits constitutionnels des employés touchés.</w:t>
      </w:r>
    </w:p>
    <w:p w:rsidR="00D60EBC" w:rsidRPr="005D7D1E" w:rsidRDefault="00D60EBC" w:rsidP="00795B2B">
      <w:pPr>
        <w:pStyle w:val="SCCNormalDoubleSpacing"/>
        <w:spacing w:after="480"/>
        <w:rPr>
          <w:lang w:val="fr-CA"/>
        </w:rPr>
      </w:pPr>
      <w:r w:rsidRPr="005D7D1E">
        <w:rPr>
          <w:lang w:val="fr-CA"/>
        </w:rPr>
        <w:tab/>
      </w:r>
      <w:r>
        <w:rPr>
          <w:lang w:val="fr-CA"/>
        </w:rPr>
        <w:t>L</w:t>
      </w:r>
      <w:r w:rsidRPr="00E30A18">
        <w:rPr>
          <w:lang w:val="fr-CA"/>
        </w:rPr>
        <w:t>’</w:t>
      </w:r>
      <w:r>
        <w:rPr>
          <w:lang w:val="fr-CA"/>
        </w:rPr>
        <w:t>al</w:t>
      </w:r>
      <w:r w:rsidR="00284515">
        <w:rPr>
          <w:lang w:val="fr-CA"/>
        </w:rPr>
        <w:t>inéa</w:t>
      </w:r>
      <w:r w:rsidR="00795B2B">
        <w:rPr>
          <w:lang w:val="fr-CA"/>
        </w:rPr>
        <w:t xml:space="preserve"> </w:t>
      </w:r>
      <w:r w:rsidRPr="00E30A18">
        <w:rPr>
          <w:lang w:val="fr-CA"/>
        </w:rPr>
        <w:t>2</w:t>
      </w:r>
      <w:r w:rsidRPr="00E30A18">
        <w:rPr>
          <w:i/>
          <w:lang w:val="fr-CA"/>
        </w:rPr>
        <w:t>d</w:t>
      </w:r>
      <w:r w:rsidRPr="00E30A18">
        <w:rPr>
          <w:lang w:val="fr-CA"/>
        </w:rPr>
        <w:t>) accorde au législateur une grande latitude dans l’établissement d’un régime de négociation collective qui satisfait aux exigences spéciales de la GRC</w:t>
      </w:r>
      <w:r w:rsidR="0053416A">
        <w:rPr>
          <w:lang w:val="fr-CA"/>
        </w:rPr>
        <w:t xml:space="preserve">.  </w:t>
      </w:r>
      <w:r w:rsidRPr="00E30A18">
        <w:rPr>
          <w:lang w:val="fr-CA"/>
        </w:rPr>
        <w:t xml:space="preserve">En outre, l’article premier </w:t>
      </w:r>
      <w:r>
        <w:rPr>
          <w:lang w:val="fr-CA"/>
        </w:rPr>
        <w:t xml:space="preserve">de la </w:t>
      </w:r>
      <w:r w:rsidRPr="004C7447">
        <w:rPr>
          <w:i/>
          <w:lang w:val="fr-CA"/>
        </w:rPr>
        <w:t>Charte</w:t>
      </w:r>
      <w:r>
        <w:rPr>
          <w:lang w:val="fr-CA"/>
        </w:rPr>
        <w:t xml:space="preserve"> accorde</w:t>
      </w:r>
      <w:r w:rsidRPr="00E30A18">
        <w:rPr>
          <w:lang w:val="fr-CA"/>
        </w:rPr>
        <w:t xml:space="preserve"> à celui</w:t>
      </w:r>
      <w:r w:rsidR="00795B2B">
        <w:rPr>
          <w:lang w:val="fr-CA"/>
        </w:rPr>
        <w:t>-</w:t>
      </w:r>
      <w:r w:rsidRPr="00E30A18">
        <w:rPr>
          <w:lang w:val="fr-CA"/>
        </w:rPr>
        <w:t>ci une marge de manœuvre additionnelle qui lui permet d’établir un régime de relations de travail pour atteindre des objectifs urgents et réels, dans la mesure, toutefois, où il peut démontrer que ces objectifs sont justifiés</w:t>
      </w:r>
      <w:r w:rsidR="0053416A">
        <w:rPr>
          <w:lang w:val="fr-CA"/>
        </w:rPr>
        <w:t xml:space="preserve">.  </w:t>
      </w:r>
      <w:r>
        <w:rPr>
          <w:lang w:val="fr-CA"/>
        </w:rPr>
        <w:t xml:space="preserve">En l’espèce, la violation de la liberté d’association garantie n’est pas justifiée </w:t>
      </w:r>
      <w:r w:rsidR="0020669B">
        <w:rPr>
          <w:lang w:val="fr-CA"/>
        </w:rPr>
        <w:t>au regard de</w:t>
      </w:r>
      <w:r>
        <w:rPr>
          <w:lang w:val="fr-CA"/>
        </w:rPr>
        <w:t xml:space="preserve"> l’article premier de la </w:t>
      </w:r>
      <w:r w:rsidRPr="004C7447">
        <w:rPr>
          <w:i/>
          <w:lang w:val="fr-CA"/>
        </w:rPr>
        <w:t>Charte</w:t>
      </w:r>
      <w:r>
        <w:rPr>
          <w:lang w:val="fr-CA"/>
        </w:rPr>
        <w:t>.</w:t>
      </w:r>
    </w:p>
    <w:p w:rsidR="00D60EBC" w:rsidRPr="005D7D1E" w:rsidRDefault="00D60EBC" w:rsidP="00795B2B">
      <w:pPr>
        <w:pStyle w:val="SCCNormalDoubleSpacing"/>
        <w:spacing w:after="480"/>
        <w:rPr>
          <w:lang w:val="fr-CA"/>
        </w:rPr>
      </w:pPr>
      <w:r w:rsidRPr="005D7D1E">
        <w:rPr>
          <w:lang w:val="fr-CA"/>
        </w:rPr>
        <w:tab/>
      </w:r>
      <w:r>
        <w:rPr>
          <w:lang w:val="fr-CA"/>
        </w:rPr>
        <w:t xml:space="preserve">Bien que l’objet du gouvernement de préserver une </w:t>
      </w:r>
      <w:r w:rsidRPr="00E30A18">
        <w:rPr>
          <w:lang w:val="fr-CA"/>
        </w:rPr>
        <w:t>force policière indépendante et objective</w:t>
      </w:r>
      <w:r w:rsidRPr="005D7D1E">
        <w:rPr>
          <w:lang w:val="fr-CA"/>
        </w:rPr>
        <w:t xml:space="preserve"> </w:t>
      </w:r>
      <w:r w:rsidRPr="00E30A18">
        <w:rPr>
          <w:lang w:val="fr-CA"/>
        </w:rPr>
        <w:t>constitue un objectif urgent et réel</w:t>
      </w:r>
      <w:r>
        <w:rPr>
          <w:lang w:val="fr-CA"/>
        </w:rPr>
        <w:t xml:space="preserve">, </w:t>
      </w:r>
      <w:r w:rsidRPr="00E30A18">
        <w:rPr>
          <w:lang w:val="fr-CA"/>
        </w:rPr>
        <w:t xml:space="preserve">il </w:t>
      </w:r>
      <w:r>
        <w:rPr>
          <w:lang w:val="fr-CA"/>
        </w:rPr>
        <w:t>n’</w:t>
      </w:r>
      <w:r w:rsidRPr="00E30A18">
        <w:rPr>
          <w:lang w:val="fr-CA"/>
        </w:rPr>
        <w:t xml:space="preserve">existe </w:t>
      </w:r>
      <w:r>
        <w:rPr>
          <w:lang w:val="fr-CA"/>
        </w:rPr>
        <w:t>pas de</w:t>
      </w:r>
      <w:r w:rsidRPr="00E30A18">
        <w:rPr>
          <w:lang w:val="fr-CA"/>
        </w:rPr>
        <w:t xml:space="preserve"> lien rationnel entre la mesure attentatoire et son objectif</w:t>
      </w:r>
      <w:r w:rsidR="0053416A">
        <w:rPr>
          <w:lang w:val="fr-CA"/>
        </w:rPr>
        <w:t xml:space="preserve">.  </w:t>
      </w:r>
      <w:r w:rsidRPr="00E30A18">
        <w:rPr>
          <w:lang w:val="fr-CA"/>
        </w:rPr>
        <w:t xml:space="preserve">D’une part, il est difficile de </w:t>
      </w:r>
      <w:r>
        <w:rPr>
          <w:lang w:val="fr-CA"/>
        </w:rPr>
        <w:t>comprendre pourquoi l’exclusion des membres de la GRC</w:t>
      </w:r>
      <w:r w:rsidRPr="00E30A18">
        <w:rPr>
          <w:lang w:val="fr-CA"/>
        </w:rPr>
        <w:t xml:space="preserve"> d’un processus de négociation collective protégé par la loi peut assurer </w:t>
      </w:r>
      <w:r>
        <w:rPr>
          <w:lang w:val="fr-CA"/>
        </w:rPr>
        <w:t>l</w:t>
      </w:r>
      <w:r w:rsidRPr="00E30A18">
        <w:rPr>
          <w:lang w:val="fr-CA"/>
        </w:rPr>
        <w:t xml:space="preserve">a neutralité, </w:t>
      </w:r>
      <w:r>
        <w:rPr>
          <w:lang w:val="fr-CA"/>
        </w:rPr>
        <w:t>l</w:t>
      </w:r>
      <w:r w:rsidRPr="00E30A18">
        <w:rPr>
          <w:lang w:val="fr-CA"/>
        </w:rPr>
        <w:t xml:space="preserve">a stabilité ou même </w:t>
      </w:r>
      <w:r>
        <w:rPr>
          <w:lang w:val="fr-CA"/>
        </w:rPr>
        <w:t>l</w:t>
      </w:r>
      <w:r w:rsidRPr="00E30A18">
        <w:rPr>
          <w:lang w:val="fr-CA"/>
        </w:rPr>
        <w:t>a fiabilité</w:t>
      </w:r>
      <w:r>
        <w:rPr>
          <w:lang w:val="fr-CA"/>
        </w:rPr>
        <w:t xml:space="preserve"> de cette force policière</w:t>
      </w:r>
      <w:r w:rsidR="0053416A">
        <w:rPr>
          <w:lang w:val="fr-CA"/>
        </w:rPr>
        <w:t xml:space="preserve">.  </w:t>
      </w:r>
      <w:r w:rsidRPr="00E30A18">
        <w:rPr>
          <w:lang w:val="fr-CA"/>
        </w:rPr>
        <w:t xml:space="preserve">D’autre part, il n’est pas établi que </w:t>
      </w:r>
      <w:r>
        <w:rPr>
          <w:lang w:val="fr-CA"/>
        </w:rPr>
        <w:t>l’autorisation d’un véritable régime de</w:t>
      </w:r>
      <w:r w:rsidRPr="00E30A18">
        <w:rPr>
          <w:lang w:val="fr-CA"/>
        </w:rPr>
        <w:t xml:space="preserve"> négociation collective </w:t>
      </w:r>
      <w:r>
        <w:rPr>
          <w:lang w:val="fr-CA"/>
        </w:rPr>
        <w:t>pour les membres de</w:t>
      </w:r>
      <w:r w:rsidRPr="00E30A18">
        <w:rPr>
          <w:lang w:val="fr-CA"/>
        </w:rPr>
        <w:t xml:space="preserve"> la GRC perturbera la stabilité de cette force policière ou influencera la perception du public quant à sa neutralité.</w:t>
      </w:r>
      <w:r w:rsidRPr="005D7D1E">
        <w:rPr>
          <w:lang w:val="fr-CA"/>
        </w:rPr>
        <w:t xml:space="preserve"> </w:t>
      </w:r>
    </w:p>
    <w:p w:rsidR="00D60EBC" w:rsidRPr="005D7D1E" w:rsidRDefault="00D60EBC" w:rsidP="00795B2B">
      <w:pPr>
        <w:pStyle w:val="SCCNormalDoubleSpacing"/>
        <w:spacing w:after="480"/>
        <w:rPr>
          <w:lang w:val="fr-CA"/>
        </w:rPr>
      </w:pPr>
      <w:r w:rsidRPr="005D7D1E">
        <w:rPr>
          <w:lang w:val="fr-CA"/>
        </w:rPr>
        <w:lastRenderedPageBreak/>
        <w:tab/>
      </w:r>
      <w:r w:rsidRPr="00E30A18">
        <w:rPr>
          <w:lang w:val="fr-CA"/>
        </w:rPr>
        <w:t xml:space="preserve">Bien que cette conclusion suffise pour mettre fin à l’analyse fondée sur l’article premier, </w:t>
      </w:r>
      <w:r>
        <w:rPr>
          <w:lang w:val="fr-CA"/>
        </w:rPr>
        <w:t>l</w:t>
      </w:r>
      <w:r w:rsidRPr="00E30A18">
        <w:rPr>
          <w:lang w:val="fr-CA"/>
        </w:rPr>
        <w:t xml:space="preserve">e fait de priver les membres de la GRC d’un processus véritable de négociation collective est </w:t>
      </w:r>
      <w:r>
        <w:rPr>
          <w:lang w:val="fr-CA"/>
        </w:rPr>
        <w:t>également</w:t>
      </w:r>
      <w:r w:rsidRPr="00E30A18">
        <w:rPr>
          <w:lang w:val="fr-CA"/>
        </w:rPr>
        <w:t xml:space="preserve"> plus restrictif que ce qui est nécessaire pour assurer la neutralité, la stabilité et la fiabilité de cette force policière</w:t>
      </w:r>
      <w:r w:rsidR="0053416A">
        <w:rPr>
          <w:lang w:val="fr-CA"/>
        </w:rPr>
        <w:t xml:space="preserve">.  </w:t>
      </w:r>
      <w:r w:rsidRPr="00E30A18">
        <w:rPr>
          <w:lang w:val="fr-CA"/>
        </w:rPr>
        <w:t>La GRC est la seule force policière au Canada n’ayant pas de convention collective qui régit les conditions de travail de ses agents</w:t>
      </w:r>
      <w:r w:rsidR="0053416A">
        <w:rPr>
          <w:lang w:val="fr-CA"/>
        </w:rPr>
        <w:t xml:space="preserve">.  </w:t>
      </w:r>
      <w:r>
        <w:rPr>
          <w:lang w:val="fr-CA"/>
        </w:rPr>
        <w:t xml:space="preserve">Il n’est établi ni comment ni pourquoi </w:t>
      </w:r>
      <w:r w:rsidRPr="00E30A18">
        <w:rPr>
          <w:lang w:val="fr-CA"/>
        </w:rPr>
        <w:t>la GRC est substantiellement différente des forces policières</w:t>
      </w:r>
      <w:r>
        <w:rPr>
          <w:lang w:val="fr-CA"/>
        </w:rPr>
        <w:t xml:space="preserve"> qui </w:t>
      </w:r>
      <w:r w:rsidRPr="00E30A18">
        <w:rPr>
          <w:lang w:val="fr-CA"/>
        </w:rPr>
        <w:t>bénéficient d’un ré</w:t>
      </w:r>
      <w:r w:rsidR="00E622FE">
        <w:rPr>
          <w:lang w:val="fr-CA"/>
        </w:rPr>
        <w:t xml:space="preserve">gime de négociation collective </w:t>
      </w:r>
      <w:r w:rsidRPr="00E30A18">
        <w:rPr>
          <w:lang w:val="fr-CA"/>
        </w:rPr>
        <w:t>leur accord</w:t>
      </w:r>
      <w:r w:rsidR="00E622FE">
        <w:rPr>
          <w:lang w:val="fr-CA"/>
        </w:rPr>
        <w:t>ant</w:t>
      </w:r>
      <w:r w:rsidRPr="00E30A18">
        <w:rPr>
          <w:lang w:val="fr-CA"/>
        </w:rPr>
        <w:t xml:space="preserve"> des protections fondamentales en matière de négociation</w:t>
      </w:r>
      <w:r w:rsidR="0053416A">
        <w:rPr>
          <w:lang w:val="fr-CA"/>
        </w:rPr>
        <w:t xml:space="preserve">.  </w:t>
      </w:r>
      <w:r w:rsidRPr="00E30A18">
        <w:rPr>
          <w:lang w:val="fr-CA"/>
        </w:rPr>
        <w:t xml:space="preserve">Une différence substantielle </w:t>
      </w:r>
      <w:r>
        <w:rPr>
          <w:lang w:val="fr-CA"/>
        </w:rPr>
        <w:t xml:space="preserve">entre les forces policières </w:t>
      </w:r>
      <w:r w:rsidRPr="00E30A18">
        <w:rPr>
          <w:lang w:val="fr-CA"/>
        </w:rPr>
        <w:t>n’a</w:t>
      </w:r>
      <w:r>
        <w:rPr>
          <w:lang w:val="fr-CA"/>
        </w:rPr>
        <w:t>yant</w:t>
      </w:r>
      <w:r w:rsidRPr="00E30A18">
        <w:rPr>
          <w:lang w:val="fr-CA"/>
        </w:rPr>
        <w:t xml:space="preserve"> pas été établie</w:t>
      </w:r>
      <w:r>
        <w:rPr>
          <w:lang w:val="fr-CA"/>
        </w:rPr>
        <w:t>, l’</w:t>
      </w:r>
      <w:r w:rsidRPr="00E30A18">
        <w:rPr>
          <w:lang w:val="fr-CA"/>
        </w:rPr>
        <w:t xml:space="preserve">exclusion totale </w:t>
      </w:r>
      <w:r>
        <w:rPr>
          <w:lang w:val="fr-CA"/>
        </w:rPr>
        <w:t xml:space="preserve">des membres de la GRC </w:t>
      </w:r>
      <w:r w:rsidRPr="00E30A18">
        <w:rPr>
          <w:lang w:val="fr-CA"/>
        </w:rPr>
        <w:t>d’un régime véritable de négociation collective ne peut clairement pas constituer une atteinte minimale.</w:t>
      </w:r>
    </w:p>
    <w:p w:rsidR="00D60EBC" w:rsidRDefault="00D60EBC" w:rsidP="00795B2B">
      <w:pPr>
        <w:pStyle w:val="SCCNormalDoubleSpacing"/>
        <w:spacing w:after="480"/>
        <w:rPr>
          <w:lang w:val="fr-CA"/>
        </w:rPr>
      </w:pPr>
      <w:r w:rsidRPr="005D7D1E">
        <w:rPr>
          <w:lang w:val="fr-CA"/>
        </w:rPr>
        <w:tab/>
      </w:r>
      <w:r w:rsidRPr="00E30A18">
        <w:rPr>
          <w:lang w:val="fr-CA"/>
        </w:rPr>
        <w:t>Après avoir statué que l’</w:t>
      </w:r>
      <w:r w:rsidR="0053416A">
        <w:rPr>
          <w:lang w:val="fr-CA"/>
        </w:rPr>
        <w:t>art.</w:t>
      </w:r>
      <w:r w:rsidR="00795B2B">
        <w:rPr>
          <w:lang w:val="fr-CA"/>
        </w:rPr>
        <w:t xml:space="preserve"> </w:t>
      </w:r>
      <w:r w:rsidRPr="00E30A18">
        <w:rPr>
          <w:lang w:val="fr-CA"/>
        </w:rPr>
        <w:t xml:space="preserve">96 du </w:t>
      </w:r>
      <w:r w:rsidRPr="00E30A18">
        <w:rPr>
          <w:i/>
          <w:lang w:val="fr-CA"/>
        </w:rPr>
        <w:t xml:space="preserve">Règlement de la GRC </w:t>
      </w:r>
      <w:r w:rsidRPr="00E30A18">
        <w:rPr>
          <w:lang w:val="fr-CA"/>
        </w:rPr>
        <w:t>et l’</w:t>
      </w:r>
      <w:r w:rsidR="0053416A">
        <w:rPr>
          <w:lang w:val="fr-CA"/>
        </w:rPr>
        <w:t>al.</w:t>
      </w:r>
      <w:r w:rsidR="00795B2B">
        <w:rPr>
          <w:lang w:val="fr-CA"/>
        </w:rPr>
        <w:t xml:space="preserve"> </w:t>
      </w:r>
      <w:r w:rsidR="00B21DC0" w:rsidRPr="00E30A18">
        <w:rPr>
          <w:i/>
          <w:lang w:val="fr-CA"/>
        </w:rPr>
        <w:t xml:space="preserve"> </w:t>
      </w:r>
      <w:r w:rsidRPr="00E30A18">
        <w:rPr>
          <w:i/>
          <w:lang w:val="fr-CA"/>
        </w:rPr>
        <w:t>d</w:t>
      </w:r>
      <w:r w:rsidRPr="00E30A18">
        <w:rPr>
          <w:lang w:val="fr-CA"/>
        </w:rPr>
        <w:t xml:space="preserve">) </w:t>
      </w:r>
      <w:r w:rsidR="00B21DC0">
        <w:rPr>
          <w:lang w:val="fr-CA"/>
        </w:rPr>
        <w:t xml:space="preserve">de la définition de </w:t>
      </w:r>
      <w:r w:rsidR="00795B2B">
        <w:rPr>
          <w:lang w:val="fr-CA"/>
        </w:rPr>
        <w:t>« </w:t>
      </w:r>
      <w:r w:rsidR="00B21DC0">
        <w:rPr>
          <w:lang w:val="fr-CA"/>
        </w:rPr>
        <w:t>fonctionnaire</w:t>
      </w:r>
      <w:r w:rsidR="00795B2B">
        <w:rPr>
          <w:lang w:val="fr-CA"/>
        </w:rPr>
        <w:t> »</w:t>
      </w:r>
      <w:r w:rsidR="00B21DC0">
        <w:rPr>
          <w:lang w:val="fr-CA"/>
        </w:rPr>
        <w:t xml:space="preserve"> qui figure au par.</w:t>
      </w:r>
      <w:r w:rsidR="00795B2B">
        <w:rPr>
          <w:lang w:val="fr-CA"/>
        </w:rPr>
        <w:t xml:space="preserve"> </w:t>
      </w:r>
      <w:r w:rsidR="00B21DC0">
        <w:rPr>
          <w:lang w:val="fr-CA"/>
        </w:rPr>
        <w:t xml:space="preserve">2(1) </w:t>
      </w:r>
      <w:r w:rsidRPr="00E30A18">
        <w:rPr>
          <w:lang w:val="fr-CA"/>
        </w:rPr>
        <w:t xml:space="preserve">de la </w:t>
      </w:r>
      <w:r w:rsidRPr="00E30A18">
        <w:rPr>
          <w:i/>
          <w:lang w:val="fr-CA"/>
        </w:rPr>
        <w:t>LRTFP</w:t>
      </w:r>
      <w:r w:rsidRPr="00E30A18">
        <w:rPr>
          <w:lang w:val="fr-CA"/>
        </w:rPr>
        <w:t xml:space="preserve"> </w:t>
      </w:r>
      <w:r>
        <w:rPr>
          <w:lang w:val="fr-CA"/>
        </w:rPr>
        <w:t xml:space="preserve">actuelle </w:t>
      </w:r>
      <w:r w:rsidRPr="00E30A18">
        <w:rPr>
          <w:lang w:val="fr-CA"/>
        </w:rPr>
        <w:t>portent atteinte à la liberté que garantit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 xml:space="preserve">) de la </w:t>
      </w:r>
      <w:r w:rsidRPr="00E30A18">
        <w:rPr>
          <w:i/>
          <w:lang w:val="fr-CA"/>
        </w:rPr>
        <w:t>Charte</w:t>
      </w:r>
      <w:r w:rsidRPr="00E30A18">
        <w:rPr>
          <w:lang w:val="fr-CA"/>
        </w:rPr>
        <w:t xml:space="preserve"> aux membres de la GRC et ne peuvent se justifier au regard de l’article premier, la réparation appropriée consiste à annuler </w:t>
      </w:r>
      <w:r w:rsidR="0020669B">
        <w:rPr>
          <w:lang w:val="fr-CA"/>
        </w:rPr>
        <w:t>la</w:t>
      </w:r>
      <w:r w:rsidRPr="00E30A18">
        <w:rPr>
          <w:lang w:val="fr-CA"/>
        </w:rPr>
        <w:t xml:space="preserve"> disposition attentatoire </w:t>
      </w:r>
      <w:r w:rsidR="0020669B">
        <w:rPr>
          <w:lang w:val="fr-CA"/>
        </w:rPr>
        <w:t xml:space="preserve">de la </w:t>
      </w:r>
      <w:r w:rsidR="0020669B" w:rsidRPr="0020669B">
        <w:rPr>
          <w:i/>
          <w:lang w:val="fr-CA"/>
        </w:rPr>
        <w:t>LRTFP</w:t>
      </w:r>
      <w:r w:rsidR="0020669B">
        <w:rPr>
          <w:lang w:val="fr-CA"/>
        </w:rPr>
        <w:t xml:space="preserve"> actuelle </w:t>
      </w:r>
      <w:r w:rsidRPr="00E30A18">
        <w:rPr>
          <w:lang w:val="fr-CA"/>
        </w:rPr>
        <w:t>en application de l’</w:t>
      </w:r>
      <w:r w:rsidR="0053416A">
        <w:rPr>
          <w:lang w:val="fr-CA"/>
        </w:rPr>
        <w:t>art.</w:t>
      </w:r>
      <w:r w:rsidR="00795B2B">
        <w:rPr>
          <w:lang w:val="fr-CA"/>
        </w:rPr>
        <w:t xml:space="preserve"> </w:t>
      </w:r>
      <w:r w:rsidRPr="00E30A18">
        <w:rPr>
          <w:lang w:val="fr-CA"/>
        </w:rPr>
        <w:t xml:space="preserve">52 de la </w:t>
      </w:r>
      <w:r w:rsidRPr="00E30A18">
        <w:rPr>
          <w:i/>
          <w:lang w:val="fr-CA"/>
        </w:rPr>
        <w:t>Loi constitutionnelle de 1982</w:t>
      </w:r>
      <w:r w:rsidR="0053416A">
        <w:rPr>
          <w:lang w:val="fr-CA"/>
        </w:rPr>
        <w:t xml:space="preserve">.  </w:t>
      </w:r>
      <w:r w:rsidR="0020669B">
        <w:rPr>
          <w:lang w:val="fr-CA"/>
        </w:rPr>
        <w:t>La prise d’effet de cette</w:t>
      </w:r>
      <w:r w:rsidRPr="00DD3C35">
        <w:rPr>
          <w:lang w:val="fr-CA"/>
        </w:rPr>
        <w:t xml:space="preserve"> déclaration d’invalidité </w:t>
      </w:r>
      <w:r>
        <w:rPr>
          <w:lang w:val="fr-CA"/>
        </w:rPr>
        <w:t xml:space="preserve">est suspendue </w:t>
      </w:r>
      <w:r w:rsidRPr="00DD3C35">
        <w:rPr>
          <w:lang w:val="fr-CA"/>
        </w:rPr>
        <w:t xml:space="preserve">pour </w:t>
      </w:r>
      <w:r w:rsidR="0020669B">
        <w:rPr>
          <w:lang w:val="fr-CA"/>
        </w:rPr>
        <w:t xml:space="preserve">une période de </w:t>
      </w:r>
      <w:r w:rsidRPr="00DD3C35">
        <w:rPr>
          <w:lang w:val="fr-CA"/>
        </w:rPr>
        <w:t>12</w:t>
      </w:r>
      <w:r w:rsidR="00795B2B">
        <w:rPr>
          <w:lang w:val="fr-CA"/>
        </w:rPr>
        <w:t xml:space="preserve"> </w:t>
      </w:r>
      <w:r w:rsidRPr="00DD3C35">
        <w:rPr>
          <w:lang w:val="fr-CA"/>
        </w:rPr>
        <w:t>mois</w:t>
      </w:r>
      <w:r w:rsidR="0053416A">
        <w:rPr>
          <w:lang w:val="fr-CA"/>
        </w:rPr>
        <w:t xml:space="preserve">.  </w:t>
      </w:r>
      <w:r w:rsidR="00CC3296">
        <w:rPr>
          <w:lang w:val="fr-CA"/>
        </w:rPr>
        <w:t>N’eût été son abrogation, nous invaliderions également l’art.</w:t>
      </w:r>
      <w:r w:rsidR="00795B2B">
        <w:rPr>
          <w:lang w:val="fr-CA"/>
        </w:rPr>
        <w:t xml:space="preserve"> </w:t>
      </w:r>
      <w:r w:rsidR="00CC3296">
        <w:rPr>
          <w:lang w:val="fr-CA"/>
        </w:rPr>
        <w:t xml:space="preserve">96 du </w:t>
      </w:r>
      <w:r w:rsidR="00CC3296">
        <w:rPr>
          <w:i/>
          <w:lang w:val="fr-CA"/>
        </w:rPr>
        <w:t xml:space="preserve">Règlement de la </w:t>
      </w:r>
      <w:r w:rsidR="00CC3296" w:rsidRPr="00CC3296">
        <w:rPr>
          <w:i/>
          <w:lang w:val="fr-CA"/>
        </w:rPr>
        <w:t>GRC</w:t>
      </w:r>
      <w:r w:rsidR="00CC3296">
        <w:rPr>
          <w:lang w:val="fr-CA"/>
        </w:rPr>
        <w:t xml:space="preserve">. </w:t>
      </w:r>
      <w:r w:rsidRPr="00CC3296">
        <w:rPr>
          <w:lang w:val="fr-CA"/>
        </w:rPr>
        <w:t>Cette</w:t>
      </w:r>
      <w:r w:rsidRPr="00E30A18">
        <w:rPr>
          <w:lang w:val="fr-CA"/>
        </w:rPr>
        <w:t xml:space="preserve"> conclusion signifie non pas que le législateur doit inclure la GRC dans le régime de la </w:t>
      </w:r>
      <w:r w:rsidRPr="00E30A18">
        <w:rPr>
          <w:i/>
          <w:lang w:val="fr-CA"/>
        </w:rPr>
        <w:t>LRTFP</w:t>
      </w:r>
      <w:r>
        <w:rPr>
          <w:lang w:val="fr-CA"/>
        </w:rPr>
        <w:t xml:space="preserve"> actuelle</w:t>
      </w:r>
      <w:r w:rsidR="0053416A">
        <w:rPr>
          <w:lang w:val="fr-CA"/>
        </w:rPr>
        <w:t xml:space="preserve">.  </w:t>
      </w:r>
      <w:r>
        <w:rPr>
          <w:lang w:val="fr-CA"/>
        </w:rPr>
        <w:t>L</w:t>
      </w:r>
      <w:r w:rsidRPr="00E30A18">
        <w:rPr>
          <w:lang w:val="fr-CA"/>
        </w:rPr>
        <w:t>’</w:t>
      </w:r>
      <w:r w:rsidR="0091152D">
        <w:rPr>
          <w:lang w:val="fr-CA"/>
        </w:rPr>
        <w:t>alinéa</w:t>
      </w:r>
      <w:r w:rsidR="00795B2B">
        <w:rPr>
          <w:lang w:val="fr-CA"/>
        </w:rPr>
        <w:t xml:space="preserve"> </w:t>
      </w:r>
      <w:r w:rsidRPr="00E30A18">
        <w:rPr>
          <w:lang w:val="fr-CA"/>
        </w:rPr>
        <w:t>2</w:t>
      </w:r>
      <w:r w:rsidRPr="00E30A18">
        <w:rPr>
          <w:i/>
          <w:lang w:val="fr-CA"/>
        </w:rPr>
        <w:t>d</w:t>
      </w:r>
      <w:r w:rsidRPr="00E30A18">
        <w:rPr>
          <w:lang w:val="fr-CA"/>
        </w:rPr>
        <w:t xml:space="preserve">) de la </w:t>
      </w:r>
      <w:r w:rsidRPr="00E30A18">
        <w:rPr>
          <w:i/>
          <w:lang w:val="fr-CA"/>
        </w:rPr>
        <w:t>Charte</w:t>
      </w:r>
      <w:r w:rsidRPr="00E30A18">
        <w:rPr>
          <w:lang w:val="fr-CA"/>
        </w:rPr>
        <w:t xml:space="preserve"> n’impose pas un modèle particulier de relations du travail</w:t>
      </w:r>
      <w:r w:rsidR="0053416A">
        <w:rPr>
          <w:lang w:val="fr-CA"/>
        </w:rPr>
        <w:t xml:space="preserve">.  </w:t>
      </w:r>
      <w:r>
        <w:rPr>
          <w:lang w:val="fr-CA"/>
        </w:rPr>
        <w:t>S’il le juge à propos, le législateur</w:t>
      </w:r>
      <w:r w:rsidRPr="00E30A18">
        <w:rPr>
          <w:lang w:val="fr-CA"/>
        </w:rPr>
        <w:t xml:space="preserve"> demeure libre d’adopter tout modèle qu’il estime adapté au contexte particulier dans lequel les membres de </w:t>
      </w:r>
      <w:r>
        <w:rPr>
          <w:lang w:val="fr-CA"/>
        </w:rPr>
        <w:t>cette organisation</w:t>
      </w:r>
      <w:r w:rsidRPr="00E30A18">
        <w:rPr>
          <w:lang w:val="fr-CA"/>
        </w:rPr>
        <w:t xml:space="preserve"> </w:t>
      </w:r>
      <w:r>
        <w:rPr>
          <w:lang w:val="fr-CA"/>
        </w:rPr>
        <w:t>s’acquittent</w:t>
      </w:r>
      <w:r w:rsidRPr="00E30A18">
        <w:rPr>
          <w:lang w:val="fr-CA"/>
        </w:rPr>
        <w:t xml:space="preserve"> de </w:t>
      </w:r>
      <w:r w:rsidRPr="00E30A18">
        <w:rPr>
          <w:lang w:val="fr-CA"/>
        </w:rPr>
        <w:lastRenderedPageBreak/>
        <w:t>leurs fonctions</w:t>
      </w:r>
      <w:r w:rsidRPr="005D7D1E">
        <w:rPr>
          <w:lang w:val="fr-CA"/>
        </w:rPr>
        <w:t xml:space="preserve"> </w:t>
      </w:r>
      <w:r w:rsidRPr="00E30A18">
        <w:rPr>
          <w:lang w:val="fr-CA"/>
        </w:rPr>
        <w:t>dans le respect des limites constitutionnelles imposées par la garantie prévue à l’</w:t>
      </w:r>
      <w:r w:rsidR="0053416A">
        <w:rPr>
          <w:lang w:val="fr-CA"/>
        </w:rPr>
        <w:t>al.</w:t>
      </w:r>
      <w:r w:rsidR="00795B2B">
        <w:rPr>
          <w:lang w:val="fr-CA"/>
        </w:rPr>
        <w:t xml:space="preserve"> </w:t>
      </w:r>
      <w:r w:rsidRPr="00E30A18">
        <w:rPr>
          <w:lang w:val="fr-CA"/>
        </w:rPr>
        <w:t>2</w:t>
      </w:r>
      <w:r w:rsidRPr="00E30A18">
        <w:rPr>
          <w:i/>
          <w:lang w:val="fr-CA"/>
        </w:rPr>
        <w:t>d</w:t>
      </w:r>
      <w:r w:rsidRPr="00E30A18">
        <w:rPr>
          <w:lang w:val="fr-CA"/>
        </w:rPr>
        <w:t xml:space="preserve">) et par l’article premier de la </w:t>
      </w:r>
      <w:r w:rsidRPr="00E30A18">
        <w:rPr>
          <w:i/>
          <w:lang w:val="fr-CA"/>
        </w:rPr>
        <w:t>Charte</w:t>
      </w:r>
      <w:r w:rsidR="00284515">
        <w:rPr>
          <w:lang w:val="fr-CA"/>
        </w:rPr>
        <w:t>.</w:t>
      </w:r>
    </w:p>
    <w:p w:rsidR="00987371" w:rsidRPr="0053416A" w:rsidRDefault="00987371" w:rsidP="00795B2B">
      <w:pPr>
        <w:pStyle w:val="SCCNormalDoubleSpacing"/>
        <w:spacing w:after="480"/>
        <w:rPr>
          <w:lang w:val="fr-CA"/>
        </w:rPr>
      </w:pPr>
      <w:r w:rsidRPr="0053416A">
        <w:rPr>
          <w:lang w:val="fr-CA"/>
        </w:rPr>
        <w:tab/>
      </w:r>
      <w:r w:rsidRPr="007B57C5">
        <w:rPr>
          <w:i/>
          <w:lang w:val="fr-CA"/>
        </w:rPr>
        <w:t>Le</w:t>
      </w:r>
      <w:r w:rsidRPr="0053416A">
        <w:rPr>
          <w:lang w:val="fr-CA"/>
        </w:rPr>
        <w:t xml:space="preserve"> juge </w:t>
      </w:r>
      <w:proofErr w:type="spellStart"/>
      <w:r w:rsidRPr="0091152D">
        <w:rPr>
          <w:lang w:val="fr-CA"/>
        </w:rPr>
        <w:t>Rothstein</w:t>
      </w:r>
      <w:proofErr w:type="spellEnd"/>
      <w:r w:rsidRPr="0091152D">
        <w:rPr>
          <w:lang w:val="fr-CA"/>
        </w:rPr>
        <w:t xml:space="preserve"> </w:t>
      </w:r>
      <w:r w:rsidRPr="0053416A">
        <w:rPr>
          <w:lang w:val="fr-CA"/>
        </w:rPr>
        <w:t>(dissident)</w:t>
      </w:r>
      <w:r w:rsidR="00795B2B">
        <w:rPr>
          <w:lang w:val="fr-CA"/>
        </w:rPr>
        <w:t> :</w:t>
      </w:r>
      <w:r w:rsidRPr="0053416A">
        <w:rPr>
          <w:lang w:val="fr-CA"/>
        </w:rPr>
        <w:t xml:space="preserve"> </w:t>
      </w:r>
      <w:r>
        <w:rPr>
          <w:lang w:val="fr-CA"/>
        </w:rPr>
        <w:t>Les termes choisis</w:t>
      </w:r>
      <w:r w:rsidRPr="006C1CD7">
        <w:rPr>
          <w:lang w:val="fr-CA"/>
        </w:rPr>
        <w:t xml:space="preserve"> par </w:t>
      </w:r>
      <w:r>
        <w:rPr>
          <w:lang w:val="fr-CA"/>
        </w:rPr>
        <w:t>les juges majoritaires</w:t>
      </w:r>
      <w:r w:rsidRPr="006C1CD7">
        <w:rPr>
          <w:lang w:val="fr-CA"/>
        </w:rPr>
        <w:t xml:space="preserve"> confèrent des droits plus étendus</w:t>
      </w:r>
      <w:r>
        <w:rPr>
          <w:lang w:val="fr-CA"/>
        </w:rPr>
        <w:t xml:space="preserve"> </w:t>
      </w:r>
      <w:r w:rsidRPr="0020669B">
        <w:rPr>
          <w:lang w:val="fr-CA"/>
        </w:rPr>
        <w:t>aux employés et restreignent</w:t>
      </w:r>
      <w:r>
        <w:rPr>
          <w:lang w:val="fr-CA"/>
        </w:rPr>
        <w:t xml:space="preserve"> encore davantage la marge de manœuvre du gouvernement</w:t>
      </w:r>
      <w:r w:rsidRPr="006C1CD7">
        <w:rPr>
          <w:lang w:val="fr-CA"/>
        </w:rPr>
        <w:t xml:space="preserve"> que ce que le sens ordinaire ou une interprétation généreuse de l’</w:t>
      </w:r>
      <w:r w:rsidR="0053416A">
        <w:rPr>
          <w:lang w:val="fr-CA"/>
        </w:rPr>
        <w:t>al.</w:t>
      </w:r>
      <w:r w:rsidR="00795B2B">
        <w:rPr>
          <w:lang w:val="fr-CA"/>
        </w:rPr>
        <w:t xml:space="preserve"> </w:t>
      </w:r>
      <w:r w:rsidRPr="006C1CD7">
        <w:rPr>
          <w:lang w:val="fr-CA"/>
        </w:rPr>
        <w:t>2</w:t>
      </w:r>
      <w:r w:rsidRPr="006C1CD7">
        <w:rPr>
          <w:i/>
          <w:iCs/>
          <w:lang w:val="fr-CA"/>
        </w:rPr>
        <w:t>d</w:t>
      </w:r>
      <w:r w:rsidRPr="006C1CD7">
        <w:rPr>
          <w:lang w:val="fr-CA"/>
        </w:rPr>
        <w:t xml:space="preserve">) </w:t>
      </w:r>
      <w:r>
        <w:rPr>
          <w:lang w:val="fr-CA"/>
        </w:rPr>
        <w:t xml:space="preserve">de la </w:t>
      </w:r>
      <w:r w:rsidRPr="00A967E1">
        <w:rPr>
          <w:i/>
          <w:lang w:val="fr-CA"/>
        </w:rPr>
        <w:t>Charte</w:t>
      </w:r>
      <w:r>
        <w:rPr>
          <w:lang w:val="fr-CA"/>
        </w:rPr>
        <w:t xml:space="preserve"> </w:t>
      </w:r>
      <w:r w:rsidRPr="006C1CD7">
        <w:rPr>
          <w:lang w:val="fr-CA"/>
        </w:rPr>
        <w:t>pourraient logiquement justifier</w:t>
      </w:r>
      <w:r w:rsidR="0053416A">
        <w:rPr>
          <w:lang w:val="fr-CA"/>
        </w:rPr>
        <w:t xml:space="preserve">.  </w:t>
      </w:r>
      <w:r w:rsidRPr="006C1CD7">
        <w:rPr>
          <w:lang w:val="fr-CA"/>
        </w:rPr>
        <w:t>L’interprétation d</w:t>
      </w:r>
      <w:r>
        <w:rPr>
          <w:lang w:val="fr-CA"/>
        </w:rPr>
        <w:t>’un</w:t>
      </w:r>
      <w:r w:rsidRPr="006C1CD7">
        <w:rPr>
          <w:lang w:val="fr-CA"/>
        </w:rPr>
        <w:t xml:space="preserve"> droit</w:t>
      </w:r>
      <w:r>
        <w:rPr>
          <w:lang w:val="fr-CA"/>
        </w:rPr>
        <w:t xml:space="preserve"> protégé</w:t>
      </w:r>
      <w:r w:rsidRPr="006C1CD7">
        <w:rPr>
          <w:lang w:val="fr-CA"/>
        </w:rPr>
        <w:t xml:space="preserve"> par la </w:t>
      </w:r>
      <w:r w:rsidRPr="006C1CD7">
        <w:rPr>
          <w:i/>
          <w:iCs/>
          <w:lang w:val="fr-CA"/>
        </w:rPr>
        <w:t>Charte</w:t>
      </w:r>
      <w:r w:rsidRPr="006C1CD7">
        <w:rPr>
          <w:lang w:val="fr-CA"/>
        </w:rPr>
        <w:t xml:space="preserve"> doit reposer sur des principes et ne doit pas être dissociée du texte </w:t>
      </w:r>
      <w:r>
        <w:rPr>
          <w:lang w:val="fr-CA"/>
        </w:rPr>
        <w:t xml:space="preserve">de la disposition </w:t>
      </w:r>
      <w:r w:rsidRPr="006C1CD7">
        <w:rPr>
          <w:lang w:val="fr-CA"/>
        </w:rPr>
        <w:t>au point de s’écarter du fondement du droit</w:t>
      </w:r>
      <w:r w:rsidR="0053416A">
        <w:rPr>
          <w:lang w:val="fr-CA"/>
        </w:rPr>
        <w:t xml:space="preserve">.  </w:t>
      </w:r>
      <w:r w:rsidRPr="006C1CD7">
        <w:rPr>
          <w:lang w:val="fr-CA"/>
        </w:rPr>
        <w:t>En reconnaissant</w:t>
      </w:r>
      <w:r>
        <w:rPr>
          <w:lang w:val="fr-CA"/>
        </w:rPr>
        <w:t xml:space="preserve">, dans </w:t>
      </w:r>
      <w:proofErr w:type="spellStart"/>
      <w:r w:rsidRPr="001C2D90">
        <w:rPr>
          <w:i/>
          <w:lang w:val="fr-CA"/>
        </w:rPr>
        <w:t>Health</w:t>
      </w:r>
      <w:proofErr w:type="spellEnd"/>
      <w:r w:rsidRPr="001C2D90">
        <w:rPr>
          <w:i/>
          <w:lang w:val="fr-CA"/>
        </w:rPr>
        <w:t xml:space="preserve"> Services</w:t>
      </w:r>
      <w:r>
        <w:rPr>
          <w:i/>
          <w:lang w:val="fr-CA"/>
        </w:rPr>
        <w:t xml:space="preserve"> </w:t>
      </w:r>
      <w:r w:rsidRPr="00971286">
        <w:rPr>
          <w:i/>
          <w:iCs/>
          <w:lang w:val="fr-CA"/>
        </w:rPr>
        <w:t xml:space="preserve">and Support — </w:t>
      </w:r>
      <w:proofErr w:type="spellStart"/>
      <w:r w:rsidRPr="00971286">
        <w:rPr>
          <w:i/>
          <w:iCs/>
          <w:lang w:val="fr-CA"/>
        </w:rPr>
        <w:t>Facilities</w:t>
      </w:r>
      <w:proofErr w:type="spellEnd"/>
      <w:r>
        <w:rPr>
          <w:i/>
          <w:iCs/>
          <w:lang w:val="fr-CA"/>
        </w:rPr>
        <w:t xml:space="preserve"> </w:t>
      </w:r>
      <w:proofErr w:type="spellStart"/>
      <w:r>
        <w:rPr>
          <w:i/>
          <w:iCs/>
          <w:lang w:val="fr-CA"/>
        </w:rPr>
        <w:t>Subsector</w:t>
      </w:r>
      <w:proofErr w:type="spellEnd"/>
      <w:r>
        <w:rPr>
          <w:i/>
          <w:iCs/>
          <w:lang w:val="fr-CA"/>
        </w:rPr>
        <w:t xml:space="preserve"> </w:t>
      </w:r>
      <w:proofErr w:type="spellStart"/>
      <w:r>
        <w:rPr>
          <w:i/>
          <w:iCs/>
          <w:lang w:val="fr-CA"/>
        </w:rPr>
        <w:t>Bargaining</w:t>
      </w:r>
      <w:proofErr w:type="spellEnd"/>
      <w:r>
        <w:rPr>
          <w:i/>
          <w:iCs/>
          <w:lang w:val="fr-CA"/>
        </w:rPr>
        <w:t xml:space="preserve"> </w:t>
      </w:r>
      <w:proofErr w:type="spellStart"/>
      <w:r>
        <w:rPr>
          <w:i/>
          <w:iCs/>
          <w:lang w:val="fr-CA"/>
        </w:rPr>
        <w:t>Assn</w:t>
      </w:r>
      <w:proofErr w:type="spellEnd"/>
      <w:r>
        <w:rPr>
          <w:i/>
          <w:iCs/>
          <w:lang w:val="fr-CA"/>
        </w:rPr>
        <w:t>. c. Colombie</w:t>
      </w:r>
      <w:r w:rsidR="00795B2B">
        <w:rPr>
          <w:i/>
          <w:iCs/>
          <w:lang w:val="fr-CA"/>
        </w:rPr>
        <w:t>-</w:t>
      </w:r>
      <w:r>
        <w:rPr>
          <w:i/>
          <w:iCs/>
          <w:lang w:val="fr-CA"/>
        </w:rPr>
        <w:t>Britannique</w:t>
      </w:r>
      <w:r>
        <w:rPr>
          <w:iCs/>
          <w:lang w:val="fr-CA"/>
        </w:rPr>
        <w:t>, 2007 CSC 27, [2007]</w:t>
      </w:r>
      <w:r w:rsidR="00795B2B">
        <w:rPr>
          <w:iCs/>
          <w:lang w:val="fr-CA"/>
        </w:rPr>
        <w:t xml:space="preserve"> </w:t>
      </w:r>
      <w:r>
        <w:rPr>
          <w:iCs/>
          <w:lang w:val="fr-CA"/>
        </w:rPr>
        <w:t>2 R.C.S. 391</w:t>
      </w:r>
      <w:r w:rsidR="007B57C5">
        <w:rPr>
          <w:iCs/>
          <w:lang w:val="fr-CA"/>
        </w:rPr>
        <w:t>,</w:t>
      </w:r>
      <w:r>
        <w:rPr>
          <w:lang w:val="fr-CA"/>
        </w:rPr>
        <w:t xml:space="preserve"> et dans </w:t>
      </w:r>
      <w:r w:rsidRPr="00733B95">
        <w:rPr>
          <w:i/>
          <w:lang w:val="fr-CA"/>
        </w:rPr>
        <w:t xml:space="preserve">Ontario (Procureur général) c. </w:t>
      </w:r>
      <w:r w:rsidRPr="006C1CD7">
        <w:rPr>
          <w:i/>
          <w:iCs/>
          <w:lang w:val="fr-CA"/>
        </w:rPr>
        <w:t>Fraser</w:t>
      </w:r>
      <w:r w:rsidRPr="006C1CD7">
        <w:rPr>
          <w:lang w:val="fr-CA"/>
        </w:rPr>
        <w:t>,</w:t>
      </w:r>
      <w:r>
        <w:rPr>
          <w:lang w:val="fr-CA"/>
        </w:rPr>
        <w:t xml:space="preserve"> 2011 CSC 20, [2011] 2 R.C.S. </w:t>
      </w:r>
      <w:r w:rsidRPr="00F9770E">
        <w:rPr>
          <w:lang w:val="fr-CA"/>
        </w:rPr>
        <w:t>3</w:t>
      </w:r>
      <w:r>
        <w:rPr>
          <w:lang w:val="fr-CA"/>
        </w:rPr>
        <w:t>,</w:t>
      </w:r>
      <w:r w:rsidRPr="006C1CD7">
        <w:rPr>
          <w:lang w:val="fr-CA"/>
        </w:rPr>
        <w:t xml:space="preserve"> l’existence d’un droit dérivé à la négociation collective fondé sur l’objectif visé par l’</w:t>
      </w:r>
      <w:r w:rsidR="0053416A">
        <w:rPr>
          <w:lang w:val="fr-CA"/>
        </w:rPr>
        <w:t>al.</w:t>
      </w:r>
      <w:r w:rsidR="00795B2B">
        <w:rPr>
          <w:lang w:val="fr-CA"/>
        </w:rPr>
        <w:t xml:space="preserve"> </w:t>
      </w:r>
      <w:r w:rsidRPr="006C1CD7">
        <w:rPr>
          <w:lang w:val="fr-CA"/>
        </w:rPr>
        <w:t>2</w:t>
      </w:r>
      <w:r w:rsidRPr="006C1CD7">
        <w:rPr>
          <w:i/>
          <w:iCs/>
          <w:lang w:val="fr-CA"/>
        </w:rPr>
        <w:t>d</w:t>
      </w:r>
      <w:r w:rsidRPr="006C1CD7">
        <w:rPr>
          <w:lang w:val="fr-CA"/>
        </w:rPr>
        <w:t xml:space="preserve">) de la </w:t>
      </w:r>
      <w:r w:rsidRPr="006C1CD7">
        <w:rPr>
          <w:i/>
          <w:iCs/>
          <w:lang w:val="fr-CA"/>
        </w:rPr>
        <w:t>Charte</w:t>
      </w:r>
      <w:r w:rsidRPr="006C1CD7">
        <w:rPr>
          <w:lang w:val="fr-CA"/>
        </w:rPr>
        <w:t>, la Cour a</w:t>
      </w:r>
      <w:r>
        <w:rPr>
          <w:lang w:val="fr-CA"/>
        </w:rPr>
        <w:t xml:space="preserve"> </w:t>
      </w:r>
      <w:r w:rsidRPr="006C1CD7">
        <w:rPr>
          <w:lang w:val="fr-CA"/>
        </w:rPr>
        <w:t>élargi la portée des droits constitutionnels au</w:t>
      </w:r>
      <w:r w:rsidR="00795B2B">
        <w:rPr>
          <w:lang w:val="fr-CA"/>
        </w:rPr>
        <w:t>-</w:t>
      </w:r>
      <w:r w:rsidRPr="006C1CD7">
        <w:rPr>
          <w:lang w:val="fr-CA"/>
        </w:rPr>
        <w:t>delà de ce qui avait déjà été reconnu.</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r>
      <w:r w:rsidRPr="006C1CD7">
        <w:rPr>
          <w:lang w:val="fr-CA"/>
        </w:rPr>
        <w:t xml:space="preserve">Or, moins de quatre ans après le prononcé de l’arrêt </w:t>
      </w:r>
      <w:r w:rsidRPr="006C1CD7">
        <w:rPr>
          <w:i/>
          <w:iCs/>
          <w:lang w:val="fr-CA"/>
        </w:rPr>
        <w:t>Fraser</w:t>
      </w:r>
      <w:r w:rsidRPr="006C1CD7">
        <w:rPr>
          <w:lang w:val="fr-CA"/>
        </w:rPr>
        <w:t xml:space="preserve">, les juges majoritaires élargissent </w:t>
      </w:r>
      <w:r>
        <w:rPr>
          <w:lang w:val="fr-CA"/>
        </w:rPr>
        <w:t xml:space="preserve">encore </w:t>
      </w:r>
      <w:r w:rsidRPr="006C1CD7">
        <w:rPr>
          <w:lang w:val="fr-CA"/>
        </w:rPr>
        <w:t>la portée de la liberté d’association</w:t>
      </w:r>
      <w:r>
        <w:rPr>
          <w:lang w:val="fr-CA"/>
        </w:rPr>
        <w:t xml:space="preserve"> et </w:t>
      </w:r>
      <w:r w:rsidRPr="006C1CD7">
        <w:rPr>
          <w:lang w:val="fr-CA"/>
        </w:rPr>
        <w:t xml:space="preserve">abandonnent le critère de </w:t>
      </w:r>
      <w:r w:rsidRPr="00CE3D37">
        <w:rPr>
          <w:lang w:val="fr-CA"/>
        </w:rPr>
        <w:t xml:space="preserve">l’impossibilité </w:t>
      </w:r>
      <w:r w:rsidR="0020669B">
        <w:rPr>
          <w:lang w:val="fr-CA"/>
        </w:rPr>
        <w:t>effective</w:t>
      </w:r>
      <w:r w:rsidRPr="00CE3D37">
        <w:rPr>
          <w:lang w:val="fr-CA"/>
        </w:rPr>
        <w:t xml:space="preserve"> </w:t>
      </w:r>
      <w:r w:rsidRPr="0020669B">
        <w:rPr>
          <w:lang w:val="fr-CA"/>
        </w:rPr>
        <w:t>de mener une véritable négociation collective</w:t>
      </w:r>
      <w:r>
        <w:rPr>
          <w:lang w:val="fr-CA"/>
        </w:rPr>
        <w:t xml:space="preserve"> établi dans cet arrêt</w:t>
      </w:r>
      <w:r w:rsidR="0053416A">
        <w:rPr>
          <w:lang w:val="fr-CA"/>
        </w:rPr>
        <w:t xml:space="preserve">.  </w:t>
      </w:r>
      <w:r>
        <w:rPr>
          <w:lang w:val="fr-CA"/>
        </w:rPr>
        <w:t>Ils i</w:t>
      </w:r>
      <w:r w:rsidRPr="006C1CD7">
        <w:rPr>
          <w:lang w:val="fr-CA"/>
        </w:rPr>
        <w:t>nscri</w:t>
      </w:r>
      <w:r>
        <w:rPr>
          <w:lang w:val="fr-CA"/>
        </w:rPr>
        <w:t>vent également</w:t>
      </w:r>
      <w:r w:rsidRPr="006C1CD7">
        <w:rPr>
          <w:lang w:val="fr-CA"/>
        </w:rPr>
        <w:t xml:space="preserve"> un modèle de relations de travail </w:t>
      </w:r>
      <w:r>
        <w:rPr>
          <w:lang w:val="fr-CA"/>
        </w:rPr>
        <w:t>contradictoire</w:t>
      </w:r>
      <w:r w:rsidRPr="006C1CD7">
        <w:rPr>
          <w:lang w:val="fr-CA"/>
        </w:rPr>
        <w:t xml:space="preserve"> en tant que droit reconnu par la </w:t>
      </w:r>
      <w:r w:rsidRPr="006C1CD7">
        <w:rPr>
          <w:i/>
          <w:iCs/>
          <w:lang w:val="fr-CA"/>
        </w:rPr>
        <w:t>Charte</w:t>
      </w:r>
      <w:r>
        <w:rPr>
          <w:iCs/>
          <w:lang w:val="fr-CA"/>
        </w:rPr>
        <w:t>, ce qui</w:t>
      </w:r>
      <w:r w:rsidRPr="006C1CD7">
        <w:rPr>
          <w:lang w:val="fr-CA"/>
        </w:rPr>
        <w:t xml:space="preserve"> revient à </w:t>
      </w:r>
      <w:r>
        <w:rPr>
          <w:lang w:val="fr-CA"/>
        </w:rPr>
        <w:t>répudier</w:t>
      </w:r>
      <w:r w:rsidRPr="006C1CD7">
        <w:rPr>
          <w:lang w:val="fr-CA"/>
        </w:rPr>
        <w:t xml:space="preserve"> les conclusions tirées </w:t>
      </w:r>
      <w:r>
        <w:rPr>
          <w:lang w:val="fr-CA"/>
        </w:rPr>
        <w:t xml:space="preserve">antérieurement </w:t>
      </w:r>
      <w:r w:rsidRPr="006C1CD7">
        <w:rPr>
          <w:lang w:val="fr-CA"/>
        </w:rPr>
        <w:t xml:space="preserve">par </w:t>
      </w:r>
      <w:r>
        <w:rPr>
          <w:lang w:val="fr-CA"/>
        </w:rPr>
        <w:t>la</w:t>
      </w:r>
      <w:r w:rsidRPr="006C1CD7">
        <w:rPr>
          <w:lang w:val="fr-CA"/>
        </w:rPr>
        <w:t xml:space="preserve"> Cour </w:t>
      </w:r>
      <w:r>
        <w:rPr>
          <w:lang w:val="fr-CA"/>
        </w:rPr>
        <w:t xml:space="preserve">dans </w:t>
      </w:r>
      <w:proofErr w:type="spellStart"/>
      <w:r w:rsidRPr="006F576C">
        <w:rPr>
          <w:i/>
          <w:lang w:val="fr-CA"/>
        </w:rPr>
        <w:t>Health</w:t>
      </w:r>
      <w:proofErr w:type="spellEnd"/>
      <w:r w:rsidRPr="006F576C">
        <w:rPr>
          <w:i/>
          <w:lang w:val="fr-CA"/>
        </w:rPr>
        <w:t xml:space="preserve"> Services</w:t>
      </w:r>
      <w:r>
        <w:rPr>
          <w:lang w:val="fr-CA"/>
        </w:rPr>
        <w:t xml:space="preserve"> et dans </w:t>
      </w:r>
      <w:r w:rsidRPr="006F576C">
        <w:rPr>
          <w:i/>
          <w:lang w:val="fr-CA"/>
        </w:rPr>
        <w:t>Fraser</w:t>
      </w:r>
      <w:r>
        <w:rPr>
          <w:lang w:val="fr-CA"/>
        </w:rPr>
        <w:t xml:space="preserve"> </w:t>
      </w:r>
      <w:r>
        <w:rPr>
          <w:iCs/>
          <w:lang w:val="fr-CA"/>
        </w:rPr>
        <w:t>selon lesquelles l’</w:t>
      </w:r>
      <w:r w:rsidR="0053416A">
        <w:rPr>
          <w:iCs/>
          <w:lang w:val="fr-CA"/>
        </w:rPr>
        <w:t>al.</w:t>
      </w:r>
      <w:r w:rsidR="00795B2B">
        <w:rPr>
          <w:iCs/>
          <w:lang w:val="fr-CA"/>
        </w:rPr>
        <w:t xml:space="preserve"> </w:t>
      </w:r>
      <w:r>
        <w:rPr>
          <w:iCs/>
          <w:lang w:val="fr-CA"/>
        </w:rPr>
        <w:t>2</w:t>
      </w:r>
      <w:r w:rsidRPr="00501175">
        <w:rPr>
          <w:i/>
          <w:iCs/>
          <w:lang w:val="fr-CA"/>
        </w:rPr>
        <w:t>d</w:t>
      </w:r>
      <w:r>
        <w:rPr>
          <w:iCs/>
          <w:lang w:val="fr-CA"/>
        </w:rPr>
        <w:t xml:space="preserve">) ne </w:t>
      </w:r>
      <w:r w:rsidRPr="006C1CD7">
        <w:rPr>
          <w:lang w:val="fr-CA"/>
        </w:rPr>
        <w:t>garantit ni l’application d’un modèle particulier de négociation collective, ni l’obtention d’un résultat donné</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lastRenderedPageBreak/>
        <w:tab/>
        <w:t>L</w:t>
      </w:r>
      <w:r w:rsidRPr="006C1CD7">
        <w:rPr>
          <w:lang w:val="fr-CA"/>
        </w:rPr>
        <w:t>’</w:t>
      </w:r>
      <w:r>
        <w:rPr>
          <w:lang w:val="fr-CA"/>
        </w:rPr>
        <w:t>alinéa</w:t>
      </w:r>
      <w:r w:rsidR="00795B2B">
        <w:rPr>
          <w:lang w:val="fr-CA"/>
        </w:rPr>
        <w:t xml:space="preserve"> </w:t>
      </w:r>
      <w:r w:rsidRPr="006C1CD7">
        <w:rPr>
          <w:lang w:val="fr-CA"/>
        </w:rPr>
        <w:t>2</w:t>
      </w:r>
      <w:r w:rsidRPr="006C1CD7">
        <w:rPr>
          <w:i/>
          <w:iCs/>
          <w:lang w:val="fr-CA"/>
        </w:rPr>
        <w:t>d</w:t>
      </w:r>
      <w:r w:rsidRPr="006C1CD7">
        <w:rPr>
          <w:lang w:val="fr-CA"/>
        </w:rPr>
        <w:t xml:space="preserve">) </w:t>
      </w:r>
      <w:r>
        <w:rPr>
          <w:lang w:val="fr-CA"/>
        </w:rPr>
        <w:t xml:space="preserve">de la </w:t>
      </w:r>
      <w:r w:rsidRPr="00BF4017">
        <w:rPr>
          <w:i/>
          <w:lang w:val="fr-CA"/>
        </w:rPr>
        <w:t>Charte</w:t>
      </w:r>
      <w:r>
        <w:rPr>
          <w:lang w:val="fr-CA"/>
        </w:rPr>
        <w:t xml:space="preserve"> </w:t>
      </w:r>
      <w:r w:rsidRPr="006C1CD7">
        <w:rPr>
          <w:lang w:val="fr-CA"/>
        </w:rPr>
        <w:t xml:space="preserve">protège le droit de s’associer en vue de présenter des revendications collectives à l’employeur et de les voir prises en considération de bonne foi par </w:t>
      </w:r>
      <w:r>
        <w:rPr>
          <w:lang w:val="fr-CA"/>
        </w:rPr>
        <w:t>ce dernier</w:t>
      </w:r>
      <w:r w:rsidR="0053416A">
        <w:rPr>
          <w:lang w:val="fr-CA"/>
        </w:rPr>
        <w:t xml:space="preserve">.  </w:t>
      </w:r>
      <w:r>
        <w:rPr>
          <w:lang w:val="fr-CA"/>
        </w:rPr>
        <w:t>L</w:t>
      </w:r>
      <w:r w:rsidRPr="006C1CD7">
        <w:rPr>
          <w:lang w:val="fr-CA"/>
        </w:rPr>
        <w:t xml:space="preserve">es juges majoritaires </w:t>
      </w:r>
      <w:r>
        <w:rPr>
          <w:lang w:val="fr-CA"/>
        </w:rPr>
        <w:t xml:space="preserve">dans </w:t>
      </w:r>
      <w:r w:rsidRPr="006C1CD7">
        <w:rPr>
          <w:lang w:val="fr-CA"/>
        </w:rPr>
        <w:t xml:space="preserve">l’arrêt </w:t>
      </w:r>
      <w:r w:rsidRPr="006C1CD7">
        <w:rPr>
          <w:i/>
          <w:iCs/>
          <w:lang w:val="fr-CA"/>
        </w:rPr>
        <w:t>Fraser</w:t>
      </w:r>
      <w:r w:rsidRPr="006C1CD7">
        <w:rPr>
          <w:lang w:val="fr-CA"/>
        </w:rPr>
        <w:t xml:space="preserve"> déclarent </w:t>
      </w:r>
      <w:r>
        <w:rPr>
          <w:lang w:val="fr-CA"/>
        </w:rPr>
        <w:t>sans équivoque que</w:t>
      </w:r>
      <w:r w:rsidRPr="0053416A">
        <w:rPr>
          <w:lang w:val="fr-CA"/>
        </w:rPr>
        <w:t xml:space="preserve"> </w:t>
      </w:r>
      <w:r>
        <w:rPr>
          <w:lang w:val="fr-CA"/>
        </w:rPr>
        <w:t>l</w:t>
      </w:r>
      <w:r w:rsidRPr="006C1CD7">
        <w:rPr>
          <w:lang w:val="fr-CA"/>
        </w:rPr>
        <w:t xml:space="preserve">e </w:t>
      </w:r>
      <w:r>
        <w:rPr>
          <w:lang w:val="fr-CA"/>
        </w:rPr>
        <w:t>test</w:t>
      </w:r>
      <w:r w:rsidRPr="006C1CD7">
        <w:rPr>
          <w:lang w:val="fr-CA"/>
        </w:rPr>
        <w:t xml:space="preserve"> permettant de conclure à une violation de l’</w:t>
      </w:r>
      <w:r w:rsidR="0053416A">
        <w:rPr>
          <w:lang w:val="fr-CA"/>
        </w:rPr>
        <w:t>al.</w:t>
      </w:r>
      <w:r w:rsidR="00795B2B">
        <w:rPr>
          <w:lang w:val="fr-CA"/>
        </w:rPr>
        <w:t xml:space="preserve"> </w:t>
      </w:r>
      <w:r w:rsidRPr="006C1CD7">
        <w:rPr>
          <w:lang w:val="fr-CA"/>
        </w:rPr>
        <w:t>2</w:t>
      </w:r>
      <w:r w:rsidRPr="006C1CD7">
        <w:rPr>
          <w:i/>
          <w:iCs/>
          <w:lang w:val="fr-CA"/>
        </w:rPr>
        <w:t>d</w:t>
      </w:r>
      <w:r w:rsidRPr="006C1CD7">
        <w:rPr>
          <w:lang w:val="fr-CA"/>
        </w:rPr>
        <w:t xml:space="preserve">) dans le contexte des relations de travail est </w:t>
      </w:r>
      <w:r>
        <w:rPr>
          <w:lang w:val="fr-CA"/>
        </w:rPr>
        <w:t xml:space="preserve">celui de savoir si </w:t>
      </w:r>
      <w:r w:rsidRPr="006C1CD7">
        <w:rPr>
          <w:lang w:val="fr-CA"/>
        </w:rPr>
        <w:t>la loi ou la mesure gouvernementale contestée rend impossible l’action collective visant la réalisation d’objectifs liés au travail</w:t>
      </w:r>
      <w:r w:rsidR="0053416A">
        <w:rPr>
          <w:lang w:val="fr-CA"/>
        </w:rPr>
        <w:t xml:space="preserve">.  </w:t>
      </w:r>
      <w:r w:rsidRPr="0053416A">
        <w:rPr>
          <w:lang w:val="fr-CA"/>
        </w:rPr>
        <w:t>L</w:t>
      </w:r>
      <w:r>
        <w:rPr>
          <w:lang w:val="fr-CA"/>
        </w:rPr>
        <w:t xml:space="preserve">a formulation de l’arrêt </w:t>
      </w:r>
      <w:r w:rsidRPr="004E03A2">
        <w:rPr>
          <w:i/>
          <w:lang w:val="fr-CA"/>
        </w:rPr>
        <w:t>Fraser</w:t>
      </w:r>
      <w:r>
        <w:rPr>
          <w:lang w:val="fr-CA"/>
        </w:rPr>
        <w:t xml:space="preserve"> n’appuie</w:t>
      </w:r>
      <w:r w:rsidRPr="006C1CD7">
        <w:rPr>
          <w:lang w:val="fr-CA"/>
        </w:rPr>
        <w:t xml:space="preserve"> pas la norme révisée </w:t>
      </w:r>
      <w:r>
        <w:rPr>
          <w:lang w:val="fr-CA"/>
        </w:rPr>
        <w:t xml:space="preserve">— et abaissée — </w:t>
      </w:r>
      <w:r w:rsidRPr="006C1CD7">
        <w:rPr>
          <w:lang w:val="fr-CA"/>
        </w:rPr>
        <w:t>qu</w:t>
      </w:r>
      <w:r>
        <w:rPr>
          <w:lang w:val="fr-CA"/>
        </w:rPr>
        <w:t>e les juges majoritaires</w:t>
      </w:r>
      <w:r w:rsidRPr="006C1CD7">
        <w:rPr>
          <w:lang w:val="fr-CA"/>
        </w:rPr>
        <w:t xml:space="preserve"> appliquent à l’</w:t>
      </w:r>
      <w:r w:rsidR="0053416A">
        <w:rPr>
          <w:lang w:val="fr-CA"/>
        </w:rPr>
        <w:t>al.</w:t>
      </w:r>
      <w:r w:rsidR="00795B2B">
        <w:rPr>
          <w:lang w:val="fr-CA"/>
        </w:rPr>
        <w:t xml:space="preserve"> </w:t>
      </w:r>
      <w:r w:rsidRPr="006C1CD7">
        <w:rPr>
          <w:lang w:val="fr-CA"/>
        </w:rPr>
        <w:t>2</w:t>
      </w:r>
      <w:r w:rsidRPr="006C1CD7">
        <w:rPr>
          <w:i/>
          <w:lang w:val="fr-CA"/>
        </w:rPr>
        <w:t>d</w:t>
      </w:r>
      <w:r w:rsidRPr="006C1CD7">
        <w:rPr>
          <w:lang w:val="fr-CA"/>
        </w:rPr>
        <w:t>)</w:t>
      </w:r>
      <w:r w:rsidR="0053416A">
        <w:rPr>
          <w:lang w:val="fr-CA"/>
        </w:rPr>
        <w:t xml:space="preserve">.  </w:t>
      </w:r>
      <w:r w:rsidRPr="006C1CD7">
        <w:rPr>
          <w:lang w:val="fr-CA"/>
        </w:rPr>
        <w:t xml:space="preserve">Il </w:t>
      </w:r>
      <w:r>
        <w:rPr>
          <w:lang w:val="fr-CA"/>
        </w:rPr>
        <w:t>ne fait</w:t>
      </w:r>
      <w:r w:rsidRPr="006C1CD7">
        <w:rPr>
          <w:lang w:val="fr-CA"/>
        </w:rPr>
        <w:t xml:space="preserve"> aucun doute que, dans </w:t>
      </w:r>
      <w:r w:rsidRPr="006C1CD7">
        <w:rPr>
          <w:i/>
          <w:iCs/>
          <w:lang w:val="fr-CA"/>
        </w:rPr>
        <w:t>Fraser</w:t>
      </w:r>
      <w:r w:rsidRPr="006C1CD7">
        <w:rPr>
          <w:lang w:val="fr-CA"/>
        </w:rPr>
        <w:t xml:space="preserve">, les juges majoritaires ont </w:t>
      </w:r>
      <w:r>
        <w:rPr>
          <w:lang w:val="fr-CA"/>
        </w:rPr>
        <w:t>fixé un seuil</w:t>
      </w:r>
      <w:r w:rsidRPr="006C1CD7">
        <w:rPr>
          <w:lang w:val="fr-CA"/>
        </w:rPr>
        <w:t xml:space="preserve"> exigeant pour pouvoir conclure à la violation du droit dérivé </w:t>
      </w:r>
      <w:r>
        <w:rPr>
          <w:lang w:val="fr-CA"/>
        </w:rPr>
        <w:t>à la</w:t>
      </w:r>
      <w:r w:rsidRPr="006C1CD7">
        <w:rPr>
          <w:lang w:val="fr-CA"/>
        </w:rPr>
        <w:t xml:space="preserve"> négociation collective</w:t>
      </w:r>
      <w:r w:rsidR="0053416A">
        <w:rPr>
          <w:lang w:val="fr-CA"/>
        </w:rPr>
        <w:t xml:space="preserve">.  </w:t>
      </w:r>
      <w:r w:rsidRPr="006C1CD7">
        <w:rPr>
          <w:lang w:val="fr-CA"/>
        </w:rPr>
        <w:t>L’équité et la notion de certitude exigent que, lorsque la jurisprudence est déjà fixée, les tribunaux doivent l’appliquer pour arrêter la solution dans l’affaire dont ils sont saisis</w:t>
      </w:r>
      <w:r w:rsidR="0053416A">
        <w:rPr>
          <w:lang w:val="fr-CA"/>
        </w:rPr>
        <w:t xml:space="preserve">.  </w:t>
      </w:r>
      <w:r w:rsidRPr="006C1CD7">
        <w:rPr>
          <w:lang w:val="fr-CA"/>
        </w:rPr>
        <w:t>Il</w:t>
      </w:r>
      <w:r>
        <w:rPr>
          <w:lang w:val="fr-CA"/>
        </w:rPr>
        <w:t>s</w:t>
      </w:r>
      <w:r w:rsidRPr="006C1CD7">
        <w:rPr>
          <w:lang w:val="fr-CA"/>
        </w:rPr>
        <w:t xml:space="preserve"> ne </w:t>
      </w:r>
      <w:r>
        <w:rPr>
          <w:lang w:val="fr-CA"/>
        </w:rPr>
        <w:t xml:space="preserve">peuvent </w:t>
      </w:r>
      <w:r w:rsidRPr="006C1CD7">
        <w:rPr>
          <w:lang w:val="fr-CA"/>
        </w:rPr>
        <w:t>pas déterminer à l’avance le résultat souhaité pour chercher ensuite une nouvelle interprétation juridique permettant d’obtenir ce résultat.</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r>
      <w:r w:rsidRPr="006C1CD7">
        <w:rPr>
          <w:lang w:val="fr-CA"/>
        </w:rPr>
        <w:t xml:space="preserve">La caractéristique essentielle </w:t>
      </w:r>
      <w:r>
        <w:rPr>
          <w:lang w:val="fr-CA"/>
        </w:rPr>
        <w:t>d’un régime de relations de travail qui permet aux</w:t>
      </w:r>
      <w:r w:rsidRPr="006C1CD7">
        <w:rPr>
          <w:lang w:val="fr-CA"/>
        </w:rPr>
        <w:t xml:space="preserve"> employés </w:t>
      </w:r>
      <w:r>
        <w:rPr>
          <w:lang w:val="fr-CA"/>
        </w:rPr>
        <w:t xml:space="preserve">d’exercer leur droit constitutionnel </w:t>
      </w:r>
      <w:r w:rsidRPr="006C1CD7">
        <w:rPr>
          <w:lang w:val="fr-CA"/>
        </w:rPr>
        <w:t xml:space="preserve">de formuler véritablement des revendications collectives </w:t>
      </w:r>
      <w:r>
        <w:rPr>
          <w:lang w:val="fr-CA"/>
        </w:rPr>
        <w:t xml:space="preserve">quant à </w:t>
      </w:r>
      <w:r w:rsidRPr="00CE3D37">
        <w:rPr>
          <w:lang w:val="fr-CA"/>
        </w:rPr>
        <w:t xml:space="preserve">leurs objectifs relatifs </w:t>
      </w:r>
      <w:r>
        <w:rPr>
          <w:lang w:val="fr-CA"/>
        </w:rPr>
        <w:t xml:space="preserve">au </w:t>
      </w:r>
      <w:r w:rsidRPr="00CE3D37">
        <w:rPr>
          <w:lang w:val="fr-CA"/>
        </w:rPr>
        <w:t>travail est la représentativité</w:t>
      </w:r>
      <w:r w:rsidR="0053416A">
        <w:rPr>
          <w:lang w:val="fr-CA"/>
        </w:rPr>
        <w:t xml:space="preserve">.  </w:t>
      </w:r>
      <w:r w:rsidR="0020669B">
        <w:rPr>
          <w:lang w:val="fr-CA"/>
        </w:rPr>
        <w:t>Celle-ci</w:t>
      </w:r>
      <w:r w:rsidRPr="006C1CD7">
        <w:rPr>
          <w:lang w:val="fr-CA"/>
        </w:rPr>
        <w:t xml:space="preserve"> est l’impératif constitutionnel </w:t>
      </w:r>
      <w:r>
        <w:rPr>
          <w:lang w:val="fr-CA"/>
        </w:rPr>
        <w:t xml:space="preserve">auquel il faut satisfaire pour </w:t>
      </w:r>
      <w:r w:rsidRPr="006C1CD7">
        <w:rPr>
          <w:lang w:val="fr-CA"/>
        </w:rPr>
        <w:t>s’assurer que les droits prévus à l’</w:t>
      </w:r>
      <w:r w:rsidR="0053416A">
        <w:rPr>
          <w:lang w:val="fr-CA"/>
        </w:rPr>
        <w:t>al.</w:t>
      </w:r>
      <w:r w:rsidR="00795B2B">
        <w:rPr>
          <w:lang w:val="fr-CA"/>
        </w:rPr>
        <w:t xml:space="preserve"> </w:t>
      </w:r>
      <w:r w:rsidRPr="006C1CD7">
        <w:rPr>
          <w:lang w:val="fr-CA"/>
        </w:rPr>
        <w:t>2</w:t>
      </w:r>
      <w:r w:rsidRPr="006C1CD7">
        <w:rPr>
          <w:i/>
          <w:iCs/>
          <w:lang w:val="fr-CA"/>
        </w:rPr>
        <w:t>d</w:t>
      </w:r>
      <w:r w:rsidRPr="006C1CD7">
        <w:rPr>
          <w:lang w:val="fr-CA"/>
        </w:rPr>
        <w:t>) sont protégés dans le contex</w:t>
      </w:r>
      <w:r>
        <w:rPr>
          <w:lang w:val="fr-CA"/>
        </w:rPr>
        <w:t>te de la négociation collective, et c</w:t>
      </w:r>
      <w:r w:rsidRPr="006C1CD7">
        <w:rPr>
          <w:lang w:val="fr-CA"/>
        </w:rPr>
        <w:t xml:space="preserve">e n’est que si elle porte atteinte au droit des employés de faire défendre leurs droits honnêtement et équitablement qu’une loi sera considérée comme </w:t>
      </w:r>
      <w:r>
        <w:rPr>
          <w:lang w:val="fr-CA"/>
        </w:rPr>
        <w:t>lacunaire</w:t>
      </w:r>
      <w:r w:rsidRPr="006C1CD7">
        <w:rPr>
          <w:lang w:val="fr-CA"/>
        </w:rPr>
        <w:t xml:space="preserve"> sur le plan constitutionnel</w:t>
      </w:r>
      <w:r w:rsidRPr="0053416A">
        <w:rPr>
          <w:lang w:val="fr-CA"/>
        </w:rPr>
        <w:t>.</w:t>
      </w:r>
    </w:p>
    <w:p w:rsidR="00987371" w:rsidRPr="0053416A" w:rsidRDefault="00987371" w:rsidP="00795B2B">
      <w:pPr>
        <w:pStyle w:val="SCCNormalDoubleSpacing"/>
        <w:spacing w:after="480"/>
        <w:rPr>
          <w:lang w:val="fr-CA"/>
        </w:rPr>
      </w:pPr>
      <w:r w:rsidRPr="0053416A">
        <w:rPr>
          <w:lang w:val="fr-CA"/>
        </w:rPr>
        <w:lastRenderedPageBreak/>
        <w:tab/>
      </w:r>
      <w:r w:rsidRPr="006C1CD7">
        <w:rPr>
          <w:lang w:val="fr-CA"/>
        </w:rPr>
        <w:t xml:space="preserve">Ni le choix de l’organisation qui représente les employés aux fins de la négociation collective ni </w:t>
      </w:r>
      <w:r>
        <w:rPr>
          <w:lang w:val="fr-CA"/>
        </w:rPr>
        <w:t xml:space="preserve">son </w:t>
      </w:r>
      <w:r w:rsidRPr="006C1CD7">
        <w:rPr>
          <w:lang w:val="fr-CA"/>
        </w:rPr>
        <w:t>indépendance face à la direction ne sont des éléments nécessaires pour assurer</w:t>
      </w:r>
      <w:r>
        <w:rPr>
          <w:lang w:val="fr-CA"/>
        </w:rPr>
        <w:t xml:space="preserve"> la tenue d’</w:t>
      </w:r>
      <w:r w:rsidRPr="006C1CD7">
        <w:rPr>
          <w:lang w:val="fr-CA"/>
        </w:rPr>
        <w:t>une véritable négociation collective</w:t>
      </w:r>
      <w:r w:rsidR="0053416A">
        <w:rPr>
          <w:lang w:val="fr-CA"/>
        </w:rPr>
        <w:t xml:space="preserve">.  </w:t>
      </w:r>
      <w:r w:rsidRPr="006C1CD7">
        <w:rPr>
          <w:lang w:val="fr-CA"/>
        </w:rPr>
        <w:t>La liberté de choix et l’indépendance sont des aspects cruciaux des relations de travail</w:t>
      </w:r>
      <w:r>
        <w:rPr>
          <w:lang w:val="fr-CA"/>
        </w:rPr>
        <w:t xml:space="preserve"> structurées</w:t>
      </w:r>
      <w:r w:rsidRPr="006C1CD7">
        <w:rPr>
          <w:lang w:val="fr-CA"/>
        </w:rPr>
        <w:t xml:space="preserve"> selon le modèle Wagner</w:t>
      </w:r>
      <w:r w:rsidR="00CD2618">
        <w:rPr>
          <w:lang w:val="fr-CA"/>
        </w:rPr>
        <w:t>.</w:t>
      </w:r>
      <w:r>
        <w:rPr>
          <w:lang w:val="fr-CA"/>
        </w:rPr>
        <w:t xml:space="preserve"> </w:t>
      </w:r>
      <w:r w:rsidR="00CD2618">
        <w:rPr>
          <w:lang w:val="fr-CA"/>
        </w:rPr>
        <w:t>E</w:t>
      </w:r>
      <w:r w:rsidRPr="006C1CD7">
        <w:rPr>
          <w:lang w:val="fr-CA"/>
        </w:rPr>
        <w:t xml:space="preserve">n considérant que la liberté de choix et l’indépendance constituent des impératifs constitutionnels </w:t>
      </w:r>
      <w:r>
        <w:rPr>
          <w:lang w:val="fr-CA"/>
        </w:rPr>
        <w:t>à la tenue de véritables négociations collectives</w:t>
      </w:r>
      <w:r w:rsidRPr="006C1CD7">
        <w:rPr>
          <w:lang w:val="fr-CA"/>
        </w:rPr>
        <w:t xml:space="preserve">, </w:t>
      </w:r>
      <w:r>
        <w:rPr>
          <w:lang w:val="fr-CA"/>
        </w:rPr>
        <w:t>les juges majoritaires</w:t>
      </w:r>
      <w:r w:rsidRPr="006C1CD7">
        <w:rPr>
          <w:lang w:val="fr-CA"/>
        </w:rPr>
        <w:t xml:space="preserve"> impose</w:t>
      </w:r>
      <w:r>
        <w:rPr>
          <w:lang w:val="fr-CA"/>
        </w:rPr>
        <w:t>nt</w:t>
      </w:r>
      <w:r w:rsidRPr="006C1CD7">
        <w:rPr>
          <w:lang w:val="fr-CA"/>
        </w:rPr>
        <w:t xml:space="preserve"> un modèle de </w:t>
      </w:r>
      <w:r>
        <w:rPr>
          <w:lang w:val="fr-CA"/>
        </w:rPr>
        <w:t>relation</w:t>
      </w:r>
      <w:r w:rsidR="0091152D">
        <w:rPr>
          <w:lang w:val="fr-CA"/>
        </w:rPr>
        <w:t>s</w:t>
      </w:r>
      <w:r>
        <w:rPr>
          <w:lang w:val="fr-CA"/>
        </w:rPr>
        <w:t xml:space="preserve"> de travail</w:t>
      </w:r>
      <w:r w:rsidRPr="006C1CD7">
        <w:rPr>
          <w:lang w:val="fr-CA"/>
        </w:rPr>
        <w:t xml:space="preserve"> </w:t>
      </w:r>
      <w:r w:rsidRPr="00F01ED1">
        <w:rPr>
          <w:lang w:val="fr-CA"/>
        </w:rPr>
        <w:t>contradictoire</w:t>
      </w:r>
      <w:r w:rsidRPr="006C1CD7">
        <w:rPr>
          <w:lang w:val="fr-CA"/>
        </w:rPr>
        <w:t xml:space="preserve"> et </w:t>
      </w:r>
      <w:r>
        <w:rPr>
          <w:lang w:val="fr-CA"/>
        </w:rPr>
        <w:t>ils</w:t>
      </w:r>
      <w:r w:rsidRPr="006C1CD7">
        <w:rPr>
          <w:lang w:val="fr-CA"/>
        </w:rPr>
        <w:t xml:space="preserve"> écarte</w:t>
      </w:r>
      <w:r>
        <w:rPr>
          <w:lang w:val="fr-CA"/>
        </w:rPr>
        <w:t>nt</w:t>
      </w:r>
      <w:r w:rsidRPr="006C1CD7">
        <w:rPr>
          <w:lang w:val="fr-CA"/>
        </w:rPr>
        <w:t xml:space="preserve"> d’autres modèles qui peuvent être </w:t>
      </w:r>
      <w:r w:rsidR="0020669B">
        <w:rPr>
          <w:lang w:val="fr-CA"/>
        </w:rPr>
        <w:t>aussi</w:t>
      </w:r>
      <w:r w:rsidRPr="006C1CD7">
        <w:rPr>
          <w:lang w:val="fr-CA"/>
        </w:rPr>
        <w:t xml:space="preserve"> efficaces </w:t>
      </w:r>
      <w:r w:rsidR="0020669B">
        <w:rPr>
          <w:lang w:val="fr-CA"/>
        </w:rPr>
        <w:t xml:space="preserve">sinon plus </w:t>
      </w:r>
      <w:r w:rsidRPr="006C1CD7">
        <w:rPr>
          <w:lang w:val="fr-CA"/>
        </w:rPr>
        <w:t xml:space="preserve">pour contribuer à </w:t>
      </w:r>
      <w:r>
        <w:rPr>
          <w:lang w:val="fr-CA"/>
        </w:rPr>
        <w:t>la tenue de telles</w:t>
      </w:r>
      <w:r w:rsidRPr="006C1CD7">
        <w:rPr>
          <w:lang w:val="fr-CA"/>
        </w:rPr>
        <w:t xml:space="preserve"> négociation</w:t>
      </w:r>
      <w:r>
        <w:rPr>
          <w:lang w:val="fr-CA"/>
        </w:rPr>
        <w:t>s</w:t>
      </w:r>
      <w:r w:rsidRPr="006C1CD7">
        <w:rPr>
          <w:lang w:val="fr-CA"/>
        </w:rPr>
        <w:t>.</w:t>
      </w:r>
    </w:p>
    <w:p w:rsidR="00987371" w:rsidRPr="0053416A" w:rsidRDefault="00987371" w:rsidP="00795B2B">
      <w:pPr>
        <w:pStyle w:val="SCCNormalDoubleSpacing"/>
        <w:spacing w:after="480"/>
        <w:rPr>
          <w:lang w:val="fr-CA"/>
        </w:rPr>
      </w:pPr>
      <w:r w:rsidRPr="0053416A">
        <w:rPr>
          <w:lang w:val="fr-CA"/>
        </w:rPr>
        <w:tab/>
      </w:r>
      <w:r>
        <w:rPr>
          <w:lang w:val="fr-CA"/>
        </w:rPr>
        <w:t>Un modèle de négociation désigné par la loi</w:t>
      </w:r>
      <w:r w:rsidRPr="006C1CD7">
        <w:rPr>
          <w:i/>
          <w:iCs/>
          <w:lang w:val="fr-CA"/>
        </w:rPr>
        <w:t xml:space="preserve"> </w:t>
      </w:r>
      <w:r>
        <w:rPr>
          <w:iCs/>
          <w:lang w:val="fr-CA"/>
        </w:rPr>
        <w:t xml:space="preserve">peut garantir que </w:t>
      </w:r>
      <w:r w:rsidRPr="006C1CD7">
        <w:rPr>
          <w:lang w:val="fr-CA"/>
        </w:rPr>
        <w:t xml:space="preserve">les intérêts des employés </w:t>
      </w:r>
      <w:r>
        <w:rPr>
          <w:lang w:val="fr-CA"/>
        </w:rPr>
        <w:t>seront</w:t>
      </w:r>
      <w:r w:rsidRPr="006C1CD7">
        <w:rPr>
          <w:lang w:val="fr-CA"/>
        </w:rPr>
        <w:t xml:space="preserve"> efficacement défendus auprès de la direction même lorsqu</w:t>
      </w:r>
      <w:r>
        <w:rPr>
          <w:lang w:val="fr-CA"/>
        </w:rPr>
        <w:t xml:space="preserve">’ils </w:t>
      </w:r>
      <w:r w:rsidRPr="006C1CD7">
        <w:rPr>
          <w:lang w:val="fr-CA"/>
        </w:rPr>
        <w:t>ne choisissent pas leurs représentants individuels ou le système dans le cadre duquel cette représentation s’effectue</w:t>
      </w:r>
      <w:r w:rsidR="0053416A">
        <w:rPr>
          <w:lang w:val="fr-CA"/>
        </w:rPr>
        <w:t xml:space="preserve">.  </w:t>
      </w:r>
      <w:r w:rsidRPr="006C1CD7">
        <w:rPr>
          <w:lang w:val="fr-CA"/>
        </w:rPr>
        <w:t>L’alinéa</w:t>
      </w:r>
      <w:r w:rsidR="00795B2B">
        <w:rPr>
          <w:lang w:val="fr-CA"/>
        </w:rPr>
        <w:t xml:space="preserve"> </w:t>
      </w:r>
      <w:r w:rsidRPr="006C1CD7">
        <w:rPr>
          <w:lang w:val="fr-CA"/>
        </w:rPr>
        <w:t>2</w:t>
      </w:r>
      <w:r w:rsidRPr="006C1CD7">
        <w:rPr>
          <w:i/>
          <w:iCs/>
          <w:lang w:val="fr-CA"/>
        </w:rPr>
        <w:t>d</w:t>
      </w:r>
      <w:r w:rsidRPr="006C1CD7">
        <w:rPr>
          <w:lang w:val="fr-CA"/>
        </w:rPr>
        <w:t>) exige</w:t>
      </w:r>
      <w:r>
        <w:rPr>
          <w:lang w:val="fr-CA"/>
        </w:rPr>
        <w:t xml:space="preserve"> que </w:t>
      </w:r>
      <w:r w:rsidRPr="006C1CD7">
        <w:rPr>
          <w:lang w:val="fr-CA"/>
        </w:rPr>
        <w:t>le porte</w:t>
      </w:r>
      <w:r w:rsidR="00795B2B">
        <w:rPr>
          <w:lang w:val="fr-CA"/>
        </w:rPr>
        <w:t>-</w:t>
      </w:r>
      <w:r w:rsidRPr="006C1CD7">
        <w:rPr>
          <w:lang w:val="fr-CA"/>
        </w:rPr>
        <w:t xml:space="preserve">parole </w:t>
      </w:r>
      <w:r>
        <w:rPr>
          <w:lang w:val="fr-CA"/>
        </w:rPr>
        <w:t>qui</w:t>
      </w:r>
      <w:r w:rsidRPr="006C1CD7">
        <w:rPr>
          <w:lang w:val="fr-CA"/>
        </w:rPr>
        <w:t xml:space="preserve"> s’adresse à leur employeur</w:t>
      </w:r>
      <w:r>
        <w:rPr>
          <w:lang w:val="fr-CA"/>
        </w:rPr>
        <w:t xml:space="preserve"> en leur nom à tous</w:t>
      </w:r>
      <w:r w:rsidRPr="006C1CD7">
        <w:rPr>
          <w:lang w:val="fr-CA"/>
        </w:rPr>
        <w:t xml:space="preserve"> représente leurs intérêts</w:t>
      </w:r>
      <w:r w:rsidR="0053416A">
        <w:rPr>
          <w:lang w:val="fr-CA"/>
        </w:rPr>
        <w:t xml:space="preserve">.  </w:t>
      </w:r>
      <w:r w:rsidRPr="006C1CD7">
        <w:rPr>
          <w:lang w:val="fr-CA"/>
        </w:rPr>
        <w:t>À condition que le porte</w:t>
      </w:r>
      <w:r w:rsidR="00795B2B">
        <w:rPr>
          <w:lang w:val="fr-CA"/>
        </w:rPr>
        <w:t>-</w:t>
      </w:r>
      <w:r w:rsidRPr="006C1CD7">
        <w:rPr>
          <w:lang w:val="fr-CA"/>
        </w:rPr>
        <w:t>parole par l’entremise duquel les employés font des représentations auprès de leur employeur a</w:t>
      </w:r>
      <w:r>
        <w:rPr>
          <w:lang w:val="fr-CA"/>
        </w:rPr>
        <w:t>it</w:t>
      </w:r>
      <w:r w:rsidRPr="006C1CD7">
        <w:rPr>
          <w:lang w:val="fr-CA"/>
        </w:rPr>
        <w:t xml:space="preserve"> l’obligation de représenter l</w:t>
      </w:r>
      <w:r>
        <w:rPr>
          <w:lang w:val="fr-CA"/>
        </w:rPr>
        <w:t xml:space="preserve">es </w:t>
      </w:r>
      <w:r w:rsidRPr="006C1CD7">
        <w:rPr>
          <w:lang w:val="fr-CA"/>
        </w:rPr>
        <w:t>intérêt</w:t>
      </w:r>
      <w:r>
        <w:rPr>
          <w:lang w:val="fr-CA"/>
        </w:rPr>
        <w:t>s</w:t>
      </w:r>
      <w:r w:rsidRPr="006C1CD7">
        <w:rPr>
          <w:lang w:val="fr-CA"/>
        </w:rPr>
        <w:t xml:space="preserve"> de l’ensemble des employés et qu’il existe un moyen d’obliger ce porte</w:t>
      </w:r>
      <w:r w:rsidR="00795B2B">
        <w:rPr>
          <w:lang w:val="fr-CA"/>
        </w:rPr>
        <w:t>-</w:t>
      </w:r>
      <w:r w:rsidRPr="006C1CD7">
        <w:rPr>
          <w:lang w:val="fr-CA"/>
        </w:rPr>
        <w:t>parole à rendre des comptes, le droit constitutionnel des travailleurs de formuler des revendications collectives et de les voir prises en considération de bonne foi est respecté</w:t>
      </w:r>
      <w:r w:rsidR="0053416A">
        <w:rPr>
          <w:lang w:val="fr-CA"/>
        </w:rPr>
        <w:t xml:space="preserve">.  </w:t>
      </w:r>
      <w:r w:rsidRPr="006C1CD7">
        <w:rPr>
          <w:lang w:val="fr-CA"/>
        </w:rPr>
        <w:t xml:space="preserve">C’est </w:t>
      </w:r>
      <w:r>
        <w:rPr>
          <w:lang w:val="fr-CA"/>
        </w:rPr>
        <w:t>la représentativité qu’exige</w:t>
      </w:r>
      <w:r w:rsidRPr="006C1CD7">
        <w:rPr>
          <w:lang w:val="fr-CA"/>
        </w:rPr>
        <w:t xml:space="preserve"> l’arrêt </w:t>
      </w:r>
      <w:r w:rsidRPr="006C1CD7">
        <w:rPr>
          <w:i/>
          <w:lang w:val="fr-CA"/>
        </w:rPr>
        <w:t xml:space="preserve">Fraser </w:t>
      </w:r>
      <w:r w:rsidRPr="006C1CD7">
        <w:rPr>
          <w:lang w:val="fr-CA"/>
        </w:rPr>
        <w:t>et rien ne justifie d’imposer des contrain</w:t>
      </w:r>
      <w:r>
        <w:rPr>
          <w:lang w:val="fr-CA"/>
        </w:rPr>
        <w:t>tes constitutionnelles inutiles</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t xml:space="preserve">À l’instar de la liberté de choix, le </w:t>
      </w:r>
      <w:r w:rsidRPr="006C1CD7">
        <w:rPr>
          <w:lang w:val="fr-CA"/>
        </w:rPr>
        <w:t>principe d’indépendance</w:t>
      </w:r>
      <w:r>
        <w:rPr>
          <w:lang w:val="fr-CA"/>
        </w:rPr>
        <w:t xml:space="preserve"> </w:t>
      </w:r>
      <w:r w:rsidRPr="006C1CD7">
        <w:rPr>
          <w:lang w:val="fr-CA"/>
        </w:rPr>
        <w:t xml:space="preserve">ne </w:t>
      </w:r>
      <w:r>
        <w:rPr>
          <w:lang w:val="fr-CA"/>
        </w:rPr>
        <w:t xml:space="preserve">constitue </w:t>
      </w:r>
      <w:r w:rsidRPr="006C1CD7">
        <w:rPr>
          <w:lang w:val="fr-CA"/>
        </w:rPr>
        <w:t xml:space="preserve">pas un </w:t>
      </w:r>
      <w:r>
        <w:rPr>
          <w:lang w:val="fr-CA"/>
        </w:rPr>
        <w:t>élément</w:t>
      </w:r>
      <w:r w:rsidRPr="006C1CD7">
        <w:rPr>
          <w:lang w:val="fr-CA"/>
        </w:rPr>
        <w:t xml:space="preserve"> inhérent </w:t>
      </w:r>
      <w:r>
        <w:rPr>
          <w:lang w:val="fr-CA"/>
        </w:rPr>
        <w:t xml:space="preserve">à </w:t>
      </w:r>
      <w:r w:rsidRPr="006C1CD7">
        <w:rPr>
          <w:lang w:val="fr-CA"/>
        </w:rPr>
        <w:t>la négociation collective</w:t>
      </w:r>
      <w:r w:rsidR="0053416A">
        <w:rPr>
          <w:lang w:val="fr-CA"/>
        </w:rPr>
        <w:t xml:space="preserve">.  </w:t>
      </w:r>
      <w:r w:rsidRPr="0053416A">
        <w:rPr>
          <w:lang w:val="fr-CA"/>
        </w:rPr>
        <w:t xml:space="preserve">Lorsque l’indépendance d’une </w:t>
      </w:r>
      <w:r w:rsidRPr="0053416A">
        <w:rPr>
          <w:lang w:val="fr-CA"/>
        </w:rPr>
        <w:lastRenderedPageBreak/>
        <w:t xml:space="preserve">association d’employés prescrite par la loi est mise en doute, la vraie question n’est pas celle de savoir si </w:t>
      </w:r>
      <w:r w:rsidR="002144FF">
        <w:rPr>
          <w:lang w:val="fr-CA"/>
        </w:rPr>
        <w:t>l’</w:t>
      </w:r>
      <w:r w:rsidRPr="006C1CD7">
        <w:rPr>
          <w:lang w:val="fr-CA"/>
        </w:rPr>
        <w:t xml:space="preserve">association ou </w:t>
      </w:r>
      <w:r w:rsidR="00427ED2">
        <w:rPr>
          <w:lang w:val="fr-CA"/>
        </w:rPr>
        <w:t xml:space="preserve">le </w:t>
      </w:r>
      <w:r w:rsidRPr="006C1CD7">
        <w:rPr>
          <w:lang w:val="fr-CA"/>
        </w:rPr>
        <w:t xml:space="preserve">processus </w:t>
      </w:r>
      <w:r>
        <w:rPr>
          <w:lang w:val="fr-CA"/>
        </w:rPr>
        <w:t>est indépendant, en ce sens qu’il ou elle</w:t>
      </w:r>
      <w:r w:rsidRPr="006C1CD7">
        <w:rPr>
          <w:lang w:val="fr-CA"/>
        </w:rPr>
        <w:t xml:space="preserve"> </w:t>
      </w:r>
      <w:r>
        <w:rPr>
          <w:lang w:val="fr-CA"/>
        </w:rPr>
        <w:t>dissocie</w:t>
      </w:r>
      <w:r w:rsidRPr="006C1CD7">
        <w:rPr>
          <w:lang w:val="fr-CA"/>
        </w:rPr>
        <w:t xml:space="preserve"> les employés </w:t>
      </w:r>
      <w:r>
        <w:rPr>
          <w:lang w:val="fr-CA"/>
        </w:rPr>
        <w:t>de</w:t>
      </w:r>
      <w:r w:rsidRPr="006C1CD7">
        <w:rPr>
          <w:lang w:val="fr-CA"/>
        </w:rPr>
        <w:t xml:space="preserve"> la direction, mais </w:t>
      </w:r>
      <w:r>
        <w:rPr>
          <w:lang w:val="fr-CA"/>
        </w:rPr>
        <w:t xml:space="preserve">plutôt celle de savoir si cette association ou ce processus </w:t>
      </w:r>
      <w:r w:rsidRPr="006C1CD7">
        <w:rPr>
          <w:lang w:val="fr-CA"/>
        </w:rPr>
        <w:t xml:space="preserve">empêche </w:t>
      </w:r>
      <w:r>
        <w:rPr>
          <w:lang w:val="fr-CA"/>
        </w:rPr>
        <w:t>d</w:t>
      </w:r>
      <w:r w:rsidRPr="006C1CD7">
        <w:rPr>
          <w:lang w:val="fr-CA"/>
        </w:rPr>
        <w:t xml:space="preserve">es employés, comme les membres de la GRC, de s’associer en vue de réaliser leurs objectifs collectifs </w:t>
      </w:r>
      <w:r>
        <w:rPr>
          <w:lang w:val="fr-CA"/>
        </w:rPr>
        <w:t>relatifs</w:t>
      </w:r>
      <w:r w:rsidRPr="006C1CD7">
        <w:rPr>
          <w:lang w:val="fr-CA"/>
        </w:rPr>
        <w:t xml:space="preserve"> au travail</w:t>
      </w:r>
      <w:r w:rsidR="0053416A">
        <w:rPr>
          <w:lang w:val="fr-CA"/>
        </w:rPr>
        <w:t xml:space="preserve">.  </w:t>
      </w:r>
      <w:r w:rsidR="00963CCD">
        <w:rPr>
          <w:lang w:val="fr-CA"/>
        </w:rPr>
        <w:t xml:space="preserve">Une fois de plus, </w:t>
      </w:r>
      <w:r w:rsidRPr="006C1CD7">
        <w:rPr>
          <w:lang w:val="fr-CA"/>
        </w:rPr>
        <w:t xml:space="preserve">la pierre angulaire, c’est la représentativité. </w:t>
      </w:r>
      <w:r w:rsidRPr="0053416A">
        <w:rPr>
          <w:lang w:val="fr-CA"/>
        </w:rPr>
        <w:t xml:space="preserve"> </w:t>
      </w:r>
      <w:r w:rsidRPr="006C1CD7">
        <w:rPr>
          <w:lang w:val="fr-CA"/>
        </w:rPr>
        <w:t xml:space="preserve">Dès lors que les employés disposent de recours pour s’assurer que leur point de vue est relayé à la direction et que leurs représentants travaillent dans leur intérêt, le processus </w:t>
      </w:r>
      <w:r>
        <w:rPr>
          <w:lang w:val="fr-CA"/>
        </w:rPr>
        <w:t xml:space="preserve">de relations de travail </w:t>
      </w:r>
      <w:r w:rsidRPr="006C1CD7">
        <w:rPr>
          <w:lang w:val="fr-CA"/>
        </w:rPr>
        <w:t>n</w:t>
      </w:r>
      <w:r>
        <w:rPr>
          <w:lang w:val="fr-CA"/>
        </w:rPr>
        <w:t xml:space="preserve">’est </w:t>
      </w:r>
      <w:r w:rsidRPr="006C1CD7">
        <w:rPr>
          <w:lang w:val="fr-CA"/>
        </w:rPr>
        <w:t xml:space="preserve">pas dominé par la direction et les employés disposent de moyens leur permettant de travailler en vue de réaliser leurs objectifs collectifs </w:t>
      </w:r>
      <w:r>
        <w:rPr>
          <w:lang w:val="fr-CA"/>
        </w:rPr>
        <w:t>relatifs</w:t>
      </w:r>
      <w:r w:rsidRPr="006C1CD7">
        <w:rPr>
          <w:lang w:val="fr-CA"/>
        </w:rPr>
        <w:t xml:space="preserve"> au travail</w:t>
      </w:r>
      <w:r w:rsidR="0053416A">
        <w:rPr>
          <w:lang w:val="fr-CA"/>
        </w:rPr>
        <w:t xml:space="preserve">.  </w:t>
      </w:r>
      <w:r>
        <w:rPr>
          <w:lang w:val="fr-CA"/>
        </w:rPr>
        <w:t xml:space="preserve">Le représentant </w:t>
      </w:r>
      <w:r w:rsidRPr="006C1CD7">
        <w:rPr>
          <w:lang w:val="fr-CA"/>
        </w:rPr>
        <w:t>qui restreint le cadre de son mandat en fonction de ce que lui permet la direction ou qui fait passer ses intérêts professionnels avant ceux de l’ensemble des employés devra répondre</w:t>
      </w:r>
      <w:r>
        <w:rPr>
          <w:lang w:val="fr-CA"/>
        </w:rPr>
        <w:t xml:space="preserve"> de ses gestes</w:t>
      </w:r>
      <w:r w:rsidRPr="006C1CD7">
        <w:rPr>
          <w:lang w:val="fr-CA"/>
        </w:rPr>
        <w:t>.</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r>
      <w:r w:rsidRPr="006C1CD7">
        <w:rPr>
          <w:lang w:val="fr-CA"/>
        </w:rPr>
        <w:t xml:space="preserve">Dans le cas qui nous occupe, </w:t>
      </w:r>
      <w:r>
        <w:rPr>
          <w:lang w:val="fr-CA"/>
        </w:rPr>
        <w:t>le contexte</w:t>
      </w:r>
      <w:r w:rsidRPr="006C1CD7">
        <w:rPr>
          <w:lang w:val="fr-CA"/>
        </w:rPr>
        <w:t xml:space="preserve"> d’un corps policier national a conduit </w:t>
      </w:r>
      <w:r>
        <w:rPr>
          <w:lang w:val="fr-CA"/>
        </w:rPr>
        <w:t>à l’adoption</w:t>
      </w:r>
      <w:r w:rsidRPr="006C1CD7">
        <w:rPr>
          <w:lang w:val="fr-CA"/>
        </w:rPr>
        <w:t xml:space="preserve"> d’un modèle de relations de travail </w:t>
      </w:r>
      <w:r>
        <w:rPr>
          <w:lang w:val="fr-CA"/>
        </w:rPr>
        <w:t>créé par la loi et axé sur la collaboration</w:t>
      </w:r>
      <w:r w:rsidRPr="0053416A">
        <w:rPr>
          <w:lang w:val="fr-CA"/>
        </w:rPr>
        <w:t xml:space="preserve">, le PRRF.  </w:t>
      </w:r>
      <w:r>
        <w:rPr>
          <w:lang w:val="fr-CA"/>
        </w:rPr>
        <w:t>La norme qu’il convient d’appliquer pour examiner le</w:t>
      </w:r>
      <w:r w:rsidRPr="006C1CD7">
        <w:rPr>
          <w:lang w:val="fr-CA"/>
        </w:rPr>
        <w:t xml:space="preserve"> PRRF </w:t>
      </w:r>
      <w:r>
        <w:rPr>
          <w:lang w:val="fr-CA"/>
        </w:rPr>
        <w:t>est celle de savoir si le processus mis en place</w:t>
      </w:r>
      <w:r w:rsidRPr="006C1CD7">
        <w:rPr>
          <w:lang w:val="fr-CA"/>
        </w:rPr>
        <w:t xml:space="preserve"> rend </w:t>
      </w:r>
      <w:r w:rsidR="0020669B">
        <w:rPr>
          <w:lang w:val="fr-CA"/>
        </w:rPr>
        <w:t xml:space="preserve">effectivement </w:t>
      </w:r>
      <w:r w:rsidRPr="006C1CD7">
        <w:rPr>
          <w:lang w:val="fr-CA"/>
        </w:rPr>
        <w:t>impossible</w:t>
      </w:r>
      <w:r>
        <w:rPr>
          <w:lang w:val="fr-CA"/>
        </w:rPr>
        <w:t xml:space="preserve"> la tenue d’</w:t>
      </w:r>
      <w:r w:rsidRPr="006C1CD7">
        <w:rPr>
          <w:lang w:val="fr-CA"/>
        </w:rPr>
        <w:t>une véritable négociation collective</w:t>
      </w:r>
      <w:r w:rsidR="0053416A">
        <w:rPr>
          <w:lang w:val="fr-CA"/>
        </w:rPr>
        <w:t xml:space="preserve">.  </w:t>
      </w:r>
      <w:r>
        <w:rPr>
          <w:lang w:val="fr-CA"/>
        </w:rPr>
        <w:t>Qu’on applique le test</w:t>
      </w:r>
      <w:r w:rsidRPr="006C1CD7">
        <w:rPr>
          <w:lang w:val="fr-CA"/>
        </w:rPr>
        <w:t xml:space="preserve"> de l’impossibilité </w:t>
      </w:r>
      <w:r w:rsidR="0020669B">
        <w:rPr>
          <w:lang w:val="fr-CA"/>
        </w:rPr>
        <w:t>effective</w:t>
      </w:r>
      <w:r w:rsidRPr="006C1CD7">
        <w:rPr>
          <w:lang w:val="fr-CA"/>
        </w:rPr>
        <w:t xml:space="preserve"> prévu par l’arrêt </w:t>
      </w:r>
      <w:r w:rsidRPr="006C1CD7">
        <w:rPr>
          <w:i/>
          <w:iCs/>
          <w:lang w:val="fr-CA"/>
        </w:rPr>
        <w:t xml:space="preserve">Fraser </w:t>
      </w:r>
      <w:r w:rsidRPr="006C1CD7">
        <w:rPr>
          <w:lang w:val="fr-CA"/>
        </w:rPr>
        <w:t xml:space="preserve">ou le nouveau </w:t>
      </w:r>
      <w:r>
        <w:rPr>
          <w:lang w:val="fr-CA"/>
        </w:rPr>
        <w:t>test</w:t>
      </w:r>
      <w:r w:rsidRPr="006C1CD7">
        <w:rPr>
          <w:lang w:val="fr-CA"/>
        </w:rPr>
        <w:t xml:space="preserve"> de l’entrave substantielle proposé par </w:t>
      </w:r>
      <w:r>
        <w:rPr>
          <w:lang w:val="fr-CA"/>
        </w:rPr>
        <w:t>les juges majoritaires</w:t>
      </w:r>
      <w:r w:rsidRPr="006C1CD7">
        <w:rPr>
          <w:lang w:val="fr-CA"/>
        </w:rPr>
        <w:t>, il est évident que le PRRF ne porte pas atteinte</w:t>
      </w:r>
      <w:r>
        <w:rPr>
          <w:lang w:val="fr-CA"/>
        </w:rPr>
        <w:t xml:space="preserve"> au droit protégé par</w:t>
      </w:r>
      <w:r w:rsidRPr="006C1CD7">
        <w:rPr>
          <w:lang w:val="fr-CA"/>
        </w:rPr>
        <w:t xml:space="preserve"> l’</w:t>
      </w:r>
      <w:r w:rsidR="0053416A">
        <w:rPr>
          <w:lang w:val="fr-CA"/>
        </w:rPr>
        <w:t>al.</w:t>
      </w:r>
      <w:r w:rsidR="00795B2B">
        <w:rPr>
          <w:lang w:val="fr-CA"/>
        </w:rPr>
        <w:t xml:space="preserve"> </w:t>
      </w:r>
      <w:r w:rsidRPr="006C1CD7">
        <w:rPr>
          <w:lang w:val="fr-CA"/>
        </w:rPr>
        <w:t>2</w:t>
      </w:r>
      <w:r w:rsidRPr="006C1CD7">
        <w:rPr>
          <w:i/>
          <w:iCs/>
          <w:lang w:val="fr-CA"/>
        </w:rPr>
        <w:t>d</w:t>
      </w:r>
      <w:r w:rsidRPr="006C1CD7">
        <w:rPr>
          <w:lang w:val="fr-CA"/>
        </w:rPr>
        <w:t xml:space="preserve">) de la </w:t>
      </w:r>
      <w:r w:rsidRPr="006C1CD7">
        <w:rPr>
          <w:i/>
          <w:iCs/>
          <w:lang w:val="fr-CA"/>
        </w:rPr>
        <w:t>Charte</w:t>
      </w:r>
      <w:r w:rsidRPr="006C1CD7">
        <w:rPr>
          <w:lang w:val="fr-CA"/>
        </w:rPr>
        <w:t>.</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r>
      <w:r w:rsidRPr="00797CBF">
        <w:rPr>
          <w:lang w:val="fr-CA"/>
        </w:rPr>
        <w:t xml:space="preserve">Le fait que le législateur ait retenu un modèle axé sur la collaboration comme le PRRF pour </w:t>
      </w:r>
      <w:r w:rsidRPr="0020669B">
        <w:rPr>
          <w:lang w:val="fr-CA"/>
        </w:rPr>
        <w:t>favoriser les relations employeur</w:t>
      </w:r>
      <w:r w:rsidR="00795B2B">
        <w:rPr>
          <w:lang w:val="fr-CA"/>
        </w:rPr>
        <w:t>-</w:t>
      </w:r>
      <w:r w:rsidRPr="0020669B">
        <w:rPr>
          <w:lang w:val="fr-CA"/>
        </w:rPr>
        <w:t xml:space="preserve">employés dans l’intérêt du </w:t>
      </w:r>
      <w:r w:rsidRPr="0020669B">
        <w:rPr>
          <w:lang w:val="fr-CA"/>
        </w:rPr>
        <w:lastRenderedPageBreak/>
        <w:t>corps policier national q</w:t>
      </w:r>
      <w:r w:rsidRPr="00797CBF">
        <w:rPr>
          <w:lang w:val="fr-CA"/>
        </w:rPr>
        <w:t>ue constitue la GRC ne signifie pas que</w:t>
      </w:r>
      <w:r>
        <w:rPr>
          <w:lang w:val="fr-CA"/>
        </w:rPr>
        <w:t>,</w:t>
      </w:r>
      <w:r w:rsidRPr="00797CBF">
        <w:rPr>
          <w:lang w:val="fr-CA"/>
        </w:rPr>
        <w:t xml:space="preserve"> </w:t>
      </w:r>
      <w:r>
        <w:rPr>
          <w:lang w:val="fr-CA"/>
        </w:rPr>
        <w:t xml:space="preserve">du fait de l’adoption de </w:t>
      </w:r>
      <w:r w:rsidRPr="00797CBF">
        <w:rPr>
          <w:lang w:val="fr-CA"/>
        </w:rPr>
        <w:t>ce modèle</w:t>
      </w:r>
      <w:r>
        <w:rPr>
          <w:lang w:val="fr-CA"/>
        </w:rPr>
        <w:t>,</w:t>
      </w:r>
      <w:r w:rsidRPr="00797CBF">
        <w:rPr>
          <w:lang w:val="fr-CA"/>
        </w:rPr>
        <w:t xml:space="preserve"> </w:t>
      </w:r>
      <w:r>
        <w:rPr>
          <w:lang w:val="fr-CA"/>
        </w:rPr>
        <w:t xml:space="preserve">il est </w:t>
      </w:r>
      <w:r w:rsidR="0020669B">
        <w:rPr>
          <w:lang w:val="fr-CA"/>
        </w:rPr>
        <w:t xml:space="preserve">effectivement </w:t>
      </w:r>
      <w:r>
        <w:rPr>
          <w:lang w:val="fr-CA"/>
        </w:rPr>
        <w:t xml:space="preserve">devenu </w:t>
      </w:r>
      <w:r w:rsidRPr="00797CBF">
        <w:rPr>
          <w:lang w:val="fr-CA"/>
        </w:rPr>
        <w:t xml:space="preserve">impossible pour les membres de la GRC </w:t>
      </w:r>
      <w:r>
        <w:rPr>
          <w:lang w:val="fr-CA"/>
        </w:rPr>
        <w:t xml:space="preserve">de réaliser </w:t>
      </w:r>
      <w:r w:rsidRPr="00797CBF">
        <w:rPr>
          <w:lang w:val="fr-CA"/>
        </w:rPr>
        <w:t>leurs objectifs collectifs relatifs au travail</w:t>
      </w:r>
      <w:r w:rsidR="0053416A">
        <w:rPr>
          <w:lang w:val="fr-CA"/>
        </w:rPr>
        <w:t xml:space="preserve">.  </w:t>
      </w:r>
      <w:r>
        <w:rPr>
          <w:lang w:val="fr-CA"/>
        </w:rPr>
        <w:t>Certes, l</w:t>
      </w:r>
      <w:r w:rsidRPr="006C1CD7">
        <w:rPr>
          <w:lang w:val="fr-CA"/>
        </w:rPr>
        <w:t>es membres de la GRC n’ont pas choisi leur cadre associatif pour les besoins de la négociation</w:t>
      </w:r>
      <w:r w:rsidRPr="0053416A">
        <w:rPr>
          <w:lang w:val="fr-CA"/>
        </w:rPr>
        <w:t xml:space="preserve">, mais ils sont en mesure d’élire </w:t>
      </w:r>
      <w:r w:rsidRPr="006C1CD7">
        <w:rPr>
          <w:lang w:val="fr-CA"/>
        </w:rPr>
        <w:t>démocratiquement leurs représentants qui</w:t>
      </w:r>
      <w:r>
        <w:rPr>
          <w:lang w:val="fr-CA"/>
        </w:rPr>
        <w:t xml:space="preserve">, </w:t>
      </w:r>
      <w:r w:rsidRPr="00B703ED">
        <w:rPr>
          <w:lang w:val="fr-CA"/>
        </w:rPr>
        <w:t>du fait de la loi</w:t>
      </w:r>
      <w:r>
        <w:rPr>
          <w:lang w:val="fr-CA"/>
        </w:rPr>
        <w:t>,</w:t>
      </w:r>
      <w:r w:rsidRPr="006C1CD7">
        <w:rPr>
          <w:lang w:val="fr-CA"/>
        </w:rPr>
        <w:t xml:space="preserve"> sont tenus </w:t>
      </w:r>
      <w:r w:rsidRPr="00B703ED">
        <w:rPr>
          <w:lang w:val="fr-CA"/>
        </w:rPr>
        <w:t>de</w:t>
      </w:r>
      <w:r w:rsidRPr="006C1CD7">
        <w:rPr>
          <w:lang w:val="fr-CA"/>
        </w:rPr>
        <w:t xml:space="preserve"> défendre les intérêts des employés</w:t>
      </w:r>
      <w:r w:rsidR="0053416A">
        <w:rPr>
          <w:lang w:val="fr-CA"/>
        </w:rPr>
        <w:t xml:space="preserve">.  </w:t>
      </w:r>
      <w:r>
        <w:rPr>
          <w:lang w:val="fr-CA"/>
        </w:rPr>
        <w:t>Ils peuvent d’ailleurs</w:t>
      </w:r>
      <w:r w:rsidRPr="006C1CD7">
        <w:rPr>
          <w:lang w:val="fr-CA"/>
        </w:rPr>
        <w:t xml:space="preserve"> être remplacés s’ils manquent à </w:t>
      </w:r>
      <w:r>
        <w:rPr>
          <w:lang w:val="fr-CA"/>
        </w:rPr>
        <w:t>ce</w:t>
      </w:r>
      <w:r w:rsidRPr="006C1CD7">
        <w:rPr>
          <w:lang w:val="fr-CA"/>
        </w:rPr>
        <w:t xml:space="preserve"> devoir</w:t>
      </w:r>
      <w:r w:rsidR="0053416A">
        <w:rPr>
          <w:lang w:val="fr-CA"/>
        </w:rPr>
        <w:t xml:space="preserve">.  </w:t>
      </w:r>
      <w:r w:rsidRPr="006C1CD7">
        <w:rPr>
          <w:lang w:val="fr-CA"/>
        </w:rPr>
        <w:t xml:space="preserve">La direction a </w:t>
      </w:r>
      <w:r>
        <w:rPr>
          <w:lang w:val="fr-CA"/>
        </w:rPr>
        <w:t>également</w:t>
      </w:r>
      <w:r w:rsidRPr="006C1CD7">
        <w:rPr>
          <w:lang w:val="fr-CA"/>
        </w:rPr>
        <w:t xml:space="preserve"> l’obligation constitutionnelle de tenir compte de bonne foi des observations présentées au nom des </w:t>
      </w:r>
      <w:r>
        <w:rPr>
          <w:lang w:val="fr-CA"/>
        </w:rPr>
        <w:t>membres de la GRC</w:t>
      </w:r>
      <w:r w:rsidR="0053416A">
        <w:rPr>
          <w:lang w:val="fr-CA"/>
        </w:rPr>
        <w:t xml:space="preserve">.  </w:t>
      </w:r>
      <w:r w:rsidRPr="0053416A">
        <w:rPr>
          <w:lang w:val="fr-CA"/>
        </w:rPr>
        <w:t xml:space="preserve">Bref, </w:t>
      </w:r>
      <w:r>
        <w:rPr>
          <w:lang w:val="fr-CA"/>
        </w:rPr>
        <w:t>s</w:t>
      </w:r>
      <w:r w:rsidRPr="006C1CD7">
        <w:rPr>
          <w:lang w:val="fr-CA"/>
        </w:rPr>
        <w:t xml:space="preserve">uivant la preuve soumise à la Cour, les </w:t>
      </w:r>
      <w:r>
        <w:rPr>
          <w:lang w:val="fr-CA"/>
        </w:rPr>
        <w:t>représentants des relations fonctionnelles</w:t>
      </w:r>
      <w:r w:rsidRPr="006C1CD7">
        <w:rPr>
          <w:lang w:val="fr-CA"/>
        </w:rPr>
        <w:t xml:space="preserve"> défendent </w:t>
      </w:r>
      <w:r>
        <w:rPr>
          <w:lang w:val="fr-CA"/>
        </w:rPr>
        <w:t>équitablement l</w:t>
      </w:r>
      <w:r w:rsidRPr="006C1CD7">
        <w:rPr>
          <w:lang w:val="fr-CA"/>
        </w:rPr>
        <w:t>es intérêts des employés auprès de la direction</w:t>
      </w:r>
      <w:r>
        <w:rPr>
          <w:lang w:val="fr-CA"/>
        </w:rPr>
        <w:t xml:space="preserve"> de la GRC;</w:t>
      </w:r>
      <w:r w:rsidRPr="006C1CD7">
        <w:rPr>
          <w:lang w:val="fr-CA"/>
        </w:rPr>
        <w:t xml:space="preserve"> le </w:t>
      </w:r>
      <w:r>
        <w:rPr>
          <w:lang w:val="fr-CA"/>
        </w:rPr>
        <w:t>PRRF</w:t>
      </w:r>
      <w:r w:rsidRPr="006C1CD7">
        <w:rPr>
          <w:lang w:val="fr-CA"/>
        </w:rPr>
        <w:t xml:space="preserve"> respecte donc l’exigence constitutionnelle de représentativité exigée selon l’interprétation que </w:t>
      </w:r>
      <w:r>
        <w:rPr>
          <w:lang w:val="fr-CA"/>
        </w:rPr>
        <w:t xml:space="preserve">la Cour a donnée à </w:t>
      </w:r>
      <w:r w:rsidRPr="006C1CD7">
        <w:rPr>
          <w:lang w:val="fr-CA"/>
        </w:rPr>
        <w:t>l’</w:t>
      </w:r>
      <w:r w:rsidR="0053416A">
        <w:rPr>
          <w:lang w:val="fr-CA"/>
        </w:rPr>
        <w:t>al.</w:t>
      </w:r>
      <w:r w:rsidR="00795B2B">
        <w:rPr>
          <w:lang w:val="fr-CA"/>
        </w:rPr>
        <w:t xml:space="preserve"> </w:t>
      </w:r>
      <w:r w:rsidRPr="006C1CD7">
        <w:rPr>
          <w:lang w:val="fr-CA"/>
        </w:rPr>
        <w:t>2</w:t>
      </w:r>
      <w:r w:rsidRPr="006C1CD7">
        <w:rPr>
          <w:i/>
          <w:lang w:val="fr-CA"/>
        </w:rPr>
        <w:t>d</w:t>
      </w:r>
      <w:r w:rsidRPr="006C1CD7">
        <w:rPr>
          <w:lang w:val="fr-CA"/>
        </w:rPr>
        <w:t>).</w:t>
      </w:r>
      <w:r w:rsidRPr="0053416A">
        <w:rPr>
          <w:lang w:val="fr-CA"/>
        </w:rPr>
        <w:t xml:space="preserve"> </w:t>
      </w:r>
    </w:p>
    <w:p w:rsidR="00987371" w:rsidRPr="0053416A" w:rsidRDefault="00987371" w:rsidP="00795B2B">
      <w:pPr>
        <w:pStyle w:val="SCCNormalDoubleSpacing"/>
        <w:spacing w:after="480"/>
        <w:rPr>
          <w:u w:val="single"/>
          <w:lang w:val="fr-CA"/>
        </w:rPr>
      </w:pPr>
      <w:r w:rsidRPr="0053416A">
        <w:rPr>
          <w:lang w:val="fr-CA"/>
        </w:rPr>
        <w:tab/>
      </w:r>
      <w:r w:rsidRPr="006C1CD7">
        <w:rPr>
          <w:lang w:val="fr-FR"/>
        </w:rPr>
        <w:t xml:space="preserve">L’exclusion des membres de la GRC du champ d’application de la </w:t>
      </w:r>
      <w:r w:rsidRPr="006C1CD7">
        <w:rPr>
          <w:i/>
          <w:lang w:val="fr-FR"/>
        </w:rPr>
        <w:t>LRTFP</w:t>
      </w:r>
      <w:r w:rsidRPr="006C1CD7">
        <w:rPr>
          <w:lang w:val="fr-FR"/>
        </w:rPr>
        <w:t xml:space="preserve"> </w:t>
      </w:r>
      <w:r w:rsidR="007B57C5">
        <w:rPr>
          <w:lang w:val="fr-FR"/>
        </w:rPr>
        <w:t xml:space="preserve">actuelle </w:t>
      </w:r>
      <w:r w:rsidRPr="006C1CD7">
        <w:rPr>
          <w:lang w:val="fr-FR"/>
        </w:rPr>
        <w:t>n’a pas pour objet de nuire à la négociation collective</w:t>
      </w:r>
      <w:r>
        <w:rPr>
          <w:lang w:val="fr-FR"/>
        </w:rPr>
        <w:t>;</w:t>
      </w:r>
      <w:r w:rsidRPr="006C1CD7">
        <w:rPr>
          <w:lang w:val="fr-FR"/>
        </w:rPr>
        <w:t xml:space="preserve"> elle est </w:t>
      </w:r>
      <w:r>
        <w:rPr>
          <w:lang w:val="fr-FR"/>
        </w:rPr>
        <w:t xml:space="preserve">plutôt </w:t>
      </w:r>
      <w:r w:rsidRPr="0053416A">
        <w:rPr>
          <w:lang w:val="fr-CA"/>
        </w:rPr>
        <w:t>motivée</w:t>
      </w:r>
      <w:r w:rsidRPr="006C1CD7">
        <w:rPr>
          <w:lang w:val="fr-FR"/>
        </w:rPr>
        <w:t xml:space="preserve"> par la crainte légitime que le modèle prévu par cette loi ne </w:t>
      </w:r>
      <w:r w:rsidRPr="0020669B">
        <w:rPr>
          <w:lang w:val="fr-FR"/>
        </w:rPr>
        <w:t>convienne pas au</w:t>
      </w:r>
      <w:r w:rsidRPr="006C1CD7">
        <w:rPr>
          <w:lang w:val="fr-FR"/>
        </w:rPr>
        <w:t xml:space="preserve"> service de police national que constitue la GRC.</w:t>
      </w:r>
      <w:r w:rsidRPr="0053416A">
        <w:rPr>
          <w:lang w:val="fr-CA"/>
        </w:rPr>
        <w:t xml:space="preserve">  </w:t>
      </w:r>
      <w:r w:rsidRPr="006C1CD7">
        <w:rPr>
          <w:lang w:val="fr-CA"/>
        </w:rPr>
        <w:t>L’évolution de l’interprétation juridique de l’</w:t>
      </w:r>
      <w:r w:rsidR="0053416A">
        <w:rPr>
          <w:lang w:val="fr-CA"/>
        </w:rPr>
        <w:t>al.</w:t>
      </w:r>
      <w:r w:rsidR="00795B2B">
        <w:rPr>
          <w:lang w:val="fr-CA"/>
        </w:rPr>
        <w:t xml:space="preserve"> </w:t>
      </w:r>
      <w:r w:rsidRPr="006C1CD7">
        <w:rPr>
          <w:lang w:val="fr-CA"/>
        </w:rPr>
        <w:t>2</w:t>
      </w:r>
      <w:r w:rsidRPr="006C1CD7">
        <w:rPr>
          <w:i/>
          <w:lang w:val="fr-CA"/>
        </w:rPr>
        <w:t>d</w:t>
      </w:r>
      <w:r w:rsidRPr="006C1CD7">
        <w:rPr>
          <w:lang w:val="fr-CA"/>
        </w:rPr>
        <w:t xml:space="preserve">) </w:t>
      </w:r>
      <w:r>
        <w:rPr>
          <w:lang w:val="fr-CA"/>
        </w:rPr>
        <w:t xml:space="preserve">depuis l’arrêt </w:t>
      </w:r>
      <w:r w:rsidRPr="000C3BAB">
        <w:rPr>
          <w:i/>
          <w:lang w:val="fr-CA"/>
        </w:rPr>
        <w:t>Delisle</w:t>
      </w:r>
      <w:r>
        <w:rPr>
          <w:lang w:val="fr-CA"/>
        </w:rPr>
        <w:t xml:space="preserve"> </w:t>
      </w:r>
      <w:r w:rsidRPr="006C1CD7">
        <w:rPr>
          <w:lang w:val="fr-CA"/>
        </w:rPr>
        <w:t xml:space="preserve">n’a rien à voir avec la conclusion tirée par </w:t>
      </w:r>
      <w:r>
        <w:rPr>
          <w:lang w:val="fr-CA"/>
        </w:rPr>
        <w:t>les juges majoritaires</w:t>
      </w:r>
      <w:r w:rsidRPr="006C1CD7">
        <w:rPr>
          <w:lang w:val="fr-CA"/>
        </w:rPr>
        <w:t xml:space="preserve"> dans </w:t>
      </w:r>
      <w:r>
        <w:rPr>
          <w:lang w:val="fr-CA"/>
        </w:rPr>
        <w:t xml:space="preserve">cet </w:t>
      </w:r>
      <w:r w:rsidRPr="006C1CD7">
        <w:rPr>
          <w:lang w:val="fr-CA"/>
        </w:rPr>
        <w:t xml:space="preserve">arrêt en ce qui concerne l’objet de </w:t>
      </w:r>
      <w:r>
        <w:rPr>
          <w:lang w:val="fr-CA"/>
        </w:rPr>
        <w:t xml:space="preserve">l’exclusion des membres de la GRC du champ d’application de </w:t>
      </w:r>
      <w:r w:rsidRPr="006C1CD7">
        <w:rPr>
          <w:lang w:val="fr-CA"/>
        </w:rPr>
        <w:t xml:space="preserve">la </w:t>
      </w:r>
      <w:r>
        <w:rPr>
          <w:lang w:val="fr-CA"/>
        </w:rPr>
        <w:t xml:space="preserve">première </w:t>
      </w:r>
      <w:r w:rsidRPr="00FA3841">
        <w:rPr>
          <w:i/>
          <w:lang w:val="fr-CA"/>
        </w:rPr>
        <w:t>LRTF</w:t>
      </w:r>
      <w:r w:rsidR="0053416A">
        <w:rPr>
          <w:i/>
          <w:lang w:val="fr-CA"/>
        </w:rPr>
        <w:t>P</w:t>
      </w:r>
      <w:r w:rsidR="0053416A" w:rsidRPr="0091152D">
        <w:rPr>
          <w:lang w:val="fr-CA"/>
        </w:rPr>
        <w:t>.</w:t>
      </w:r>
      <w:r w:rsidR="0053416A">
        <w:rPr>
          <w:i/>
          <w:lang w:val="fr-CA"/>
        </w:rPr>
        <w:t xml:space="preserve">  </w:t>
      </w:r>
      <w:r>
        <w:rPr>
          <w:lang w:val="fr-CA"/>
        </w:rPr>
        <w:t xml:space="preserve">On </w:t>
      </w:r>
      <w:r w:rsidRPr="006C1CD7">
        <w:rPr>
          <w:lang w:val="fr-CA"/>
        </w:rPr>
        <w:t>ne peut donc pas s’en servir pour revenir sur des questions qui ont été tranchées dans</w:t>
      </w:r>
      <w:r>
        <w:rPr>
          <w:lang w:val="fr-CA"/>
        </w:rPr>
        <w:t xml:space="preserve"> cet </w:t>
      </w:r>
      <w:r w:rsidRPr="006C1CD7">
        <w:rPr>
          <w:lang w:val="fr-CA"/>
        </w:rPr>
        <w:t>arrêt</w:t>
      </w:r>
      <w:r w:rsidR="0053416A">
        <w:rPr>
          <w:lang w:val="fr-CA"/>
        </w:rPr>
        <w:t xml:space="preserve">.  </w:t>
      </w:r>
      <w:r>
        <w:rPr>
          <w:lang w:val="fr-CA"/>
        </w:rPr>
        <w:t xml:space="preserve">Certes, </w:t>
      </w:r>
      <w:r w:rsidRPr="006C1CD7">
        <w:rPr>
          <w:lang w:val="fr-CA"/>
        </w:rPr>
        <w:t>l’arrêt</w:t>
      </w:r>
      <w:r w:rsidRPr="006C1CD7">
        <w:rPr>
          <w:i/>
          <w:lang w:val="fr-CA"/>
        </w:rPr>
        <w:t xml:space="preserve"> Delisle</w:t>
      </w:r>
      <w:r w:rsidRPr="006C1CD7">
        <w:rPr>
          <w:lang w:val="fr-CA"/>
        </w:rPr>
        <w:t xml:space="preserve"> a été rendu avant que les arrêts </w:t>
      </w:r>
      <w:proofErr w:type="spellStart"/>
      <w:r w:rsidRPr="006C1CD7">
        <w:rPr>
          <w:i/>
          <w:lang w:val="fr-CA"/>
        </w:rPr>
        <w:t>Health</w:t>
      </w:r>
      <w:proofErr w:type="spellEnd"/>
      <w:r w:rsidR="00795B2B">
        <w:rPr>
          <w:i/>
          <w:lang w:val="fr-CA"/>
        </w:rPr>
        <w:t xml:space="preserve"> </w:t>
      </w:r>
      <w:r w:rsidRPr="006C1CD7">
        <w:rPr>
          <w:i/>
          <w:lang w:val="fr-CA"/>
        </w:rPr>
        <w:t>Services</w:t>
      </w:r>
      <w:r w:rsidRPr="006C1CD7">
        <w:rPr>
          <w:lang w:val="fr-CA"/>
        </w:rPr>
        <w:t xml:space="preserve"> et </w:t>
      </w:r>
      <w:r w:rsidRPr="006C1CD7">
        <w:rPr>
          <w:i/>
          <w:lang w:val="fr-CA"/>
        </w:rPr>
        <w:t>Fraser</w:t>
      </w:r>
      <w:r w:rsidRPr="006C1CD7">
        <w:rPr>
          <w:lang w:val="fr-CA"/>
        </w:rPr>
        <w:t xml:space="preserve"> ne marquent le début d’une nouvelle ère se caractérisant par </w:t>
      </w:r>
      <w:r>
        <w:rPr>
          <w:lang w:val="fr-CA"/>
        </w:rPr>
        <w:t>une interprétation large dans le contexte des relations de travail</w:t>
      </w:r>
      <w:r w:rsidR="00370CE7">
        <w:rPr>
          <w:lang w:val="fr-CA"/>
        </w:rPr>
        <w:t>.</w:t>
      </w:r>
      <w:r w:rsidRPr="0053416A">
        <w:rPr>
          <w:lang w:val="fr-CA"/>
        </w:rPr>
        <w:t xml:space="preserve"> </w:t>
      </w:r>
      <w:r w:rsidR="00370CE7">
        <w:rPr>
          <w:lang w:val="fr-CA"/>
        </w:rPr>
        <w:t>C</w:t>
      </w:r>
      <w:r>
        <w:rPr>
          <w:lang w:val="fr-CA"/>
        </w:rPr>
        <w:t xml:space="preserve">ependant, </w:t>
      </w:r>
      <w:r w:rsidRPr="006C1CD7">
        <w:rPr>
          <w:lang w:val="fr-CA"/>
        </w:rPr>
        <w:t xml:space="preserve">l’évolution de la jurisprudence depuis ne permet pas à </w:t>
      </w:r>
      <w:r>
        <w:rPr>
          <w:lang w:val="fr-CA"/>
        </w:rPr>
        <w:t>la</w:t>
      </w:r>
      <w:r w:rsidRPr="006C1CD7">
        <w:rPr>
          <w:lang w:val="fr-CA"/>
        </w:rPr>
        <w:t xml:space="preserve"> Cour de conclure que l’exclusion en question vise à priver les </w:t>
      </w:r>
      <w:r w:rsidRPr="006C1CD7">
        <w:rPr>
          <w:lang w:val="fr-CA"/>
        </w:rPr>
        <w:lastRenderedPageBreak/>
        <w:t>membres de la GRC de la liberté d’association</w:t>
      </w:r>
      <w:r w:rsidR="0053416A">
        <w:rPr>
          <w:lang w:val="fr-CA"/>
        </w:rPr>
        <w:t xml:space="preserve">.  </w:t>
      </w:r>
      <w:r w:rsidRPr="006C1CD7">
        <w:rPr>
          <w:lang w:val="fr-CA"/>
        </w:rPr>
        <w:t xml:space="preserve">En fait, les modifications apportées au PRRF depuis </w:t>
      </w:r>
      <w:r>
        <w:rPr>
          <w:lang w:val="fr-CA"/>
        </w:rPr>
        <w:t xml:space="preserve">l’arrêt </w:t>
      </w:r>
      <w:r w:rsidRPr="000C3BAB">
        <w:rPr>
          <w:i/>
          <w:lang w:val="fr-CA"/>
        </w:rPr>
        <w:t>Delisle</w:t>
      </w:r>
      <w:r w:rsidRPr="006C1CD7">
        <w:rPr>
          <w:lang w:val="fr-CA"/>
        </w:rPr>
        <w:t xml:space="preserve"> ont renforcé l’idée </w:t>
      </w:r>
      <w:r>
        <w:rPr>
          <w:lang w:val="fr-CA"/>
        </w:rPr>
        <w:t xml:space="preserve">que le programme </w:t>
      </w:r>
      <w:r w:rsidRPr="006C1CD7">
        <w:rPr>
          <w:lang w:val="fr-CA"/>
        </w:rPr>
        <w:t xml:space="preserve">a pour objet d’améliorer la défense des intérêts </w:t>
      </w:r>
      <w:r>
        <w:rPr>
          <w:lang w:val="fr-CA"/>
        </w:rPr>
        <w:t xml:space="preserve">des membres </w:t>
      </w:r>
      <w:r w:rsidRPr="006C1CD7">
        <w:rPr>
          <w:lang w:val="fr-CA"/>
        </w:rPr>
        <w:t xml:space="preserve">de la GRC sans imposer un modèle </w:t>
      </w:r>
      <w:r>
        <w:rPr>
          <w:lang w:val="fr-CA"/>
        </w:rPr>
        <w:t>contradictoire</w:t>
      </w:r>
      <w:r w:rsidRPr="006C1CD7">
        <w:rPr>
          <w:lang w:val="fr-CA"/>
        </w:rPr>
        <w:t>.</w:t>
      </w:r>
    </w:p>
    <w:p w:rsidR="00987371" w:rsidRPr="0053416A" w:rsidRDefault="00987371" w:rsidP="00795B2B">
      <w:pPr>
        <w:pStyle w:val="SCCNormalDoubleSpacing"/>
        <w:spacing w:after="480"/>
        <w:rPr>
          <w:lang w:val="fr-CA"/>
        </w:rPr>
      </w:pPr>
      <w:r w:rsidRPr="0053416A">
        <w:rPr>
          <w:lang w:val="fr-CA"/>
        </w:rPr>
        <w:tab/>
      </w:r>
      <w:r w:rsidRPr="006C1CD7">
        <w:rPr>
          <w:lang w:val="fr-FR"/>
        </w:rPr>
        <w:t xml:space="preserve">Même si l’arrêt </w:t>
      </w:r>
      <w:r w:rsidRPr="006C1CD7">
        <w:rPr>
          <w:i/>
          <w:lang w:val="fr-FR"/>
        </w:rPr>
        <w:t xml:space="preserve">Delisle </w:t>
      </w:r>
      <w:r>
        <w:rPr>
          <w:lang w:val="fr-FR"/>
        </w:rPr>
        <w:t>était</w:t>
      </w:r>
      <w:r w:rsidRPr="006C1CD7">
        <w:rPr>
          <w:lang w:val="fr-FR"/>
        </w:rPr>
        <w:t xml:space="preserve"> mal fondé et </w:t>
      </w:r>
      <w:r w:rsidRPr="0020669B">
        <w:rPr>
          <w:lang w:val="fr-FR"/>
        </w:rPr>
        <w:t>que l</w:t>
      </w:r>
      <w:r>
        <w:rPr>
          <w:lang w:val="fr-FR"/>
        </w:rPr>
        <w:t xml:space="preserve">’exclusion prévue à </w:t>
      </w:r>
      <w:r w:rsidRPr="006C1CD7">
        <w:rPr>
          <w:lang w:val="fr-FR"/>
        </w:rPr>
        <w:t>la</w:t>
      </w:r>
      <w:r>
        <w:rPr>
          <w:lang w:val="fr-FR"/>
        </w:rPr>
        <w:t xml:space="preserve"> première</w:t>
      </w:r>
      <w:r w:rsidRPr="006C1CD7">
        <w:rPr>
          <w:lang w:val="fr-FR"/>
        </w:rPr>
        <w:t xml:space="preserve"> </w:t>
      </w:r>
      <w:r w:rsidRPr="006C1CD7">
        <w:rPr>
          <w:i/>
          <w:lang w:val="fr-FR"/>
        </w:rPr>
        <w:t xml:space="preserve">LRTFP </w:t>
      </w:r>
      <w:r w:rsidRPr="006C1CD7">
        <w:rPr>
          <w:lang w:val="fr-FR"/>
        </w:rPr>
        <w:t xml:space="preserve">dans sa rédaction en vigueur en 1967 avait pour objet de priver les </w:t>
      </w:r>
      <w:r w:rsidRPr="0053416A">
        <w:rPr>
          <w:lang w:val="fr-CA"/>
        </w:rPr>
        <w:t>membres</w:t>
      </w:r>
      <w:r w:rsidRPr="006C1CD7">
        <w:rPr>
          <w:lang w:val="fr-FR"/>
        </w:rPr>
        <w:t xml:space="preserve"> de la GRC d’une véritable négociation collective, il ne s’ensuit pas pour autant qu’il </w:t>
      </w:r>
      <w:proofErr w:type="gramStart"/>
      <w:r w:rsidRPr="006C1CD7">
        <w:rPr>
          <w:lang w:val="fr-FR"/>
        </w:rPr>
        <w:t>s</w:t>
      </w:r>
      <w:r w:rsidR="0020669B">
        <w:rPr>
          <w:lang w:val="fr-FR"/>
        </w:rPr>
        <w:t>’</w:t>
      </w:r>
      <w:r w:rsidRPr="006C1CD7">
        <w:rPr>
          <w:lang w:val="fr-FR"/>
        </w:rPr>
        <w:t>agit</w:t>
      </w:r>
      <w:proofErr w:type="gramEnd"/>
      <w:r w:rsidRPr="006C1CD7">
        <w:rPr>
          <w:lang w:val="fr-FR"/>
        </w:rPr>
        <w:t xml:space="preserve"> toujours de l’objectif visé par </w:t>
      </w:r>
      <w:r w:rsidR="0020669B">
        <w:rPr>
          <w:lang w:val="fr-FR"/>
        </w:rPr>
        <w:t>l’</w:t>
      </w:r>
      <w:r w:rsidR="0053416A">
        <w:rPr>
          <w:lang w:val="fr-FR"/>
        </w:rPr>
        <w:t>al.</w:t>
      </w:r>
      <w:r w:rsidR="00795B2B">
        <w:rPr>
          <w:lang w:val="fr-FR"/>
        </w:rPr>
        <w:t xml:space="preserve"> </w:t>
      </w:r>
      <w:r w:rsidRPr="00EA2CB9">
        <w:rPr>
          <w:i/>
          <w:lang w:val="fr-FR"/>
        </w:rPr>
        <w:t>d</w:t>
      </w:r>
      <w:r>
        <w:rPr>
          <w:lang w:val="fr-FR"/>
        </w:rPr>
        <w:t xml:space="preserve">) de la définition de </w:t>
      </w:r>
      <w:r w:rsidR="00795B2B">
        <w:rPr>
          <w:lang w:val="fr-FR"/>
        </w:rPr>
        <w:t>« </w:t>
      </w:r>
      <w:r>
        <w:rPr>
          <w:lang w:val="fr-FR"/>
        </w:rPr>
        <w:t>fonctionnaire</w:t>
      </w:r>
      <w:r w:rsidR="00795B2B">
        <w:rPr>
          <w:lang w:val="fr-FR"/>
        </w:rPr>
        <w:t> »</w:t>
      </w:r>
      <w:r>
        <w:rPr>
          <w:lang w:val="fr-FR"/>
        </w:rPr>
        <w:t xml:space="preserve"> qui figure au </w:t>
      </w:r>
      <w:r w:rsidR="0053416A">
        <w:rPr>
          <w:lang w:val="fr-FR"/>
        </w:rPr>
        <w:t>par.</w:t>
      </w:r>
      <w:r w:rsidR="00795B2B">
        <w:rPr>
          <w:lang w:val="fr-FR"/>
        </w:rPr>
        <w:t xml:space="preserve"> </w:t>
      </w:r>
      <w:r w:rsidR="0091152D">
        <w:rPr>
          <w:lang w:val="fr-FR"/>
        </w:rPr>
        <w:t>2(1)</w:t>
      </w:r>
      <w:r w:rsidR="0020669B">
        <w:rPr>
          <w:lang w:val="fr-FR"/>
        </w:rPr>
        <w:t xml:space="preserve"> de la </w:t>
      </w:r>
      <w:r w:rsidR="0020669B" w:rsidRPr="0020669B">
        <w:rPr>
          <w:i/>
          <w:lang w:val="fr-FR"/>
        </w:rPr>
        <w:t>LRTFP</w:t>
      </w:r>
      <w:r w:rsidR="0020669B">
        <w:rPr>
          <w:lang w:val="fr-FR"/>
        </w:rPr>
        <w:t xml:space="preserve"> actuelle</w:t>
      </w:r>
      <w:r w:rsidR="0053416A">
        <w:rPr>
          <w:lang w:val="fr-FR"/>
        </w:rPr>
        <w:t xml:space="preserve">.  </w:t>
      </w:r>
      <w:r w:rsidRPr="006C1CD7">
        <w:rPr>
          <w:lang w:val="fr-CA"/>
        </w:rPr>
        <w:t xml:space="preserve">En 2003, lorsque l’ancienne loi a été remplacée par la </w:t>
      </w:r>
      <w:r w:rsidR="0091152D">
        <w:rPr>
          <w:i/>
          <w:lang w:val="fr-CA"/>
        </w:rPr>
        <w:t>LRT</w:t>
      </w:r>
      <w:r w:rsidRPr="006C1CD7">
        <w:rPr>
          <w:i/>
          <w:lang w:val="fr-CA"/>
        </w:rPr>
        <w:t>F</w:t>
      </w:r>
      <w:r w:rsidR="0091152D">
        <w:rPr>
          <w:i/>
          <w:lang w:val="fr-CA"/>
        </w:rPr>
        <w:t>P</w:t>
      </w:r>
      <w:r w:rsidR="00CB1B9E">
        <w:rPr>
          <w:i/>
          <w:lang w:val="fr-CA"/>
        </w:rPr>
        <w:t xml:space="preserve"> </w:t>
      </w:r>
      <w:r w:rsidR="00CB1B9E" w:rsidRPr="00CB1B9E">
        <w:rPr>
          <w:lang w:val="fr-CA"/>
        </w:rPr>
        <w:t>actu</w:t>
      </w:r>
      <w:r>
        <w:rPr>
          <w:lang w:val="fr-CA"/>
        </w:rPr>
        <w:t>elle</w:t>
      </w:r>
      <w:r w:rsidRPr="006C1CD7">
        <w:rPr>
          <w:lang w:val="fr-CA"/>
        </w:rPr>
        <w:t>, le régime de relations de travail de la GRC a été modifié de fond en comble par rapport à celui qui existait en 1967</w:t>
      </w:r>
      <w:r w:rsidR="0053416A">
        <w:rPr>
          <w:lang w:val="fr-CA"/>
        </w:rPr>
        <w:t xml:space="preserve">.  </w:t>
      </w:r>
      <w:r>
        <w:rPr>
          <w:lang w:val="fr-CA"/>
        </w:rPr>
        <w:t>La</w:t>
      </w:r>
      <w:r w:rsidRPr="006C1CD7">
        <w:rPr>
          <w:lang w:val="fr-CA"/>
        </w:rPr>
        <w:t xml:space="preserve"> décision </w:t>
      </w:r>
      <w:r>
        <w:rPr>
          <w:lang w:val="fr-CA"/>
        </w:rPr>
        <w:t xml:space="preserve">de maintenir l’exclusion a été prise à la lumière </w:t>
      </w:r>
      <w:r w:rsidRPr="006C1CD7">
        <w:rPr>
          <w:lang w:val="fr-CA"/>
        </w:rPr>
        <w:t xml:space="preserve">du fait que </w:t>
      </w:r>
      <w:r>
        <w:rPr>
          <w:lang w:val="fr-CA"/>
        </w:rPr>
        <w:t>cela</w:t>
      </w:r>
      <w:r w:rsidRPr="006C1CD7">
        <w:rPr>
          <w:lang w:val="fr-CA"/>
        </w:rPr>
        <w:t xml:space="preserve"> n’avait pas pour effet de priver les membres de la GRC de leurs droits à la négociation collective</w:t>
      </w:r>
      <w:r w:rsidR="0053416A">
        <w:rPr>
          <w:lang w:val="fr-CA"/>
        </w:rPr>
        <w:t xml:space="preserve">.  </w:t>
      </w:r>
      <w:r w:rsidRPr="006C1CD7">
        <w:rPr>
          <w:lang w:val="fr-CA"/>
        </w:rPr>
        <w:t xml:space="preserve">Ces individus étaient simplement assujettis à un régime </w:t>
      </w:r>
      <w:r>
        <w:rPr>
          <w:lang w:val="fr-CA"/>
        </w:rPr>
        <w:t xml:space="preserve">de relations de travail </w:t>
      </w:r>
      <w:r w:rsidRPr="006C1CD7">
        <w:rPr>
          <w:lang w:val="fr-CA"/>
        </w:rPr>
        <w:t>parallèle</w:t>
      </w:r>
      <w:r w:rsidR="00795B2B">
        <w:rPr>
          <w:lang w:val="fr-CA"/>
        </w:rPr>
        <w:t> :</w:t>
      </w:r>
      <w:r w:rsidRPr="006C1CD7">
        <w:rPr>
          <w:lang w:val="fr-CA"/>
        </w:rPr>
        <w:t xml:space="preserve"> le PRRF</w:t>
      </w:r>
      <w:r w:rsidR="0053416A">
        <w:rPr>
          <w:lang w:val="fr-CA"/>
        </w:rPr>
        <w:t xml:space="preserve">.  </w:t>
      </w:r>
      <w:r>
        <w:rPr>
          <w:lang w:val="fr-CA"/>
        </w:rPr>
        <w:t>I</w:t>
      </w:r>
      <w:r w:rsidRPr="006C1CD7">
        <w:rPr>
          <w:lang w:val="fr-CA"/>
        </w:rPr>
        <w:t>gnor</w:t>
      </w:r>
      <w:r>
        <w:rPr>
          <w:lang w:val="fr-CA"/>
        </w:rPr>
        <w:t>er</w:t>
      </w:r>
      <w:r w:rsidRPr="006C1CD7">
        <w:rPr>
          <w:lang w:val="fr-CA"/>
        </w:rPr>
        <w:t xml:space="preserve"> le contexte radicalement différent dans lequel l’exclusion des membres de la GRC </w:t>
      </w:r>
      <w:r>
        <w:rPr>
          <w:lang w:val="fr-CA"/>
        </w:rPr>
        <w:t>a été adoptée de nouveau dans la</w:t>
      </w:r>
      <w:r w:rsidRPr="006C1CD7">
        <w:rPr>
          <w:lang w:val="fr-CA"/>
        </w:rPr>
        <w:t xml:space="preserve"> </w:t>
      </w:r>
      <w:r w:rsidRPr="00EA2CB9">
        <w:rPr>
          <w:i/>
          <w:lang w:val="fr-CA"/>
        </w:rPr>
        <w:t>LRTFP</w:t>
      </w:r>
      <w:r w:rsidRPr="006C1CD7">
        <w:rPr>
          <w:lang w:val="fr-CA"/>
        </w:rPr>
        <w:t xml:space="preserve"> </w:t>
      </w:r>
      <w:r>
        <w:rPr>
          <w:lang w:val="fr-CA"/>
        </w:rPr>
        <w:t xml:space="preserve">actuelle revient à </w:t>
      </w:r>
      <w:r w:rsidRPr="006C1CD7">
        <w:rPr>
          <w:lang w:val="fr-CA"/>
        </w:rPr>
        <w:t>méconnaît</w:t>
      </w:r>
      <w:r>
        <w:rPr>
          <w:lang w:val="fr-CA"/>
        </w:rPr>
        <w:t>re</w:t>
      </w:r>
      <w:r w:rsidRPr="006C1CD7">
        <w:rPr>
          <w:lang w:val="fr-CA"/>
        </w:rPr>
        <w:t xml:space="preserve"> la réalité législative actuelle.</w:t>
      </w:r>
      <w:r w:rsidRPr="0053416A">
        <w:rPr>
          <w:lang w:val="fr-CA"/>
        </w:rPr>
        <w:t xml:space="preserve">  </w:t>
      </w:r>
    </w:p>
    <w:p w:rsidR="00987371" w:rsidRPr="0053416A" w:rsidRDefault="00987371" w:rsidP="00795B2B">
      <w:pPr>
        <w:pStyle w:val="SCCNormalDoubleSpacing"/>
        <w:spacing w:after="480"/>
        <w:rPr>
          <w:lang w:val="fr-CA"/>
        </w:rPr>
      </w:pPr>
      <w:r w:rsidRPr="0053416A">
        <w:rPr>
          <w:lang w:val="fr-CA"/>
        </w:rPr>
        <w:tab/>
      </w:r>
      <w:r w:rsidRPr="006C1CD7">
        <w:rPr>
          <w:lang w:val="fr-CA"/>
        </w:rPr>
        <w:t>Même si on conclu</w:t>
      </w:r>
      <w:r w:rsidR="0020669B">
        <w:rPr>
          <w:lang w:val="fr-CA"/>
        </w:rPr>
        <w:t>ait</w:t>
      </w:r>
      <w:r w:rsidRPr="006C1CD7">
        <w:rPr>
          <w:lang w:val="fr-CA"/>
        </w:rPr>
        <w:t xml:space="preserve"> que l’</w:t>
      </w:r>
      <w:r w:rsidR="0053416A">
        <w:rPr>
          <w:lang w:val="fr-CA"/>
        </w:rPr>
        <w:t>al.</w:t>
      </w:r>
      <w:r w:rsidR="00795B2B">
        <w:rPr>
          <w:lang w:val="fr-CA"/>
        </w:rPr>
        <w:t xml:space="preserve"> </w:t>
      </w:r>
      <w:r w:rsidRPr="006C1CD7">
        <w:rPr>
          <w:i/>
          <w:lang w:val="fr-CA"/>
        </w:rPr>
        <w:t>d</w:t>
      </w:r>
      <w:r w:rsidRPr="006C1CD7">
        <w:rPr>
          <w:lang w:val="fr-CA"/>
        </w:rPr>
        <w:t>)</w:t>
      </w:r>
      <w:r>
        <w:rPr>
          <w:lang w:val="fr-CA"/>
        </w:rPr>
        <w:t xml:space="preserve"> de la définition de </w:t>
      </w:r>
      <w:r w:rsidR="00795B2B">
        <w:rPr>
          <w:lang w:val="fr-CA"/>
        </w:rPr>
        <w:t>« </w:t>
      </w:r>
      <w:r w:rsidRPr="00385DDB">
        <w:rPr>
          <w:lang w:val="fr-CA"/>
        </w:rPr>
        <w:t>fonctionnaire</w:t>
      </w:r>
      <w:r w:rsidR="00795B2B">
        <w:rPr>
          <w:lang w:val="fr-CA"/>
        </w:rPr>
        <w:t> »</w:t>
      </w:r>
      <w:r>
        <w:rPr>
          <w:lang w:val="fr-CA"/>
        </w:rPr>
        <w:t xml:space="preserve"> qui figure au </w:t>
      </w:r>
      <w:r w:rsidR="0053416A">
        <w:rPr>
          <w:lang w:val="fr-CA"/>
        </w:rPr>
        <w:t>par.</w:t>
      </w:r>
      <w:r w:rsidR="00795B2B">
        <w:rPr>
          <w:lang w:val="fr-CA"/>
        </w:rPr>
        <w:t xml:space="preserve"> </w:t>
      </w:r>
      <w:r w:rsidRPr="006C1CD7">
        <w:rPr>
          <w:lang w:val="fr-CA"/>
        </w:rPr>
        <w:t xml:space="preserve">2(1) </w:t>
      </w:r>
      <w:r>
        <w:rPr>
          <w:lang w:val="fr-CA"/>
        </w:rPr>
        <w:t xml:space="preserve">de la </w:t>
      </w:r>
      <w:r w:rsidRPr="00F40525">
        <w:rPr>
          <w:i/>
          <w:lang w:val="fr-CA"/>
        </w:rPr>
        <w:t>LRTFP</w:t>
      </w:r>
      <w:r>
        <w:rPr>
          <w:lang w:val="fr-CA"/>
        </w:rPr>
        <w:t xml:space="preserve"> </w:t>
      </w:r>
      <w:r w:rsidR="007B57C5">
        <w:rPr>
          <w:lang w:val="fr-CA"/>
        </w:rPr>
        <w:t xml:space="preserve">actuelle </w:t>
      </w:r>
      <w:r w:rsidRPr="006C1CD7">
        <w:rPr>
          <w:lang w:val="fr-CA"/>
        </w:rPr>
        <w:t xml:space="preserve">porte atteinte </w:t>
      </w:r>
      <w:r>
        <w:rPr>
          <w:lang w:val="fr-CA"/>
        </w:rPr>
        <w:t xml:space="preserve">au droit protégé par </w:t>
      </w:r>
      <w:r w:rsidRPr="006C1CD7">
        <w:rPr>
          <w:lang w:val="fr-CA"/>
        </w:rPr>
        <w:t>l’</w:t>
      </w:r>
      <w:r w:rsidR="0053416A">
        <w:rPr>
          <w:lang w:val="fr-CA"/>
        </w:rPr>
        <w:t>al.</w:t>
      </w:r>
      <w:r w:rsidR="00795B2B">
        <w:rPr>
          <w:lang w:val="fr-CA"/>
        </w:rPr>
        <w:t xml:space="preserve"> </w:t>
      </w:r>
      <w:r w:rsidRPr="006C1CD7">
        <w:rPr>
          <w:lang w:val="fr-CA"/>
        </w:rPr>
        <w:t>2</w:t>
      </w:r>
      <w:r w:rsidRPr="006C1CD7">
        <w:rPr>
          <w:i/>
          <w:lang w:val="fr-CA"/>
        </w:rPr>
        <w:t>d</w:t>
      </w:r>
      <w:r w:rsidRPr="006C1CD7">
        <w:rPr>
          <w:lang w:val="fr-CA"/>
        </w:rPr>
        <w:t xml:space="preserve">) de la </w:t>
      </w:r>
      <w:r w:rsidRPr="006C1CD7">
        <w:rPr>
          <w:i/>
          <w:lang w:val="fr-CA"/>
        </w:rPr>
        <w:t>Charte</w:t>
      </w:r>
      <w:r w:rsidRPr="006C1CD7">
        <w:rPr>
          <w:lang w:val="fr-CA"/>
        </w:rPr>
        <w:t>, cette atteinte constitue</w:t>
      </w:r>
      <w:r>
        <w:rPr>
          <w:lang w:val="fr-CA"/>
        </w:rPr>
        <w:t>rait</w:t>
      </w:r>
      <w:r w:rsidRPr="006C1CD7">
        <w:rPr>
          <w:lang w:val="fr-CA"/>
        </w:rPr>
        <w:t xml:space="preserve"> </w:t>
      </w:r>
      <w:r>
        <w:rPr>
          <w:lang w:val="fr-CA"/>
        </w:rPr>
        <w:t xml:space="preserve">néanmoins </w:t>
      </w:r>
      <w:r w:rsidRPr="006C1CD7">
        <w:rPr>
          <w:lang w:val="fr-CA"/>
        </w:rPr>
        <w:t>une limite raisonnable prescrite par une règle de droit et dont la justification p</w:t>
      </w:r>
      <w:r>
        <w:rPr>
          <w:lang w:val="fr-CA"/>
        </w:rPr>
        <w:t>ourrai</w:t>
      </w:r>
      <w:r w:rsidRPr="006C1CD7">
        <w:rPr>
          <w:lang w:val="fr-CA"/>
        </w:rPr>
        <w:t xml:space="preserve">t se démontrer dans le cadre d'une société libre et démocratique </w:t>
      </w:r>
      <w:r w:rsidR="0020669B">
        <w:rPr>
          <w:lang w:val="fr-CA"/>
        </w:rPr>
        <w:t>au regard de</w:t>
      </w:r>
      <w:r w:rsidR="006F711D">
        <w:rPr>
          <w:lang w:val="fr-CA"/>
        </w:rPr>
        <w:t xml:space="preserve"> l’</w:t>
      </w:r>
      <w:r w:rsidRPr="006C1CD7">
        <w:rPr>
          <w:lang w:val="fr-CA"/>
        </w:rPr>
        <w:t xml:space="preserve">article premier de la </w:t>
      </w:r>
      <w:r w:rsidRPr="006C1CD7">
        <w:rPr>
          <w:i/>
          <w:lang w:val="fr-CA"/>
        </w:rPr>
        <w:t>Charte</w:t>
      </w:r>
      <w:r w:rsidRPr="006C1CD7">
        <w:rPr>
          <w:lang w:val="fr-CA"/>
        </w:rPr>
        <w:t>.</w:t>
      </w:r>
      <w:r w:rsidRPr="0053416A">
        <w:rPr>
          <w:lang w:val="fr-CA"/>
        </w:rPr>
        <w:t xml:space="preserve">  </w:t>
      </w:r>
      <w:r>
        <w:rPr>
          <w:lang w:val="fr-CA"/>
        </w:rPr>
        <w:t>Le législateur a le droit de se préoccuper du fait qu</w:t>
      </w:r>
      <w:r w:rsidRPr="006C1CD7">
        <w:rPr>
          <w:lang w:val="fr-CA"/>
        </w:rPr>
        <w:t xml:space="preserve">’une association </w:t>
      </w:r>
      <w:r>
        <w:rPr>
          <w:lang w:val="fr-CA"/>
        </w:rPr>
        <w:t xml:space="preserve">de membres de la </w:t>
      </w:r>
      <w:r>
        <w:rPr>
          <w:lang w:val="fr-CA"/>
        </w:rPr>
        <w:lastRenderedPageBreak/>
        <w:t xml:space="preserve">GRC </w:t>
      </w:r>
      <w:r w:rsidRPr="006C1CD7">
        <w:rPr>
          <w:lang w:val="fr-CA"/>
        </w:rPr>
        <w:t xml:space="preserve">fondée sur un modèle </w:t>
      </w:r>
      <w:r>
        <w:rPr>
          <w:lang w:val="fr-CA"/>
        </w:rPr>
        <w:t>contradictoire</w:t>
      </w:r>
      <w:r w:rsidRPr="006C1CD7">
        <w:rPr>
          <w:lang w:val="fr-CA"/>
        </w:rPr>
        <w:t xml:space="preserve"> pourrait ordonner à ses membres de refuser d’intervenir </w:t>
      </w:r>
      <w:r>
        <w:rPr>
          <w:lang w:val="fr-CA"/>
        </w:rPr>
        <w:t>dans certaines</w:t>
      </w:r>
      <w:r w:rsidRPr="006C1CD7">
        <w:rPr>
          <w:lang w:val="fr-CA"/>
        </w:rPr>
        <w:t xml:space="preserve"> circonstances </w:t>
      </w:r>
      <w:r>
        <w:rPr>
          <w:lang w:val="fr-CA"/>
        </w:rPr>
        <w:t xml:space="preserve">où il est question de conflits de travail d’autres groupes </w:t>
      </w:r>
      <w:r w:rsidRPr="006C1CD7">
        <w:rPr>
          <w:lang w:val="fr-CA"/>
        </w:rPr>
        <w:t>ou que le fait d’appartenir à de telles associations pourrait amener ses membres à hésiter à répondre à de telles situations de façon impartiale</w:t>
      </w:r>
      <w:r w:rsidR="0053416A">
        <w:rPr>
          <w:lang w:val="fr-CA"/>
        </w:rPr>
        <w:t xml:space="preserve">.  </w:t>
      </w:r>
      <w:r>
        <w:rPr>
          <w:lang w:val="fr-CA"/>
        </w:rPr>
        <w:t>L</w:t>
      </w:r>
      <w:r w:rsidRPr="006C1CD7">
        <w:rPr>
          <w:lang w:val="fr-CA"/>
        </w:rPr>
        <w:t>a GRC est différente des autres forces policières canadiennes</w:t>
      </w:r>
      <w:r w:rsidR="0053416A">
        <w:rPr>
          <w:lang w:val="fr-CA"/>
        </w:rPr>
        <w:t xml:space="preserve">. </w:t>
      </w:r>
      <w:r w:rsidRPr="006C1CD7">
        <w:rPr>
          <w:lang w:val="fr-CA"/>
        </w:rPr>
        <w:t xml:space="preserve">Le gouvernement doit </w:t>
      </w:r>
      <w:r>
        <w:rPr>
          <w:lang w:val="fr-CA"/>
        </w:rPr>
        <w:t xml:space="preserve">être habilité à </w:t>
      </w:r>
      <w:r w:rsidRPr="006C1CD7">
        <w:rPr>
          <w:lang w:val="fr-CA"/>
        </w:rPr>
        <w:t xml:space="preserve">organiser les relations de travail au sein de </w:t>
      </w:r>
      <w:r>
        <w:rPr>
          <w:lang w:val="fr-CA"/>
        </w:rPr>
        <w:t>cette force policière</w:t>
      </w:r>
      <w:r w:rsidRPr="006C1CD7">
        <w:rPr>
          <w:lang w:val="fr-CA"/>
        </w:rPr>
        <w:t xml:space="preserve"> en tenant compte du rôle particulier et essentiel </w:t>
      </w:r>
      <w:r>
        <w:rPr>
          <w:lang w:val="fr-CA"/>
        </w:rPr>
        <w:t>de celle</w:t>
      </w:r>
      <w:r w:rsidR="00795B2B">
        <w:rPr>
          <w:lang w:val="fr-CA"/>
        </w:rPr>
        <w:t>-</w:t>
      </w:r>
      <w:r>
        <w:rPr>
          <w:lang w:val="fr-CA"/>
        </w:rPr>
        <w:t xml:space="preserve">ci </w:t>
      </w:r>
      <w:r w:rsidRPr="006C1CD7">
        <w:rPr>
          <w:lang w:val="fr-CA"/>
        </w:rPr>
        <w:t>en tant que service de police nation</w:t>
      </w:r>
      <w:r w:rsidR="0053416A">
        <w:rPr>
          <w:lang w:val="fr-CA"/>
        </w:rPr>
        <w:t>al.</w:t>
      </w:r>
    </w:p>
    <w:p w:rsidR="004D7D95" w:rsidRPr="004D7D95" w:rsidRDefault="004D7D95" w:rsidP="00795B2B">
      <w:pPr>
        <w:pStyle w:val="SCCNormalDoubleSpacing"/>
        <w:spacing w:after="480"/>
        <w:rPr>
          <w:b/>
          <w:lang w:val="fr-CA"/>
        </w:rPr>
      </w:pPr>
      <w:r w:rsidRPr="004D7D95">
        <w:rPr>
          <w:b/>
          <w:lang w:val="fr-CA"/>
        </w:rPr>
        <w:t>Jurisprudence</w:t>
      </w:r>
    </w:p>
    <w:p w:rsidR="004D7D95" w:rsidRDefault="00F57F9D" w:rsidP="00795B2B">
      <w:pPr>
        <w:pStyle w:val="SCCNormalDoubleSpacing"/>
        <w:spacing w:after="720"/>
        <w:rPr>
          <w:lang w:val="fr-CA"/>
        </w:rPr>
      </w:pPr>
      <w:r>
        <w:rPr>
          <w:lang w:val="fr-CA"/>
        </w:rPr>
        <w:t xml:space="preserve">Citée par la juge en chef </w:t>
      </w:r>
      <w:proofErr w:type="spellStart"/>
      <w:r>
        <w:rPr>
          <w:lang w:val="fr-CA"/>
        </w:rPr>
        <w:t>McLachlin</w:t>
      </w:r>
      <w:proofErr w:type="spellEnd"/>
      <w:r>
        <w:rPr>
          <w:lang w:val="fr-CA"/>
        </w:rPr>
        <w:t xml:space="preserve"> et le juge </w:t>
      </w:r>
      <w:proofErr w:type="spellStart"/>
      <w:r>
        <w:rPr>
          <w:lang w:val="fr-CA"/>
        </w:rPr>
        <w:t>LeBel</w:t>
      </w:r>
      <w:proofErr w:type="spellEnd"/>
    </w:p>
    <w:p w:rsidR="004D7D95" w:rsidRPr="00901DDE" w:rsidRDefault="004D7D95" w:rsidP="00795B2B">
      <w:pPr>
        <w:pStyle w:val="SCCNormalDoubleSpacing"/>
        <w:spacing w:after="480"/>
        <w:rPr>
          <w:lang w:val="fr-CA"/>
        </w:rPr>
      </w:pPr>
      <w:r w:rsidRPr="004D7D95">
        <w:rPr>
          <w:lang w:val="fr-CA"/>
        </w:rPr>
        <w:tab/>
      </w:r>
      <w:r w:rsidR="003E639F" w:rsidRPr="003E639F">
        <w:rPr>
          <w:b/>
          <w:lang w:val="fr-CA"/>
        </w:rPr>
        <w:t>Ar</w:t>
      </w:r>
      <w:r w:rsidR="003E639F" w:rsidRPr="0053416A">
        <w:rPr>
          <w:b/>
          <w:szCs w:val="24"/>
          <w:lang w:val="fr-CA"/>
        </w:rPr>
        <w:t>rêt renversé</w:t>
      </w:r>
      <w:r w:rsidR="00795B2B">
        <w:rPr>
          <w:b/>
          <w:szCs w:val="24"/>
          <w:lang w:val="fr-CA"/>
        </w:rPr>
        <w:t> :</w:t>
      </w:r>
      <w:r w:rsidR="003E639F" w:rsidRPr="0053416A">
        <w:rPr>
          <w:szCs w:val="24"/>
          <w:lang w:val="fr-CA"/>
        </w:rPr>
        <w:t xml:space="preserve"> </w:t>
      </w:r>
      <w:r w:rsidR="003E639F" w:rsidRPr="00901DDE">
        <w:rPr>
          <w:i/>
          <w:szCs w:val="24"/>
          <w:lang w:val="fr-CA"/>
        </w:rPr>
        <w:t>Delisle c. Canada (Sous</w:t>
      </w:r>
      <w:r w:rsidR="00795B2B">
        <w:rPr>
          <w:i/>
          <w:szCs w:val="24"/>
          <w:lang w:val="fr-CA"/>
        </w:rPr>
        <w:t>-</w:t>
      </w:r>
      <w:r w:rsidR="003E639F" w:rsidRPr="00901DDE">
        <w:rPr>
          <w:i/>
          <w:szCs w:val="24"/>
          <w:lang w:val="fr-CA"/>
        </w:rPr>
        <w:t>procureur général</w:t>
      </w:r>
      <w:r w:rsidR="003E639F" w:rsidRPr="00901DDE">
        <w:rPr>
          <w:i/>
          <w:lang w:val="fr-CA"/>
        </w:rPr>
        <w:t>)</w:t>
      </w:r>
      <w:r w:rsidR="003E639F" w:rsidRPr="00901DDE">
        <w:rPr>
          <w:lang w:val="fr-CA"/>
        </w:rPr>
        <w:t xml:space="preserve">, [1999] 2 R.C.S. 989; </w:t>
      </w:r>
      <w:r w:rsidR="003E639F">
        <w:rPr>
          <w:b/>
          <w:lang w:val="fr-CA"/>
        </w:rPr>
        <w:t>a</w:t>
      </w:r>
      <w:r w:rsidR="004272C7">
        <w:rPr>
          <w:b/>
          <w:lang w:val="fr-CA"/>
        </w:rPr>
        <w:t>rrêt</w:t>
      </w:r>
      <w:r w:rsidRPr="004D7D95">
        <w:rPr>
          <w:b/>
          <w:lang w:val="fr-CA"/>
        </w:rPr>
        <w:t xml:space="preserve"> </w:t>
      </w:r>
      <w:r w:rsidR="004272C7">
        <w:rPr>
          <w:b/>
          <w:lang w:val="fr-CA"/>
        </w:rPr>
        <w:t>appliqué</w:t>
      </w:r>
      <w:r w:rsidR="00795B2B">
        <w:rPr>
          <w:b/>
          <w:lang w:val="fr-CA"/>
        </w:rPr>
        <w:t> :</w:t>
      </w:r>
      <w:r w:rsidRPr="004D7D95">
        <w:rPr>
          <w:lang w:val="fr-CA"/>
        </w:rPr>
        <w:t xml:space="preserve"> </w:t>
      </w:r>
      <w:proofErr w:type="spellStart"/>
      <w:r w:rsidR="004452E7" w:rsidRPr="00901DDE">
        <w:rPr>
          <w:i/>
          <w:szCs w:val="24"/>
          <w:lang w:val="fr-CA"/>
        </w:rPr>
        <w:t>Health</w:t>
      </w:r>
      <w:proofErr w:type="spellEnd"/>
      <w:r w:rsidR="004452E7" w:rsidRPr="00901DDE">
        <w:rPr>
          <w:i/>
          <w:szCs w:val="24"/>
          <w:lang w:val="fr-CA"/>
        </w:rPr>
        <w:t xml:space="preserve"> Services and Support — </w:t>
      </w:r>
      <w:proofErr w:type="spellStart"/>
      <w:r w:rsidR="004452E7" w:rsidRPr="00901DDE">
        <w:rPr>
          <w:i/>
          <w:szCs w:val="24"/>
          <w:lang w:val="fr-CA"/>
        </w:rPr>
        <w:t>Facilities</w:t>
      </w:r>
      <w:proofErr w:type="spellEnd"/>
      <w:r w:rsidR="004452E7" w:rsidRPr="00901DDE">
        <w:rPr>
          <w:i/>
          <w:szCs w:val="24"/>
          <w:lang w:val="fr-CA"/>
        </w:rPr>
        <w:t xml:space="preserve"> </w:t>
      </w:r>
      <w:proofErr w:type="spellStart"/>
      <w:r w:rsidR="004452E7" w:rsidRPr="00901DDE">
        <w:rPr>
          <w:i/>
          <w:szCs w:val="24"/>
          <w:lang w:val="fr-CA"/>
        </w:rPr>
        <w:t>Subsector</w:t>
      </w:r>
      <w:proofErr w:type="spellEnd"/>
      <w:r w:rsidR="004452E7" w:rsidRPr="00901DDE">
        <w:rPr>
          <w:i/>
          <w:szCs w:val="24"/>
          <w:lang w:val="fr-CA"/>
        </w:rPr>
        <w:t xml:space="preserve"> </w:t>
      </w:r>
      <w:proofErr w:type="spellStart"/>
      <w:r w:rsidR="004452E7" w:rsidRPr="00901DDE">
        <w:rPr>
          <w:i/>
          <w:szCs w:val="24"/>
          <w:lang w:val="fr-CA"/>
        </w:rPr>
        <w:t>Bargaining</w:t>
      </w:r>
      <w:proofErr w:type="spellEnd"/>
      <w:r w:rsidR="004452E7" w:rsidRPr="00901DDE">
        <w:rPr>
          <w:i/>
          <w:szCs w:val="24"/>
          <w:lang w:val="fr-CA"/>
        </w:rPr>
        <w:t xml:space="preserve"> </w:t>
      </w:r>
      <w:proofErr w:type="spellStart"/>
      <w:r w:rsidR="004452E7" w:rsidRPr="00901DDE">
        <w:rPr>
          <w:i/>
          <w:szCs w:val="24"/>
          <w:lang w:val="fr-CA"/>
        </w:rPr>
        <w:t>Assn</w:t>
      </w:r>
      <w:proofErr w:type="spellEnd"/>
      <w:r w:rsidR="004452E7" w:rsidRPr="00901DDE">
        <w:rPr>
          <w:i/>
          <w:szCs w:val="24"/>
          <w:lang w:val="fr-CA"/>
        </w:rPr>
        <w:t>. c. Colombie</w:t>
      </w:r>
      <w:r w:rsidR="00795B2B">
        <w:rPr>
          <w:i/>
          <w:szCs w:val="24"/>
          <w:lang w:val="fr-CA"/>
        </w:rPr>
        <w:t>-</w:t>
      </w:r>
      <w:r w:rsidR="004452E7" w:rsidRPr="00901DDE">
        <w:rPr>
          <w:i/>
          <w:szCs w:val="24"/>
          <w:lang w:val="fr-CA"/>
        </w:rPr>
        <w:t>Britannique</w:t>
      </w:r>
      <w:r w:rsidR="004452E7" w:rsidRPr="00901DDE">
        <w:rPr>
          <w:lang w:val="fr-CA"/>
        </w:rPr>
        <w:t xml:space="preserve">, 2007 CSC 27, [2007] 2 R.C.S. 391; </w:t>
      </w:r>
      <w:r w:rsidR="00715ADB" w:rsidRPr="00715ADB">
        <w:rPr>
          <w:b/>
          <w:lang w:val="fr-CA"/>
        </w:rPr>
        <w:t>arrêt expliqué</w:t>
      </w:r>
      <w:r w:rsidR="00795B2B">
        <w:rPr>
          <w:b/>
          <w:lang w:val="fr-CA"/>
        </w:rPr>
        <w:t> :</w:t>
      </w:r>
      <w:r w:rsidR="00715ADB">
        <w:rPr>
          <w:lang w:val="fr-CA"/>
        </w:rPr>
        <w:t xml:space="preserve"> </w:t>
      </w:r>
      <w:r w:rsidR="00860071" w:rsidRPr="00901DDE">
        <w:rPr>
          <w:i/>
          <w:szCs w:val="24"/>
          <w:lang w:val="fr-CA"/>
        </w:rPr>
        <w:t>Ontario (Procureur général) c. Fraser</w:t>
      </w:r>
      <w:r w:rsidR="004452E7" w:rsidRPr="00901DDE">
        <w:rPr>
          <w:lang w:val="fr-CA"/>
        </w:rPr>
        <w:t xml:space="preserve">, 2011 </w:t>
      </w:r>
      <w:r w:rsidR="00860071" w:rsidRPr="00901DDE">
        <w:rPr>
          <w:lang w:val="fr-CA"/>
        </w:rPr>
        <w:t xml:space="preserve">CSC </w:t>
      </w:r>
      <w:r w:rsidR="004452E7" w:rsidRPr="00901DDE">
        <w:rPr>
          <w:lang w:val="fr-CA"/>
        </w:rPr>
        <w:t xml:space="preserve">20, [2011] 2 </w:t>
      </w:r>
      <w:r w:rsidR="00860071" w:rsidRPr="00901DDE">
        <w:rPr>
          <w:lang w:val="fr-CA"/>
        </w:rPr>
        <w:t xml:space="preserve">R.C.S. </w:t>
      </w:r>
      <w:r w:rsidR="004452E7" w:rsidRPr="00901DDE">
        <w:rPr>
          <w:lang w:val="fr-CA"/>
        </w:rPr>
        <w:t xml:space="preserve">3; </w:t>
      </w:r>
      <w:r w:rsidR="00C01061" w:rsidRPr="00C01061">
        <w:rPr>
          <w:b/>
          <w:lang w:val="fr-CA"/>
        </w:rPr>
        <w:t>arrêts mentionnés</w:t>
      </w:r>
      <w:r w:rsidR="00795B2B">
        <w:rPr>
          <w:b/>
          <w:lang w:val="fr-CA"/>
        </w:rPr>
        <w:t> :</w:t>
      </w:r>
      <w:r w:rsidR="00C01061">
        <w:rPr>
          <w:lang w:val="fr-CA"/>
        </w:rPr>
        <w:t xml:space="preserve"> </w:t>
      </w:r>
      <w:r w:rsidR="004452E7" w:rsidRPr="00901DDE">
        <w:rPr>
          <w:i/>
          <w:lang w:val="fr-CA"/>
        </w:rPr>
        <w:t xml:space="preserve">Meredith </w:t>
      </w:r>
      <w:r w:rsidR="00860071" w:rsidRPr="00901DDE">
        <w:rPr>
          <w:i/>
          <w:lang w:val="fr-CA"/>
        </w:rPr>
        <w:t>c</w:t>
      </w:r>
      <w:r w:rsidR="004452E7" w:rsidRPr="00901DDE">
        <w:rPr>
          <w:i/>
          <w:lang w:val="fr-CA"/>
        </w:rPr>
        <w:t>. Canada (</w:t>
      </w:r>
      <w:r w:rsidR="00860071" w:rsidRPr="00901DDE">
        <w:rPr>
          <w:i/>
          <w:szCs w:val="24"/>
          <w:lang w:val="fr-CA"/>
        </w:rPr>
        <w:t>Procureur général</w:t>
      </w:r>
      <w:r w:rsidR="004452E7" w:rsidRPr="00901DDE">
        <w:rPr>
          <w:i/>
          <w:lang w:val="fr-CA"/>
        </w:rPr>
        <w:t>)</w:t>
      </w:r>
      <w:r w:rsidR="004452E7" w:rsidRPr="00901DDE">
        <w:rPr>
          <w:lang w:val="fr-CA"/>
        </w:rPr>
        <w:t>, 201</w:t>
      </w:r>
      <w:r w:rsidR="008B0562">
        <w:rPr>
          <w:lang w:val="fr-CA"/>
        </w:rPr>
        <w:t>5</w:t>
      </w:r>
      <w:r w:rsidR="004452E7" w:rsidRPr="00901DDE">
        <w:rPr>
          <w:lang w:val="fr-CA"/>
        </w:rPr>
        <w:t xml:space="preserve"> </w:t>
      </w:r>
      <w:r w:rsidR="00860071" w:rsidRPr="00901DDE">
        <w:rPr>
          <w:lang w:val="fr-CA"/>
        </w:rPr>
        <w:t xml:space="preserve">CSC </w:t>
      </w:r>
      <w:r w:rsidR="00284515">
        <w:rPr>
          <w:lang w:val="fr-CA"/>
        </w:rPr>
        <w:t>2</w:t>
      </w:r>
      <w:r w:rsidR="00B5428A">
        <w:rPr>
          <w:lang w:val="fr-CA"/>
        </w:rPr>
        <w:t xml:space="preserve">, [2015] 1 R.C.S. </w:t>
      </w:r>
      <w:r w:rsidR="0090661F">
        <w:rPr>
          <w:lang w:val="fr-CA"/>
        </w:rPr>
        <w:t>125</w:t>
      </w:r>
      <w:r w:rsidR="004452E7" w:rsidRPr="00901DDE">
        <w:rPr>
          <w:lang w:val="fr-CA"/>
        </w:rPr>
        <w:t xml:space="preserve">; </w:t>
      </w:r>
      <w:r w:rsidR="00860071" w:rsidRPr="00901DDE">
        <w:rPr>
          <w:i/>
          <w:szCs w:val="24"/>
          <w:lang w:val="fr-CA"/>
        </w:rPr>
        <w:t xml:space="preserve">Ontario (Sûreté et Sécurité publique) c. </w:t>
      </w:r>
      <w:proofErr w:type="spellStart"/>
      <w:r w:rsidR="00860071" w:rsidRPr="00901DDE">
        <w:rPr>
          <w:i/>
          <w:szCs w:val="24"/>
          <w:lang w:val="fr-CA"/>
        </w:rPr>
        <w:t>Criminal</w:t>
      </w:r>
      <w:proofErr w:type="spellEnd"/>
      <w:r w:rsidR="00860071" w:rsidRPr="00901DDE">
        <w:rPr>
          <w:i/>
          <w:szCs w:val="24"/>
          <w:lang w:val="fr-CA"/>
        </w:rPr>
        <w:t xml:space="preserve"> </w:t>
      </w:r>
      <w:proofErr w:type="spellStart"/>
      <w:r w:rsidR="00860071" w:rsidRPr="00901DDE">
        <w:rPr>
          <w:i/>
          <w:szCs w:val="24"/>
          <w:lang w:val="fr-CA"/>
        </w:rPr>
        <w:t>Lawyers</w:t>
      </w:r>
      <w:proofErr w:type="spellEnd"/>
      <w:r w:rsidR="00860071" w:rsidRPr="00901DDE">
        <w:rPr>
          <w:i/>
          <w:szCs w:val="24"/>
          <w:lang w:val="fr-CA"/>
        </w:rPr>
        <w:t>’ Association</w:t>
      </w:r>
      <w:r w:rsidR="004452E7" w:rsidRPr="00901DDE">
        <w:rPr>
          <w:lang w:val="fr-CA"/>
        </w:rPr>
        <w:t xml:space="preserve">, 2010 </w:t>
      </w:r>
      <w:r w:rsidR="00860071" w:rsidRPr="00901DDE">
        <w:rPr>
          <w:lang w:val="fr-CA"/>
        </w:rPr>
        <w:t xml:space="preserve">CSC </w:t>
      </w:r>
      <w:r w:rsidR="004452E7" w:rsidRPr="00901DDE">
        <w:rPr>
          <w:lang w:val="fr-CA"/>
        </w:rPr>
        <w:t xml:space="preserve">23, [2010] 1 </w:t>
      </w:r>
      <w:r w:rsidR="00860071" w:rsidRPr="00901DDE">
        <w:rPr>
          <w:lang w:val="fr-CA"/>
        </w:rPr>
        <w:t xml:space="preserve">R.C.S. </w:t>
      </w:r>
      <w:r w:rsidR="004452E7" w:rsidRPr="00901DDE">
        <w:rPr>
          <w:lang w:val="fr-CA"/>
        </w:rPr>
        <w:t xml:space="preserve">815; </w:t>
      </w:r>
      <w:r w:rsidR="00860071" w:rsidRPr="00901DDE">
        <w:rPr>
          <w:i/>
          <w:szCs w:val="24"/>
          <w:lang w:val="fr-CA"/>
        </w:rPr>
        <w:t xml:space="preserve">Renvoi relatif à la Public Service </w:t>
      </w:r>
      <w:proofErr w:type="spellStart"/>
      <w:r w:rsidR="00860071" w:rsidRPr="00901DDE">
        <w:rPr>
          <w:i/>
          <w:szCs w:val="24"/>
          <w:lang w:val="fr-CA"/>
        </w:rPr>
        <w:t>Employee</w:t>
      </w:r>
      <w:proofErr w:type="spellEnd"/>
      <w:r w:rsidR="00860071" w:rsidRPr="00901DDE">
        <w:rPr>
          <w:i/>
          <w:szCs w:val="24"/>
          <w:lang w:val="fr-CA"/>
        </w:rPr>
        <w:t xml:space="preserve"> Relations </w:t>
      </w:r>
      <w:proofErr w:type="spellStart"/>
      <w:r w:rsidR="00860071" w:rsidRPr="00901DDE">
        <w:rPr>
          <w:i/>
          <w:szCs w:val="24"/>
          <w:lang w:val="fr-CA"/>
        </w:rPr>
        <w:t>Act</w:t>
      </w:r>
      <w:proofErr w:type="spellEnd"/>
      <w:r w:rsidR="00860071" w:rsidRPr="00901DDE">
        <w:rPr>
          <w:i/>
          <w:szCs w:val="24"/>
          <w:lang w:val="fr-CA"/>
        </w:rPr>
        <w:t xml:space="preserve"> (</w:t>
      </w:r>
      <w:proofErr w:type="spellStart"/>
      <w:r w:rsidR="00860071" w:rsidRPr="00901DDE">
        <w:rPr>
          <w:i/>
          <w:szCs w:val="24"/>
          <w:lang w:val="fr-CA"/>
        </w:rPr>
        <w:t>Alb</w:t>
      </w:r>
      <w:proofErr w:type="spellEnd"/>
      <w:r w:rsidR="00860071" w:rsidRPr="00901DDE">
        <w:rPr>
          <w:i/>
          <w:szCs w:val="24"/>
          <w:lang w:val="fr-CA"/>
        </w:rPr>
        <w:t>.</w:t>
      </w:r>
      <w:r w:rsidR="004452E7" w:rsidRPr="00901DDE">
        <w:rPr>
          <w:i/>
          <w:lang w:val="fr-CA"/>
        </w:rPr>
        <w:t>)</w:t>
      </w:r>
      <w:r w:rsidR="004452E7" w:rsidRPr="00901DDE">
        <w:rPr>
          <w:lang w:val="fr-CA"/>
        </w:rPr>
        <w:t xml:space="preserve">, [1987] 1 </w:t>
      </w:r>
      <w:r w:rsidR="00860071" w:rsidRPr="00901DDE">
        <w:rPr>
          <w:lang w:val="fr-CA"/>
        </w:rPr>
        <w:t xml:space="preserve">R.C.S. </w:t>
      </w:r>
      <w:r w:rsidR="004452E7" w:rsidRPr="00901DDE">
        <w:rPr>
          <w:lang w:val="fr-CA"/>
        </w:rPr>
        <w:t xml:space="preserve">313; </w:t>
      </w:r>
      <w:r w:rsidR="00860071" w:rsidRPr="00901DDE">
        <w:rPr>
          <w:i/>
          <w:szCs w:val="24"/>
          <w:lang w:val="fr-CA"/>
        </w:rPr>
        <w:t xml:space="preserve">AFPC c. </w:t>
      </w:r>
      <w:r w:rsidR="004452E7" w:rsidRPr="00901DDE">
        <w:rPr>
          <w:i/>
          <w:lang w:val="fr-CA"/>
        </w:rPr>
        <w:t>Canada</w:t>
      </w:r>
      <w:r w:rsidR="004452E7" w:rsidRPr="00901DDE">
        <w:rPr>
          <w:lang w:val="fr-CA"/>
        </w:rPr>
        <w:t xml:space="preserve">, [1987] 1 </w:t>
      </w:r>
      <w:r w:rsidR="00860071" w:rsidRPr="00901DDE">
        <w:rPr>
          <w:lang w:val="fr-CA"/>
        </w:rPr>
        <w:t xml:space="preserve">R.C.S. </w:t>
      </w:r>
      <w:r w:rsidR="004452E7" w:rsidRPr="00901DDE">
        <w:rPr>
          <w:lang w:val="fr-CA"/>
        </w:rPr>
        <w:t xml:space="preserve">424; </w:t>
      </w:r>
      <w:r w:rsidR="00860071" w:rsidRPr="00901DDE">
        <w:rPr>
          <w:i/>
          <w:szCs w:val="24"/>
          <w:lang w:val="fr-CA"/>
        </w:rPr>
        <w:t xml:space="preserve">SDGMR c. </w:t>
      </w:r>
      <w:r w:rsidR="004452E7" w:rsidRPr="00901DDE">
        <w:rPr>
          <w:i/>
          <w:lang w:val="fr-CA"/>
        </w:rPr>
        <w:t>Saskatchewan</w:t>
      </w:r>
      <w:r w:rsidR="004452E7" w:rsidRPr="00901DDE">
        <w:rPr>
          <w:lang w:val="fr-CA"/>
        </w:rPr>
        <w:t xml:space="preserve">, [1987] 1 </w:t>
      </w:r>
      <w:r w:rsidR="00860071" w:rsidRPr="00901DDE">
        <w:rPr>
          <w:lang w:val="fr-CA"/>
        </w:rPr>
        <w:t xml:space="preserve">R.C.S. </w:t>
      </w:r>
      <w:r w:rsidR="004452E7" w:rsidRPr="00901DDE">
        <w:rPr>
          <w:lang w:val="fr-CA"/>
        </w:rPr>
        <w:t xml:space="preserve">460; </w:t>
      </w:r>
      <w:r w:rsidR="00860071" w:rsidRPr="00901DDE">
        <w:rPr>
          <w:bCs/>
          <w:i/>
          <w:szCs w:val="24"/>
          <w:lang w:val="fr-CA"/>
        </w:rPr>
        <w:t>Institut professionnel de la Fonction publique du Canada c. Territoires du Nord</w:t>
      </w:r>
      <w:r w:rsidR="00795B2B">
        <w:rPr>
          <w:bCs/>
          <w:i/>
          <w:szCs w:val="24"/>
          <w:lang w:val="fr-CA"/>
        </w:rPr>
        <w:t>-</w:t>
      </w:r>
      <w:r w:rsidR="00860071" w:rsidRPr="00901DDE">
        <w:rPr>
          <w:bCs/>
          <w:i/>
          <w:szCs w:val="24"/>
          <w:lang w:val="fr-CA"/>
        </w:rPr>
        <w:t>Ouest (Commissaire</w:t>
      </w:r>
      <w:r w:rsidR="004452E7" w:rsidRPr="00901DDE">
        <w:rPr>
          <w:i/>
          <w:lang w:val="fr-CA"/>
        </w:rPr>
        <w:t>)</w:t>
      </w:r>
      <w:r w:rsidR="004452E7" w:rsidRPr="00901DDE">
        <w:rPr>
          <w:lang w:val="fr-CA"/>
        </w:rPr>
        <w:t xml:space="preserve">, [1990] 2 </w:t>
      </w:r>
      <w:r w:rsidR="00860071" w:rsidRPr="00901DDE">
        <w:rPr>
          <w:lang w:val="fr-CA"/>
        </w:rPr>
        <w:t xml:space="preserve">R.C.S. </w:t>
      </w:r>
      <w:r w:rsidR="004452E7" w:rsidRPr="00901DDE">
        <w:rPr>
          <w:lang w:val="fr-CA"/>
        </w:rPr>
        <w:t xml:space="preserve">367; </w:t>
      </w:r>
      <w:r w:rsidR="00860071" w:rsidRPr="00901DDE">
        <w:rPr>
          <w:i/>
          <w:szCs w:val="24"/>
          <w:lang w:val="fr-CA"/>
        </w:rPr>
        <w:t xml:space="preserve">Office canadien de commercialisation des œufs c. </w:t>
      </w:r>
      <w:r w:rsidR="004452E7" w:rsidRPr="00901DDE">
        <w:rPr>
          <w:i/>
          <w:lang w:val="fr-CA"/>
        </w:rPr>
        <w:t>Richardson</w:t>
      </w:r>
      <w:r w:rsidR="004452E7" w:rsidRPr="00901DDE">
        <w:rPr>
          <w:lang w:val="fr-CA"/>
        </w:rPr>
        <w:t xml:space="preserve">, [1998] 3 </w:t>
      </w:r>
      <w:r w:rsidR="00860071" w:rsidRPr="00901DDE">
        <w:rPr>
          <w:lang w:val="fr-CA"/>
        </w:rPr>
        <w:t xml:space="preserve">R.C.S. </w:t>
      </w:r>
      <w:r w:rsidR="004452E7" w:rsidRPr="00901DDE">
        <w:rPr>
          <w:lang w:val="fr-CA"/>
        </w:rPr>
        <w:t xml:space="preserve">157; </w:t>
      </w:r>
      <w:r w:rsidR="00860071" w:rsidRPr="00901DDE">
        <w:rPr>
          <w:i/>
          <w:szCs w:val="24"/>
          <w:lang w:val="fr-CA"/>
        </w:rPr>
        <w:t>Lavigne c. Syndicat des employés de la fonction publique de l’Ontario</w:t>
      </w:r>
      <w:r w:rsidR="004452E7" w:rsidRPr="00901DDE">
        <w:rPr>
          <w:lang w:val="fr-CA"/>
        </w:rPr>
        <w:t xml:space="preserve">, [1991] 2 </w:t>
      </w:r>
      <w:r w:rsidR="00860071" w:rsidRPr="00901DDE">
        <w:rPr>
          <w:lang w:val="fr-CA"/>
        </w:rPr>
        <w:lastRenderedPageBreak/>
        <w:t xml:space="preserve">R.C.S. </w:t>
      </w:r>
      <w:r w:rsidR="004452E7" w:rsidRPr="00901DDE">
        <w:rPr>
          <w:lang w:val="fr-CA"/>
        </w:rPr>
        <w:t xml:space="preserve">211; </w:t>
      </w:r>
      <w:r w:rsidR="004452E7" w:rsidRPr="00901DDE">
        <w:rPr>
          <w:i/>
          <w:lang w:val="fr-CA"/>
        </w:rPr>
        <w:t xml:space="preserve">R. </w:t>
      </w:r>
      <w:r w:rsidR="00860071" w:rsidRPr="00901DDE">
        <w:rPr>
          <w:i/>
          <w:lang w:val="fr-CA"/>
        </w:rPr>
        <w:t>c</w:t>
      </w:r>
      <w:r w:rsidR="004452E7" w:rsidRPr="00901DDE">
        <w:rPr>
          <w:i/>
          <w:lang w:val="fr-CA"/>
        </w:rPr>
        <w:t xml:space="preserve">. </w:t>
      </w:r>
      <w:proofErr w:type="spellStart"/>
      <w:r w:rsidR="004452E7" w:rsidRPr="00901DDE">
        <w:rPr>
          <w:i/>
          <w:lang w:val="fr-CA"/>
        </w:rPr>
        <w:t>Advance</w:t>
      </w:r>
      <w:proofErr w:type="spellEnd"/>
      <w:r w:rsidR="004452E7" w:rsidRPr="00901DDE">
        <w:rPr>
          <w:i/>
          <w:lang w:val="fr-CA"/>
        </w:rPr>
        <w:t xml:space="preserve"> </w:t>
      </w:r>
      <w:proofErr w:type="spellStart"/>
      <w:r w:rsidR="004452E7" w:rsidRPr="00901DDE">
        <w:rPr>
          <w:i/>
          <w:lang w:val="fr-CA"/>
        </w:rPr>
        <w:t>Cutting</w:t>
      </w:r>
      <w:proofErr w:type="spellEnd"/>
      <w:r w:rsidR="004452E7" w:rsidRPr="00901DDE">
        <w:rPr>
          <w:i/>
          <w:lang w:val="fr-CA"/>
        </w:rPr>
        <w:t xml:space="preserve"> &amp; </w:t>
      </w:r>
      <w:proofErr w:type="spellStart"/>
      <w:r w:rsidR="004452E7" w:rsidRPr="00901DDE">
        <w:rPr>
          <w:i/>
          <w:lang w:val="fr-CA"/>
        </w:rPr>
        <w:t>Coring</w:t>
      </w:r>
      <w:proofErr w:type="spellEnd"/>
      <w:r w:rsidR="004452E7" w:rsidRPr="00901DDE">
        <w:rPr>
          <w:i/>
          <w:lang w:val="fr-CA"/>
        </w:rPr>
        <w:t xml:space="preserve"> Ltd.</w:t>
      </w:r>
      <w:r w:rsidR="004452E7" w:rsidRPr="00901DDE">
        <w:rPr>
          <w:lang w:val="fr-CA"/>
        </w:rPr>
        <w:t xml:space="preserve">, 2001 </w:t>
      </w:r>
      <w:r w:rsidR="00860071" w:rsidRPr="00901DDE">
        <w:rPr>
          <w:lang w:val="fr-CA"/>
        </w:rPr>
        <w:t xml:space="preserve">CSC </w:t>
      </w:r>
      <w:r w:rsidR="004452E7" w:rsidRPr="00901DDE">
        <w:rPr>
          <w:lang w:val="fr-CA"/>
        </w:rPr>
        <w:t xml:space="preserve">70, [2001] 3 </w:t>
      </w:r>
      <w:r w:rsidR="00860071" w:rsidRPr="00901DDE">
        <w:rPr>
          <w:lang w:val="fr-CA"/>
        </w:rPr>
        <w:t xml:space="preserve">R.C.S. </w:t>
      </w:r>
      <w:r w:rsidR="004452E7" w:rsidRPr="00901DDE">
        <w:rPr>
          <w:lang w:val="fr-CA"/>
        </w:rPr>
        <w:t xml:space="preserve">209; </w:t>
      </w:r>
      <w:r w:rsidR="00860071" w:rsidRPr="00901DDE">
        <w:rPr>
          <w:i/>
          <w:szCs w:val="24"/>
          <w:lang w:val="fr-CA"/>
        </w:rPr>
        <w:t>Bernard c. Canada (Procureur général</w:t>
      </w:r>
      <w:r w:rsidR="004452E7" w:rsidRPr="00901DDE">
        <w:rPr>
          <w:i/>
          <w:lang w:val="fr-CA"/>
        </w:rPr>
        <w:t>)</w:t>
      </w:r>
      <w:r w:rsidR="004452E7" w:rsidRPr="00901DDE">
        <w:rPr>
          <w:lang w:val="fr-CA"/>
        </w:rPr>
        <w:t xml:space="preserve">, 2014 </w:t>
      </w:r>
      <w:r w:rsidR="00860071" w:rsidRPr="00901DDE">
        <w:rPr>
          <w:lang w:val="fr-CA"/>
        </w:rPr>
        <w:t xml:space="preserve">CSC </w:t>
      </w:r>
      <w:r w:rsidR="004452E7" w:rsidRPr="00901DDE">
        <w:rPr>
          <w:lang w:val="fr-CA"/>
        </w:rPr>
        <w:t xml:space="preserve">13, [2014] 1 </w:t>
      </w:r>
      <w:r w:rsidR="00860071" w:rsidRPr="00901DDE">
        <w:rPr>
          <w:lang w:val="fr-CA"/>
        </w:rPr>
        <w:t xml:space="preserve">R.C.S. </w:t>
      </w:r>
      <w:r w:rsidR="004452E7" w:rsidRPr="00901DDE">
        <w:rPr>
          <w:lang w:val="fr-CA"/>
        </w:rPr>
        <w:t xml:space="preserve">227; </w:t>
      </w:r>
      <w:proofErr w:type="spellStart"/>
      <w:r w:rsidR="00860071" w:rsidRPr="00901DDE">
        <w:rPr>
          <w:i/>
          <w:szCs w:val="24"/>
          <w:lang w:val="fr-CA"/>
        </w:rPr>
        <w:t>Dunmore</w:t>
      </w:r>
      <w:proofErr w:type="spellEnd"/>
      <w:r w:rsidR="00860071" w:rsidRPr="00901DDE">
        <w:rPr>
          <w:i/>
          <w:szCs w:val="24"/>
          <w:lang w:val="fr-CA"/>
        </w:rPr>
        <w:t xml:space="preserve"> c. Ontario (Procureur général</w:t>
      </w:r>
      <w:r w:rsidR="004452E7" w:rsidRPr="00901DDE">
        <w:rPr>
          <w:i/>
          <w:lang w:val="fr-CA"/>
        </w:rPr>
        <w:t>)</w:t>
      </w:r>
      <w:r w:rsidR="004452E7" w:rsidRPr="00901DDE">
        <w:rPr>
          <w:lang w:val="fr-CA"/>
        </w:rPr>
        <w:t xml:space="preserve">, 2001 </w:t>
      </w:r>
      <w:r w:rsidR="00860071" w:rsidRPr="00901DDE">
        <w:rPr>
          <w:lang w:val="fr-CA"/>
        </w:rPr>
        <w:t xml:space="preserve">CSC </w:t>
      </w:r>
      <w:r w:rsidR="004452E7" w:rsidRPr="00901DDE">
        <w:rPr>
          <w:lang w:val="fr-CA"/>
        </w:rPr>
        <w:t xml:space="preserve">94, [2001] 3 </w:t>
      </w:r>
      <w:r w:rsidR="00860071" w:rsidRPr="00901DDE">
        <w:rPr>
          <w:lang w:val="fr-CA"/>
        </w:rPr>
        <w:t xml:space="preserve">R.C.S. </w:t>
      </w:r>
      <w:r w:rsidR="004452E7" w:rsidRPr="00901DDE">
        <w:rPr>
          <w:lang w:val="fr-CA"/>
        </w:rPr>
        <w:t xml:space="preserve">1016; </w:t>
      </w:r>
      <w:r w:rsidR="00C049C1" w:rsidRPr="00901DDE">
        <w:rPr>
          <w:i/>
          <w:lang w:val="fr-CA"/>
        </w:rPr>
        <w:t xml:space="preserve">R. c. </w:t>
      </w:r>
      <w:proofErr w:type="spellStart"/>
      <w:r w:rsidR="00C049C1" w:rsidRPr="00901DDE">
        <w:rPr>
          <w:i/>
          <w:lang w:val="fr-CA"/>
        </w:rPr>
        <w:t>Big</w:t>
      </w:r>
      <w:proofErr w:type="spellEnd"/>
      <w:r w:rsidR="00C049C1" w:rsidRPr="00901DDE">
        <w:rPr>
          <w:i/>
          <w:lang w:val="fr-CA"/>
        </w:rPr>
        <w:t xml:space="preserve"> M Drug </w:t>
      </w:r>
      <w:proofErr w:type="spellStart"/>
      <w:r w:rsidR="00C049C1" w:rsidRPr="00901DDE">
        <w:rPr>
          <w:i/>
          <w:lang w:val="fr-CA"/>
        </w:rPr>
        <w:t>Mart</w:t>
      </w:r>
      <w:proofErr w:type="spellEnd"/>
      <w:r w:rsidR="00C049C1" w:rsidRPr="00901DDE">
        <w:rPr>
          <w:i/>
          <w:lang w:val="fr-CA"/>
        </w:rPr>
        <w:t xml:space="preserve"> Ltd.</w:t>
      </w:r>
      <w:r w:rsidR="00C049C1" w:rsidRPr="00901DDE">
        <w:rPr>
          <w:lang w:val="fr-CA"/>
        </w:rPr>
        <w:t xml:space="preserve">, [1985] 1 R.C.S. 295; </w:t>
      </w:r>
      <w:r w:rsidR="00CD4CC4" w:rsidRPr="00901DDE">
        <w:rPr>
          <w:i/>
          <w:lang w:val="fr-CA"/>
        </w:rPr>
        <w:t>Saskatchewan (</w:t>
      </w:r>
      <w:proofErr w:type="spellStart"/>
      <w:r w:rsidR="00CD4CC4" w:rsidRPr="00901DDE">
        <w:rPr>
          <w:i/>
          <w:lang w:val="fr-CA"/>
        </w:rPr>
        <w:t>Human</w:t>
      </w:r>
      <w:proofErr w:type="spellEnd"/>
      <w:r w:rsidR="00CD4CC4" w:rsidRPr="00901DDE">
        <w:rPr>
          <w:i/>
          <w:lang w:val="fr-CA"/>
        </w:rPr>
        <w:t xml:space="preserve"> </w:t>
      </w:r>
      <w:proofErr w:type="spellStart"/>
      <w:r w:rsidR="00CD4CC4" w:rsidRPr="00901DDE">
        <w:rPr>
          <w:i/>
          <w:lang w:val="fr-CA"/>
        </w:rPr>
        <w:t>Rights</w:t>
      </w:r>
      <w:proofErr w:type="spellEnd"/>
      <w:r w:rsidR="00CD4CC4" w:rsidRPr="00901DDE">
        <w:rPr>
          <w:i/>
          <w:lang w:val="fr-CA"/>
        </w:rPr>
        <w:t xml:space="preserve"> Commission) c. </w:t>
      </w:r>
      <w:proofErr w:type="spellStart"/>
      <w:r w:rsidR="00CD4CC4" w:rsidRPr="00901DDE">
        <w:rPr>
          <w:i/>
          <w:lang w:val="fr-CA"/>
        </w:rPr>
        <w:t>Whatcott</w:t>
      </w:r>
      <w:proofErr w:type="spellEnd"/>
      <w:r w:rsidR="00CD4CC4" w:rsidRPr="00901DDE">
        <w:rPr>
          <w:lang w:val="fr-CA"/>
        </w:rPr>
        <w:t xml:space="preserve">, 2013 CSC 11, [2013] 1 R.C.S. 467; </w:t>
      </w:r>
      <w:r w:rsidR="00CD4CC4" w:rsidRPr="00901DDE">
        <w:rPr>
          <w:i/>
          <w:lang w:val="fr-CA"/>
        </w:rPr>
        <w:t xml:space="preserve">R. c. </w:t>
      </w:r>
      <w:proofErr w:type="spellStart"/>
      <w:r w:rsidR="00CD4CC4" w:rsidRPr="00901DDE">
        <w:rPr>
          <w:i/>
          <w:lang w:val="fr-CA"/>
        </w:rPr>
        <w:t>Keegstra</w:t>
      </w:r>
      <w:proofErr w:type="spellEnd"/>
      <w:r w:rsidR="00CD4CC4" w:rsidRPr="00901DDE">
        <w:rPr>
          <w:lang w:val="fr-CA"/>
        </w:rPr>
        <w:t xml:space="preserve">, [1990] 3 R.C.S. 697; </w:t>
      </w:r>
      <w:r w:rsidR="00860071" w:rsidRPr="00901DDE">
        <w:rPr>
          <w:i/>
          <w:szCs w:val="24"/>
          <w:lang w:val="fr-CA"/>
        </w:rPr>
        <w:t>Suresh c. Canada (Ministre de la Citoyenneté et de l’Immigration</w:t>
      </w:r>
      <w:r w:rsidR="004452E7" w:rsidRPr="00901DDE">
        <w:rPr>
          <w:i/>
          <w:lang w:val="fr-CA"/>
        </w:rPr>
        <w:t>)</w:t>
      </w:r>
      <w:r w:rsidR="004452E7" w:rsidRPr="00901DDE">
        <w:rPr>
          <w:lang w:val="fr-CA"/>
        </w:rPr>
        <w:t xml:space="preserve">, 2002 </w:t>
      </w:r>
      <w:r w:rsidR="00860071" w:rsidRPr="00901DDE">
        <w:rPr>
          <w:lang w:val="fr-CA"/>
        </w:rPr>
        <w:t xml:space="preserve">CSC </w:t>
      </w:r>
      <w:r w:rsidR="004452E7" w:rsidRPr="00901DDE">
        <w:rPr>
          <w:lang w:val="fr-CA"/>
        </w:rPr>
        <w:t xml:space="preserve">1, [2002] 1 </w:t>
      </w:r>
      <w:r w:rsidR="00860071" w:rsidRPr="00901DDE">
        <w:rPr>
          <w:lang w:val="fr-CA"/>
        </w:rPr>
        <w:t xml:space="preserve">R.C.S. </w:t>
      </w:r>
      <w:r w:rsidR="004452E7" w:rsidRPr="00901DDE">
        <w:rPr>
          <w:lang w:val="fr-CA"/>
        </w:rPr>
        <w:t xml:space="preserve">3; </w:t>
      </w:r>
      <w:r w:rsidR="004452E7" w:rsidRPr="00901DDE">
        <w:rPr>
          <w:i/>
          <w:lang w:val="fr-CA"/>
        </w:rPr>
        <w:t xml:space="preserve">R. </w:t>
      </w:r>
      <w:r w:rsidR="00860071" w:rsidRPr="00901DDE">
        <w:rPr>
          <w:i/>
          <w:lang w:val="fr-CA"/>
        </w:rPr>
        <w:t>c</w:t>
      </w:r>
      <w:r w:rsidR="004452E7" w:rsidRPr="00901DDE">
        <w:rPr>
          <w:i/>
          <w:lang w:val="fr-CA"/>
        </w:rPr>
        <w:t>. National Post</w:t>
      </w:r>
      <w:r w:rsidR="004452E7" w:rsidRPr="00901DDE">
        <w:rPr>
          <w:lang w:val="fr-CA"/>
        </w:rPr>
        <w:t xml:space="preserve">, 2010 </w:t>
      </w:r>
      <w:r w:rsidR="00860071" w:rsidRPr="00901DDE">
        <w:rPr>
          <w:lang w:val="fr-CA"/>
        </w:rPr>
        <w:t xml:space="preserve">CSC </w:t>
      </w:r>
      <w:r w:rsidR="004452E7" w:rsidRPr="00901DDE">
        <w:rPr>
          <w:lang w:val="fr-CA"/>
        </w:rPr>
        <w:t xml:space="preserve">16, [2010] 1 </w:t>
      </w:r>
      <w:r w:rsidR="00860071" w:rsidRPr="00901DDE">
        <w:rPr>
          <w:lang w:val="fr-CA"/>
        </w:rPr>
        <w:t xml:space="preserve">R.C.S. </w:t>
      </w:r>
      <w:r w:rsidR="004452E7" w:rsidRPr="00901DDE">
        <w:rPr>
          <w:lang w:val="fr-CA"/>
        </w:rPr>
        <w:t xml:space="preserve">477; </w:t>
      </w:r>
      <w:r w:rsidR="00CA31E9" w:rsidRPr="00901DDE">
        <w:rPr>
          <w:i/>
          <w:szCs w:val="24"/>
          <w:lang w:val="fr-CA"/>
        </w:rPr>
        <w:t>Sauvé c. Canada (Directeur général des élections</w:t>
      </w:r>
      <w:r w:rsidR="00CA31E9" w:rsidRPr="00901DDE">
        <w:rPr>
          <w:i/>
          <w:lang w:val="fr-CA"/>
        </w:rPr>
        <w:t>)</w:t>
      </w:r>
      <w:r w:rsidR="00CA31E9" w:rsidRPr="00901DDE">
        <w:rPr>
          <w:lang w:val="fr-CA"/>
        </w:rPr>
        <w:t xml:space="preserve">, 2002 CSC 68, [2002] 3 R.C.S. 519; </w:t>
      </w:r>
      <w:r w:rsidR="004452E7" w:rsidRPr="00901DDE">
        <w:rPr>
          <w:i/>
          <w:lang w:val="fr-CA"/>
        </w:rPr>
        <w:t xml:space="preserve">Alberta </w:t>
      </w:r>
      <w:r w:rsidR="00860071" w:rsidRPr="00901DDE">
        <w:rPr>
          <w:i/>
          <w:lang w:val="fr-CA"/>
        </w:rPr>
        <w:t>c</w:t>
      </w:r>
      <w:r w:rsidR="004452E7" w:rsidRPr="00901DDE">
        <w:rPr>
          <w:i/>
          <w:lang w:val="fr-CA"/>
        </w:rPr>
        <w:t xml:space="preserve">. </w:t>
      </w:r>
      <w:proofErr w:type="spellStart"/>
      <w:r w:rsidR="004452E7" w:rsidRPr="00901DDE">
        <w:rPr>
          <w:i/>
          <w:lang w:val="fr-CA"/>
        </w:rPr>
        <w:t>Hutterian</w:t>
      </w:r>
      <w:proofErr w:type="spellEnd"/>
      <w:r w:rsidR="004452E7" w:rsidRPr="00901DDE">
        <w:rPr>
          <w:i/>
          <w:lang w:val="fr-CA"/>
        </w:rPr>
        <w:t xml:space="preserve"> </w:t>
      </w:r>
      <w:proofErr w:type="spellStart"/>
      <w:r w:rsidR="004452E7" w:rsidRPr="00901DDE">
        <w:rPr>
          <w:i/>
          <w:lang w:val="fr-CA"/>
        </w:rPr>
        <w:t>Brethren</w:t>
      </w:r>
      <w:proofErr w:type="spellEnd"/>
      <w:r w:rsidR="004452E7" w:rsidRPr="00901DDE">
        <w:rPr>
          <w:i/>
          <w:lang w:val="fr-CA"/>
        </w:rPr>
        <w:t xml:space="preserve"> of Wilson </w:t>
      </w:r>
      <w:proofErr w:type="spellStart"/>
      <w:r w:rsidR="004452E7" w:rsidRPr="00901DDE">
        <w:rPr>
          <w:i/>
          <w:lang w:val="fr-CA"/>
        </w:rPr>
        <w:t>Colony</w:t>
      </w:r>
      <w:proofErr w:type="spellEnd"/>
      <w:r w:rsidR="004452E7" w:rsidRPr="00901DDE">
        <w:rPr>
          <w:lang w:val="fr-CA"/>
        </w:rPr>
        <w:t xml:space="preserve">, 2009 </w:t>
      </w:r>
      <w:r w:rsidR="00860071" w:rsidRPr="00901DDE">
        <w:rPr>
          <w:lang w:val="fr-CA"/>
        </w:rPr>
        <w:t xml:space="preserve">CSC </w:t>
      </w:r>
      <w:r w:rsidR="004452E7" w:rsidRPr="00901DDE">
        <w:rPr>
          <w:lang w:val="fr-CA"/>
        </w:rPr>
        <w:t xml:space="preserve">37, [2009] 2 </w:t>
      </w:r>
      <w:r w:rsidR="00860071" w:rsidRPr="00901DDE">
        <w:rPr>
          <w:lang w:val="fr-CA"/>
        </w:rPr>
        <w:t xml:space="preserve">R.C.S. </w:t>
      </w:r>
      <w:r w:rsidR="004452E7" w:rsidRPr="00901DDE">
        <w:rPr>
          <w:lang w:val="fr-CA"/>
        </w:rPr>
        <w:t xml:space="preserve">567; </w:t>
      </w:r>
      <w:r w:rsidR="003E639F" w:rsidRPr="00901DDE">
        <w:rPr>
          <w:i/>
          <w:lang w:val="fr-CA"/>
        </w:rPr>
        <w:t>Église métropolitaine de Bessarabie c. Moldova</w:t>
      </w:r>
      <w:r w:rsidR="003E639F" w:rsidRPr="00901DDE">
        <w:rPr>
          <w:lang w:val="fr-CA"/>
        </w:rPr>
        <w:t>, n</w:t>
      </w:r>
      <w:r w:rsidR="003E639F" w:rsidRPr="00901DDE">
        <w:rPr>
          <w:vertAlign w:val="superscript"/>
          <w:lang w:val="fr-CA"/>
        </w:rPr>
        <w:t>o</w:t>
      </w:r>
      <w:r w:rsidR="003E639F" w:rsidRPr="00901DDE">
        <w:rPr>
          <w:lang w:val="fr-CA"/>
        </w:rPr>
        <w:t xml:space="preserve"> 45701/99, CEDH 2001</w:t>
      </w:r>
      <w:r w:rsidR="00795B2B">
        <w:rPr>
          <w:lang w:val="fr-CA"/>
        </w:rPr>
        <w:t>-</w:t>
      </w:r>
      <w:r w:rsidR="003E639F" w:rsidRPr="00901DDE">
        <w:rPr>
          <w:lang w:val="fr-CA"/>
        </w:rPr>
        <w:t xml:space="preserve">XII; </w:t>
      </w:r>
      <w:proofErr w:type="spellStart"/>
      <w:r w:rsidR="004452E7" w:rsidRPr="00901DDE">
        <w:rPr>
          <w:i/>
          <w:lang w:val="fr-CA"/>
        </w:rPr>
        <w:t>Serbian</w:t>
      </w:r>
      <w:proofErr w:type="spellEnd"/>
      <w:r w:rsidR="004452E7" w:rsidRPr="00901DDE">
        <w:rPr>
          <w:i/>
          <w:lang w:val="fr-CA"/>
        </w:rPr>
        <w:t xml:space="preserve"> </w:t>
      </w:r>
      <w:proofErr w:type="spellStart"/>
      <w:r w:rsidR="004452E7" w:rsidRPr="00901DDE">
        <w:rPr>
          <w:i/>
          <w:lang w:val="fr-CA"/>
        </w:rPr>
        <w:t>Eastern</w:t>
      </w:r>
      <w:proofErr w:type="spellEnd"/>
      <w:r w:rsidR="004452E7" w:rsidRPr="00901DDE">
        <w:rPr>
          <w:i/>
          <w:lang w:val="fr-CA"/>
        </w:rPr>
        <w:t xml:space="preserve"> </w:t>
      </w:r>
      <w:proofErr w:type="spellStart"/>
      <w:r w:rsidR="004452E7" w:rsidRPr="00901DDE">
        <w:rPr>
          <w:i/>
          <w:lang w:val="fr-CA"/>
        </w:rPr>
        <w:t>Orthodox</w:t>
      </w:r>
      <w:proofErr w:type="spellEnd"/>
      <w:r w:rsidR="004452E7" w:rsidRPr="00901DDE">
        <w:rPr>
          <w:i/>
          <w:lang w:val="fr-CA"/>
        </w:rPr>
        <w:t xml:space="preserve"> </w:t>
      </w:r>
      <w:proofErr w:type="spellStart"/>
      <w:r w:rsidR="004452E7" w:rsidRPr="00901DDE">
        <w:rPr>
          <w:i/>
          <w:lang w:val="fr-CA"/>
        </w:rPr>
        <w:t>Diocese</w:t>
      </w:r>
      <w:proofErr w:type="spellEnd"/>
      <w:r w:rsidR="004452E7" w:rsidRPr="00901DDE">
        <w:rPr>
          <w:i/>
          <w:lang w:val="fr-CA"/>
        </w:rPr>
        <w:t xml:space="preserve"> </w:t>
      </w:r>
      <w:r w:rsidR="00860071" w:rsidRPr="00901DDE">
        <w:rPr>
          <w:i/>
          <w:lang w:val="fr-CA"/>
        </w:rPr>
        <w:t>c</w:t>
      </w:r>
      <w:r w:rsidR="004452E7" w:rsidRPr="00901DDE">
        <w:rPr>
          <w:i/>
          <w:lang w:val="fr-CA"/>
        </w:rPr>
        <w:t xml:space="preserve">. </w:t>
      </w:r>
      <w:proofErr w:type="spellStart"/>
      <w:r w:rsidR="004452E7" w:rsidRPr="00901DDE">
        <w:rPr>
          <w:i/>
          <w:lang w:val="fr-CA"/>
        </w:rPr>
        <w:t>Milivojevich</w:t>
      </w:r>
      <w:proofErr w:type="spellEnd"/>
      <w:r w:rsidR="004452E7" w:rsidRPr="00901DDE">
        <w:rPr>
          <w:lang w:val="fr-CA"/>
        </w:rPr>
        <w:t xml:space="preserve">, 426 U.S. 696 (1976); </w:t>
      </w:r>
      <w:r w:rsidR="00C049C1" w:rsidRPr="00901DDE">
        <w:rPr>
          <w:i/>
          <w:lang w:val="fr-CA"/>
        </w:rPr>
        <w:t xml:space="preserve">National Labor Relations </w:t>
      </w:r>
      <w:proofErr w:type="spellStart"/>
      <w:r w:rsidR="00C049C1" w:rsidRPr="00901DDE">
        <w:rPr>
          <w:i/>
          <w:lang w:val="fr-CA"/>
        </w:rPr>
        <w:t>Board</w:t>
      </w:r>
      <w:proofErr w:type="spellEnd"/>
      <w:r w:rsidR="00C049C1" w:rsidRPr="00901DDE">
        <w:rPr>
          <w:i/>
          <w:lang w:val="fr-CA"/>
        </w:rPr>
        <w:t xml:space="preserve"> </w:t>
      </w:r>
      <w:r w:rsidR="00000EAA" w:rsidRPr="00901DDE">
        <w:rPr>
          <w:i/>
          <w:lang w:val="fr-CA"/>
        </w:rPr>
        <w:t>c</w:t>
      </w:r>
      <w:r w:rsidR="00C049C1" w:rsidRPr="00901DDE">
        <w:rPr>
          <w:i/>
          <w:lang w:val="fr-CA"/>
        </w:rPr>
        <w:t xml:space="preserve">. Jones &amp; </w:t>
      </w:r>
      <w:proofErr w:type="spellStart"/>
      <w:r w:rsidR="00C049C1" w:rsidRPr="00901DDE">
        <w:rPr>
          <w:i/>
          <w:lang w:val="fr-CA"/>
        </w:rPr>
        <w:t>Laughlin</w:t>
      </w:r>
      <w:proofErr w:type="spellEnd"/>
      <w:r w:rsidR="00C049C1" w:rsidRPr="00901DDE">
        <w:rPr>
          <w:i/>
          <w:lang w:val="fr-CA"/>
        </w:rPr>
        <w:t xml:space="preserve"> </w:t>
      </w:r>
      <w:proofErr w:type="spellStart"/>
      <w:r w:rsidR="00C049C1" w:rsidRPr="00901DDE">
        <w:rPr>
          <w:i/>
          <w:lang w:val="fr-CA"/>
        </w:rPr>
        <w:t>Steel</w:t>
      </w:r>
      <w:proofErr w:type="spellEnd"/>
      <w:r w:rsidR="00C049C1" w:rsidRPr="00901DDE">
        <w:rPr>
          <w:i/>
          <w:lang w:val="fr-CA"/>
        </w:rPr>
        <w:t xml:space="preserve"> Corp.</w:t>
      </w:r>
      <w:r w:rsidR="00C049C1" w:rsidRPr="00901DDE">
        <w:rPr>
          <w:lang w:val="fr-CA"/>
        </w:rPr>
        <w:t xml:space="preserve">, 301 U.S. 1 (1937); </w:t>
      </w:r>
      <w:r w:rsidR="009C69C1" w:rsidRPr="00901DDE">
        <w:rPr>
          <w:i/>
          <w:szCs w:val="24"/>
          <w:lang w:val="fr-CA"/>
        </w:rPr>
        <w:t xml:space="preserve">Alberta (Information and </w:t>
      </w:r>
      <w:proofErr w:type="spellStart"/>
      <w:r w:rsidR="009C69C1" w:rsidRPr="00901DDE">
        <w:rPr>
          <w:i/>
          <w:szCs w:val="24"/>
          <w:lang w:val="fr-CA"/>
        </w:rPr>
        <w:t>Privacy</w:t>
      </w:r>
      <w:proofErr w:type="spellEnd"/>
      <w:r w:rsidR="009C69C1" w:rsidRPr="00901DDE">
        <w:rPr>
          <w:i/>
          <w:szCs w:val="24"/>
          <w:lang w:val="fr-CA"/>
        </w:rPr>
        <w:t xml:space="preserve"> </w:t>
      </w:r>
      <w:proofErr w:type="spellStart"/>
      <w:r w:rsidR="009C69C1" w:rsidRPr="00901DDE">
        <w:rPr>
          <w:i/>
          <w:szCs w:val="24"/>
          <w:lang w:val="fr-CA"/>
        </w:rPr>
        <w:t>Commissioner</w:t>
      </w:r>
      <w:proofErr w:type="spellEnd"/>
      <w:r w:rsidR="009C69C1" w:rsidRPr="00901DDE">
        <w:rPr>
          <w:i/>
          <w:szCs w:val="24"/>
          <w:lang w:val="fr-CA"/>
        </w:rPr>
        <w:t>) c. Travailleurs et travailleuses unis de l’alimentation et du commerce, section locale 401</w:t>
      </w:r>
      <w:r w:rsidR="004452E7" w:rsidRPr="00901DDE">
        <w:rPr>
          <w:lang w:val="fr-CA"/>
        </w:rPr>
        <w:t xml:space="preserve">, 2013 </w:t>
      </w:r>
      <w:r w:rsidR="00860071" w:rsidRPr="00901DDE">
        <w:rPr>
          <w:lang w:val="fr-CA"/>
        </w:rPr>
        <w:t xml:space="preserve">CSC </w:t>
      </w:r>
      <w:r w:rsidR="004452E7" w:rsidRPr="00901DDE">
        <w:rPr>
          <w:lang w:val="fr-CA"/>
        </w:rPr>
        <w:t xml:space="preserve">62, [2013] 3 </w:t>
      </w:r>
      <w:r w:rsidR="00860071" w:rsidRPr="00901DDE">
        <w:rPr>
          <w:lang w:val="fr-CA"/>
        </w:rPr>
        <w:t xml:space="preserve">R.C.S. </w:t>
      </w:r>
      <w:r w:rsidR="004452E7" w:rsidRPr="00901DDE">
        <w:rPr>
          <w:lang w:val="fr-CA"/>
        </w:rPr>
        <w:t xml:space="preserve">733; </w:t>
      </w:r>
      <w:r w:rsidR="009C69C1" w:rsidRPr="00901DDE">
        <w:rPr>
          <w:i/>
          <w:szCs w:val="24"/>
          <w:lang w:val="fr-CA"/>
        </w:rPr>
        <w:t xml:space="preserve">Mines Alerte Canada </w:t>
      </w:r>
      <w:r w:rsidR="00C3311E">
        <w:rPr>
          <w:i/>
          <w:szCs w:val="24"/>
          <w:lang w:val="fr-CA"/>
        </w:rPr>
        <w:t>c</w:t>
      </w:r>
      <w:r w:rsidR="009C69C1" w:rsidRPr="00901DDE">
        <w:rPr>
          <w:i/>
          <w:szCs w:val="24"/>
          <w:lang w:val="fr-CA"/>
        </w:rPr>
        <w:t>. Canada (Pêches et Océans</w:t>
      </w:r>
      <w:r w:rsidR="004452E7" w:rsidRPr="00901DDE">
        <w:rPr>
          <w:i/>
          <w:lang w:val="fr-CA"/>
        </w:rPr>
        <w:t>)</w:t>
      </w:r>
      <w:r w:rsidR="004452E7" w:rsidRPr="00901DDE">
        <w:rPr>
          <w:lang w:val="fr-CA"/>
        </w:rPr>
        <w:t xml:space="preserve">, 2010 </w:t>
      </w:r>
      <w:r w:rsidR="00860071" w:rsidRPr="00901DDE">
        <w:rPr>
          <w:lang w:val="fr-CA"/>
        </w:rPr>
        <w:t xml:space="preserve">CSC </w:t>
      </w:r>
      <w:r w:rsidR="004452E7" w:rsidRPr="00901DDE">
        <w:rPr>
          <w:lang w:val="fr-CA"/>
        </w:rPr>
        <w:t xml:space="preserve">2, [2010] 1 </w:t>
      </w:r>
      <w:r w:rsidR="00860071" w:rsidRPr="00901DDE">
        <w:rPr>
          <w:lang w:val="fr-CA"/>
        </w:rPr>
        <w:t xml:space="preserve">R.C.S. </w:t>
      </w:r>
      <w:r w:rsidR="004452E7" w:rsidRPr="00901DDE">
        <w:rPr>
          <w:lang w:val="fr-CA"/>
        </w:rPr>
        <w:t xml:space="preserve">6; </w:t>
      </w:r>
      <w:r w:rsidR="009C69C1" w:rsidRPr="00901DDE">
        <w:rPr>
          <w:i/>
          <w:szCs w:val="24"/>
          <w:lang w:val="fr-CA"/>
        </w:rPr>
        <w:t xml:space="preserve">RJR — </w:t>
      </w:r>
      <w:proofErr w:type="spellStart"/>
      <w:r w:rsidR="009C69C1" w:rsidRPr="00901DDE">
        <w:rPr>
          <w:i/>
          <w:szCs w:val="24"/>
          <w:lang w:val="fr-CA"/>
        </w:rPr>
        <w:t>MacDonald</w:t>
      </w:r>
      <w:proofErr w:type="spellEnd"/>
      <w:r w:rsidR="009C69C1" w:rsidRPr="00901DDE">
        <w:rPr>
          <w:i/>
          <w:szCs w:val="24"/>
          <w:lang w:val="fr-CA"/>
        </w:rPr>
        <w:t xml:space="preserve"> Inc. c. Canada (Procureur général</w:t>
      </w:r>
      <w:r w:rsidR="004452E7" w:rsidRPr="00901DDE">
        <w:rPr>
          <w:i/>
          <w:lang w:val="fr-CA"/>
        </w:rPr>
        <w:t>)</w:t>
      </w:r>
      <w:r w:rsidR="004452E7" w:rsidRPr="00901DDE">
        <w:rPr>
          <w:lang w:val="fr-CA"/>
        </w:rPr>
        <w:t xml:space="preserve">, [1994] 1 </w:t>
      </w:r>
      <w:r w:rsidR="00860071" w:rsidRPr="00901DDE">
        <w:rPr>
          <w:lang w:val="fr-CA"/>
        </w:rPr>
        <w:t xml:space="preserve">R.C.S. </w:t>
      </w:r>
      <w:r w:rsidR="004452E7" w:rsidRPr="00901DDE">
        <w:rPr>
          <w:lang w:val="fr-CA"/>
        </w:rPr>
        <w:t xml:space="preserve">311; </w:t>
      </w:r>
      <w:r w:rsidR="00597B58" w:rsidRPr="00901DDE">
        <w:rPr>
          <w:i/>
          <w:lang w:val="fr-CA"/>
        </w:rPr>
        <w:t>Canada c. Craig</w:t>
      </w:r>
      <w:r w:rsidR="00597B58" w:rsidRPr="00901DDE">
        <w:rPr>
          <w:lang w:val="fr-CA"/>
        </w:rPr>
        <w:t xml:space="preserve">, 2012 CSC 43, [2012] 2 R.C.S. 489; </w:t>
      </w:r>
      <w:r w:rsidR="00CF5287" w:rsidRPr="00901DDE">
        <w:rPr>
          <w:i/>
          <w:lang w:val="fr-CA"/>
        </w:rPr>
        <w:t>Canada (Procureur général) c. Bedford</w:t>
      </w:r>
      <w:r w:rsidR="00CF5287" w:rsidRPr="00901DDE">
        <w:rPr>
          <w:lang w:val="fr-CA"/>
        </w:rPr>
        <w:t xml:space="preserve">, 2013 CSC 72, [2013] 3 R.C.S. 1101; </w:t>
      </w:r>
      <w:r w:rsidR="003E639F" w:rsidRPr="003E639F">
        <w:rPr>
          <w:i/>
          <w:lang w:val="fr-CA"/>
        </w:rPr>
        <w:t xml:space="preserve">R. c. </w:t>
      </w:r>
      <w:proofErr w:type="spellStart"/>
      <w:r w:rsidR="003E639F" w:rsidRPr="003E639F">
        <w:rPr>
          <w:i/>
          <w:lang w:val="fr-CA"/>
        </w:rPr>
        <w:t>Oakes</w:t>
      </w:r>
      <w:proofErr w:type="spellEnd"/>
      <w:r w:rsidR="003E639F" w:rsidRPr="003E639F">
        <w:rPr>
          <w:lang w:val="fr-CA"/>
        </w:rPr>
        <w:t xml:space="preserve">, [1986] 1 </w:t>
      </w:r>
      <w:r w:rsidR="003E639F">
        <w:rPr>
          <w:lang w:val="fr-CA"/>
        </w:rPr>
        <w:t>R.C.</w:t>
      </w:r>
      <w:r w:rsidR="003E639F" w:rsidRPr="003E639F">
        <w:rPr>
          <w:lang w:val="fr-CA"/>
        </w:rPr>
        <w:t xml:space="preserve">S. 103; </w:t>
      </w:r>
      <w:r w:rsidR="009C69C1" w:rsidRPr="00901DDE">
        <w:rPr>
          <w:i/>
          <w:szCs w:val="24"/>
          <w:lang w:val="fr-CA"/>
        </w:rPr>
        <w:t>RJR</w:t>
      </w:r>
      <w:r w:rsidR="00795B2B">
        <w:rPr>
          <w:i/>
          <w:szCs w:val="24"/>
          <w:lang w:val="fr-CA"/>
        </w:rPr>
        <w:t>-</w:t>
      </w:r>
      <w:proofErr w:type="spellStart"/>
      <w:r w:rsidR="009C69C1" w:rsidRPr="00901DDE">
        <w:rPr>
          <w:i/>
          <w:szCs w:val="24"/>
          <w:lang w:val="fr-CA"/>
        </w:rPr>
        <w:t>MacDonald</w:t>
      </w:r>
      <w:proofErr w:type="spellEnd"/>
      <w:r w:rsidR="009C69C1" w:rsidRPr="00901DDE">
        <w:rPr>
          <w:i/>
          <w:szCs w:val="24"/>
          <w:lang w:val="fr-CA"/>
        </w:rPr>
        <w:t xml:space="preserve"> Inc. c. Canada (Procureur général</w:t>
      </w:r>
      <w:r w:rsidR="004452E7" w:rsidRPr="00901DDE">
        <w:rPr>
          <w:i/>
          <w:lang w:val="fr-CA"/>
        </w:rPr>
        <w:t>)</w:t>
      </w:r>
      <w:r w:rsidR="004452E7" w:rsidRPr="00901DDE">
        <w:rPr>
          <w:lang w:val="fr-CA"/>
        </w:rPr>
        <w:t xml:space="preserve">, [1995] 3 </w:t>
      </w:r>
      <w:r w:rsidR="00860071" w:rsidRPr="00901DDE">
        <w:rPr>
          <w:lang w:val="fr-CA"/>
        </w:rPr>
        <w:t xml:space="preserve">R.C.S. </w:t>
      </w:r>
      <w:r w:rsidR="004452E7" w:rsidRPr="00901DDE">
        <w:rPr>
          <w:lang w:val="fr-CA"/>
        </w:rPr>
        <w:t xml:space="preserve">199; </w:t>
      </w:r>
      <w:proofErr w:type="spellStart"/>
      <w:r w:rsidR="009C69C1" w:rsidRPr="00901DDE">
        <w:rPr>
          <w:i/>
          <w:szCs w:val="24"/>
          <w:lang w:val="fr-CA"/>
        </w:rPr>
        <w:t>Little</w:t>
      </w:r>
      <w:proofErr w:type="spellEnd"/>
      <w:r w:rsidR="009C69C1" w:rsidRPr="00901DDE">
        <w:rPr>
          <w:i/>
          <w:szCs w:val="24"/>
          <w:lang w:val="fr-CA"/>
        </w:rPr>
        <w:t xml:space="preserve"> </w:t>
      </w:r>
      <w:proofErr w:type="spellStart"/>
      <w:r w:rsidR="009C69C1" w:rsidRPr="00901DDE">
        <w:rPr>
          <w:i/>
          <w:szCs w:val="24"/>
          <w:lang w:val="fr-CA"/>
        </w:rPr>
        <w:t>Sisters</w:t>
      </w:r>
      <w:proofErr w:type="spellEnd"/>
      <w:r w:rsidR="009C69C1" w:rsidRPr="00901DDE">
        <w:rPr>
          <w:i/>
          <w:szCs w:val="24"/>
          <w:lang w:val="fr-CA"/>
        </w:rPr>
        <w:t xml:space="preserve"> Book and Art Emporium c. Canada (Ministre de la Justice</w:t>
      </w:r>
      <w:r w:rsidR="004452E7" w:rsidRPr="00901DDE">
        <w:rPr>
          <w:i/>
          <w:lang w:val="fr-CA"/>
        </w:rPr>
        <w:t>)</w:t>
      </w:r>
      <w:r w:rsidR="004452E7" w:rsidRPr="00901DDE">
        <w:rPr>
          <w:lang w:val="fr-CA"/>
        </w:rPr>
        <w:t xml:space="preserve">, 2000 </w:t>
      </w:r>
      <w:r w:rsidR="00860071" w:rsidRPr="00901DDE">
        <w:rPr>
          <w:lang w:val="fr-CA"/>
        </w:rPr>
        <w:t xml:space="preserve">CSC </w:t>
      </w:r>
      <w:r w:rsidR="004452E7" w:rsidRPr="00901DDE">
        <w:rPr>
          <w:lang w:val="fr-CA"/>
        </w:rPr>
        <w:t xml:space="preserve">69, [2000] 2 </w:t>
      </w:r>
      <w:r w:rsidR="00860071" w:rsidRPr="00901DDE">
        <w:rPr>
          <w:lang w:val="fr-CA"/>
        </w:rPr>
        <w:t xml:space="preserve">R.C.S. </w:t>
      </w:r>
      <w:r w:rsidR="004452E7" w:rsidRPr="00901DDE">
        <w:rPr>
          <w:lang w:val="fr-CA"/>
        </w:rPr>
        <w:t xml:space="preserve">1120; </w:t>
      </w:r>
      <w:r w:rsidR="009C69C1" w:rsidRPr="00901DDE">
        <w:rPr>
          <w:i/>
          <w:szCs w:val="24"/>
          <w:lang w:val="fr-CA"/>
        </w:rPr>
        <w:t xml:space="preserve">Canada (Procureur général) c. </w:t>
      </w:r>
      <w:r w:rsidR="004452E7" w:rsidRPr="00901DDE">
        <w:rPr>
          <w:i/>
          <w:lang w:val="fr-CA"/>
        </w:rPr>
        <w:t>JTI</w:t>
      </w:r>
      <w:r w:rsidR="00795B2B">
        <w:rPr>
          <w:i/>
          <w:lang w:val="fr-CA"/>
        </w:rPr>
        <w:t>-</w:t>
      </w:r>
      <w:r w:rsidR="004452E7" w:rsidRPr="00901DDE">
        <w:rPr>
          <w:i/>
          <w:lang w:val="fr-CA"/>
        </w:rPr>
        <w:t>Macdonald Corp.</w:t>
      </w:r>
      <w:r w:rsidR="004452E7" w:rsidRPr="00901DDE">
        <w:rPr>
          <w:lang w:val="fr-CA"/>
        </w:rPr>
        <w:t xml:space="preserve">, 2007 </w:t>
      </w:r>
      <w:r w:rsidR="00860071" w:rsidRPr="00901DDE">
        <w:rPr>
          <w:lang w:val="fr-CA"/>
        </w:rPr>
        <w:t xml:space="preserve">CSC </w:t>
      </w:r>
      <w:r w:rsidR="004452E7" w:rsidRPr="00901DDE">
        <w:rPr>
          <w:lang w:val="fr-CA"/>
        </w:rPr>
        <w:t xml:space="preserve">30, [2007] 2 </w:t>
      </w:r>
      <w:r w:rsidR="00860071" w:rsidRPr="00901DDE">
        <w:rPr>
          <w:lang w:val="fr-CA"/>
        </w:rPr>
        <w:t xml:space="preserve">R.C.S. </w:t>
      </w:r>
      <w:r w:rsidR="004452E7" w:rsidRPr="00901DDE">
        <w:rPr>
          <w:lang w:val="fr-CA"/>
        </w:rPr>
        <w:t xml:space="preserve">610; </w:t>
      </w:r>
      <w:r w:rsidR="009C69C1" w:rsidRPr="00901DDE">
        <w:rPr>
          <w:i/>
          <w:szCs w:val="24"/>
          <w:lang w:val="fr-CA"/>
        </w:rPr>
        <w:t>Harper c. Canada (Procureur général</w:t>
      </w:r>
      <w:r w:rsidR="004452E7" w:rsidRPr="00901DDE">
        <w:rPr>
          <w:i/>
          <w:lang w:val="fr-CA"/>
        </w:rPr>
        <w:t>)</w:t>
      </w:r>
      <w:r w:rsidR="004452E7" w:rsidRPr="00901DDE">
        <w:rPr>
          <w:lang w:val="fr-CA"/>
        </w:rPr>
        <w:t xml:space="preserve">, 2004 </w:t>
      </w:r>
      <w:r w:rsidR="00860071" w:rsidRPr="00901DDE">
        <w:rPr>
          <w:lang w:val="fr-CA"/>
        </w:rPr>
        <w:t xml:space="preserve">CSC </w:t>
      </w:r>
      <w:r w:rsidR="004452E7" w:rsidRPr="00901DDE">
        <w:rPr>
          <w:lang w:val="fr-CA"/>
        </w:rPr>
        <w:t xml:space="preserve">33, [2004] 1 </w:t>
      </w:r>
      <w:r w:rsidR="00860071" w:rsidRPr="00901DDE">
        <w:rPr>
          <w:lang w:val="fr-CA"/>
        </w:rPr>
        <w:t xml:space="preserve">R.C.S. </w:t>
      </w:r>
      <w:r w:rsidR="004452E7" w:rsidRPr="00901DDE">
        <w:rPr>
          <w:lang w:val="fr-CA"/>
        </w:rPr>
        <w:t xml:space="preserve">827; </w:t>
      </w:r>
      <w:r w:rsidR="009C69C1" w:rsidRPr="00901DDE">
        <w:rPr>
          <w:i/>
          <w:szCs w:val="24"/>
          <w:lang w:val="fr-CA"/>
        </w:rPr>
        <w:t>Ross c. Conseil scolaire du district n</w:t>
      </w:r>
      <w:r w:rsidR="009C69C1" w:rsidRPr="00901DDE">
        <w:rPr>
          <w:i/>
          <w:szCs w:val="24"/>
          <w:vertAlign w:val="superscript"/>
          <w:lang w:val="fr-CA"/>
        </w:rPr>
        <w:t>o</w:t>
      </w:r>
      <w:r w:rsidR="009C69C1" w:rsidRPr="00901DDE">
        <w:rPr>
          <w:i/>
          <w:szCs w:val="24"/>
          <w:lang w:val="fr-CA"/>
        </w:rPr>
        <w:t xml:space="preserve"> 15 du Nouveau</w:t>
      </w:r>
      <w:r w:rsidR="00795B2B">
        <w:rPr>
          <w:i/>
          <w:szCs w:val="24"/>
          <w:lang w:val="fr-CA"/>
        </w:rPr>
        <w:t>-</w:t>
      </w:r>
      <w:r w:rsidR="009C69C1" w:rsidRPr="00901DDE">
        <w:rPr>
          <w:i/>
          <w:szCs w:val="24"/>
          <w:lang w:val="fr-CA"/>
        </w:rPr>
        <w:t>Brunswick</w:t>
      </w:r>
      <w:r w:rsidR="004452E7" w:rsidRPr="00901DDE">
        <w:rPr>
          <w:lang w:val="fr-CA"/>
        </w:rPr>
        <w:t xml:space="preserve">, [1996] 1 </w:t>
      </w:r>
      <w:r w:rsidR="00860071" w:rsidRPr="00901DDE">
        <w:rPr>
          <w:lang w:val="fr-CA"/>
        </w:rPr>
        <w:t xml:space="preserve">R.C.S. </w:t>
      </w:r>
      <w:r w:rsidR="004452E7" w:rsidRPr="00901DDE">
        <w:rPr>
          <w:lang w:val="fr-CA"/>
        </w:rPr>
        <w:t>825.</w:t>
      </w:r>
    </w:p>
    <w:p w:rsidR="00597B58" w:rsidRPr="00901DDE" w:rsidRDefault="00597B58" w:rsidP="00795B2B">
      <w:pPr>
        <w:pStyle w:val="SCCNormalDoubleSpacing"/>
        <w:spacing w:after="720" w:line="240" w:lineRule="auto"/>
        <w:rPr>
          <w:lang w:val="fr-CA"/>
        </w:rPr>
      </w:pPr>
      <w:r w:rsidRPr="00901DDE">
        <w:rPr>
          <w:lang w:val="fr-CA"/>
        </w:rPr>
        <w:lastRenderedPageBreak/>
        <w:t xml:space="preserve">Citée par le juge </w:t>
      </w:r>
      <w:proofErr w:type="spellStart"/>
      <w:r w:rsidRPr="00901DDE">
        <w:rPr>
          <w:lang w:val="fr-CA"/>
        </w:rPr>
        <w:t>Rothstein</w:t>
      </w:r>
      <w:proofErr w:type="spellEnd"/>
      <w:r w:rsidR="00160FED" w:rsidRPr="00901DDE">
        <w:rPr>
          <w:lang w:val="fr-CA"/>
        </w:rPr>
        <w:t xml:space="preserve"> (dissident)</w:t>
      </w:r>
    </w:p>
    <w:p w:rsidR="00597B58" w:rsidRPr="00F57F9D" w:rsidRDefault="00597B58" w:rsidP="00795B2B">
      <w:pPr>
        <w:pStyle w:val="SCCNormalDoubleSpacing"/>
        <w:spacing w:after="480"/>
        <w:rPr>
          <w:lang w:val="fr-CA"/>
        </w:rPr>
      </w:pPr>
      <w:r w:rsidRPr="00901DDE">
        <w:rPr>
          <w:lang w:val="fr-CA"/>
        </w:rPr>
        <w:tab/>
      </w:r>
      <w:r w:rsidR="00160FED" w:rsidRPr="00901DDE">
        <w:rPr>
          <w:i/>
          <w:lang w:val="fr-CA"/>
        </w:rPr>
        <w:t xml:space="preserve">R. c. </w:t>
      </w:r>
      <w:proofErr w:type="spellStart"/>
      <w:r w:rsidR="00160FED" w:rsidRPr="00901DDE">
        <w:rPr>
          <w:i/>
          <w:lang w:val="fr-CA"/>
        </w:rPr>
        <w:t>Big</w:t>
      </w:r>
      <w:proofErr w:type="spellEnd"/>
      <w:r w:rsidR="00160FED" w:rsidRPr="00901DDE">
        <w:rPr>
          <w:i/>
          <w:lang w:val="fr-CA"/>
        </w:rPr>
        <w:t xml:space="preserve"> M Drug </w:t>
      </w:r>
      <w:proofErr w:type="spellStart"/>
      <w:r w:rsidR="00160FED" w:rsidRPr="00901DDE">
        <w:rPr>
          <w:i/>
          <w:lang w:val="fr-CA"/>
        </w:rPr>
        <w:t>Mart</w:t>
      </w:r>
      <w:proofErr w:type="spellEnd"/>
      <w:r w:rsidR="00160FED" w:rsidRPr="00901DDE">
        <w:rPr>
          <w:i/>
          <w:lang w:val="fr-CA"/>
        </w:rPr>
        <w:t xml:space="preserve"> Ltd.</w:t>
      </w:r>
      <w:r w:rsidR="00160FED" w:rsidRPr="00901DDE">
        <w:rPr>
          <w:lang w:val="fr-CA"/>
        </w:rPr>
        <w:t>, [1985] 1 R.C.S. 295;</w:t>
      </w:r>
      <w:r w:rsidR="00F71487" w:rsidRPr="00901DDE">
        <w:rPr>
          <w:lang w:val="fr-CA"/>
        </w:rPr>
        <w:t xml:space="preserve"> </w:t>
      </w:r>
      <w:proofErr w:type="spellStart"/>
      <w:r w:rsidR="000224A4" w:rsidRPr="00901DDE">
        <w:rPr>
          <w:i/>
          <w:lang w:val="fr-CA"/>
        </w:rPr>
        <w:t>Divito</w:t>
      </w:r>
      <w:proofErr w:type="spellEnd"/>
      <w:r w:rsidR="000224A4" w:rsidRPr="00901DDE">
        <w:rPr>
          <w:i/>
          <w:lang w:val="fr-CA"/>
        </w:rPr>
        <w:t xml:space="preserve"> c. Canada (Sécurité publique et Protection civile)</w:t>
      </w:r>
      <w:r w:rsidR="000224A4" w:rsidRPr="00901DDE">
        <w:rPr>
          <w:lang w:val="fr-CA"/>
        </w:rPr>
        <w:t xml:space="preserve">, 2013 CSC 47, [2013] 3 R.C.S. 157; </w:t>
      </w:r>
      <w:r w:rsidR="000224A4" w:rsidRPr="00901DDE">
        <w:rPr>
          <w:i/>
          <w:szCs w:val="24"/>
          <w:lang w:val="fr-CA"/>
        </w:rPr>
        <w:t>Ontario (Procureur général) c. Fraser</w:t>
      </w:r>
      <w:r w:rsidR="000224A4" w:rsidRPr="00901DDE">
        <w:rPr>
          <w:lang w:val="fr-CA"/>
        </w:rPr>
        <w:t xml:space="preserve">, 2011 CSC 20, [2011] 2 R.C.S. 3; </w:t>
      </w:r>
      <w:proofErr w:type="spellStart"/>
      <w:r w:rsidR="000224A4" w:rsidRPr="00901DDE">
        <w:rPr>
          <w:i/>
          <w:szCs w:val="24"/>
          <w:lang w:val="fr-CA"/>
        </w:rPr>
        <w:t>Health</w:t>
      </w:r>
      <w:proofErr w:type="spellEnd"/>
      <w:r w:rsidR="000224A4" w:rsidRPr="00901DDE">
        <w:rPr>
          <w:i/>
          <w:szCs w:val="24"/>
          <w:lang w:val="fr-CA"/>
        </w:rPr>
        <w:t xml:space="preserve"> Services and Support — </w:t>
      </w:r>
      <w:proofErr w:type="spellStart"/>
      <w:r w:rsidR="000224A4" w:rsidRPr="00901DDE">
        <w:rPr>
          <w:i/>
          <w:szCs w:val="24"/>
          <w:lang w:val="fr-CA"/>
        </w:rPr>
        <w:t>Facilities</w:t>
      </w:r>
      <w:proofErr w:type="spellEnd"/>
      <w:r w:rsidR="000224A4" w:rsidRPr="00901DDE">
        <w:rPr>
          <w:i/>
          <w:szCs w:val="24"/>
          <w:lang w:val="fr-CA"/>
        </w:rPr>
        <w:t xml:space="preserve"> </w:t>
      </w:r>
      <w:proofErr w:type="spellStart"/>
      <w:r w:rsidR="000224A4" w:rsidRPr="00901DDE">
        <w:rPr>
          <w:i/>
          <w:szCs w:val="24"/>
          <w:lang w:val="fr-CA"/>
        </w:rPr>
        <w:t>Subsector</w:t>
      </w:r>
      <w:proofErr w:type="spellEnd"/>
      <w:r w:rsidR="000224A4" w:rsidRPr="00901DDE">
        <w:rPr>
          <w:i/>
          <w:szCs w:val="24"/>
          <w:lang w:val="fr-CA"/>
        </w:rPr>
        <w:t xml:space="preserve"> </w:t>
      </w:r>
      <w:proofErr w:type="spellStart"/>
      <w:r w:rsidR="000224A4" w:rsidRPr="00901DDE">
        <w:rPr>
          <w:i/>
          <w:szCs w:val="24"/>
          <w:lang w:val="fr-CA"/>
        </w:rPr>
        <w:t>Bargaining</w:t>
      </w:r>
      <w:proofErr w:type="spellEnd"/>
      <w:r w:rsidR="000224A4" w:rsidRPr="00901DDE">
        <w:rPr>
          <w:i/>
          <w:szCs w:val="24"/>
          <w:lang w:val="fr-CA"/>
        </w:rPr>
        <w:t xml:space="preserve"> </w:t>
      </w:r>
      <w:proofErr w:type="spellStart"/>
      <w:r w:rsidR="000224A4" w:rsidRPr="00901DDE">
        <w:rPr>
          <w:i/>
          <w:szCs w:val="24"/>
          <w:lang w:val="fr-CA"/>
        </w:rPr>
        <w:t>Assn</w:t>
      </w:r>
      <w:proofErr w:type="spellEnd"/>
      <w:r w:rsidR="000224A4" w:rsidRPr="00901DDE">
        <w:rPr>
          <w:i/>
          <w:szCs w:val="24"/>
          <w:lang w:val="fr-CA"/>
        </w:rPr>
        <w:t>. c. Colombie</w:t>
      </w:r>
      <w:r w:rsidR="00795B2B">
        <w:rPr>
          <w:i/>
          <w:szCs w:val="24"/>
          <w:lang w:val="fr-CA"/>
        </w:rPr>
        <w:t>-</w:t>
      </w:r>
      <w:r w:rsidR="000224A4" w:rsidRPr="00901DDE">
        <w:rPr>
          <w:i/>
          <w:szCs w:val="24"/>
          <w:lang w:val="fr-CA"/>
        </w:rPr>
        <w:t>Britannique</w:t>
      </w:r>
      <w:r w:rsidR="000224A4" w:rsidRPr="00901DDE">
        <w:rPr>
          <w:lang w:val="fr-CA"/>
        </w:rPr>
        <w:t xml:space="preserve">, 2007 CSC 27, [2007] 2 R.C.S. 391; </w:t>
      </w:r>
      <w:r w:rsidR="000224A4" w:rsidRPr="00901DDE">
        <w:rPr>
          <w:i/>
          <w:szCs w:val="24"/>
          <w:lang w:val="fr-CA"/>
        </w:rPr>
        <w:t>Lavigne c. Syndicat des employés de la fonction publique de l’Ontario</w:t>
      </w:r>
      <w:r w:rsidR="000224A4" w:rsidRPr="00901DDE">
        <w:rPr>
          <w:lang w:val="fr-CA"/>
        </w:rPr>
        <w:t xml:space="preserve">, [1991] 2 R.C.S. 211; </w:t>
      </w:r>
      <w:r w:rsidR="000224A4" w:rsidRPr="00901DDE">
        <w:rPr>
          <w:i/>
          <w:lang w:val="fr-CA"/>
        </w:rPr>
        <w:t xml:space="preserve">R. c. </w:t>
      </w:r>
      <w:proofErr w:type="spellStart"/>
      <w:r w:rsidR="000224A4" w:rsidRPr="00901DDE">
        <w:rPr>
          <w:i/>
          <w:lang w:val="fr-CA"/>
        </w:rPr>
        <w:t>Advance</w:t>
      </w:r>
      <w:proofErr w:type="spellEnd"/>
      <w:r w:rsidR="000224A4" w:rsidRPr="00901DDE">
        <w:rPr>
          <w:i/>
          <w:lang w:val="fr-CA"/>
        </w:rPr>
        <w:t xml:space="preserve"> </w:t>
      </w:r>
      <w:proofErr w:type="spellStart"/>
      <w:r w:rsidR="000224A4" w:rsidRPr="00901DDE">
        <w:rPr>
          <w:i/>
          <w:lang w:val="fr-CA"/>
        </w:rPr>
        <w:t>Cutting</w:t>
      </w:r>
      <w:proofErr w:type="spellEnd"/>
      <w:r w:rsidR="000224A4" w:rsidRPr="00901DDE">
        <w:rPr>
          <w:i/>
          <w:lang w:val="fr-CA"/>
        </w:rPr>
        <w:t xml:space="preserve"> &amp; </w:t>
      </w:r>
      <w:proofErr w:type="spellStart"/>
      <w:r w:rsidR="000224A4" w:rsidRPr="00901DDE">
        <w:rPr>
          <w:i/>
          <w:lang w:val="fr-CA"/>
        </w:rPr>
        <w:t>Coring</w:t>
      </w:r>
      <w:proofErr w:type="spellEnd"/>
      <w:r w:rsidR="000224A4" w:rsidRPr="00901DDE">
        <w:rPr>
          <w:i/>
          <w:lang w:val="fr-CA"/>
        </w:rPr>
        <w:t xml:space="preserve"> Ltd.</w:t>
      </w:r>
      <w:r w:rsidR="000224A4" w:rsidRPr="00901DDE">
        <w:rPr>
          <w:lang w:val="fr-CA"/>
        </w:rPr>
        <w:t xml:space="preserve">, 2001 CSC 70, [2001] 3 R.C.S. 209; </w:t>
      </w:r>
      <w:r w:rsidR="000224A4" w:rsidRPr="00901DDE">
        <w:rPr>
          <w:i/>
          <w:lang w:val="fr-CA"/>
        </w:rPr>
        <w:t>Guilde de la marine marchande du Canada c. Gagnon</w:t>
      </w:r>
      <w:r w:rsidR="000224A4" w:rsidRPr="00901DDE">
        <w:rPr>
          <w:lang w:val="fr-CA"/>
        </w:rPr>
        <w:t xml:space="preserve">, [1984] 1 R.C.S. 509; </w:t>
      </w:r>
      <w:r w:rsidR="000224A4" w:rsidRPr="00901DDE">
        <w:rPr>
          <w:i/>
          <w:lang w:val="fr-CA"/>
        </w:rPr>
        <w:t>Gendron c. Syndicat des approvisionnements et services de l’Alliance de la Fonction publique du Canada, section locale 50057</w:t>
      </w:r>
      <w:r w:rsidR="000224A4" w:rsidRPr="00901DDE">
        <w:rPr>
          <w:lang w:val="fr-CA"/>
        </w:rPr>
        <w:t xml:space="preserve">, [1990] 1 R.C.S. 1298; </w:t>
      </w:r>
      <w:r w:rsidR="00460622" w:rsidRPr="00901DDE">
        <w:rPr>
          <w:i/>
          <w:szCs w:val="24"/>
          <w:lang w:val="fr-CA"/>
        </w:rPr>
        <w:t>Delisle c. Canada (Sous</w:t>
      </w:r>
      <w:r w:rsidR="00795B2B">
        <w:rPr>
          <w:i/>
          <w:szCs w:val="24"/>
          <w:lang w:val="fr-CA"/>
        </w:rPr>
        <w:t>-</w:t>
      </w:r>
      <w:r w:rsidR="00460622" w:rsidRPr="00901DDE">
        <w:rPr>
          <w:i/>
          <w:szCs w:val="24"/>
          <w:lang w:val="fr-CA"/>
        </w:rPr>
        <w:t>procureur général</w:t>
      </w:r>
      <w:r w:rsidR="00460622" w:rsidRPr="00901DDE">
        <w:rPr>
          <w:i/>
          <w:lang w:val="fr-CA"/>
        </w:rPr>
        <w:t>)</w:t>
      </w:r>
      <w:r w:rsidR="00460622" w:rsidRPr="00901DDE">
        <w:rPr>
          <w:lang w:val="fr-CA"/>
        </w:rPr>
        <w:t xml:space="preserve">, [1999] 2 R.C.S. 989; </w:t>
      </w:r>
      <w:r w:rsidR="008D176F" w:rsidRPr="006716C6">
        <w:rPr>
          <w:i/>
          <w:szCs w:val="24"/>
          <w:lang w:val="fr-CA"/>
        </w:rPr>
        <w:t xml:space="preserve">Renvoi relatif à la Public Service </w:t>
      </w:r>
      <w:proofErr w:type="spellStart"/>
      <w:r w:rsidR="008D176F" w:rsidRPr="006716C6">
        <w:rPr>
          <w:i/>
          <w:szCs w:val="24"/>
          <w:lang w:val="fr-CA"/>
        </w:rPr>
        <w:t>Employee</w:t>
      </w:r>
      <w:proofErr w:type="spellEnd"/>
      <w:r w:rsidR="008D176F" w:rsidRPr="006716C6">
        <w:rPr>
          <w:i/>
          <w:szCs w:val="24"/>
          <w:lang w:val="fr-CA"/>
        </w:rPr>
        <w:t xml:space="preserve"> Relations </w:t>
      </w:r>
      <w:proofErr w:type="spellStart"/>
      <w:r w:rsidR="008D176F" w:rsidRPr="006716C6">
        <w:rPr>
          <w:i/>
          <w:szCs w:val="24"/>
          <w:lang w:val="fr-CA"/>
        </w:rPr>
        <w:t>Act</w:t>
      </w:r>
      <w:proofErr w:type="spellEnd"/>
      <w:r w:rsidR="008D176F" w:rsidRPr="006716C6">
        <w:rPr>
          <w:i/>
          <w:szCs w:val="24"/>
          <w:lang w:val="fr-CA"/>
        </w:rPr>
        <w:t xml:space="preserve"> (</w:t>
      </w:r>
      <w:proofErr w:type="spellStart"/>
      <w:r w:rsidR="008D176F" w:rsidRPr="006716C6">
        <w:rPr>
          <w:i/>
          <w:szCs w:val="24"/>
          <w:lang w:val="fr-CA"/>
        </w:rPr>
        <w:t>Alb</w:t>
      </w:r>
      <w:proofErr w:type="spellEnd"/>
      <w:r w:rsidR="008D176F" w:rsidRPr="006716C6">
        <w:rPr>
          <w:i/>
          <w:szCs w:val="24"/>
          <w:lang w:val="fr-CA"/>
        </w:rPr>
        <w:t>.</w:t>
      </w:r>
      <w:r w:rsidR="008D176F" w:rsidRPr="006716C6">
        <w:rPr>
          <w:i/>
          <w:lang w:val="fr-CA"/>
        </w:rPr>
        <w:t>)</w:t>
      </w:r>
      <w:r w:rsidR="008D176F" w:rsidRPr="006716C6">
        <w:rPr>
          <w:lang w:val="fr-CA"/>
        </w:rPr>
        <w:t xml:space="preserve">, [1987] 1 R.C.S. 313; </w:t>
      </w:r>
      <w:r w:rsidR="008D176F" w:rsidRPr="006716C6">
        <w:rPr>
          <w:i/>
          <w:szCs w:val="24"/>
          <w:lang w:val="fr-CA"/>
        </w:rPr>
        <w:t xml:space="preserve">AFPC c. </w:t>
      </w:r>
      <w:r w:rsidR="008D176F" w:rsidRPr="006716C6">
        <w:rPr>
          <w:i/>
          <w:lang w:val="fr-CA"/>
        </w:rPr>
        <w:t>Canada</w:t>
      </w:r>
      <w:r w:rsidR="008D176F" w:rsidRPr="006716C6">
        <w:rPr>
          <w:lang w:val="fr-CA"/>
        </w:rPr>
        <w:t xml:space="preserve">, [1987] 1 R.C.S. 424; </w:t>
      </w:r>
      <w:r w:rsidR="008D176F" w:rsidRPr="006716C6">
        <w:rPr>
          <w:i/>
          <w:szCs w:val="24"/>
          <w:lang w:val="fr-CA"/>
        </w:rPr>
        <w:t xml:space="preserve">SDGMR c. </w:t>
      </w:r>
      <w:r w:rsidR="008D176F" w:rsidRPr="006716C6">
        <w:rPr>
          <w:i/>
          <w:lang w:val="fr-CA"/>
        </w:rPr>
        <w:t>Saskatchewan</w:t>
      </w:r>
      <w:r w:rsidR="008D176F" w:rsidRPr="006716C6">
        <w:rPr>
          <w:lang w:val="fr-CA"/>
        </w:rPr>
        <w:t xml:space="preserve">, [1987] 1 R.C.S. 460; </w:t>
      </w:r>
      <w:proofErr w:type="spellStart"/>
      <w:r w:rsidR="008D176F" w:rsidRPr="00901DDE">
        <w:rPr>
          <w:i/>
          <w:szCs w:val="24"/>
          <w:lang w:val="fr-CA"/>
        </w:rPr>
        <w:t>Dunmore</w:t>
      </w:r>
      <w:proofErr w:type="spellEnd"/>
      <w:r w:rsidR="008D176F" w:rsidRPr="00901DDE">
        <w:rPr>
          <w:i/>
          <w:szCs w:val="24"/>
          <w:lang w:val="fr-CA"/>
        </w:rPr>
        <w:t xml:space="preserve"> c. Ontario (Procureur général</w:t>
      </w:r>
      <w:r w:rsidR="008D176F" w:rsidRPr="00901DDE">
        <w:rPr>
          <w:i/>
          <w:lang w:val="fr-CA"/>
        </w:rPr>
        <w:t>)</w:t>
      </w:r>
      <w:r w:rsidR="008D176F" w:rsidRPr="00901DDE">
        <w:rPr>
          <w:lang w:val="fr-CA"/>
        </w:rPr>
        <w:t>, 2001 CSC 94, [2001] 3 R.C.S. 1016</w:t>
      </w:r>
      <w:r w:rsidR="008D176F" w:rsidRPr="006716C6">
        <w:rPr>
          <w:lang w:val="fr-CA"/>
        </w:rPr>
        <w:t xml:space="preserve">; </w:t>
      </w:r>
      <w:r w:rsidR="008D176F" w:rsidRPr="00901DDE">
        <w:rPr>
          <w:i/>
          <w:lang w:val="fr-CA"/>
        </w:rPr>
        <w:t>Canada (Procureur général) c. Bedford</w:t>
      </w:r>
      <w:r w:rsidR="008D176F" w:rsidRPr="00901DDE">
        <w:rPr>
          <w:lang w:val="fr-CA"/>
        </w:rPr>
        <w:t xml:space="preserve">, 2013 CSC 72, [2013] 3 R.C.S. 1101; </w:t>
      </w:r>
      <w:r w:rsidR="00DA4B1B" w:rsidRPr="00901DDE">
        <w:rPr>
          <w:i/>
          <w:lang w:val="fr-CA"/>
        </w:rPr>
        <w:t>Meredith c. Canada (</w:t>
      </w:r>
      <w:r w:rsidR="00DA4B1B" w:rsidRPr="00901DDE">
        <w:rPr>
          <w:i/>
          <w:szCs w:val="24"/>
          <w:lang w:val="fr-CA"/>
        </w:rPr>
        <w:t>Procureur général</w:t>
      </w:r>
      <w:r w:rsidR="00DA4B1B" w:rsidRPr="00901DDE">
        <w:rPr>
          <w:i/>
          <w:lang w:val="fr-CA"/>
        </w:rPr>
        <w:t>)</w:t>
      </w:r>
      <w:r w:rsidR="00DA4B1B" w:rsidRPr="00901DDE">
        <w:rPr>
          <w:lang w:val="fr-CA"/>
        </w:rPr>
        <w:t>, 201</w:t>
      </w:r>
      <w:r w:rsidR="008B0562">
        <w:rPr>
          <w:lang w:val="fr-CA"/>
        </w:rPr>
        <w:t>5</w:t>
      </w:r>
      <w:r w:rsidR="00DA4B1B" w:rsidRPr="00901DDE">
        <w:rPr>
          <w:lang w:val="fr-CA"/>
        </w:rPr>
        <w:t xml:space="preserve"> CSC </w:t>
      </w:r>
      <w:r w:rsidR="00284515">
        <w:rPr>
          <w:lang w:val="fr-CA"/>
        </w:rPr>
        <w:t>2</w:t>
      </w:r>
      <w:r w:rsidR="00410CFC">
        <w:rPr>
          <w:lang w:val="fr-CA"/>
        </w:rPr>
        <w:t xml:space="preserve">, [2015] 1 R.C.S. </w:t>
      </w:r>
      <w:r w:rsidR="0090661F">
        <w:rPr>
          <w:lang w:val="fr-CA"/>
        </w:rPr>
        <w:t>125</w:t>
      </w:r>
      <w:r w:rsidR="00DA4B1B" w:rsidRPr="003E639F">
        <w:rPr>
          <w:lang w:val="fr-CA"/>
        </w:rPr>
        <w:t xml:space="preserve">; </w:t>
      </w:r>
      <w:proofErr w:type="spellStart"/>
      <w:r w:rsidR="000224A4" w:rsidRPr="003E639F">
        <w:rPr>
          <w:i/>
          <w:szCs w:val="24"/>
          <w:lang w:val="fr-CA"/>
        </w:rPr>
        <w:t>Little</w:t>
      </w:r>
      <w:proofErr w:type="spellEnd"/>
      <w:r w:rsidR="000224A4" w:rsidRPr="003E639F">
        <w:rPr>
          <w:i/>
          <w:szCs w:val="24"/>
          <w:lang w:val="fr-CA"/>
        </w:rPr>
        <w:t xml:space="preserve"> </w:t>
      </w:r>
      <w:proofErr w:type="spellStart"/>
      <w:r w:rsidR="000224A4" w:rsidRPr="003E639F">
        <w:rPr>
          <w:i/>
          <w:szCs w:val="24"/>
          <w:lang w:val="fr-CA"/>
        </w:rPr>
        <w:t>Sisters</w:t>
      </w:r>
      <w:proofErr w:type="spellEnd"/>
      <w:r w:rsidR="000224A4" w:rsidRPr="003E639F">
        <w:rPr>
          <w:i/>
          <w:szCs w:val="24"/>
          <w:lang w:val="fr-CA"/>
        </w:rPr>
        <w:t xml:space="preserve"> Book and Art Emporium c. Canada (Ministre de la Justice</w:t>
      </w:r>
      <w:r w:rsidR="000224A4" w:rsidRPr="003E639F">
        <w:rPr>
          <w:i/>
          <w:lang w:val="fr-CA"/>
        </w:rPr>
        <w:t>)</w:t>
      </w:r>
      <w:r w:rsidR="000224A4" w:rsidRPr="003E639F">
        <w:rPr>
          <w:lang w:val="fr-CA"/>
        </w:rPr>
        <w:t xml:space="preserve">, 2000 CSC 69, [2000] 2 R.C.S. 1120; </w:t>
      </w:r>
      <w:r w:rsidR="000224A4" w:rsidRPr="003E639F">
        <w:rPr>
          <w:i/>
          <w:szCs w:val="24"/>
          <w:lang w:val="fr-CA"/>
        </w:rPr>
        <w:t xml:space="preserve">Canada (Procureur général) c. </w:t>
      </w:r>
      <w:r w:rsidR="000224A4" w:rsidRPr="003E639F">
        <w:rPr>
          <w:i/>
          <w:lang w:val="fr-CA"/>
        </w:rPr>
        <w:t>JTI</w:t>
      </w:r>
      <w:r w:rsidR="00795B2B">
        <w:rPr>
          <w:i/>
          <w:lang w:val="fr-CA"/>
        </w:rPr>
        <w:t>-</w:t>
      </w:r>
      <w:r w:rsidR="000224A4" w:rsidRPr="003E639F">
        <w:rPr>
          <w:i/>
          <w:lang w:val="fr-CA"/>
        </w:rPr>
        <w:t>Macdonald Corp.</w:t>
      </w:r>
      <w:r w:rsidR="000224A4" w:rsidRPr="003E639F">
        <w:rPr>
          <w:lang w:val="fr-CA"/>
        </w:rPr>
        <w:t>, 2007 CSC 30, [2007] 2 R.C.S. 610</w:t>
      </w:r>
      <w:r w:rsidR="00CF31F2" w:rsidRPr="003E639F">
        <w:rPr>
          <w:lang w:val="fr-CA"/>
        </w:rPr>
        <w:t xml:space="preserve">; </w:t>
      </w:r>
      <w:r w:rsidR="00CF31F2" w:rsidRPr="003E639F">
        <w:rPr>
          <w:i/>
          <w:szCs w:val="24"/>
          <w:lang w:val="fr-CA"/>
        </w:rPr>
        <w:t>RJR</w:t>
      </w:r>
      <w:r w:rsidR="00795B2B">
        <w:rPr>
          <w:i/>
          <w:szCs w:val="24"/>
          <w:lang w:val="fr-CA"/>
        </w:rPr>
        <w:t>-</w:t>
      </w:r>
      <w:proofErr w:type="spellStart"/>
      <w:r w:rsidR="00CF31F2" w:rsidRPr="003E639F">
        <w:rPr>
          <w:i/>
          <w:szCs w:val="24"/>
          <w:lang w:val="fr-CA"/>
        </w:rPr>
        <w:t>MacDonald</w:t>
      </w:r>
      <w:proofErr w:type="spellEnd"/>
      <w:r w:rsidR="00CF31F2" w:rsidRPr="003E639F">
        <w:rPr>
          <w:i/>
          <w:szCs w:val="24"/>
          <w:lang w:val="fr-CA"/>
        </w:rPr>
        <w:t xml:space="preserve"> Inc. c. Canada (Procureur</w:t>
      </w:r>
      <w:r w:rsidR="00CF31F2" w:rsidRPr="00901DDE">
        <w:rPr>
          <w:i/>
          <w:szCs w:val="24"/>
          <w:lang w:val="fr-CA"/>
        </w:rPr>
        <w:t xml:space="preserve"> général</w:t>
      </w:r>
      <w:r w:rsidR="00CF31F2" w:rsidRPr="00901DDE">
        <w:rPr>
          <w:i/>
          <w:lang w:val="fr-CA"/>
        </w:rPr>
        <w:t>)</w:t>
      </w:r>
      <w:r w:rsidR="00CF31F2" w:rsidRPr="00901DDE">
        <w:rPr>
          <w:lang w:val="fr-CA"/>
        </w:rPr>
        <w:t>, [1995] 3 R.C.S. 199;</w:t>
      </w:r>
      <w:r w:rsidR="00CF31F2">
        <w:rPr>
          <w:lang w:val="fr-CA"/>
        </w:rPr>
        <w:t xml:space="preserve"> </w:t>
      </w:r>
      <w:r w:rsidR="00CF31F2" w:rsidRPr="00901DDE">
        <w:rPr>
          <w:i/>
          <w:szCs w:val="24"/>
          <w:lang w:val="fr-CA"/>
        </w:rPr>
        <w:t>Ross c. Conseil scolaire du district n</w:t>
      </w:r>
      <w:r w:rsidR="00CF31F2" w:rsidRPr="00901DDE">
        <w:rPr>
          <w:i/>
          <w:szCs w:val="24"/>
          <w:vertAlign w:val="superscript"/>
          <w:lang w:val="fr-CA"/>
        </w:rPr>
        <w:t>o</w:t>
      </w:r>
      <w:r w:rsidR="00CF31F2" w:rsidRPr="00901DDE">
        <w:rPr>
          <w:i/>
          <w:szCs w:val="24"/>
          <w:lang w:val="fr-CA"/>
        </w:rPr>
        <w:t xml:space="preserve"> 15 du Nouveau</w:t>
      </w:r>
      <w:r w:rsidR="00795B2B">
        <w:rPr>
          <w:i/>
          <w:szCs w:val="24"/>
          <w:lang w:val="fr-CA"/>
        </w:rPr>
        <w:t>-</w:t>
      </w:r>
      <w:r w:rsidR="00CF31F2" w:rsidRPr="00901DDE">
        <w:rPr>
          <w:i/>
          <w:szCs w:val="24"/>
          <w:lang w:val="fr-CA"/>
        </w:rPr>
        <w:t>Brunswick</w:t>
      </w:r>
      <w:r w:rsidR="00CF31F2" w:rsidRPr="00901DDE">
        <w:rPr>
          <w:lang w:val="fr-CA"/>
        </w:rPr>
        <w:t>, [1996] 1 R.C.S. 825</w:t>
      </w:r>
      <w:r w:rsidR="000224A4" w:rsidRPr="00901DDE">
        <w:rPr>
          <w:lang w:val="fr-CA"/>
        </w:rPr>
        <w:t>.</w:t>
      </w:r>
    </w:p>
    <w:p w:rsidR="004D7D95" w:rsidRPr="004D7D95" w:rsidRDefault="004D7D95" w:rsidP="00795B2B">
      <w:pPr>
        <w:pStyle w:val="SCCNormalDoubleSpacing"/>
        <w:spacing w:after="720" w:line="240" w:lineRule="auto"/>
        <w:rPr>
          <w:b/>
          <w:lang w:val="fr-CA"/>
        </w:rPr>
      </w:pPr>
      <w:r w:rsidRPr="004D7D95">
        <w:rPr>
          <w:b/>
          <w:lang w:val="fr-CA"/>
        </w:rPr>
        <w:t>Lois et règlements cités</w:t>
      </w:r>
    </w:p>
    <w:p w:rsidR="004238A7" w:rsidRDefault="004238A7" w:rsidP="00795B2B">
      <w:pPr>
        <w:pStyle w:val="SCCNormalDoubleSpacing"/>
        <w:spacing w:after="240" w:line="240" w:lineRule="auto"/>
        <w:ind w:left="540" w:hanging="540"/>
        <w:rPr>
          <w:lang w:val="fr-CA"/>
        </w:rPr>
      </w:pPr>
      <w:r w:rsidRPr="00E11EE2">
        <w:rPr>
          <w:i/>
          <w:lang w:val="fr-CA"/>
        </w:rPr>
        <w:t>Charte canadienne des droits et libertés</w:t>
      </w:r>
      <w:r>
        <w:rPr>
          <w:lang w:val="fr-CA"/>
        </w:rPr>
        <w:t xml:space="preserve">, </w:t>
      </w:r>
      <w:r w:rsidR="0053416A">
        <w:rPr>
          <w:lang w:val="fr-CA"/>
        </w:rPr>
        <w:t>art.</w:t>
      </w:r>
      <w:r w:rsidR="00795B2B">
        <w:rPr>
          <w:lang w:val="fr-CA"/>
        </w:rPr>
        <w:t xml:space="preserve"> </w:t>
      </w:r>
      <w:r>
        <w:rPr>
          <w:lang w:val="fr-CA"/>
        </w:rPr>
        <w:t>1, 2</w:t>
      </w:r>
      <w:r w:rsidR="00F0279D">
        <w:rPr>
          <w:lang w:val="fr-CA"/>
        </w:rPr>
        <w:t>, 33</w:t>
      </w:r>
      <w:r>
        <w:rPr>
          <w:lang w:val="fr-CA"/>
        </w:rPr>
        <w:t>.</w:t>
      </w:r>
    </w:p>
    <w:p w:rsidR="00A40E15" w:rsidRPr="00901DDE" w:rsidRDefault="00A40E15" w:rsidP="00795B2B">
      <w:pPr>
        <w:pStyle w:val="SCCNormalDoubleSpacing"/>
        <w:spacing w:after="240" w:line="240" w:lineRule="auto"/>
        <w:ind w:left="540" w:hanging="540"/>
        <w:rPr>
          <w:lang w:val="fr-CA"/>
        </w:rPr>
      </w:pPr>
      <w:r w:rsidRPr="00901DDE">
        <w:rPr>
          <w:i/>
          <w:lang w:val="fr-CA"/>
        </w:rPr>
        <w:lastRenderedPageBreak/>
        <w:t>Code canadien du travail</w:t>
      </w:r>
      <w:r w:rsidRPr="00901DDE">
        <w:rPr>
          <w:lang w:val="fr-CA"/>
        </w:rPr>
        <w:t xml:space="preserve">, L.R.C. 1985, </w:t>
      </w:r>
      <w:r w:rsidR="00AC7A6D">
        <w:rPr>
          <w:lang w:val="fr-CA"/>
        </w:rPr>
        <w:t>c</w:t>
      </w:r>
      <w:r w:rsidR="0053416A">
        <w:rPr>
          <w:lang w:val="fr-CA"/>
        </w:rPr>
        <w:t>.</w:t>
      </w:r>
      <w:r w:rsidR="00795B2B">
        <w:rPr>
          <w:lang w:val="fr-CA"/>
        </w:rPr>
        <w:t xml:space="preserve"> </w:t>
      </w:r>
      <w:r w:rsidRPr="00901DDE">
        <w:rPr>
          <w:lang w:val="fr-CA"/>
        </w:rPr>
        <w:t>L</w:t>
      </w:r>
      <w:r w:rsidR="00795B2B">
        <w:rPr>
          <w:lang w:val="fr-CA"/>
        </w:rPr>
        <w:t>-</w:t>
      </w:r>
      <w:r w:rsidR="003F7352">
        <w:rPr>
          <w:lang w:val="fr-CA"/>
        </w:rPr>
        <w:t>2, partie</w:t>
      </w:r>
      <w:r w:rsidR="00795B2B">
        <w:rPr>
          <w:lang w:val="fr-CA"/>
        </w:rPr>
        <w:t xml:space="preserve"> </w:t>
      </w:r>
      <w:r w:rsidRPr="00901DDE">
        <w:rPr>
          <w:lang w:val="fr-CA"/>
        </w:rPr>
        <w:t xml:space="preserve">I, </w:t>
      </w:r>
      <w:r w:rsidR="0053416A">
        <w:rPr>
          <w:lang w:val="fr-CA"/>
        </w:rPr>
        <w:t>art.</w:t>
      </w:r>
      <w:r w:rsidR="00795B2B">
        <w:rPr>
          <w:lang w:val="fr-CA"/>
        </w:rPr>
        <w:t xml:space="preserve"> </w:t>
      </w:r>
      <w:r w:rsidRPr="00901DDE">
        <w:rPr>
          <w:lang w:val="fr-CA"/>
        </w:rPr>
        <w:t>6.</w:t>
      </w:r>
    </w:p>
    <w:p w:rsidR="004238A7" w:rsidRPr="00901DDE" w:rsidRDefault="004238A7" w:rsidP="00795B2B">
      <w:pPr>
        <w:pStyle w:val="SCCNormalDoubleSpacing"/>
        <w:spacing w:after="240" w:line="240" w:lineRule="auto"/>
        <w:ind w:left="540" w:hanging="540"/>
        <w:rPr>
          <w:lang w:val="fr-CA"/>
        </w:rPr>
      </w:pPr>
      <w:r w:rsidRPr="00901DDE">
        <w:rPr>
          <w:i/>
          <w:lang w:val="fr-CA"/>
        </w:rPr>
        <w:t>Code du travail</w:t>
      </w:r>
      <w:r w:rsidRPr="00901DDE">
        <w:rPr>
          <w:lang w:val="fr-CA"/>
        </w:rPr>
        <w:t xml:space="preserve">, RLRQ, </w:t>
      </w:r>
      <w:r w:rsidR="0053416A">
        <w:rPr>
          <w:lang w:val="fr-CA"/>
        </w:rPr>
        <w:t>c.</w:t>
      </w:r>
      <w:r w:rsidR="00795B2B">
        <w:rPr>
          <w:lang w:val="fr-CA"/>
        </w:rPr>
        <w:t xml:space="preserve"> </w:t>
      </w:r>
      <w:r w:rsidRPr="00901DDE">
        <w:rPr>
          <w:lang w:val="fr-CA"/>
        </w:rPr>
        <w:t>C</w:t>
      </w:r>
      <w:r w:rsidR="00795B2B">
        <w:rPr>
          <w:lang w:val="fr-CA"/>
        </w:rPr>
        <w:t>-</w:t>
      </w:r>
      <w:r w:rsidRPr="00901DDE">
        <w:rPr>
          <w:lang w:val="fr-CA"/>
        </w:rPr>
        <w:t xml:space="preserve">27, </w:t>
      </w:r>
      <w:r w:rsidR="0053416A">
        <w:rPr>
          <w:lang w:val="fr-CA"/>
        </w:rPr>
        <w:t>art.</w:t>
      </w:r>
      <w:r w:rsidR="00795B2B">
        <w:rPr>
          <w:lang w:val="fr-CA"/>
        </w:rPr>
        <w:t xml:space="preserve"> </w:t>
      </w:r>
      <w:r w:rsidRPr="00901DDE">
        <w:rPr>
          <w:lang w:val="fr-CA"/>
        </w:rPr>
        <w:t>4.</w:t>
      </w:r>
    </w:p>
    <w:p w:rsidR="004238A7" w:rsidRPr="00901DDE" w:rsidRDefault="004238A7" w:rsidP="00795B2B">
      <w:pPr>
        <w:pStyle w:val="SCCNormalDoubleSpacing"/>
        <w:spacing w:after="240" w:line="240" w:lineRule="auto"/>
        <w:ind w:left="540" w:hanging="540"/>
        <w:rPr>
          <w:lang w:val="fr-CA"/>
        </w:rPr>
      </w:pPr>
      <w:r w:rsidRPr="00901DDE">
        <w:rPr>
          <w:i/>
          <w:lang w:val="fr-CA"/>
        </w:rPr>
        <w:t>Consignes de 1997 du commissaire (représentation)</w:t>
      </w:r>
      <w:r w:rsidRPr="00901DDE">
        <w:rPr>
          <w:lang w:val="fr-CA"/>
        </w:rPr>
        <w:t>, DORS/97</w:t>
      </w:r>
      <w:r w:rsidR="00795B2B">
        <w:rPr>
          <w:lang w:val="fr-CA"/>
        </w:rPr>
        <w:t>-</w:t>
      </w:r>
      <w:r w:rsidRPr="00901DDE">
        <w:rPr>
          <w:lang w:val="fr-CA"/>
        </w:rPr>
        <w:t>399</w:t>
      </w:r>
      <w:r w:rsidR="00373FB9" w:rsidRPr="00901DDE">
        <w:rPr>
          <w:lang w:val="fr-CA"/>
        </w:rPr>
        <w:t xml:space="preserve">, </w:t>
      </w:r>
      <w:r w:rsidR="0053416A">
        <w:rPr>
          <w:lang w:val="fr-CA"/>
        </w:rPr>
        <w:t>art.</w:t>
      </w:r>
      <w:r w:rsidR="00795B2B">
        <w:rPr>
          <w:lang w:val="fr-CA"/>
        </w:rPr>
        <w:t xml:space="preserve"> </w:t>
      </w:r>
      <w:r w:rsidR="00373FB9" w:rsidRPr="003E639F">
        <w:rPr>
          <w:lang w:val="fr-CA"/>
        </w:rPr>
        <w:t>3</w:t>
      </w:r>
      <w:r w:rsidR="00373FB9" w:rsidRPr="003E639F">
        <w:rPr>
          <w:i/>
          <w:lang w:val="fr-CA"/>
        </w:rPr>
        <w:t>b</w:t>
      </w:r>
      <w:r w:rsidR="00373FB9" w:rsidRPr="003E639F">
        <w:rPr>
          <w:lang w:val="fr-CA"/>
        </w:rPr>
        <w:t>)</w:t>
      </w:r>
      <w:r w:rsidRPr="003E639F">
        <w:rPr>
          <w:lang w:val="fr-CA"/>
        </w:rPr>
        <w:t>.</w:t>
      </w:r>
    </w:p>
    <w:p w:rsidR="004238A7" w:rsidRPr="00901DDE" w:rsidRDefault="004238A7" w:rsidP="00795B2B">
      <w:pPr>
        <w:pStyle w:val="SCCNormalDoubleSpacing"/>
        <w:spacing w:after="240" w:line="240" w:lineRule="auto"/>
        <w:ind w:left="540" w:hanging="540"/>
        <w:rPr>
          <w:lang w:val="fr-CA"/>
        </w:rPr>
      </w:pPr>
      <w:r w:rsidRPr="00901DDE">
        <w:rPr>
          <w:i/>
          <w:lang w:val="fr-CA"/>
        </w:rPr>
        <w:t>Consignes du Commissaire (Programme des représentants divisionnaire</w:t>
      </w:r>
      <w:r w:rsidR="00AC7A6D">
        <w:rPr>
          <w:i/>
          <w:lang w:val="fr-CA"/>
        </w:rPr>
        <w:t>s</w:t>
      </w:r>
      <w:r w:rsidRPr="00901DDE">
        <w:rPr>
          <w:i/>
          <w:lang w:val="fr-CA"/>
        </w:rPr>
        <w:t xml:space="preserve"> des relations fonctionnelle</w:t>
      </w:r>
      <w:r w:rsidR="00AC7A6D">
        <w:rPr>
          <w:i/>
          <w:lang w:val="fr-CA"/>
        </w:rPr>
        <w:t>s</w:t>
      </w:r>
      <w:r w:rsidRPr="00901DDE">
        <w:rPr>
          <w:i/>
          <w:lang w:val="fr-CA"/>
        </w:rPr>
        <w:t>)</w:t>
      </w:r>
      <w:r w:rsidRPr="00901DDE">
        <w:rPr>
          <w:lang w:val="fr-CA"/>
        </w:rPr>
        <w:t xml:space="preserve"> [adoptées en vertu du </w:t>
      </w:r>
      <w:r w:rsidR="0053416A">
        <w:rPr>
          <w:lang w:val="fr-CA"/>
        </w:rPr>
        <w:t>par.</w:t>
      </w:r>
      <w:r w:rsidR="00795B2B">
        <w:rPr>
          <w:lang w:val="fr-CA"/>
        </w:rPr>
        <w:t xml:space="preserve"> </w:t>
      </w:r>
      <w:r w:rsidRPr="00901DDE">
        <w:rPr>
          <w:lang w:val="fr-CA"/>
        </w:rPr>
        <w:t xml:space="preserve">21(2) de la </w:t>
      </w:r>
      <w:r w:rsidRPr="00901DDE">
        <w:rPr>
          <w:i/>
          <w:lang w:val="fr-CA"/>
        </w:rPr>
        <w:t>Loi sur la Gendarmerie royale du Canada</w:t>
      </w:r>
      <w:r w:rsidRPr="00901DDE">
        <w:rPr>
          <w:lang w:val="fr-CA"/>
        </w:rPr>
        <w:t xml:space="preserve">, S.R.C. 1970, </w:t>
      </w:r>
      <w:r w:rsidR="00AC7A6D">
        <w:rPr>
          <w:lang w:val="fr-CA"/>
        </w:rPr>
        <w:t>c</w:t>
      </w:r>
      <w:r w:rsidR="0053416A">
        <w:rPr>
          <w:lang w:val="fr-CA"/>
        </w:rPr>
        <w:t>.</w:t>
      </w:r>
      <w:r w:rsidR="00795B2B">
        <w:rPr>
          <w:lang w:val="fr-CA"/>
        </w:rPr>
        <w:t xml:space="preserve"> </w:t>
      </w:r>
      <w:r w:rsidRPr="00901DDE">
        <w:rPr>
          <w:lang w:val="fr-CA"/>
        </w:rPr>
        <w:t>R</w:t>
      </w:r>
      <w:r w:rsidR="00795B2B">
        <w:rPr>
          <w:lang w:val="fr-CA"/>
        </w:rPr>
        <w:t>-</w:t>
      </w:r>
      <w:r w:rsidRPr="00901DDE">
        <w:rPr>
          <w:lang w:val="fr-CA"/>
        </w:rPr>
        <w:t xml:space="preserve">9; </w:t>
      </w:r>
      <w:proofErr w:type="spellStart"/>
      <w:r w:rsidRPr="00901DDE">
        <w:rPr>
          <w:lang w:val="fr-CA"/>
        </w:rPr>
        <w:t>abr</w:t>
      </w:r>
      <w:proofErr w:type="spellEnd"/>
      <w:r w:rsidRPr="00901DDE">
        <w:rPr>
          <w:lang w:val="fr-CA"/>
        </w:rPr>
        <w:t>. DORS/2003</w:t>
      </w:r>
      <w:r w:rsidR="00795B2B">
        <w:rPr>
          <w:lang w:val="fr-CA"/>
        </w:rPr>
        <w:t>-</w:t>
      </w:r>
      <w:r w:rsidRPr="00901DDE">
        <w:rPr>
          <w:lang w:val="fr-CA"/>
        </w:rPr>
        <w:t>325].</w:t>
      </w:r>
    </w:p>
    <w:p w:rsidR="004238A7" w:rsidRDefault="004238A7" w:rsidP="00795B2B">
      <w:pPr>
        <w:pStyle w:val="SCCNormalDoubleSpacing"/>
        <w:spacing w:after="240" w:line="240" w:lineRule="auto"/>
        <w:ind w:left="540" w:hanging="540"/>
        <w:rPr>
          <w:lang w:val="fr-CA"/>
        </w:rPr>
      </w:pPr>
      <w:r w:rsidRPr="00E11EE2">
        <w:rPr>
          <w:i/>
          <w:lang w:val="fr-CA"/>
        </w:rPr>
        <w:t>Loi constitutionnelle de 1982</w:t>
      </w:r>
      <w:r>
        <w:rPr>
          <w:lang w:val="fr-CA"/>
        </w:rPr>
        <w:t xml:space="preserve">, </w:t>
      </w:r>
      <w:r w:rsidR="0053416A">
        <w:rPr>
          <w:lang w:val="fr-CA"/>
        </w:rPr>
        <w:t>art.</w:t>
      </w:r>
      <w:r w:rsidR="00795B2B">
        <w:rPr>
          <w:lang w:val="fr-CA"/>
        </w:rPr>
        <w:t xml:space="preserve"> </w:t>
      </w:r>
      <w:r>
        <w:rPr>
          <w:lang w:val="fr-CA"/>
        </w:rPr>
        <w:t>52.</w:t>
      </w:r>
    </w:p>
    <w:p w:rsidR="0039709F" w:rsidRPr="00B14CC6" w:rsidRDefault="0039709F" w:rsidP="00795B2B">
      <w:pPr>
        <w:pStyle w:val="SCCNormalDoubleSpacing"/>
        <w:spacing w:after="240" w:line="240" w:lineRule="auto"/>
        <w:ind w:left="540" w:hanging="540"/>
        <w:rPr>
          <w:lang w:val="fr-CA"/>
        </w:rPr>
      </w:pPr>
      <w:r w:rsidRPr="0039709F">
        <w:rPr>
          <w:i/>
          <w:lang w:val="fr-CA"/>
        </w:rPr>
        <w:t>Loi d’interprétation</w:t>
      </w:r>
      <w:r w:rsidRPr="0039709F">
        <w:rPr>
          <w:lang w:val="fr-CA"/>
        </w:rPr>
        <w:t xml:space="preserve">, L.R.C. 1985, </w:t>
      </w:r>
      <w:r w:rsidR="0053416A">
        <w:rPr>
          <w:lang w:val="fr-CA"/>
        </w:rPr>
        <w:t>c.</w:t>
      </w:r>
      <w:r w:rsidR="00795B2B">
        <w:rPr>
          <w:lang w:val="fr-CA"/>
        </w:rPr>
        <w:t xml:space="preserve"> </w:t>
      </w:r>
      <w:r w:rsidRPr="0039709F">
        <w:rPr>
          <w:lang w:val="fr-CA"/>
        </w:rPr>
        <w:t>I</w:t>
      </w:r>
      <w:r w:rsidR="00795B2B">
        <w:rPr>
          <w:lang w:val="fr-CA"/>
        </w:rPr>
        <w:t>-</w:t>
      </w:r>
      <w:r w:rsidRPr="0039709F">
        <w:rPr>
          <w:lang w:val="fr-CA"/>
        </w:rPr>
        <w:t xml:space="preserve">21, </w:t>
      </w:r>
      <w:r w:rsidR="0053416A">
        <w:rPr>
          <w:lang w:val="fr-CA"/>
        </w:rPr>
        <w:t>art.</w:t>
      </w:r>
      <w:r w:rsidR="00795B2B">
        <w:rPr>
          <w:lang w:val="fr-CA"/>
        </w:rPr>
        <w:t xml:space="preserve"> </w:t>
      </w:r>
      <w:r w:rsidRPr="0039709F">
        <w:rPr>
          <w:lang w:val="fr-CA"/>
        </w:rPr>
        <w:t>44</w:t>
      </w:r>
      <w:r w:rsidRPr="0039709F">
        <w:rPr>
          <w:i/>
          <w:lang w:val="fr-CA"/>
        </w:rPr>
        <w:t>f</w:t>
      </w:r>
      <w:r w:rsidRPr="0039709F">
        <w:rPr>
          <w:lang w:val="fr-CA"/>
        </w:rPr>
        <w:t>).</w:t>
      </w:r>
    </w:p>
    <w:p w:rsidR="00800F78" w:rsidRDefault="00800F78" w:rsidP="00795B2B">
      <w:pPr>
        <w:pStyle w:val="SCCNormalDoubleSpacing"/>
        <w:spacing w:after="240" w:line="240" w:lineRule="auto"/>
        <w:ind w:left="540" w:hanging="540"/>
        <w:rPr>
          <w:lang w:val="fr-CA"/>
        </w:rPr>
      </w:pPr>
      <w:r w:rsidRPr="00800F78">
        <w:rPr>
          <w:i/>
          <w:lang w:val="fr-CA"/>
        </w:rPr>
        <w:t>Loi de 2002 sur la protection des employés agricoles</w:t>
      </w:r>
      <w:r w:rsidRPr="00800F78">
        <w:rPr>
          <w:lang w:val="fr-CA"/>
        </w:rPr>
        <w:t xml:space="preserve">, L.O. 2002, </w:t>
      </w:r>
      <w:r w:rsidR="0053416A">
        <w:rPr>
          <w:lang w:val="fr-CA"/>
        </w:rPr>
        <w:t>c.</w:t>
      </w:r>
      <w:r w:rsidR="00795B2B">
        <w:rPr>
          <w:lang w:val="fr-CA"/>
        </w:rPr>
        <w:t xml:space="preserve"> </w:t>
      </w:r>
      <w:r w:rsidRPr="00800F78">
        <w:rPr>
          <w:lang w:val="fr-CA"/>
        </w:rPr>
        <w:t>16</w:t>
      </w:r>
      <w:r>
        <w:rPr>
          <w:lang w:val="fr-CA"/>
        </w:rPr>
        <w:t>.</w:t>
      </w:r>
    </w:p>
    <w:p w:rsidR="004238A7" w:rsidRPr="00901DDE" w:rsidRDefault="004238A7" w:rsidP="00795B2B">
      <w:pPr>
        <w:pStyle w:val="SCCNormalDoubleSpacing"/>
        <w:spacing w:after="240" w:line="240" w:lineRule="auto"/>
        <w:ind w:left="540" w:hanging="540"/>
        <w:rPr>
          <w:lang w:val="fr-CA"/>
        </w:rPr>
      </w:pPr>
      <w:r w:rsidRPr="00901DDE">
        <w:rPr>
          <w:i/>
          <w:lang w:val="fr-CA"/>
        </w:rPr>
        <w:t>Loi de 2006 sur la négociation collective relative à la Police provinciale de l’Ontario</w:t>
      </w:r>
      <w:r w:rsidRPr="00901DDE">
        <w:rPr>
          <w:lang w:val="fr-CA"/>
        </w:rPr>
        <w:t xml:space="preserve">, L.O. 2006, </w:t>
      </w:r>
      <w:r w:rsidR="0053416A">
        <w:rPr>
          <w:lang w:val="fr-CA"/>
        </w:rPr>
        <w:t>c.</w:t>
      </w:r>
      <w:r w:rsidR="00795B2B">
        <w:rPr>
          <w:lang w:val="fr-CA"/>
        </w:rPr>
        <w:t xml:space="preserve"> </w:t>
      </w:r>
      <w:r w:rsidRPr="00901DDE">
        <w:rPr>
          <w:lang w:val="fr-CA"/>
        </w:rPr>
        <w:t xml:space="preserve">35, </w:t>
      </w:r>
      <w:proofErr w:type="spellStart"/>
      <w:r w:rsidRPr="00901DDE">
        <w:rPr>
          <w:lang w:val="fr-CA"/>
        </w:rPr>
        <w:t>ann</w:t>
      </w:r>
      <w:proofErr w:type="spellEnd"/>
      <w:r w:rsidRPr="00901DDE">
        <w:rPr>
          <w:lang w:val="fr-CA"/>
        </w:rPr>
        <w:t>. B.</w:t>
      </w:r>
    </w:p>
    <w:p w:rsidR="00A05972" w:rsidRPr="00A05972" w:rsidRDefault="00A05972" w:rsidP="00795B2B">
      <w:pPr>
        <w:pStyle w:val="SCCNormalDoubleSpacing"/>
        <w:spacing w:after="240" w:line="240" w:lineRule="auto"/>
        <w:ind w:left="540" w:hanging="540"/>
        <w:rPr>
          <w:lang w:val="fr-CA"/>
        </w:rPr>
      </w:pPr>
      <w:r>
        <w:rPr>
          <w:i/>
          <w:lang w:val="fr-CA"/>
        </w:rPr>
        <w:t>Loi de 2014 sur la négociation collective dans les conseils scolaires</w:t>
      </w:r>
      <w:r>
        <w:rPr>
          <w:lang w:val="fr-CA"/>
        </w:rPr>
        <w:t xml:space="preserve">, L.O. 2014, </w:t>
      </w:r>
      <w:r w:rsidR="0053416A">
        <w:rPr>
          <w:lang w:val="fr-CA"/>
        </w:rPr>
        <w:t>c.</w:t>
      </w:r>
      <w:r w:rsidR="00795B2B">
        <w:rPr>
          <w:lang w:val="fr-CA"/>
        </w:rPr>
        <w:t xml:space="preserve"> </w:t>
      </w:r>
      <w:r>
        <w:rPr>
          <w:lang w:val="fr-CA"/>
        </w:rPr>
        <w:t>5.</w:t>
      </w:r>
    </w:p>
    <w:p w:rsidR="00446C42" w:rsidRPr="00901DDE" w:rsidRDefault="00446C42" w:rsidP="00795B2B">
      <w:pPr>
        <w:pStyle w:val="SCCNormalDoubleSpacing"/>
        <w:spacing w:after="240" w:line="240" w:lineRule="auto"/>
        <w:ind w:left="540" w:hanging="540"/>
        <w:rPr>
          <w:lang w:val="fr-CA"/>
        </w:rPr>
      </w:pPr>
      <w:r w:rsidRPr="00901DDE">
        <w:rPr>
          <w:i/>
          <w:lang w:val="fr-CA"/>
        </w:rPr>
        <w:t>Loi des mesures de guerre</w:t>
      </w:r>
      <w:r w:rsidRPr="00901DDE">
        <w:rPr>
          <w:lang w:val="fr-CA"/>
        </w:rPr>
        <w:t xml:space="preserve">, S.R.C. 1927, </w:t>
      </w:r>
      <w:r w:rsidR="0053416A">
        <w:rPr>
          <w:lang w:val="fr-CA"/>
        </w:rPr>
        <w:t>c.</w:t>
      </w:r>
      <w:r w:rsidR="00795B2B">
        <w:rPr>
          <w:lang w:val="fr-CA"/>
        </w:rPr>
        <w:t xml:space="preserve"> </w:t>
      </w:r>
      <w:r w:rsidRPr="00901DDE">
        <w:rPr>
          <w:lang w:val="fr-CA"/>
        </w:rPr>
        <w:t>206.</w:t>
      </w:r>
    </w:p>
    <w:p w:rsidR="004238A7" w:rsidRPr="00901DDE" w:rsidRDefault="004238A7" w:rsidP="00795B2B">
      <w:pPr>
        <w:pStyle w:val="SCCNormalDoubleSpacing"/>
        <w:spacing w:after="240" w:line="240" w:lineRule="auto"/>
        <w:ind w:left="540" w:hanging="540"/>
        <w:rPr>
          <w:lang w:val="fr-CA"/>
        </w:rPr>
      </w:pPr>
      <w:r w:rsidRPr="00901DDE">
        <w:rPr>
          <w:i/>
          <w:lang w:val="fr-CA"/>
        </w:rPr>
        <w:t>Loi sur la Gendarmerie royale du Canada</w:t>
      </w:r>
      <w:r w:rsidRPr="00901DDE">
        <w:rPr>
          <w:lang w:val="fr-CA"/>
        </w:rPr>
        <w:t xml:space="preserve">, L.R.C. 1985, </w:t>
      </w:r>
      <w:r w:rsidR="0053416A">
        <w:rPr>
          <w:lang w:val="fr-CA"/>
        </w:rPr>
        <w:t>c.</w:t>
      </w:r>
      <w:r w:rsidR="00795B2B">
        <w:rPr>
          <w:lang w:val="fr-CA"/>
        </w:rPr>
        <w:t xml:space="preserve"> </w:t>
      </w:r>
      <w:r w:rsidRPr="00901DDE">
        <w:rPr>
          <w:lang w:val="fr-CA"/>
        </w:rPr>
        <w:t>R</w:t>
      </w:r>
      <w:r w:rsidR="00795B2B">
        <w:rPr>
          <w:lang w:val="fr-CA"/>
        </w:rPr>
        <w:t>-</w:t>
      </w:r>
      <w:r w:rsidRPr="00901DDE">
        <w:rPr>
          <w:lang w:val="fr-CA"/>
        </w:rPr>
        <w:t>10.</w:t>
      </w:r>
    </w:p>
    <w:p w:rsidR="002F1B69" w:rsidRPr="00901DDE" w:rsidRDefault="002F1B69" w:rsidP="00795B2B">
      <w:pPr>
        <w:pStyle w:val="SCCNormalDoubleSpacing"/>
        <w:spacing w:after="240" w:line="240" w:lineRule="auto"/>
        <w:ind w:left="540" w:hanging="540"/>
        <w:rPr>
          <w:lang w:val="fr-CA"/>
        </w:rPr>
      </w:pPr>
      <w:r w:rsidRPr="00901DDE">
        <w:rPr>
          <w:i/>
          <w:lang w:val="fr-CA"/>
        </w:rPr>
        <w:t>Loi sur le contrôle des dépenses</w:t>
      </w:r>
      <w:r w:rsidRPr="00901DDE">
        <w:rPr>
          <w:lang w:val="fr-CA"/>
        </w:rPr>
        <w:t xml:space="preserve">, L.C. 2009, </w:t>
      </w:r>
      <w:r w:rsidR="0053416A">
        <w:rPr>
          <w:lang w:val="fr-CA"/>
        </w:rPr>
        <w:t>c.</w:t>
      </w:r>
      <w:r w:rsidR="00795B2B">
        <w:rPr>
          <w:lang w:val="fr-CA"/>
        </w:rPr>
        <w:t xml:space="preserve"> </w:t>
      </w:r>
      <w:r w:rsidRPr="00901DDE">
        <w:rPr>
          <w:lang w:val="fr-CA"/>
        </w:rPr>
        <w:t xml:space="preserve">2, </w:t>
      </w:r>
      <w:r w:rsidR="0053416A">
        <w:rPr>
          <w:lang w:val="fr-CA"/>
        </w:rPr>
        <w:t>art.</w:t>
      </w:r>
      <w:r w:rsidR="00795B2B">
        <w:rPr>
          <w:lang w:val="fr-CA"/>
        </w:rPr>
        <w:t xml:space="preserve"> </w:t>
      </w:r>
      <w:r w:rsidRPr="00901DDE">
        <w:rPr>
          <w:lang w:val="fr-CA"/>
        </w:rPr>
        <w:t>393.</w:t>
      </w:r>
    </w:p>
    <w:p w:rsidR="004238A7" w:rsidRPr="00901DDE" w:rsidRDefault="004238A7" w:rsidP="00795B2B">
      <w:pPr>
        <w:pStyle w:val="SCCNormalDoubleSpacing"/>
        <w:spacing w:after="240" w:line="240" w:lineRule="auto"/>
        <w:ind w:left="540" w:hanging="540"/>
        <w:rPr>
          <w:szCs w:val="24"/>
          <w:lang w:val="fr-CA"/>
        </w:rPr>
      </w:pPr>
      <w:r w:rsidRPr="00901DDE">
        <w:rPr>
          <w:i/>
          <w:szCs w:val="24"/>
          <w:lang w:val="fr-CA"/>
        </w:rPr>
        <w:t>Loi sur le régime syndical applicable à la Sûreté du Québec</w:t>
      </w:r>
      <w:r w:rsidRPr="00901DDE">
        <w:rPr>
          <w:szCs w:val="24"/>
          <w:lang w:val="fr-CA"/>
        </w:rPr>
        <w:t xml:space="preserve">, </w:t>
      </w:r>
      <w:r w:rsidRPr="00901DDE">
        <w:rPr>
          <w:lang w:val="fr-CA"/>
        </w:rPr>
        <w:t>RLRQ</w:t>
      </w:r>
      <w:r w:rsidRPr="00901DDE">
        <w:rPr>
          <w:szCs w:val="24"/>
          <w:lang w:val="fr-CA"/>
        </w:rPr>
        <w:t xml:space="preserve">, </w:t>
      </w:r>
      <w:r w:rsidR="0053416A">
        <w:rPr>
          <w:szCs w:val="24"/>
          <w:lang w:val="fr-CA"/>
        </w:rPr>
        <w:t>c.</w:t>
      </w:r>
      <w:r w:rsidR="00795B2B">
        <w:rPr>
          <w:szCs w:val="24"/>
          <w:lang w:val="fr-CA"/>
        </w:rPr>
        <w:t xml:space="preserve"> </w:t>
      </w:r>
      <w:r w:rsidRPr="00901DDE">
        <w:rPr>
          <w:szCs w:val="24"/>
          <w:lang w:val="fr-CA"/>
        </w:rPr>
        <w:t>R</w:t>
      </w:r>
      <w:r w:rsidR="00795B2B">
        <w:rPr>
          <w:szCs w:val="24"/>
          <w:lang w:val="fr-CA"/>
        </w:rPr>
        <w:t>-</w:t>
      </w:r>
      <w:r w:rsidRPr="00901DDE">
        <w:rPr>
          <w:szCs w:val="24"/>
          <w:lang w:val="fr-CA"/>
        </w:rPr>
        <w:t>14.</w:t>
      </w:r>
    </w:p>
    <w:p w:rsidR="004238A7" w:rsidRPr="00901DDE" w:rsidRDefault="004238A7" w:rsidP="00795B2B">
      <w:pPr>
        <w:pStyle w:val="SCCNormalDoubleSpacing"/>
        <w:spacing w:after="240" w:line="240" w:lineRule="auto"/>
        <w:ind w:left="540" w:hanging="540"/>
        <w:rPr>
          <w:lang w:val="fr-CA"/>
        </w:rPr>
      </w:pPr>
      <w:r w:rsidRPr="00901DDE">
        <w:rPr>
          <w:i/>
          <w:lang w:val="fr-CA"/>
        </w:rPr>
        <w:t>Loi sur les relations de travail dans la fonction publique</w:t>
      </w:r>
      <w:r w:rsidRPr="00901DDE">
        <w:rPr>
          <w:lang w:val="fr-CA"/>
        </w:rPr>
        <w:t xml:space="preserve">, </w:t>
      </w:r>
      <w:r w:rsidR="005A272B" w:rsidRPr="00B60DF9">
        <w:rPr>
          <w:lang w:val="fr-FR"/>
        </w:rPr>
        <w:t xml:space="preserve">L.C. 2003, </w:t>
      </w:r>
      <w:r w:rsidR="0053416A">
        <w:rPr>
          <w:lang w:val="fr-FR"/>
        </w:rPr>
        <w:t>c.</w:t>
      </w:r>
      <w:r w:rsidR="00795B2B">
        <w:rPr>
          <w:lang w:val="fr-FR"/>
        </w:rPr>
        <w:t xml:space="preserve"> </w:t>
      </w:r>
      <w:r w:rsidR="005A272B" w:rsidRPr="00B60DF9">
        <w:rPr>
          <w:lang w:val="fr-FR"/>
        </w:rPr>
        <w:t xml:space="preserve">22 [éd. par la </w:t>
      </w:r>
      <w:r w:rsidR="005A272B" w:rsidRPr="00B60DF9">
        <w:rPr>
          <w:i/>
          <w:lang w:val="fr-FR"/>
        </w:rPr>
        <w:t>Loi sur la modernisation de la fonction publique</w:t>
      </w:r>
      <w:r w:rsidR="005A272B" w:rsidRPr="00B60DF9">
        <w:rPr>
          <w:lang w:val="fr-FR"/>
        </w:rPr>
        <w:t xml:space="preserve">, L.C. 2003, </w:t>
      </w:r>
      <w:r w:rsidR="0053416A">
        <w:rPr>
          <w:lang w:val="fr-FR"/>
        </w:rPr>
        <w:t>c.</w:t>
      </w:r>
      <w:r w:rsidR="00795B2B">
        <w:rPr>
          <w:lang w:val="fr-FR"/>
        </w:rPr>
        <w:t xml:space="preserve"> </w:t>
      </w:r>
      <w:r w:rsidR="005A272B" w:rsidRPr="00B60DF9">
        <w:rPr>
          <w:lang w:val="fr-FR"/>
        </w:rPr>
        <w:t xml:space="preserve">22, </w:t>
      </w:r>
      <w:r w:rsidR="0053416A">
        <w:rPr>
          <w:lang w:val="fr-FR"/>
        </w:rPr>
        <w:t>art.</w:t>
      </w:r>
      <w:r w:rsidR="00795B2B">
        <w:rPr>
          <w:lang w:val="fr-FR"/>
        </w:rPr>
        <w:t xml:space="preserve"> </w:t>
      </w:r>
      <w:r w:rsidR="005A272B" w:rsidRPr="00B60DF9">
        <w:rPr>
          <w:lang w:val="fr-FR"/>
        </w:rPr>
        <w:t xml:space="preserve">2], </w:t>
      </w:r>
      <w:r w:rsidR="0053416A">
        <w:rPr>
          <w:lang w:val="fr-CA"/>
        </w:rPr>
        <w:t>art.</w:t>
      </w:r>
      <w:r w:rsidR="00795B2B">
        <w:rPr>
          <w:lang w:val="fr-CA"/>
        </w:rPr>
        <w:t xml:space="preserve"> </w:t>
      </w:r>
      <w:r w:rsidR="00F57F9D" w:rsidRPr="00901DDE">
        <w:rPr>
          <w:lang w:val="fr-CA"/>
        </w:rPr>
        <w:t xml:space="preserve">2(1) </w:t>
      </w:r>
      <w:r w:rsidR="00795B2B">
        <w:rPr>
          <w:lang w:val="fr-CA"/>
        </w:rPr>
        <w:t>« </w:t>
      </w:r>
      <w:r w:rsidR="00F57F9D" w:rsidRPr="00901DDE">
        <w:rPr>
          <w:lang w:val="fr-CA"/>
        </w:rPr>
        <w:t>fonctionnaire</w:t>
      </w:r>
      <w:r w:rsidR="00795B2B">
        <w:rPr>
          <w:lang w:val="fr-CA"/>
        </w:rPr>
        <w:t> »</w:t>
      </w:r>
      <w:r w:rsidR="00914B01" w:rsidRPr="00901DDE">
        <w:rPr>
          <w:lang w:val="fr-CA"/>
        </w:rPr>
        <w:t xml:space="preserve"> </w:t>
      </w:r>
      <w:r w:rsidR="00914B01" w:rsidRPr="00901DDE">
        <w:rPr>
          <w:i/>
          <w:lang w:val="fr-CA"/>
        </w:rPr>
        <w:t>d</w:t>
      </w:r>
      <w:r w:rsidR="00914B01" w:rsidRPr="00901DDE">
        <w:rPr>
          <w:lang w:val="fr-CA"/>
        </w:rPr>
        <w:t>)</w:t>
      </w:r>
      <w:r w:rsidR="00B42AA0" w:rsidRPr="00901DDE">
        <w:rPr>
          <w:lang w:val="fr-CA"/>
        </w:rPr>
        <w:t>, partie</w:t>
      </w:r>
      <w:r w:rsidR="00795B2B">
        <w:rPr>
          <w:lang w:val="fr-CA"/>
        </w:rPr>
        <w:t xml:space="preserve"> </w:t>
      </w:r>
      <w:r w:rsidR="00B42AA0" w:rsidRPr="00901DDE">
        <w:rPr>
          <w:lang w:val="fr-CA"/>
        </w:rPr>
        <w:t>3</w:t>
      </w:r>
      <w:r w:rsidRPr="00901DDE">
        <w:rPr>
          <w:lang w:val="fr-CA"/>
        </w:rPr>
        <w:t>.</w:t>
      </w:r>
    </w:p>
    <w:p w:rsidR="004238A7" w:rsidRPr="00901DDE" w:rsidRDefault="004238A7" w:rsidP="00795B2B">
      <w:pPr>
        <w:pStyle w:val="SCCNormalDoubleSpacing"/>
        <w:spacing w:after="240" w:line="240" w:lineRule="auto"/>
        <w:ind w:left="540" w:hanging="540"/>
        <w:rPr>
          <w:lang w:val="fr-CA"/>
        </w:rPr>
      </w:pPr>
      <w:r w:rsidRPr="00901DDE">
        <w:rPr>
          <w:i/>
          <w:lang w:val="fr-CA"/>
        </w:rPr>
        <w:t>Loi sur le</w:t>
      </w:r>
      <w:r w:rsidR="00881323">
        <w:rPr>
          <w:i/>
          <w:lang w:val="fr-CA"/>
        </w:rPr>
        <w:t>s relations de travail dans la F</w:t>
      </w:r>
      <w:r w:rsidRPr="00901DDE">
        <w:rPr>
          <w:i/>
          <w:lang w:val="fr-CA"/>
        </w:rPr>
        <w:t>onction publique</w:t>
      </w:r>
      <w:r w:rsidRPr="00901DDE">
        <w:rPr>
          <w:lang w:val="fr-CA"/>
        </w:rPr>
        <w:t>, S.C. 1966</w:t>
      </w:r>
      <w:r w:rsidR="00795B2B">
        <w:rPr>
          <w:lang w:val="fr-CA"/>
        </w:rPr>
        <w:t>-</w:t>
      </w:r>
      <w:r w:rsidRPr="00901DDE">
        <w:rPr>
          <w:lang w:val="fr-CA"/>
        </w:rPr>
        <w:t xml:space="preserve">67, </w:t>
      </w:r>
      <w:r w:rsidR="0053416A">
        <w:rPr>
          <w:lang w:val="fr-CA"/>
        </w:rPr>
        <w:t>c.</w:t>
      </w:r>
      <w:r w:rsidR="00795B2B">
        <w:rPr>
          <w:lang w:val="fr-CA"/>
        </w:rPr>
        <w:t xml:space="preserve"> </w:t>
      </w:r>
      <w:r w:rsidRPr="00901DDE">
        <w:rPr>
          <w:lang w:val="fr-CA"/>
        </w:rPr>
        <w:t>72 [</w:t>
      </w:r>
      <w:r w:rsidR="0093404B" w:rsidRPr="00901DDE">
        <w:rPr>
          <w:lang w:val="fr-CA"/>
        </w:rPr>
        <w:t xml:space="preserve">1970, </w:t>
      </w:r>
      <w:r w:rsidR="0053416A">
        <w:rPr>
          <w:lang w:val="fr-CA"/>
        </w:rPr>
        <w:t>c.</w:t>
      </w:r>
      <w:r w:rsidR="00795B2B">
        <w:rPr>
          <w:lang w:val="fr-CA"/>
        </w:rPr>
        <w:t xml:space="preserve"> </w:t>
      </w:r>
      <w:r w:rsidR="0093404B" w:rsidRPr="00901DDE">
        <w:rPr>
          <w:lang w:val="fr-CA"/>
        </w:rPr>
        <w:t>P</w:t>
      </w:r>
      <w:r w:rsidR="00795B2B">
        <w:rPr>
          <w:lang w:val="fr-CA"/>
        </w:rPr>
        <w:t>-</w:t>
      </w:r>
      <w:r w:rsidR="0093404B" w:rsidRPr="00901DDE">
        <w:rPr>
          <w:lang w:val="fr-CA"/>
        </w:rPr>
        <w:t xml:space="preserve">35; 1985, </w:t>
      </w:r>
      <w:r w:rsidR="0053416A">
        <w:rPr>
          <w:lang w:val="fr-CA"/>
        </w:rPr>
        <w:t>c.</w:t>
      </w:r>
      <w:r w:rsidR="00795B2B">
        <w:rPr>
          <w:lang w:val="fr-CA"/>
        </w:rPr>
        <w:t xml:space="preserve"> </w:t>
      </w:r>
      <w:r w:rsidR="0093404B" w:rsidRPr="00901DDE">
        <w:rPr>
          <w:lang w:val="fr-CA"/>
        </w:rPr>
        <w:t>P</w:t>
      </w:r>
      <w:r w:rsidR="00795B2B">
        <w:rPr>
          <w:lang w:val="fr-CA"/>
        </w:rPr>
        <w:t>-</w:t>
      </w:r>
      <w:r w:rsidR="0093404B" w:rsidRPr="00901DDE">
        <w:rPr>
          <w:lang w:val="fr-CA"/>
        </w:rPr>
        <w:t xml:space="preserve">35; </w:t>
      </w:r>
      <w:proofErr w:type="spellStart"/>
      <w:r w:rsidRPr="00901DDE">
        <w:rPr>
          <w:lang w:val="fr-CA"/>
        </w:rPr>
        <w:t>abr</w:t>
      </w:r>
      <w:proofErr w:type="spellEnd"/>
      <w:r w:rsidRPr="00901DDE">
        <w:rPr>
          <w:lang w:val="fr-CA"/>
        </w:rPr>
        <w:t xml:space="preserve">. 2003, </w:t>
      </w:r>
      <w:r w:rsidR="0053416A">
        <w:rPr>
          <w:lang w:val="fr-CA"/>
        </w:rPr>
        <w:t>c.</w:t>
      </w:r>
      <w:r w:rsidR="00795B2B">
        <w:rPr>
          <w:lang w:val="fr-CA"/>
        </w:rPr>
        <w:t xml:space="preserve"> </w:t>
      </w:r>
      <w:r w:rsidRPr="00901DDE">
        <w:rPr>
          <w:lang w:val="fr-CA"/>
        </w:rPr>
        <w:t xml:space="preserve">22, </w:t>
      </w:r>
      <w:r w:rsidR="0053416A">
        <w:rPr>
          <w:lang w:val="fr-CA"/>
        </w:rPr>
        <w:t>art.</w:t>
      </w:r>
      <w:r w:rsidR="00795B2B">
        <w:rPr>
          <w:lang w:val="fr-CA"/>
        </w:rPr>
        <w:t xml:space="preserve"> </w:t>
      </w:r>
      <w:r w:rsidRPr="00901DDE">
        <w:rPr>
          <w:lang w:val="fr-CA"/>
        </w:rPr>
        <w:t>285]</w:t>
      </w:r>
      <w:r w:rsidR="00F04966">
        <w:rPr>
          <w:lang w:val="fr-CA"/>
        </w:rPr>
        <w:t xml:space="preserve">, </w:t>
      </w:r>
      <w:r w:rsidR="0053416A">
        <w:rPr>
          <w:lang w:val="fr-CA"/>
        </w:rPr>
        <w:t>art.</w:t>
      </w:r>
      <w:r w:rsidR="00795B2B">
        <w:rPr>
          <w:lang w:val="fr-CA"/>
        </w:rPr>
        <w:t xml:space="preserve"> </w:t>
      </w:r>
      <w:r w:rsidR="00F04966" w:rsidRPr="006061C7">
        <w:rPr>
          <w:lang w:val="fr-FR"/>
        </w:rPr>
        <w:t xml:space="preserve">2 </w:t>
      </w:r>
      <w:r w:rsidR="00795B2B">
        <w:rPr>
          <w:lang w:val="fr-CA"/>
        </w:rPr>
        <w:t>« </w:t>
      </w:r>
      <w:proofErr w:type="gramStart"/>
      <w:r w:rsidR="00F04966" w:rsidRPr="00901DDE">
        <w:rPr>
          <w:lang w:val="fr-CA"/>
        </w:rPr>
        <w:t>fonctionnaire</w:t>
      </w:r>
      <w:proofErr w:type="gramEnd"/>
      <w:r w:rsidR="00795B2B">
        <w:rPr>
          <w:lang w:val="fr-CA"/>
        </w:rPr>
        <w:t> »</w:t>
      </w:r>
      <w:r w:rsidR="00F04966" w:rsidRPr="006061C7">
        <w:rPr>
          <w:lang w:val="fr-FR"/>
        </w:rPr>
        <w:t xml:space="preserve"> </w:t>
      </w:r>
      <w:r w:rsidR="00F04966" w:rsidRPr="006061C7">
        <w:rPr>
          <w:i/>
          <w:lang w:val="fr-FR"/>
        </w:rPr>
        <w:t>e</w:t>
      </w:r>
      <w:r w:rsidR="00F04966" w:rsidRPr="006061C7">
        <w:rPr>
          <w:lang w:val="fr-FR"/>
        </w:rPr>
        <w:t xml:space="preserve">), </w:t>
      </w:r>
      <w:r w:rsidR="00F04966" w:rsidRPr="006061C7">
        <w:rPr>
          <w:i/>
          <w:lang w:val="fr-FR"/>
        </w:rPr>
        <w:t>g</w:t>
      </w:r>
      <w:r w:rsidR="00F04966" w:rsidRPr="006061C7">
        <w:rPr>
          <w:lang w:val="fr-FR"/>
        </w:rPr>
        <w:t xml:space="preserve">), </w:t>
      </w:r>
      <w:r w:rsidR="00F04966" w:rsidRPr="006061C7">
        <w:rPr>
          <w:i/>
          <w:lang w:val="fr-FR"/>
        </w:rPr>
        <w:t>j</w:t>
      </w:r>
      <w:r w:rsidR="00F04966" w:rsidRPr="006061C7">
        <w:rPr>
          <w:lang w:val="fr-FR"/>
        </w:rPr>
        <w:t>)</w:t>
      </w:r>
      <w:r w:rsidRPr="00901DDE">
        <w:rPr>
          <w:lang w:val="fr-CA"/>
        </w:rPr>
        <w:t>.</w:t>
      </w:r>
    </w:p>
    <w:p w:rsidR="00833CA1" w:rsidRPr="00901DDE" w:rsidRDefault="00833CA1" w:rsidP="00795B2B">
      <w:pPr>
        <w:pStyle w:val="SCCNormalDoubleSpacing"/>
        <w:spacing w:after="240" w:line="240" w:lineRule="auto"/>
        <w:ind w:left="540" w:hanging="540"/>
        <w:rPr>
          <w:lang w:val="fr-CA"/>
        </w:rPr>
      </w:pPr>
      <w:r w:rsidRPr="00901DDE">
        <w:rPr>
          <w:i/>
          <w:lang w:val="fr-CA"/>
        </w:rPr>
        <w:t>Loi sur les relations industrielles et sur les enquêtes visant les différends du travail</w:t>
      </w:r>
      <w:r w:rsidRPr="00901DDE">
        <w:rPr>
          <w:lang w:val="fr-CA"/>
        </w:rPr>
        <w:t xml:space="preserve">, S.C. 1948, </w:t>
      </w:r>
      <w:r w:rsidR="0053416A">
        <w:rPr>
          <w:lang w:val="fr-CA"/>
        </w:rPr>
        <w:t>c.</w:t>
      </w:r>
      <w:r w:rsidR="00795B2B">
        <w:rPr>
          <w:lang w:val="fr-CA"/>
        </w:rPr>
        <w:t xml:space="preserve"> </w:t>
      </w:r>
      <w:r w:rsidRPr="00901DDE">
        <w:rPr>
          <w:lang w:val="fr-CA"/>
        </w:rPr>
        <w:t>54.</w:t>
      </w:r>
    </w:p>
    <w:p w:rsidR="00832F13" w:rsidRPr="00901DDE" w:rsidRDefault="00832F13" w:rsidP="00795B2B">
      <w:pPr>
        <w:pStyle w:val="SCCNormalDoubleSpacing"/>
        <w:spacing w:after="240" w:line="240" w:lineRule="auto"/>
        <w:ind w:left="540" w:hanging="540"/>
        <w:rPr>
          <w:lang w:val="fr-CA"/>
        </w:rPr>
      </w:pPr>
      <w:r w:rsidRPr="00901DDE">
        <w:rPr>
          <w:i/>
          <w:lang w:val="fr-CA"/>
        </w:rPr>
        <w:t xml:space="preserve">National Labor Relations </w:t>
      </w:r>
      <w:proofErr w:type="spellStart"/>
      <w:r w:rsidRPr="00901DDE">
        <w:rPr>
          <w:i/>
          <w:lang w:val="fr-CA"/>
        </w:rPr>
        <w:t>Act</w:t>
      </w:r>
      <w:proofErr w:type="spellEnd"/>
      <w:r w:rsidRPr="00901DDE">
        <w:rPr>
          <w:lang w:val="fr-CA"/>
        </w:rPr>
        <w:t>, 49 Stat. 449 (1935) (</w:t>
      </w:r>
      <w:r w:rsidR="004A7D00" w:rsidRPr="00901DDE">
        <w:rPr>
          <w:lang w:val="fr-CA"/>
        </w:rPr>
        <w:t xml:space="preserve">modifiée et codifiée au </w:t>
      </w:r>
      <w:r w:rsidRPr="00901DDE">
        <w:rPr>
          <w:lang w:val="fr-CA"/>
        </w:rPr>
        <w:t>29 U.S.C. §§</w:t>
      </w:r>
      <w:r w:rsidR="00795B2B">
        <w:rPr>
          <w:lang w:val="fr-CA"/>
        </w:rPr>
        <w:t xml:space="preserve"> </w:t>
      </w:r>
      <w:r w:rsidRPr="00901DDE">
        <w:rPr>
          <w:lang w:val="fr-CA"/>
        </w:rPr>
        <w:t>151</w:t>
      </w:r>
      <w:r w:rsidR="00795B2B">
        <w:rPr>
          <w:lang w:val="fr-CA"/>
        </w:rPr>
        <w:t>-</w:t>
      </w:r>
      <w:r w:rsidRPr="00901DDE">
        <w:rPr>
          <w:lang w:val="fr-CA"/>
        </w:rPr>
        <w:t>169</w:t>
      </w:r>
      <w:r w:rsidR="00C3311E">
        <w:rPr>
          <w:lang w:val="fr-CA"/>
        </w:rPr>
        <w:t>)</w:t>
      </w:r>
      <w:r w:rsidRPr="00901DDE">
        <w:rPr>
          <w:lang w:val="fr-CA"/>
        </w:rPr>
        <w:t>.</w:t>
      </w:r>
    </w:p>
    <w:p w:rsidR="004238A7" w:rsidRPr="00AC7A6D" w:rsidRDefault="004238A7" w:rsidP="00795B2B">
      <w:pPr>
        <w:pStyle w:val="SCCNormalDoubleSpacing"/>
        <w:spacing w:after="240" w:line="240" w:lineRule="auto"/>
        <w:ind w:left="540" w:hanging="540"/>
        <w:rPr>
          <w:lang w:val="en-US"/>
        </w:rPr>
      </w:pPr>
      <w:r w:rsidRPr="00794AA5">
        <w:rPr>
          <w:i/>
        </w:rPr>
        <w:t>Police Act, 1990</w:t>
      </w:r>
      <w:r w:rsidRPr="00FF25D0">
        <w:t>, S.S. 1990</w:t>
      </w:r>
      <w:r w:rsidR="00795B2B">
        <w:t>-</w:t>
      </w:r>
      <w:r w:rsidRPr="00FF25D0">
        <w:t xml:space="preserve">91, </w:t>
      </w:r>
      <w:r w:rsidR="0053416A">
        <w:t>c.</w:t>
      </w:r>
      <w:r w:rsidR="00795B2B">
        <w:t xml:space="preserve"> </w:t>
      </w:r>
      <w:r w:rsidRPr="00AC7A6D">
        <w:rPr>
          <w:lang w:val="en-US"/>
        </w:rPr>
        <w:t>P</w:t>
      </w:r>
      <w:r w:rsidR="00795B2B" w:rsidRPr="00AC7A6D">
        <w:rPr>
          <w:lang w:val="en-US"/>
        </w:rPr>
        <w:t>-</w:t>
      </w:r>
      <w:r w:rsidRPr="00AC7A6D">
        <w:rPr>
          <w:lang w:val="en-US"/>
        </w:rPr>
        <w:t xml:space="preserve">15.01, </w:t>
      </w:r>
      <w:r w:rsidR="0053416A" w:rsidRPr="00AC7A6D">
        <w:rPr>
          <w:lang w:val="en-US"/>
        </w:rPr>
        <w:t>art.</w:t>
      </w:r>
      <w:r w:rsidR="00795B2B" w:rsidRPr="00AC7A6D">
        <w:rPr>
          <w:lang w:val="en-US"/>
        </w:rPr>
        <w:t xml:space="preserve"> </w:t>
      </w:r>
      <w:proofErr w:type="gramStart"/>
      <w:r w:rsidRPr="00AC7A6D">
        <w:rPr>
          <w:lang w:val="en-US"/>
        </w:rPr>
        <w:t>83 à 86.</w:t>
      </w:r>
      <w:proofErr w:type="gramEnd"/>
    </w:p>
    <w:p w:rsidR="004238A7" w:rsidRDefault="004238A7" w:rsidP="00795B2B">
      <w:pPr>
        <w:pStyle w:val="SCCNormalDoubleSpacing"/>
        <w:spacing w:after="240" w:line="240" w:lineRule="auto"/>
        <w:ind w:left="540" w:hanging="540"/>
        <w:rPr>
          <w:lang w:val="fr-CA"/>
        </w:rPr>
      </w:pPr>
      <w:r w:rsidRPr="00901DDE">
        <w:rPr>
          <w:i/>
          <w:lang w:val="fr-CA"/>
        </w:rPr>
        <w:t>Règlement de la Gendarmerie royale du Canada (1988)</w:t>
      </w:r>
      <w:r w:rsidRPr="00901DDE">
        <w:rPr>
          <w:lang w:val="fr-CA"/>
        </w:rPr>
        <w:t>, DORS/88</w:t>
      </w:r>
      <w:r w:rsidR="00795B2B">
        <w:rPr>
          <w:lang w:val="fr-CA"/>
        </w:rPr>
        <w:t>-</w:t>
      </w:r>
      <w:r w:rsidRPr="00901DDE">
        <w:rPr>
          <w:lang w:val="fr-CA"/>
        </w:rPr>
        <w:t>361</w:t>
      </w:r>
      <w:r w:rsidR="006C54E8">
        <w:rPr>
          <w:lang w:val="fr-CA"/>
        </w:rPr>
        <w:t xml:space="preserve"> [</w:t>
      </w:r>
      <w:proofErr w:type="spellStart"/>
      <w:r w:rsidR="006C54E8">
        <w:rPr>
          <w:lang w:val="fr-CA"/>
        </w:rPr>
        <w:t>abr</w:t>
      </w:r>
      <w:proofErr w:type="spellEnd"/>
      <w:r w:rsidR="006C54E8">
        <w:rPr>
          <w:lang w:val="fr-CA"/>
        </w:rPr>
        <w:t>. 2014</w:t>
      </w:r>
      <w:r w:rsidR="00795B2B">
        <w:rPr>
          <w:lang w:val="fr-CA"/>
        </w:rPr>
        <w:t>-</w:t>
      </w:r>
      <w:r w:rsidR="006C54E8">
        <w:rPr>
          <w:lang w:val="fr-CA"/>
        </w:rPr>
        <w:t xml:space="preserve">281, </w:t>
      </w:r>
      <w:r w:rsidR="0053416A">
        <w:rPr>
          <w:lang w:val="fr-CA"/>
        </w:rPr>
        <w:t>art.</w:t>
      </w:r>
      <w:r w:rsidR="00795B2B">
        <w:rPr>
          <w:lang w:val="fr-CA"/>
        </w:rPr>
        <w:t xml:space="preserve"> </w:t>
      </w:r>
      <w:r w:rsidR="006C54E8">
        <w:rPr>
          <w:lang w:val="fr-CA"/>
        </w:rPr>
        <w:t>58]</w:t>
      </w:r>
      <w:r w:rsidRPr="00901DDE">
        <w:rPr>
          <w:lang w:val="fr-CA"/>
        </w:rPr>
        <w:t xml:space="preserve">, </w:t>
      </w:r>
      <w:r w:rsidR="0053416A">
        <w:rPr>
          <w:lang w:val="fr-CA"/>
        </w:rPr>
        <w:t>art.</w:t>
      </w:r>
      <w:r w:rsidR="00795B2B">
        <w:rPr>
          <w:lang w:val="fr-CA"/>
        </w:rPr>
        <w:t xml:space="preserve"> </w:t>
      </w:r>
      <w:r w:rsidRPr="00901DDE">
        <w:rPr>
          <w:lang w:val="fr-CA"/>
        </w:rPr>
        <w:t>96 [</w:t>
      </w:r>
      <w:proofErr w:type="spellStart"/>
      <w:r w:rsidRPr="00901DDE">
        <w:rPr>
          <w:lang w:val="fr-CA"/>
        </w:rPr>
        <w:t>aj</w:t>
      </w:r>
      <w:proofErr w:type="spellEnd"/>
      <w:r w:rsidRPr="00901DDE">
        <w:rPr>
          <w:lang w:val="fr-CA"/>
        </w:rPr>
        <w:t>. 89</w:t>
      </w:r>
      <w:r w:rsidR="00795B2B">
        <w:rPr>
          <w:lang w:val="fr-CA"/>
        </w:rPr>
        <w:t>-</w:t>
      </w:r>
      <w:r w:rsidRPr="00901DDE">
        <w:rPr>
          <w:lang w:val="fr-CA"/>
        </w:rPr>
        <w:t>581].</w:t>
      </w:r>
    </w:p>
    <w:p w:rsidR="006C54E8" w:rsidRPr="00901DDE" w:rsidRDefault="006C54E8" w:rsidP="00795B2B">
      <w:pPr>
        <w:pStyle w:val="SCCNormalDoubleSpacing"/>
        <w:spacing w:after="240" w:line="240" w:lineRule="auto"/>
        <w:ind w:left="540" w:hanging="540"/>
        <w:rPr>
          <w:lang w:val="fr-CA"/>
        </w:rPr>
      </w:pPr>
      <w:r w:rsidRPr="00901DDE">
        <w:rPr>
          <w:i/>
          <w:lang w:val="fr-CA"/>
        </w:rPr>
        <w:t>Règlement de la Gendarmerie royale du Canada (</w:t>
      </w:r>
      <w:r>
        <w:rPr>
          <w:i/>
          <w:lang w:val="fr-CA"/>
        </w:rPr>
        <w:t>2014</w:t>
      </w:r>
      <w:r w:rsidRPr="00901DDE">
        <w:rPr>
          <w:i/>
          <w:lang w:val="fr-CA"/>
        </w:rPr>
        <w:t>)</w:t>
      </w:r>
      <w:r w:rsidRPr="00901DDE">
        <w:rPr>
          <w:lang w:val="fr-CA"/>
        </w:rPr>
        <w:t>, DORS/</w:t>
      </w:r>
      <w:r>
        <w:rPr>
          <w:lang w:val="fr-CA"/>
        </w:rPr>
        <w:t>2014</w:t>
      </w:r>
      <w:r w:rsidR="00795B2B">
        <w:rPr>
          <w:lang w:val="fr-CA"/>
        </w:rPr>
        <w:t>-</w:t>
      </w:r>
      <w:r>
        <w:rPr>
          <w:lang w:val="fr-CA"/>
        </w:rPr>
        <w:t xml:space="preserve">281, </w:t>
      </w:r>
      <w:r w:rsidR="0053416A">
        <w:rPr>
          <w:lang w:val="fr-CA"/>
        </w:rPr>
        <w:t>art.</w:t>
      </w:r>
      <w:r w:rsidR="00795B2B">
        <w:rPr>
          <w:lang w:val="fr-CA"/>
        </w:rPr>
        <w:t xml:space="preserve"> </w:t>
      </w:r>
      <w:r>
        <w:rPr>
          <w:lang w:val="fr-CA"/>
        </w:rPr>
        <w:t>56, 58.</w:t>
      </w:r>
    </w:p>
    <w:p w:rsidR="009E4E9B" w:rsidRPr="00901DDE" w:rsidRDefault="009E4E9B" w:rsidP="00795B2B">
      <w:pPr>
        <w:pStyle w:val="SCCNormalDoubleSpacing"/>
        <w:spacing w:after="240" w:line="240" w:lineRule="auto"/>
        <w:ind w:left="540" w:hanging="540"/>
        <w:rPr>
          <w:lang w:val="fr-CA"/>
        </w:rPr>
      </w:pPr>
      <w:r w:rsidRPr="00901DDE">
        <w:rPr>
          <w:i/>
          <w:lang w:val="fr-CA"/>
        </w:rPr>
        <w:t>Règlements des Relations ouvrières en temps de guerre</w:t>
      </w:r>
      <w:r w:rsidRPr="00901DDE">
        <w:rPr>
          <w:lang w:val="fr-CA"/>
        </w:rPr>
        <w:t>, C.</w:t>
      </w:r>
      <w:r w:rsidR="0053416A">
        <w:rPr>
          <w:lang w:val="fr-CA"/>
        </w:rPr>
        <w:t>P.</w:t>
      </w:r>
      <w:r w:rsidR="00795B2B">
        <w:rPr>
          <w:lang w:val="fr-CA"/>
        </w:rPr>
        <w:t xml:space="preserve"> </w:t>
      </w:r>
      <w:r w:rsidRPr="00901DDE">
        <w:rPr>
          <w:lang w:val="fr-CA"/>
        </w:rPr>
        <w:t>1003 (1944).</w:t>
      </w:r>
    </w:p>
    <w:p w:rsidR="004238A7" w:rsidRPr="00AC7A6D" w:rsidRDefault="004238A7" w:rsidP="00795B2B">
      <w:pPr>
        <w:pStyle w:val="SCCNormalDoubleSpacing"/>
        <w:spacing w:after="720" w:line="240" w:lineRule="auto"/>
        <w:ind w:left="540" w:hanging="540"/>
        <w:rPr>
          <w:lang w:val="en-US"/>
        </w:rPr>
      </w:pPr>
      <w:proofErr w:type="gramStart"/>
      <w:r w:rsidRPr="001A6464">
        <w:rPr>
          <w:i/>
        </w:rPr>
        <w:lastRenderedPageBreak/>
        <w:t>Royal Newfoundland Constabulary Act, 1992</w:t>
      </w:r>
      <w:r w:rsidRPr="00FF25D0">
        <w:t xml:space="preserve">, S.N.L. 1992, </w:t>
      </w:r>
      <w:r w:rsidR="0053416A">
        <w:t>c.</w:t>
      </w:r>
      <w:r w:rsidR="00795B2B">
        <w:t xml:space="preserve"> </w:t>
      </w:r>
      <w:r w:rsidRPr="00AC7A6D">
        <w:rPr>
          <w:lang w:val="en-US"/>
        </w:rPr>
        <w:t>R</w:t>
      </w:r>
      <w:r w:rsidR="00795B2B" w:rsidRPr="00AC7A6D">
        <w:rPr>
          <w:lang w:val="en-US"/>
        </w:rPr>
        <w:t>-</w:t>
      </w:r>
      <w:r w:rsidRPr="00AC7A6D">
        <w:rPr>
          <w:lang w:val="en-US"/>
        </w:rPr>
        <w:t>17.</w:t>
      </w:r>
      <w:proofErr w:type="gramEnd"/>
    </w:p>
    <w:p w:rsidR="005617D5" w:rsidRPr="006E06CD" w:rsidRDefault="005617D5" w:rsidP="00795B2B">
      <w:pPr>
        <w:pStyle w:val="SCCNormalDoubleSpacing"/>
        <w:spacing w:after="720" w:line="240" w:lineRule="auto"/>
        <w:rPr>
          <w:b/>
          <w:lang w:val="fr-CA"/>
        </w:rPr>
      </w:pPr>
      <w:r w:rsidRPr="006E06CD">
        <w:rPr>
          <w:b/>
          <w:lang w:val="fr-CA"/>
        </w:rPr>
        <w:t>Traités et autres instruments internationaux</w:t>
      </w:r>
    </w:p>
    <w:p w:rsidR="005617D5" w:rsidRPr="004D7D95" w:rsidRDefault="005617D5" w:rsidP="00795B2B">
      <w:pPr>
        <w:pStyle w:val="SCCNormalDoubleSpacing"/>
        <w:spacing w:after="240" w:line="240" w:lineRule="auto"/>
        <w:ind w:left="539" w:hanging="539"/>
        <w:rPr>
          <w:lang w:val="fr-CA"/>
        </w:rPr>
      </w:pPr>
      <w:r w:rsidRPr="00490890">
        <w:rPr>
          <w:i/>
          <w:lang w:val="fr-CA"/>
        </w:rPr>
        <w:t>Convention (n</w:t>
      </w:r>
      <w:r w:rsidRPr="00490890">
        <w:rPr>
          <w:i/>
          <w:vertAlign w:val="superscript"/>
          <w:lang w:val="fr-CA"/>
        </w:rPr>
        <w:t>o</w:t>
      </w:r>
      <w:r w:rsidR="00795B2B">
        <w:rPr>
          <w:i/>
          <w:lang w:val="fr-CA"/>
        </w:rPr>
        <w:t xml:space="preserve"> </w:t>
      </w:r>
      <w:r w:rsidRPr="00490890">
        <w:rPr>
          <w:i/>
          <w:lang w:val="fr-CA"/>
        </w:rPr>
        <w:t>87) concernant la liberté syndicale et la protection du droit syndical</w:t>
      </w:r>
      <w:r w:rsidRPr="00490890">
        <w:rPr>
          <w:lang w:val="fr-CA"/>
        </w:rPr>
        <w:t>, 68 R.T.N.U. 17</w:t>
      </w:r>
      <w:r>
        <w:rPr>
          <w:lang w:val="fr-CA"/>
        </w:rPr>
        <w:t xml:space="preserve">, </w:t>
      </w:r>
      <w:r w:rsidR="0053416A">
        <w:rPr>
          <w:lang w:val="fr-CA"/>
        </w:rPr>
        <w:t>art.</w:t>
      </w:r>
      <w:r w:rsidR="00795B2B">
        <w:rPr>
          <w:lang w:val="fr-CA"/>
        </w:rPr>
        <w:t xml:space="preserve"> </w:t>
      </w:r>
      <w:r>
        <w:rPr>
          <w:lang w:val="fr-CA"/>
        </w:rPr>
        <w:t>9</w:t>
      </w:r>
      <w:r w:rsidRPr="00490890">
        <w:rPr>
          <w:lang w:val="fr-CA"/>
        </w:rPr>
        <w:t>.</w:t>
      </w:r>
    </w:p>
    <w:p w:rsidR="005617D5" w:rsidRPr="000A327C" w:rsidRDefault="005617D5" w:rsidP="00795B2B">
      <w:pPr>
        <w:pStyle w:val="SCCNormalDoubleSpacing"/>
        <w:spacing w:after="240" w:line="240" w:lineRule="auto"/>
        <w:ind w:left="539" w:hanging="539"/>
        <w:rPr>
          <w:lang w:val="fr-CA"/>
        </w:rPr>
      </w:pPr>
      <w:r w:rsidRPr="000A327C">
        <w:rPr>
          <w:i/>
          <w:lang w:val="fr-CA"/>
        </w:rPr>
        <w:t>Pacte international relatif aux droits civils et politiques</w:t>
      </w:r>
      <w:r w:rsidRPr="000A327C">
        <w:rPr>
          <w:lang w:val="fr-CA"/>
        </w:rPr>
        <w:t>, 999 R.T.N.U. 171</w:t>
      </w:r>
      <w:r>
        <w:rPr>
          <w:lang w:val="fr-CA"/>
        </w:rPr>
        <w:t xml:space="preserve">, </w:t>
      </w:r>
      <w:r w:rsidR="0053416A">
        <w:rPr>
          <w:lang w:val="fr-CA"/>
        </w:rPr>
        <w:t>art.</w:t>
      </w:r>
      <w:r w:rsidR="00795B2B">
        <w:rPr>
          <w:lang w:val="fr-CA"/>
        </w:rPr>
        <w:t xml:space="preserve"> </w:t>
      </w:r>
      <w:r>
        <w:rPr>
          <w:lang w:val="fr-CA"/>
        </w:rPr>
        <w:t>22.</w:t>
      </w:r>
    </w:p>
    <w:p w:rsidR="005617D5" w:rsidRDefault="005617D5" w:rsidP="00795B2B">
      <w:pPr>
        <w:pStyle w:val="SCCNormalDoubleSpacing"/>
        <w:spacing w:after="720" w:line="240" w:lineRule="auto"/>
        <w:ind w:left="540" w:hanging="540"/>
        <w:rPr>
          <w:lang w:val="fr-CA"/>
        </w:rPr>
      </w:pPr>
      <w:r w:rsidRPr="008F5AD1">
        <w:rPr>
          <w:i/>
          <w:lang w:val="fr-CA"/>
        </w:rPr>
        <w:t>Pacte international relatif aux droits économiques, sociaux et culturels</w:t>
      </w:r>
      <w:r w:rsidRPr="008F5AD1">
        <w:rPr>
          <w:lang w:val="fr-CA"/>
        </w:rPr>
        <w:t>, 993 R.T.N.U. 3</w:t>
      </w:r>
      <w:r>
        <w:rPr>
          <w:lang w:val="fr-CA"/>
        </w:rPr>
        <w:t xml:space="preserve">, </w:t>
      </w:r>
      <w:r w:rsidR="0053416A">
        <w:rPr>
          <w:lang w:val="fr-CA"/>
        </w:rPr>
        <w:t>art.</w:t>
      </w:r>
      <w:r w:rsidR="00795B2B">
        <w:rPr>
          <w:lang w:val="fr-CA"/>
        </w:rPr>
        <w:t xml:space="preserve"> </w:t>
      </w:r>
      <w:r>
        <w:rPr>
          <w:lang w:val="fr-CA"/>
        </w:rPr>
        <w:t>8.</w:t>
      </w:r>
    </w:p>
    <w:p w:rsidR="004D7D95" w:rsidRPr="004D7D95" w:rsidRDefault="004D7D95" w:rsidP="00795B2B">
      <w:pPr>
        <w:pStyle w:val="SCCNormalDoubleSpacing"/>
        <w:spacing w:after="720" w:line="240" w:lineRule="auto"/>
        <w:rPr>
          <w:b/>
          <w:lang w:val="fr-CA"/>
        </w:rPr>
      </w:pPr>
      <w:r w:rsidRPr="004D7D95">
        <w:rPr>
          <w:b/>
          <w:lang w:val="fr-CA"/>
        </w:rPr>
        <w:t>Doctrine et autres documents cités</w:t>
      </w:r>
    </w:p>
    <w:p w:rsidR="00757898" w:rsidRDefault="00757898" w:rsidP="00795B2B">
      <w:pPr>
        <w:pStyle w:val="SCCNormalDoubleSpacing"/>
        <w:spacing w:after="240" w:line="240" w:lineRule="auto"/>
        <w:ind w:left="540" w:hanging="540"/>
      </w:pPr>
      <w:r w:rsidRPr="009179A0">
        <w:rPr>
          <w:lang w:val="fr-CA"/>
        </w:rPr>
        <w:t>Adams, George</w:t>
      </w:r>
      <w:r w:rsidR="00795B2B" w:rsidRPr="009179A0">
        <w:rPr>
          <w:lang w:val="fr-CA"/>
        </w:rPr>
        <w:t xml:space="preserve"> </w:t>
      </w:r>
      <w:r w:rsidRPr="009179A0">
        <w:rPr>
          <w:lang w:val="fr-CA"/>
        </w:rPr>
        <w:t xml:space="preserve">W.  </w:t>
      </w:r>
      <w:r w:rsidRPr="001473B5">
        <w:rPr>
          <w:i/>
        </w:rPr>
        <w:t>Canadian Labour Law</w:t>
      </w:r>
      <w:r w:rsidRPr="00BD2826">
        <w:t>, 2nd ed.</w:t>
      </w:r>
      <w:r w:rsidR="00AC7A6D">
        <w:t>,</w:t>
      </w:r>
      <w:r>
        <w:t xml:space="preserve"> </w:t>
      </w:r>
      <w:r w:rsidRPr="00BD2826">
        <w:t>Toronto</w:t>
      </w:r>
      <w:r w:rsidR="00AC7A6D">
        <w:t xml:space="preserve">, </w:t>
      </w:r>
      <w:r w:rsidRPr="00BD2826">
        <w:t>Canada Law Book, 1993</w:t>
      </w:r>
      <w:r w:rsidRPr="001473B5">
        <w:t xml:space="preserve"> </w:t>
      </w:r>
      <w:r w:rsidRPr="00BD2826">
        <w:t>(loose</w:t>
      </w:r>
      <w:r w:rsidR="00795B2B">
        <w:t>-</w:t>
      </w:r>
      <w:r w:rsidRPr="00BD2826">
        <w:t>leaf</w:t>
      </w:r>
      <w:r>
        <w:t xml:space="preserve"> updated </w:t>
      </w:r>
      <w:r w:rsidR="00E20D56">
        <w:t>June 2014</w:t>
      </w:r>
      <w:r>
        <w:t xml:space="preserve">, release </w:t>
      </w:r>
      <w:r w:rsidR="00E20D56">
        <w:t>50</w:t>
      </w:r>
      <w:r w:rsidRPr="00BD2826">
        <w:t>)</w:t>
      </w:r>
      <w:r>
        <w:t>.</w:t>
      </w:r>
    </w:p>
    <w:p w:rsidR="00C3055A" w:rsidRDefault="00C3055A" w:rsidP="00795B2B">
      <w:pPr>
        <w:pStyle w:val="SCCNormalDoubleSpacing"/>
        <w:spacing w:after="240" w:line="240" w:lineRule="auto"/>
        <w:ind w:left="540" w:hanging="540"/>
      </w:pPr>
      <w:r w:rsidRPr="007C0795">
        <w:t>Adams, Roy</w:t>
      </w:r>
      <w:r w:rsidR="00795B2B">
        <w:t xml:space="preserve"> </w:t>
      </w:r>
      <w:r w:rsidRPr="007C0795">
        <w:t xml:space="preserve">J.  </w:t>
      </w:r>
      <w:r w:rsidR="00795B2B">
        <w:t>« </w:t>
      </w:r>
      <w:r w:rsidRPr="007C0795">
        <w:t xml:space="preserve">A Pernicious </w:t>
      </w:r>
      <w:proofErr w:type="gramStart"/>
      <w:r w:rsidRPr="007C0795">
        <w:t>Euphoria</w:t>
      </w:r>
      <w:r w:rsidR="00795B2B">
        <w:t> :</w:t>
      </w:r>
      <w:proofErr w:type="gramEnd"/>
      <w:r w:rsidRPr="007C0795">
        <w:t xml:space="preserve"> 50 Years of Wagnerism in Canada</w:t>
      </w:r>
      <w:r w:rsidR="00795B2B">
        <w:t> »</w:t>
      </w:r>
      <w:r w:rsidRPr="007C0795">
        <w:t xml:space="preserve"> (1995), 3 </w:t>
      </w:r>
      <w:r w:rsidRPr="007C0795">
        <w:rPr>
          <w:i/>
        </w:rPr>
        <w:t>C.L.E.L.J.</w:t>
      </w:r>
      <w:r w:rsidRPr="007C0795">
        <w:t xml:space="preserve"> 321.</w:t>
      </w:r>
    </w:p>
    <w:p w:rsidR="002A77CD" w:rsidRDefault="002A77CD" w:rsidP="00795B2B">
      <w:pPr>
        <w:pStyle w:val="SCCNormalDoubleSpacing"/>
        <w:spacing w:after="240" w:line="240" w:lineRule="auto"/>
        <w:ind w:left="540" w:hanging="540"/>
      </w:pPr>
      <w:r w:rsidRPr="00A3490E">
        <w:t>Adams, Roy</w:t>
      </w:r>
      <w:r w:rsidR="00795B2B">
        <w:t xml:space="preserve"> </w:t>
      </w:r>
      <w:r w:rsidRPr="00A3490E">
        <w:t xml:space="preserve">J.  </w:t>
      </w:r>
      <w:r w:rsidR="00795B2B">
        <w:t>« </w:t>
      </w:r>
      <w:r w:rsidRPr="00A3490E">
        <w:t xml:space="preserve">Public Employment </w:t>
      </w:r>
      <w:proofErr w:type="gramStart"/>
      <w:r w:rsidRPr="00A3490E">
        <w:t>Relations</w:t>
      </w:r>
      <w:r w:rsidR="00795B2B">
        <w:t> :</w:t>
      </w:r>
      <w:proofErr w:type="gramEnd"/>
      <w:r w:rsidRPr="00A3490E">
        <w:t xml:space="preserve"> Canadian Developments in Perspective</w:t>
      </w:r>
      <w:r w:rsidR="00795B2B">
        <w:t> »</w:t>
      </w:r>
      <w:r w:rsidRPr="00A3490E">
        <w:t xml:space="preserve">, in Gene Swimmer, ed., </w:t>
      </w:r>
      <w:r w:rsidRPr="00A3490E">
        <w:rPr>
          <w:i/>
        </w:rPr>
        <w:t>Public</w:t>
      </w:r>
      <w:r w:rsidR="00795B2B">
        <w:rPr>
          <w:i/>
        </w:rPr>
        <w:t>-</w:t>
      </w:r>
      <w:r w:rsidRPr="00A3490E">
        <w:rPr>
          <w:i/>
        </w:rPr>
        <w:t>Sector Labour Relations in an Era of Restraint and Restructuring</w:t>
      </w:r>
      <w:r w:rsidR="00805DD1">
        <w:t xml:space="preserve">, </w:t>
      </w:r>
      <w:r w:rsidR="00AC7A6D">
        <w:t>Don Mills (</w:t>
      </w:r>
      <w:r w:rsidRPr="00A3490E">
        <w:t>Ont.</w:t>
      </w:r>
      <w:r w:rsidR="00AC7A6D">
        <w:t>),</w:t>
      </w:r>
      <w:r w:rsidRPr="00A3490E">
        <w:t xml:space="preserve"> Oxford University Press, 2001, 212.</w:t>
      </w:r>
    </w:p>
    <w:p w:rsidR="00594D8A" w:rsidRPr="002D54A5" w:rsidRDefault="00594D8A" w:rsidP="00795B2B">
      <w:pPr>
        <w:pStyle w:val="SCCNormalDoubleSpacing"/>
        <w:spacing w:after="240" w:line="240" w:lineRule="auto"/>
        <w:ind w:left="540" w:hanging="540"/>
      </w:pPr>
      <w:proofErr w:type="gramStart"/>
      <w:r w:rsidRPr="002D54A5">
        <w:t>Anderson</w:t>
      </w:r>
      <w:r>
        <w:t>, John</w:t>
      </w:r>
      <w:r w:rsidR="00795B2B">
        <w:t xml:space="preserve"> </w:t>
      </w:r>
      <w:r>
        <w:t xml:space="preserve">C., and </w:t>
      </w:r>
      <w:r w:rsidRPr="002D54A5">
        <w:t>T</w:t>
      </w:r>
      <w:r>
        <w:t>homas</w:t>
      </w:r>
      <w:r w:rsidR="00795B2B">
        <w:t xml:space="preserve"> </w:t>
      </w:r>
      <w:r w:rsidRPr="002D54A5">
        <w:t xml:space="preserve">A. </w:t>
      </w:r>
      <w:proofErr w:type="spellStart"/>
      <w:r w:rsidRPr="002D54A5">
        <w:t>Kochan</w:t>
      </w:r>
      <w:proofErr w:type="spellEnd"/>
      <w:r>
        <w:t>.</w:t>
      </w:r>
      <w:proofErr w:type="gramEnd"/>
      <w:r>
        <w:t xml:space="preserve"> </w:t>
      </w:r>
      <w:r w:rsidRPr="002D54A5">
        <w:t xml:space="preserve"> </w:t>
      </w:r>
      <w:proofErr w:type="gramStart"/>
      <w:r w:rsidR="00795B2B">
        <w:t>« </w:t>
      </w:r>
      <w:r w:rsidRPr="002D54A5">
        <w:t>Collective Bargaining in the Public Service of Canada</w:t>
      </w:r>
      <w:r w:rsidR="00795B2B">
        <w:t> »</w:t>
      </w:r>
      <w:r w:rsidRPr="002D54A5">
        <w:t xml:space="preserve"> (1977)</w:t>
      </w:r>
      <w:r>
        <w:t>,</w:t>
      </w:r>
      <w:r w:rsidRPr="002D54A5">
        <w:t xml:space="preserve"> 32 </w:t>
      </w:r>
      <w:proofErr w:type="spellStart"/>
      <w:r w:rsidRPr="004243ED">
        <w:rPr>
          <w:i/>
        </w:rPr>
        <w:t>R</w:t>
      </w:r>
      <w:r w:rsidR="00AC7A6D">
        <w:rPr>
          <w:i/>
        </w:rPr>
        <w:t>elat</w:t>
      </w:r>
      <w:proofErr w:type="spellEnd"/>
      <w:r w:rsidR="00AC7A6D">
        <w:rPr>
          <w:i/>
        </w:rPr>
        <w:t>.</w:t>
      </w:r>
      <w:proofErr w:type="gramEnd"/>
      <w:r w:rsidR="00AC7A6D">
        <w:rPr>
          <w:i/>
        </w:rPr>
        <w:t xml:space="preserve"> </w:t>
      </w:r>
      <w:proofErr w:type="spellStart"/>
      <w:proofErr w:type="gramStart"/>
      <w:r w:rsidR="00AC7A6D">
        <w:rPr>
          <w:i/>
        </w:rPr>
        <w:t>ind</w:t>
      </w:r>
      <w:proofErr w:type="spellEnd"/>
      <w:r w:rsidR="00AC7A6D">
        <w:rPr>
          <w:i/>
        </w:rPr>
        <w:t>.</w:t>
      </w:r>
      <w:r w:rsidRPr="002D54A5">
        <w:t xml:space="preserve"> 234</w:t>
      </w:r>
      <w:r w:rsidR="00796B06">
        <w:t>.</w:t>
      </w:r>
      <w:proofErr w:type="gramEnd"/>
    </w:p>
    <w:p w:rsidR="00757898" w:rsidRDefault="00757898" w:rsidP="00795B2B">
      <w:pPr>
        <w:pStyle w:val="SCCNormalDoubleSpacing"/>
        <w:spacing w:after="240" w:line="240" w:lineRule="auto"/>
        <w:ind w:left="540" w:hanging="540"/>
      </w:pPr>
      <w:proofErr w:type="spellStart"/>
      <w:proofErr w:type="gramStart"/>
      <w:r w:rsidRPr="00BD2826">
        <w:t>Bogg</w:t>
      </w:r>
      <w:proofErr w:type="spellEnd"/>
      <w:r>
        <w:t>,</w:t>
      </w:r>
      <w:r w:rsidRPr="00BD2826">
        <w:t xml:space="preserve"> Alan</w:t>
      </w:r>
      <w:r>
        <w:t>,</w:t>
      </w:r>
      <w:r w:rsidRPr="00BD2826">
        <w:t xml:space="preserve"> and Keith Ewing</w:t>
      </w:r>
      <w:r>
        <w:t>.</w:t>
      </w:r>
      <w:proofErr w:type="gramEnd"/>
      <w:r>
        <w:t xml:space="preserve"> </w:t>
      </w:r>
      <w:r w:rsidRPr="00BD2826">
        <w:t xml:space="preserve"> </w:t>
      </w:r>
      <w:proofErr w:type="gramStart"/>
      <w:r w:rsidR="00795B2B">
        <w:t>« </w:t>
      </w:r>
      <w:r w:rsidRPr="00BD2826">
        <w:t>A (Muted) Voice at Work?</w:t>
      </w:r>
      <w:proofErr w:type="gramEnd"/>
      <w:r w:rsidRPr="00BD2826">
        <w:t xml:space="preserve"> </w:t>
      </w:r>
      <w:r>
        <w:t xml:space="preserve"> </w:t>
      </w:r>
      <w:proofErr w:type="gramStart"/>
      <w:r w:rsidRPr="00BD2826">
        <w:t>Collective Bargaining in the Supreme Court of Canada</w:t>
      </w:r>
      <w:r w:rsidR="00795B2B">
        <w:t> »</w:t>
      </w:r>
      <w:r w:rsidRPr="00BD2826">
        <w:t xml:space="preserve"> (2012)</w:t>
      </w:r>
      <w:r>
        <w:t>,</w:t>
      </w:r>
      <w:r w:rsidRPr="00BD2826">
        <w:t xml:space="preserve"> 33 </w:t>
      </w:r>
      <w:r w:rsidRPr="007D3ADA">
        <w:rPr>
          <w:i/>
        </w:rPr>
        <w:t>Com</w:t>
      </w:r>
      <w:r w:rsidR="0053416A">
        <w:rPr>
          <w:i/>
        </w:rPr>
        <w:t>p.</w:t>
      </w:r>
      <w:r w:rsidR="00795B2B">
        <w:rPr>
          <w:i/>
        </w:rPr>
        <w:t xml:space="preserve"> </w:t>
      </w:r>
      <w:r w:rsidRPr="007D3ADA">
        <w:rPr>
          <w:i/>
        </w:rPr>
        <w:t xml:space="preserve">Lab. L. &amp; </w:t>
      </w:r>
      <w:proofErr w:type="spellStart"/>
      <w:r w:rsidRPr="007D3ADA">
        <w:rPr>
          <w:i/>
        </w:rPr>
        <w:t>Pol’y</w:t>
      </w:r>
      <w:proofErr w:type="spellEnd"/>
      <w:r w:rsidRPr="007D3ADA">
        <w:rPr>
          <w:i/>
        </w:rPr>
        <w:t xml:space="preserve"> J.</w:t>
      </w:r>
      <w:r w:rsidRPr="00BD2826">
        <w:t xml:space="preserve"> 379</w:t>
      </w:r>
      <w:r>
        <w:t>.</w:t>
      </w:r>
      <w:proofErr w:type="gramEnd"/>
    </w:p>
    <w:p w:rsidR="00757898" w:rsidRPr="00B60DF9" w:rsidRDefault="00757898" w:rsidP="00795B2B">
      <w:pPr>
        <w:pStyle w:val="SCCNormalDoubleSpacing"/>
        <w:spacing w:after="240" w:line="240" w:lineRule="auto"/>
        <w:ind w:left="540" w:hanging="540"/>
        <w:rPr>
          <w:lang w:val="fr-FR"/>
        </w:rPr>
      </w:pPr>
      <w:r w:rsidRPr="00901DDE">
        <w:rPr>
          <w:lang w:val="fr-CA"/>
        </w:rPr>
        <w:t xml:space="preserve">Brun, Henri, Guy Tremblay et Eugénie Brouillet.  </w:t>
      </w:r>
      <w:r w:rsidRPr="00901DDE">
        <w:rPr>
          <w:i/>
          <w:lang w:val="fr-CA"/>
        </w:rPr>
        <w:t>Droit constitutionnel</w:t>
      </w:r>
      <w:r w:rsidRPr="00901DDE">
        <w:rPr>
          <w:lang w:val="fr-CA"/>
        </w:rPr>
        <w:t>, 5</w:t>
      </w:r>
      <w:r w:rsidRPr="00901DDE">
        <w:rPr>
          <w:vertAlign w:val="superscript"/>
          <w:lang w:val="fr-CA"/>
        </w:rPr>
        <w:t>e</w:t>
      </w:r>
      <w:r w:rsidR="001A1B5B">
        <w:rPr>
          <w:lang w:val="fr-CA"/>
        </w:rPr>
        <w:t xml:space="preserve"> éd., </w:t>
      </w:r>
      <w:proofErr w:type="spellStart"/>
      <w:r w:rsidR="001A1B5B">
        <w:rPr>
          <w:lang w:val="fr-FR"/>
        </w:rPr>
        <w:t>Cowansville</w:t>
      </w:r>
      <w:proofErr w:type="spellEnd"/>
      <w:r w:rsidRPr="00B60DF9">
        <w:rPr>
          <w:lang w:val="fr-FR"/>
        </w:rPr>
        <w:t xml:space="preserve"> </w:t>
      </w:r>
      <w:r w:rsidR="001A1B5B">
        <w:rPr>
          <w:lang w:val="fr-FR"/>
        </w:rPr>
        <w:t>(</w:t>
      </w:r>
      <w:proofErr w:type="spellStart"/>
      <w:r w:rsidR="00A84B45">
        <w:rPr>
          <w:lang w:val="fr-FR"/>
        </w:rPr>
        <w:t>Qc</w:t>
      </w:r>
      <w:proofErr w:type="spellEnd"/>
      <w:r w:rsidR="001A1B5B">
        <w:rPr>
          <w:lang w:val="fr-FR"/>
        </w:rPr>
        <w:t>),</w:t>
      </w:r>
      <w:r w:rsidRPr="00B60DF9">
        <w:rPr>
          <w:lang w:val="fr-FR"/>
        </w:rPr>
        <w:t xml:space="preserve"> Yvon Blais, 2008.</w:t>
      </w:r>
    </w:p>
    <w:p w:rsidR="00757898" w:rsidRDefault="00757898" w:rsidP="00795B2B">
      <w:pPr>
        <w:pStyle w:val="SCCNormalDoubleSpacing"/>
        <w:spacing w:after="240" w:line="240" w:lineRule="auto"/>
        <w:ind w:left="540" w:hanging="540"/>
      </w:pPr>
      <w:r w:rsidRPr="00BD2826">
        <w:t xml:space="preserve">Burkett, </w:t>
      </w:r>
      <w:r>
        <w:t>Brian</w:t>
      </w:r>
      <w:r w:rsidR="00795B2B">
        <w:t xml:space="preserve"> </w:t>
      </w:r>
      <w:r w:rsidRPr="00BD2826">
        <w:t>W.</w:t>
      </w:r>
      <w:r>
        <w:t xml:space="preserve"> </w:t>
      </w:r>
      <w:r w:rsidRPr="00BD2826">
        <w:t xml:space="preserve"> </w:t>
      </w:r>
      <w:r w:rsidR="00795B2B">
        <w:t>« </w:t>
      </w:r>
      <w:r w:rsidRPr="00BD2826">
        <w:t xml:space="preserve">The Future of the </w:t>
      </w:r>
      <w:r w:rsidRPr="00FA61E3">
        <w:rPr>
          <w:i/>
        </w:rPr>
        <w:t xml:space="preserve">Wagner </w:t>
      </w:r>
      <w:proofErr w:type="gramStart"/>
      <w:r w:rsidRPr="00FA61E3">
        <w:rPr>
          <w:i/>
        </w:rPr>
        <w:t>Act</w:t>
      </w:r>
      <w:r w:rsidR="00795B2B">
        <w:t> :</w:t>
      </w:r>
      <w:proofErr w:type="gramEnd"/>
      <w:r>
        <w:t xml:space="preserve"> </w:t>
      </w:r>
      <w:r w:rsidRPr="00BD2826">
        <w:t>A Canadian</w:t>
      </w:r>
      <w:r w:rsidR="00795B2B">
        <w:t>-</w:t>
      </w:r>
      <w:r w:rsidRPr="00BD2826">
        <w:t>American Comparison</w:t>
      </w:r>
      <w:r w:rsidR="00795B2B">
        <w:t> »</w:t>
      </w:r>
      <w:r w:rsidRPr="00BD2826">
        <w:t xml:space="preserve"> (2013)</w:t>
      </w:r>
      <w:r>
        <w:t>,</w:t>
      </w:r>
      <w:r w:rsidRPr="00BD2826">
        <w:t xml:space="preserve"> 38 </w:t>
      </w:r>
      <w:r w:rsidRPr="00FA61E3">
        <w:rPr>
          <w:i/>
        </w:rPr>
        <w:t>Queen’s L.J.</w:t>
      </w:r>
      <w:r w:rsidRPr="00BD2826">
        <w:t xml:space="preserve"> 363</w:t>
      </w:r>
      <w:r>
        <w:t>.</w:t>
      </w:r>
    </w:p>
    <w:p w:rsidR="00757898" w:rsidRPr="00901DDE" w:rsidRDefault="00757898" w:rsidP="00795B2B">
      <w:pPr>
        <w:pStyle w:val="SCCNormalDoubleSpacing"/>
        <w:spacing w:after="240" w:line="240" w:lineRule="auto"/>
        <w:ind w:left="540" w:hanging="540"/>
        <w:rPr>
          <w:lang w:val="fr-CA"/>
        </w:rPr>
      </w:pPr>
      <w:r w:rsidRPr="00901DDE">
        <w:rPr>
          <w:lang w:val="fr-CA"/>
        </w:rPr>
        <w:t xml:space="preserve">Canada.  </w:t>
      </w:r>
      <w:r w:rsidR="000D6A82" w:rsidRPr="00901DDE">
        <w:rPr>
          <w:lang w:val="fr-CA"/>
        </w:rPr>
        <w:t>Bureau de l’enquêteur indépendant sur les allégations concernant les régimes de retraite et d’assurances de la GRC</w:t>
      </w:r>
      <w:r w:rsidRPr="00901DDE">
        <w:rPr>
          <w:lang w:val="fr-CA"/>
        </w:rPr>
        <w:t xml:space="preserve">.  </w:t>
      </w:r>
      <w:r w:rsidR="000D6A82" w:rsidRPr="00901DDE">
        <w:rPr>
          <w:i/>
          <w:lang w:val="fr-CA"/>
        </w:rPr>
        <w:t>Une question de confiance</w:t>
      </w:r>
      <w:r w:rsidR="00795B2B">
        <w:rPr>
          <w:i/>
          <w:lang w:val="fr-CA"/>
        </w:rPr>
        <w:t> :</w:t>
      </w:r>
      <w:r w:rsidRPr="00901DDE">
        <w:rPr>
          <w:i/>
          <w:lang w:val="fr-CA"/>
        </w:rPr>
        <w:t xml:space="preserve"> </w:t>
      </w:r>
      <w:r w:rsidR="000D6A82" w:rsidRPr="00901DDE">
        <w:rPr>
          <w:i/>
          <w:lang w:val="fr-CA"/>
        </w:rPr>
        <w:t>Rapport de l’enquêteur indépendant sur les allégations concernant les régimes de retraite et d’assurances de la GRC</w:t>
      </w:r>
      <w:r w:rsidR="00A84B45">
        <w:rPr>
          <w:lang w:val="fr-CA"/>
        </w:rPr>
        <w:t>,</w:t>
      </w:r>
      <w:r w:rsidR="00805DD1">
        <w:rPr>
          <w:lang w:val="fr-CA"/>
        </w:rPr>
        <w:t xml:space="preserve"> </w:t>
      </w:r>
      <w:r w:rsidRPr="00901DDE">
        <w:rPr>
          <w:lang w:val="fr-CA"/>
        </w:rPr>
        <w:t>Ottawa</w:t>
      </w:r>
      <w:r w:rsidR="00A84B45">
        <w:rPr>
          <w:lang w:val="fr-CA"/>
        </w:rPr>
        <w:t xml:space="preserve">, </w:t>
      </w:r>
      <w:r w:rsidR="00796B06">
        <w:rPr>
          <w:lang w:val="fr-CA"/>
        </w:rPr>
        <w:t>Le B</w:t>
      </w:r>
      <w:r w:rsidR="000D6A82" w:rsidRPr="00901DDE">
        <w:rPr>
          <w:lang w:val="fr-CA"/>
        </w:rPr>
        <w:t>ureau</w:t>
      </w:r>
      <w:r w:rsidRPr="00901DDE">
        <w:rPr>
          <w:lang w:val="fr-CA"/>
        </w:rPr>
        <w:t>, 2007.</w:t>
      </w:r>
    </w:p>
    <w:p w:rsidR="004931F8" w:rsidRPr="00901DDE" w:rsidRDefault="004931F8" w:rsidP="00795B2B">
      <w:pPr>
        <w:pStyle w:val="SCCNormalDoubleSpacing"/>
        <w:spacing w:after="240" w:line="240" w:lineRule="auto"/>
        <w:ind w:left="540" w:hanging="540"/>
        <w:rPr>
          <w:lang w:val="fr-CA"/>
        </w:rPr>
      </w:pPr>
      <w:r w:rsidRPr="00901DDE">
        <w:rPr>
          <w:lang w:val="fr-CA"/>
        </w:rPr>
        <w:t>Canada.  Comit</w:t>
      </w:r>
      <w:r w:rsidR="001951F9" w:rsidRPr="00901DDE">
        <w:rPr>
          <w:lang w:val="fr-CA"/>
        </w:rPr>
        <w:t>é</w:t>
      </w:r>
      <w:r w:rsidRPr="00901DDE">
        <w:rPr>
          <w:lang w:val="fr-CA"/>
        </w:rPr>
        <w:t xml:space="preserve"> </w:t>
      </w:r>
      <w:r w:rsidR="001951F9" w:rsidRPr="00901DDE">
        <w:rPr>
          <w:lang w:val="fr-CA"/>
        </w:rPr>
        <w:t>consultatif sur les</w:t>
      </w:r>
      <w:r w:rsidRPr="00901DDE">
        <w:rPr>
          <w:lang w:val="fr-CA"/>
        </w:rPr>
        <w:t xml:space="preserve"> </w:t>
      </w:r>
      <w:r w:rsidR="001951F9" w:rsidRPr="00901DDE">
        <w:rPr>
          <w:lang w:val="fr-CA"/>
        </w:rPr>
        <w:t>r</w:t>
      </w:r>
      <w:r w:rsidRPr="00901DDE">
        <w:rPr>
          <w:lang w:val="fr-CA"/>
        </w:rPr>
        <w:t xml:space="preserve">elations </w:t>
      </w:r>
      <w:r w:rsidR="001951F9" w:rsidRPr="00901DDE">
        <w:rPr>
          <w:lang w:val="fr-CA"/>
        </w:rPr>
        <w:t>patronales</w:t>
      </w:r>
      <w:r w:rsidR="00795B2B">
        <w:rPr>
          <w:lang w:val="fr-CA"/>
        </w:rPr>
        <w:t>-</w:t>
      </w:r>
      <w:r w:rsidR="001951F9" w:rsidRPr="00901DDE">
        <w:rPr>
          <w:lang w:val="fr-CA"/>
        </w:rPr>
        <w:t>syndicales dans la fonction publique fédérale</w:t>
      </w:r>
      <w:r w:rsidRPr="00901DDE">
        <w:rPr>
          <w:lang w:val="fr-CA"/>
        </w:rPr>
        <w:t xml:space="preserve">.  </w:t>
      </w:r>
      <w:r w:rsidR="001951F9" w:rsidRPr="00901DDE">
        <w:rPr>
          <w:i/>
          <w:lang w:val="fr-CA"/>
        </w:rPr>
        <w:t>Travailler ensemble dans l’intérêt p</w:t>
      </w:r>
      <w:r w:rsidRPr="00901DDE">
        <w:rPr>
          <w:i/>
          <w:lang w:val="fr-CA"/>
        </w:rPr>
        <w:t>ublic</w:t>
      </w:r>
      <w:r w:rsidR="00A84B45">
        <w:rPr>
          <w:lang w:val="fr-CA"/>
        </w:rPr>
        <w:t xml:space="preserve">, </w:t>
      </w:r>
      <w:r w:rsidRPr="00901DDE">
        <w:rPr>
          <w:lang w:val="fr-CA"/>
        </w:rPr>
        <w:t>Ottawa</w:t>
      </w:r>
      <w:r w:rsidR="00A84B45">
        <w:rPr>
          <w:lang w:val="fr-CA"/>
        </w:rPr>
        <w:t xml:space="preserve">, </w:t>
      </w:r>
      <w:proofErr w:type="spellStart"/>
      <w:r w:rsidR="001951F9" w:rsidRPr="00901DDE">
        <w:rPr>
          <w:lang w:val="fr-CA"/>
        </w:rPr>
        <w:lastRenderedPageBreak/>
        <w:t>Secretariat</w:t>
      </w:r>
      <w:proofErr w:type="spellEnd"/>
      <w:r w:rsidR="001951F9" w:rsidRPr="00901DDE">
        <w:rPr>
          <w:lang w:val="fr-CA"/>
        </w:rPr>
        <w:t xml:space="preserve"> du Conseil du Trésor</w:t>
      </w:r>
      <w:r w:rsidRPr="00901DDE">
        <w:rPr>
          <w:lang w:val="fr-CA"/>
        </w:rPr>
        <w:t>, 2001 (</w:t>
      </w:r>
      <w:r w:rsidR="001951F9" w:rsidRPr="00901DDE">
        <w:rPr>
          <w:lang w:val="fr-CA"/>
        </w:rPr>
        <w:t>e</w:t>
      </w:r>
      <w:r w:rsidRPr="00901DDE">
        <w:rPr>
          <w:lang w:val="fr-CA"/>
        </w:rPr>
        <w:t>n</w:t>
      </w:r>
      <w:r w:rsidR="001951F9" w:rsidRPr="00901DDE">
        <w:rPr>
          <w:lang w:val="fr-CA"/>
        </w:rPr>
        <w:t xml:space="preserve"> </w:t>
      </w:r>
      <w:r w:rsidRPr="00901DDE">
        <w:rPr>
          <w:lang w:val="fr-CA"/>
        </w:rPr>
        <w:t>li</w:t>
      </w:r>
      <w:r w:rsidR="001951F9" w:rsidRPr="00901DDE">
        <w:rPr>
          <w:lang w:val="fr-CA"/>
        </w:rPr>
        <w:t>g</w:t>
      </w:r>
      <w:r w:rsidRPr="00901DDE">
        <w:rPr>
          <w:lang w:val="fr-CA"/>
        </w:rPr>
        <w:t>ne</w:t>
      </w:r>
      <w:r w:rsidR="00795B2B">
        <w:rPr>
          <w:lang w:val="fr-CA"/>
        </w:rPr>
        <w:t> :</w:t>
      </w:r>
      <w:r w:rsidRPr="00901DDE">
        <w:rPr>
          <w:lang w:val="fr-CA"/>
        </w:rPr>
        <w:t xml:space="preserve"> </w:t>
      </w:r>
      <w:r w:rsidR="001951F9" w:rsidRPr="00901DDE">
        <w:rPr>
          <w:lang w:val="fr-CA"/>
        </w:rPr>
        <w:t>http://www.tbs</w:t>
      </w:r>
      <w:r w:rsidR="00795B2B">
        <w:rPr>
          <w:lang w:val="fr-CA"/>
        </w:rPr>
        <w:t>-</w:t>
      </w:r>
      <w:r w:rsidR="001951F9" w:rsidRPr="00901DDE">
        <w:rPr>
          <w:lang w:val="fr-CA"/>
        </w:rPr>
        <w:t>sct.gc.ca/report/fryer/wtpi</w:t>
      </w:r>
      <w:r w:rsidR="00795B2B">
        <w:rPr>
          <w:lang w:val="fr-CA"/>
        </w:rPr>
        <w:t>-</w:t>
      </w:r>
      <w:r w:rsidR="001951F9" w:rsidRPr="00901DDE">
        <w:rPr>
          <w:lang w:val="fr-CA"/>
        </w:rPr>
        <w:t>teip</w:t>
      </w:r>
      <w:r w:rsidR="00795B2B">
        <w:rPr>
          <w:lang w:val="fr-CA"/>
        </w:rPr>
        <w:t>-</w:t>
      </w:r>
      <w:r w:rsidR="001951F9" w:rsidRPr="00901DDE">
        <w:rPr>
          <w:lang w:val="fr-CA"/>
        </w:rPr>
        <w:t>fra.pdf</w:t>
      </w:r>
      <w:r w:rsidRPr="00901DDE">
        <w:rPr>
          <w:lang w:val="fr-CA"/>
        </w:rPr>
        <w:t>).</w:t>
      </w:r>
    </w:p>
    <w:p w:rsidR="00757898" w:rsidRPr="00901DDE" w:rsidRDefault="00757898" w:rsidP="00795B2B">
      <w:pPr>
        <w:pStyle w:val="SCCNormalDoubleSpacing"/>
        <w:spacing w:after="240" w:line="240" w:lineRule="auto"/>
        <w:ind w:left="540" w:hanging="540"/>
        <w:rPr>
          <w:lang w:val="fr-CA"/>
        </w:rPr>
      </w:pPr>
      <w:r w:rsidRPr="00901DDE">
        <w:rPr>
          <w:lang w:val="fr-CA"/>
        </w:rPr>
        <w:t xml:space="preserve">Canada.  Comité préparatoire des  négociations collectives dans la fonction publique.  </w:t>
      </w:r>
      <w:r>
        <w:rPr>
          <w:i/>
          <w:lang w:val="fr-CA"/>
        </w:rPr>
        <w:t>Rapport du Comité préparatoire des négociations collectives dans la fonction publique</w:t>
      </w:r>
      <w:r w:rsidR="00A84B45">
        <w:rPr>
          <w:lang w:val="fr-CA"/>
        </w:rPr>
        <w:t>,</w:t>
      </w:r>
      <w:r w:rsidRPr="00901DDE">
        <w:rPr>
          <w:lang w:val="fr-CA"/>
        </w:rPr>
        <w:t xml:space="preserve"> Ottawa</w:t>
      </w:r>
      <w:r w:rsidR="00A84B45">
        <w:rPr>
          <w:lang w:val="fr-CA"/>
        </w:rPr>
        <w:t>,</w:t>
      </w:r>
      <w:r w:rsidRPr="00901DDE">
        <w:rPr>
          <w:lang w:val="fr-CA"/>
        </w:rPr>
        <w:t xml:space="preserve"> </w:t>
      </w:r>
      <w:r w:rsidR="000D6A82" w:rsidRPr="00901DDE">
        <w:rPr>
          <w:lang w:val="fr-CA"/>
        </w:rPr>
        <w:t>Imprimeur de la Reine</w:t>
      </w:r>
      <w:r w:rsidRPr="00901DDE">
        <w:rPr>
          <w:lang w:val="fr-CA"/>
        </w:rPr>
        <w:t>, 1965.</w:t>
      </w:r>
    </w:p>
    <w:p w:rsidR="007909D4" w:rsidRPr="00901DDE" w:rsidRDefault="007909D4" w:rsidP="00795B2B">
      <w:pPr>
        <w:pStyle w:val="SCCNormalDoubleSpacing"/>
        <w:spacing w:after="240" w:line="240" w:lineRule="auto"/>
        <w:ind w:left="540" w:hanging="540"/>
        <w:rPr>
          <w:lang w:val="fr-CA"/>
        </w:rPr>
      </w:pPr>
      <w:r w:rsidRPr="00901DDE">
        <w:rPr>
          <w:lang w:val="fr-CA"/>
        </w:rPr>
        <w:t xml:space="preserve">Canada.  Équipe spécialisée en relations de travail.  </w:t>
      </w:r>
      <w:r w:rsidRPr="00901DDE">
        <w:rPr>
          <w:i/>
          <w:lang w:val="fr-CA"/>
        </w:rPr>
        <w:t>Les relations du travail au Canada</w:t>
      </w:r>
      <w:r w:rsidR="00795B2B">
        <w:rPr>
          <w:i/>
          <w:lang w:val="fr-CA"/>
        </w:rPr>
        <w:t> :</w:t>
      </w:r>
      <w:r w:rsidRPr="00901DDE">
        <w:rPr>
          <w:i/>
          <w:lang w:val="fr-CA"/>
        </w:rPr>
        <w:t xml:space="preserve"> Rapport de l’Équipe spécialisée en relations de travail</w:t>
      </w:r>
      <w:r w:rsidR="00805DD1">
        <w:rPr>
          <w:lang w:val="fr-CA"/>
        </w:rPr>
        <w:t>,</w:t>
      </w:r>
      <w:r w:rsidRPr="00901DDE">
        <w:rPr>
          <w:lang w:val="fr-CA"/>
        </w:rPr>
        <w:t xml:space="preserve"> Ottawa</w:t>
      </w:r>
      <w:r w:rsidR="00CB1B9E">
        <w:rPr>
          <w:lang w:val="fr-CA"/>
        </w:rPr>
        <w:t xml:space="preserve">, </w:t>
      </w:r>
      <w:r w:rsidRPr="00901DDE">
        <w:rPr>
          <w:lang w:val="fr-CA"/>
        </w:rPr>
        <w:t>Bureau du Conseil privé, 1969.</w:t>
      </w:r>
    </w:p>
    <w:p w:rsidR="00757898" w:rsidRPr="00805DD1" w:rsidRDefault="00757898" w:rsidP="00795B2B">
      <w:pPr>
        <w:pStyle w:val="SCCNormalDoubleSpacing"/>
        <w:spacing w:after="240" w:line="240" w:lineRule="auto"/>
        <w:ind w:left="540" w:hanging="540"/>
        <w:rPr>
          <w:lang w:val="fr-CA"/>
        </w:rPr>
      </w:pPr>
      <w:r w:rsidRPr="00901DDE">
        <w:rPr>
          <w:lang w:val="fr-CA"/>
        </w:rPr>
        <w:t xml:space="preserve">Canada.  </w:t>
      </w:r>
      <w:r w:rsidR="000D6A82" w:rsidRPr="00901DDE">
        <w:rPr>
          <w:lang w:val="fr-CA"/>
        </w:rPr>
        <w:t>Groupe de travail sur la gouvernance et le changement culturel à la GRC</w:t>
      </w:r>
      <w:r w:rsidRPr="00901DDE">
        <w:rPr>
          <w:lang w:val="fr-CA"/>
        </w:rPr>
        <w:t xml:space="preserve">.  </w:t>
      </w:r>
      <w:r w:rsidRPr="00901DDE">
        <w:rPr>
          <w:i/>
          <w:lang w:val="fr-CA"/>
        </w:rPr>
        <w:t>R</w:t>
      </w:r>
      <w:r w:rsidR="000D6A82" w:rsidRPr="00901DDE">
        <w:rPr>
          <w:i/>
          <w:lang w:val="fr-CA"/>
        </w:rPr>
        <w:t>établir la confiance</w:t>
      </w:r>
      <w:r w:rsidR="00795B2B">
        <w:rPr>
          <w:i/>
          <w:lang w:val="fr-CA"/>
        </w:rPr>
        <w:t> :</w:t>
      </w:r>
      <w:r w:rsidRPr="00901DDE">
        <w:rPr>
          <w:i/>
          <w:lang w:val="fr-CA"/>
        </w:rPr>
        <w:t xml:space="preserve"> </w:t>
      </w:r>
      <w:r w:rsidR="000D6A82" w:rsidRPr="00901DDE">
        <w:rPr>
          <w:i/>
          <w:lang w:val="fr-CA"/>
        </w:rPr>
        <w:t>Rapport du Groupe de travail sur la gouvernance et le changement culturel à la GRC</w:t>
      </w:r>
      <w:r w:rsidR="00805DD1">
        <w:rPr>
          <w:lang w:val="fr-CA"/>
        </w:rPr>
        <w:t xml:space="preserve">, </w:t>
      </w:r>
      <w:r w:rsidRPr="00805DD1">
        <w:rPr>
          <w:lang w:val="fr-CA"/>
        </w:rPr>
        <w:t>Ottawa</w:t>
      </w:r>
      <w:r w:rsidR="002F6D8A" w:rsidRPr="00805DD1">
        <w:rPr>
          <w:lang w:val="fr-CA"/>
        </w:rPr>
        <w:t>,</w:t>
      </w:r>
      <w:r w:rsidRPr="00805DD1">
        <w:rPr>
          <w:lang w:val="fr-CA"/>
        </w:rPr>
        <w:t xml:space="preserve"> </w:t>
      </w:r>
      <w:r w:rsidR="00796B06" w:rsidRPr="00805DD1">
        <w:rPr>
          <w:lang w:val="fr-CA"/>
        </w:rPr>
        <w:t>Le G</w:t>
      </w:r>
      <w:r w:rsidR="000D6A82" w:rsidRPr="00805DD1">
        <w:rPr>
          <w:lang w:val="fr-CA"/>
        </w:rPr>
        <w:t>roupe de travail</w:t>
      </w:r>
      <w:r w:rsidRPr="00805DD1">
        <w:rPr>
          <w:lang w:val="fr-CA"/>
        </w:rPr>
        <w:t>, 2007.</w:t>
      </w:r>
    </w:p>
    <w:p w:rsidR="00594D8A" w:rsidRDefault="00594D8A" w:rsidP="00795B2B">
      <w:pPr>
        <w:pStyle w:val="SCCNormalDoubleSpacing"/>
        <w:spacing w:after="240" w:line="240" w:lineRule="auto"/>
        <w:ind w:left="540" w:hanging="540"/>
      </w:pPr>
      <w:r w:rsidRPr="002D54A5">
        <w:t>Caron, Renée</w:t>
      </w:r>
      <w:r>
        <w:t xml:space="preserve">. </w:t>
      </w:r>
      <w:r w:rsidRPr="002D54A5">
        <w:t xml:space="preserve"> </w:t>
      </w:r>
      <w:r w:rsidRPr="002D54A5">
        <w:rPr>
          <w:i/>
        </w:rPr>
        <w:t>Employment in the Federal Public Service</w:t>
      </w:r>
      <w:r w:rsidR="002F6D8A">
        <w:t>,</w:t>
      </w:r>
      <w:r w:rsidRPr="002D54A5">
        <w:t xml:space="preserve"> Aurora</w:t>
      </w:r>
      <w:r w:rsidR="00D60A3E">
        <w:t xml:space="preserve"> (Ont.)</w:t>
      </w:r>
      <w:r w:rsidR="002F6D8A">
        <w:t>,</w:t>
      </w:r>
      <w:r w:rsidRPr="002D54A5">
        <w:t xml:space="preserve"> Canada Law Book, 2001 (loose</w:t>
      </w:r>
      <w:r w:rsidR="00795B2B">
        <w:t>-</w:t>
      </w:r>
      <w:r w:rsidRPr="002D54A5">
        <w:t>leaf</w:t>
      </w:r>
      <w:r>
        <w:t xml:space="preserve"> updated by </w:t>
      </w:r>
      <w:proofErr w:type="spellStart"/>
      <w:r>
        <w:t>Emond</w:t>
      </w:r>
      <w:proofErr w:type="spellEnd"/>
      <w:r>
        <w:t xml:space="preserve"> </w:t>
      </w:r>
      <w:proofErr w:type="spellStart"/>
      <w:r>
        <w:t>Harnden</w:t>
      </w:r>
      <w:proofErr w:type="spellEnd"/>
      <w:r>
        <w:t xml:space="preserve"> LLP, August 2009, release 5</w:t>
      </w:r>
      <w:r w:rsidRPr="002D54A5">
        <w:t>)</w:t>
      </w:r>
      <w:r w:rsidR="00796B06">
        <w:t>.</w:t>
      </w:r>
    </w:p>
    <w:p w:rsidR="00757898" w:rsidRDefault="00757898" w:rsidP="00795B2B">
      <w:pPr>
        <w:pStyle w:val="SCCNormalDoubleSpacing"/>
        <w:spacing w:after="240" w:line="240" w:lineRule="auto"/>
        <w:ind w:left="540" w:hanging="540"/>
      </w:pPr>
      <w:r w:rsidRPr="00BD2826">
        <w:t xml:space="preserve">Carpenter, </w:t>
      </w:r>
      <w:r>
        <w:t xml:space="preserve">Dale.  </w:t>
      </w:r>
      <w:r w:rsidR="00795B2B">
        <w:t>« </w:t>
      </w:r>
      <w:r w:rsidRPr="00BD2826">
        <w:t>Expressive Association and Anti</w:t>
      </w:r>
      <w:r w:rsidR="00795B2B">
        <w:t>-</w:t>
      </w:r>
      <w:r w:rsidRPr="00BD2826">
        <w:t xml:space="preserve">Discrimination Law </w:t>
      </w:r>
      <w:r w:rsidR="00F34077">
        <w:t>A</w:t>
      </w:r>
      <w:r w:rsidRPr="00BD2826">
        <w:t xml:space="preserve">fter </w:t>
      </w:r>
      <w:proofErr w:type="gramStart"/>
      <w:r w:rsidRPr="00C736B4">
        <w:rPr>
          <w:i/>
        </w:rPr>
        <w:t>Dale</w:t>
      </w:r>
      <w:r w:rsidR="00795B2B">
        <w:t> :</w:t>
      </w:r>
      <w:proofErr w:type="gramEnd"/>
      <w:r>
        <w:t xml:space="preserve"> </w:t>
      </w:r>
      <w:r w:rsidRPr="00BD2826">
        <w:t>A Tripartite Approach</w:t>
      </w:r>
      <w:r w:rsidR="00795B2B">
        <w:t> »</w:t>
      </w:r>
      <w:r w:rsidRPr="00BD2826">
        <w:t xml:space="preserve"> (2001)</w:t>
      </w:r>
      <w:r>
        <w:t>,</w:t>
      </w:r>
      <w:r w:rsidRPr="00BD2826">
        <w:t xml:space="preserve"> 85 </w:t>
      </w:r>
      <w:r w:rsidRPr="00C736B4">
        <w:rPr>
          <w:i/>
        </w:rPr>
        <w:t>Minn. L. Rev.</w:t>
      </w:r>
      <w:r w:rsidRPr="00BD2826">
        <w:t xml:space="preserve"> 1515</w:t>
      </w:r>
      <w:r>
        <w:t>.</w:t>
      </w:r>
    </w:p>
    <w:p w:rsidR="00757898" w:rsidRDefault="00757898" w:rsidP="00795B2B">
      <w:pPr>
        <w:pStyle w:val="SCCNormalDoubleSpacing"/>
        <w:spacing w:after="240" w:line="240" w:lineRule="auto"/>
        <w:ind w:left="540" w:hanging="540"/>
      </w:pPr>
      <w:r w:rsidRPr="00901DDE">
        <w:rPr>
          <w:lang w:val="fr-CA"/>
        </w:rPr>
        <w:t>Carter, Donald</w:t>
      </w:r>
      <w:r w:rsidR="00795B2B">
        <w:rPr>
          <w:lang w:val="fr-CA"/>
        </w:rPr>
        <w:t xml:space="preserve"> </w:t>
      </w:r>
      <w:r w:rsidRPr="00901DDE">
        <w:rPr>
          <w:lang w:val="fr-CA"/>
        </w:rPr>
        <w:t xml:space="preserve">D., et </w:t>
      </w:r>
      <w:r w:rsidR="0053416A">
        <w:rPr>
          <w:lang w:val="fr-CA"/>
        </w:rPr>
        <w:t>al.</w:t>
      </w:r>
      <w:r w:rsidR="00795B2B">
        <w:rPr>
          <w:lang w:val="fr-CA"/>
        </w:rPr>
        <w:t xml:space="preserve"> </w:t>
      </w:r>
      <w:r w:rsidRPr="00901DDE">
        <w:rPr>
          <w:lang w:val="fr-CA"/>
        </w:rPr>
        <w:t xml:space="preserve"> </w:t>
      </w:r>
      <w:proofErr w:type="gramStart"/>
      <w:r w:rsidRPr="00637C75">
        <w:rPr>
          <w:i/>
        </w:rPr>
        <w:t>Labour Law in Canada</w:t>
      </w:r>
      <w:r w:rsidR="00DC4FDE">
        <w:t xml:space="preserve">, 5th ed., </w:t>
      </w:r>
      <w:r w:rsidRPr="00BD2826">
        <w:t>The Hague</w:t>
      </w:r>
      <w:r w:rsidR="00DC4FDE">
        <w:t>,</w:t>
      </w:r>
      <w:r>
        <w:t xml:space="preserve"> </w:t>
      </w:r>
      <w:proofErr w:type="spellStart"/>
      <w:r>
        <w:t>Kluwer</w:t>
      </w:r>
      <w:proofErr w:type="spellEnd"/>
      <w:r>
        <w:t xml:space="preserve"> Law International, 2002.</w:t>
      </w:r>
      <w:proofErr w:type="gramEnd"/>
    </w:p>
    <w:p w:rsidR="00757898" w:rsidRPr="00DC4FDE" w:rsidRDefault="00757898" w:rsidP="00795B2B">
      <w:pPr>
        <w:pStyle w:val="SCCNormalDoubleSpacing"/>
        <w:spacing w:after="240" w:line="240" w:lineRule="auto"/>
        <w:ind w:left="540" w:hanging="540"/>
        <w:rPr>
          <w:lang w:val="fr-CA"/>
        </w:rPr>
      </w:pPr>
      <w:proofErr w:type="spellStart"/>
      <w:r w:rsidRPr="00901DDE">
        <w:rPr>
          <w:lang w:val="fr-CA"/>
        </w:rPr>
        <w:t>Coutu</w:t>
      </w:r>
      <w:proofErr w:type="spellEnd"/>
      <w:r w:rsidRPr="00901DDE">
        <w:rPr>
          <w:lang w:val="fr-CA"/>
        </w:rPr>
        <w:t xml:space="preserve">, Michel, et autres.  </w:t>
      </w:r>
      <w:r w:rsidRPr="00901DDE">
        <w:rPr>
          <w:i/>
          <w:lang w:val="fr-CA"/>
        </w:rPr>
        <w:t>Droit des rapports collectifs du travail au Québec</w:t>
      </w:r>
      <w:r w:rsidRPr="00901DDE">
        <w:rPr>
          <w:lang w:val="fr-CA"/>
        </w:rPr>
        <w:t xml:space="preserve">, </w:t>
      </w:r>
      <w:r w:rsidR="0053416A">
        <w:rPr>
          <w:lang w:val="fr-CA"/>
        </w:rPr>
        <w:t>vol.</w:t>
      </w:r>
      <w:r w:rsidR="00795B2B">
        <w:rPr>
          <w:lang w:val="fr-CA"/>
        </w:rPr>
        <w:t xml:space="preserve"> </w:t>
      </w:r>
      <w:r w:rsidRPr="00901DDE">
        <w:rPr>
          <w:lang w:val="fr-CA"/>
        </w:rPr>
        <w:t xml:space="preserve">1, </w:t>
      </w:r>
      <w:r w:rsidRPr="00901DDE">
        <w:rPr>
          <w:i/>
          <w:lang w:val="fr-CA"/>
        </w:rPr>
        <w:t>Le régime génér</w:t>
      </w:r>
      <w:r w:rsidR="0053416A">
        <w:rPr>
          <w:i/>
          <w:lang w:val="fr-CA"/>
        </w:rPr>
        <w:t>al</w:t>
      </w:r>
      <w:r w:rsidR="00DC4FDE">
        <w:rPr>
          <w:lang w:val="fr-CA"/>
        </w:rPr>
        <w:t xml:space="preserve">, </w:t>
      </w:r>
      <w:r w:rsidR="00F31477" w:rsidRPr="00901DDE">
        <w:rPr>
          <w:lang w:val="fr-CA"/>
        </w:rPr>
        <w:t>2</w:t>
      </w:r>
      <w:r w:rsidR="00F31477" w:rsidRPr="00901DDE">
        <w:rPr>
          <w:vertAlign w:val="superscript"/>
          <w:lang w:val="fr-CA"/>
        </w:rPr>
        <w:t>e</w:t>
      </w:r>
      <w:r w:rsidR="00F31477" w:rsidRPr="00901DDE">
        <w:rPr>
          <w:lang w:val="fr-CA"/>
        </w:rPr>
        <w:t xml:space="preserve"> éd.,</w:t>
      </w:r>
      <w:r w:rsidR="00F31477">
        <w:rPr>
          <w:lang w:val="fr-CA"/>
        </w:rPr>
        <w:t xml:space="preserve"> </w:t>
      </w:r>
      <w:proofErr w:type="spellStart"/>
      <w:r w:rsidRPr="00DC4FDE">
        <w:rPr>
          <w:lang w:val="fr-CA"/>
        </w:rPr>
        <w:t>Cowansville</w:t>
      </w:r>
      <w:proofErr w:type="spellEnd"/>
      <w:r w:rsidR="00DC4FDE">
        <w:rPr>
          <w:lang w:val="fr-CA"/>
        </w:rPr>
        <w:t xml:space="preserve"> (</w:t>
      </w:r>
      <w:proofErr w:type="spellStart"/>
      <w:r w:rsidR="00DC4FDE">
        <w:rPr>
          <w:lang w:val="fr-CA"/>
        </w:rPr>
        <w:t>Qc</w:t>
      </w:r>
      <w:proofErr w:type="spellEnd"/>
      <w:r w:rsidR="00DC4FDE">
        <w:rPr>
          <w:lang w:val="fr-CA"/>
        </w:rPr>
        <w:t xml:space="preserve">), </w:t>
      </w:r>
      <w:r w:rsidRPr="00DC4FDE">
        <w:rPr>
          <w:lang w:val="fr-CA"/>
        </w:rPr>
        <w:t>Yvon Blais, 2013.</w:t>
      </w:r>
    </w:p>
    <w:p w:rsidR="00757898" w:rsidRDefault="00757898" w:rsidP="00795B2B">
      <w:pPr>
        <w:pStyle w:val="SCCNormalDoubleSpacing"/>
        <w:spacing w:after="240" w:line="240" w:lineRule="auto"/>
        <w:ind w:left="540" w:hanging="540"/>
      </w:pPr>
      <w:proofErr w:type="spellStart"/>
      <w:r w:rsidRPr="00BD2826">
        <w:t>Doorey</w:t>
      </w:r>
      <w:proofErr w:type="spellEnd"/>
      <w:r w:rsidRPr="00BD2826">
        <w:t xml:space="preserve">, </w:t>
      </w:r>
      <w:r>
        <w:t>David</w:t>
      </w:r>
      <w:r w:rsidR="00795B2B">
        <w:t xml:space="preserve"> </w:t>
      </w:r>
      <w:r w:rsidRPr="00BD2826">
        <w:t>J.</w:t>
      </w:r>
      <w:r>
        <w:t xml:space="preserve"> </w:t>
      </w:r>
      <w:r w:rsidRPr="00BD2826">
        <w:t xml:space="preserve"> </w:t>
      </w:r>
      <w:r w:rsidR="00795B2B">
        <w:t>« </w:t>
      </w:r>
      <w:r w:rsidRPr="00BD2826">
        <w:t xml:space="preserve">Graduated Freedom of </w:t>
      </w:r>
      <w:proofErr w:type="gramStart"/>
      <w:r w:rsidRPr="00BD2826">
        <w:t>Association</w:t>
      </w:r>
      <w:r w:rsidR="00795B2B">
        <w:t> :</w:t>
      </w:r>
      <w:proofErr w:type="gramEnd"/>
      <w:r w:rsidRPr="00BD2826">
        <w:t xml:space="preserve"> Worker Voice Beyond the Wagner Model</w:t>
      </w:r>
      <w:r w:rsidR="00795B2B">
        <w:t> »</w:t>
      </w:r>
      <w:r w:rsidRPr="00BD2826">
        <w:t xml:space="preserve"> (2013)</w:t>
      </w:r>
      <w:r>
        <w:t>,</w:t>
      </w:r>
      <w:r w:rsidRPr="00BD2826">
        <w:t xml:space="preserve"> 38 </w:t>
      </w:r>
      <w:r w:rsidRPr="00C358CE">
        <w:rPr>
          <w:i/>
        </w:rPr>
        <w:t>Queen’s L.J.</w:t>
      </w:r>
      <w:r w:rsidRPr="00BD2826">
        <w:t xml:space="preserve"> 511</w:t>
      </w:r>
      <w:r>
        <w:t>.</w:t>
      </w:r>
    </w:p>
    <w:p w:rsidR="00A40E15" w:rsidRPr="00A10AF8" w:rsidRDefault="00A40E15" w:rsidP="00795B2B">
      <w:pPr>
        <w:pStyle w:val="SCCNormalDoubleSpacing"/>
        <w:spacing w:after="240" w:line="240" w:lineRule="auto"/>
        <w:ind w:left="540" w:hanging="540"/>
      </w:pPr>
      <w:r w:rsidRPr="00A10AF8">
        <w:t xml:space="preserve">Dorsey, </w:t>
      </w:r>
      <w:r>
        <w:t>James</w:t>
      </w:r>
      <w:r w:rsidR="00795B2B">
        <w:t xml:space="preserve"> </w:t>
      </w:r>
      <w:r w:rsidRPr="00A10AF8">
        <w:t xml:space="preserve">E. </w:t>
      </w:r>
      <w:r>
        <w:t xml:space="preserve"> </w:t>
      </w:r>
      <w:r w:rsidR="00795B2B">
        <w:t>« </w:t>
      </w:r>
      <w:r w:rsidRPr="00A10AF8">
        <w:t>Individuals and Internal Union Affairs</w:t>
      </w:r>
      <w:r w:rsidR="00795B2B">
        <w:t> :</w:t>
      </w:r>
      <w:r>
        <w:t xml:space="preserve"> </w:t>
      </w:r>
      <w:r w:rsidRPr="00A10AF8">
        <w:t>The Right to Participate</w:t>
      </w:r>
      <w:r w:rsidR="00795B2B">
        <w:t> »</w:t>
      </w:r>
      <w:r>
        <w:t>,</w:t>
      </w:r>
      <w:r w:rsidRPr="00A10AF8">
        <w:t xml:space="preserve"> in </w:t>
      </w:r>
      <w:r>
        <w:t>Kenneth</w:t>
      </w:r>
      <w:r w:rsidR="00795B2B">
        <w:t xml:space="preserve"> </w:t>
      </w:r>
      <w:r w:rsidR="0053416A">
        <w:t>P.</w:t>
      </w:r>
      <w:r w:rsidR="00795B2B">
        <w:t xml:space="preserve"> </w:t>
      </w:r>
      <w:r w:rsidRPr="00A10AF8">
        <w:t xml:space="preserve">Swan </w:t>
      </w:r>
      <w:r>
        <w:t>and Katherine</w:t>
      </w:r>
      <w:r w:rsidR="00795B2B">
        <w:t xml:space="preserve"> </w:t>
      </w:r>
      <w:r>
        <w:t>E.</w:t>
      </w:r>
      <w:r w:rsidRPr="00A10AF8">
        <w:t xml:space="preserve"> </w:t>
      </w:r>
      <w:proofErr w:type="spellStart"/>
      <w:r w:rsidRPr="00A10AF8">
        <w:t>Swinton</w:t>
      </w:r>
      <w:proofErr w:type="spellEnd"/>
      <w:r w:rsidRPr="00A10AF8">
        <w:t>,</w:t>
      </w:r>
      <w:r>
        <w:t xml:space="preserve"> eds.,</w:t>
      </w:r>
      <w:r w:rsidRPr="00A10AF8">
        <w:t xml:space="preserve"> </w:t>
      </w:r>
      <w:r w:rsidRPr="00A10AF8">
        <w:rPr>
          <w:i/>
        </w:rPr>
        <w:t>Studies in Labour Law</w:t>
      </w:r>
      <w:r w:rsidR="00DC4FDE">
        <w:t>,</w:t>
      </w:r>
      <w:r w:rsidRPr="00A10AF8">
        <w:t xml:space="preserve"> </w:t>
      </w:r>
      <w:r>
        <w:t>Toronto</w:t>
      </w:r>
      <w:r w:rsidR="00DC4FDE">
        <w:t>,</w:t>
      </w:r>
      <w:r>
        <w:t xml:space="preserve"> </w:t>
      </w:r>
      <w:proofErr w:type="spellStart"/>
      <w:r>
        <w:t>Butterworths</w:t>
      </w:r>
      <w:proofErr w:type="spellEnd"/>
      <w:r>
        <w:t xml:space="preserve">, 1983, </w:t>
      </w:r>
      <w:r w:rsidRPr="00A10AF8">
        <w:t>193.</w:t>
      </w:r>
    </w:p>
    <w:p w:rsidR="001B1A41" w:rsidRPr="00DC4FDE" w:rsidRDefault="001B1A41" w:rsidP="00795B2B">
      <w:pPr>
        <w:pStyle w:val="SCCNormalDoubleSpacing"/>
        <w:spacing w:after="240" w:line="240" w:lineRule="auto"/>
        <w:ind w:left="540" w:hanging="540"/>
        <w:rPr>
          <w:lang w:val="en-US"/>
        </w:rPr>
      </w:pPr>
      <w:proofErr w:type="spellStart"/>
      <w:r>
        <w:t>États</w:t>
      </w:r>
      <w:r w:rsidR="00795B2B">
        <w:t>-</w:t>
      </w:r>
      <w:r>
        <w:t>Unis</w:t>
      </w:r>
      <w:proofErr w:type="spellEnd"/>
      <w:r>
        <w:t xml:space="preserve">.  </w:t>
      </w:r>
      <w:proofErr w:type="gramStart"/>
      <w:r w:rsidRPr="00F11D64">
        <w:t>National Labor Relations Board.</w:t>
      </w:r>
      <w:proofErr w:type="gramEnd"/>
      <w:r w:rsidRPr="00F11D64">
        <w:t xml:space="preserve">  </w:t>
      </w:r>
      <w:r w:rsidRPr="00F11D64">
        <w:rPr>
          <w:i/>
        </w:rPr>
        <w:t>Legislative History of the National Labor Relations Act 1935</w:t>
      </w:r>
      <w:r w:rsidRPr="00F11D64">
        <w:t xml:space="preserve">, </w:t>
      </w:r>
      <w:r w:rsidR="0053416A">
        <w:t>vol.</w:t>
      </w:r>
      <w:r w:rsidR="00795B2B">
        <w:t xml:space="preserve"> </w:t>
      </w:r>
      <w:r w:rsidR="00DC4FDE">
        <w:t>1,</w:t>
      </w:r>
      <w:r w:rsidR="00805DD1">
        <w:t xml:space="preserve"> </w:t>
      </w:r>
      <w:r w:rsidR="00DC4FDE">
        <w:rPr>
          <w:lang w:val="en-US"/>
        </w:rPr>
        <w:t>Washington (</w:t>
      </w:r>
      <w:r w:rsidRPr="00DC4FDE">
        <w:rPr>
          <w:lang w:val="en-US"/>
        </w:rPr>
        <w:t>D.C.</w:t>
      </w:r>
      <w:r w:rsidR="00DC4FDE">
        <w:rPr>
          <w:lang w:val="en-US"/>
        </w:rPr>
        <w:t xml:space="preserve">), </w:t>
      </w:r>
      <w:proofErr w:type="gramStart"/>
      <w:r w:rsidRPr="00DC4FDE">
        <w:rPr>
          <w:lang w:val="en-US"/>
        </w:rPr>
        <w:t>The</w:t>
      </w:r>
      <w:proofErr w:type="gramEnd"/>
      <w:r w:rsidRPr="00DC4FDE">
        <w:rPr>
          <w:lang w:val="en-US"/>
        </w:rPr>
        <w:t xml:space="preserve"> Board, 1949.</w:t>
      </w:r>
    </w:p>
    <w:p w:rsidR="00757898" w:rsidRPr="00901DDE" w:rsidRDefault="00757898" w:rsidP="00795B2B">
      <w:pPr>
        <w:pStyle w:val="SCCNormalDoubleSpacing"/>
        <w:spacing w:after="240" w:line="240" w:lineRule="auto"/>
        <w:ind w:left="540" w:hanging="540"/>
        <w:rPr>
          <w:lang w:val="fr-CA"/>
        </w:rPr>
      </w:pPr>
      <w:proofErr w:type="spellStart"/>
      <w:r w:rsidRPr="00901DDE">
        <w:rPr>
          <w:lang w:val="fr-CA"/>
        </w:rPr>
        <w:t>Forcese</w:t>
      </w:r>
      <w:proofErr w:type="spellEnd"/>
      <w:r w:rsidRPr="00901DDE">
        <w:rPr>
          <w:lang w:val="fr-CA"/>
        </w:rPr>
        <w:t xml:space="preserve">, Dennis.  </w:t>
      </w:r>
      <w:r w:rsidR="00795B2B">
        <w:rPr>
          <w:lang w:val="fr-CA"/>
        </w:rPr>
        <w:t>« </w:t>
      </w:r>
      <w:r w:rsidR="00F61911" w:rsidRPr="00901DDE">
        <w:rPr>
          <w:lang w:val="fr-CA"/>
        </w:rPr>
        <w:t>Le syndicalisme policier</w:t>
      </w:r>
      <w:r w:rsidR="00795B2B">
        <w:rPr>
          <w:lang w:val="fr-CA"/>
        </w:rPr>
        <w:t> :</w:t>
      </w:r>
      <w:r w:rsidR="00F61911" w:rsidRPr="00901DDE">
        <w:rPr>
          <w:lang w:val="fr-CA"/>
        </w:rPr>
        <w:t xml:space="preserve"> relations de</w:t>
      </w:r>
      <w:r w:rsidR="00642D69" w:rsidRPr="00901DDE">
        <w:rPr>
          <w:lang w:val="fr-CA"/>
        </w:rPr>
        <w:t xml:space="preserve"> travail dans les forces policiè</w:t>
      </w:r>
      <w:r w:rsidR="00F61911" w:rsidRPr="00901DDE">
        <w:rPr>
          <w:lang w:val="fr-CA"/>
        </w:rPr>
        <w:t>res canadiennes</w:t>
      </w:r>
      <w:r w:rsidR="00795B2B">
        <w:rPr>
          <w:lang w:val="fr-CA"/>
        </w:rPr>
        <w:t> »</w:t>
      </w:r>
      <w:r w:rsidRPr="00901DDE">
        <w:rPr>
          <w:lang w:val="fr-CA"/>
        </w:rPr>
        <w:t xml:space="preserve"> (1980), 4 </w:t>
      </w:r>
      <w:r w:rsidRPr="00901DDE">
        <w:rPr>
          <w:i/>
          <w:lang w:val="fr-CA"/>
        </w:rPr>
        <w:t>Journal du Collège canadien de police</w:t>
      </w:r>
      <w:r w:rsidR="00642D69" w:rsidRPr="00901DDE">
        <w:rPr>
          <w:lang w:val="fr-CA"/>
        </w:rPr>
        <w:t xml:space="preserve"> 85</w:t>
      </w:r>
      <w:r w:rsidRPr="00901DDE">
        <w:rPr>
          <w:lang w:val="fr-CA"/>
        </w:rPr>
        <w:t>.</w:t>
      </w:r>
    </w:p>
    <w:p w:rsidR="00757898" w:rsidRPr="00DC4FDE" w:rsidRDefault="00757898" w:rsidP="00795B2B">
      <w:pPr>
        <w:pStyle w:val="SCCNormalDoubleSpacing"/>
        <w:spacing w:after="240" w:line="240" w:lineRule="auto"/>
        <w:ind w:left="540" w:hanging="540"/>
        <w:rPr>
          <w:lang w:val="fr-CA"/>
        </w:rPr>
      </w:pPr>
      <w:proofErr w:type="spellStart"/>
      <w:r w:rsidRPr="00901DDE">
        <w:rPr>
          <w:lang w:val="fr-CA"/>
        </w:rPr>
        <w:t>Fudge</w:t>
      </w:r>
      <w:proofErr w:type="spellEnd"/>
      <w:r w:rsidRPr="00901DDE">
        <w:rPr>
          <w:lang w:val="fr-CA"/>
        </w:rPr>
        <w:t xml:space="preserve">, Judy.  </w:t>
      </w:r>
      <w:r w:rsidR="00795B2B">
        <w:rPr>
          <w:lang w:val="fr-CA"/>
        </w:rPr>
        <w:t>« </w:t>
      </w:r>
      <w:proofErr w:type="spellStart"/>
      <w:r w:rsidRPr="00901DDE">
        <w:rPr>
          <w:lang w:val="fr-CA"/>
        </w:rPr>
        <w:t>Freedom</w:t>
      </w:r>
      <w:proofErr w:type="spellEnd"/>
      <w:r w:rsidRPr="00901DDE">
        <w:rPr>
          <w:lang w:val="fr-CA"/>
        </w:rPr>
        <w:t xml:space="preserve"> of Association</w:t>
      </w:r>
      <w:r w:rsidR="00795B2B">
        <w:rPr>
          <w:lang w:val="fr-CA"/>
        </w:rPr>
        <w:t> »</w:t>
      </w:r>
      <w:r w:rsidRPr="00901DDE">
        <w:rPr>
          <w:lang w:val="fr-CA"/>
        </w:rPr>
        <w:t xml:space="preserve">, </w:t>
      </w:r>
      <w:r w:rsidR="00F34077" w:rsidRPr="00901DDE">
        <w:rPr>
          <w:lang w:val="fr-CA"/>
        </w:rPr>
        <w:t>dans</w:t>
      </w:r>
      <w:r w:rsidRPr="00901DDE">
        <w:rPr>
          <w:lang w:val="fr-CA"/>
        </w:rPr>
        <w:t xml:space="preserve"> Errol Mendes </w:t>
      </w:r>
      <w:r w:rsidR="00F34077" w:rsidRPr="00901DDE">
        <w:rPr>
          <w:lang w:val="fr-CA"/>
        </w:rPr>
        <w:t>et</w:t>
      </w:r>
      <w:r w:rsidRPr="00901DDE">
        <w:rPr>
          <w:lang w:val="fr-CA"/>
        </w:rPr>
        <w:t xml:space="preserve"> Stéphane </w:t>
      </w:r>
      <w:proofErr w:type="spellStart"/>
      <w:r w:rsidRPr="00901DDE">
        <w:rPr>
          <w:lang w:val="fr-CA"/>
        </w:rPr>
        <w:t>Beaulac</w:t>
      </w:r>
      <w:proofErr w:type="spellEnd"/>
      <w:r w:rsidRPr="00901DDE">
        <w:rPr>
          <w:lang w:val="fr-CA"/>
        </w:rPr>
        <w:t xml:space="preserve">, </w:t>
      </w:r>
      <w:proofErr w:type="spellStart"/>
      <w:proofErr w:type="gramStart"/>
      <w:r w:rsidRPr="00901DDE">
        <w:rPr>
          <w:lang w:val="fr-CA"/>
        </w:rPr>
        <w:t>d</w:t>
      </w:r>
      <w:r w:rsidR="00F34077" w:rsidRPr="00901DDE">
        <w:rPr>
          <w:lang w:val="fr-CA"/>
        </w:rPr>
        <w:t>ir</w:t>
      </w:r>
      <w:proofErr w:type="spellEnd"/>
      <w:r w:rsidRPr="00901DDE">
        <w:rPr>
          <w:lang w:val="fr-CA"/>
        </w:rPr>
        <w:t>.,</w:t>
      </w:r>
      <w:proofErr w:type="gramEnd"/>
      <w:r w:rsidRPr="00901DDE">
        <w:rPr>
          <w:lang w:val="fr-CA"/>
        </w:rPr>
        <w:t xml:space="preserve"> </w:t>
      </w:r>
      <w:r w:rsidR="00F34077" w:rsidRPr="00901DDE">
        <w:rPr>
          <w:i/>
          <w:lang w:val="fr-CA"/>
        </w:rPr>
        <w:t>Charte canadienne des droits et libertés</w:t>
      </w:r>
      <w:r w:rsidRPr="00901DDE">
        <w:rPr>
          <w:lang w:val="fr-CA"/>
        </w:rPr>
        <w:t>, 5</w:t>
      </w:r>
      <w:r w:rsidR="00F34077" w:rsidRPr="00901DDE">
        <w:rPr>
          <w:vertAlign w:val="superscript"/>
          <w:lang w:val="fr-CA"/>
        </w:rPr>
        <w:t>e</w:t>
      </w:r>
      <w:r w:rsidR="00F34077" w:rsidRPr="00901DDE">
        <w:rPr>
          <w:lang w:val="fr-CA"/>
        </w:rPr>
        <w:t xml:space="preserve"> é</w:t>
      </w:r>
      <w:r w:rsidRPr="00901DDE">
        <w:rPr>
          <w:lang w:val="fr-CA"/>
        </w:rPr>
        <w:t>d.</w:t>
      </w:r>
      <w:r w:rsidR="00DC4FDE">
        <w:rPr>
          <w:lang w:val="fr-CA"/>
        </w:rPr>
        <w:t>,</w:t>
      </w:r>
      <w:r w:rsidR="00805DD1">
        <w:rPr>
          <w:lang w:val="fr-CA"/>
        </w:rPr>
        <w:t xml:space="preserve"> </w:t>
      </w:r>
      <w:r w:rsidRPr="00DC4FDE">
        <w:rPr>
          <w:lang w:val="fr-CA"/>
        </w:rPr>
        <w:t>Markham</w:t>
      </w:r>
      <w:r w:rsidR="00DC4FDE">
        <w:rPr>
          <w:lang w:val="fr-CA"/>
        </w:rPr>
        <w:t xml:space="preserve"> (</w:t>
      </w:r>
      <w:r w:rsidRPr="00DC4FDE">
        <w:rPr>
          <w:lang w:val="fr-CA"/>
        </w:rPr>
        <w:t>Ont.</w:t>
      </w:r>
      <w:r w:rsidR="00DC4FDE">
        <w:rPr>
          <w:lang w:val="fr-CA"/>
        </w:rPr>
        <w:t>),</w:t>
      </w:r>
      <w:r w:rsidRPr="00DC4FDE">
        <w:rPr>
          <w:lang w:val="fr-CA"/>
        </w:rPr>
        <w:t xml:space="preserve"> </w:t>
      </w:r>
      <w:proofErr w:type="spellStart"/>
      <w:r w:rsidRPr="00DC4FDE">
        <w:rPr>
          <w:lang w:val="fr-CA"/>
        </w:rPr>
        <w:t>LexisNexis</w:t>
      </w:r>
      <w:proofErr w:type="spellEnd"/>
      <w:r w:rsidRPr="00DC4FDE">
        <w:rPr>
          <w:lang w:val="fr-CA"/>
        </w:rPr>
        <w:t>, 2013, 527.</w:t>
      </w:r>
    </w:p>
    <w:p w:rsidR="00A247B6" w:rsidRPr="00DC4FDE" w:rsidRDefault="00A247B6" w:rsidP="00795B2B">
      <w:pPr>
        <w:pStyle w:val="SCCNormalDoubleSpacing"/>
        <w:spacing w:after="240" w:line="240" w:lineRule="auto"/>
        <w:ind w:left="540" w:hanging="540"/>
        <w:rPr>
          <w:lang w:val="en-US"/>
        </w:rPr>
      </w:pPr>
      <w:r w:rsidRPr="0023721B">
        <w:t>Fudge, J</w:t>
      </w:r>
      <w:r>
        <w:t>udy</w:t>
      </w:r>
      <w:r w:rsidRPr="0023721B">
        <w:t xml:space="preserve">. </w:t>
      </w:r>
      <w:r w:rsidR="00795B2B">
        <w:t>« </w:t>
      </w:r>
      <w:r>
        <w:t>Introduction</w:t>
      </w:r>
      <w:r w:rsidR="00795B2B">
        <w:t> :</w:t>
      </w:r>
      <w:r>
        <w:t xml:space="preserve"> </w:t>
      </w:r>
      <w:r w:rsidRPr="0023721B">
        <w:t>Farm Workers, Collective Bargaining Rights, and the Meaning of Constitutional Protection</w:t>
      </w:r>
      <w:r w:rsidR="00795B2B">
        <w:t> »</w:t>
      </w:r>
      <w:r>
        <w:t>,</w:t>
      </w:r>
      <w:r w:rsidRPr="0023721B">
        <w:t xml:space="preserve"> in F</w:t>
      </w:r>
      <w:r>
        <w:t>ay</w:t>
      </w:r>
      <w:r w:rsidRPr="0023721B">
        <w:t xml:space="preserve"> Faraday, J</w:t>
      </w:r>
      <w:r>
        <w:t>udy Fudge and</w:t>
      </w:r>
      <w:r w:rsidRPr="0023721B">
        <w:t xml:space="preserve"> E</w:t>
      </w:r>
      <w:r>
        <w:t>ric</w:t>
      </w:r>
      <w:r w:rsidRPr="0023721B">
        <w:t xml:space="preserve"> Tucker, </w:t>
      </w:r>
      <w:r>
        <w:t xml:space="preserve">eds., </w:t>
      </w:r>
      <w:r w:rsidRPr="0023721B">
        <w:rPr>
          <w:i/>
        </w:rPr>
        <w:t>Constitutional Labour Rights in Canada</w:t>
      </w:r>
      <w:r w:rsidR="00795B2B">
        <w:rPr>
          <w:i/>
        </w:rPr>
        <w:t> :</w:t>
      </w:r>
      <w:r w:rsidRPr="0023721B">
        <w:rPr>
          <w:i/>
        </w:rPr>
        <w:t xml:space="preserve"> Farm Workers and the Fraser Case</w:t>
      </w:r>
      <w:r w:rsidR="00DC4FDE">
        <w:t>,</w:t>
      </w:r>
      <w:r>
        <w:t xml:space="preserve"> </w:t>
      </w:r>
      <w:r w:rsidRPr="00DC4FDE">
        <w:rPr>
          <w:lang w:val="en-US"/>
        </w:rPr>
        <w:t>Toronto</w:t>
      </w:r>
      <w:r w:rsidR="00DC4FDE">
        <w:rPr>
          <w:lang w:val="en-US"/>
        </w:rPr>
        <w:t>,</w:t>
      </w:r>
      <w:r w:rsidRPr="00DC4FDE">
        <w:rPr>
          <w:lang w:val="en-US"/>
        </w:rPr>
        <w:t xml:space="preserve"> Irwin Law, 2012, 1.</w:t>
      </w:r>
    </w:p>
    <w:p w:rsidR="00757898" w:rsidRDefault="00757898" w:rsidP="00795B2B">
      <w:pPr>
        <w:pStyle w:val="SCCNormalDoubleSpacing"/>
        <w:spacing w:after="240" w:line="240" w:lineRule="auto"/>
        <w:ind w:left="540" w:hanging="540"/>
        <w:rPr>
          <w:lang w:val="fr-CA"/>
        </w:rPr>
      </w:pPr>
      <w:r>
        <w:rPr>
          <w:lang w:val="fr-CA"/>
        </w:rPr>
        <w:t>G</w:t>
      </w:r>
      <w:r w:rsidR="009658FF">
        <w:rPr>
          <w:lang w:val="fr-CA"/>
        </w:rPr>
        <w:t xml:space="preserve">endarmerie royale du </w:t>
      </w:r>
      <w:r>
        <w:rPr>
          <w:lang w:val="fr-CA"/>
        </w:rPr>
        <w:t>C</w:t>
      </w:r>
      <w:r w:rsidR="009658FF">
        <w:rPr>
          <w:lang w:val="fr-CA"/>
        </w:rPr>
        <w:t>anada</w:t>
      </w:r>
      <w:r>
        <w:rPr>
          <w:lang w:val="fr-CA"/>
        </w:rPr>
        <w:t xml:space="preserve">.  Représentants de relations fonctionnelles.  </w:t>
      </w:r>
      <w:r w:rsidRPr="00757898">
        <w:rPr>
          <w:i/>
          <w:lang w:val="fr-CA"/>
        </w:rPr>
        <w:t>Examen Défi 2000 du programme des RRF</w:t>
      </w:r>
      <w:r w:rsidR="00795B2B">
        <w:rPr>
          <w:i/>
          <w:lang w:val="fr-CA"/>
        </w:rPr>
        <w:t> :</w:t>
      </w:r>
      <w:r w:rsidRPr="00757898">
        <w:rPr>
          <w:i/>
          <w:lang w:val="fr-CA"/>
        </w:rPr>
        <w:t xml:space="preserve"> Rapport final</w:t>
      </w:r>
      <w:r>
        <w:rPr>
          <w:lang w:val="fr-CA"/>
        </w:rPr>
        <w:t>, janvier 2003.</w:t>
      </w:r>
    </w:p>
    <w:p w:rsidR="00757898" w:rsidRDefault="00757898" w:rsidP="00795B2B">
      <w:pPr>
        <w:pStyle w:val="SCCNormalDoubleSpacing"/>
        <w:spacing w:after="240" w:line="240" w:lineRule="auto"/>
        <w:ind w:left="540" w:hanging="540"/>
      </w:pPr>
      <w:r w:rsidRPr="00B60DF9">
        <w:rPr>
          <w:lang w:val="fr-FR"/>
        </w:rPr>
        <w:lastRenderedPageBreak/>
        <w:t>Hardy, J.</w:t>
      </w:r>
      <w:r w:rsidR="00795B2B">
        <w:rPr>
          <w:lang w:val="fr-FR"/>
        </w:rPr>
        <w:t xml:space="preserve"> </w:t>
      </w:r>
      <w:r w:rsidRPr="00B60DF9">
        <w:rPr>
          <w:lang w:val="fr-FR"/>
        </w:rPr>
        <w:t xml:space="preserve">Fred, and Allen </w:t>
      </w:r>
      <w:proofErr w:type="spellStart"/>
      <w:r w:rsidRPr="00B60DF9">
        <w:rPr>
          <w:lang w:val="fr-FR"/>
        </w:rPr>
        <w:t>Ponak</w:t>
      </w:r>
      <w:proofErr w:type="spellEnd"/>
      <w:r w:rsidRPr="00B60DF9">
        <w:rPr>
          <w:lang w:val="fr-FR"/>
        </w:rPr>
        <w:t xml:space="preserve">.  </w:t>
      </w:r>
      <w:r w:rsidR="00795B2B">
        <w:t>« </w:t>
      </w:r>
      <w:r w:rsidRPr="00BD2826">
        <w:t>Staff Relations in the Royal Canadian Mounted Police</w:t>
      </w:r>
      <w:r w:rsidR="00795B2B">
        <w:t> »</w:t>
      </w:r>
      <w:r w:rsidR="00F34077" w:rsidRPr="00BD2826">
        <w:t xml:space="preserve"> </w:t>
      </w:r>
      <w:r w:rsidRPr="00BD2826">
        <w:t>(1983)</w:t>
      </w:r>
      <w:r>
        <w:t>,</w:t>
      </w:r>
      <w:r w:rsidRPr="00BD2826">
        <w:t xml:space="preserve"> 12 </w:t>
      </w:r>
      <w:r w:rsidRPr="0027281B">
        <w:rPr>
          <w:i/>
        </w:rPr>
        <w:t>J. Collective Negotiations</w:t>
      </w:r>
      <w:r w:rsidRPr="00BD2826">
        <w:t xml:space="preserve"> 87</w:t>
      </w:r>
      <w:r>
        <w:t>.</w:t>
      </w:r>
    </w:p>
    <w:p w:rsidR="00757898" w:rsidRDefault="00757898" w:rsidP="00795B2B">
      <w:pPr>
        <w:pStyle w:val="SCCNormalDoubleSpacing"/>
        <w:spacing w:after="240" w:line="240" w:lineRule="auto"/>
        <w:ind w:left="540" w:hanging="540"/>
      </w:pPr>
      <w:proofErr w:type="spellStart"/>
      <w:r w:rsidRPr="00BD2826">
        <w:t>Inazu</w:t>
      </w:r>
      <w:proofErr w:type="spellEnd"/>
      <w:r w:rsidRPr="00BD2826">
        <w:t>, J</w:t>
      </w:r>
      <w:r>
        <w:t>ohn</w:t>
      </w:r>
      <w:r w:rsidR="00795B2B">
        <w:t xml:space="preserve"> </w:t>
      </w:r>
      <w:r>
        <w:t>D</w:t>
      </w:r>
      <w:r w:rsidRPr="00BD2826">
        <w:t>.</w:t>
      </w:r>
      <w:r>
        <w:t xml:space="preserve"> </w:t>
      </w:r>
      <w:r w:rsidRPr="00BD2826">
        <w:t xml:space="preserve"> </w:t>
      </w:r>
      <w:r w:rsidRPr="00F67EB8">
        <w:rPr>
          <w:i/>
        </w:rPr>
        <w:t xml:space="preserve">Liberty’s </w:t>
      </w:r>
      <w:proofErr w:type="gramStart"/>
      <w:r w:rsidRPr="00F67EB8">
        <w:rPr>
          <w:i/>
        </w:rPr>
        <w:t>Refuge</w:t>
      </w:r>
      <w:r w:rsidR="00795B2B">
        <w:rPr>
          <w:i/>
        </w:rPr>
        <w:t> :</w:t>
      </w:r>
      <w:proofErr w:type="gramEnd"/>
      <w:r w:rsidRPr="00F67EB8">
        <w:rPr>
          <w:i/>
        </w:rPr>
        <w:t xml:space="preserve"> The Forgotten Freedom of Assembly</w:t>
      </w:r>
      <w:r w:rsidR="00DC4FDE">
        <w:t>, New Haven (</w:t>
      </w:r>
      <w:r>
        <w:t>Conn.</w:t>
      </w:r>
      <w:r w:rsidR="00DC4FDE">
        <w:t xml:space="preserve">), </w:t>
      </w:r>
      <w:r>
        <w:t xml:space="preserve">Yale University Press, </w:t>
      </w:r>
      <w:r w:rsidRPr="00BD2826">
        <w:t>2012</w:t>
      </w:r>
      <w:r>
        <w:t>.</w:t>
      </w:r>
    </w:p>
    <w:p w:rsidR="00757898" w:rsidRDefault="00757898" w:rsidP="00795B2B">
      <w:pPr>
        <w:pStyle w:val="SCCNormalDoubleSpacing"/>
        <w:spacing w:after="240" w:line="240" w:lineRule="auto"/>
        <w:ind w:left="540" w:hanging="540"/>
      </w:pPr>
      <w:r w:rsidRPr="00F67EB8">
        <w:rPr>
          <w:i/>
        </w:rPr>
        <w:t>Kahn</w:t>
      </w:r>
      <w:r w:rsidR="00795B2B">
        <w:rPr>
          <w:i/>
        </w:rPr>
        <w:t>-</w:t>
      </w:r>
      <w:r w:rsidRPr="00F67EB8">
        <w:rPr>
          <w:i/>
        </w:rPr>
        <w:t>Freund’s Labour and the Law</w:t>
      </w:r>
      <w:r>
        <w:t>, 3rd ed. by P</w:t>
      </w:r>
      <w:r w:rsidR="00DC4FDE">
        <w:t xml:space="preserve">aul Davies and Mark </w:t>
      </w:r>
      <w:proofErr w:type="spellStart"/>
      <w:r w:rsidR="00DC4FDE">
        <w:t>Freedland</w:t>
      </w:r>
      <w:proofErr w:type="spellEnd"/>
      <w:r w:rsidR="00DC4FDE">
        <w:t xml:space="preserve">, </w:t>
      </w:r>
      <w:r w:rsidRPr="00F67EB8">
        <w:t>London</w:t>
      </w:r>
      <w:r w:rsidR="00DC4FDE">
        <w:t>,</w:t>
      </w:r>
      <w:r w:rsidRPr="00F67EB8">
        <w:t xml:space="preserve"> Stevens &amp; Sons, 1983</w:t>
      </w:r>
      <w:r>
        <w:t>.</w:t>
      </w:r>
    </w:p>
    <w:p w:rsidR="00F9520C" w:rsidRDefault="00F9520C" w:rsidP="00795B2B">
      <w:pPr>
        <w:pStyle w:val="SCCNormalDoubleSpacing"/>
        <w:spacing w:after="240" w:line="240" w:lineRule="auto"/>
        <w:ind w:left="540" w:hanging="540"/>
      </w:pPr>
      <w:r w:rsidRPr="00A3490E">
        <w:t>Kaufman, Bruce</w:t>
      </w:r>
      <w:r w:rsidR="00795B2B">
        <w:t xml:space="preserve"> </w:t>
      </w:r>
      <w:r w:rsidRPr="00A3490E">
        <w:t xml:space="preserve">E.  </w:t>
      </w:r>
      <w:r w:rsidR="00795B2B">
        <w:t>« </w:t>
      </w:r>
      <w:r w:rsidRPr="00A3490E">
        <w:t xml:space="preserve">Accomplishments and Shortcomings of </w:t>
      </w:r>
      <w:proofErr w:type="spellStart"/>
      <w:r w:rsidRPr="00A3490E">
        <w:t>Nonunion</w:t>
      </w:r>
      <w:proofErr w:type="spellEnd"/>
      <w:r w:rsidRPr="00A3490E">
        <w:t xml:space="preserve"> Employee Representation in the Pre</w:t>
      </w:r>
      <w:r w:rsidR="00795B2B">
        <w:t>-</w:t>
      </w:r>
      <w:r w:rsidRPr="00A3490E">
        <w:t xml:space="preserve">Wagner Act </w:t>
      </w:r>
      <w:proofErr w:type="gramStart"/>
      <w:r w:rsidRPr="00A3490E">
        <w:t>Years</w:t>
      </w:r>
      <w:r w:rsidR="00795B2B">
        <w:t> :</w:t>
      </w:r>
      <w:proofErr w:type="gramEnd"/>
      <w:r w:rsidRPr="00A3490E">
        <w:t xml:space="preserve"> A Reassessment</w:t>
      </w:r>
      <w:r w:rsidR="00795B2B">
        <w:t> »</w:t>
      </w:r>
      <w:r w:rsidRPr="00A3490E">
        <w:t>, in Bruce</w:t>
      </w:r>
      <w:r w:rsidR="00795B2B">
        <w:t xml:space="preserve"> </w:t>
      </w:r>
      <w:r w:rsidRPr="00A3490E">
        <w:t xml:space="preserve">E. Kaufman </w:t>
      </w:r>
      <w:r>
        <w:t xml:space="preserve">and Daphne Gottlieb </w:t>
      </w:r>
      <w:proofErr w:type="spellStart"/>
      <w:r>
        <w:t>Taras</w:t>
      </w:r>
      <w:proofErr w:type="spellEnd"/>
      <w:r>
        <w:t>, eds.</w:t>
      </w:r>
      <w:r w:rsidR="00796B06">
        <w:t>,</w:t>
      </w:r>
      <w:r w:rsidRPr="00A3490E">
        <w:t xml:space="preserve"> </w:t>
      </w:r>
      <w:proofErr w:type="spellStart"/>
      <w:r w:rsidRPr="00A3490E">
        <w:rPr>
          <w:i/>
        </w:rPr>
        <w:t>Nonunion</w:t>
      </w:r>
      <w:proofErr w:type="spellEnd"/>
      <w:r w:rsidRPr="00A3490E">
        <w:rPr>
          <w:i/>
        </w:rPr>
        <w:t xml:space="preserve"> Employee Representation</w:t>
      </w:r>
      <w:r w:rsidR="00795B2B">
        <w:rPr>
          <w:i/>
        </w:rPr>
        <w:t> :</w:t>
      </w:r>
      <w:r w:rsidRPr="00A3490E">
        <w:rPr>
          <w:i/>
        </w:rPr>
        <w:t xml:space="preserve"> History, Contemporary Practice, and Policy</w:t>
      </w:r>
      <w:r w:rsidR="00BE724F">
        <w:t>, Armonk (</w:t>
      </w:r>
      <w:r w:rsidRPr="00A3490E">
        <w:t>N.Y.</w:t>
      </w:r>
      <w:r w:rsidR="00BE724F">
        <w:t>),</w:t>
      </w:r>
      <w:r w:rsidRPr="00A3490E">
        <w:t xml:space="preserve"> M.</w:t>
      </w:r>
      <w:r w:rsidR="00795B2B">
        <w:t xml:space="preserve"> </w:t>
      </w:r>
      <w:r w:rsidRPr="00A3490E">
        <w:t>E. Sharpe, 2000, 21.</w:t>
      </w:r>
    </w:p>
    <w:p w:rsidR="00F6649D" w:rsidRDefault="00F6649D" w:rsidP="00795B2B">
      <w:pPr>
        <w:pStyle w:val="SCCNormalDoubleSpacing"/>
        <w:spacing w:after="240" w:line="240" w:lineRule="auto"/>
        <w:ind w:left="540" w:hanging="540"/>
      </w:pPr>
      <w:r w:rsidRPr="007100F9">
        <w:t xml:space="preserve">MacDowell, Laurel </w:t>
      </w:r>
      <w:proofErr w:type="spellStart"/>
      <w:r w:rsidRPr="007100F9">
        <w:t>Sefton</w:t>
      </w:r>
      <w:proofErr w:type="spellEnd"/>
      <w:r w:rsidRPr="007100F9">
        <w:t xml:space="preserve">.  </w:t>
      </w:r>
      <w:r w:rsidR="00795B2B">
        <w:t>« </w:t>
      </w:r>
      <w:r w:rsidRPr="007100F9">
        <w:t>Company Unionism in Canada, 1915</w:t>
      </w:r>
      <w:r w:rsidR="00795B2B">
        <w:t>-</w:t>
      </w:r>
      <w:r w:rsidRPr="007100F9">
        <w:t>1948</w:t>
      </w:r>
      <w:r w:rsidR="00795B2B">
        <w:t> »</w:t>
      </w:r>
      <w:r w:rsidRPr="007100F9">
        <w:t>, in Bruce</w:t>
      </w:r>
      <w:r w:rsidR="00795B2B">
        <w:t xml:space="preserve"> </w:t>
      </w:r>
      <w:r w:rsidRPr="007100F9">
        <w:t xml:space="preserve">E. Kaufman and Daphne Gottlieb </w:t>
      </w:r>
      <w:proofErr w:type="spellStart"/>
      <w:r w:rsidRPr="007100F9">
        <w:t>Taras</w:t>
      </w:r>
      <w:proofErr w:type="spellEnd"/>
      <w:r w:rsidRPr="007100F9">
        <w:t>, eds.</w:t>
      </w:r>
      <w:r w:rsidR="00796B06">
        <w:t>,</w:t>
      </w:r>
      <w:r w:rsidRPr="007100F9">
        <w:t xml:space="preserve"> </w:t>
      </w:r>
      <w:proofErr w:type="spellStart"/>
      <w:r w:rsidRPr="007100F9">
        <w:rPr>
          <w:i/>
        </w:rPr>
        <w:t>Nonunion</w:t>
      </w:r>
      <w:proofErr w:type="spellEnd"/>
      <w:r w:rsidRPr="007100F9">
        <w:rPr>
          <w:i/>
        </w:rPr>
        <w:t xml:space="preserve"> Employee </w:t>
      </w:r>
      <w:proofErr w:type="gramStart"/>
      <w:r w:rsidRPr="007100F9">
        <w:rPr>
          <w:i/>
        </w:rPr>
        <w:t>Representation</w:t>
      </w:r>
      <w:r w:rsidR="00795B2B">
        <w:rPr>
          <w:i/>
        </w:rPr>
        <w:t> :</w:t>
      </w:r>
      <w:proofErr w:type="gramEnd"/>
      <w:r w:rsidRPr="007100F9">
        <w:rPr>
          <w:i/>
        </w:rPr>
        <w:t xml:space="preserve"> History, Contemporary Practice, and Policy</w:t>
      </w:r>
      <w:r w:rsidR="00BE724F">
        <w:t>, Armonk (</w:t>
      </w:r>
      <w:r w:rsidRPr="007100F9">
        <w:t>N.Y.</w:t>
      </w:r>
      <w:r w:rsidR="00BE724F">
        <w:t>),</w:t>
      </w:r>
      <w:r w:rsidRPr="007100F9">
        <w:t xml:space="preserve"> M.</w:t>
      </w:r>
      <w:r w:rsidR="00795B2B">
        <w:t xml:space="preserve"> </w:t>
      </w:r>
      <w:r w:rsidRPr="007100F9">
        <w:t>E. Sharpe, 2000, 96.</w:t>
      </w:r>
    </w:p>
    <w:p w:rsidR="004931F8" w:rsidRPr="00901DDE" w:rsidRDefault="004931F8" w:rsidP="00795B2B">
      <w:pPr>
        <w:pStyle w:val="SCCNormalDoubleSpacing"/>
        <w:spacing w:after="240" w:line="240" w:lineRule="auto"/>
        <w:ind w:left="540" w:hanging="540"/>
        <w:rPr>
          <w:lang w:val="fr-CA"/>
        </w:rPr>
      </w:pPr>
      <w:r w:rsidRPr="006045A3">
        <w:t xml:space="preserve">MacKay, Robin.  </w:t>
      </w:r>
      <w:proofErr w:type="gramStart"/>
      <w:r w:rsidR="00795B2B">
        <w:t>« </w:t>
      </w:r>
      <w:r w:rsidRPr="006045A3">
        <w:t>The Royal Canadian Mounted Police and Unionization</w:t>
      </w:r>
      <w:r w:rsidR="00795B2B">
        <w:t> »</w:t>
      </w:r>
      <w:r w:rsidRPr="006045A3">
        <w:t>.</w:t>
      </w:r>
      <w:proofErr w:type="gramEnd"/>
      <w:r w:rsidRPr="006045A3">
        <w:t xml:space="preserve">  </w:t>
      </w:r>
      <w:r w:rsidRPr="00901DDE">
        <w:rPr>
          <w:lang w:val="fr-CA"/>
        </w:rPr>
        <w:t xml:space="preserve">Bibliothèque du Parlement, </w:t>
      </w:r>
      <w:r w:rsidR="006045A3" w:rsidRPr="00901DDE">
        <w:rPr>
          <w:lang w:val="fr-CA"/>
        </w:rPr>
        <w:t>Direction de la recherche parlementaire</w:t>
      </w:r>
      <w:r w:rsidRPr="00901DDE">
        <w:rPr>
          <w:lang w:val="fr-CA"/>
        </w:rPr>
        <w:t xml:space="preserve">, </w:t>
      </w:r>
      <w:r w:rsidR="006045A3" w:rsidRPr="00901DDE">
        <w:rPr>
          <w:lang w:val="fr-CA"/>
        </w:rPr>
        <w:t>Division du droit et du gouvernement</w:t>
      </w:r>
      <w:r w:rsidRPr="00901DDE">
        <w:rPr>
          <w:lang w:val="fr-CA"/>
        </w:rPr>
        <w:t>, 3 septembre 2003.</w:t>
      </w:r>
    </w:p>
    <w:p w:rsidR="00757898" w:rsidRPr="00901DDE" w:rsidRDefault="00757898" w:rsidP="00795B2B">
      <w:pPr>
        <w:pStyle w:val="SCCNormalDoubleSpacing"/>
        <w:spacing w:after="240" w:line="240" w:lineRule="auto"/>
        <w:ind w:left="540" w:hanging="540"/>
        <w:rPr>
          <w:lang w:val="fr-CA"/>
        </w:rPr>
      </w:pPr>
      <w:r w:rsidRPr="009179A0">
        <w:rPr>
          <w:lang w:val="fr-CA"/>
        </w:rPr>
        <w:t>Middleton, J.</w:t>
      </w:r>
      <w:r w:rsidR="00795B2B" w:rsidRPr="009179A0">
        <w:rPr>
          <w:lang w:val="fr-CA"/>
        </w:rPr>
        <w:t xml:space="preserve"> </w:t>
      </w:r>
      <w:r w:rsidR="0053416A" w:rsidRPr="009179A0">
        <w:rPr>
          <w:lang w:val="fr-CA"/>
        </w:rPr>
        <w:t>P.</w:t>
      </w:r>
      <w:r w:rsidR="00795B2B" w:rsidRPr="009179A0">
        <w:rPr>
          <w:lang w:val="fr-CA"/>
        </w:rPr>
        <w:t xml:space="preserve"> </w:t>
      </w:r>
      <w:r w:rsidRPr="009179A0">
        <w:rPr>
          <w:lang w:val="fr-CA"/>
        </w:rPr>
        <w:t xml:space="preserve"> </w:t>
      </w:r>
      <w:r w:rsidR="00BE724F" w:rsidRPr="00BE724F">
        <w:rPr>
          <w:i/>
          <w:lang w:val="fr-CA"/>
        </w:rPr>
        <w:t>Rapport d’étude sur les associations policières</w:t>
      </w:r>
      <w:r w:rsidR="00BE724F">
        <w:rPr>
          <w:lang w:val="fr-CA"/>
        </w:rPr>
        <w:t>,</w:t>
      </w:r>
      <w:r w:rsidRPr="00BE724F">
        <w:rPr>
          <w:lang w:val="fr-CA"/>
        </w:rPr>
        <w:t xml:space="preserve"> </w:t>
      </w:r>
      <w:r w:rsidRPr="00901DDE">
        <w:rPr>
          <w:lang w:val="fr-CA"/>
        </w:rPr>
        <w:t>Ottawa</w:t>
      </w:r>
      <w:r w:rsidR="00BE724F">
        <w:rPr>
          <w:lang w:val="fr-CA"/>
        </w:rPr>
        <w:t xml:space="preserve">, </w:t>
      </w:r>
      <w:r w:rsidRPr="00901DDE">
        <w:rPr>
          <w:lang w:val="fr-CA"/>
        </w:rPr>
        <w:t>RCMP, 1974.</w:t>
      </w:r>
    </w:p>
    <w:p w:rsidR="00757898" w:rsidRPr="00901DDE" w:rsidRDefault="00757898" w:rsidP="00795B2B">
      <w:pPr>
        <w:pStyle w:val="SCCNormalDoubleSpacing"/>
        <w:spacing w:after="240" w:line="240" w:lineRule="auto"/>
        <w:ind w:left="540" w:hanging="540"/>
        <w:rPr>
          <w:lang w:val="fr-CA"/>
        </w:rPr>
      </w:pPr>
      <w:r w:rsidRPr="00901DDE">
        <w:rPr>
          <w:lang w:val="fr-CA"/>
        </w:rPr>
        <w:t xml:space="preserve">Moon, Richard.  </w:t>
      </w:r>
      <w:r w:rsidR="00795B2B">
        <w:rPr>
          <w:lang w:val="fr-CA"/>
        </w:rPr>
        <w:t>« </w:t>
      </w:r>
      <w:proofErr w:type="spellStart"/>
      <w:r w:rsidRPr="00901DDE">
        <w:rPr>
          <w:lang w:val="fr-CA"/>
        </w:rPr>
        <w:t>Freedom</w:t>
      </w:r>
      <w:proofErr w:type="spellEnd"/>
      <w:r w:rsidRPr="00901DDE">
        <w:rPr>
          <w:lang w:val="fr-CA"/>
        </w:rPr>
        <w:t xml:space="preserve"> of Conscience and Religion</w:t>
      </w:r>
      <w:r w:rsidR="00795B2B">
        <w:rPr>
          <w:lang w:val="fr-CA"/>
        </w:rPr>
        <w:t> »</w:t>
      </w:r>
      <w:r w:rsidRPr="00901DDE">
        <w:rPr>
          <w:lang w:val="fr-CA"/>
        </w:rPr>
        <w:t xml:space="preserve">, </w:t>
      </w:r>
      <w:r w:rsidR="00F34077" w:rsidRPr="00901DDE">
        <w:rPr>
          <w:lang w:val="fr-CA"/>
        </w:rPr>
        <w:t xml:space="preserve">dans Errol Mendes et Stéphane </w:t>
      </w:r>
      <w:proofErr w:type="spellStart"/>
      <w:r w:rsidR="00F34077" w:rsidRPr="00901DDE">
        <w:rPr>
          <w:lang w:val="fr-CA"/>
        </w:rPr>
        <w:t>Beaulac</w:t>
      </w:r>
      <w:proofErr w:type="spellEnd"/>
      <w:r w:rsidR="00F34077" w:rsidRPr="00901DDE">
        <w:rPr>
          <w:lang w:val="fr-CA"/>
        </w:rPr>
        <w:t xml:space="preserve">, </w:t>
      </w:r>
      <w:proofErr w:type="spellStart"/>
      <w:proofErr w:type="gramStart"/>
      <w:r w:rsidR="00F34077" w:rsidRPr="00901DDE">
        <w:rPr>
          <w:lang w:val="fr-CA"/>
        </w:rPr>
        <w:t>dir</w:t>
      </w:r>
      <w:proofErr w:type="spellEnd"/>
      <w:r w:rsidR="00F34077" w:rsidRPr="00901DDE">
        <w:rPr>
          <w:lang w:val="fr-CA"/>
        </w:rPr>
        <w:t>.,</w:t>
      </w:r>
      <w:proofErr w:type="gramEnd"/>
      <w:r w:rsidR="00F34077" w:rsidRPr="00901DDE">
        <w:rPr>
          <w:lang w:val="fr-CA"/>
        </w:rPr>
        <w:t xml:space="preserve"> </w:t>
      </w:r>
      <w:r w:rsidR="00F34077" w:rsidRPr="00901DDE">
        <w:rPr>
          <w:i/>
          <w:lang w:val="fr-CA"/>
        </w:rPr>
        <w:t>Charte canadienne des droits et libertés</w:t>
      </w:r>
      <w:r w:rsidR="00F34077" w:rsidRPr="00901DDE">
        <w:rPr>
          <w:lang w:val="fr-CA"/>
        </w:rPr>
        <w:t>, 5</w:t>
      </w:r>
      <w:r w:rsidR="00F34077" w:rsidRPr="00901DDE">
        <w:rPr>
          <w:vertAlign w:val="superscript"/>
          <w:lang w:val="fr-CA"/>
        </w:rPr>
        <w:t>e</w:t>
      </w:r>
      <w:r w:rsidR="00BE724F">
        <w:rPr>
          <w:lang w:val="fr-CA"/>
        </w:rPr>
        <w:t xml:space="preserve"> éd., Markham (</w:t>
      </w:r>
      <w:r w:rsidR="00F34077" w:rsidRPr="00901DDE">
        <w:rPr>
          <w:lang w:val="fr-CA"/>
        </w:rPr>
        <w:t>Ont.</w:t>
      </w:r>
      <w:r w:rsidR="00BE724F">
        <w:rPr>
          <w:lang w:val="fr-CA"/>
        </w:rPr>
        <w:t>),</w:t>
      </w:r>
      <w:r w:rsidR="00F34077" w:rsidRPr="00901DDE">
        <w:rPr>
          <w:lang w:val="fr-CA"/>
        </w:rPr>
        <w:t xml:space="preserve"> </w:t>
      </w:r>
      <w:proofErr w:type="spellStart"/>
      <w:r w:rsidR="00F34077" w:rsidRPr="00901DDE">
        <w:rPr>
          <w:lang w:val="fr-CA"/>
        </w:rPr>
        <w:t>LexisNexis</w:t>
      </w:r>
      <w:proofErr w:type="spellEnd"/>
      <w:r w:rsidRPr="00901DDE">
        <w:rPr>
          <w:lang w:val="fr-CA"/>
        </w:rPr>
        <w:t>, 2013, 339.</w:t>
      </w:r>
    </w:p>
    <w:p w:rsidR="00CF5AB3" w:rsidRPr="00267A62" w:rsidRDefault="00CF5AB3" w:rsidP="00795B2B">
      <w:pPr>
        <w:pStyle w:val="SCCNormalDoubleSpacing"/>
        <w:spacing w:after="240" w:line="240" w:lineRule="auto"/>
        <w:ind w:left="540" w:hanging="540"/>
        <w:rPr>
          <w:lang w:val="fr-CA"/>
        </w:rPr>
      </w:pPr>
      <w:r w:rsidRPr="00901DDE">
        <w:rPr>
          <w:lang w:val="fr-CA"/>
        </w:rPr>
        <w:t xml:space="preserve">Murray, Gregor, et Pierre Verge.  </w:t>
      </w:r>
      <w:r w:rsidRPr="00901DDE">
        <w:rPr>
          <w:i/>
          <w:lang w:val="fr-CA"/>
        </w:rPr>
        <w:t>La représentation syndicale</w:t>
      </w:r>
      <w:r w:rsidR="00795B2B">
        <w:rPr>
          <w:i/>
          <w:lang w:val="fr-CA"/>
        </w:rPr>
        <w:t> :</w:t>
      </w:r>
      <w:r w:rsidR="00267A62">
        <w:rPr>
          <w:i/>
          <w:lang w:val="fr-CA"/>
        </w:rPr>
        <w:t xml:space="preserve"> v</w:t>
      </w:r>
      <w:r w:rsidRPr="00901DDE">
        <w:rPr>
          <w:i/>
          <w:lang w:val="fr-CA"/>
        </w:rPr>
        <w:t>isage juridique actuel et futur</w:t>
      </w:r>
      <w:r w:rsidR="00267A62">
        <w:rPr>
          <w:lang w:val="fr-CA"/>
        </w:rPr>
        <w:t>,</w:t>
      </w:r>
      <w:r w:rsidRPr="00901DDE">
        <w:rPr>
          <w:lang w:val="fr-CA"/>
        </w:rPr>
        <w:t xml:space="preserve"> </w:t>
      </w:r>
      <w:r w:rsidRPr="00BE724F">
        <w:rPr>
          <w:lang w:val="fr-CA"/>
        </w:rPr>
        <w:t>Saint</w:t>
      </w:r>
      <w:r w:rsidR="00795B2B" w:rsidRPr="00BE724F">
        <w:rPr>
          <w:lang w:val="fr-CA"/>
        </w:rPr>
        <w:t>-</w:t>
      </w:r>
      <w:r w:rsidR="00267A62">
        <w:rPr>
          <w:lang w:val="fr-CA"/>
        </w:rPr>
        <w:t>Nicolas (</w:t>
      </w:r>
      <w:proofErr w:type="spellStart"/>
      <w:r w:rsidR="00267A62">
        <w:rPr>
          <w:lang w:val="fr-CA"/>
        </w:rPr>
        <w:t>Qc</w:t>
      </w:r>
      <w:proofErr w:type="spellEnd"/>
      <w:r w:rsidR="00267A62">
        <w:rPr>
          <w:lang w:val="fr-CA"/>
        </w:rPr>
        <w:t>),</w:t>
      </w:r>
      <w:r w:rsidRPr="00BE724F">
        <w:rPr>
          <w:lang w:val="fr-CA"/>
        </w:rPr>
        <w:t xml:space="preserve"> Presse</w:t>
      </w:r>
      <w:r w:rsidRPr="00267A62">
        <w:rPr>
          <w:lang w:val="fr-CA"/>
        </w:rPr>
        <w:t>s de l’Université Laval, 1999.</w:t>
      </w:r>
    </w:p>
    <w:p w:rsidR="00594D8A" w:rsidRPr="00255919" w:rsidRDefault="00594D8A" w:rsidP="00795B2B">
      <w:pPr>
        <w:pStyle w:val="SCCNormalDoubleSpacing"/>
        <w:spacing w:after="240" w:line="240" w:lineRule="auto"/>
        <w:ind w:left="540" w:hanging="540"/>
      </w:pPr>
      <w:proofErr w:type="spellStart"/>
      <w:r w:rsidRPr="00255919">
        <w:t>Rootham</w:t>
      </w:r>
      <w:proofErr w:type="spellEnd"/>
      <w:r w:rsidRPr="00255919">
        <w:t>, Christopher</w:t>
      </w:r>
      <w:r>
        <w:t xml:space="preserve">. </w:t>
      </w:r>
      <w:r w:rsidRPr="00255919">
        <w:t xml:space="preserve"> </w:t>
      </w:r>
      <w:proofErr w:type="gramStart"/>
      <w:r w:rsidRPr="002D54A5">
        <w:rPr>
          <w:i/>
        </w:rPr>
        <w:t>Labour and Employment Law in the Federal Public Service</w:t>
      </w:r>
      <w:r w:rsidR="00267A62">
        <w:t>,</w:t>
      </w:r>
      <w:r>
        <w:t xml:space="preserve"> Toronto</w:t>
      </w:r>
      <w:r w:rsidR="00267A62">
        <w:t xml:space="preserve">, </w:t>
      </w:r>
      <w:r>
        <w:t xml:space="preserve">Irwin Law, </w:t>
      </w:r>
      <w:r w:rsidRPr="00255919">
        <w:t>2007.</w:t>
      </w:r>
      <w:proofErr w:type="gramEnd"/>
    </w:p>
    <w:p w:rsidR="00757898" w:rsidRDefault="00757898" w:rsidP="00795B2B">
      <w:pPr>
        <w:pStyle w:val="SCCNormalDoubleSpacing"/>
        <w:spacing w:after="240" w:line="240" w:lineRule="auto"/>
        <w:ind w:left="540" w:hanging="540"/>
      </w:pPr>
      <w:proofErr w:type="spellStart"/>
      <w:r w:rsidRPr="00BD2826">
        <w:t>Schabas</w:t>
      </w:r>
      <w:proofErr w:type="spellEnd"/>
      <w:r>
        <w:t>,</w:t>
      </w:r>
      <w:r w:rsidRPr="00BD2826">
        <w:t xml:space="preserve"> P</w:t>
      </w:r>
      <w:r>
        <w:t>aul</w:t>
      </w:r>
      <w:r w:rsidR="00795B2B">
        <w:t xml:space="preserve"> </w:t>
      </w:r>
      <w:r w:rsidRPr="00BD2826">
        <w:t xml:space="preserve">B. </w:t>
      </w:r>
      <w:r>
        <w:t xml:space="preserve"> </w:t>
      </w:r>
      <w:r w:rsidR="00795B2B">
        <w:t>« </w:t>
      </w:r>
      <w:r w:rsidRPr="00BD2826">
        <w:t>The Ups and Downs of</w:t>
      </w:r>
      <w:r>
        <w:t xml:space="preserve"> Freedom of Expression — Section 2(b)</w:t>
      </w:r>
      <w:r w:rsidR="00795B2B">
        <w:t> »</w:t>
      </w:r>
      <w:r>
        <w:t>,</w:t>
      </w:r>
      <w:r w:rsidRPr="00BD2826">
        <w:t xml:space="preserve"> in R</w:t>
      </w:r>
      <w:r>
        <w:t>yder</w:t>
      </w:r>
      <w:r w:rsidRPr="00BD2826">
        <w:t xml:space="preserve"> Gilliland</w:t>
      </w:r>
      <w:r>
        <w:t>,</w:t>
      </w:r>
      <w:r w:rsidRPr="00BD2826">
        <w:t xml:space="preserve"> ed., </w:t>
      </w:r>
      <w:proofErr w:type="gramStart"/>
      <w:r w:rsidRPr="004527D6">
        <w:rPr>
          <w:i/>
        </w:rPr>
        <w:t>The</w:t>
      </w:r>
      <w:proofErr w:type="gramEnd"/>
      <w:r w:rsidRPr="004527D6">
        <w:rPr>
          <w:i/>
        </w:rPr>
        <w:t xml:space="preserve"> Charter at Thirty</w:t>
      </w:r>
      <w:r w:rsidR="00267A62">
        <w:t>,</w:t>
      </w:r>
      <w:r>
        <w:t xml:space="preserve"> Toronto</w:t>
      </w:r>
      <w:r w:rsidR="00267A62">
        <w:t xml:space="preserve">, </w:t>
      </w:r>
      <w:r>
        <w:t>Canada Law Book, 2012</w:t>
      </w:r>
      <w:r w:rsidRPr="00BD2826">
        <w:t>, 1</w:t>
      </w:r>
      <w:r>
        <w:t>.</w:t>
      </w:r>
    </w:p>
    <w:p w:rsidR="00757898" w:rsidRDefault="00757898" w:rsidP="00795B2B">
      <w:pPr>
        <w:pStyle w:val="SCCNormalDoubleSpacing"/>
        <w:spacing w:after="240" w:line="240" w:lineRule="auto"/>
        <w:ind w:left="540" w:hanging="540"/>
      </w:pPr>
      <w:proofErr w:type="spellStart"/>
      <w:r w:rsidRPr="00BD2826">
        <w:t>Taras</w:t>
      </w:r>
      <w:proofErr w:type="spellEnd"/>
      <w:r w:rsidRPr="00BD2826">
        <w:t>, Daphne</w:t>
      </w:r>
      <w:r>
        <w:t xml:space="preserve">. </w:t>
      </w:r>
      <w:r w:rsidRPr="00BD2826">
        <w:t xml:space="preserve"> </w:t>
      </w:r>
      <w:r w:rsidR="00795B2B">
        <w:t>« </w:t>
      </w:r>
      <w:r w:rsidRPr="00BD2826">
        <w:t xml:space="preserve">Reconciling Differences </w:t>
      </w:r>
      <w:proofErr w:type="gramStart"/>
      <w:r w:rsidRPr="00BD2826">
        <w:t>Differently</w:t>
      </w:r>
      <w:r w:rsidR="00795B2B">
        <w:t> :</w:t>
      </w:r>
      <w:proofErr w:type="gramEnd"/>
      <w:r>
        <w:t xml:space="preserve"> </w:t>
      </w:r>
      <w:r w:rsidRPr="00BD2826">
        <w:t>Employee Voice in Public Policymaking and Workplace Governance</w:t>
      </w:r>
      <w:r w:rsidR="00795B2B">
        <w:t> »</w:t>
      </w:r>
      <w:r w:rsidRPr="00BD2826">
        <w:t xml:space="preserve"> (2007)</w:t>
      </w:r>
      <w:r>
        <w:t>,</w:t>
      </w:r>
      <w:r w:rsidRPr="00BD2826">
        <w:t xml:space="preserve"> 28 </w:t>
      </w:r>
      <w:r w:rsidRPr="007D3ADA">
        <w:rPr>
          <w:i/>
        </w:rPr>
        <w:t>Com</w:t>
      </w:r>
      <w:r w:rsidR="0053416A">
        <w:rPr>
          <w:i/>
        </w:rPr>
        <w:t>p.</w:t>
      </w:r>
      <w:r w:rsidR="00795B2B">
        <w:rPr>
          <w:i/>
        </w:rPr>
        <w:t xml:space="preserve"> </w:t>
      </w:r>
      <w:r w:rsidRPr="007D3ADA">
        <w:rPr>
          <w:i/>
        </w:rPr>
        <w:t xml:space="preserve">Lab. L. &amp; </w:t>
      </w:r>
      <w:proofErr w:type="spellStart"/>
      <w:r w:rsidRPr="007D3ADA">
        <w:rPr>
          <w:i/>
        </w:rPr>
        <w:t>Pol’y</w:t>
      </w:r>
      <w:proofErr w:type="spellEnd"/>
      <w:r w:rsidRPr="007D3ADA">
        <w:rPr>
          <w:i/>
        </w:rPr>
        <w:t xml:space="preserve"> J.</w:t>
      </w:r>
      <w:r w:rsidRPr="00BD2826">
        <w:t xml:space="preserve"> 167</w:t>
      </w:r>
      <w:r>
        <w:t>.</w:t>
      </w:r>
    </w:p>
    <w:p w:rsidR="00AA5576" w:rsidRPr="00267A62" w:rsidRDefault="00AA5576" w:rsidP="00795B2B">
      <w:pPr>
        <w:pStyle w:val="SCCNormalDoubleSpacing"/>
        <w:spacing w:after="240" w:line="240" w:lineRule="auto"/>
        <w:ind w:left="540" w:hanging="540"/>
        <w:rPr>
          <w:lang w:val="en-US"/>
        </w:rPr>
      </w:pPr>
      <w:proofErr w:type="spellStart"/>
      <w:r w:rsidRPr="00D01D3A">
        <w:t>Taras</w:t>
      </w:r>
      <w:proofErr w:type="spellEnd"/>
      <w:r w:rsidRPr="00D01D3A">
        <w:t xml:space="preserve">, Daphne Gottlieb.  </w:t>
      </w:r>
      <w:proofErr w:type="gramStart"/>
      <w:r w:rsidR="00795B2B" w:rsidRPr="00267A62">
        <w:rPr>
          <w:lang w:val="en-US"/>
        </w:rPr>
        <w:t>« </w:t>
      </w:r>
      <w:r w:rsidRPr="00267A62">
        <w:rPr>
          <w:lang w:val="en-US"/>
        </w:rPr>
        <w:t>Why Nonunion Representation Is Legal in Canada</w:t>
      </w:r>
      <w:r w:rsidR="00795B2B" w:rsidRPr="00267A62">
        <w:rPr>
          <w:lang w:val="en-US"/>
        </w:rPr>
        <w:t> »</w:t>
      </w:r>
      <w:r w:rsidRPr="00267A62">
        <w:rPr>
          <w:lang w:val="en-US"/>
        </w:rPr>
        <w:t xml:space="preserve"> (1997), 52</w:t>
      </w:r>
      <w:r w:rsidR="00267A62" w:rsidRPr="00267A62">
        <w:rPr>
          <w:lang w:val="en-US"/>
        </w:rPr>
        <w:t xml:space="preserve"> </w:t>
      </w:r>
      <w:proofErr w:type="spellStart"/>
      <w:r w:rsidR="00267A62" w:rsidRPr="00267A62">
        <w:rPr>
          <w:i/>
          <w:lang w:val="en-US"/>
        </w:rPr>
        <w:t>Relat</w:t>
      </w:r>
      <w:proofErr w:type="spellEnd"/>
      <w:r w:rsidR="00267A62" w:rsidRPr="00267A62">
        <w:rPr>
          <w:i/>
          <w:lang w:val="en-US"/>
        </w:rPr>
        <w:t>.</w:t>
      </w:r>
      <w:proofErr w:type="gramEnd"/>
      <w:r w:rsidR="00267A62" w:rsidRPr="00267A62">
        <w:rPr>
          <w:i/>
          <w:lang w:val="en-US"/>
        </w:rPr>
        <w:t xml:space="preserve"> </w:t>
      </w:r>
      <w:proofErr w:type="spellStart"/>
      <w:proofErr w:type="gramStart"/>
      <w:r w:rsidR="00267A62" w:rsidRPr="00267A62">
        <w:rPr>
          <w:i/>
          <w:lang w:val="en-US"/>
        </w:rPr>
        <w:t>ind</w:t>
      </w:r>
      <w:proofErr w:type="spellEnd"/>
      <w:r w:rsidR="00267A62" w:rsidRPr="00267A62">
        <w:rPr>
          <w:i/>
          <w:lang w:val="en-US"/>
        </w:rPr>
        <w:t>.</w:t>
      </w:r>
      <w:r w:rsidRPr="00267A62">
        <w:rPr>
          <w:lang w:val="en-US"/>
        </w:rPr>
        <w:t xml:space="preserve"> 763.</w:t>
      </w:r>
      <w:proofErr w:type="gramEnd"/>
    </w:p>
    <w:p w:rsidR="00757898" w:rsidRPr="00267A62" w:rsidRDefault="00757898" w:rsidP="00795B2B">
      <w:pPr>
        <w:pStyle w:val="SCCNormalDoubleSpacing"/>
        <w:spacing w:after="240" w:line="240" w:lineRule="auto"/>
        <w:ind w:left="540" w:hanging="540"/>
        <w:rPr>
          <w:lang w:val="fr-CA"/>
        </w:rPr>
      </w:pPr>
      <w:r w:rsidRPr="00901DDE">
        <w:rPr>
          <w:lang w:val="fr-CA"/>
        </w:rPr>
        <w:t xml:space="preserve">Verge, Pierre, Gilles Trudeau et Guylaine Vallée.  </w:t>
      </w:r>
      <w:r w:rsidRPr="00901DDE">
        <w:rPr>
          <w:i/>
          <w:lang w:val="fr-CA"/>
        </w:rPr>
        <w:t>Le droit du travail par ses sources</w:t>
      </w:r>
      <w:r w:rsidR="00267A62">
        <w:rPr>
          <w:lang w:val="fr-CA"/>
        </w:rPr>
        <w:t xml:space="preserve">, </w:t>
      </w:r>
      <w:r w:rsidRPr="00267A62">
        <w:rPr>
          <w:lang w:val="fr-CA"/>
        </w:rPr>
        <w:t>Montréal</w:t>
      </w:r>
      <w:r w:rsidR="00267A62">
        <w:rPr>
          <w:lang w:val="fr-CA"/>
        </w:rPr>
        <w:t xml:space="preserve">, </w:t>
      </w:r>
      <w:r w:rsidRPr="00267A62">
        <w:rPr>
          <w:lang w:val="fr-CA"/>
        </w:rPr>
        <w:t>Thémis, 2006.</w:t>
      </w:r>
    </w:p>
    <w:p w:rsidR="00757898" w:rsidRDefault="00757898" w:rsidP="00795B2B">
      <w:pPr>
        <w:pStyle w:val="SCCNormalDoubleSpacing"/>
        <w:spacing w:after="240" w:line="240" w:lineRule="auto"/>
        <w:ind w:left="540" w:hanging="540"/>
      </w:pPr>
      <w:proofErr w:type="spellStart"/>
      <w:r w:rsidRPr="009179A0">
        <w:rPr>
          <w:lang w:val="en-US"/>
        </w:rPr>
        <w:lastRenderedPageBreak/>
        <w:t>Walzer</w:t>
      </w:r>
      <w:proofErr w:type="spellEnd"/>
      <w:r w:rsidRPr="009179A0">
        <w:rPr>
          <w:lang w:val="en-US"/>
        </w:rPr>
        <w:t xml:space="preserve">, </w:t>
      </w:r>
      <w:proofErr w:type="spellStart"/>
      <w:r w:rsidRPr="009179A0">
        <w:rPr>
          <w:lang w:val="en-US"/>
        </w:rPr>
        <w:t>Michae</w:t>
      </w:r>
      <w:proofErr w:type="spellEnd"/>
      <w:r>
        <w:t>l</w:t>
      </w:r>
      <w:r w:rsidRPr="00BD2826">
        <w:t>.</w:t>
      </w:r>
      <w:r>
        <w:t xml:space="preserve"> </w:t>
      </w:r>
      <w:r w:rsidRPr="00BD2826">
        <w:t xml:space="preserve"> </w:t>
      </w:r>
      <w:proofErr w:type="gramStart"/>
      <w:r w:rsidR="00795B2B">
        <w:t>« </w:t>
      </w:r>
      <w:r w:rsidRPr="00BD2826">
        <w:t>The Concept of Civil Society</w:t>
      </w:r>
      <w:r w:rsidR="00795B2B">
        <w:t> »</w:t>
      </w:r>
      <w:r>
        <w:t>,</w:t>
      </w:r>
      <w:r w:rsidRPr="00BD2826">
        <w:t xml:space="preserve"> in M</w:t>
      </w:r>
      <w:r>
        <w:t>ichael</w:t>
      </w:r>
      <w:r w:rsidRPr="00BD2826">
        <w:t xml:space="preserve"> </w:t>
      </w:r>
      <w:proofErr w:type="spellStart"/>
      <w:r w:rsidRPr="00BD2826">
        <w:t>Walzer</w:t>
      </w:r>
      <w:proofErr w:type="spellEnd"/>
      <w:r w:rsidRPr="00BD2826">
        <w:t>, ed.</w:t>
      </w:r>
      <w:r>
        <w:t xml:space="preserve">, </w:t>
      </w:r>
      <w:r w:rsidRPr="007C0896">
        <w:rPr>
          <w:i/>
        </w:rPr>
        <w:t>Toward a Global Civil Society</w:t>
      </w:r>
      <w:r w:rsidR="00267A62">
        <w:t>,</w:t>
      </w:r>
      <w:r>
        <w:t xml:space="preserve"> </w:t>
      </w:r>
      <w:r w:rsidR="00267A62">
        <w:t>Providenc</w:t>
      </w:r>
      <w:r w:rsidR="007B57C5">
        <w:t>e</w:t>
      </w:r>
      <w:r w:rsidR="00267A62">
        <w:t xml:space="preserve"> (</w:t>
      </w:r>
      <w:r>
        <w:t>R.I.</w:t>
      </w:r>
      <w:r w:rsidR="00267A62">
        <w:t xml:space="preserve">), </w:t>
      </w:r>
      <w:proofErr w:type="spellStart"/>
      <w:r>
        <w:t>Berghahn</w:t>
      </w:r>
      <w:proofErr w:type="spellEnd"/>
      <w:r>
        <w:t xml:space="preserve"> Books, </w:t>
      </w:r>
      <w:r w:rsidRPr="00BD2826">
        <w:t>1995</w:t>
      </w:r>
      <w:r>
        <w:t>, 7.</w:t>
      </w:r>
      <w:proofErr w:type="gramEnd"/>
    </w:p>
    <w:p w:rsidR="00757898" w:rsidRDefault="00901DDE" w:rsidP="00795B2B">
      <w:pPr>
        <w:pStyle w:val="SCCNormalDoubleSpacing"/>
        <w:spacing w:after="720" w:line="240" w:lineRule="auto"/>
        <w:ind w:left="540" w:hanging="540"/>
      </w:pPr>
      <w:r>
        <w:t>Wellington, Harry</w:t>
      </w:r>
      <w:r w:rsidR="00795B2B">
        <w:t xml:space="preserve"> </w:t>
      </w:r>
      <w:r w:rsidR="00757898" w:rsidRPr="00BD2826">
        <w:t>H.</w:t>
      </w:r>
      <w:r w:rsidR="00757898">
        <w:t xml:space="preserve"> </w:t>
      </w:r>
      <w:r w:rsidR="00757898" w:rsidRPr="00BD2826">
        <w:t xml:space="preserve"> </w:t>
      </w:r>
      <w:proofErr w:type="gramStart"/>
      <w:r w:rsidR="00757898" w:rsidRPr="007C0896">
        <w:rPr>
          <w:i/>
        </w:rPr>
        <w:t>Labor and the Legal Proce</w:t>
      </w:r>
      <w:r w:rsidR="0053416A">
        <w:rPr>
          <w:i/>
        </w:rPr>
        <w:t>ss</w:t>
      </w:r>
      <w:r w:rsidR="00267A62">
        <w:t>,</w:t>
      </w:r>
      <w:r w:rsidR="00A750BD">
        <w:t xml:space="preserve"> </w:t>
      </w:r>
      <w:r w:rsidR="00267A62">
        <w:t>New Haven (</w:t>
      </w:r>
      <w:r w:rsidR="00757898">
        <w:t>Conn.</w:t>
      </w:r>
      <w:r w:rsidR="00267A62">
        <w:t xml:space="preserve">), </w:t>
      </w:r>
      <w:r w:rsidR="00757898">
        <w:t>Yale University Press, 1968.</w:t>
      </w:r>
      <w:proofErr w:type="gramEnd"/>
    </w:p>
    <w:p w:rsidR="0034195C" w:rsidRPr="00901DDE" w:rsidRDefault="0034195C" w:rsidP="00795B2B">
      <w:pPr>
        <w:pStyle w:val="SCCNormalDoubleSpacing"/>
        <w:spacing w:after="480"/>
        <w:rPr>
          <w:lang w:val="fr-CA"/>
        </w:rPr>
      </w:pPr>
      <w:r w:rsidRPr="00901DDE">
        <w:rPr>
          <w:lang w:val="en-US"/>
        </w:rPr>
        <w:tab/>
      </w:r>
      <w:r w:rsidR="004D7D95" w:rsidRPr="00901DDE">
        <w:rPr>
          <w:lang w:val="en-US"/>
        </w:rPr>
        <w:t xml:space="preserve">POURVOI </w:t>
      </w:r>
      <w:proofErr w:type="spellStart"/>
      <w:r w:rsidR="004D7D95" w:rsidRPr="00901DDE">
        <w:rPr>
          <w:lang w:val="en-US"/>
        </w:rPr>
        <w:t>contre</w:t>
      </w:r>
      <w:proofErr w:type="spellEnd"/>
      <w:r w:rsidR="004D7D95" w:rsidRPr="00901DDE">
        <w:rPr>
          <w:lang w:val="en-US"/>
        </w:rPr>
        <w:t xml:space="preserve"> un </w:t>
      </w:r>
      <w:proofErr w:type="spellStart"/>
      <w:r w:rsidR="004D7D95" w:rsidRPr="00901DDE">
        <w:rPr>
          <w:lang w:val="en-US"/>
        </w:rPr>
        <w:t>arrêt</w:t>
      </w:r>
      <w:proofErr w:type="spellEnd"/>
      <w:r w:rsidR="004D7D95" w:rsidRPr="00901DDE">
        <w:rPr>
          <w:lang w:val="en-US"/>
        </w:rPr>
        <w:t xml:space="preserve"> de la </w:t>
      </w:r>
      <w:proofErr w:type="spellStart"/>
      <w:r w:rsidR="004D7D95">
        <w:t>Cour</w:t>
      </w:r>
      <w:proofErr w:type="spellEnd"/>
      <w:r w:rsidR="004D7D95">
        <w:t xml:space="preserve"> </w:t>
      </w:r>
      <w:proofErr w:type="spellStart"/>
      <w:r w:rsidR="004D7D95">
        <w:t>d</w:t>
      </w:r>
      <w:r w:rsidR="00276982">
        <w:t>’</w:t>
      </w:r>
      <w:r w:rsidR="004D7D95">
        <w:t>appel</w:t>
      </w:r>
      <w:proofErr w:type="spellEnd"/>
      <w:r w:rsidR="004D7D95">
        <w:t xml:space="preserve"> de </w:t>
      </w:r>
      <w:proofErr w:type="spellStart"/>
      <w:r w:rsidR="004D7D95">
        <w:t>l</w:t>
      </w:r>
      <w:r w:rsidR="00276982">
        <w:t>’</w:t>
      </w:r>
      <w:r w:rsidR="004D7D95">
        <w:t>Ontario</w:t>
      </w:r>
      <w:proofErr w:type="spellEnd"/>
      <w:r>
        <w:t xml:space="preserve"> (les </w:t>
      </w:r>
      <w:proofErr w:type="spellStart"/>
      <w:r>
        <w:t>juges</w:t>
      </w:r>
      <w:proofErr w:type="spellEnd"/>
      <w:r>
        <w:t xml:space="preserve"> </w:t>
      </w:r>
      <w:r w:rsidRPr="00310A16">
        <w:t xml:space="preserve">Doherty, Rosenberg </w:t>
      </w:r>
      <w:r>
        <w:t>et</w:t>
      </w:r>
      <w:r w:rsidRPr="00310A16">
        <w:t xml:space="preserve"> </w:t>
      </w:r>
      <w:proofErr w:type="spellStart"/>
      <w:r w:rsidRPr="00310A16">
        <w:t>Juriansz</w:t>
      </w:r>
      <w:proofErr w:type="spellEnd"/>
      <w:r>
        <w:t xml:space="preserve">), 2012 ONCA 363, 111 O.R. (3d) 268, 292 O.A.C. 202, 350 D.L.R. (4th) 261, 260 C.R.R. (2d) 242, 220 L.A.C. (4th) 107, [2012] O.J. </w:t>
      </w:r>
      <w:r w:rsidR="0053416A">
        <w:t>No.</w:t>
      </w:r>
      <w:r w:rsidR="00795B2B">
        <w:t xml:space="preserve"> </w:t>
      </w:r>
      <w:r>
        <w:t xml:space="preserve">2420 (QL), </w:t>
      </w:r>
      <w:r w:rsidRPr="00310A16">
        <w:t xml:space="preserve">2012 </w:t>
      </w:r>
      <w:proofErr w:type="spellStart"/>
      <w:r w:rsidRPr="00310A16">
        <w:t>CarswellOnt</w:t>
      </w:r>
      <w:proofErr w:type="spellEnd"/>
      <w:r w:rsidRPr="00310A16">
        <w:t xml:space="preserve"> 6781</w:t>
      </w:r>
      <w:r w:rsidR="00D2279D">
        <w:t xml:space="preserve"> (WL Can.)</w:t>
      </w:r>
      <w:r>
        <w:t xml:space="preserve">, qui a </w:t>
      </w:r>
      <w:proofErr w:type="spellStart"/>
      <w:r>
        <w:t>infirmé</w:t>
      </w:r>
      <w:proofErr w:type="spellEnd"/>
      <w:r>
        <w:t xml:space="preserve"> </w:t>
      </w:r>
      <w:proofErr w:type="spellStart"/>
      <w:r>
        <w:t>une</w:t>
      </w:r>
      <w:proofErr w:type="spellEnd"/>
      <w:r>
        <w:t xml:space="preserve"> </w:t>
      </w:r>
      <w:proofErr w:type="spellStart"/>
      <w:r>
        <w:t>décision</w:t>
      </w:r>
      <w:proofErr w:type="spellEnd"/>
      <w:r>
        <w:t xml:space="preserve"> du </w:t>
      </w:r>
      <w:proofErr w:type="spellStart"/>
      <w:r>
        <w:t>juge</w:t>
      </w:r>
      <w:proofErr w:type="spellEnd"/>
      <w:r>
        <w:t xml:space="preserve"> MacDonnell, 96 O.R.</w:t>
      </w:r>
      <w:r w:rsidR="007D26EE">
        <w:t xml:space="preserve"> (3d) 20, 188 C.R.R. (2d) 225, </w:t>
      </w:r>
      <w:r>
        <w:t>2009 CLLC ¶220</w:t>
      </w:r>
      <w:r w:rsidR="00795B2B">
        <w:t>-</w:t>
      </w:r>
      <w:r>
        <w:t xml:space="preserve">027, 2009 </w:t>
      </w:r>
      <w:proofErr w:type="spellStart"/>
      <w:r>
        <w:t>CanLII</w:t>
      </w:r>
      <w:proofErr w:type="spellEnd"/>
      <w:r>
        <w:t xml:space="preserve"> 15149, [2009] O.J. </w:t>
      </w:r>
      <w:r w:rsidR="0053416A">
        <w:t>No.</w:t>
      </w:r>
      <w:r w:rsidR="00795B2B">
        <w:t xml:space="preserve"> </w:t>
      </w:r>
      <w:r>
        <w:t xml:space="preserve">1352 (QL), </w:t>
      </w:r>
      <w:r w:rsidRPr="00310A16">
        <w:t xml:space="preserve">2009 </w:t>
      </w:r>
      <w:proofErr w:type="spellStart"/>
      <w:r w:rsidRPr="00310A16">
        <w:t>CarswellOnt</w:t>
      </w:r>
      <w:proofErr w:type="spellEnd"/>
      <w:r w:rsidRPr="00310A16">
        <w:t xml:space="preserve"> 1780</w:t>
      </w:r>
      <w:r w:rsidR="005B6146">
        <w:t xml:space="preserve"> (WL Can.)</w:t>
      </w:r>
      <w:r>
        <w:t xml:space="preserve">.  </w:t>
      </w:r>
      <w:r w:rsidRPr="00901DDE">
        <w:rPr>
          <w:lang w:val="fr-CA"/>
        </w:rPr>
        <w:t xml:space="preserve">Pourvoi </w:t>
      </w:r>
      <w:r w:rsidR="003E639F">
        <w:rPr>
          <w:lang w:val="fr-CA"/>
        </w:rPr>
        <w:t>accueilli</w:t>
      </w:r>
      <w:r w:rsidR="00266B27">
        <w:rPr>
          <w:lang w:val="fr-CA"/>
        </w:rPr>
        <w:t xml:space="preserve">, le juge </w:t>
      </w:r>
      <w:proofErr w:type="spellStart"/>
      <w:r w:rsidR="00266B27">
        <w:rPr>
          <w:lang w:val="fr-CA"/>
        </w:rPr>
        <w:t>Rothstein</w:t>
      </w:r>
      <w:proofErr w:type="spellEnd"/>
      <w:r w:rsidR="00A13BA6" w:rsidRPr="00901DDE">
        <w:rPr>
          <w:lang w:val="fr-CA"/>
        </w:rPr>
        <w:t xml:space="preserve"> est dissident</w:t>
      </w:r>
      <w:r w:rsidRPr="00901DDE">
        <w:rPr>
          <w:lang w:val="fr-CA"/>
        </w:rPr>
        <w:t>.</w:t>
      </w:r>
    </w:p>
    <w:p w:rsidR="00475613" w:rsidRPr="00901DDE" w:rsidRDefault="0034195C" w:rsidP="00795B2B">
      <w:pPr>
        <w:pStyle w:val="SCCNormalDoubleSpacing"/>
        <w:spacing w:after="480"/>
        <w:rPr>
          <w:lang w:val="fr-CA"/>
        </w:rPr>
      </w:pPr>
      <w:r w:rsidRPr="00901DDE">
        <w:rPr>
          <w:rStyle w:val="SCCCounselNameChar"/>
          <w:lang w:val="fr-CA"/>
        </w:rPr>
        <w:tab/>
        <w:t>Laura</w:t>
      </w:r>
      <w:r w:rsidR="00795B2B">
        <w:rPr>
          <w:rStyle w:val="SCCCounselNameChar"/>
          <w:lang w:val="fr-CA"/>
        </w:rPr>
        <w:t xml:space="preserve"> </w:t>
      </w:r>
      <w:r w:rsidR="00276982" w:rsidRPr="00901DDE">
        <w:rPr>
          <w:rStyle w:val="SCCCounselNameChar"/>
          <w:lang w:val="fr-CA"/>
        </w:rPr>
        <w:t>C. Young</w:t>
      </w:r>
      <w:r w:rsidR="00276982" w:rsidRPr="00901DDE">
        <w:rPr>
          <w:rStyle w:val="SCCCounselSeparatorChar"/>
          <w:lang w:val="fr-CA"/>
        </w:rPr>
        <w:t xml:space="preserve"> et </w:t>
      </w:r>
      <w:r w:rsidR="00276982" w:rsidRPr="00901DDE">
        <w:rPr>
          <w:rStyle w:val="SCCCounselNameChar"/>
          <w:lang w:val="fr-CA"/>
        </w:rPr>
        <w:t xml:space="preserve">Patric </w:t>
      </w:r>
      <w:proofErr w:type="spellStart"/>
      <w:r w:rsidR="00276982" w:rsidRPr="00901DDE">
        <w:rPr>
          <w:rStyle w:val="SCCCounselNameChar"/>
          <w:lang w:val="fr-CA"/>
        </w:rPr>
        <w:t>Senson</w:t>
      </w:r>
      <w:proofErr w:type="spellEnd"/>
      <w:r w:rsidRPr="00901DDE">
        <w:rPr>
          <w:rStyle w:val="SCCCounselPartyRoleChar"/>
          <w:lang w:val="fr-CA"/>
        </w:rPr>
        <w:t xml:space="preserve">, pour les </w:t>
      </w:r>
      <w:r w:rsidR="00276982" w:rsidRPr="00901DDE">
        <w:rPr>
          <w:rStyle w:val="SCCCounselPartyRoleChar"/>
          <w:lang w:val="fr-CA"/>
        </w:rPr>
        <w:t>appelante</w:t>
      </w:r>
      <w:r w:rsidRPr="00901DDE">
        <w:rPr>
          <w:rStyle w:val="SCCCounselPartyRoleChar"/>
          <w:lang w:val="fr-CA"/>
        </w:rPr>
        <w:t>s</w:t>
      </w:r>
      <w:r w:rsidR="00276982" w:rsidRPr="00901DDE">
        <w:rPr>
          <w:rStyle w:val="SCCCounselPartyRoleChar"/>
          <w:lang w:val="fr-CA"/>
        </w:rPr>
        <w:t>.</w:t>
      </w:r>
    </w:p>
    <w:p w:rsidR="00475613" w:rsidRPr="00901DDE" w:rsidRDefault="00276982" w:rsidP="00795B2B">
      <w:pPr>
        <w:pStyle w:val="SCCNormalDoubleSpacing"/>
        <w:spacing w:after="480"/>
        <w:rPr>
          <w:lang w:val="fr-CA"/>
        </w:rPr>
      </w:pPr>
      <w:r w:rsidRPr="00901DDE">
        <w:rPr>
          <w:rStyle w:val="SCCCounselNameChar"/>
          <w:lang w:val="fr-CA"/>
        </w:rPr>
        <w:tab/>
        <w:t>Peter Southey</w:t>
      </w:r>
      <w:r w:rsidRPr="00901DDE">
        <w:rPr>
          <w:rStyle w:val="SCCCounselSeparatorChar"/>
          <w:lang w:val="fr-CA"/>
        </w:rPr>
        <w:t xml:space="preserve">, </w:t>
      </w:r>
      <w:proofErr w:type="spellStart"/>
      <w:r w:rsidRPr="00901DDE">
        <w:rPr>
          <w:rStyle w:val="SCCCounselNameChar"/>
          <w:lang w:val="fr-CA"/>
        </w:rPr>
        <w:t>Donnaree</w:t>
      </w:r>
      <w:proofErr w:type="spellEnd"/>
      <w:r w:rsidRPr="00901DDE">
        <w:rPr>
          <w:rStyle w:val="SCCCounselNameChar"/>
          <w:lang w:val="fr-CA"/>
        </w:rPr>
        <w:t xml:space="preserve"> </w:t>
      </w:r>
      <w:proofErr w:type="spellStart"/>
      <w:r w:rsidRPr="00901DDE">
        <w:rPr>
          <w:rStyle w:val="SCCCounselNameChar"/>
          <w:lang w:val="fr-CA"/>
        </w:rPr>
        <w:t>Nygard</w:t>
      </w:r>
      <w:proofErr w:type="spellEnd"/>
      <w:r w:rsidRPr="00901DDE">
        <w:rPr>
          <w:rStyle w:val="SCCCounselSeparatorChar"/>
          <w:lang w:val="fr-CA"/>
        </w:rPr>
        <w:t xml:space="preserve"> et </w:t>
      </w:r>
      <w:r w:rsidRPr="00901DDE">
        <w:rPr>
          <w:rStyle w:val="SCCCounselNameChar"/>
          <w:lang w:val="fr-CA"/>
        </w:rPr>
        <w:t xml:space="preserve">Kathryn </w:t>
      </w:r>
      <w:proofErr w:type="spellStart"/>
      <w:r w:rsidRPr="00901DDE">
        <w:rPr>
          <w:rStyle w:val="SCCCounselNameChar"/>
          <w:lang w:val="fr-CA"/>
        </w:rPr>
        <w:t>Hucal</w:t>
      </w:r>
      <w:proofErr w:type="spellEnd"/>
      <w:r w:rsidRPr="00901DDE">
        <w:rPr>
          <w:rStyle w:val="SCCCounselPartyRoleChar"/>
          <w:lang w:val="fr-CA"/>
        </w:rPr>
        <w:t>, pour l’intimé.</w:t>
      </w:r>
    </w:p>
    <w:p w:rsidR="0034195C" w:rsidRPr="00901DDE" w:rsidRDefault="0034195C" w:rsidP="00795B2B">
      <w:pPr>
        <w:pStyle w:val="SCCNormalDoubleSpacing"/>
        <w:spacing w:after="480"/>
        <w:rPr>
          <w:lang w:val="fr-CA"/>
        </w:rPr>
      </w:pPr>
      <w:r w:rsidRPr="00901DDE">
        <w:rPr>
          <w:rStyle w:val="SCCCounselNameChar"/>
          <w:lang w:val="fr-CA"/>
        </w:rPr>
        <w:tab/>
        <w:t>Robin</w:t>
      </w:r>
      <w:r w:rsidR="00795B2B">
        <w:rPr>
          <w:rStyle w:val="SCCCounselNameChar"/>
          <w:lang w:val="fr-CA"/>
        </w:rPr>
        <w:t xml:space="preserve"> </w:t>
      </w:r>
      <w:r w:rsidRPr="00901DDE">
        <w:rPr>
          <w:rStyle w:val="SCCCounselNameChar"/>
          <w:lang w:val="fr-CA"/>
        </w:rPr>
        <w:t xml:space="preserve">K. </w:t>
      </w:r>
      <w:proofErr w:type="spellStart"/>
      <w:r w:rsidRPr="00901DDE">
        <w:rPr>
          <w:rStyle w:val="SCCCounselNameChar"/>
          <w:lang w:val="fr-CA"/>
        </w:rPr>
        <w:t>Basu</w:t>
      </w:r>
      <w:proofErr w:type="spellEnd"/>
      <w:r w:rsidRPr="00901DDE">
        <w:rPr>
          <w:rStyle w:val="SCCCounselSeparatorChar"/>
          <w:lang w:val="fr-CA"/>
        </w:rPr>
        <w:t xml:space="preserve"> et </w:t>
      </w:r>
      <w:r w:rsidRPr="00901DDE">
        <w:rPr>
          <w:rStyle w:val="SCCCounselNameChar"/>
          <w:lang w:val="fr-CA"/>
        </w:rPr>
        <w:t>Michael Dunn</w:t>
      </w:r>
      <w:r w:rsidRPr="00901DDE">
        <w:rPr>
          <w:rStyle w:val="SCCCounselPartyRoleChar"/>
          <w:lang w:val="fr-CA"/>
        </w:rPr>
        <w:t>, pour l’intervenant le procureur général de l’Ontario.</w:t>
      </w:r>
    </w:p>
    <w:p w:rsidR="0034195C" w:rsidRPr="00901DDE" w:rsidRDefault="0034195C" w:rsidP="00795B2B">
      <w:pPr>
        <w:pStyle w:val="SCCNormalDoubleSpacing"/>
        <w:spacing w:after="480"/>
        <w:rPr>
          <w:lang w:val="fr-CA"/>
        </w:rPr>
      </w:pPr>
      <w:r w:rsidRPr="00901DDE">
        <w:rPr>
          <w:rStyle w:val="SCCCounselNameChar"/>
          <w:lang w:val="fr-CA"/>
        </w:rPr>
        <w:tab/>
        <w:t>Jonathan Penner</w:t>
      </w:r>
      <w:r w:rsidRPr="00901DDE">
        <w:rPr>
          <w:rStyle w:val="SCCCounselSeparatorChar"/>
          <w:lang w:val="fr-CA"/>
        </w:rPr>
        <w:t xml:space="preserve">, </w:t>
      </w:r>
      <w:r w:rsidRPr="00901DDE">
        <w:rPr>
          <w:rStyle w:val="SCCCounselNameChar"/>
          <w:lang w:val="fr-CA"/>
        </w:rPr>
        <w:t>Keith Evans</w:t>
      </w:r>
      <w:r w:rsidRPr="00901DDE">
        <w:rPr>
          <w:rStyle w:val="SCCCounselSeparatorChar"/>
          <w:lang w:val="fr-CA"/>
        </w:rPr>
        <w:t xml:space="preserve"> et </w:t>
      </w:r>
      <w:r w:rsidRPr="00901DDE">
        <w:rPr>
          <w:rStyle w:val="SCCCounselNameChar"/>
          <w:lang w:val="fr-CA"/>
        </w:rPr>
        <w:t xml:space="preserve">Karen </w:t>
      </w:r>
      <w:proofErr w:type="spellStart"/>
      <w:r w:rsidRPr="00901DDE">
        <w:rPr>
          <w:rStyle w:val="SCCCounselNameChar"/>
          <w:lang w:val="fr-CA"/>
        </w:rPr>
        <w:t>Horsman</w:t>
      </w:r>
      <w:proofErr w:type="spellEnd"/>
      <w:r w:rsidRPr="00901DDE">
        <w:rPr>
          <w:rStyle w:val="SCCCounselPartyRoleChar"/>
          <w:lang w:val="fr-CA"/>
        </w:rPr>
        <w:t>, pour l’intervenant le procureur général de la Colombie</w:t>
      </w:r>
      <w:r w:rsidR="00795B2B">
        <w:rPr>
          <w:rStyle w:val="SCCCounselPartyRoleChar"/>
          <w:lang w:val="fr-CA"/>
        </w:rPr>
        <w:t>-</w:t>
      </w:r>
      <w:r w:rsidRPr="00901DDE">
        <w:rPr>
          <w:rStyle w:val="SCCCounselPartyRoleChar"/>
          <w:lang w:val="fr-CA"/>
        </w:rPr>
        <w:t>Britannique.</w:t>
      </w:r>
    </w:p>
    <w:p w:rsidR="0034195C" w:rsidRPr="00901DDE" w:rsidRDefault="002B11DD" w:rsidP="00795B2B">
      <w:pPr>
        <w:pStyle w:val="SCCNormalDoubleSpacing"/>
        <w:spacing w:after="480"/>
        <w:rPr>
          <w:lang w:val="fr-CA"/>
        </w:rPr>
      </w:pPr>
      <w:r w:rsidRPr="00901DDE">
        <w:rPr>
          <w:rStyle w:val="SCCCounselNameChar"/>
          <w:lang w:val="fr-CA"/>
        </w:rPr>
        <w:tab/>
        <w:t>Graeme</w:t>
      </w:r>
      <w:r w:rsidR="00795B2B">
        <w:rPr>
          <w:rStyle w:val="SCCCounselNameChar"/>
          <w:lang w:val="fr-CA"/>
        </w:rPr>
        <w:t xml:space="preserve"> </w:t>
      </w:r>
      <w:r w:rsidRPr="00901DDE">
        <w:rPr>
          <w:rStyle w:val="SCCCounselNameChar"/>
          <w:lang w:val="fr-CA"/>
        </w:rPr>
        <w:t>G. Mitchell</w:t>
      </w:r>
      <w:r w:rsidRPr="00901DDE">
        <w:rPr>
          <w:rStyle w:val="SCCCounselNameChar"/>
          <w:i w:val="0"/>
          <w:lang w:val="fr-CA"/>
        </w:rPr>
        <w:t xml:space="preserve">, </w:t>
      </w:r>
      <w:proofErr w:type="gramStart"/>
      <w:r w:rsidRPr="00901DDE">
        <w:rPr>
          <w:rStyle w:val="SCCCounselNameChar"/>
          <w:lang w:val="fr-CA"/>
        </w:rPr>
        <w:t>c.r.</w:t>
      </w:r>
      <w:r w:rsidR="0034195C" w:rsidRPr="00901DDE">
        <w:rPr>
          <w:rStyle w:val="SCCCounselPartyRoleChar"/>
          <w:lang w:val="fr-CA"/>
        </w:rPr>
        <w:t>,</w:t>
      </w:r>
      <w:proofErr w:type="gramEnd"/>
      <w:r w:rsidR="0034195C" w:rsidRPr="00901DDE">
        <w:rPr>
          <w:rStyle w:val="SCCCounselPartyRoleChar"/>
          <w:lang w:val="fr-CA"/>
        </w:rPr>
        <w:t xml:space="preserve"> pour l’intervenant</w:t>
      </w:r>
      <w:r w:rsidRPr="00901DDE">
        <w:rPr>
          <w:rStyle w:val="SCCCounselPartyRoleChar"/>
          <w:lang w:val="fr-CA"/>
        </w:rPr>
        <w:t xml:space="preserve"> le p</w:t>
      </w:r>
      <w:r w:rsidR="0034195C" w:rsidRPr="00901DDE">
        <w:rPr>
          <w:rStyle w:val="SCCCounselPartyRoleChar"/>
          <w:lang w:val="fr-CA"/>
        </w:rPr>
        <w:t>rocureur général de la Saskatchewan.</w:t>
      </w:r>
    </w:p>
    <w:p w:rsidR="002B11DD" w:rsidRPr="00901DDE" w:rsidRDefault="002B11DD" w:rsidP="00795B2B">
      <w:pPr>
        <w:pStyle w:val="SCCNormalDoubleSpacing"/>
        <w:spacing w:after="480"/>
        <w:rPr>
          <w:lang w:val="fr-CA"/>
        </w:rPr>
      </w:pPr>
      <w:r w:rsidRPr="00901DDE">
        <w:rPr>
          <w:rStyle w:val="SCCCounselNameChar"/>
          <w:lang w:val="fr-CA"/>
        </w:rPr>
        <w:lastRenderedPageBreak/>
        <w:tab/>
      </w:r>
      <w:proofErr w:type="spellStart"/>
      <w:r w:rsidRPr="00901DDE">
        <w:rPr>
          <w:rStyle w:val="SCCCounselNameChar"/>
          <w:lang w:val="fr-CA"/>
        </w:rPr>
        <w:t>Roderick</w:t>
      </w:r>
      <w:proofErr w:type="spellEnd"/>
      <w:r w:rsidR="00795B2B">
        <w:rPr>
          <w:rStyle w:val="SCCCounselNameChar"/>
          <w:lang w:val="fr-CA"/>
        </w:rPr>
        <w:t xml:space="preserve"> </w:t>
      </w:r>
      <w:r w:rsidRPr="00901DDE">
        <w:rPr>
          <w:rStyle w:val="SCCCounselNameChar"/>
          <w:lang w:val="fr-CA"/>
        </w:rPr>
        <w:t>S. Wiltshire</w:t>
      </w:r>
      <w:r w:rsidRPr="00901DDE">
        <w:rPr>
          <w:rStyle w:val="SCCCounselPartyRoleChar"/>
          <w:lang w:val="fr-CA"/>
        </w:rPr>
        <w:t>, pour l’intervenant le procureur général de l’Alberta.</w:t>
      </w:r>
    </w:p>
    <w:p w:rsidR="00475613" w:rsidRPr="00901DDE" w:rsidRDefault="0034195C" w:rsidP="00795B2B">
      <w:pPr>
        <w:pStyle w:val="SCCNormalDoubleSpacing"/>
        <w:spacing w:after="480"/>
        <w:rPr>
          <w:lang w:val="fr-CA"/>
        </w:rPr>
      </w:pPr>
      <w:r w:rsidRPr="00901DDE">
        <w:rPr>
          <w:rStyle w:val="SCCCounselNameChar"/>
          <w:lang w:val="fr-CA"/>
        </w:rPr>
        <w:tab/>
        <w:t>James</w:t>
      </w:r>
      <w:r w:rsidR="00795B2B">
        <w:rPr>
          <w:rStyle w:val="SCCCounselNameChar"/>
          <w:lang w:val="fr-CA"/>
        </w:rPr>
        <w:t xml:space="preserve"> </w:t>
      </w:r>
      <w:r w:rsidR="00276982" w:rsidRPr="00901DDE">
        <w:rPr>
          <w:rStyle w:val="SCCCounselNameChar"/>
          <w:lang w:val="fr-CA"/>
        </w:rPr>
        <w:t>R.</w:t>
      </w:r>
      <w:r w:rsidR="00795B2B">
        <w:rPr>
          <w:rStyle w:val="SCCCounselNameChar"/>
          <w:lang w:val="fr-CA"/>
        </w:rPr>
        <w:t xml:space="preserve"> </w:t>
      </w:r>
      <w:r w:rsidR="00276982" w:rsidRPr="00901DDE">
        <w:rPr>
          <w:rStyle w:val="SCCCounselNameChar"/>
          <w:lang w:val="fr-CA"/>
        </w:rPr>
        <w:t xml:space="preserve">K. </w:t>
      </w:r>
      <w:proofErr w:type="spellStart"/>
      <w:r w:rsidR="00276982" w:rsidRPr="00901DDE">
        <w:rPr>
          <w:rStyle w:val="SCCCounselNameChar"/>
          <w:lang w:val="fr-CA"/>
        </w:rPr>
        <w:t>Duggan</w:t>
      </w:r>
      <w:proofErr w:type="spellEnd"/>
      <w:r w:rsidR="00276982" w:rsidRPr="00901DDE">
        <w:rPr>
          <w:rStyle w:val="SCCCounselSeparatorChar"/>
          <w:lang w:val="fr-CA"/>
        </w:rPr>
        <w:t xml:space="preserve"> et </w:t>
      </w:r>
      <w:r w:rsidR="00276982" w:rsidRPr="00901DDE">
        <w:rPr>
          <w:rStyle w:val="SCCCounselNameChar"/>
          <w:lang w:val="fr-CA"/>
        </w:rPr>
        <w:t>A</w:t>
      </w:r>
      <w:r w:rsidRPr="00901DDE">
        <w:rPr>
          <w:rStyle w:val="SCCCounselNameChar"/>
          <w:lang w:val="fr-CA"/>
        </w:rPr>
        <w:t>lexander</w:t>
      </w:r>
      <w:r w:rsidR="00795B2B">
        <w:rPr>
          <w:rStyle w:val="SCCCounselNameChar"/>
          <w:lang w:val="fr-CA"/>
        </w:rPr>
        <w:t xml:space="preserve"> </w:t>
      </w:r>
      <w:r w:rsidR="00276982" w:rsidRPr="00901DDE">
        <w:rPr>
          <w:rStyle w:val="SCCCounselNameChar"/>
          <w:lang w:val="fr-CA"/>
        </w:rPr>
        <w:t xml:space="preserve">H. </w:t>
      </w:r>
      <w:proofErr w:type="spellStart"/>
      <w:r w:rsidR="00276982" w:rsidRPr="00901DDE">
        <w:rPr>
          <w:rStyle w:val="SCCCounselNameChar"/>
          <w:lang w:val="fr-CA"/>
        </w:rPr>
        <w:t>Duggan</w:t>
      </w:r>
      <w:proofErr w:type="spellEnd"/>
      <w:r w:rsidR="00276982" w:rsidRPr="00901DDE">
        <w:rPr>
          <w:rStyle w:val="SCCCounselPartyRoleChar"/>
          <w:lang w:val="fr-CA"/>
        </w:rPr>
        <w:t>, pour l’intervenant</w:t>
      </w:r>
      <w:r w:rsidR="00B60DF9">
        <w:rPr>
          <w:rStyle w:val="SCCCounselPartyRoleChar"/>
          <w:lang w:val="fr-CA"/>
        </w:rPr>
        <w:t>e</w:t>
      </w:r>
      <w:r w:rsidR="00276982" w:rsidRPr="00901DDE">
        <w:rPr>
          <w:rStyle w:val="SCCCounselPartyRoleChar"/>
          <w:lang w:val="fr-CA"/>
        </w:rPr>
        <w:t xml:space="preserve"> </w:t>
      </w:r>
      <w:r w:rsidR="002B11DD" w:rsidRPr="00901DDE">
        <w:rPr>
          <w:rStyle w:val="SCCCounselPartyRoleChar"/>
          <w:lang w:val="fr-CA"/>
        </w:rPr>
        <w:t>l’</w:t>
      </w:r>
      <w:r w:rsidR="00276982" w:rsidRPr="00901DDE">
        <w:rPr>
          <w:rStyle w:val="SCCCounselPartyRoleChar"/>
          <w:lang w:val="fr-CA"/>
        </w:rPr>
        <w:t xml:space="preserve">Association des membres de la </w:t>
      </w:r>
      <w:r w:rsidR="0042385E">
        <w:rPr>
          <w:rStyle w:val="SCCCounselPartyRoleChar"/>
          <w:lang w:val="fr-CA"/>
        </w:rPr>
        <w:t>P</w:t>
      </w:r>
      <w:r w:rsidR="00276982" w:rsidRPr="00901DDE">
        <w:rPr>
          <w:rStyle w:val="SCCCounselPartyRoleChar"/>
          <w:lang w:val="fr-CA"/>
        </w:rPr>
        <w:t xml:space="preserve">olice </w:t>
      </w:r>
      <w:r w:rsidR="0042385E">
        <w:rPr>
          <w:rStyle w:val="SCCCounselPartyRoleChar"/>
          <w:lang w:val="fr-CA"/>
        </w:rPr>
        <w:t>M</w:t>
      </w:r>
      <w:r w:rsidR="00276982" w:rsidRPr="00901DDE">
        <w:rPr>
          <w:rStyle w:val="SCCCounselPartyRoleChar"/>
          <w:lang w:val="fr-CA"/>
        </w:rPr>
        <w:t>ontée du Québec</w:t>
      </w:r>
      <w:r w:rsidR="00FB58D9">
        <w:rPr>
          <w:rStyle w:val="SCCCounselPartyRoleChar"/>
          <w:lang w:val="fr-CA"/>
        </w:rPr>
        <w:t xml:space="preserve"> Inc</w:t>
      </w:r>
      <w:r w:rsidR="00276982" w:rsidRPr="00901DDE">
        <w:rPr>
          <w:rStyle w:val="SCCCounselPartyRoleChar"/>
          <w:lang w:val="fr-CA"/>
        </w:rPr>
        <w:t>.</w:t>
      </w:r>
    </w:p>
    <w:p w:rsidR="00475613" w:rsidRPr="00901DDE" w:rsidRDefault="002B11DD" w:rsidP="00795B2B">
      <w:pPr>
        <w:pStyle w:val="SCCNormalDoubleSpacing"/>
        <w:spacing w:after="480"/>
        <w:rPr>
          <w:lang w:val="fr-CA"/>
        </w:rPr>
      </w:pPr>
      <w:r w:rsidRPr="00901DDE">
        <w:rPr>
          <w:rStyle w:val="SCCCounselNameChar"/>
          <w:lang w:val="fr-CA"/>
        </w:rPr>
        <w:tab/>
        <w:t>John</w:t>
      </w:r>
      <w:r w:rsidR="00795B2B">
        <w:rPr>
          <w:rStyle w:val="SCCCounselNameChar"/>
          <w:lang w:val="fr-CA"/>
        </w:rPr>
        <w:t xml:space="preserve"> </w:t>
      </w:r>
      <w:r w:rsidR="00276982" w:rsidRPr="00901DDE">
        <w:rPr>
          <w:rStyle w:val="SCCCounselNameChar"/>
          <w:lang w:val="fr-CA"/>
        </w:rPr>
        <w:t>D.</w:t>
      </w:r>
      <w:r w:rsidR="00795B2B">
        <w:rPr>
          <w:rStyle w:val="SCCCounselNameChar"/>
          <w:lang w:val="fr-CA"/>
        </w:rPr>
        <w:t xml:space="preserve"> </w:t>
      </w:r>
      <w:r w:rsidR="00276982" w:rsidRPr="00901DDE">
        <w:rPr>
          <w:rStyle w:val="SCCCounselNameChar"/>
          <w:lang w:val="fr-CA"/>
        </w:rPr>
        <w:t>R. Craig</w:t>
      </w:r>
      <w:r w:rsidR="00276982" w:rsidRPr="00901DDE">
        <w:rPr>
          <w:rStyle w:val="SCCCounselSeparatorChar"/>
          <w:lang w:val="fr-CA"/>
        </w:rPr>
        <w:t xml:space="preserve"> et </w:t>
      </w:r>
      <w:r w:rsidR="00276982" w:rsidRPr="00901DDE">
        <w:rPr>
          <w:rStyle w:val="SCCCounselNameChar"/>
          <w:lang w:val="fr-CA"/>
        </w:rPr>
        <w:t>Christopher</w:t>
      </w:r>
      <w:r w:rsidR="00795B2B">
        <w:rPr>
          <w:rStyle w:val="SCCCounselNameChar"/>
          <w:lang w:val="fr-CA"/>
        </w:rPr>
        <w:t xml:space="preserve"> </w:t>
      </w:r>
      <w:r w:rsidR="00276982" w:rsidRPr="00901DDE">
        <w:rPr>
          <w:rStyle w:val="SCCCounselNameChar"/>
          <w:lang w:val="fr-CA"/>
        </w:rPr>
        <w:t xml:space="preserve">D. </w:t>
      </w:r>
      <w:proofErr w:type="spellStart"/>
      <w:r w:rsidR="00276982" w:rsidRPr="00901DDE">
        <w:rPr>
          <w:rStyle w:val="SCCCounselNameChar"/>
          <w:lang w:val="fr-CA"/>
        </w:rPr>
        <w:t>Pigott</w:t>
      </w:r>
      <w:proofErr w:type="spellEnd"/>
      <w:r w:rsidR="00276982" w:rsidRPr="00901DDE">
        <w:rPr>
          <w:rStyle w:val="SCCCounselPartyRoleChar"/>
          <w:lang w:val="fr-CA"/>
        </w:rPr>
        <w:t xml:space="preserve">, pour l’intervenant </w:t>
      </w:r>
      <w:r w:rsidRPr="00901DDE">
        <w:rPr>
          <w:rStyle w:val="SCCCounselPartyRoleChar"/>
          <w:lang w:val="fr-CA"/>
        </w:rPr>
        <w:t xml:space="preserve">le </w:t>
      </w:r>
      <w:r w:rsidR="00276982" w:rsidRPr="00901DDE">
        <w:rPr>
          <w:rStyle w:val="SCCCounselPartyRoleChar"/>
          <w:lang w:val="fr-CA"/>
        </w:rPr>
        <w:t>Fonds de recours juridique des membres de la Gendarmerie.</w:t>
      </w:r>
    </w:p>
    <w:p w:rsidR="00475613" w:rsidRPr="00901DDE" w:rsidRDefault="00276982" w:rsidP="00795B2B">
      <w:pPr>
        <w:pStyle w:val="SCCNormalDoubleSpacing"/>
        <w:spacing w:after="480"/>
        <w:rPr>
          <w:lang w:val="fr-CA"/>
        </w:rPr>
      </w:pPr>
      <w:r w:rsidRPr="00901DDE">
        <w:rPr>
          <w:rStyle w:val="SCCCounselNameChar"/>
          <w:lang w:val="fr-CA"/>
        </w:rPr>
        <w:tab/>
        <w:t xml:space="preserve">Benoit </w:t>
      </w:r>
      <w:proofErr w:type="spellStart"/>
      <w:r w:rsidRPr="00901DDE">
        <w:rPr>
          <w:rStyle w:val="SCCCounselNameChar"/>
          <w:lang w:val="fr-CA"/>
        </w:rPr>
        <w:t>Laurin</w:t>
      </w:r>
      <w:proofErr w:type="spellEnd"/>
      <w:r w:rsidRPr="00901DDE">
        <w:rPr>
          <w:rStyle w:val="SCCCounselSeparatorChar"/>
          <w:lang w:val="fr-CA"/>
        </w:rPr>
        <w:t xml:space="preserve"> et </w:t>
      </w:r>
      <w:r w:rsidRPr="00901DDE">
        <w:rPr>
          <w:rStyle w:val="SCCCounselNameChar"/>
          <w:lang w:val="fr-CA"/>
        </w:rPr>
        <w:t>Éric Lévesque</w:t>
      </w:r>
      <w:r w:rsidRPr="00901DDE">
        <w:rPr>
          <w:rStyle w:val="SCCCounselPartyRoleChar"/>
          <w:lang w:val="fr-CA"/>
        </w:rPr>
        <w:t xml:space="preserve">, pour l’intervenante </w:t>
      </w:r>
      <w:r w:rsidR="002B11DD" w:rsidRPr="00901DDE">
        <w:rPr>
          <w:rStyle w:val="SCCCounselPartyRoleChar"/>
          <w:lang w:val="fr-CA"/>
        </w:rPr>
        <w:t xml:space="preserve">la </w:t>
      </w:r>
      <w:r w:rsidRPr="00901DDE">
        <w:rPr>
          <w:rStyle w:val="SCCCounselPartyRoleChar"/>
          <w:lang w:val="fr-CA"/>
        </w:rPr>
        <w:t>Confédération des syndicats nationaux.</w:t>
      </w:r>
    </w:p>
    <w:p w:rsidR="00475613" w:rsidRPr="00901DDE" w:rsidRDefault="002B11DD" w:rsidP="00795B2B">
      <w:pPr>
        <w:pStyle w:val="SCCNormalDoubleSpacing"/>
        <w:spacing w:after="480"/>
        <w:rPr>
          <w:lang w:val="fr-CA"/>
        </w:rPr>
      </w:pPr>
      <w:r w:rsidRPr="00901DDE">
        <w:rPr>
          <w:rStyle w:val="SCCCounselNameChar"/>
          <w:lang w:val="fr-CA"/>
        </w:rPr>
        <w:tab/>
        <w:t>Ian</w:t>
      </w:r>
      <w:r w:rsidR="00795B2B">
        <w:rPr>
          <w:rStyle w:val="SCCCounselNameChar"/>
          <w:lang w:val="fr-CA"/>
        </w:rPr>
        <w:t xml:space="preserve"> </w:t>
      </w:r>
      <w:r w:rsidR="00276982" w:rsidRPr="00901DDE">
        <w:rPr>
          <w:rStyle w:val="SCCCounselNameChar"/>
          <w:lang w:val="fr-CA"/>
        </w:rPr>
        <w:t>J. Roland</w:t>
      </w:r>
      <w:r w:rsidR="00276982" w:rsidRPr="00901DDE">
        <w:rPr>
          <w:rStyle w:val="SCCCounselSeparatorChar"/>
          <w:lang w:val="fr-CA"/>
        </w:rPr>
        <w:t xml:space="preserve"> et </w:t>
      </w:r>
      <w:r w:rsidR="00276982" w:rsidRPr="00901DDE">
        <w:rPr>
          <w:rStyle w:val="SCCCounselNameChar"/>
          <w:lang w:val="fr-CA"/>
        </w:rPr>
        <w:t xml:space="preserve">Michael </w:t>
      </w:r>
      <w:proofErr w:type="spellStart"/>
      <w:r w:rsidR="00276982" w:rsidRPr="00901DDE">
        <w:rPr>
          <w:rStyle w:val="SCCCounselNameChar"/>
          <w:lang w:val="fr-CA"/>
        </w:rPr>
        <w:t>Fenrick</w:t>
      </w:r>
      <w:proofErr w:type="spellEnd"/>
      <w:r w:rsidR="00276982" w:rsidRPr="00901DDE">
        <w:rPr>
          <w:rStyle w:val="SCCCounselPartyRoleChar"/>
          <w:lang w:val="fr-CA"/>
        </w:rPr>
        <w:t xml:space="preserve">, pour l’intervenante </w:t>
      </w:r>
      <w:r w:rsidRPr="00901DDE">
        <w:rPr>
          <w:rStyle w:val="SCCCounselPartyRoleChar"/>
          <w:lang w:val="fr-CA"/>
        </w:rPr>
        <w:t>l’</w:t>
      </w:r>
      <w:r w:rsidR="00276982" w:rsidRPr="00901DDE">
        <w:rPr>
          <w:rStyle w:val="SCCCounselPartyRoleChar"/>
          <w:lang w:val="fr-CA"/>
        </w:rPr>
        <w:t>Association canadienne des policiers.</w:t>
      </w:r>
    </w:p>
    <w:p w:rsidR="00475613" w:rsidRPr="00901DDE" w:rsidRDefault="00276982" w:rsidP="00795B2B">
      <w:pPr>
        <w:pStyle w:val="SCCNormalDoubleSpacing"/>
        <w:spacing w:after="480"/>
        <w:rPr>
          <w:lang w:val="fr-CA"/>
        </w:rPr>
      </w:pPr>
      <w:r w:rsidRPr="00901DDE">
        <w:rPr>
          <w:rStyle w:val="SCCCounselNameChar"/>
          <w:lang w:val="fr-CA"/>
        </w:rPr>
        <w:tab/>
        <w:t xml:space="preserve">Steven </w:t>
      </w:r>
      <w:proofErr w:type="spellStart"/>
      <w:r w:rsidRPr="00901DDE">
        <w:rPr>
          <w:rStyle w:val="SCCCounselNameChar"/>
          <w:lang w:val="fr-CA"/>
        </w:rPr>
        <w:t>Barrett</w:t>
      </w:r>
      <w:proofErr w:type="spellEnd"/>
      <w:r w:rsidRPr="00901DDE">
        <w:rPr>
          <w:rStyle w:val="SCCCounselSeparatorChar"/>
          <w:lang w:val="fr-CA"/>
        </w:rPr>
        <w:t xml:space="preserve"> et </w:t>
      </w:r>
      <w:r w:rsidRPr="00901DDE">
        <w:rPr>
          <w:rStyle w:val="SCCCounselNameChar"/>
          <w:lang w:val="fr-CA"/>
        </w:rPr>
        <w:t xml:space="preserve">Ethan </w:t>
      </w:r>
      <w:proofErr w:type="spellStart"/>
      <w:r w:rsidRPr="00901DDE">
        <w:rPr>
          <w:rStyle w:val="SCCCounselNameChar"/>
          <w:lang w:val="fr-CA"/>
        </w:rPr>
        <w:t>Poskanzer</w:t>
      </w:r>
      <w:proofErr w:type="spellEnd"/>
      <w:r w:rsidRPr="00901DDE">
        <w:rPr>
          <w:rStyle w:val="SCCCounselPartyRoleChar"/>
          <w:lang w:val="fr-CA"/>
        </w:rPr>
        <w:t>, pour l’intervenant</w:t>
      </w:r>
      <w:r w:rsidR="002B11DD" w:rsidRPr="00901DDE">
        <w:rPr>
          <w:rStyle w:val="SCCCounselPartyRoleChar"/>
          <w:lang w:val="fr-CA"/>
        </w:rPr>
        <w:t xml:space="preserve"> le</w:t>
      </w:r>
      <w:r w:rsidRPr="00901DDE">
        <w:rPr>
          <w:rStyle w:val="SCCCounselPartyRoleChar"/>
          <w:lang w:val="fr-CA"/>
        </w:rPr>
        <w:t xml:space="preserve"> Congrès du travail du Canada.</w:t>
      </w:r>
    </w:p>
    <w:p w:rsidR="00475613" w:rsidRPr="00901DDE" w:rsidRDefault="00276982" w:rsidP="00795B2B">
      <w:pPr>
        <w:pStyle w:val="SCCNormalDoubleSpacing"/>
        <w:spacing w:after="480"/>
        <w:rPr>
          <w:lang w:val="fr-CA"/>
        </w:rPr>
      </w:pPr>
      <w:r w:rsidRPr="00901DDE">
        <w:rPr>
          <w:rStyle w:val="SCCCounselNameChar"/>
          <w:lang w:val="fr-CA"/>
        </w:rPr>
        <w:tab/>
      </w:r>
      <w:proofErr w:type="spellStart"/>
      <w:r w:rsidR="002B11DD" w:rsidRPr="00901DDE">
        <w:rPr>
          <w:rStyle w:val="SCCCounselNameChar"/>
          <w:lang w:val="fr-CA"/>
        </w:rPr>
        <w:t>Ranjan</w:t>
      </w:r>
      <w:proofErr w:type="spellEnd"/>
      <w:r w:rsidR="00795B2B">
        <w:rPr>
          <w:rStyle w:val="SCCCounselNameChar"/>
          <w:lang w:val="fr-CA"/>
        </w:rPr>
        <w:t xml:space="preserve"> </w:t>
      </w:r>
      <w:r w:rsidRPr="00901DDE">
        <w:rPr>
          <w:rStyle w:val="SCCCounselNameChar"/>
          <w:lang w:val="fr-CA"/>
        </w:rPr>
        <w:t xml:space="preserve">K. </w:t>
      </w:r>
      <w:proofErr w:type="spellStart"/>
      <w:r w:rsidRPr="00901DDE">
        <w:rPr>
          <w:rStyle w:val="SCCCounselNameChar"/>
          <w:lang w:val="fr-CA"/>
        </w:rPr>
        <w:t>Agarwal</w:t>
      </w:r>
      <w:proofErr w:type="spellEnd"/>
      <w:r w:rsidRPr="00901DDE">
        <w:rPr>
          <w:rStyle w:val="SCCCounselSeparatorChar"/>
          <w:lang w:val="fr-CA"/>
        </w:rPr>
        <w:t xml:space="preserve"> et </w:t>
      </w:r>
      <w:r w:rsidRPr="00901DDE">
        <w:rPr>
          <w:rStyle w:val="SCCCounselNameChar"/>
          <w:lang w:val="fr-CA"/>
        </w:rPr>
        <w:t>Ashley</w:t>
      </w:r>
      <w:r w:rsidR="00795B2B">
        <w:rPr>
          <w:rStyle w:val="SCCCounselNameChar"/>
          <w:lang w:val="fr-CA"/>
        </w:rPr>
        <w:t xml:space="preserve"> </w:t>
      </w:r>
      <w:r w:rsidR="002B11DD" w:rsidRPr="00901DDE">
        <w:rPr>
          <w:rStyle w:val="SCCCounselNameChar"/>
          <w:lang w:val="fr-CA"/>
        </w:rPr>
        <w:t>L.</w:t>
      </w:r>
      <w:r w:rsidRPr="00901DDE">
        <w:rPr>
          <w:rStyle w:val="SCCCounselNameChar"/>
          <w:lang w:val="fr-CA"/>
        </w:rPr>
        <w:t xml:space="preserve"> Paterson</w:t>
      </w:r>
      <w:r w:rsidRPr="00901DDE">
        <w:rPr>
          <w:rStyle w:val="SCCCounselPartyRoleChar"/>
          <w:lang w:val="fr-CA"/>
        </w:rPr>
        <w:t xml:space="preserve">, pour l’intervenante </w:t>
      </w:r>
      <w:r w:rsidR="002B11DD" w:rsidRPr="00901DDE">
        <w:rPr>
          <w:rStyle w:val="SCCCounselPartyRoleChar"/>
          <w:lang w:val="fr-CA"/>
        </w:rPr>
        <w:t>l’</w:t>
      </w:r>
      <w:r w:rsidRPr="00901DDE">
        <w:rPr>
          <w:rStyle w:val="SCCCounselPartyRoleChar"/>
          <w:lang w:val="fr-CA"/>
        </w:rPr>
        <w:t>Association canadienne des libertés civiles.</w:t>
      </w:r>
    </w:p>
    <w:p w:rsidR="00475613" w:rsidRPr="00901DDE" w:rsidRDefault="00276982" w:rsidP="00795B2B">
      <w:pPr>
        <w:pStyle w:val="SCCNormalDoubleSpacing"/>
        <w:spacing w:after="480"/>
        <w:rPr>
          <w:lang w:val="fr-CA"/>
        </w:rPr>
      </w:pPr>
      <w:r w:rsidRPr="00901DDE">
        <w:rPr>
          <w:rStyle w:val="SCCCounselNameChar"/>
          <w:lang w:val="fr-CA"/>
        </w:rPr>
        <w:tab/>
        <w:t xml:space="preserve">Andrew </w:t>
      </w:r>
      <w:proofErr w:type="spellStart"/>
      <w:r w:rsidRPr="00901DDE">
        <w:rPr>
          <w:rStyle w:val="SCCCounselNameChar"/>
          <w:lang w:val="fr-CA"/>
        </w:rPr>
        <w:t>Raven</w:t>
      </w:r>
      <w:proofErr w:type="spellEnd"/>
      <w:r w:rsidRPr="00901DDE">
        <w:rPr>
          <w:rStyle w:val="SCCCounselSeparatorChar"/>
          <w:lang w:val="fr-CA"/>
        </w:rPr>
        <w:t xml:space="preserve">, </w:t>
      </w:r>
      <w:r w:rsidRPr="00901DDE">
        <w:rPr>
          <w:rStyle w:val="SCCCounselNameChar"/>
          <w:lang w:val="fr-CA"/>
        </w:rPr>
        <w:t xml:space="preserve">Andrew </w:t>
      </w:r>
      <w:proofErr w:type="spellStart"/>
      <w:r w:rsidRPr="00901DDE">
        <w:rPr>
          <w:rStyle w:val="SCCCounselNameChar"/>
          <w:lang w:val="fr-CA"/>
        </w:rPr>
        <w:t>Astritis</w:t>
      </w:r>
      <w:proofErr w:type="spellEnd"/>
      <w:r w:rsidRPr="00901DDE">
        <w:rPr>
          <w:rStyle w:val="SCCCounselSeparatorChar"/>
          <w:lang w:val="fr-CA"/>
        </w:rPr>
        <w:t xml:space="preserve"> et </w:t>
      </w:r>
      <w:r w:rsidRPr="00901DDE">
        <w:rPr>
          <w:rStyle w:val="SCCCounselNameChar"/>
          <w:lang w:val="fr-CA"/>
        </w:rPr>
        <w:t>Morgan Rowe</w:t>
      </w:r>
      <w:r w:rsidRPr="00901DDE">
        <w:rPr>
          <w:rStyle w:val="SCCCounselPartyRoleChar"/>
          <w:lang w:val="fr-CA"/>
        </w:rPr>
        <w:t xml:space="preserve">, pour l’intervenante </w:t>
      </w:r>
      <w:r w:rsidR="002B11DD" w:rsidRPr="00901DDE">
        <w:rPr>
          <w:rStyle w:val="SCCCounselPartyRoleChar"/>
          <w:lang w:val="fr-CA"/>
        </w:rPr>
        <w:t>l’</w:t>
      </w:r>
      <w:r w:rsidRPr="00901DDE">
        <w:rPr>
          <w:rStyle w:val="SCCCounselPartyRoleChar"/>
          <w:lang w:val="fr-CA"/>
        </w:rPr>
        <w:t>Alliance de la Fonction publique du Canada.</w:t>
      </w:r>
    </w:p>
    <w:p w:rsidR="00475613" w:rsidRPr="00901DDE" w:rsidRDefault="002B11DD" w:rsidP="00795B2B">
      <w:pPr>
        <w:pStyle w:val="SCCNormalDoubleSpacing"/>
        <w:spacing w:after="480"/>
        <w:rPr>
          <w:lang w:val="fr-CA"/>
        </w:rPr>
      </w:pPr>
      <w:r w:rsidRPr="00901DDE">
        <w:rPr>
          <w:rStyle w:val="SCCCounselNameChar"/>
          <w:lang w:val="fr-CA"/>
        </w:rPr>
        <w:tab/>
        <w:t>Lindsay</w:t>
      </w:r>
      <w:r w:rsidR="00795B2B">
        <w:rPr>
          <w:rStyle w:val="SCCCounselNameChar"/>
          <w:lang w:val="fr-CA"/>
        </w:rPr>
        <w:t xml:space="preserve"> </w:t>
      </w:r>
      <w:r w:rsidR="00276982" w:rsidRPr="00901DDE">
        <w:rPr>
          <w:rStyle w:val="SCCCounselNameChar"/>
          <w:lang w:val="fr-CA"/>
        </w:rPr>
        <w:t xml:space="preserve">M. </w:t>
      </w:r>
      <w:proofErr w:type="spellStart"/>
      <w:r w:rsidR="00276982" w:rsidRPr="00901DDE">
        <w:rPr>
          <w:rStyle w:val="SCCCounselNameChar"/>
          <w:lang w:val="fr-CA"/>
        </w:rPr>
        <w:t>Lyster</w:t>
      </w:r>
      <w:proofErr w:type="spellEnd"/>
      <w:r w:rsidR="00276982" w:rsidRPr="00901DDE">
        <w:rPr>
          <w:rStyle w:val="SCCCounselPartyRoleChar"/>
          <w:lang w:val="fr-CA"/>
        </w:rPr>
        <w:t>, pour l’intervenante</w:t>
      </w:r>
      <w:r w:rsidRPr="00901DDE">
        <w:rPr>
          <w:rStyle w:val="SCCCounselPartyRoleChar"/>
          <w:lang w:val="fr-CA"/>
        </w:rPr>
        <w:t xml:space="preserve"> l’</w:t>
      </w:r>
      <w:r w:rsidRPr="00901DDE">
        <w:rPr>
          <w:lang w:val="fr-CA"/>
        </w:rPr>
        <w:t>Association des libertés civiles de la Colombie</w:t>
      </w:r>
      <w:r w:rsidR="00795B2B">
        <w:rPr>
          <w:lang w:val="fr-CA"/>
        </w:rPr>
        <w:t>-</w:t>
      </w:r>
      <w:r w:rsidRPr="00901DDE">
        <w:rPr>
          <w:lang w:val="fr-CA"/>
        </w:rPr>
        <w:t>Britannique</w:t>
      </w:r>
      <w:r w:rsidR="00276982" w:rsidRPr="00901DDE">
        <w:rPr>
          <w:rStyle w:val="SCCCounselPartyRoleChar"/>
          <w:lang w:val="fr-CA"/>
        </w:rPr>
        <w:t>.</w:t>
      </w:r>
    </w:p>
    <w:p w:rsidR="00D15CF4" w:rsidRDefault="005E4D9F" w:rsidP="00795B2B">
      <w:pPr>
        <w:pStyle w:val="SCCNormalDoubleSpacing"/>
        <w:spacing w:after="480"/>
        <w:rPr>
          <w:lang w:val="fr-CA"/>
        </w:rPr>
      </w:pPr>
      <w:r>
        <w:rPr>
          <w:lang w:val="fr-CA"/>
        </w:rPr>
        <w:lastRenderedPageBreak/>
        <w:tab/>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Abella, Cromwell, </w:t>
      </w:r>
      <w:proofErr w:type="spellStart"/>
      <w:r>
        <w:rPr>
          <w:lang w:val="fr-CA"/>
        </w:rPr>
        <w:t>Karakatsanis</w:t>
      </w:r>
      <w:proofErr w:type="spellEnd"/>
      <w:r>
        <w:rPr>
          <w:lang w:val="fr-CA"/>
        </w:rPr>
        <w:t xml:space="preserve"> et Wagner rendu par</w:t>
      </w:r>
    </w:p>
    <w:p w:rsidR="007B74A6" w:rsidRPr="00AF17C2" w:rsidRDefault="007B74A6" w:rsidP="00795B2B">
      <w:pPr>
        <w:pStyle w:val="JudgeJuge"/>
        <w:spacing w:before="240"/>
        <w:outlineLvl w:val="0"/>
        <w:rPr>
          <w:lang w:val="fr-CA"/>
        </w:rPr>
      </w:pPr>
      <w:r w:rsidRPr="00AF17C2">
        <w:rPr>
          <w:lang w:val="fr-CA"/>
        </w:rPr>
        <w:tab/>
        <w:t xml:space="preserve">La Juge en chef et le juge </w:t>
      </w:r>
      <w:proofErr w:type="spellStart"/>
      <w:r w:rsidRPr="00AF17C2">
        <w:rPr>
          <w:lang w:val="fr-CA"/>
        </w:rPr>
        <w:t>LeBel</w:t>
      </w:r>
      <w:proofErr w:type="spellEnd"/>
      <w:r w:rsidRPr="00AF17C2">
        <w:rPr>
          <w:lang w:val="fr-CA"/>
        </w:rPr>
        <w:t xml:space="preserve"> — </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Introduction</w:t>
      </w:r>
    </w:p>
    <w:p w:rsidR="007B74A6" w:rsidRPr="00AF17C2" w:rsidRDefault="007B74A6" w:rsidP="00795B2B">
      <w:pPr>
        <w:pStyle w:val="ParaNoNdepar-AltN"/>
        <w:rPr>
          <w:rFonts w:cs="Times New Roman"/>
          <w:lang w:val="fr-CA"/>
        </w:rPr>
      </w:pPr>
      <w:r w:rsidRPr="00AF17C2">
        <w:rPr>
          <w:rFonts w:cs="Times New Roman"/>
          <w:lang w:val="fr-CA"/>
        </w:rPr>
        <w:t>Dans le présent pourvoi, nous sommes appelés à décider si l</w:t>
      </w:r>
      <w:r>
        <w:rPr>
          <w:rFonts w:cs="Times New Roman"/>
          <w:lang w:val="fr-CA"/>
        </w:rPr>
        <w:t>’</w:t>
      </w:r>
      <w:r w:rsidRPr="00AF17C2">
        <w:rPr>
          <w:rFonts w:cs="Times New Roman"/>
          <w:lang w:val="fr-CA"/>
        </w:rPr>
        <w:t>exclusion des membres de la Gendarmerie royale du Canada (</w:t>
      </w:r>
      <w:r w:rsidR="00795B2B">
        <w:rPr>
          <w:rFonts w:cs="Times New Roman"/>
          <w:lang w:val="fr-CA"/>
        </w:rPr>
        <w:t>« </w:t>
      </w:r>
      <w:r w:rsidRPr="00AF17C2">
        <w:rPr>
          <w:rFonts w:cs="Times New Roman"/>
          <w:lang w:val="fr-CA"/>
        </w:rPr>
        <w:t>GRC</w:t>
      </w:r>
      <w:r w:rsidR="00795B2B">
        <w:rPr>
          <w:rFonts w:cs="Times New Roman"/>
          <w:lang w:val="fr-CA"/>
        </w:rPr>
        <w:t> »</w:t>
      </w:r>
      <w:r w:rsidRPr="00AF17C2">
        <w:rPr>
          <w:rFonts w:cs="Times New Roman"/>
          <w:lang w:val="fr-CA"/>
        </w:rPr>
        <w:t xml:space="preserve">) du régime de négociation collective établi par la version actuelle de la </w:t>
      </w:r>
      <w:r w:rsidRPr="00AF17C2">
        <w:rPr>
          <w:rFonts w:cs="Times New Roman"/>
          <w:i/>
          <w:lang w:val="fr-CA"/>
        </w:rPr>
        <w:t>Loi sur les relations de travail dans la fonction publique</w:t>
      </w:r>
      <w:r w:rsidRPr="00AF17C2">
        <w:rPr>
          <w:rFonts w:cs="Times New Roman"/>
          <w:lang w:val="fr-CA"/>
        </w:rPr>
        <w:t xml:space="preserve">, édictée par la </w:t>
      </w:r>
      <w:r w:rsidRPr="00AF17C2">
        <w:rPr>
          <w:rFonts w:cs="Times New Roman"/>
          <w:i/>
          <w:lang w:val="fr-CA"/>
        </w:rPr>
        <w:t>Loi sur la modernisation de la fonction publique</w:t>
      </w:r>
      <w:r w:rsidRPr="00AF17C2">
        <w:rPr>
          <w:rFonts w:cs="Times New Roman"/>
          <w:lang w:val="fr-CA"/>
        </w:rPr>
        <w:t>, L.C.</w:t>
      </w:r>
      <w:r w:rsidR="00795B2B">
        <w:rPr>
          <w:rFonts w:cs="Times New Roman"/>
          <w:lang w:val="fr-CA"/>
        </w:rPr>
        <w:t xml:space="preserve"> </w:t>
      </w:r>
      <w:r w:rsidRPr="00AF17C2">
        <w:rPr>
          <w:rFonts w:cs="Times New Roman"/>
          <w:lang w:val="fr-CA"/>
        </w:rPr>
        <w:t>2003, c.</w:t>
      </w:r>
      <w:r w:rsidR="00795B2B">
        <w:rPr>
          <w:rFonts w:cs="Times New Roman"/>
          <w:lang w:val="fr-CA"/>
        </w:rPr>
        <w:t xml:space="preserve"> </w:t>
      </w:r>
      <w:r w:rsidRPr="00AF17C2">
        <w:rPr>
          <w:rFonts w:cs="Times New Roman"/>
          <w:lang w:val="fr-CA"/>
        </w:rPr>
        <w:t>22, art.</w:t>
      </w:r>
      <w:r w:rsidR="00795B2B">
        <w:rPr>
          <w:rFonts w:cs="Times New Roman"/>
          <w:lang w:val="fr-CA"/>
        </w:rPr>
        <w:t xml:space="preserve"> </w:t>
      </w:r>
      <w:r w:rsidRPr="00AF17C2">
        <w:rPr>
          <w:rFonts w:cs="Times New Roman"/>
          <w:lang w:val="fr-CA"/>
        </w:rPr>
        <w:t>2 (</w:t>
      </w:r>
      <w:r w:rsidR="00795B2B">
        <w:rPr>
          <w:rFonts w:cs="Times New Roman"/>
          <w:lang w:val="fr-CA"/>
        </w:rPr>
        <w:t>« </w:t>
      </w:r>
      <w:r w:rsidRPr="00AF17C2">
        <w:rPr>
          <w:rFonts w:cs="Times New Roman"/>
          <w:i/>
          <w:lang w:val="fr-CA"/>
        </w:rPr>
        <w:t xml:space="preserve">LRTFP </w:t>
      </w:r>
      <w:r w:rsidRPr="00AF17C2">
        <w:rPr>
          <w:rFonts w:cs="Times New Roman"/>
          <w:lang w:val="fr-CA"/>
        </w:rPr>
        <w:t>actuelle</w:t>
      </w:r>
      <w:r w:rsidR="00795B2B">
        <w:rPr>
          <w:rFonts w:cs="Times New Roman"/>
          <w:lang w:val="fr-CA"/>
        </w:rPr>
        <w:t> »</w:t>
      </w:r>
      <w:r w:rsidRPr="00AF17C2">
        <w:rPr>
          <w:rFonts w:cs="Times New Roman"/>
          <w:lang w:val="fr-CA"/>
        </w:rPr>
        <w:t>)</w:t>
      </w:r>
      <w:r w:rsidR="00D60A3E">
        <w:rPr>
          <w:rFonts w:cs="Times New Roman"/>
          <w:lang w:val="fr-CA"/>
        </w:rPr>
        <w:t>,</w:t>
      </w:r>
      <w:r w:rsidRPr="00AF17C2">
        <w:rPr>
          <w:rFonts w:cs="Times New Roman"/>
          <w:lang w:val="fr-CA"/>
        </w:rPr>
        <w:t xml:space="preserve"> et si l</w:t>
      </w:r>
      <w:r>
        <w:rPr>
          <w:rFonts w:cs="Times New Roman"/>
          <w:lang w:val="fr-CA"/>
        </w:rPr>
        <w:t>’</w:t>
      </w:r>
      <w:r w:rsidRPr="00AF17C2">
        <w:rPr>
          <w:rFonts w:cs="Times New Roman"/>
          <w:lang w:val="fr-CA"/>
        </w:rPr>
        <w:t>imposition d</w:t>
      </w:r>
      <w:r>
        <w:rPr>
          <w:rFonts w:cs="Times New Roman"/>
          <w:lang w:val="fr-CA"/>
        </w:rPr>
        <w:t>’</w:t>
      </w:r>
      <w:r w:rsidRPr="00AF17C2">
        <w:rPr>
          <w:rFonts w:cs="Times New Roman"/>
          <w:lang w:val="fr-CA"/>
        </w:rPr>
        <w:t>un régime non syndical de relations du travail porte atteinte à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 canadienne des droits et libertés</w:t>
      </w:r>
      <w:r w:rsidRPr="00AF17C2">
        <w:rPr>
          <w:rFonts w:cs="Times New Roman"/>
          <w:lang w:val="fr-CA"/>
        </w:rPr>
        <w:t>. Pour ce faire, nous devons examiner la nature du droit protégé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ainsi que l</w:t>
      </w:r>
      <w:r>
        <w:rPr>
          <w:rFonts w:cs="Times New Roman"/>
          <w:lang w:val="fr-CA"/>
        </w:rPr>
        <w:t>’</w:t>
      </w:r>
      <w:r w:rsidRPr="00AF17C2">
        <w:rPr>
          <w:rFonts w:cs="Times New Roman"/>
          <w:lang w:val="fr-CA"/>
        </w:rPr>
        <w:t>interprétation qui en a été donnée,</w:t>
      </w:r>
      <w:r w:rsidRPr="00AF17C2">
        <w:rPr>
          <w:rFonts w:cs="Times New Roman"/>
          <w:i/>
          <w:lang w:val="fr-CA"/>
        </w:rPr>
        <w:t xml:space="preserve"> </w:t>
      </w:r>
      <w:r w:rsidRPr="00AF17C2">
        <w:rPr>
          <w:rFonts w:cs="Times New Roman"/>
          <w:lang w:val="fr-CA"/>
        </w:rPr>
        <w:t xml:space="preserve">et préciser la portée de la protection constitutionnelle accordée à la négociation collective par les arrêts </w:t>
      </w:r>
      <w:proofErr w:type="spellStart"/>
      <w:r w:rsidRPr="00AF17C2">
        <w:rPr>
          <w:rFonts w:cs="Times New Roman"/>
          <w:i/>
          <w:lang w:val="fr-CA"/>
        </w:rPr>
        <w:t>Health</w:t>
      </w:r>
      <w:proofErr w:type="spellEnd"/>
      <w:r w:rsidRPr="00AF17C2">
        <w:rPr>
          <w:rFonts w:cs="Times New Roman"/>
          <w:i/>
          <w:lang w:val="fr-CA"/>
        </w:rPr>
        <w:t xml:space="preserve"> Services and Support — </w:t>
      </w:r>
      <w:proofErr w:type="spellStart"/>
      <w:r w:rsidRPr="00AF17C2">
        <w:rPr>
          <w:rFonts w:cs="Times New Roman"/>
          <w:i/>
          <w:lang w:val="fr-CA"/>
        </w:rPr>
        <w:t>Facilities</w:t>
      </w:r>
      <w:proofErr w:type="spellEnd"/>
      <w:r w:rsidRPr="00AF17C2">
        <w:rPr>
          <w:rFonts w:cs="Times New Roman"/>
          <w:i/>
          <w:lang w:val="fr-CA"/>
        </w:rPr>
        <w:t xml:space="preserve"> </w:t>
      </w:r>
      <w:proofErr w:type="spellStart"/>
      <w:r w:rsidRPr="00AF17C2">
        <w:rPr>
          <w:rFonts w:cs="Times New Roman"/>
          <w:i/>
          <w:lang w:val="fr-CA"/>
        </w:rPr>
        <w:t>Subsector</w:t>
      </w:r>
      <w:proofErr w:type="spellEnd"/>
      <w:r w:rsidRPr="00AF17C2">
        <w:rPr>
          <w:rFonts w:cs="Times New Roman"/>
          <w:i/>
          <w:lang w:val="fr-CA"/>
        </w:rPr>
        <w:t xml:space="preserve"> </w:t>
      </w:r>
      <w:proofErr w:type="spellStart"/>
      <w:r w:rsidRPr="00AF17C2">
        <w:rPr>
          <w:rFonts w:cs="Times New Roman"/>
          <w:i/>
          <w:lang w:val="fr-CA"/>
        </w:rPr>
        <w:t>Bargaining</w:t>
      </w:r>
      <w:proofErr w:type="spellEnd"/>
      <w:r w:rsidRPr="00AF17C2">
        <w:rPr>
          <w:rFonts w:cs="Times New Roman"/>
          <w:i/>
          <w:lang w:val="fr-CA"/>
        </w:rPr>
        <w:t xml:space="preserve"> </w:t>
      </w:r>
      <w:proofErr w:type="spellStart"/>
      <w:r w:rsidRPr="00AF17C2">
        <w:rPr>
          <w:rFonts w:cs="Times New Roman"/>
          <w:i/>
          <w:lang w:val="fr-CA"/>
        </w:rPr>
        <w:t>Assn</w:t>
      </w:r>
      <w:proofErr w:type="spellEnd"/>
      <w:r w:rsidRPr="00AF17C2">
        <w:rPr>
          <w:rFonts w:cs="Times New Roman"/>
          <w:i/>
          <w:lang w:val="fr-CA"/>
        </w:rPr>
        <w:t>. c. Colombie</w:t>
      </w:r>
      <w:r w:rsidR="00795B2B">
        <w:rPr>
          <w:rFonts w:cs="Times New Roman"/>
          <w:i/>
          <w:lang w:val="fr-CA"/>
        </w:rPr>
        <w:t>-</w:t>
      </w:r>
      <w:r w:rsidRPr="00AF17C2">
        <w:rPr>
          <w:rFonts w:cs="Times New Roman"/>
          <w:i/>
          <w:lang w:val="fr-CA"/>
        </w:rPr>
        <w:t>Britannique</w:t>
      </w:r>
      <w:r w:rsidRPr="00AF17C2">
        <w:rPr>
          <w:rFonts w:cs="Times New Roman"/>
          <w:lang w:val="fr-CA"/>
        </w:rPr>
        <w:t>, 2007 CSC</w:t>
      </w:r>
      <w:r w:rsidR="00795B2B">
        <w:rPr>
          <w:rFonts w:cs="Times New Roman"/>
          <w:lang w:val="fr-CA"/>
        </w:rPr>
        <w:t xml:space="preserve"> </w:t>
      </w:r>
      <w:r w:rsidRPr="00AF17C2">
        <w:rPr>
          <w:rFonts w:cs="Times New Roman"/>
          <w:lang w:val="fr-CA"/>
        </w:rPr>
        <w:t>27, [2007] 2 R.C.S.</w:t>
      </w:r>
      <w:r w:rsidR="00795B2B">
        <w:rPr>
          <w:rFonts w:cs="Times New Roman"/>
          <w:lang w:val="fr-CA"/>
        </w:rPr>
        <w:t xml:space="preserve"> </w:t>
      </w:r>
      <w:r w:rsidRPr="00AF17C2">
        <w:rPr>
          <w:rFonts w:cs="Times New Roman"/>
          <w:lang w:val="fr-CA"/>
        </w:rPr>
        <w:t xml:space="preserve">391, et </w:t>
      </w:r>
      <w:r w:rsidRPr="00AF17C2">
        <w:rPr>
          <w:rFonts w:cs="Times New Roman"/>
          <w:i/>
          <w:lang w:val="fr-CA"/>
        </w:rPr>
        <w:t>Ontario (Procureur général) c. Fraser</w:t>
      </w:r>
      <w:r w:rsidRPr="00AF17C2">
        <w:rPr>
          <w:rFonts w:cs="Times New Roman"/>
          <w:lang w:val="fr-CA"/>
        </w:rPr>
        <w:t>, 2011 CSC 20, [2011] 2 R.C.S.</w:t>
      </w:r>
      <w:r w:rsidR="00795B2B">
        <w:rPr>
          <w:rFonts w:cs="Times New Roman"/>
          <w:lang w:val="fr-CA"/>
        </w:rPr>
        <w:t xml:space="preserve"> </w:t>
      </w:r>
      <w:r w:rsidRPr="00AF17C2">
        <w:rPr>
          <w:rFonts w:cs="Times New Roman"/>
          <w:lang w:val="fr-CA"/>
        </w:rPr>
        <w:t>3.</w:t>
      </w:r>
    </w:p>
    <w:p w:rsidR="007B74A6" w:rsidRPr="00AF17C2" w:rsidRDefault="007B74A6" w:rsidP="00795B2B">
      <w:pPr>
        <w:pStyle w:val="ParaNoNdepar-AltN"/>
        <w:rPr>
          <w:rFonts w:cs="Times New Roman"/>
          <w:lang w:val="fr-CA"/>
        </w:rPr>
      </w:pPr>
      <w:r w:rsidRPr="00AF17C2">
        <w:rPr>
          <w:rFonts w:cs="Times New Roman"/>
          <w:lang w:val="fr-CA"/>
        </w:rPr>
        <w:t>Les membres de la GRC ne peuvent ni se syndiquer ni négocier collectivement. Ils sont exclus de l</w:t>
      </w:r>
      <w:r>
        <w:rPr>
          <w:rFonts w:cs="Times New Roman"/>
          <w:lang w:val="fr-CA"/>
        </w:rPr>
        <w:t>’</w:t>
      </w:r>
      <w:r w:rsidRPr="00AF17C2">
        <w:rPr>
          <w:rFonts w:cs="Times New Roman"/>
          <w:lang w:val="fr-CA"/>
        </w:rPr>
        <w:t xml:space="preserve">application de la </w:t>
      </w:r>
      <w:r w:rsidRPr="00AF17C2">
        <w:rPr>
          <w:rFonts w:cs="Times New Roman"/>
          <w:i/>
          <w:lang w:val="fr-CA"/>
        </w:rPr>
        <w:t>LRTFP</w:t>
      </w:r>
      <w:r w:rsidRPr="00AF17C2">
        <w:rPr>
          <w:rFonts w:cs="Times New Roman"/>
          <w:lang w:val="fr-CA"/>
        </w:rPr>
        <w:t xml:space="preserve"> actuelle et de la loi antérieure à cette dernière depuis que la négociation collective a été instaurée dans la fonction publique fédérale à la fin des années 1960. Ils se trouvent plutôt assujettis à un régime non syndical de relations de travail reposant sur trois éléments principaux. </w:t>
      </w:r>
      <w:r w:rsidRPr="00AF17C2">
        <w:rPr>
          <w:rFonts w:cs="Times New Roman"/>
          <w:lang w:val="fr-CA"/>
        </w:rPr>
        <w:lastRenderedPageBreak/>
        <w:t>Tout d</w:t>
      </w:r>
      <w:r>
        <w:rPr>
          <w:rFonts w:cs="Times New Roman"/>
          <w:lang w:val="fr-CA"/>
        </w:rPr>
        <w:t>’</w:t>
      </w:r>
      <w:r w:rsidRPr="00AF17C2">
        <w:rPr>
          <w:rFonts w:cs="Times New Roman"/>
          <w:lang w:val="fr-CA"/>
        </w:rPr>
        <w:t>abord, les membres peuvent faire valoir leurs préoccupations à propos de leurs conditions de travail par l</w:t>
      </w:r>
      <w:r>
        <w:rPr>
          <w:rFonts w:cs="Times New Roman"/>
          <w:lang w:val="fr-CA"/>
        </w:rPr>
        <w:t>’</w:t>
      </w:r>
      <w:r w:rsidRPr="00AF17C2">
        <w:rPr>
          <w:rFonts w:cs="Times New Roman"/>
          <w:lang w:val="fr-CA"/>
        </w:rPr>
        <w:t>entremise du Programme de représentants des relations fonctionnelles (</w:t>
      </w:r>
      <w:r w:rsidR="00795B2B">
        <w:rPr>
          <w:rFonts w:cs="Times New Roman"/>
          <w:lang w:val="fr-CA"/>
        </w:rPr>
        <w:t>« </w:t>
      </w:r>
      <w:r w:rsidRPr="00AF17C2">
        <w:rPr>
          <w:rFonts w:cs="Times New Roman"/>
          <w:lang w:val="fr-CA"/>
        </w:rPr>
        <w:t>PRRF</w:t>
      </w:r>
      <w:r w:rsidR="00795B2B">
        <w:rPr>
          <w:rFonts w:cs="Times New Roman"/>
          <w:lang w:val="fr-CA"/>
        </w:rPr>
        <w:t> »</w:t>
      </w:r>
      <w:r w:rsidRPr="00AF17C2">
        <w:rPr>
          <w:rFonts w:cs="Times New Roman"/>
          <w:lang w:val="fr-CA"/>
        </w:rPr>
        <w:t xml:space="preserve">). Ensuite, leurs représentations quant aux questions de nature salariale et quant à leurs avantages sociaux sont transmises à la direction grâce au Conseil de la solde de la GRC. Enfin, les membres de la GRC ont créé le Fonds de recours juridique </w:t>
      </w:r>
      <w:r>
        <w:rPr>
          <w:rFonts w:cs="Times New Roman"/>
          <w:lang w:val="fr-CA"/>
        </w:rPr>
        <w:t>des membres de la Gendarmerie (</w:t>
      </w:r>
      <w:r w:rsidR="00795B2B">
        <w:rPr>
          <w:rFonts w:cs="Times New Roman"/>
          <w:lang w:val="fr-CA"/>
        </w:rPr>
        <w:t>« </w:t>
      </w:r>
      <w:r>
        <w:rPr>
          <w:rFonts w:cs="Times New Roman"/>
          <w:lang w:val="fr-CA"/>
        </w:rPr>
        <w:t>Fonds de recours juridique</w:t>
      </w:r>
      <w:r w:rsidR="00795B2B">
        <w:rPr>
          <w:rFonts w:cs="Times New Roman"/>
          <w:lang w:val="fr-CA"/>
        </w:rPr>
        <w:t> »</w:t>
      </w:r>
      <w:r>
        <w:rPr>
          <w:rFonts w:cs="Times New Roman"/>
          <w:lang w:val="fr-CA"/>
        </w:rPr>
        <w:t xml:space="preserve">) </w:t>
      </w:r>
      <w:r w:rsidRPr="00AF17C2">
        <w:rPr>
          <w:rFonts w:cs="Times New Roman"/>
          <w:lang w:val="fr-CA"/>
        </w:rPr>
        <w:t>— société à but non lucratif financée par leurs cotisations — qui leur fournit de l</w:t>
      </w:r>
      <w:r>
        <w:rPr>
          <w:rFonts w:cs="Times New Roman"/>
          <w:lang w:val="fr-CA"/>
        </w:rPr>
        <w:t>’</w:t>
      </w:r>
      <w:r w:rsidRPr="00AF17C2">
        <w:rPr>
          <w:rFonts w:cs="Times New Roman"/>
          <w:lang w:val="fr-CA"/>
        </w:rPr>
        <w:t xml:space="preserve">assistance juridique pour les questions relatives à leur emploi. </w:t>
      </w:r>
    </w:p>
    <w:p w:rsidR="007B74A6" w:rsidRPr="00AF17C2" w:rsidRDefault="007B74A6" w:rsidP="00795B2B">
      <w:pPr>
        <w:pStyle w:val="ParaNoNdepar-AltN"/>
        <w:rPr>
          <w:rFonts w:cs="Times New Roman"/>
          <w:i/>
          <w:lang w:val="fr-CA"/>
        </w:rPr>
      </w:pPr>
      <w:r w:rsidRPr="00AF17C2">
        <w:rPr>
          <w:rFonts w:cs="Times New Roman"/>
          <w:lang w:val="fr-CA"/>
        </w:rPr>
        <w:t xml:space="preserve">Il y a un peu plus de </w:t>
      </w:r>
      <w:r w:rsidR="005E4D9F">
        <w:rPr>
          <w:rFonts w:cs="Times New Roman"/>
          <w:lang w:val="fr-CA"/>
        </w:rPr>
        <w:t>15</w:t>
      </w:r>
      <w:r w:rsidRPr="00AF17C2">
        <w:rPr>
          <w:rFonts w:cs="Times New Roman"/>
          <w:lang w:val="fr-CA"/>
        </w:rPr>
        <w:t xml:space="preserve"> ans, la Cour a conclu que l</w:t>
      </w:r>
      <w:r>
        <w:rPr>
          <w:rFonts w:cs="Times New Roman"/>
          <w:lang w:val="fr-CA"/>
        </w:rPr>
        <w:t>’</w:t>
      </w:r>
      <w:r w:rsidRPr="00AF17C2">
        <w:rPr>
          <w:rFonts w:cs="Times New Roman"/>
          <w:lang w:val="fr-CA"/>
        </w:rPr>
        <w:t xml:space="preserve">exclusion des membres de la GRC du régime de négociation collective établi par la première </w:t>
      </w:r>
      <w:r w:rsidRPr="00AF17C2">
        <w:rPr>
          <w:rFonts w:cs="Times New Roman"/>
          <w:i/>
          <w:lang w:val="fr-CA"/>
        </w:rPr>
        <w:t>LRTFP</w:t>
      </w:r>
      <w:r w:rsidRPr="00AF17C2">
        <w:rPr>
          <w:rFonts w:cs="Times New Roman"/>
          <w:lang w:val="fr-CA"/>
        </w:rPr>
        <w:t xml:space="preserve"> alors en vigueur ne portait pas atteinte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r w:rsidRPr="00AF17C2">
        <w:rPr>
          <w:rFonts w:cs="Times New Roman"/>
          <w:i/>
          <w:lang w:val="fr-CA"/>
        </w:rPr>
        <w:t>Delisle c. Canada (Sous</w:t>
      </w:r>
      <w:r w:rsidR="00795B2B">
        <w:rPr>
          <w:rFonts w:cs="Times New Roman"/>
          <w:i/>
          <w:lang w:val="fr-CA"/>
        </w:rPr>
        <w:t>-</w:t>
      </w:r>
      <w:r w:rsidRPr="00AF17C2">
        <w:rPr>
          <w:rFonts w:cs="Times New Roman"/>
          <w:i/>
          <w:lang w:val="fr-CA"/>
        </w:rPr>
        <w:t>procureur général)</w:t>
      </w:r>
      <w:r w:rsidRPr="00AF17C2">
        <w:rPr>
          <w:rFonts w:cs="Times New Roman"/>
          <w:lang w:val="fr-CA"/>
        </w:rPr>
        <w:t>, [1999] 2 R.C.S. 989). Dans le présent pourvoi, nous devons réexaminer cette</w:t>
      </w:r>
      <w:r w:rsidR="00A80955">
        <w:rPr>
          <w:rFonts w:cs="Times New Roman"/>
          <w:lang w:val="fr-CA"/>
        </w:rPr>
        <w:t xml:space="preserve"> décision en ce qui a trait à </w:t>
      </w:r>
      <w:r w:rsidR="007B57C5">
        <w:rPr>
          <w:rFonts w:cs="Times New Roman"/>
          <w:lang w:val="fr-CA"/>
        </w:rPr>
        <w:t xml:space="preserve">la </w:t>
      </w:r>
      <w:r w:rsidRPr="00AF17C2">
        <w:rPr>
          <w:rFonts w:cs="Times New Roman"/>
          <w:i/>
          <w:lang w:val="fr-CA"/>
        </w:rPr>
        <w:t>LRTFP</w:t>
      </w:r>
      <w:r w:rsidR="007B57C5">
        <w:rPr>
          <w:rFonts w:cs="Times New Roman"/>
          <w:i/>
          <w:lang w:val="fr-CA"/>
        </w:rPr>
        <w:t xml:space="preserve"> </w:t>
      </w:r>
      <w:r w:rsidR="007B57C5" w:rsidRPr="007B57C5">
        <w:rPr>
          <w:rFonts w:cs="Times New Roman"/>
          <w:lang w:val="fr-CA"/>
        </w:rPr>
        <w:t>actuelle</w:t>
      </w:r>
      <w:r w:rsidRPr="00AF17C2">
        <w:rPr>
          <w:rFonts w:cs="Times New Roman"/>
          <w:lang w:val="fr-CA"/>
        </w:rPr>
        <w:t xml:space="preserve">, même si dans </w:t>
      </w:r>
      <w:r w:rsidR="007B57C5">
        <w:rPr>
          <w:rFonts w:cs="Times New Roman"/>
          <w:lang w:val="fr-CA"/>
        </w:rPr>
        <w:t>l’</w:t>
      </w:r>
      <w:r w:rsidRPr="00AF17C2">
        <w:rPr>
          <w:rFonts w:cs="Times New Roman"/>
          <w:lang w:val="fr-CA"/>
        </w:rPr>
        <w:t>affaire</w:t>
      </w:r>
      <w:r w:rsidR="007B57C5">
        <w:rPr>
          <w:rFonts w:cs="Times New Roman"/>
          <w:lang w:val="fr-CA"/>
        </w:rPr>
        <w:t xml:space="preserve"> </w:t>
      </w:r>
      <w:r w:rsidR="007B57C5" w:rsidRPr="007B57C5">
        <w:rPr>
          <w:rFonts w:cs="Times New Roman"/>
          <w:i/>
          <w:lang w:val="fr-CA"/>
        </w:rPr>
        <w:t>Delisle</w:t>
      </w:r>
      <w:r w:rsidRPr="00AF17C2">
        <w:rPr>
          <w:rFonts w:cs="Times New Roman"/>
          <w:lang w:val="fr-CA"/>
        </w:rPr>
        <w:t>, contrairement à ce qui est en cause en l</w:t>
      </w:r>
      <w:r>
        <w:rPr>
          <w:rFonts w:cs="Times New Roman"/>
          <w:lang w:val="fr-CA"/>
        </w:rPr>
        <w:t>’</w:t>
      </w:r>
      <w:r w:rsidRPr="00AF17C2">
        <w:rPr>
          <w:rFonts w:cs="Times New Roman"/>
          <w:lang w:val="fr-CA"/>
        </w:rPr>
        <w:t>espèce, la valeur constitutionnelle du PRRF n</w:t>
      </w:r>
      <w:r>
        <w:rPr>
          <w:rFonts w:cs="Times New Roman"/>
          <w:lang w:val="fr-CA"/>
        </w:rPr>
        <w:t>’</w:t>
      </w:r>
      <w:r w:rsidRPr="00AF17C2">
        <w:rPr>
          <w:rFonts w:cs="Times New Roman"/>
          <w:lang w:val="fr-CA"/>
        </w:rPr>
        <w:t>était pas directement contestée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00C83334">
        <w:rPr>
          <w:rFonts w:cs="Times New Roman"/>
          <w:lang w:val="fr-CA"/>
        </w:rPr>
        <w:t>34</w:t>
      </w:r>
      <w:r w:rsidRPr="00AF17C2">
        <w:rPr>
          <w:rFonts w:cs="Times New Roman"/>
          <w:lang w:val="fr-CA"/>
        </w:rPr>
        <w:t xml:space="preserve">). </w:t>
      </w:r>
    </w:p>
    <w:p w:rsidR="007B74A6" w:rsidRPr="00AF17C2" w:rsidRDefault="007B74A6" w:rsidP="00795B2B">
      <w:pPr>
        <w:pStyle w:val="ParaNoNdepar-AltN"/>
        <w:rPr>
          <w:rFonts w:cs="Times New Roman"/>
          <w:i/>
          <w:lang w:val="fr-CA"/>
        </w:rPr>
      </w:pPr>
      <w:r w:rsidRPr="00AF17C2">
        <w:rPr>
          <w:rFonts w:cs="Times New Roman"/>
          <w:lang w:val="fr-CA"/>
        </w:rPr>
        <w:t>La présente cause a été entendue en même temps que le pourvoi connexe, formé par deux représentants des relations fonctionnelles (</w:t>
      </w:r>
      <w:r w:rsidR="00795B2B">
        <w:rPr>
          <w:rFonts w:cs="Times New Roman"/>
          <w:lang w:val="fr-CA"/>
        </w:rPr>
        <w:t>« </w:t>
      </w:r>
      <w:r w:rsidRPr="00AF17C2">
        <w:rPr>
          <w:rFonts w:cs="Times New Roman"/>
          <w:lang w:val="fr-CA"/>
        </w:rPr>
        <w:t>RRF</w:t>
      </w:r>
      <w:r w:rsidR="00795B2B">
        <w:rPr>
          <w:rFonts w:cs="Times New Roman"/>
          <w:lang w:val="fr-CA"/>
        </w:rPr>
        <w:t> »</w:t>
      </w:r>
      <w:r w:rsidRPr="00AF17C2">
        <w:rPr>
          <w:rFonts w:cs="Times New Roman"/>
          <w:lang w:val="fr-CA"/>
        </w:rPr>
        <w:t>) au nom de tous les membres de la GRC, pour contester la constitutionnalité des dispositions législatives diminuant les augmentations salariales accordées aux employés de l</w:t>
      </w:r>
      <w:r>
        <w:rPr>
          <w:rFonts w:cs="Times New Roman"/>
          <w:lang w:val="fr-CA"/>
        </w:rPr>
        <w:t>’</w:t>
      </w:r>
      <w:r w:rsidRPr="00AF17C2">
        <w:rPr>
          <w:rFonts w:cs="Times New Roman"/>
          <w:lang w:val="fr-CA"/>
        </w:rPr>
        <w:t>administration fédérale (</w:t>
      </w:r>
      <w:r w:rsidRPr="00AF17C2">
        <w:rPr>
          <w:rFonts w:cs="Times New Roman"/>
          <w:i/>
          <w:lang w:val="fr-CA"/>
        </w:rPr>
        <w:t>Meredith c. Canada (Procureur général)</w:t>
      </w:r>
      <w:r w:rsidRPr="00AF17C2">
        <w:rPr>
          <w:rFonts w:cs="Times New Roman"/>
          <w:lang w:val="fr-CA"/>
        </w:rPr>
        <w:t>,</w:t>
      </w:r>
      <w:r w:rsidRPr="00AF17C2">
        <w:rPr>
          <w:rFonts w:cs="Times New Roman"/>
          <w:i/>
          <w:lang w:val="fr-CA"/>
        </w:rPr>
        <w:t xml:space="preserve"> </w:t>
      </w:r>
      <w:r w:rsidRPr="00AF17C2">
        <w:rPr>
          <w:rFonts w:cs="Times New Roman"/>
          <w:lang w:val="fr-CA"/>
        </w:rPr>
        <w:t>2015 CSC 2</w:t>
      </w:r>
      <w:r w:rsidR="00C83334">
        <w:rPr>
          <w:rFonts w:cs="Times New Roman"/>
          <w:lang w:val="fr-CA"/>
        </w:rPr>
        <w:t xml:space="preserve">, [2015] 1 R.C.S. </w:t>
      </w:r>
      <w:r w:rsidR="007B57C5">
        <w:rPr>
          <w:rFonts w:cs="Times New Roman"/>
          <w:lang w:val="fr-CA"/>
        </w:rPr>
        <w:t>125</w:t>
      </w:r>
      <w:r w:rsidRPr="00AF17C2">
        <w:rPr>
          <w:rFonts w:cs="Times New Roman"/>
          <w:lang w:val="fr-CA"/>
        </w:rPr>
        <w:t>). Même si les faits en cause se recoupent, les deux pourvois soulèvent des questions juridiques différentes.</w:t>
      </w:r>
      <w:r w:rsidRPr="00AF17C2">
        <w:rPr>
          <w:rFonts w:cs="Times New Roman"/>
          <w:i/>
          <w:lang w:val="fr-CA"/>
        </w:rPr>
        <w:t xml:space="preserve"> </w:t>
      </w:r>
      <w:r w:rsidRPr="00AF17C2">
        <w:rPr>
          <w:rFonts w:cs="Times New Roman"/>
          <w:lang w:val="fr-CA"/>
        </w:rPr>
        <w:t>Dans l</w:t>
      </w:r>
      <w:r>
        <w:rPr>
          <w:rFonts w:cs="Times New Roman"/>
          <w:lang w:val="fr-CA"/>
        </w:rPr>
        <w:t>’</w:t>
      </w:r>
      <w:r w:rsidRPr="00AF17C2">
        <w:rPr>
          <w:rFonts w:cs="Times New Roman"/>
          <w:lang w:val="fr-CA"/>
        </w:rPr>
        <w:t>affaire</w:t>
      </w:r>
      <w:r w:rsidRPr="00AF17C2">
        <w:rPr>
          <w:rFonts w:cs="Times New Roman"/>
          <w:i/>
          <w:lang w:val="fr-CA"/>
        </w:rPr>
        <w:t xml:space="preserve"> Meredith</w:t>
      </w:r>
      <w:r w:rsidRPr="00AF17C2">
        <w:rPr>
          <w:rFonts w:cs="Times New Roman"/>
          <w:lang w:val="fr-CA"/>
        </w:rPr>
        <w:t xml:space="preserve">, la Cour est appelée à décider si une loi et sa mise en œuvre ont interféré de manière </w:t>
      </w:r>
      <w:r w:rsidRPr="00AF17C2">
        <w:rPr>
          <w:rFonts w:cs="Times New Roman"/>
          <w:lang w:val="fr-CA"/>
        </w:rPr>
        <w:lastRenderedPageBreak/>
        <w:t>inconstitutionnelle avec le régime existant de relations de travail à la GRC, sans que soit contestée la portée constitutionnelle de l</w:t>
      </w:r>
      <w:r>
        <w:rPr>
          <w:rFonts w:cs="Times New Roman"/>
          <w:lang w:val="fr-CA"/>
        </w:rPr>
        <w:t>’</w:t>
      </w:r>
      <w:r w:rsidRPr="00AF17C2">
        <w:rPr>
          <w:rFonts w:cs="Times New Roman"/>
          <w:lang w:val="fr-CA"/>
        </w:rPr>
        <w:t>ensemble du régime au regard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Le présent pourvoi porte plutôt sur la constitutionnalité du régime qui comprend à la fois l</w:t>
      </w:r>
      <w:r>
        <w:rPr>
          <w:rFonts w:cs="Times New Roman"/>
          <w:lang w:val="fr-CA"/>
        </w:rPr>
        <w:t>’</w:t>
      </w:r>
      <w:r w:rsidRPr="00AF17C2">
        <w:rPr>
          <w:rFonts w:cs="Times New Roman"/>
          <w:lang w:val="fr-CA"/>
        </w:rPr>
        <w:t xml:space="preserve">exclusion prévue par la </w:t>
      </w:r>
      <w:r w:rsidRPr="00AF17C2">
        <w:rPr>
          <w:rFonts w:cs="Times New Roman"/>
          <w:i/>
          <w:lang w:val="fr-CA"/>
        </w:rPr>
        <w:t>LRTFP</w:t>
      </w:r>
      <w:r w:rsidRPr="00AF17C2">
        <w:rPr>
          <w:rFonts w:cs="Times New Roman"/>
          <w:lang w:val="fr-CA"/>
        </w:rPr>
        <w:t xml:space="preserve"> actuelle et le système fondé sur le PRRF.</w:t>
      </w:r>
    </w:p>
    <w:p w:rsidR="007B74A6" w:rsidRPr="00AF17C2" w:rsidRDefault="007B74A6" w:rsidP="00795B2B">
      <w:pPr>
        <w:pStyle w:val="ParaNoNdepar-AltN"/>
        <w:rPr>
          <w:rFonts w:cs="Times New Roman"/>
          <w:lang w:val="fr-CA"/>
        </w:rPr>
      </w:pPr>
      <w:proofErr w:type="gramStart"/>
      <w:r w:rsidRPr="00AF17C2">
        <w:rPr>
          <w:rFonts w:cs="Times New Roman"/>
          <w:lang w:val="fr-CA"/>
        </w:rPr>
        <w:t>Nous concluons</w:t>
      </w:r>
      <w:proofErr w:type="gramEnd"/>
      <w:r w:rsidRPr="00AF17C2">
        <w:rPr>
          <w:rFonts w:cs="Times New Roman"/>
          <w:lang w:val="fr-CA"/>
        </w:rPr>
        <w:t xml:space="preserve"> que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 processus véritable de négociation collective qui offre aux employés une liberté de choix et une indépendance suffisantes pour leur permettre de décider de leurs intérêts collectifs et de les défendre. Le régime actuel de relations de travail de la GRC prive les membres de cette liberté de choix et leur impose un programme qui ne leur permet pas de définir et de faire valoir leurs préoccupations professionnelles à l</w:t>
      </w:r>
      <w:r>
        <w:rPr>
          <w:rFonts w:cs="Times New Roman"/>
          <w:lang w:val="fr-CA"/>
        </w:rPr>
        <w:t>’</w:t>
      </w:r>
      <w:r w:rsidRPr="00AF17C2">
        <w:rPr>
          <w:rFonts w:cs="Times New Roman"/>
          <w:lang w:val="fr-CA"/>
        </w:rPr>
        <w:t>abri de l</w:t>
      </w:r>
      <w:r>
        <w:rPr>
          <w:rFonts w:cs="Times New Roman"/>
          <w:lang w:val="fr-CA"/>
        </w:rPr>
        <w:t>’</w:t>
      </w:r>
      <w:r w:rsidRPr="00AF17C2">
        <w:rPr>
          <w:rFonts w:cs="Times New Roman"/>
          <w:lang w:val="fr-CA"/>
        </w:rPr>
        <w:t>influence de la direction. Par conséquent, nous sommes d</w:t>
      </w:r>
      <w:r>
        <w:rPr>
          <w:rFonts w:cs="Times New Roman"/>
          <w:lang w:val="fr-CA"/>
        </w:rPr>
        <w:t>’</w:t>
      </w:r>
      <w:r w:rsidRPr="00AF17C2">
        <w:rPr>
          <w:rFonts w:cs="Times New Roman"/>
          <w:lang w:val="fr-CA"/>
        </w:rPr>
        <w:t>avis d</w:t>
      </w:r>
      <w:r>
        <w:rPr>
          <w:rFonts w:cs="Times New Roman"/>
          <w:lang w:val="fr-CA"/>
        </w:rPr>
        <w:t>’</w:t>
      </w:r>
      <w:r w:rsidRPr="00AF17C2">
        <w:rPr>
          <w:rFonts w:cs="Times New Roman"/>
          <w:lang w:val="fr-CA"/>
        </w:rPr>
        <w:t>accueillir le pourvoi et nous concluons que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Gendarmerie royale du Canada</w:t>
      </w:r>
      <w:r w:rsidR="00DD3F43">
        <w:rPr>
          <w:rFonts w:cs="Times New Roman"/>
          <w:i/>
          <w:lang w:val="fr-CA"/>
        </w:rPr>
        <w:t xml:space="preserve"> (</w:t>
      </w:r>
      <w:r w:rsidRPr="00AF17C2">
        <w:rPr>
          <w:rFonts w:cs="Times New Roman"/>
          <w:i/>
          <w:lang w:val="fr-CA"/>
        </w:rPr>
        <w:t>1988</w:t>
      </w:r>
      <w:r w:rsidR="00DD3F43">
        <w:rPr>
          <w:rFonts w:cs="Times New Roman"/>
          <w:i/>
          <w:lang w:val="fr-CA"/>
        </w:rPr>
        <w:t>)</w:t>
      </w:r>
      <w:r w:rsidRPr="00AF17C2">
        <w:rPr>
          <w:rFonts w:cs="Times New Roman"/>
          <w:lang w:val="fr-CA"/>
        </w:rPr>
        <w:t>,</w:t>
      </w:r>
      <w:r w:rsidRPr="00AF17C2">
        <w:rPr>
          <w:rFonts w:cs="Times New Roman"/>
          <w:i/>
          <w:lang w:val="fr-CA"/>
        </w:rPr>
        <w:t xml:space="preserve"> </w:t>
      </w:r>
      <w:r w:rsidRPr="00AF17C2">
        <w:rPr>
          <w:rFonts w:cs="Times New Roman"/>
          <w:lang w:val="fr-CA"/>
        </w:rPr>
        <w:t>DORS/88</w:t>
      </w:r>
      <w:r w:rsidR="00795B2B">
        <w:rPr>
          <w:rFonts w:cs="Times New Roman"/>
          <w:lang w:val="fr-CA"/>
        </w:rPr>
        <w:t>-</w:t>
      </w:r>
      <w:r w:rsidRPr="00AF17C2">
        <w:rPr>
          <w:rFonts w:cs="Times New Roman"/>
          <w:lang w:val="fr-CA"/>
        </w:rPr>
        <w:t>361 (</w:t>
      </w:r>
      <w:r w:rsidR="00795B2B">
        <w:rPr>
          <w:rFonts w:cs="Times New Roman"/>
          <w:lang w:val="fr-CA"/>
        </w:rPr>
        <w:t>« </w:t>
      </w:r>
      <w:r w:rsidRPr="00AF17C2">
        <w:rPr>
          <w:rFonts w:cs="Times New Roman"/>
          <w:i/>
          <w:lang w:val="fr-CA"/>
        </w:rPr>
        <w:t>Règlement de la GRC</w:t>
      </w:r>
      <w:r w:rsidR="00795B2B" w:rsidRPr="00795B2B">
        <w:rPr>
          <w:rFonts w:cs="Times New Roman"/>
          <w:lang w:val="fr-CA"/>
        </w:rPr>
        <w:t> »</w:t>
      </w:r>
      <w:r w:rsidRPr="00AF17C2">
        <w:rPr>
          <w:rFonts w:cs="Times New Roman"/>
          <w:lang w:val="fr-CA"/>
        </w:rPr>
        <w:t>)</w:t>
      </w:r>
      <w:r w:rsidRPr="00AF17C2">
        <w:rPr>
          <w:rStyle w:val="FootnoteReference"/>
          <w:rFonts w:cs="Times New Roman"/>
          <w:lang w:val="fr-CA"/>
        </w:rPr>
        <w:footnoteReference w:id="1"/>
      </w:r>
      <w:r w:rsidRPr="00AF17C2">
        <w:rPr>
          <w:rFonts w:cs="Times New Roman"/>
          <w:lang w:val="fr-CA"/>
        </w:rPr>
        <w:t>, qui était en vigueur lorsque le pourvoi a été entendu,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Nous sommes également d</w:t>
      </w:r>
      <w:r>
        <w:rPr>
          <w:rFonts w:cs="Times New Roman"/>
          <w:lang w:val="fr-CA"/>
        </w:rPr>
        <w:t>’</w:t>
      </w:r>
      <w:r w:rsidRPr="00AF17C2">
        <w:rPr>
          <w:rFonts w:cs="Times New Roman"/>
          <w:lang w:val="fr-CA"/>
        </w:rPr>
        <w:t>opinion que l</w:t>
      </w:r>
      <w:r>
        <w:rPr>
          <w:rFonts w:cs="Times New Roman"/>
          <w:lang w:val="fr-CA"/>
        </w:rPr>
        <w:t>’</w:t>
      </w:r>
      <w:r w:rsidRPr="00AF17C2">
        <w:rPr>
          <w:rFonts w:cs="Times New Roman"/>
          <w:lang w:val="fr-CA"/>
        </w:rPr>
        <w:t xml:space="preserve">exclusion des membres de la GRC du régime de négociation collective </w:t>
      </w:r>
      <w:r>
        <w:rPr>
          <w:rFonts w:cs="Times New Roman"/>
          <w:lang w:val="fr-CA"/>
        </w:rPr>
        <w:t xml:space="preserve">prévu à </w:t>
      </w:r>
      <w:r w:rsidRPr="00AF17C2">
        <w:rPr>
          <w:rFonts w:cs="Times New Roman"/>
          <w:lang w:val="fr-CA"/>
        </w:rPr>
        <w:t>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w:t>
      </w:r>
      <w:r>
        <w:rPr>
          <w:rFonts w:cs="Times New Roman"/>
          <w:lang w:val="fr-CA"/>
        </w:rPr>
        <w:t xml:space="preserve">de la définition de </w:t>
      </w:r>
      <w:r w:rsidR="00795B2B">
        <w:rPr>
          <w:rFonts w:cs="Times New Roman"/>
          <w:lang w:val="fr-CA"/>
        </w:rPr>
        <w:t>« </w:t>
      </w:r>
      <w:r>
        <w:rPr>
          <w:rFonts w:cs="Times New Roman"/>
          <w:lang w:val="fr-CA"/>
        </w:rPr>
        <w:t>fonctionnaire</w:t>
      </w:r>
      <w:r w:rsidR="00795B2B">
        <w:rPr>
          <w:rFonts w:cs="Times New Roman"/>
          <w:lang w:val="fr-CA"/>
        </w:rPr>
        <w:t> »</w:t>
      </w:r>
      <w:r>
        <w:rPr>
          <w:rFonts w:cs="Times New Roman"/>
          <w:lang w:val="fr-CA"/>
        </w:rPr>
        <w:t xml:space="preserve"> qui figure au par.</w:t>
      </w:r>
      <w:r w:rsidR="00795B2B">
        <w:rPr>
          <w:rFonts w:cs="Times New Roman"/>
          <w:lang w:val="fr-CA"/>
        </w:rPr>
        <w:t xml:space="preserve"> </w:t>
      </w:r>
      <w:r>
        <w:rPr>
          <w:rFonts w:cs="Times New Roman"/>
          <w:lang w:val="fr-CA"/>
        </w:rPr>
        <w:t xml:space="preserve">2(1) de </w:t>
      </w:r>
      <w:r w:rsidRPr="00AF17C2">
        <w:rPr>
          <w:rFonts w:cs="Times New Roman"/>
          <w:lang w:val="fr-CA"/>
        </w:rPr>
        <w:t xml:space="preserve">la </w:t>
      </w:r>
      <w:r w:rsidRPr="00AF17C2">
        <w:rPr>
          <w:rFonts w:cs="Times New Roman"/>
          <w:i/>
          <w:lang w:val="fr-CA"/>
        </w:rPr>
        <w:t>LRTFP</w:t>
      </w:r>
      <w:r w:rsidRPr="00AF17C2">
        <w:rPr>
          <w:rFonts w:cs="Times New Roman"/>
          <w:lang w:val="fr-CA"/>
        </w:rPr>
        <w:t xml:space="preserve"> actuelle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Enfin, selon nous, aucune de ces violations n</w:t>
      </w:r>
      <w:r>
        <w:rPr>
          <w:rFonts w:cs="Times New Roman"/>
          <w:lang w:val="fr-CA"/>
        </w:rPr>
        <w:t>’</w:t>
      </w:r>
      <w:r w:rsidRPr="00AF17C2">
        <w:rPr>
          <w:rFonts w:cs="Times New Roman"/>
          <w:lang w:val="fr-CA"/>
        </w:rPr>
        <w:t>est justifiée au regard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Les parties</w:t>
      </w:r>
    </w:p>
    <w:p w:rsidR="007B74A6" w:rsidRPr="00AF17C2" w:rsidRDefault="007B74A6" w:rsidP="00795B2B">
      <w:pPr>
        <w:pStyle w:val="ParaNoNdepar-AltN"/>
        <w:rPr>
          <w:rFonts w:cs="Times New Roman"/>
          <w:lang w:val="fr-CA"/>
        </w:rPr>
      </w:pPr>
      <w:r w:rsidRPr="00AF17C2">
        <w:rPr>
          <w:rFonts w:cs="Times New Roman"/>
          <w:lang w:val="fr-CA"/>
        </w:rPr>
        <w:t>Les appelantes sont des associations de membres de la GRC, privées et volontaires, qui ont été mises sur pied par certains d</w:t>
      </w:r>
      <w:r>
        <w:rPr>
          <w:rFonts w:cs="Times New Roman"/>
          <w:lang w:val="fr-CA"/>
        </w:rPr>
        <w:t>’</w:t>
      </w:r>
      <w:r w:rsidRPr="00AF17C2">
        <w:rPr>
          <w:rFonts w:cs="Times New Roman"/>
          <w:lang w:val="fr-CA"/>
        </w:rPr>
        <w:t>entre eux. L</w:t>
      </w:r>
      <w:r>
        <w:rPr>
          <w:rFonts w:cs="Times New Roman"/>
          <w:lang w:val="fr-CA"/>
        </w:rPr>
        <w:t>’</w:t>
      </w:r>
      <w:r w:rsidRPr="00AF17C2">
        <w:rPr>
          <w:rFonts w:cs="Times New Roman"/>
          <w:lang w:val="fr-CA"/>
        </w:rPr>
        <w:t xml:space="preserve">Association de la </w:t>
      </w:r>
      <w:r w:rsidRPr="00AF17C2">
        <w:rPr>
          <w:rFonts w:cs="Times New Roman"/>
          <w:lang w:val="fr-CA"/>
        </w:rPr>
        <w:lastRenderedPageBreak/>
        <w:t>police montée de l</w:t>
      </w:r>
      <w:r>
        <w:rPr>
          <w:rFonts w:cs="Times New Roman"/>
          <w:lang w:val="fr-CA"/>
        </w:rPr>
        <w:t>’</w:t>
      </w:r>
      <w:r w:rsidRPr="00AF17C2">
        <w:rPr>
          <w:rFonts w:cs="Times New Roman"/>
          <w:lang w:val="fr-CA"/>
        </w:rPr>
        <w:t>Ontario (</w:t>
      </w:r>
      <w:r w:rsidR="00795B2B">
        <w:rPr>
          <w:rFonts w:cs="Times New Roman"/>
          <w:lang w:val="fr-CA"/>
        </w:rPr>
        <w:t>« </w:t>
      </w:r>
      <w:r w:rsidRPr="00AF17C2">
        <w:rPr>
          <w:rFonts w:cs="Times New Roman"/>
          <w:lang w:val="fr-CA"/>
        </w:rPr>
        <w:t>APMO</w:t>
      </w:r>
      <w:r w:rsidR="00795B2B">
        <w:rPr>
          <w:rFonts w:cs="Times New Roman"/>
          <w:lang w:val="fr-CA"/>
        </w:rPr>
        <w:t> »</w:t>
      </w:r>
      <w:r w:rsidRPr="00AF17C2">
        <w:rPr>
          <w:rFonts w:cs="Times New Roman"/>
          <w:lang w:val="fr-CA"/>
        </w:rPr>
        <w:t>), une société à but non lucratif immatriculée en Ontario, est issue de la fusion, en 1998, de deux groupes qui l</w:t>
      </w:r>
      <w:r>
        <w:rPr>
          <w:rFonts w:cs="Times New Roman"/>
          <w:lang w:val="fr-CA"/>
        </w:rPr>
        <w:t>’</w:t>
      </w:r>
      <w:r w:rsidRPr="00AF17C2">
        <w:rPr>
          <w:rFonts w:cs="Times New Roman"/>
          <w:lang w:val="fr-CA"/>
        </w:rPr>
        <w:t xml:space="preserve">ont précédée. Elle représente des membres de la GRC appartenant à la Division nationale (de la région de la capitale nationale), à la Direction générale (du quartier général de la GRC à Ottawa) et à la Division </w:t>
      </w:r>
      <w:r w:rsidR="00795B2B">
        <w:rPr>
          <w:rFonts w:cs="Times New Roman"/>
          <w:lang w:val="fr-CA"/>
        </w:rPr>
        <w:t>« </w:t>
      </w:r>
      <w:r w:rsidRPr="00AF17C2">
        <w:rPr>
          <w:rFonts w:cs="Times New Roman"/>
          <w:lang w:val="fr-CA"/>
        </w:rPr>
        <w:t>O</w:t>
      </w:r>
      <w:r w:rsidR="00795B2B">
        <w:rPr>
          <w:rFonts w:cs="Times New Roman"/>
          <w:lang w:val="fr-CA"/>
        </w:rPr>
        <w:t> »</w:t>
      </w:r>
      <w:r w:rsidRPr="00AF17C2">
        <w:rPr>
          <w:rFonts w:cs="Times New Roman"/>
          <w:lang w:val="fr-CA"/>
        </w:rPr>
        <w:t xml:space="preserve"> (de l</w:t>
      </w:r>
      <w:r>
        <w:rPr>
          <w:rFonts w:cs="Times New Roman"/>
          <w:lang w:val="fr-CA"/>
        </w:rPr>
        <w:t>’</w:t>
      </w:r>
      <w:r w:rsidRPr="00AF17C2">
        <w:rPr>
          <w:rFonts w:cs="Times New Roman"/>
          <w:lang w:val="fr-CA"/>
        </w:rPr>
        <w:t xml:space="preserve">Ontario, excluant la région de la capitale nationale). La British Columbia </w:t>
      </w:r>
      <w:proofErr w:type="spellStart"/>
      <w:r w:rsidRPr="00AF17C2">
        <w:rPr>
          <w:rFonts w:cs="Times New Roman"/>
          <w:lang w:val="fr-CA"/>
        </w:rPr>
        <w:t>Mounted</w:t>
      </w:r>
      <w:proofErr w:type="spellEnd"/>
      <w:r w:rsidRPr="00AF17C2">
        <w:rPr>
          <w:rFonts w:cs="Times New Roman"/>
          <w:lang w:val="fr-CA"/>
        </w:rPr>
        <w:t xml:space="preserve"> Police Professional Association (</w:t>
      </w:r>
      <w:r w:rsidR="00795B2B">
        <w:rPr>
          <w:rFonts w:cs="Times New Roman"/>
          <w:lang w:val="fr-CA"/>
        </w:rPr>
        <w:t>« </w:t>
      </w:r>
      <w:r w:rsidRPr="00AF17C2">
        <w:rPr>
          <w:rFonts w:cs="Times New Roman"/>
          <w:lang w:val="fr-CA"/>
        </w:rPr>
        <w:t>BCMPPA</w:t>
      </w:r>
      <w:r w:rsidR="00795B2B">
        <w:rPr>
          <w:rFonts w:cs="Times New Roman"/>
          <w:lang w:val="fr-CA"/>
        </w:rPr>
        <w:t> »</w:t>
      </w:r>
      <w:r w:rsidRPr="00AF17C2">
        <w:rPr>
          <w:rFonts w:cs="Times New Roman"/>
          <w:lang w:val="fr-CA"/>
        </w:rPr>
        <w:t>) est une société à but non lucratif constituée en Colombie</w:t>
      </w:r>
      <w:r w:rsidR="00795B2B">
        <w:rPr>
          <w:rFonts w:cs="Times New Roman"/>
          <w:lang w:val="fr-CA"/>
        </w:rPr>
        <w:t>-</w:t>
      </w:r>
      <w:r w:rsidRPr="00AF17C2">
        <w:rPr>
          <w:rFonts w:cs="Times New Roman"/>
          <w:lang w:val="fr-CA"/>
        </w:rPr>
        <w:t xml:space="preserve">Britannique en 1994. Ses membres proviennent principalement de la Division </w:t>
      </w:r>
      <w:r w:rsidR="00795B2B">
        <w:rPr>
          <w:rFonts w:cs="Times New Roman"/>
          <w:lang w:val="fr-CA"/>
        </w:rPr>
        <w:t>« </w:t>
      </w:r>
      <w:r w:rsidRPr="00AF17C2">
        <w:rPr>
          <w:rFonts w:cs="Times New Roman"/>
          <w:lang w:val="fr-CA"/>
        </w:rPr>
        <w:t>E</w:t>
      </w:r>
      <w:r w:rsidR="00795B2B">
        <w:rPr>
          <w:rFonts w:cs="Times New Roman"/>
          <w:lang w:val="fr-CA"/>
        </w:rPr>
        <w:t> »</w:t>
      </w:r>
      <w:r w:rsidRPr="00AF17C2">
        <w:rPr>
          <w:rFonts w:cs="Times New Roman"/>
          <w:lang w:val="fr-CA"/>
        </w:rPr>
        <w:t xml:space="preserve"> (soit de la Colombie-Britannique). Une organisation semblable, l</w:t>
      </w:r>
      <w:r>
        <w:rPr>
          <w:rFonts w:cs="Times New Roman"/>
          <w:lang w:val="fr-CA"/>
        </w:rPr>
        <w:t>’</w:t>
      </w:r>
      <w:r w:rsidR="00177B76">
        <w:rPr>
          <w:rFonts w:cs="Times New Roman"/>
          <w:lang w:val="fr-CA"/>
        </w:rPr>
        <w:t>Association des membres de la Police M</w:t>
      </w:r>
      <w:r w:rsidRPr="00AF17C2">
        <w:rPr>
          <w:rFonts w:cs="Times New Roman"/>
          <w:lang w:val="fr-CA"/>
        </w:rPr>
        <w:t>ontée du Québec Inc., agit à titre d</w:t>
      </w:r>
      <w:r>
        <w:rPr>
          <w:rFonts w:cs="Times New Roman"/>
          <w:lang w:val="fr-CA"/>
        </w:rPr>
        <w:t>’</w:t>
      </w:r>
      <w:r w:rsidRPr="00AF17C2">
        <w:rPr>
          <w:rFonts w:cs="Times New Roman"/>
          <w:lang w:val="fr-CA"/>
        </w:rPr>
        <w:t xml:space="preserve">intervenante dans le présent pourvoi. Elle représente la majorité des membres de la Division </w:t>
      </w:r>
      <w:r w:rsidR="00795B2B">
        <w:rPr>
          <w:rFonts w:cs="Times New Roman"/>
          <w:lang w:val="fr-CA"/>
        </w:rPr>
        <w:t>« </w:t>
      </w:r>
      <w:r w:rsidRPr="00AF17C2">
        <w:rPr>
          <w:rFonts w:cs="Times New Roman"/>
          <w:lang w:val="fr-CA"/>
        </w:rPr>
        <w:t>C</w:t>
      </w:r>
      <w:r w:rsidR="00795B2B">
        <w:rPr>
          <w:rFonts w:cs="Times New Roman"/>
          <w:lang w:val="fr-CA"/>
        </w:rPr>
        <w:t> »</w:t>
      </w:r>
      <w:r w:rsidRPr="00AF17C2">
        <w:rPr>
          <w:rFonts w:cs="Times New Roman"/>
          <w:lang w:val="fr-CA"/>
        </w:rPr>
        <w:t xml:space="preserve"> (du Québec) de même que les membres francophones de l</w:t>
      </w:r>
      <w:r>
        <w:rPr>
          <w:rFonts w:cs="Times New Roman"/>
          <w:lang w:val="fr-CA"/>
        </w:rPr>
        <w:t>’</w:t>
      </w:r>
      <w:r w:rsidRPr="00AF17C2">
        <w:rPr>
          <w:rFonts w:cs="Times New Roman"/>
          <w:lang w:val="fr-CA"/>
        </w:rPr>
        <w:t xml:space="preserve">ensemble du pays. </w:t>
      </w:r>
    </w:p>
    <w:p w:rsidR="007B74A6" w:rsidRPr="00AF17C2" w:rsidRDefault="007B74A6" w:rsidP="00795B2B">
      <w:pPr>
        <w:pStyle w:val="ParaNoNdepar-AltN"/>
        <w:rPr>
          <w:rFonts w:cs="Times New Roman"/>
          <w:lang w:val="fr-CA"/>
        </w:rPr>
      </w:pPr>
      <w:r w:rsidRPr="00AF17C2">
        <w:rPr>
          <w:rFonts w:cs="Times New Roman"/>
          <w:lang w:val="fr-CA"/>
        </w:rPr>
        <w:t>Les trois associations ont pour objectif de représenter des membres de la GRC quant aux questions relatives à leurs conditions de travail. Elles participent à des activités de lobby politique et de sensibilisation, ainsi qu</w:t>
      </w:r>
      <w:r>
        <w:rPr>
          <w:rFonts w:cs="Times New Roman"/>
          <w:lang w:val="fr-CA"/>
        </w:rPr>
        <w:t>’</w:t>
      </w:r>
      <w:r w:rsidRPr="00AF17C2">
        <w:rPr>
          <w:rFonts w:cs="Times New Roman"/>
          <w:lang w:val="fr-CA"/>
        </w:rPr>
        <w:t>à des activités sociales. Elles conseillent leurs membres et leur prêtent assistance en matière de discipline et de griefs. Leurs activités sont financées à même les cotisations des membres et elles n</w:t>
      </w:r>
      <w:r>
        <w:rPr>
          <w:rFonts w:cs="Times New Roman"/>
          <w:lang w:val="fr-CA"/>
        </w:rPr>
        <w:t>’</w:t>
      </w:r>
      <w:r w:rsidRPr="00AF17C2">
        <w:rPr>
          <w:rFonts w:cs="Times New Roman"/>
          <w:lang w:val="fr-CA"/>
        </w:rPr>
        <w:t>ont aucun employé à temps plein. Aucune des associations n</w:t>
      </w:r>
      <w:r>
        <w:rPr>
          <w:rFonts w:cs="Times New Roman"/>
          <w:lang w:val="fr-CA"/>
        </w:rPr>
        <w:t>’</w:t>
      </w:r>
      <w:r w:rsidRPr="00AF17C2">
        <w:rPr>
          <w:rFonts w:cs="Times New Roman"/>
          <w:lang w:val="fr-CA"/>
        </w:rPr>
        <w:t>a été reconnue à quelque moment que ce soit, par la direction de la GRC ou par le gouvernement fédéral, aux fins de négociations collectives ou de consultations au sujet d</w:t>
      </w:r>
      <w:r>
        <w:rPr>
          <w:rFonts w:cs="Times New Roman"/>
          <w:lang w:val="fr-CA"/>
        </w:rPr>
        <w:t>’</w:t>
      </w:r>
      <w:r w:rsidRPr="00AF17C2">
        <w:rPr>
          <w:rFonts w:cs="Times New Roman"/>
          <w:lang w:val="fr-CA"/>
        </w:rPr>
        <w:t>enjeux relatifs au travail.</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 xml:space="preserve">intimé, le procureur général du Canada, auquel se sont joints plusieurs procureurs généraux des provinces, conteste la prétention des appelantes voulant que </w:t>
      </w:r>
      <w:r w:rsidRPr="00AF17C2">
        <w:rPr>
          <w:rFonts w:cs="Times New Roman"/>
          <w:lang w:val="fr-CA"/>
        </w:rPr>
        <w:lastRenderedPageBreak/>
        <w:t>le régime actuel de relations de travail porte atteinte à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177B76">
        <w:rPr>
          <w:rFonts w:cs="Times New Roman"/>
          <w:lang w:val="fr-CA"/>
        </w:rPr>
        <w:t>.</w:t>
      </w:r>
      <w:r w:rsidRPr="00AF17C2">
        <w:rPr>
          <w:rFonts w:cs="Times New Roman"/>
          <w:lang w:val="fr-CA"/>
        </w:rPr>
        <w:t xml:space="preserve"> </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Le processus actuel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régime de relations de travail actuellement en vigueur au sein de la GRC s</w:t>
      </w:r>
      <w:r>
        <w:rPr>
          <w:rFonts w:cs="Times New Roman"/>
          <w:lang w:val="fr-CA"/>
        </w:rPr>
        <w:t>’</w:t>
      </w:r>
      <w:r w:rsidRPr="00AF17C2">
        <w:rPr>
          <w:rFonts w:cs="Times New Roman"/>
          <w:lang w:val="fr-CA"/>
        </w:rPr>
        <w:t>articule autour de trois organismes</w:t>
      </w:r>
      <w:r w:rsidR="00795B2B">
        <w:rPr>
          <w:rFonts w:cs="Times New Roman"/>
          <w:lang w:val="fr-CA"/>
        </w:rPr>
        <w:t> :</w:t>
      </w:r>
      <w:r w:rsidRPr="00AF17C2">
        <w:rPr>
          <w:rFonts w:cs="Times New Roman"/>
          <w:lang w:val="fr-CA"/>
        </w:rPr>
        <w:t xml:space="preserve"> le PRRF, qui est au cœur du régime, le Conseil de la solde et le Fonds de recours juridique.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PRRF constitue le principal mécanisme par lequel les membres de la GRC peuvent soulever des questions concernant les relations de travail (à l</w:t>
      </w:r>
      <w:r>
        <w:rPr>
          <w:rFonts w:cs="Times New Roman"/>
          <w:lang w:val="fr-CA"/>
        </w:rPr>
        <w:t>’</w:t>
      </w:r>
      <w:r w:rsidRPr="00AF17C2">
        <w:rPr>
          <w:rFonts w:cs="Times New Roman"/>
          <w:lang w:val="fr-CA"/>
        </w:rPr>
        <w:t>exception de la solde), et l</w:t>
      </w:r>
      <w:r>
        <w:rPr>
          <w:rFonts w:cs="Times New Roman"/>
          <w:lang w:val="fr-CA"/>
        </w:rPr>
        <w:t>’</w:t>
      </w:r>
      <w:r w:rsidRPr="00AF17C2">
        <w:rPr>
          <w:rFonts w:cs="Times New Roman"/>
          <w:lang w:val="fr-CA"/>
        </w:rPr>
        <w:t>unique forme de représentation des employés que reconnaît la direction. Le programme résulte de consultations menées dès 1974. Son existence était officialisée par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00795B2B" w:rsidRPr="00177B76">
        <w:rPr>
          <w:rFonts w:cs="Times New Roman"/>
          <w:lang w:val="fr-CA"/>
        </w:rPr>
        <w:t> :</w:t>
      </w:r>
      <w:r w:rsidRPr="00AF17C2">
        <w:rPr>
          <w:rFonts w:cs="Times New Roman"/>
          <w:lang w:val="fr-CA"/>
        </w:rPr>
        <w:t xml:space="preserve"> </w:t>
      </w:r>
    </w:p>
    <w:p w:rsidR="007B74A6" w:rsidRPr="00AF17C2" w:rsidRDefault="007B74A6" w:rsidP="00795B2B">
      <w:pPr>
        <w:pStyle w:val="Citation-AltC"/>
        <w:spacing w:after="240"/>
        <w:ind w:left="1168" w:hanging="1168"/>
        <w:contextualSpacing w:val="0"/>
        <w:rPr>
          <w:lang w:val="fr-CA"/>
        </w:rPr>
      </w:pPr>
      <w:r w:rsidRPr="00AF17C2">
        <w:rPr>
          <w:b/>
          <w:lang w:val="fr-CA"/>
        </w:rPr>
        <w:tab/>
      </w:r>
      <w:r w:rsidRPr="00AF17C2">
        <w:rPr>
          <w:b/>
          <w:lang w:val="fr-CA"/>
        </w:rPr>
        <w:tab/>
        <w:t>96.</w:t>
      </w:r>
      <w:r w:rsidR="00795B2B">
        <w:rPr>
          <w:lang w:val="fr-CA"/>
        </w:rPr>
        <w:t xml:space="preserve"> </w:t>
      </w:r>
      <w:r w:rsidRPr="00AF17C2">
        <w:rPr>
          <w:lang w:val="fr-CA"/>
        </w:rPr>
        <w:t>(1)</w:t>
      </w:r>
      <w:r w:rsidR="00795B2B">
        <w:rPr>
          <w:lang w:val="fr-CA"/>
        </w:rPr>
        <w:t xml:space="preserve">  </w:t>
      </w:r>
      <w:r w:rsidRPr="00AF17C2">
        <w:rPr>
          <w:lang w:val="fr-CA"/>
        </w:rPr>
        <w:t>La Gendarmerie établit un programme de représentants divisionnaires des relations fonctionnelles qui a pour objet d</w:t>
      </w:r>
      <w:r>
        <w:rPr>
          <w:lang w:val="fr-CA"/>
        </w:rPr>
        <w:t>’</w:t>
      </w:r>
      <w:r w:rsidRPr="00AF17C2">
        <w:rPr>
          <w:lang w:val="fr-CA"/>
        </w:rPr>
        <w:t xml:space="preserve">assurer la représentation des membres en matière de relations fonctionnelles. </w:t>
      </w:r>
    </w:p>
    <w:p w:rsidR="007B74A6" w:rsidRPr="00AF17C2" w:rsidRDefault="007B74A6" w:rsidP="00177B76">
      <w:pPr>
        <w:pStyle w:val="Citation-AltC"/>
        <w:ind w:firstLine="274"/>
        <w:contextualSpacing w:val="0"/>
        <w:rPr>
          <w:lang w:val="fr-CA"/>
        </w:rPr>
      </w:pPr>
      <w:r w:rsidRPr="00AF17C2">
        <w:rPr>
          <w:lang w:val="fr-CA"/>
        </w:rPr>
        <w:t>(2)</w:t>
      </w:r>
      <w:r w:rsidR="00177B76">
        <w:rPr>
          <w:lang w:val="fr-CA"/>
        </w:rPr>
        <w:t xml:space="preserve">  </w:t>
      </w:r>
      <w:r w:rsidRPr="00AF17C2">
        <w:rPr>
          <w:lang w:val="fr-CA"/>
        </w:rPr>
        <w:t>Le programme de représentants divisionnaires des relations fonctionnelles est mis en application par les représentants divisionnaires des relations fonctionnelles qu</w:t>
      </w:r>
      <w:r>
        <w:rPr>
          <w:lang w:val="fr-CA"/>
        </w:rPr>
        <w:t>’</w:t>
      </w:r>
      <w:r w:rsidRPr="00AF17C2">
        <w:rPr>
          <w:lang w:val="fr-CA"/>
        </w:rPr>
        <w:t>élisent les membres des divisions et des secteurs.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Le PRRF est complété à la fois par les Statuts du Programme des représentants des relations fonctionnelles de la GRC (les </w:t>
      </w:r>
      <w:r w:rsidR="00795B2B">
        <w:rPr>
          <w:rFonts w:cs="Times New Roman"/>
          <w:lang w:val="fr-CA"/>
        </w:rPr>
        <w:t>« </w:t>
      </w:r>
      <w:r w:rsidRPr="00AF17C2">
        <w:rPr>
          <w:rFonts w:cs="Times New Roman"/>
          <w:lang w:val="fr-CA"/>
        </w:rPr>
        <w:t>Statuts du PRRF</w:t>
      </w:r>
      <w:r w:rsidR="00795B2B">
        <w:rPr>
          <w:rFonts w:cs="Times New Roman"/>
          <w:lang w:val="fr-CA"/>
        </w:rPr>
        <w:t> »</w:t>
      </w:r>
      <w:r w:rsidRPr="00AF17C2">
        <w:rPr>
          <w:rFonts w:cs="Times New Roman"/>
          <w:lang w:val="fr-CA"/>
        </w:rPr>
        <w:t xml:space="preserve">), adoptés unilatéralement par le PRRF, et par une entente intervenue entre le Comité exécutif national du PRRF et le </w:t>
      </w:r>
      <w:r>
        <w:rPr>
          <w:rFonts w:cs="Times New Roman"/>
          <w:lang w:val="fr-CA"/>
        </w:rPr>
        <w:t>c</w:t>
      </w:r>
      <w:r w:rsidRPr="00AF17C2">
        <w:rPr>
          <w:rFonts w:cs="Times New Roman"/>
          <w:lang w:val="fr-CA"/>
        </w:rPr>
        <w:t>ommissaire de la GRC qui précise, entre autres, la structure du programme (</w:t>
      </w:r>
      <w:r w:rsidR="00795B2B">
        <w:rPr>
          <w:rFonts w:cs="Times New Roman"/>
          <w:lang w:val="fr-CA"/>
        </w:rPr>
        <w:t>« </w:t>
      </w:r>
      <w:r w:rsidRPr="00AF17C2">
        <w:rPr>
          <w:rFonts w:cs="Times New Roman"/>
          <w:lang w:val="fr-CA"/>
        </w:rPr>
        <w:t xml:space="preserve">Entente entre le </w:t>
      </w:r>
      <w:r>
        <w:rPr>
          <w:rFonts w:cs="Times New Roman"/>
          <w:lang w:val="fr-CA"/>
        </w:rPr>
        <w:t>commissaire</w:t>
      </w:r>
      <w:r w:rsidRPr="00AF17C2">
        <w:rPr>
          <w:rFonts w:cs="Times New Roman"/>
          <w:lang w:val="fr-CA"/>
        </w:rPr>
        <w:t xml:space="preserve"> et le PRRF</w:t>
      </w:r>
      <w:r w:rsidR="00795B2B">
        <w:rPr>
          <w:rFonts w:cs="Times New Roman"/>
          <w:lang w:val="fr-CA"/>
        </w:rPr>
        <w:t> »</w:t>
      </w:r>
      <w:r w:rsidRPr="00AF17C2">
        <w:rPr>
          <w:rFonts w:cs="Times New Roman"/>
          <w:lang w:val="fr-CA"/>
        </w:rPr>
        <w:t xml:space="preserve">). Selon les </w:t>
      </w:r>
      <w:r w:rsidRPr="00AF17C2">
        <w:rPr>
          <w:rFonts w:cs="Times New Roman"/>
          <w:lang w:val="fr-CA"/>
        </w:rPr>
        <w:lastRenderedPageBreak/>
        <w:t xml:space="preserve">Statuts du PRRF, le programme vise à </w:t>
      </w:r>
      <w:r w:rsidR="00795B2B">
        <w:rPr>
          <w:rFonts w:cs="Times New Roman"/>
          <w:lang w:val="fr-CA"/>
        </w:rPr>
        <w:t>« </w:t>
      </w:r>
      <w:r w:rsidRPr="00AF17C2">
        <w:rPr>
          <w:rFonts w:cs="Times New Roman"/>
          <w:lang w:val="fr-CA"/>
        </w:rPr>
        <w:t>promouvoir des relations mutuellement avantageuses entre la direction et les membres de la Gendarmerie</w:t>
      </w:r>
      <w:r w:rsidR="00795B2B">
        <w:rPr>
          <w:rFonts w:cs="Times New Roman"/>
          <w:lang w:val="fr-CA"/>
        </w:rPr>
        <w:t> »</w:t>
      </w:r>
      <w:r w:rsidRPr="00AF17C2">
        <w:rPr>
          <w:rFonts w:cs="Times New Roman"/>
          <w:lang w:val="fr-CA"/>
        </w:rPr>
        <w:t xml:space="preserve"> (art.</w:t>
      </w:r>
      <w:r w:rsidR="00795B2B">
        <w:rPr>
          <w:rFonts w:cs="Times New Roman"/>
          <w:lang w:val="fr-CA"/>
        </w:rPr>
        <w:t xml:space="preserve"> </w:t>
      </w:r>
      <w:r w:rsidRPr="00AF17C2">
        <w:rPr>
          <w:rFonts w:cs="Times New Roman"/>
          <w:lang w:val="fr-CA"/>
        </w:rPr>
        <w:t>2). À cette fin, il a pour objet d</w:t>
      </w:r>
      <w:r>
        <w:rPr>
          <w:rFonts w:cs="Times New Roman"/>
          <w:lang w:val="fr-CA"/>
        </w:rPr>
        <w:t>’</w:t>
      </w:r>
      <w:r w:rsidRPr="00AF17C2">
        <w:rPr>
          <w:rFonts w:cs="Times New Roman"/>
          <w:lang w:val="fr-CA"/>
        </w:rPr>
        <w:t>offrir aux membres de la GRC</w:t>
      </w:r>
      <w:r w:rsidRPr="00AF17C2">
        <w:rPr>
          <w:rFonts w:cs="Times New Roman"/>
          <w:smallCaps/>
          <w:lang w:val="fr-CA"/>
        </w:rPr>
        <w:t xml:space="preserve"> </w:t>
      </w:r>
      <w:r w:rsidR="00795B2B">
        <w:rPr>
          <w:rFonts w:cs="Times New Roman"/>
          <w:lang w:val="fr-CA"/>
        </w:rPr>
        <w:t>« </w:t>
      </w:r>
      <w:r w:rsidRPr="00AF17C2">
        <w:rPr>
          <w:rFonts w:cs="Times New Roman"/>
          <w:lang w:val="fr-CA"/>
        </w:rPr>
        <w:t>une représentation juste et équitable en matière de relations fonctionnelles et [de] faciliter leur participation à l</w:t>
      </w:r>
      <w:r>
        <w:rPr>
          <w:rFonts w:cs="Times New Roman"/>
          <w:lang w:val="fr-CA"/>
        </w:rPr>
        <w:t>’</w:t>
      </w:r>
      <w:r w:rsidRPr="00AF17C2">
        <w:rPr>
          <w:rFonts w:cs="Times New Roman"/>
          <w:lang w:val="fr-CA"/>
        </w:rPr>
        <w:t>élaboration et à la mise en application des politiques et des programmes de la Gendarmerie</w:t>
      </w:r>
      <w:r w:rsidR="00795B2B">
        <w:rPr>
          <w:rFonts w:cs="Times New Roman"/>
          <w:lang w:val="fr-CA"/>
        </w:rPr>
        <w:t> »</w:t>
      </w:r>
      <w:r w:rsidRPr="00AF17C2">
        <w:rPr>
          <w:rFonts w:cs="Times New Roman"/>
          <w:lang w:val="fr-CA"/>
        </w:rPr>
        <w:t xml:space="preserve"> (</w:t>
      </w:r>
      <w:r w:rsidRPr="00AF17C2">
        <w:rPr>
          <w:rFonts w:cs="Times New Roman"/>
          <w:i/>
          <w:lang w:val="fr-CA"/>
        </w:rPr>
        <w:t>ibid.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PRRF a été conçu pour régler les problèmes à l</w:t>
      </w:r>
      <w:r>
        <w:rPr>
          <w:rFonts w:cs="Times New Roman"/>
          <w:lang w:val="fr-CA"/>
        </w:rPr>
        <w:t>’</w:t>
      </w:r>
      <w:r w:rsidRPr="00AF17C2">
        <w:rPr>
          <w:rFonts w:cs="Times New Roman"/>
          <w:lang w:val="fr-CA"/>
        </w:rPr>
        <w:t xml:space="preserve">échelon le plus bas possible de la hiérarchie de la GRC. Il vise à permettre, à chaque niveau (divisionnaire, régional et national), la tenue de consultations entre les représentants des membres et la direction au sujet des initiatives et des politiques relatives aux ressources humaines, même </w:t>
      </w:r>
      <w:r>
        <w:rPr>
          <w:rFonts w:cs="Times New Roman"/>
          <w:lang w:val="fr-CA"/>
        </w:rPr>
        <w:t>s’</w:t>
      </w:r>
      <w:r w:rsidRPr="00AF17C2">
        <w:rPr>
          <w:rFonts w:cs="Times New Roman"/>
          <w:lang w:val="fr-CA"/>
        </w:rPr>
        <w:t xml:space="preserve">il est entendu que la décision finale revient toujours à la direction.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Suivant à la fois l</w:t>
      </w:r>
      <w:r>
        <w:rPr>
          <w:rFonts w:cs="Times New Roman"/>
          <w:lang w:val="fr-CA"/>
        </w:rPr>
        <w:t>’</w:t>
      </w:r>
      <w:r w:rsidRPr="00AF17C2">
        <w:rPr>
          <w:rFonts w:cs="Times New Roman"/>
          <w:lang w:val="fr-CA"/>
        </w:rPr>
        <w:t xml:space="preserve">ancien </w:t>
      </w:r>
      <w:r>
        <w:rPr>
          <w:rFonts w:cs="Times New Roman"/>
          <w:lang w:val="fr-CA"/>
        </w:rPr>
        <w:t>et</w:t>
      </w:r>
      <w:r w:rsidRPr="00AF17C2">
        <w:rPr>
          <w:rFonts w:cs="Times New Roman"/>
          <w:lang w:val="fr-CA"/>
        </w:rPr>
        <w:t xml:space="preserve"> l</w:t>
      </w:r>
      <w:r>
        <w:rPr>
          <w:rFonts w:cs="Times New Roman"/>
          <w:lang w:val="fr-CA"/>
        </w:rPr>
        <w:t>’</w:t>
      </w:r>
      <w:r w:rsidRPr="00AF17C2">
        <w:rPr>
          <w:rFonts w:cs="Times New Roman"/>
          <w:lang w:val="fr-CA"/>
        </w:rPr>
        <w:t>actuel règlement de la GRC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56 du </w:t>
      </w:r>
      <w:r w:rsidRPr="00AF17C2">
        <w:rPr>
          <w:rFonts w:cs="Times New Roman"/>
          <w:i/>
          <w:lang w:val="fr-CA"/>
        </w:rPr>
        <w:t>Règlement de la GRC</w:t>
      </w:r>
      <w:r w:rsidR="00177B76">
        <w:rPr>
          <w:rFonts w:cs="Times New Roman"/>
          <w:i/>
          <w:lang w:val="fr-CA"/>
        </w:rPr>
        <w:t xml:space="preserve"> (</w:t>
      </w:r>
      <w:r w:rsidRPr="00AF17C2">
        <w:rPr>
          <w:rFonts w:cs="Times New Roman"/>
          <w:i/>
          <w:lang w:val="fr-CA"/>
        </w:rPr>
        <w:t>2014</w:t>
      </w:r>
      <w:r w:rsidR="00177B76">
        <w:rPr>
          <w:rFonts w:cs="Times New Roman"/>
          <w:i/>
          <w:lang w:val="fr-CA"/>
        </w:rPr>
        <w:t>)</w:t>
      </w:r>
      <w:r w:rsidRPr="00AF17C2">
        <w:rPr>
          <w:rFonts w:cs="Times New Roman"/>
          <w:lang w:val="fr-CA"/>
        </w:rPr>
        <w:t>),</w:t>
      </w:r>
      <w:r w:rsidRPr="00AF17C2">
        <w:rPr>
          <w:rFonts w:cs="Times New Roman"/>
          <w:i/>
          <w:lang w:val="fr-CA"/>
        </w:rPr>
        <w:t xml:space="preserve"> </w:t>
      </w:r>
      <w:r w:rsidRPr="00AF17C2">
        <w:rPr>
          <w:rFonts w:cs="Times New Roman"/>
          <w:lang w:val="fr-CA"/>
        </w:rPr>
        <w:t>le PRRF est appliqué par des représentants élus, connus sous le nom de représentants des relations fonctionnelles ou RRF. Trente</w:t>
      </w:r>
      <w:r w:rsidR="00795B2B">
        <w:rPr>
          <w:rFonts w:cs="Times New Roman"/>
          <w:lang w:val="fr-CA"/>
        </w:rPr>
        <w:t>-</w:t>
      </w:r>
      <w:r w:rsidRPr="00AF17C2">
        <w:rPr>
          <w:rFonts w:cs="Times New Roman"/>
          <w:lang w:val="fr-CA"/>
        </w:rPr>
        <w:t xml:space="preserve">quatre RRF sont élus par les membres réguliers et civils de la GRC pour un mandat de deux ans et ils exercent cette fonction à temps plein. Le programme </w:t>
      </w:r>
      <w:r>
        <w:rPr>
          <w:rFonts w:cs="Times New Roman"/>
          <w:lang w:val="fr-CA"/>
        </w:rPr>
        <w:t xml:space="preserve">compte </w:t>
      </w:r>
      <w:r w:rsidR="00FD6F1B">
        <w:rPr>
          <w:rFonts w:cs="Times New Roman"/>
          <w:lang w:val="fr-CA"/>
        </w:rPr>
        <w:t xml:space="preserve">de </w:t>
      </w:r>
      <w:r w:rsidRPr="00AF17C2">
        <w:rPr>
          <w:rFonts w:cs="Times New Roman"/>
          <w:lang w:val="fr-CA"/>
        </w:rPr>
        <w:t xml:space="preserve">plus 150 </w:t>
      </w:r>
      <w:proofErr w:type="spellStart"/>
      <w:r w:rsidRPr="00AF17C2">
        <w:rPr>
          <w:rFonts w:cs="Times New Roman"/>
          <w:lang w:val="fr-CA"/>
        </w:rPr>
        <w:t>sous</w:t>
      </w:r>
      <w:r w:rsidR="00795B2B">
        <w:rPr>
          <w:rFonts w:cs="Times New Roman"/>
          <w:lang w:val="fr-CA"/>
        </w:rPr>
        <w:t>-</w:t>
      </w:r>
      <w:r w:rsidRPr="00AF17C2">
        <w:rPr>
          <w:rFonts w:cs="Times New Roman"/>
          <w:lang w:val="fr-CA"/>
        </w:rPr>
        <w:t>représentants</w:t>
      </w:r>
      <w:proofErr w:type="spellEnd"/>
      <w:r w:rsidRPr="00AF17C2">
        <w:rPr>
          <w:rFonts w:cs="Times New Roman"/>
          <w:lang w:val="fr-CA"/>
        </w:rPr>
        <w:t xml:space="preserve"> à temps partiel, qui sont élus, mais qui continuent d</w:t>
      </w:r>
      <w:r>
        <w:rPr>
          <w:rFonts w:cs="Times New Roman"/>
          <w:lang w:val="fr-CA"/>
        </w:rPr>
        <w:t>’</w:t>
      </w:r>
      <w:r w:rsidRPr="00AF17C2">
        <w:rPr>
          <w:rFonts w:cs="Times New Roman"/>
          <w:lang w:val="fr-CA"/>
        </w:rPr>
        <w:t>exercer leurs fonctions courantes pendant leur mandat.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PRRF est organisé en région</w:t>
      </w:r>
      <w:r w:rsidR="00A80955">
        <w:rPr>
          <w:rFonts w:cs="Times New Roman"/>
          <w:lang w:val="fr-CA"/>
        </w:rPr>
        <w:t>s</w:t>
      </w:r>
      <w:r w:rsidRPr="00AF17C2">
        <w:rPr>
          <w:rFonts w:cs="Times New Roman"/>
          <w:lang w:val="fr-CA"/>
        </w:rPr>
        <w:t xml:space="preserve"> et en divisions (qui correspondent pour ainsi dire aux provinces et aux territoires) de manière à refléter la structure de la GRC à l</w:t>
      </w:r>
      <w:r>
        <w:rPr>
          <w:rFonts w:cs="Times New Roman"/>
          <w:lang w:val="fr-CA"/>
        </w:rPr>
        <w:t>’</w:t>
      </w:r>
      <w:r w:rsidRPr="00AF17C2">
        <w:rPr>
          <w:rFonts w:cs="Times New Roman"/>
          <w:lang w:val="fr-CA"/>
        </w:rPr>
        <w:t>échelle nationale. Son Caucus national est formé de l</w:t>
      </w:r>
      <w:r>
        <w:rPr>
          <w:rFonts w:cs="Times New Roman"/>
          <w:lang w:val="fr-CA"/>
        </w:rPr>
        <w:t>’</w:t>
      </w:r>
      <w:r w:rsidRPr="00AF17C2">
        <w:rPr>
          <w:rFonts w:cs="Times New Roman"/>
          <w:lang w:val="fr-CA"/>
        </w:rPr>
        <w:t xml:space="preserve">ensemble des RRF. Les </w:t>
      </w:r>
      <w:r w:rsidRPr="00AF17C2">
        <w:rPr>
          <w:rFonts w:cs="Times New Roman"/>
          <w:lang w:val="fr-CA"/>
        </w:rPr>
        <w:lastRenderedPageBreak/>
        <w:t>caucus régionaux comprennent tous les RRF d</w:t>
      </w:r>
      <w:r>
        <w:rPr>
          <w:rFonts w:cs="Times New Roman"/>
          <w:lang w:val="fr-CA"/>
        </w:rPr>
        <w:t>’</w:t>
      </w:r>
      <w:r w:rsidRPr="00AF17C2">
        <w:rPr>
          <w:rFonts w:cs="Times New Roman"/>
          <w:lang w:val="fr-CA"/>
        </w:rPr>
        <w:t xml:space="preserve">une région, tandis que les caucus divisionnaires regroupent tous les </w:t>
      </w:r>
      <w:r w:rsidR="00D60A3E">
        <w:rPr>
          <w:rFonts w:cs="Times New Roman"/>
          <w:lang w:val="fr-CA"/>
        </w:rPr>
        <w:t xml:space="preserve">RRF et </w:t>
      </w:r>
      <w:proofErr w:type="spellStart"/>
      <w:r w:rsidR="00D60A3E">
        <w:rPr>
          <w:rFonts w:cs="Times New Roman"/>
          <w:lang w:val="fr-CA"/>
        </w:rPr>
        <w:t>sous-</w:t>
      </w:r>
      <w:r w:rsidRPr="00AF17C2">
        <w:rPr>
          <w:rFonts w:cs="Times New Roman"/>
          <w:lang w:val="fr-CA"/>
        </w:rPr>
        <w:t>représentants</w:t>
      </w:r>
      <w:proofErr w:type="spellEnd"/>
      <w:r w:rsidRPr="00AF17C2">
        <w:rPr>
          <w:rFonts w:cs="Times New Roman"/>
          <w:lang w:val="fr-CA"/>
        </w:rPr>
        <w:t xml:space="preserve"> d</w:t>
      </w:r>
      <w:r>
        <w:rPr>
          <w:rFonts w:cs="Times New Roman"/>
          <w:lang w:val="fr-CA"/>
        </w:rPr>
        <w:t>’</w:t>
      </w:r>
      <w:r w:rsidRPr="00AF17C2">
        <w:rPr>
          <w:rFonts w:cs="Times New Roman"/>
          <w:lang w:val="fr-CA"/>
        </w:rPr>
        <w:t>une province ou d</w:t>
      </w:r>
      <w:r>
        <w:rPr>
          <w:rFonts w:cs="Times New Roman"/>
          <w:lang w:val="fr-CA"/>
        </w:rPr>
        <w:t>’</w:t>
      </w:r>
      <w:r w:rsidRPr="00AF17C2">
        <w:rPr>
          <w:rFonts w:cs="Times New Roman"/>
          <w:lang w:val="fr-CA"/>
        </w:rPr>
        <w:t xml:space="preserve">un territoire. Les caucus régionaux et divisionnaires agissent comme point de contact officiel entre les membres et la direction régionale et divisionnaire.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Comité exécutif national (</w:t>
      </w:r>
      <w:r w:rsidR="00795B2B">
        <w:rPr>
          <w:rFonts w:cs="Times New Roman"/>
          <w:lang w:val="fr-CA"/>
        </w:rPr>
        <w:t>« </w:t>
      </w:r>
      <w:r w:rsidRPr="00AF17C2">
        <w:rPr>
          <w:rFonts w:cs="Times New Roman"/>
          <w:lang w:val="fr-CA"/>
        </w:rPr>
        <w:t>CEN</w:t>
      </w:r>
      <w:r w:rsidR="00795B2B">
        <w:rPr>
          <w:rFonts w:cs="Times New Roman"/>
          <w:lang w:val="fr-CA"/>
        </w:rPr>
        <w:t> »</w:t>
      </w:r>
      <w:r w:rsidRPr="00AF17C2">
        <w:rPr>
          <w:rFonts w:cs="Times New Roman"/>
          <w:lang w:val="fr-CA"/>
        </w:rPr>
        <w:t>) constitue l</w:t>
      </w:r>
      <w:r>
        <w:rPr>
          <w:rFonts w:cs="Times New Roman"/>
          <w:lang w:val="fr-CA"/>
        </w:rPr>
        <w:t>’</w:t>
      </w:r>
      <w:r w:rsidRPr="00AF17C2">
        <w:rPr>
          <w:rFonts w:cs="Times New Roman"/>
          <w:lang w:val="fr-CA"/>
        </w:rPr>
        <w:t>organe directeur du PRRF. En outre, il préside le Caucus national. Ce dernier élit deux RRF qui siègent à temps plein au CEN pour un mandat de trois ans, tandis qu</w:t>
      </w:r>
      <w:r>
        <w:rPr>
          <w:rFonts w:cs="Times New Roman"/>
          <w:lang w:val="fr-CA"/>
        </w:rPr>
        <w:t>’</w:t>
      </w:r>
      <w:r w:rsidRPr="00AF17C2">
        <w:rPr>
          <w:rFonts w:cs="Times New Roman"/>
          <w:lang w:val="fr-CA"/>
        </w:rPr>
        <w:t>un RRF est élu par chacun des cinq caucus régionaux pour y siéger durant un mandat d</w:t>
      </w:r>
      <w:r>
        <w:rPr>
          <w:rFonts w:cs="Times New Roman"/>
          <w:lang w:val="fr-CA"/>
        </w:rPr>
        <w:t>’</w:t>
      </w:r>
      <w:r w:rsidRPr="00AF17C2">
        <w:rPr>
          <w:rFonts w:cs="Times New Roman"/>
          <w:lang w:val="fr-CA"/>
        </w:rPr>
        <w:t>un an. Les deux membres à temps plein du CEN agissent comme point de contact officiel entre le Caucus national et la direction nationale de la GRC (</w:t>
      </w:r>
      <w:r>
        <w:rPr>
          <w:rFonts w:cs="Times New Roman"/>
          <w:lang w:val="fr-CA"/>
        </w:rPr>
        <w:t>le c</w:t>
      </w:r>
      <w:r w:rsidRPr="00AF17C2">
        <w:rPr>
          <w:rFonts w:cs="Times New Roman"/>
          <w:lang w:val="fr-CA"/>
        </w:rPr>
        <w:t>ommissaire, la haute direction et le ministre de la Sécurité publique et de la Protection civile). À ce titre, ils participent aux réunions de l</w:t>
      </w:r>
      <w:r>
        <w:rPr>
          <w:rFonts w:cs="Times New Roman"/>
          <w:lang w:val="fr-CA"/>
        </w:rPr>
        <w:t>’</w:t>
      </w:r>
      <w:r w:rsidRPr="00AF17C2">
        <w:rPr>
          <w:rFonts w:cs="Times New Roman"/>
          <w:lang w:val="fr-CA"/>
        </w:rPr>
        <w:t>État</w:t>
      </w:r>
      <w:r w:rsidR="00795B2B">
        <w:rPr>
          <w:rFonts w:cs="Times New Roman"/>
          <w:lang w:val="fr-CA"/>
        </w:rPr>
        <w:t>-</w:t>
      </w:r>
      <w:r w:rsidRPr="00AF17C2">
        <w:rPr>
          <w:rFonts w:cs="Times New Roman"/>
          <w:lang w:val="fr-CA"/>
        </w:rPr>
        <w:t xml:space="preserve">major supérieur de la GRC, lieu de prises des décisions stratégiques.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Pour bien comprendre le rôle et la fonction du PRRF, il faut revenir sur l</w:t>
      </w:r>
      <w:r>
        <w:rPr>
          <w:rFonts w:cs="Times New Roman"/>
          <w:lang w:val="fr-CA"/>
        </w:rPr>
        <w:t>’</w:t>
      </w:r>
      <w:r w:rsidRPr="00AF17C2">
        <w:rPr>
          <w:rFonts w:cs="Times New Roman"/>
          <w:lang w:val="fr-CA"/>
        </w:rPr>
        <w:t>histoire des relations de travail à la GRC et sur les origines du PRRF, comme l</w:t>
      </w:r>
      <w:r>
        <w:rPr>
          <w:rFonts w:cs="Times New Roman"/>
          <w:lang w:val="fr-CA"/>
        </w:rPr>
        <w:t>’</w:t>
      </w:r>
      <w:r w:rsidRPr="00AF17C2">
        <w:rPr>
          <w:rFonts w:cs="Times New Roman"/>
          <w:lang w:val="fr-CA"/>
        </w:rPr>
        <w:t>ont fait le juge saisi de la demande et la Cour d</w:t>
      </w:r>
      <w:r>
        <w:rPr>
          <w:rFonts w:cs="Times New Roman"/>
          <w:lang w:val="fr-CA"/>
        </w:rPr>
        <w:t>’</w:t>
      </w:r>
      <w:r w:rsidRPr="00AF17C2">
        <w:rPr>
          <w:rFonts w:cs="Times New Roman"/>
          <w:lang w:val="fr-CA"/>
        </w:rPr>
        <w:t>appel. Comme nous le verrons, le PRRF a connu plusieurs changements depuis sa création. Cependant, aucun d</w:t>
      </w:r>
      <w:r>
        <w:rPr>
          <w:rFonts w:cs="Times New Roman"/>
          <w:lang w:val="fr-CA"/>
        </w:rPr>
        <w:t>’</w:t>
      </w:r>
      <w:r w:rsidRPr="00AF17C2">
        <w:rPr>
          <w:rFonts w:cs="Times New Roman"/>
          <w:lang w:val="fr-CA"/>
        </w:rPr>
        <w:t>entre eux n</w:t>
      </w:r>
      <w:r>
        <w:rPr>
          <w:rFonts w:cs="Times New Roman"/>
          <w:lang w:val="fr-CA"/>
        </w:rPr>
        <w:t>’</w:t>
      </w:r>
      <w:r w:rsidRPr="00AF17C2">
        <w:rPr>
          <w:rFonts w:cs="Times New Roman"/>
          <w:lang w:val="fr-CA"/>
        </w:rPr>
        <w:t>a eu pour effet de modifier sensiblement l</w:t>
      </w:r>
      <w:r>
        <w:rPr>
          <w:rFonts w:cs="Times New Roman"/>
          <w:lang w:val="fr-CA"/>
        </w:rPr>
        <w:t>’</w:t>
      </w:r>
      <w:r w:rsidRPr="00AF17C2">
        <w:rPr>
          <w:rFonts w:cs="Times New Roman"/>
          <w:lang w:val="fr-CA"/>
        </w:rPr>
        <w:t>objectif qu</w:t>
      </w:r>
      <w:r>
        <w:rPr>
          <w:rFonts w:cs="Times New Roman"/>
          <w:lang w:val="fr-CA"/>
        </w:rPr>
        <w:t>’</w:t>
      </w:r>
      <w:r w:rsidRPr="00AF17C2">
        <w:rPr>
          <w:rFonts w:cs="Times New Roman"/>
          <w:lang w:val="fr-CA"/>
        </w:rPr>
        <w:t xml:space="preserve">il poursuit, son rôle ou ses fonctions au sein de la chaîne de commandement de la GRC. </w:t>
      </w:r>
    </w:p>
    <w:p w:rsidR="007B74A6" w:rsidRPr="00AF17C2" w:rsidRDefault="007B74A6" w:rsidP="00795B2B">
      <w:pPr>
        <w:pStyle w:val="Title2LevelTitre2Niveau"/>
        <w:rPr>
          <w:rFonts w:cs="Times New Roman"/>
          <w:lang w:val="fr-CA"/>
        </w:rPr>
      </w:pPr>
      <w:r w:rsidRPr="00AF17C2">
        <w:rPr>
          <w:rFonts w:cs="Times New Roman"/>
          <w:lang w:val="fr-CA"/>
        </w:rPr>
        <w:t>Origines du Programme de représentants des relations fonctionnelles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Pendant une grande partie du siècle dernier, il était interdit aux membres de la GRC de se syndiquer. Entre 1918 et 1974, les décrets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 xml:space="preserve">2213 et plus </w:t>
      </w:r>
      <w:r w:rsidRPr="00AF17C2">
        <w:rPr>
          <w:rFonts w:cs="Times New Roman"/>
          <w:lang w:val="fr-CA"/>
        </w:rPr>
        <w:lastRenderedPageBreak/>
        <w:t>tard C.P.</w:t>
      </w:r>
      <w:r w:rsidR="00795B2B">
        <w:rPr>
          <w:rFonts w:cs="Times New Roman"/>
          <w:lang w:val="fr-CA"/>
        </w:rPr>
        <w:t xml:space="preserve"> </w:t>
      </w:r>
      <w:r w:rsidRPr="00AF17C2">
        <w:rPr>
          <w:rFonts w:cs="Times New Roman"/>
          <w:lang w:val="fr-CA"/>
        </w:rPr>
        <w:t xml:space="preserve">174/1981 (1945) interdisaient </w:t>
      </w:r>
      <w:r w:rsidRPr="00AF17C2">
        <w:rPr>
          <w:rFonts w:cs="Times New Roman"/>
          <w:i/>
          <w:lang w:val="fr-CA"/>
        </w:rPr>
        <w:t>toute</w:t>
      </w:r>
      <w:r w:rsidRPr="00AF17C2">
        <w:rPr>
          <w:rFonts w:cs="Times New Roman"/>
          <w:lang w:val="fr-CA"/>
        </w:rPr>
        <w:t xml:space="preserve"> activité associative, sous peine de congédiement immédiat. Cette politique était jugée nécessaire pour garantir la loyauté des membres de la GRC et leur obéissance aux ordres de leurs supérieurs, et ainsi éviter les conflits qu</w:t>
      </w:r>
      <w:r>
        <w:rPr>
          <w:rFonts w:cs="Times New Roman"/>
          <w:lang w:val="fr-CA"/>
        </w:rPr>
        <w:t>’</w:t>
      </w:r>
      <w:r w:rsidRPr="00AF17C2">
        <w:rPr>
          <w:rFonts w:cs="Times New Roman"/>
          <w:lang w:val="fr-CA"/>
        </w:rPr>
        <w:t>aurait pu provoquer leur allégeance à la cause d</w:t>
      </w:r>
      <w:r>
        <w:rPr>
          <w:rFonts w:cs="Times New Roman"/>
          <w:lang w:val="fr-CA"/>
        </w:rPr>
        <w:t>’</w:t>
      </w:r>
      <w:r w:rsidRPr="00AF17C2">
        <w:rPr>
          <w:rFonts w:cs="Times New Roman"/>
          <w:lang w:val="fr-CA"/>
        </w:rPr>
        <w:t>autres travailleurs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Pr="00AF17C2">
        <w:rPr>
          <w:rFonts w:cs="Times New Roman"/>
          <w:lang w:val="fr-CA"/>
        </w:rPr>
        <w:t>92</w:t>
      </w:r>
      <w:r w:rsidR="00795B2B">
        <w:rPr>
          <w:rFonts w:cs="Times New Roman"/>
          <w:lang w:val="fr-CA"/>
        </w:rPr>
        <w:t>-</w:t>
      </w:r>
      <w:r w:rsidRPr="00AF17C2">
        <w:rPr>
          <w:rFonts w:cs="Times New Roman"/>
          <w:lang w:val="fr-CA"/>
        </w:rPr>
        <w:t>96, les juges</w:t>
      </w:r>
      <w:r w:rsidRPr="00AF17C2">
        <w:rPr>
          <w:rFonts w:cs="Times New Roman"/>
          <w:i/>
          <w:lang w:val="fr-CA"/>
        </w:rPr>
        <w:t xml:space="preserve"> </w:t>
      </w:r>
      <w:r w:rsidRPr="00AF17C2">
        <w:rPr>
          <w:rFonts w:cs="Times New Roman"/>
          <w:lang w:val="fr-CA"/>
        </w:rPr>
        <w:t xml:space="preserve">Cory et </w:t>
      </w:r>
      <w:proofErr w:type="spellStart"/>
      <w:r w:rsidRPr="00AF17C2">
        <w:rPr>
          <w:rFonts w:cs="Times New Roman"/>
          <w:lang w:val="fr-CA"/>
        </w:rPr>
        <w:t>Iacobucci</w:t>
      </w:r>
      <w:proofErr w:type="spellEnd"/>
      <w:r w:rsidRPr="00AF17C2">
        <w:rPr>
          <w:rFonts w:cs="Times New Roman"/>
          <w:lang w:val="fr-CA"/>
        </w:rPr>
        <w:t>, dissidents).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 régime de négociation collective dans la fonction publique au Canada remonte à 1967, avec l</w:t>
      </w:r>
      <w:r>
        <w:rPr>
          <w:rFonts w:cs="Times New Roman"/>
          <w:lang w:val="fr-CA"/>
        </w:rPr>
        <w:t>’</w:t>
      </w:r>
      <w:r w:rsidRPr="00AF17C2">
        <w:rPr>
          <w:rFonts w:cs="Times New Roman"/>
          <w:lang w:val="fr-CA"/>
        </w:rPr>
        <w:t xml:space="preserve">adoption de la première version de la </w:t>
      </w:r>
      <w:r w:rsidRPr="00AF17C2">
        <w:rPr>
          <w:rFonts w:cs="Times New Roman"/>
          <w:i/>
          <w:lang w:val="fr-CA"/>
        </w:rPr>
        <w:t>Loi sur le</w:t>
      </w:r>
      <w:r w:rsidR="00532BB9">
        <w:rPr>
          <w:rFonts w:cs="Times New Roman"/>
          <w:i/>
          <w:lang w:val="fr-CA"/>
        </w:rPr>
        <w:t>s relations de travail dans la F</w:t>
      </w:r>
      <w:r w:rsidRPr="00AF17C2">
        <w:rPr>
          <w:rFonts w:cs="Times New Roman"/>
          <w:i/>
          <w:lang w:val="fr-CA"/>
        </w:rPr>
        <w:t>onction publique</w:t>
      </w:r>
      <w:r w:rsidRPr="00AF17C2">
        <w:rPr>
          <w:rFonts w:cs="Times New Roman"/>
          <w:lang w:val="fr-CA"/>
        </w:rPr>
        <w:t>, S.C. 1966</w:t>
      </w:r>
      <w:r w:rsidR="00795B2B">
        <w:rPr>
          <w:rFonts w:cs="Times New Roman"/>
          <w:lang w:val="fr-CA"/>
        </w:rPr>
        <w:t>-</w:t>
      </w:r>
      <w:r w:rsidRPr="00AF17C2">
        <w:rPr>
          <w:rFonts w:cs="Times New Roman"/>
          <w:lang w:val="fr-CA"/>
        </w:rPr>
        <w:t>67, c.</w:t>
      </w:r>
      <w:r w:rsidR="00795B2B">
        <w:rPr>
          <w:rFonts w:cs="Times New Roman"/>
          <w:lang w:val="fr-CA"/>
        </w:rPr>
        <w:t xml:space="preserve"> </w:t>
      </w:r>
      <w:r w:rsidRPr="00AF17C2">
        <w:rPr>
          <w:rFonts w:cs="Times New Roman"/>
          <w:lang w:val="fr-CA"/>
        </w:rPr>
        <w:t>72 (</w:t>
      </w:r>
      <w:r w:rsidR="00795B2B">
        <w:rPr>
          <w:rFonts w:cs="Times New Roman"/>
          <w:lang w:val="fr-CA"/>
        </w:rPr>
        <w:t>« </w:t>
      </w:r>
      <w:r w:rsidRPr="00AF17C2">
        <w:rPr>
          <w:rFonts w:cs="Times New Roman"/>
          <w:lang w:val="fr-CA"/>
        </w:rPr>
        <w:t xml:space="preserve">première </w:t>
      </w:r>
      <w:r w:rsidRPr="00AF17C2">
        <w:rPr>
          <w:rFonts w:cs="Times New Roman"/>
          <w:i/>
          <w:lang w:val="fr-CA"/>
        </w:rPr>
        <w:t>LRTFP</w:t>
      </w:r>
      <w:r w:rsidR="00795B2B">
        <w:rPr>
          <w:rFonts w:cs="Times New Roman"/>
          <w:lang w:val="fr-CA"/>
        </w:rPr>
        <w:t> »</w:t>
      </w:r>
      <w:r w:rsidRPr="00AF17C2">
        <w:rPr>
          <w:rFonts w:cs="Times New Roman"/>
          <w:lang w:val="fr-CA"/>
        </w:rPr>
        <w:t xml:space="preserve">). Cette loi excluait les membres de la GRC du régime de négociation collective, un principe maintenu par la </w:t>
      </w:r>
      <w:r w:rsidRPr="00AF17C2">
        <w:rPr>
          <w:rFonts w:cs="Times New Roman"/>
          <w:i/>
          <w:lang w:val="fr-CA"/>
        </w:rPr>
        <w:t xml:space="preserve">LRTFP </w:t>
      </w:r>
      <w:r w:rsidRPr="00AF17C2">
        <w:rPr>
          <w:rFonts w:cs="Times New Roman"/>
          <w:lang w:val="fr-CA"/>
        </w:rPr>
        <w:t>actuelle</w:t>
      </w:r>
      <w:r w:rsidRPr="00532BB9">
        <w:rPr>
          <w:rFonts w:cs="Times New Roman"/>
          <w:lang w:val="fr-CA"/>
        </w:rPr>
        <w:t>.</w:t>
      </w:r>
      <w:r w:rsidRPr="00AF17C2">
        <w:rPr>
          <w:rFonts w:cs="Times New Roman"/>
          <w:i/>
          <w:lang w:val="fr-CA"/>
        </w:rPr>
        <w:t xml:space="preserve"> </w:t>
      </w:r>
      <w:r w:rsidRPr="00AF17C2">
        <w:rPr>
          <w:rFonts w:cs="Times New Roman"/>
          <w:lang w:val="fr-CA"/>
        </w:rPr>
        <w:t>Avant l</w:t>
      </w:r>
      <w:r>
        <w:rPr>
          <w:rFonts w:cs="Times New Roman"/>
          <w:lang w:val="fr-CA"/>
        </w:rPr>
        <w:t>’</w:t>
      </w:r>
      <w:r w:rsidRPr="00AF17C2">
        <w:rPr>
          <w:rFonts w:cs="Times New Roman"/>
          <w:lang w:val="fr-CA"/>
        </w:rPr>
        <w:t xml:space="preserve">adoption de la première </w:t>
      </w:r>
      <w:r w:rsidRPr="00AF17C2">
        <w:rPr>
          <w:rFonts w:cs="Times New Roman"/>
          <w:i/>
          <w:lang w:val="fr-CA"/>
        </w:rPr>
        <w:t xml:space="preserve">LRTFP </w:t>
      </w:r>
      <w:r w:rsidRPr="00AF17C2">
        <w:rPr>
          <w:rFonts w:cs="Times New Roman"/>
          <w:lang w:val="fr-CA"/>
        </w:rPr>
        <w:t>en 1967, le comité mis sur pied par le gouvernement pour examiner l</w:t>
      </w:r>
      <w:r>
        <w:rPr>
          <w:rFonts w:cs="Times New Roman"/>
          <w:lang w:val="fr-CA"/>
        </w:rPr>
        <w:t>’</w:t>
      </w:r>
      <w:r w:rsidRPr="00AF17C2">
        <w:rPr>
          <w:rFonts w:cs="Times New Roman"/>
          <w:lang w:val="fr-CA"/>
        </w:rPr>
        <w:t>opportunité et la manière de mettre en œuvre un régime de négociation collective dans la fonction publique fédérale avait exprimé des inquiétudes sur la loyauté et l</w:t>
      </w:r>
      <w:r>
        <w:rPr>
          <w:rFonts w:cs="Times New Roman"/>
          <w:lang w:val="fr-CA"/>
        </w:rPr>
        <w:t>’</w:t>
      </w:r>
      <w:r w:rsidR="00FD6F1B">
        <w:rPr>
          <w:rFonts w:cs="Times New Roman"/>
          <w:lang w:val="fr-CA"/>
        </w:rPr>
        <w:t>obéissance au sein de la G</w:t>
      </w:r>
      <w:r w:rsidRPr="00AF17C2">
        <w:rPr>
          <w:rFonts w:cs="Times New Roman"/>
          <w:lang w:val="fr-CA"/>
        </w:rPr>
        <w:t xml:space="preserve">endarmerie. Le comité exprimait alors des préoccupations similaires à celles qui avaient mené à la prise des décrets interdisant aux membres de la GRC de se livrer à des activités associatives. Dans ce qui est connu sous le nom de Rapport </w:t>
      </w:r>
      <w:proofErr w:type="spellStart"/>
      <w:r w:rsidRPr="00AF17C2">
        <w:rPr>
          <w:rFonts w:cs="Times New Roman"/>
          <w:lang w:val="fr-CA"/>
        </w:rPr>
        <w:t>Heeney</w:t>
      </w:r>
      <w:proofErr w:type="spellEnd"/>
      <w:r w:rsidRPr="00AF17C2">
        <w:rPr>
          <w:rFonts w:cs="Times New Roman"/>
          <w:lang w:val="fr-CA"/>
        </w:rPr>
        <w:t>, le comité recommandait l</w:t>
      </w:r>
      <w:r>
        <w:rPr>
          <w:rFonts w:cs="Times New Roman"/>
          <w:lang w:val="fr-CA"/>
        </w:rPr>
        <w:t>’</w:t>
      </w:r>
      <w:r w:rsidRPr="00AF17C2">
        <w:rPr>
          <w:rFonts w:cs="Times New Roman"/>
          <w:lang w:val="fr-CA"/>
        </w:rPr>
        <w:t>exclusion des membres de la GRC du régime de relations de travail qu</w:t>
      </w:r>
      <w:r>
        <w:rPr>
          <w:rFonts w:cs="Times New Roman"/>
          <w:lang w:val="fr-CA"/>
        </w:rPr>
        <w:t>’</w:t>
      </w:r>
      <w:r w:rsidRPr="00AF17C2">
        <w:rPr>
          <w:rFonts w:cs="Times New Roman"/>
          <w:lang w:val="fr-CA"/>
        </w:rPr>
        <w:t>il proposait (</w:t>
      </w:r>
      <w:r w:rsidRPr="00AF17C2">
        <w:rPr>
          <w:rFonts w:cs="Times New Roman"/>
          <w:i/>
          <w:lang w:val="fr-CA"/>
        </w:rPr>
        <w:t>Rapport du Comité préparatoire des négociations collectives dans la fonction publique</w:t>
      </w:r>
      <w:r w:rsidRPr="00AF17C2">
        <w:rPr>
          <w:rFonts w:cs="Times New Roman"/>
          <w:lang w:val="fr-CA"/>
        </w:rPr>
        <w:t xml:space="preserve"> (1965), p.</w:t>
      </w:r>
      <w:r w:rsidR="00795B2B">
        <w:rPr>
          <w:rFonts w:cs="Times New Roman"/>
          <w:lang w:val="fr-CA"/>
        </w:rPr>
        <w:t xml:space="preserve"> </w:t>
      </w:r>
      <w:r w:rsidRPr="00AF17C2">
        <w:rPr>
          <w:rFonts w:cs="Times New Roman"/>
          <w:lang w:val="fr-CA"/>
        </w:rPr>
        <w:t xml:space="preserve">27;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Pr="00AF17C2">
        <w:rPr>
          <w:rFonts w:cs="Times New Roman"/>
          <w:lang w:val="fr-CA"/>
        </w:rPr>
        <w:t>97</w:t>
      </w:r>
      <w:r w:rsidR="00795B2B">
        <w:rPr>
          <w:rFonts w:cs="Times New Roman"/>
          <w:lang w:val="fr-CA"/>
        </w:rPr>
        <w:t>-</w:t>
      </w:r>
      <w:r w:rsidRPr="00AF17C2">
        <w:rPr>
          <w:rFonts w:cs="Times New Roman"/>
          <w:lang w:val="fr-CA"/>
        </w:rPr>
        <w:t>98, les juges</w:t>
      </w:r>
      <w:r w:rsidRPr="00AF17C2">
        <w:rPr>
          <w:rFonts w:cs="Times New Roman"/>
          <w:i/>
          <w:lang w:val="fr-CA"/>
        </w:rPr>
        <w:t xml:space="preserve"> </w:t>
      </w:r>
      <w:r w:rsidRPr="00AF17C2">
        <w:rPr>
          <w:rFonts w:cs="Times New Roman"/>
          <w:lang w:val="fr-CA"/>
        </w:rPr>
        <w:t xml:space="preserve">Cory et </w:t>
      </w:r>
      <w:proofErr w:type="spellStart"/>
      <w:r w:rsidRPr="00AF17C2">
        <w:rPr>
          <w:rFonts w:cs="Times New Roman"/>
          <w:lang w:val="fr-CA"/>
        </w:rPr>
        <w:t>Iacobucci</w:t>
      </w:r>
      <w:proofErr w:type="spellEnd"/>
      <w:r w:rsidRPr="00AF17C2">
        <w:rPr>
          <w:rFonts w:cs="Times New Roman"/>
          <w:lang w:val="fr-CA"/>
        </w:rPr>
        <w:t>, dissidents). Le Rapport Woods de 1968 proposait toutefois d</w:t>
      </w:r>
      <w:r>
        <w:rPr>
          <w:rFonts w:cs="Times New Roman"/>
          <w:lang w:val="fr-CA"/>
        </w:rPr>
        <w:t>’</w:t>
      </w:r>
      <w:r w:rsidRPr="00AF17C2">
        <w:rPr>
          <w:rFonts w:cs="Times New Roman"/>
          <w:lang w:val="fr-CA"/>
        </w:rPr>
        <w:t>accorder aux agents fédéraux responsables de l</w:t>
      </w:r>
      <w:r>
        <w:rPr>
          <w:rFonts w:cs="Times New Roman"/>
          <w:lang w:val="fr-CA"/>
        </w:rPr>
        <w:t>’</w:t>
      </w:r>
      <w:r w:rsidRPr="00AF17C2">
        <w:rPr>
          <w:rFonts w:cs="Times New Roman"/>
          <w:lang w:val="fr-CA"/>
        </w:rPr>
        <w:t>application de la loi le droit de s</w:t>
      </w:r>
      <w:r>
        <w:rPr>
          <w:rFonts w:cs="Times New Roman"/>
          <w:lang w:val="fr-CA"/>
        </w:rPr>
        <w:t>’</w:t>
      </w:r>
      <w:r w:rsidRPr="00AF17C2">
        <w:rPr>
          <w:rFonts w:cs="Times New Roman"/>
          <w:lang w:val="fr-CA"/>
        </w:rPr>
        <w:t>associer et de négocier collectivement, sous réserve de certaines limites (</w:t>
      </w:r>
      <w:r w:rsidRPr="00AF17C2">
        <w:rPr>
          <w:rFonts w:cs="Times New Roman"/>
          <w:i/>
          <w:szCs w:val="24"/>
          <w:lang w:val="fr-CA"/>
        </w:rPr>
        <w:t>Les relations du travail au Canada</w:t>
      </w:r>
      <w:r w:rsidR="00795B2B">
        <w:rPr>
          <w:rFonts w:cs="Times New Roman"/>
          <w:i/>
          <w:szCs w:val="24"/>
          <w:lang w:val="fr-CA"/>
        </w:rPr>
        <w:t> :</w:t>
      </w:r>
      <w:r w:rsidRPr="00AF17C2">
        <w:rPr>
          <w:rFonts w:cs="Times New Roman"/>
          <w:i/>
          <w:szCs w:val="24"/>
          <w:lang w:val="fr-CA"/>
        </w:rPr>
        <w:t xml:space="preserve"> Rapport de l</w:t>
      </w:r>
      <w:r>
        <w:rPr>
          <w:rFonts w:cs="Times New Roman"/>
          <w:i/>
          <w:szCs w:val="24"/>
          <w:lang w:val="fr-CA"/>
        </w:rPr>
        <w:t>’</w:t>
      </w:r>
      <w:r w:rsidRPr="00AF17C2">
        <w:rPr>
          <w:rFonts w:cs="Times New Roman"/>
          <w:i/>
          <w:szCs w:val="24"/>
          <w:lang w:val="fr-CA"/>
        </w:rPr>
        <w:t>Équipe spécialisée en relations de travail</w:t>
      </w:r>
      <w:r w:rsidRPr="00AF17C2">
        <w:rPr>
          <w:rFonts w:cs="Times New Roman"/>
          <w:i/>
          <w:iCs/>
          <w:szCs w:val="24"/>
          <w:lang w:val="fr-CA"/>
        </w:rPr>
        <w:t xml:space="preserve"> </w:t>
      </w:r>
      <w:r w:rsidRPr="00AF17C2">
        <w:rPr>
          <w:rFonts w:cs="Times New Roman"/>
          <w:iCs/>
          <w:szCs w:val="24"/>
          <w:lang w:val="fr-CA"/>
        </w:rPr>
        <w:t>(</w:t>
      </w:r>
      <w:r w:rsidRPr="00AF17C2">
        <w:rPr>
          <w:rFonts w:cs="Times New Roman"/>
          <w:szCs w:val="24"/>
          <w:lang w:val="fr-CA"/>
        </w:rPr>
        <w:t>1969), par.</w:t>
      </w:r>
      <w:r w:rsidR="00795B2B">
        <w:rPr>
          <w:rFonts w:cs="Times New Roman"/>
          <w:szCs w:val="24"/>
          <w:lang w:val="fr-CA"/>
        </w:rPr>
        <w:t xml:space="preserve"> </w:t>
      </w:r>
      <w:r w:rsidRPr="00AF17C2">
        <w:rPr>
          <w:rFonts w:cs="Times New Roman"/>
          <w:szCs w:val="24"/>
          <w:lang w:val="fr-CA"/>
        </w:rPr>
        <w:t>440).</w:t>
      </w:r>
    </w:p>
    <w:p w:rsidR="007B74A6" w:rsidRPr="00AF17C2" w:rsidRDefault="007B74A6" w:rsidP="00795B2B">
      <w:pPr>
        <w:pStyle w:val="ParaNoNdepar-AltN"/>
        <w:rPr>
          <w:rFonts w:cs="Times New Roman"/>
          <w:lang w:val="fr-CA"/>
        </w:rPr>
      </w:pPr>
      <w:r w:rsidRPr="00AF17C2">
        <w:rPr>
          <w:rFonts w:cs="Times New Roman"/>
          <w:lang w:val="fr-CA"/>
        </w:rPr>
        <w:lastRenderedPageBreak/>
        <w:t>Plus tard, au début des années</w:t>
      </w:r>
      <w:r w:rsidR="00795B2B">
        <w:rPr>
          <w:rFonts w:cs="Times New Roman"/>
          <w:lang w:val="fr-CA"/>
        </w:rPr>
        <w:t xml:space="preserve"> </w:t>
      </w:r>
      <w:r w:rsidRPr="00AF17C2">
        <w:rPr>
          <w:rFonts w:cs="Times New Roman"/>
          <w:lang w:val="fr-CA"/>
        </w:rPr>
        <w:t>1970, le mécontentement qui se faisait sentir au sein de la GRC a incité ses membres à entreprendre de former une association pour défendre leurs intérêts (J.</w:t>
      </w:r>
      <w:r w:rsidR="00795B2B">
        <w:rPr>
          <w:rFonts w:cs="Times New Roman"/>
          <w:lang w:val="fr-CA"/>
        </w:rPr>
        <w:t xml:space="preserve"> </w:t>
      </w:r>
      <w:r w:rsidRPr="00AF17C2">
        <w:rPr>
          <w:rFonts w:cs="Times New Roman"/>
          <w:lang w:val="fr-CA"/>
        </w:rPr>
        <w:t xml:space="preserve">F. Hardy et A. </w:t>
      </w:r>
      <w:proofErr w:type="spellStart"/>
      <w:r w:rsidRPr="00AF17C2">
        <w:rPr>
          <w:rFonts w:cs="Times New Roman"/>
          <w:lang w:val="fr-CA"/>
        </w:rPr>
        <w:t>Ponak</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 xml:space="preserve">Staff Relations in the Royal Canadian </w:t>
      </w:r>
      <w:proofErr w:type="spellStart"/>
      <w:r w:rsidRPr="00AF17C2">
        <w:rPr>
          <w:rFonts w:cs="Times New Roman"/>
          <w:lang w:val="fr-CA"/>
        </w:rPr>
        <w:t>Mounted</w:t>
      </w:r>
      <w:proofErr w:type="spellEnd"/>
      <w:r w:rsidRPr="00AF17C2">
        <w:rPr>
          <w:rFonts w:cs="Times New Roman"/>
          <w:lang w:val="fr-CA"/>
        </w:rPr>
        <w:t xml:space="preserve"> Police</w:t>
      </w:r>
      <w:r w:rsidR="00795B2B">
        <w:rPr>
          <w:rFonts w:cs="Times New Roman"/>
          <w:lang w:val="fr-CA"/>
        </w:rPr>
        <w:t> »</w:t>
      </w:r>
      <w:r w:rsidRPr="00AF17C2">
        <w:rPr>
          <w:rFonts w:cs="Times New Roman"/>
          <w:lang w:val="fr-CA"/>
        </w:rPr>
        <w:t xml:space="preserve"> (1983), 12 </w:t>
      </w:r>
      <w:r w:rsidRPr="00AF17C2">
        <w:rPr>
          <w:rFonts w:cs="Times New Roman"/>
          <w:i/>
          <w:lang w:val="fr-CA"/>
        </w:rPr>
        <w:t xml:space="preserve">J. Collective </w:t>
      </w:r>
      <w:proofErr w:type="spellStart"/>
      <w:r w:rsidRPr="00AF17C2">
        <w:rPr>
          <w:rFonts w:cs="Times New Roman"/>
          <w:i/>
          <w:lang w:val="fr-CA"/>
        </w:rPr>
        <w:t>Negotiations</w:t>
      </w:r>
      <w:proofErr w:type="spellEnd"/>
      <w:r w:rsidR="00795B2B">
        <w:rPr>
          <w:rFonts w:cs="Times New Roman"/>
          <w:lang w:val="fr-CA"/>
        </w:rPr>
        <w:t xml:space="preserve"> </w:t>
      </w:r>
      <w:r w:rsidRPr="00AF17C2">
        <w:rPr>
          <w:rFonts w:cs="Times New Roman"/>
          <w:lang w:val="fr-CA"/>
        </w:rPr>
        <w:t>87, p.</w:t>
      </w:r>
      <w:r w:rsidR="00795B2B">
        <w:rPr>
          <w:rFonts w:cs="Times New Roman"/>
          <w:lang w:val="fr-CA"/>
        </w:rPr>
        <w:t xml:space="preserve"> </w:t>
      </w:r>
      <w:r w:rsidRPr="00AF17C2">
        <w:rPr>
          <w:rFonts w:cs="Times New Roman"/>
          <w:lang w:val="fr-CA"/>
        </w:rPr>
        <w:t>89</w:t>
      </w:r>
      <w:r w:rsidR="00795B2B">
        <w:rPr>
          <w:rFonts w:cs="Times New Roman"/>
          <w:lang w:val="fr-CA"/>
        </w:rPr>
        <w:t>-</w:t>
      </w:r>
      <w:r w:rsidRPr="00AF17C2">
        <w:rPr>
          <w:rFonts w:cs="Times New Roman"/>
          <w:lang w:val="fr-CA"/>
        </w:rPr>
        <w:t>90). Un comité exploratoire a été créé en 1972 dans l</w:t>
      </w:r>
      <w:r>
        <w:rPr>
          <w:rFonts w:cs="Times New Roman"/>
          <w:lang w:val="fr-CA"/>
        </w:rPr>
        <w:t>’</w:t>
      </w:r>
      <w:r w:rsidRPr="00AF17C2">
        <w:rPr>
          <w:rFonts w:cs="Times New Roman"/>
          <w:lang w:val="fr-CA"/>
        </w:rPr>
        <w:t>espoir de créer une association, et, au début de l</w:t>
      </w:r>
      <w:r>
        <w:rPr>
          <w:rFonts w:cs="Times New Roman"/>
          <w:lang w:val="fr-CA"/>
        </w:rPr>
        <w:t>’</w:t>
      </w:r>
      <w:r w:rsidRPr="00AF17C2">
        <w:rPr>
          <w:rFonts w:cs="Times New Roman"/>
          <w:lang w:val="fr-CA"/>
        </w:rPr>
        <w:t>année 1974, des rencontres sur l</w:t>
      </w:r>
      <w:r>
        <w:rPr>
          <w:rFonts w:cs="Times New Roman"/>
          <w:lang w:val="fr-CA"/>
        </w:rPr>
        <w:t>’</w:t>
      </w:r>
      <w:r w:rsidRPr="00AF17C2">
        <w:rPr>
          <w:rFonts w:cs="Times New Roman"/>
          <w:lang w:val="fr-CA"/>
        </w:rPr>
        <w:t>opportunité de constituer une association, qui ont attiré un grand nombre de participants, ont eu lieu à Montréal, à Toronto, à Ottawa, à Vancouver et dans de petits centres (</w:t>
      </w:r>
      <w:r w:rsidRPr="00AF17C2">
        <w:rPr>
          <w:rFonts w:cs="Times New Roman"/>
          <w:i/>
          <w:lang w:val="fr-CA"/>
        </w:rPr>
        <w:t>Examen Défi</w:t>
      </w:r>
      <w:r w:rsidR="00795B2B">
        <w:rPr>
          <w:rFonts w:cs="Times New Roman"/>
          <w:i/>
          <w:lang w:val="fr-CA"/>
        </w:rPr>
        <w:t xml:space="preserve"> </w:t>
      </w:r>
      <w:r w:rsidRPr="00AF17C2">
        <w:rPr>
          <w:rFonts w:cs="Times New Roman"/>
          <w:i/>
          <w:lang w:val="fr-CA"/>
        </w:rPr>
        <w:t>2000 du programme des RRF</w:t>
      </w:r>
      <w:r w:rsidR="00795B2B">
        <w:rPr>
          <w:rFonts w:cs="Times New Roman"/>
          <w:i/>
          <w:lang w:val="fr-CA"/>
        </w:rPr>
        <w:t> :</w:t>
      </w:r>
      <w:r w:rsidRPr="00AF17C2">
        <w:rPr>
          <w:rFonts w:cs="Times New Roman"/>
          <w:i/>
          <w:lang w:val="fr-CA"/>
        </w:rPr>
        <w:t xml:space="preserve"> Rapport final</w:t>
      </w:r>
      <w:r w:rsidRPr="00AF17C2">
        <w:rPr>
          <w:rFonts w:cs="Times New Roman"/>
          <w:lang w:val="fr-CA"/>
        </w:rPr>
        <w:t xml:space="preserve"> (janvier 2003), p.</w:t>
      </w:r>
      <w:r w:rsidR="00795B2B">
        <w:rPr>
          <w:rFonts w:cs="Times New Roman"/>
          <w:lang w:val="fr-CA"/>
        </w:rPr>
        <w:t xml:space="preserve"> </w:t>
      </w:r>
      <w:r w:rsidRPr="00AF17C2">
        <w:rPr>
          <w:rFonts w:cs="Times New Roman"/>
          <w:lang w:val="fr-CA"/>
        </w:rPr>
        <w:t>10-11). À la même époque, la direction de la GRC a commencé à manifester plus d</w:t>
      </w:r>
      <w:r>
        <w:rPr>
          <w:rFonts w:cs="Times New Roman"/>
          <w:lang w:val="fr-CA"/>
        </w:rPr>
        <w:t>’</w:t>
      </w:r>
      <w:r w:rsidRPr="00AF17C2">
        <w:rPr>
          <w:rFonts w:cs="Times New Roman"/>
          <w:lang w:val="fr-CA"/>
        </w:rPr>
        <w:t>ouverture à l</w:t>
      </w:r>
      <w:r>
        <w:rPr>
          <w:rFonts w:cs="Times New Roman"/>
          <w:lang w:val="fr-CA"/>
        </w:rPr>
        <w:t>’</w:t>
      </w:r>
      <w:r w:rsidRPr="00AF17C2">
        <w:rPr>
          <w:rFonts w:cs="Times New Roman"/>
          <w:lang w:val="fr-CA"/>
        </w:rPr>
        <w:t xml:space="preserve">égard des préoccupations des membres et le </w:t>
      </w:r>
      <w:r>
        <w:rPr>
          <w:rFonts w:cs="Times New Roman"/>
          <w:lang w:val="fr-CA"/>
        </w:rPr>
        <w:t>c</w:t>
      </w:r>
      <w:r w:rsidRPr="00AF17C2">
        <w:rPr>
          <w:rFonts w:cs="Times New Roman"/>
          <w:lang w:val="fr-CA"/>
        </w:rPr>
        <w:t xml:space="preserve">ommissaire alors en poste a entamé une série de réunions annuelles avec les représentants des membres de chaque division. Il convient toutefois de souligner que, si ces </w:t>
      </w:r>
      <w:r w:rsidR="00795B2B">
        <w:rPr>
          <w:rFonts w:cs="Times New Roman"/>
          <w:lang w:val="fr-CA"/>
        </w:rPr>
        <w:t>« </w:t>
      </w:r>
      <w:r w:rsidRPr="00AF17C2">
        <w:rPr>
          <w:rFonts w:cs="Times New Roman"/>
          <w:lang w:val="fr-CA"/>
        </w:rPr>
        <w:t>représentants</w:t>
      </w:r>
      <w:r w:rsidR="00795B2B">
        <w:rPr>
          <w:rFonts w:cs="Times New Roman"/>
          <w:lang w:val="fr-CA"/>
        </w:rPr>
        <w:t> »</w:t>
      </w:r>
      <w:r w:rsidRPr="00AF17C2">
        <w:rPr>
          <w:rFonts w:cs="Times New Roman"/>
          <w:lang w:val="fr-CA"/>
        </w:rPr>
        <w:t xml:space="preserve"> étaient dans certains cas élus par les membres, ils étaient, dans la plupart des cas, simplement nommés par leur commandant et devaient participer aux réunions en plus d</w:t>
      </w:r>
      <w:r>
        <w:rPr>
          <w:rFonts w:cs="Times New Roman"/>
          <w:lang w:val="fr-CA"/>
        </w:rPr>
        <w:t>’</w:t>
      </w:r>
      <w:r w:rsidRPr="00AF17C2">
        <w:rPr>
          <w:rFonts w:cs="Times New Roman"/>
          <w:lang w:val="fr-CA"/>
        </w:rPr>
        <w:t>exercer leurs fonctions à temps plein. Des consultations eurent ainsi lieu, mais aucune entente ne fut conclue sur les questions soulevées.</w:t>
      </w:r>
    </w:p>
    <w:p w:rsidR="007B74A6" w:rsidRPr="00AF17C2" w:rsidRDefault="007B74A6" w:rsidP="00795B2B">
      <w:pPr>
        <w:pStyle w:val="ParaNoNdepar-AltN"/>
        <w:rPr>
          <w:rFonts w:cs="Times New Roman"/>
          <w:lang w:val="fr-CA"/>
        </w:rPr>
      </w:pPr>
      <w:r w:rsidRPr="00AF17C2">
        <w:rPr>
          <w:rFonts w:cs="Times New Roman"/>
          <w:lang w:val="fr-CA"/>
        </w:rPr>
        <w:t xml:space="preserve">En mai 1974, le nouveau </w:t>
      </w:r>
      <w:r>
        <w:rPr>
          <w:rFonts w:cs="Times New Roman"/>
          <w:lang w:val="fr-CA"/>
        </w:rPr>
        <w:t>c</w:t>
      </w:r>
      <w:r w:rsidRPr="00AF17C2">
        <w:rPr>
          <w:rFonts w:cs="Times New Roman"/>
          <w:lang w:val="fr-CA"/>
        </w:rPr>
        <w:t>ommissaire, Maurice Jean Nadon, a rencontré les représentants des membres de la GRC et a proposé un plan en vue d</w:t>
      </w:r>
      <w:r>
        <w:rPr>
          <w:rFonts w:cs="Times New Roman"/>
          <w:lang w:val="fr-CA"/>
        </w:rPr>
        <w:t>’</w:t>
      </w:r>
      <w:r w:rsidRPr="00AF17C2">
        <w:rPr>
          <w:rFonts w:cs="Times New Roman"/>
          <w:lang w:val="fr-CA"/>
        </w:rPr>
        <w:t>établir un régime formel de relations de travail au sein de la GRC. Le plan a fait l</w:t>
      </w:r>
      <w:r>
        <w:rPr>
          <w:rFonts w:cs="Times New Roman"/>
          <w:lang w:val="fr-CA"/>
        </w:rPr>
        <w:t>’</w:t>
      </w:r>
      <w:r w:rsidRPr="00AF17C2">
        <w:rPr>
          <w:rFonts w:cs="Times New Roman"/>
          <w:lang w:val="fr-CA"/>
        </w:rPr>
        <w:t>objet d</w:t>
      </w:r>
      <w:r>
        <w:rPr>
          <w:rFonts w:cs="Times New Roman"/>
          <w:lang w:val="fr-CA"/>
        </w:rPr>
        <w:t>’</w:t>
      </w:r>
      <w:r w:rsidRPr="00AF17C2">
        <w:rPr>
          <w:rFonts w:cs="Times New Roman"/>
          <w:lang w:val="fr-CA"/>
        </w:rPr>
        <w:t>un référendum et les membres de toutes les divisions l</w:t>
      </w:r>
      <w:r>
        <w:rPr>
          <w:rFonts w:cs="Times New Roman"/>
          <w:lang w:val="fr-CA"/>
        </w:rPr>
        <w:t>’</w:t>
      </w:r>
      <w:r w:rsidRPr="00AF17C2">
        <w:rPr>
          <w:rFonts w:cs="Times New Roman"/>
          <w:lang w:val="fr-CA"/>
        </w:rPr>
        <w:t xml:space="preserve">approuvèrent, sauf la Division </w:t>
      </w:r>
      <w:r w:rsidR="00795B2B">
        <w:rPr>
          <w:rFonts w:cs="Times New Roman"/>
          <w:lang w:val="fr-CA"/>
        </w:rPr>
        <w:t>« </w:t>
      </w:r>
      <w:r w:rsidRPr="00AF17C2">
        <w:rPr>
          <w:rFonts w:cs="Times New Roman"/>
          <w:lang w:val="fr-CA"/>
        </w:rPr>
        <w:t>C</w:t>
      </w:r>
      <w:r w:rsidR="00795B2B">
        <w:rPr>
          <w:rFonts w:cs="Times New Roman"/>
          <w:lang w:val="fr-CA"/>
        </w:rPr>
        <w:t> »</w:t>
      </w:r>
      <w:r w:rsidRPr="00AF17C2">
        <w:rPr>
          <w:rFonts w:cs="Times New Roman"/>
          <w:lang w:val="fr-CA"/>
        </w:rPr>
        <w:t xml:space="preserve"> (du Québec). Le Programme de représentants divisionnaires des relations fonctionnelles (</w:t>
      </w:r>
      <w:r w:rsidR="00795B2B">
        <w:rPr>
          <w:rFonts w:cs="Times New Roman"/>
          <w:lang w:val="fr-CA"/>
        </w:rPr>
        <w:t>« </w:t>
      </w:r>
      <w:r w:rsidRPr="00AF17C2">
        <w:rPr>
          <w:rFonts w:cs="Times New Roman"/>
          <w:lang w:val="fr-CA"/>
        </w:rPr>
        <w:t>PRDRF</w:t>
      </w:r>
      <w:r w:rsidR="00795B2B">
        <w:rPr>
          <w:rFonts w:cs="Times New Roman"/>
          <w:lang w:val="fr-CA"/>
        </w:rPr>
        <w:t> »</w:t>
      </w:r>
      <w:r w:rsidRPr="00AF17C2">
        <w:rPr>
          <w:rFonts w:cs="Times New Roman"/>
          <w:lang w:val="fr-CA"/>
        </w:rPr>
        <w:t xml:space="preserve">) a donc été mis en œuvre </w:t>
      </w:r>
      <w:r>
        <w:rPr>
          <w:rFonts w:cs="Times New Roman"/>
          <w:lang w:val="fr-CA"/>
        </w:rPr>
        <w:t>par les Consignes du c</w:t>
      </w:r>
      <w:r w:rsidRPr="00AF17C2">
        <w:rPr>
          <w:rFonts w:cs="Times New Roman"/>
          <w:lang w:val="fr-CA"/>
        </w:rPr>
        <w:t>ommissaire, qui en ont constitué le fondement juridique de 1974 à 2003 (</w:t>
      </w:r>
      <w:r w:rsidR="00532BB9">
        <w:rPr>
          <w:rFonts w:cs="Times New Roman"/>
          <w:i/>
          <w:lang w:val="fr-CA"/>
        </w:rPr>
        <w:t xml:space="preserve">Consignes </w:t>
      </w:r>
      <w:r w:rsidR="00532BB9">
        <w:rPr>
          <w:rFonts w:cs="Times New Roman"/>
          <w:i/>
          <w:lang w:val="fr-CA"/>
        </w:rPr>
        <w:lastRenderedPageBreak/>
        <w:t>du C</w:t>
      </w:r>
      <w:r w:rsidRPr="00AF17C2">
        <w:rPr>
          <w:rFonts w:cs="Times New Roman"/>
          <w:i/>
          <w:lang w:val="fr-CA"/>
        </w:rPr>
        <w:t>ommissaire (Programme des représentants divisionnaires des relations fonctionnelles</w:t>
      </w:r>
      <w:r w:rsidRPr="00361BCF">
        <w:rPr>
          <w:rFonts w:cs="Times New Roman"/>
          <w:i/>
          <w:lang w:val="fr-CA"/>
        </w:rPr>
        <w:t>)</w:t>
      </w:r>
      <w:r w:rsidR="00D20EDC">
        <w:rPr>
          <w:rFonts w:cs="Times New Roman"/>
          <w:lang w:val="fr-CA"/>
        </w:rPr>
        <w:t xml:space="preserve"> </w:t>
      </w:r>
      <w:r w:rsidRPr="00AF17C2">
        <w:rPr>
          <w:rFonts w:cs="Times New Roman"/>
          <w:lang w:val="fr-CA"/>
        </w:rPr>
        <w:t xml:space="preserve">(abrogées par les </w:t>
      </w:r>
      <w:r>
        <w:rPr>
          <w:rFonts w:cs="Times New Roman"/>
          <w:i/>
          <w:lang w:val="fr-CA"/>
        </w:rPr>
        <w:t>Consignes du c</w:t>
      </w:r>
      <w:r w:rsidRPr="00AF17C2">
        <w:rPr>
          <w:rFonts w:cs="Times New Roman"/>
          <w:i/>
          <w:lang w:val="fr-CA"/>
        </w:rPr>
        <w:t>ommissaire abrogeant les</w:t>
      </w:r>
      <w:r w:rsidRPr="00AF17C2">
        <w:rPr>
          <w:rFonts w:cs="Times New Roman"/>
          <w:lang w:val="fr-CA"/>
        </w:rPr>
        <w:t xml:space="preserve"> </w:t>
      </w:r>
      <w:r w:rsidR="00532BB9">
        <w:rPr>
          <w:rFonts w:cs="Times New Roman"/>
          <w:i/>
          <w:lang w:val="fr-CA"/>
        </w:rPr>
        <w:t>Consignes du C</w:t>
      </w:r>
      <w:r w:rsidRPr="00AF17C2">
        <w:rPr>
          <w:rFonts w:cs="Times New Roman"/>
          <w:i/>
          <w:lang w:val="fr-CA"/>
        </w:rPr>
        <w:t>ommissaire (Programme des représentants divisionnaires des relations fonctionnelles</w:t>
      </w:r>
      <w:r w:rsidRPr="00532BB9">
        <w:rPr>
          <w:rFonts w:cs="Times New Roman"/>
          <w:i/>
          <w:lang w:val="fr-CA"/>
        </w:rPr>
        <w:t>)</w:t>
      </w:r>
      <w:r w:rsidRPr="00AF17C2">
        <w:rPr>
          <w:rFonts w:cs="Times New Roman"/>
          <w:lang w:val="fr-CA"/>
        </w:rPr>
        <w:t>, DORS/2003</w:t>
      </w:r>
      <w:r w:rsidR="00795B2B">
        <w:rPr>
          <w:rFonts w:cs="Times New Roman"/>
          <w:lang w:val="fr-CA"/>
        </w:rPr>
        <w:t>-</w:t>
      </w:r>
      <w:r w:rsidRPr="00AF17C2">
        <w:rPr>
          <w:rFonts w:cs="Times New Roman"/>
          <w:lang w:val="fr-CA"/>
        </w:rPr>
        <w:t>325</w:t>
      </w:r>
      <w:r w:rsidR="00C67126">
        <w:rPr>
          <w:rFonts w:cs="Times New Roman"/>
          <w:lang w:val="fr-CA"/>
        </w:rPr>
        <w:t>)</w:t>
      </w:r>
      <w:r w:rsidRPr="00AF17C2">
        <w:rPr>
          <w:rFonts w:cs="Times New Roman"/>
          <w:lang w:val="fr-CA"/>
        </w:rPr>
        <w:t xml:space="preserve">). Le programme </w:t>
      </w:r>
      <w:r>
        <w:rPr>
          <w:rFonts w:cs="Times New Roman"/>
          <w:lang w:val="fr-CA"/>
        </w:rPr>
        <w:t xml:space="preserve">comptait </w:t>
      </w:r>
      <w:r w:rsidRPr="00AF17C2">
        <w:rPr>
          <w:rFonts w:cs="Times New Roman"/>
          <w:lang w:val="fr-CA"/>
        </w:rPr>
        <w:t xml:space="preserve">des représentants élus </w:t>
      </w:r>
      <w:r>
        <w:rPr>
          <w:rFonts w:cs="Times New Roman"/>
          <w:lang w:val="fr-CA"/>
        </w:rPr>
        <w:t xml:space="preserve">qui exerçaient leurs fonctions </w:t>
      </w:r>
      <w:r w:rsidRPr="00AF17C2">
        <w:rPr>
          <w:rFonts w:cs="Times New Roman"/>
          <w:lang w:val="fr-CA"/>
        </w:rPr>
        <w:t xml:space="preserve">à temps plein et devait être financé par les commandants divisionnaires à même les budgets de division. Le PRDRF était dirigé par un directeur nommé par le </w:t>
      </w:r>
      <w:r>
        <w:rPr>
          <w:rFonts w:cs="Times New Roman"/>
          <w:lang w:val="fr-CA"/>
        </w:rPr>
        <w:t>c</w:t>
      </w:r>
      <w:r w:rsidRPr="00AF17C2">
        <w:rPr>
          <w:rFonts w:cs="Times New Roman"/>
          <w:lang w:val="fr-CA"/>
        </w:rPr>
        <w:t>ommissaire de la GRC.</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Le programme a été mis en œuvre progressivement au sein de la GRC. En 1987, un comité mixte composé de représentants de la direction et de </w:t>
      </w:r>
      <w:r w:rsidR="00532BB9">
        <w:rPr>
          <w:rFonts w:cs="Times New Roman"/>
          <w:lang w:val="fr-CA"/>
        </w:rPr>
        <w:t>représentants divisionnaires des relations fonctionnelles (« RDRF »)</w:t>
      </w:r>
      <w:r w:rsidRPr="00AF17C2">
        <w:rPr>
          <w:rFonts w:cs="Times New Roman"/>
          <w:lang w:val="fr-CA"/>
        </w:rPr>
        <w:t xml:space="preserve"> a été formé pour en faire l</w:t>
      </w:r>
      <w:r>
        <w:rPr>
          <w:rFonts w:cs="Times New Roman"/>
          <w:lang w:val="fr-CA"/>
        </w:rPr>
        <w:t>’</w:t>
      </w:r>
      <w:r w:rsidRPr="00AF17C2">
        <w:rPr>
          <w:rFonts w:cs="Times New Roman"/>
          <w:lang w:val="fr-CA"/>
        </w:rPr>
        <w:t>examen. Ce comité a conclu que de nombreux éléments du plan de relations de travail proposé par le commissaire en 1974 n</w:t>
      </w:r>
      <w:r>
        <w:rPr>
          <w:rFonts w:cs="Times New Roman"/>
          <w:lang w:val="fr-CA"/>
        </w:rPr>
        <w:t>’</w:t>
      </w:r>
      <w:r w:rsidRPr="00AF17C2">
        <w:rPr>
          <w:rFonts w:cs="Times New Roman"/>
          <w:lang w:val="fr-CA"/>
        </w:rPr>
        <w:t>avaient jamais été officiellement appliqués et que, en fait, les membres de la GRC en ignoraient même l</w:t>
      </w:r>
      <w:r>
        <w:rPr>
          <w:rFonts w:cs="Times New Roman"/>
          <w:lang w:val="fr-CA"/>
        </w:rPr>
        <w:t>’</w:t>
      </w:r>
      <w:r w:rsidRPr="00AF17C2">
        <w:rPr>
          <w:rFonts w:cs="Times New Roman"/>
          <w:lang w:val="fr-CA"/>
        </w:rPr>
        <w:t>existence. Par suite de la recommandation du comité, un chapitre sur le PRDRF a alors été incorporé au Manuel d</w:t>
      </w:r>
      <w:r>
        <w:rPr>
          <w:rFonts w:cs="Times New Roman"/>
          <w:lang w:val="fr-CA"/>
        </w:rPr>
        <w:t>’</w:t>
      </w:r>
      <w:r w:rsidRPr="00AF17C2">
        <w:rPr>
          <w:rFonts w:cs="Times New Roman"/>
          <w:lang w:val="fr-CA"/>
        </w:rPr>
        <w:t>administration de la GRC; il s</w:t>
      </w:r>
      <w:r>
        <w:rPr>
          <w:rFonts w:cs="Times New Roman"/>
          <w:lang w:val="fr-CA"/>
        </w:rPr>
        <w:t>’</w:t>
      </w:r>
      <w:r w:rsidRPr="00AF17C2">
        <w:rPr>
          <w:rFonts w:cs="Times New Roman"/>
          <w:lang w:val="fr-CA"/>
        </w:rPr>
        <w:t>agissait d</w:t>
      </w:r>
      <w:r>
        <w:rPr>
          <w:rFonts w:cs="Times New Roman"/>
          <w:lang w:val="fr-CA"/>
        </w:rPr>
        <w:t>’</w:t>
      </w:r>
      <w:r w:rsidRPr="00AF17C2">
        <w:rPr>
          <w:rFonts w:cs="Times New Roman"/>
          <w:lang w:val="fr-CA"/>
        </w:rPr>
        <w:t>une première étape vers une reconnaissance formelle de ce programme.</w:t>
      </w:r>
    </w:p>
    <w:p w:rsidR="007B74A6" w:rsidRPr="00AF17C2" w:rsidRDefault="007B74A6" w:rsidP="00795B2B">
      <w:pPr>
        <w:pStyle w:val="Title2LevelTitre2Niveau"/>
        <w:jc w:val="both"/>
        <w:rPr>
          <w:rFonts w:cs="Times New Roman"/>
          <w:lang w:val="fr-CA"/>
        </w:rPr>
      </w:pPr>
      <w:r w:rsidRPr="00AF17C2">
        <w:rPr>
          <w:rFonts w:cs="Times New Roman"/>
          <w:lang w:val="fr-CA"/>
        </w:rPr>
        <w:t>L</w:t>
      </w:r>
      <w:r>
        <w:rPr>
          <w:rFonts w:cs="Times New Roman"/>
          <w:lang w:val="fr-CA"/>
        </w:rPr>
        <w:t>’</w:t>
      </w:r>
      <w:r w:rsidRPr="00AF17C2">
        <w:rPr>
          <w:rFonts w:cs="Times New Roman"/>
          <w:lang w:val="fr-CA"/>
        </w:rPr>
        <w:t>Examen Défi</w:t>
      </w:r>
      <w:r w:rsidR="00795B2B">
        <w:rPr>
          <w:rFonts w:cs="Times New Roman"/>
          <w:lang w:val="fr-CA"/>
        </w:rPr>
        <w:t xml:space="preserve"> </w:t>
      </w:r>
      <w:r w:rsidRPr="00AF17C2">
        <w:rPr>
          <w:rFonts w:cs="Times New Roman"/>
          <w:lang w:val="fr-CA"/>
        </w:rPr>
        <w:t>2000 du programme des RRF</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1999, un examen des lacunes du PRDRF a été entrepris par suite, notamment, de la contestation constitutionnelle dans l</w:t>
      </w:r>
      <w:r>
        <w:rPr>
          <w:rFonts w:cs="Times New Roman"/>
          <w:lang w:val="fr-CA"/>
        </w:rPr>
        <w:t>’</w:t>
      </w:r>
      <w:r w:rsidRPr="00AF17C2">
        <w:rPr>
          <w:rFonts w:cs="Times New Roman"/>
          <w:lang w:val="fr-CA"/>
        </w:rPr>
        <w:t xml:space="preserve">affaire </w:t>
      </w:r>
      <w:r w:rsidRPr="00AF17C2">
        <w:rPr>
          <w:rFonts w:cs="Times New Roman"/>
          <w:i/>
          <w:lang w:val="fr-CA"/>
        </w:rPr>
        <w:t>Delisle</w:t>
      </w:r>
      <w:r w:rsidRPr="00517664">
        <w:rPr>
          <w:rFonts w:cs="Times New Roman"/>
          <w:lang w:val="fr-CA"/>
        </w:rPr>
        <w:t>.</w:t>
      </w:r>
      <w:r w:rsidRPr="00AF17C2">
        <w:rPr>
          <w:rFonts w:cs="Times New Roman"/>
          <w:lang w:val="fr-CA"/>
        </w:rPr>
        <w:t xml:space="preserve"> L</w:t>
      </w:r>
      <w:r>
        <w:rPr>
          <w:rFonts w:cs="Times New Roman"/>
          <w:lang w:val="fr-CA"/>
        </w:rPr>
        <w:t>’</w:t>
      </w:r>
      <w:r w:rsidRPr="00AF17C2">
        <w:rPr>
          <w:rFonts w:cs="Times New Roman"/>
          <w:lang w:val="fr-CA"/>
        </w:rPr>
        <w:t>Examen Défi 2000 était le premier examen du programme entrepris à l</w:t>
      </w:r>
      <w:r>
        <w:rPr>
          <w:rFonts w:cs="Times New Roman"/>
          <w:lang w:val="fr-CA"/>
        </w:rPr>
        <w:t>’</w:t>
      </w:r>
      <w:r w:rsidRPr="00AF17C2">
        <w:rPr>
          <w:rFonts w:cs="Times New Roman"/>
          <w:lang w:val="fr-CA"/>
        </w:rPr>
        <w:t xml:space="preserve">initiative des RDRF. Le caucus du PRDRF </w:t>
      </w:r>
      <w:r>
        <w:rPr>
          <w:rFonts w:cs="Times New Roman"/>
          <w:lang w:val="fr-CA"/>
        </w:rPr>
        <w:t>a communiqué avec le c</w:t>
      </w:r>
      <w:r w:rsidRPr="00AF17C2">
        <w:rPr>
          <w:rFonts w:cs="Times New Roman"/>
          <w:lang w:val="fr-CA"/>
        </w:rPr>
        <w:t>ommissaire pour discuter de trois principes clés</w:t>
      </w:r>
      <w:r w:rsidR="00795B2B">
        <w:rPr>
          <w:rFonts w:cs="Times New Roman"/>
          <w:lang w:val="fr-CA"/>
        </w:rPr>
        <w:t> :</w:t>
      </w:r>
      <w:r w:rsidRPr="00AF17C2">
        <w:rPr>
          <w:rFonts w:cs="Times New Roman"/>
          <w:lang w:val="fr-CA"/>
        </w:rPr>
        <w:t xml:space="preserve"> l</w:t>
      </w:r>
      <w:r>
        <w:rPr>
          <w:rFonts w:cs="Times New Roman"/>
          <w:lang w:val="fr-CA"/>
        </w:rPr>
        <w:t>’</w:t>
      </w:r>
      <w:r w:rsidRPr="00AF17C2">
        <w:rPr>
          <w:rFonts w:cs="Times New Roman"/>
          <w:lang w:val="fr-CA"/>
        </w:rPr>
        <w:t>indépendance et l</w:t>
      </w:r>
      <w:r>
        <w:rPr>
          <w:rFonts w:cs="Times New Roman"/>
          <w:lang w:val="fr-CA"/>
        </w:rPr>
        <w:t>’</w:t>
      </w:r>
      <w:r w:rsidRPr="00AF17C2">
        <w:rPr>
          <w:rFonts w:cs="Times New Roman"/>
          <w:lang w:val="fr-CA"/>
        </w:rPr>
        <w:t xml:space="preserve">obligation de rendre compte, la consultation et </w:t>
      </w:r>
      <w:r w:rsidRPr="00AF17C2">
        <w:rPr>
          <w:rFonts w:cs="Times New Roman"/>
          <w:lang w:val="fr-CA"/>
        </w:rPr>
        <w:lastRenderedPageBreak/>
        <w:t>l</w:t>
      </w:r>
      <w:r>
        <w:rPr>
          <w:rFonts w:cs="Times New Roman"/>
          <w:lang w:val="fr-CA"/>
        </w:rPr>
        <w:t>’</w:t>
      </w:r>
      <w:r w:rsidRPr="00AF17C2">
        <w:rPr>
          <w:rFonts w:cs="Times New Roman"/>
          <w:lang w:val="fr-CA"/>
        </w:rPr>
        <w:t>efficience, ainsi que le statut d</w:t>
      </w:r>
      <w:r>
        <w:rPr>
          <w:rFonts w:cs="Times New Roman"/>
          <w:lang w:val="fr-CA"/>
        </w:rPr>
        <w:t>’</w:t>
      </w:r>
      <w:r w:rsidRPr="00AF17C2">
        <w:rPr>
          <w:rFonts w:cs="Times New Roman"/>
          <w:lang w:val="fr-CA"/>
        </w:rPr>
        <w:t>unique agent négociateur et la discipline au sein du Caucus (</w:t>
      </w:r>
      <w:r w:rsidRPr="00AF17C2">
        <w:rPr>
          <w:rFonts w:cs="Times New Roman"/>
          <w:i/>
          <w:lang w:val="fr-CA"/>
        </w:rPr>
        <w:t>Examen Défi</w:t>
      </w:r>
      <w:r w:rsidR="00795B2B">
        <w:rPr>
          <w:rFonts w:cs="Times New Roman"/>
          <w:i/>
          <w:lang w:val="fr-CA"/>
        </w:rPr>
        <w:t xml:space="preserve"> </w:t>
      </w:r>
      <w:r w:rsidRPr="00AF17C2">
        <w:rPr>
          <w:rFonts w:cs="Times New Roman"/>
          <w:i/>
          <w:lang w:val="fr-CA"/>
        </w:rPr>
        <w:t>2000 du programme des RRF</w:t>
      </w:r>
      <w:r w:rsidR="00795B2B">
        <w:rPr>
          <w:rFonts w:cs="Times New Roman"/>
          <w:i/>
          <w:lang w:val="fr-CA"/>
        </w:rPr>
        <w:t> :</w:t>
      </w:r>
      <w:r w:rsidRPr="00AF17C2">
        <w:rPr>
          <w:rFonts w:cs="Times New Roman"/>
          <w:lang w:val="fr-CA"/>
        </w:rPr>
        <w:t xml:space="preserve"> </w:t>
      </w:r>
      <w:r w:rsidRPr="00AF17C2">
        <w:rPr>
          <w:rFonts w:cs="Times New Roman"/>
          <w:i/>
          <w:lang w:val="fr-CA"/>
        </w:rPr>
        <w:t>Rapport final</w:t>
      </w:r>
      <w:r w:rsidRPr="00AF17C2">
        <w:rPr>
          <w:rFonts w:cs="Times New Roman"/>
          <w:lang w:val="fr-CA"/>
        </w:rPr>
        <w:t>, p.</w:t>
      </w:r>
      <w:r w:rsidR="00795B2B">
        <w:rPr>
          <w:rFonts w:cs="Times New Roman"/>
          <w:lang w:val="fr-CA"/>
        </w:rPr>
        <w:t xml:space="preserve"> </w:t>
      </w:r>
      <w:r w:rsidRPr="00AF17C2">
        <w:rPr>
          <w:rFonts w:cs="Times New Roman"/>
          <w:lang w:val="fr-CA"/>
        </w:rPr>
        <w:t>29</w:t>
      </w:r>
      <w:r w:rsidR="00795B2B">
        <w:rPr>
          <w:rFonts w:cs="Times New Roman"/>
          <w:lang w:val="fr-CA"/>
        </w:rPr>
        <w:t>-</w:t>
      </w:r>
      <w:r w:rsidRPr="00AF17C2">
        <w:rPr>
          <w:rFonts w:cs="Times New Roman"/>
          <w:lang w:val="fr-CA"/>
        </w:rPr>
        <w:t xml:space="preserve">32).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Examen Défi 2000 a provoqué deux changements dans le fonctionnement du programme (dont le nom a été changé pour le PRRF et dont les membres portent le titre de RRF). Le premier a été l</w:t>
      </w:r>
      <w:r>
        <w:rPr>
          <w:rFonts w:cs="Times New Roman"/>
          <w:lang w:val="fr-CA"/>
        </w:rPr>
        <w:t>’</w:t>
      </w:r>
      <w:r w:rsidRPr="00AF17C2">
        <w:rPr>
          <w:rFonts w:cs="Times New Roman"/>
          <w:lang w:val="fr-CA"/>
        </w:rPr>
        <w:t>adoption par les RRF des Statuts du PRRF à titre de régime de gouvernance pour remplacer les Consignes du commissaire qui avaient jusqu</w:t>
      </w:r>
      <w:r>
        <w:rPr>
          <w:rFonts w:cs="Times New Roman"/>
          <w:lang w:val="fr-CA"/>
        </w:rPr>
        <w:t>’</w:t>
      </w:r>
      <w:r w:rsidRPr="00AF17C2">
        <w:rPr>
          <w:rFonts w:cs="Times New Roman"/>
          <w:lang w:val="fr-CA"/>
        </w:rPr>
        <w:t>alors régi le programme. Les Statuts ont officialisé, entre autres, l</w:t>
      </w:r>
      <w:r>
        <w:rPr>
          <w:rFonts w:cs="Times New Roman"/>
          <w:lang w:val="fr-CA"/>
        </w:rPr>
        <w:t>’</w:t>
      </w:r>
      <w:r w:rsidRPr="00AF17C2">
        <w:rPr>
          <w:rFonts w:cs="Times New Roman"/>
          <w:lang w:val="fr-CA"/>
        </w:rPr>
        <w:t>objet du programme, sa composition et son organisation. Le deuxième a été la signature de l</w:t>
      </w:r>
      <w:r>
        <w:rPr>
          <w:rFonts w:cs="Times New Roman"/>
          <w:lang w:val="fr-CA"/>
        </w:rPr>
        <w:t>’entente par le c</w:t>
      </w:r>
      <w:r w:rsidRPr="00AF17C2">
        <w:rPr>
          <w:rFonts w:cs="Times New Roman"/>
          <w:lang w:val="fr-CA"/>
        </w:rPr>
        <w:t>ommissaire de la GRC et le CEN du PRRF. Ces deux changements sont survenus en 2002.</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Par suite de ces changements, le gouvernement du Canada a abrogé les </w:t>
      </w:r>
      <w:r w:rsidR="00517664">
        <w:rPr>
          <w:rFonts w:cs="Times New Roman"/>
          <w:i/>
          <w:lang w:val="fr-CA"/>
        </w:rPr>
        <w:t>Consignes du C</w:t>
      </w:r>
      <w:r w:rsidRPr="00AF17C2">
        <w:rPr>
          <w:rFonts w:cs="Times New Roman"/>
          <w:i/>
          <w:lang w:val="fr-CA"/>
        </w:rPr>
        <w:t>ommissaire (Programme des représentants divisionnaires des relations fonctionnelles)</w:t>
      </w:r>
      <w:r w:rsidR="00D20EDC">
        <w:rPr>
          <w:rFonts w:cs="Times New Roman"/>
          <w:i/>
          <w:lang w:val="fr-CA"/>
        </w:rPr>
        <w:t xml:space="preserve"> </w:t>
      </w:r>
      <w:r w:rsidR="00D20EDC" w:rsidRPr="00D20EDC">
        <w:rPr>
          <w:rFonts w:cs="Times New Roman"/>
          <w:lang w:val="fr-CA"/>
        </w:rPr>
        <w:t>devenues redondantes</w:t>
      </w:r>
      <w:r w:rsidRPr="00AF17C2">
        <w:rPr>
          <w:rFonts w:cs="Times New Roman"/>
          <w:lang w:val="fr-CA"/>
        </w:rPr>
        <w:t>.</w:t>
      </w:r>
      <w:r w:rsidR="00D20EDC">
        <w:rPr>
          <w:rFonts w:cs="Times New Roman"/>
          <w:lang w:val="fr-CA"/>
        </w:rPr>
        <w:t xml:space="preserve"> Cependant, certaines des C</w:t>
      </w:r>
      <w:r w:rsidR="00517664">
        <w:rPr>
          <w:rFonts w:cs="Times New Roman"/>
          <w:lang w:val="fr-CA"/>
        </w:rPr>
        <w:t>onsignes du C</w:t>
      </w:r>
      <w:r w:rsidRPr="00AF17C2">
        <w:rPr>
          <w:rFonts w:cs="Times New Roman"/>
          <w:lang w:val="fr-CA"/>
        </w:rPr>
        <w:t>ommissaire et des dispositions du Manuel d</w:t>
      </w:r>
      <w:r>
        <w:rPr>
          <w:rFonts w:cs="Times New Roman"/>
          <w:lang w:val="fr-CA"/>
        </w:rPr>
        <w:t>’</w:t>
      </w:r>
      <w:r w:rsidRPr="00AF17C2">
        <w:rPr>
          <w:rFonts w:cs="Times New Roman"/>
          <w:lang w:val="fr-CA"/>
        </w:rPr>
        <w:t>administration de la GRC sont demeurées en vigueur, car elles couvrent des sujets non abordés dans les Statuts du PRRF. Par exemple,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3</w:t>
      </w:r>
      <w:r w:rsidRPr="00AF17C2">
        <w:rPr>
          <w:rFonts w:cs="Times New Roman"/>
          <w:i/>
          <w:lang w:val="fr-CA"/>
        </w:rPr>
        <w:t>b</w:t>
      </w:r>
      <w:r w:rsidRPr="00AF17C2">
        <w:rPr>
          <w:rFonts w:cs="Times New Roman"/>
          <w:lang w:val="fr-CA"/>
        </w:rPr>
        <w:t xml:space="preserve">) des </w:t>
      </w:r>
      <w:r w:rsidRPr="00AF17C2">
        <w:rPr>
          <w:rFonts w:cs="Times New Roman"/>
          <w:i/>
          <w:lang w:val="fr-CA"/>
        </w:rPr>
        <w:t>Consignes de 1997 du commissaire (représentation)</w:t>
      </w:r>
      <w:r w:rsidRPr="00AF17C2">
        <w:rPr>
          <w:rFonts w:cs="Times New Roman"/>
          <w:lang w:val="fr-CA"/>
        </w:rPr>
        <w:t>, DORS/97</w:t>
      </w:r>
      <w:r w:rsidR="00795B2B">
        <w:rPr>
          <w:rFonts w:cs="Times New Roman"/>
          <w:lang w:val="fr-CA"/>
        </w:rPr>
        <w:t>-</w:t>
      </w:r>
      <w:r w:rsidRPr="00AF17C2">
        <w:rPr>
          <w:rFonts w:cs="Times New Roman"/>
          <w:lang w:val="fr-CA"/>
        </w:rPr>
        <w:t>399, limite encore le droit des représentants des membres d</w:t>
      </w:r>
      <w:r>
        <w:rPr>
          <w:rFonts w:cs="Times New Roman"/>
          <w:lang w:val="fr-CA"/>
        </w:rPr>
        <w:t>’</w:t>
      </w:r>
      <w:r w:rsidRPr="00AF17C2">
        <w:rPr>
          <w:rFonts w:cs="Times New Roman"/>
          <w:lang w:val="fr-CA"/>
        </w:rPr>
        <w:t>agir au nom de ces derniers lors des griefs, des procédures, de la préparation d</w:t>
      </w:r>
      <w:r>
        <w:rPr>
          <w:rFonts w:cs="Times New Roman"/>
          <w:lang w:val="fr-CA"/>
        </w:rPr>
        <w:t>’</w:t>
      </w:r>
      <w:r w:rsidRPr="00AF17C2">
        <w:rPr>
          <w:rFonts w:cs="Times New Roman"/>
          <w:lang w:val="fr-CA"/>
        </w:rPr>
        <w:t>observations ou d</w:t>
      </w:r>
      <w:r>
        <w:rPr>
          <w:rFonts w:cs="Times New Roman"/>
          <w:lang w:val="fr-CA"/>
        </w:rPr>
        <w:t>’</w:t>
      </w:r>
      <w:r w:rsidRPr="00AF17C2">
        <w:rPr>
          <w:rFonts w:cs="Times New Roman"/>
          <w:lang w:val="fr-CA"/>
        </w:rPr>
        <w:t xml:space="preserve">appels visés par la </w:t>
      </w:r>
      <w:r w:rsidRPr="00AF17C2">
        <w:rPr>
          <w:rFonts w:cs="Times New Roman"/>
          <w:i/>
          <w:lang w:val="fr-CA"/>
        </w:rPr>
        <w:t>Loi sur la Gendarmerie royale du Canada</w:t>
      </w:r>
      <w:r w:rsidRPr="00AF17C2">
        <w:rPr>
          <w:rFonts w:cs="Times New Roman"/>
          <w:lang w:val="fr-CA"/>
        </w:rPr>
        <w:t>, L.R.C.</w:t>
      </w:r>
      <w:r w:rsidR="00795B2B">
        <w:rPr>
          <w:rFonts w:cs="Times New Roman"/>
          <w:lang w:val="fr-CA"/>
        </w:rPr>
        <w:t xml:space="preserve"> </w:t>
      </w:r>
      <w:r w:rsidRPr="00AF17C2">
        <w:rPr>
          <w:rFonts w:cs="Times New Roman"/>
          <w:lang w:val="fr-CA"/>
        </w:rPr>
        <w:t>1985, c.</w:t>
      </w:r>
      <w:r w:rsidR="00795B2B">
        <w:rPr>
          <w:rFonts w:cs="Times New Roman"/>
          <w:lang w:val="fr-CA"/>
        </w:rPr>
        <w:t xml:space="preserve"> </w:t>
      </w:r>
      <w:r w:rsidRPr="00AF17C2">
        <w:rPr>
          <w:rFonts w:cs="Times New Roman"/>
          <w:lang w:val="fr-CA"/>
        </w:rPr>
        <w:t xml:space="preserve">R-10, lorsque la représentation </w:t>
      </w:r>
      <w:r w:rsidR="00795B2B">
        <w:rPr>
          <w:rFonts w:cs="Times New Roman"/>
          <w:lang w:val="fr-CA"/>
        </w:rPr>
        <w:t>« </w:t>
      </w:r>
      <w:r w:rsidRPr="00AF17C2">
        <w:rPr>
          <w:rFonts w:cs="Times New Roman"/>
          <w:lang w:val="fr-CA"/>
        </w:rPr>
        <w:t>pourrait nuire à l</w:t>
      </w:r>
      <w:r>
        <w:rPr>
          <w:rFonts w:cs="Times New Roman"/>
          <w:lang w:val="fr-CA"/>
        </w:rPr>
        <w:t>’</w:t>
      </w:r>
      <w:r w:rsidRPr="00AF17C2">
        <w:rPr>
          <w:rFonts w:cs="Times New Roman"/>
          <w:lang w:val="fr-CA"/>
        </w:rPr>
        <w:t>efficacité et à la bonne administration de la Gendarmerie</w:t>
      </w:r>
      <w:r w:rsidR="00795B2B">
        <w:rPr>
          <w:rFonts w:cs="Times New Roman"/>
          <w:lang w:val="fr-CA"/>
        </w:rPr>
        <w:t> »</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Il ne fait aucun doute que l</w:t>
      </w:r>
      <w:r>
        <w:rPr>
          <w:rFonts w:cs="Times New Roman"/>
          <w:lang w:val="fr-CA"/>
        </w:rPr>
        <w:t>’</w:t>
      </w:r>
      <w:r w:rsidRPr="00AF17C2">
        <w:rPr>
          <w:rFonts w:cs="Times New Roman"/>
          <w:lang w:val="fr-CA"/>
        </w:rPr>
        <w:t>Examen Défi</w:t>
      </w:r>
      <w:r w:rsidR="00795B2B">
        <w:rPr>
          <w:rFonts w:cs="Times New Roman"/>
          <w:lang w:val="fr-CA"/>
        </w:rPr>
        <w:t xml:space="preserve"> </w:t>
      </w:r>
      <w:r w:rsidRPr="00AF17C2">
        <w:rPr>
          <w:rFonts w:cs="Times New Roman"/>
          <w:lang w:val="fr-CA"/>
        </w:rPr>
        <w:t>2000 a permis de rendre le PRRF plus indépendant. En effet, conformément à l</w:t>
      </w:r>
      <w:r>
        <w:rPr>
          <w:rFonts w:cs="Times New Roman"/>
          <w:lang w:val="fr-CA"/>
        </w:rPr>
        <w:t>’</w:t>
      </w:r>
      <w:r w:rsidRPr="00AF17C2">
        <w:rPr>
          <w:rFonts w:cs="Times New Roman"/>
          <w:lang w:val="fr-CA"/>
        </w:rPr>
        <w:t>entente, le CEN nomme désormais le directeur du PRRF et administre le budget annuel du programme. Toutefois, la réforme n</w:t>
      </w:r>
      <w:r>
        <w:rPr>
          <w:rFonts w:cs="Times New Roman"/>
          <w:lang w:val="fr-CA"/>
        </w:rPr>
        <w:t>’</w:t>
      </w:r>
      <w:r w:rsidRPr="00AF17C2">
        <w:rPr>
          <w:rFonts w:cs="Times New Roman"/>
          <w:lang w:val="fr-CA"/>
        </w:rPr>
        <w:t>a eu que peu d</w:t>
      </w:r>
      <w:r>
        <w:rPr>
          <w:rFonts w:cs="Times New Roman"/>
          <w:lang w:val="fr-CA"/>
        </w:rPr>
        <w:t>’</w:t>
      </w:r>
      <w:r w:rsidRPr="00AF17C2">
        <w:rPr>
          <w:rFonts w:cs="Times New Roman"/>
          <w:lang w:val="fr-CA"/>
        </w:rPr>
        <w:t xml:space="preserve">incidence sur le rôle du PRRF au sein de la chaîne de commandement de la GRC. </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La présente contestation constitutionnelle</w:t>
      </w:r>
    </w:p>
    <w:p w:rsidR="007B74A6" w:rsidRPr="00AF17C2" w:rsidRDefault="007B74A6" w:rsidP="00795B2B">
      <w:pPr>
        <w:pStyle w:val="ParaNoNdepar-AltN"/>
        <w:rPr>
          <w:rFonts w:cs="Times New Roman"/>
          <w:lang w:val="fr-CA"/>
        </w:rPr>
      </w:pPr>
      <w:r w:rsidRPr="00AF17C2">
        <w:rPr>
          <w:rFonts w:cs="Times New Roman"/>
          <w:lang w:val="fr-CA"/>
        </w:rPr>
        <w:t xml:space="preserve">La présente contestation du PRRF et de la </w:t>
      </w:r>
      <w:r w:rsidRPr="00AF17C2">
        <w:rPr>
          <w:rFonts w:cs="Times New Roman"/>
          <w:i/>
          <w:lang w:val="fr-CA"/>
        </w:rPr>
        <w:t>LRTFP</w:t>
      </w:r>
      <w:r w:rsidRPr="00AF17C2">
        <w:rPr>
          <w:rFonts w:cs="Times New Roman"/>
          <w:lang w:val="fr-CA"/>
        </w:rPr>
        <w:t xml:space="preserve"> actuelle a été engagée en mai 2006. La demande des appelantes a été entendue par le juge</w:t>
      </w:r>
      <w:r w:rsidR="00795B2B">
        <w:rPr>
          <w:rFonts w:cs="Times New Roman"/>
          <w:lang w:val="fr-CA"/>
        </w:rPr>
        <w:t xml:space="preserve"> </w:t>
      </w:r>
      <w:proofErr w:type="spellStart"/>
      <w:r w:rsidRPr="00AF17C2">
        <w:rPr>
          <w:rFonts w:cs="Times New Roman"/>
          <w:lang w:val="fr-CA"/>
        </w:rPr>
        <w:t>MacDonnell</w:t>
      </w:r>
      <w:proofErr w:type="spellEnd"/>
      <w:r w:rsidRPr="00AF17C2">
        <w:rPr>
          <w:rFonts w:cs="Times New Roman"/>
          <w:lang w:val="fr-CA"/>
        </w:rPr>
        <w:t xml:space="preserve"> de la Cour supérieure de justice de l</w:t>
      </w:r>
      <w:r>
        <w:rPr>
          <w:rFonts w:cs="Times New Roman"/>
          <w:lang w:val="fr-CA"/>
        </w:rPr>
        <w:t>’</w:t>
      </w:r>
      <w:r w:rsidRPr="00AF17C2">
        <w:rPr>
          <w:rFonts w:cs="Times New Roman"/>
          <w:lang w:val="fr-CA"/>
        </w:rPr>
        <w:t>Ontario, qui a rendu sa décision avant que notre Cour se prononce dans l</w:t>
      </w:r>
      <w:r>
        <w:rPr>
          <w:rFonts w:cs="Times New Roman"/>
          <w:lang w:val="fr-CA"/>
        </w:rPr>
        <w:t>’</w:t>
      </w:r>
      <w:r w:rsidRPr="00AF17C2">
        <w:rPr>
          <w:rFonts w:cs="Times New Roman"/>
          <w:lang w:val="fr-CA"/>
        </w:rPr>
        <w:t xml:space="preserve">affaire </w:t>
      </w:r>
      <w:r w:rsidRPr="00AF17C2">
        <w:rPr>
          <w:rFonts w:cs="Times New Roman"/>
          <w:i/>
          <w:lang w:val="fr-CA"/>
        </w:rPr>
        <w:t>Fraser</w:t>
      </w:r>
      <w:r w:rsidR="00795B2B" w:rsidRPr="00517664">
        <w:rPr>
          <w:rFonts w:cs="Times New Roman"/>
          <w:lang w:val="fr-CA"/>
        </w:rPr>
        <w:t> :</w:t>
      </w:r>
      <w:r w:rsidRPr="00AF17C2">
        <w:rPr>
          <w:rFonts w:cs="Times New Roman"/>
          <w:lang w:val="fr-CA"/>
        </w:rPr>
        <w:t xml:space="preserve"> (2009), 96 O.R. (3d) 20. Après avoir appliqué le cadre d</w:t>
      </w:r>
      <w:r>
        <w:rPr>
          <w:rFonts w:cs="Times New Roman"/>
          <w:lang w:val="fr-CA"/>
        </w:rPr>
        <w:t>’</w:t>
      </w:r>
      <w:r w:rsidRPr="00AF17C2">
        <w:rPr>
          <w:rFonts w:cs="Times New Roman"/>
          <w:lang w:val="fr-CA"/>
        </w:rPr>
        <w:t xml:space="preserve">analyse alors reconnu, le juge </w:t>
      </w:r>
      <w:proofErr w:type="spellStart"/>
      <w:proofErr w:type="gramStart"/>
      <w:r w:rsidRPr="00AF17C2">
        <w:rPr>
          <w:rFonts w:cs="Times New Roman"/>
          <w:lang w:val="fr-CA"/>
        </w:rPr>
        <w:t>MacDonnell</w:t>
      </w:r>
      <w:proofErr w:type="spellEnd"/>
      <w:r w:rsidRPr="00AF17C2">
        <w:rPr>
          <w:rFonts w:cs="Times New Roman"/>
          <w:lang w:val="fr-CA"/>
        </w:rPr>
        <w:t xml:space="preserve"> a</w:t>
      </w:r>
      <w:proofErr w:type="gramEnd"/>
      <w:r w:rsidRPr="00AF17C2">
        <w:rPr>
          <w:rFonts w:cs="Times New Roman"/>
          <w:lang w:val="fr-CA"/>
        </w:rPr>
        <w:t xml:space="preserve"> conclu que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xml:space="preserve"> entravait substantiellement la liberté d</w:t>
      </w:r>
      <w:r>
        <w:rPr>
          <w:rFonts w:cs="Times New Roman"/>
          <w:lang w:val="fr-CA"/>
        </w:rPr>
        <w:t>’</w:t>
      </w:r>
      <w:r w:rsidRPr="00AF17C2">
        <w:rPr>
          <w:rFonts w:cs="Times New Roman"/>
          <w:lang w:val="fr-CA"/>
        </w:rPr>
        <w:t>association, parce que (i)</w:t>
      </w:r>
      <w:r w:rsidR="00795B2B">
        <w:rPr>
          <w:rFonts w:cs="Times New Roman"/>
          <w:lang w:val="fr-CA"/>
        </w:rPr>
        <w:t xml:space="preserve"> </w:t>
      </w:r>
      <w:r w:rsidRPr="00AF17C2">
        <w:rPr>
          <w:rFonts w:cs="Times New Roman"/>
          <w:lang w:val="fr-CA"/>
        </w:rPr>
        <w:t>le PRRF ne constituait pas une association indépendante formée ou choisie par les membres de la GRC, et que (ii)</w:t>
      </w:r>
      <w:r w:rsidR="00795B2B">
        <w:rPr>
          <w:rFonts w:cs="Times New Roman"/>
          <w:lang w:val="fr-CA"/>
        </w:rPr>
        <w:t xml:space="preserve"> </w:t>
      </w:r>
      <w:r w:rsidRPr="00AF17C2">
        <w:rPr>
          <w:rFonts w:cs="Times New Roman"/>
          <w:lang w:val="fr-CA"/>
        </w:rPr>
        <w:t>l</w:t>
      </w:r>
      <w:r>
        <w:rPr>
          <w:rFonts w:cs="Times New Roman"/>
          <w:lang w:val="fr-CA"/>
        </w:rPr>
        <w:t>’</w:t>
      </w:r>
      <w:r w:rsidRPr="00AF17C2">
        <w:rPr>
          <w:rFonts w:cs="Times New Roman"/>
          <w:lang w:val="fr-CA"/>
        </w:rPr>
        <w:t>interaction entre le PRRF et la direction ne pouvait pas être raisonnablement qualifiée de processus de négociation collective.</w:t>
      </w:r>
    </w:p>
    <w:p w:rsidR="007B74A6" w:rsidRPr="00AF17C2" w:rsidRDefault="007B74A6" w:rsidP="00795B2B">
      <w:pPr>
        <w:pStyle w:val="ParaNoNdepar-AltN"/>
        <w:rPr>
          <w:rFonts w:cs="Times New Roman"/>
          <w:lang w:val="fr-CA"/>
        </w:rPr>
      </w:pPr>
      <w:r w:rsidRPr="00AF17C2">
        <w:rPr>
          <w:rFonts w:cs="Times New Roman"/>
          <w:lang w:val="fr-CA"/>
        </w:rPr>
        <w:t>Dans un jugement postérieur à l</w:t>
      </w:r>
      <w:r>
        <w:rPr>
          <w:rFonts w:cs="Times New Roman"/>
          <w:lang w:val="fr-CA"/>
        </w:rPr>
        <w:t>’</w:t>
      </w:r>
      <w:r w:rsidRPr="00AF17C2">
        <w:rPr>
          <w:rFonts w:cs="Times New Roman"/>
          <w:lang w:val="fr-CA"/>
        </w:rPr>
        <w:t xml:space="preserve">arrêt </w:t>
      </w:r>
      <w:r w:rsidRPr="00AF17C2">
        <w:rPr>
          <w:rFonts w:cs="Times New Roman"/>
          <w:i/>
          <w:lang w:val="fr-CA"/>
        </w:rPr>
        <w:t>Fraser</w:t>
      </w:r>
      <w:r w:rsidRPr="00AF17C2">
        <w:rPr>
          <w:rFonts w:cs="Times New Roman"/>
          <w:lang w:val="fr-CA"/>
        </w:rPr>
        <w:t xml:space="preserve"> de notre Cour, la Cour d</w:t>
      </w:r>
      <w:r>
        <w:rPr>
          <w:rFonts w:cs="Times New Roman"/>
          <w:lang w:val="fr-CA"/>
        </w:rPr>
        <w:t>’</w:t>
      </w:r>
      <w:r w:rsidRPr="00AF17C2">
        <w:rPr>
          <w:rFonts w:cs="Times New Roman"/>
          <w:lang w:val="fr-CA"/>
        </w:rPr>
        <w:t>appel de l</w:t>
      </w:r>
      <w:r>
        <w:rPr>
          <w:rFonts w:cs="Times New Roman"/>
          <w:lang w:val="fr-CA"/>
        </w:rPr>
        <w:t>’</w:t>
      </w:r>
      <w:r w:rsidRPr="00AF17C2">
        <w:rPr>
          <w:rFonts w:cs="Times New Roman"/>
          <w:lang w:val="fr-CA"/>
        </w:rPr>
        <w:t xml:space="preserve">Ontario (les juges Doherty, Rosenberg et </w:t>
      </w:r>
      <w:proofErr w:type="spellStart"/>
      <w:r w:rsidRPr="00AF17C2">
        <w:rPr>
          <w:rFonts w:cs="Times New Roman"/>
          <w:lang w:val="fr-CA"/>
        </w:rPr>
        <w:t>Juriansz</w:t>
      </w:r>
      <w:proofErr w:type="spellEnd"/>
      <w:r w:rsidRPr="00AF17C2">
        <w:rPr>
          <w:rFonts w:cs="Times New Roman"/>
          <w:lang w:val="fr-CA"/>
        </w:rPr>
        <w:t xml:space="preserve">) a infirmé la décision du juge </w:t>
      </w:r>
      <w:proofErr w:type="spellStart"/>
      <w:r w:rsidRPr="00AF17C2">
        <w:rPr>
          <w:rFonts w:cs="Times New Roman"/>
          <w:lang w:val="fr-CA"/>
        </w:rPr>
        <w:t>MacDonnell</w:t>
      </w:r>
      <w:proofErr w:type="spellEnd"/>
      <w:r w:rsidRPr="00AF17C2">
        <w:rPr>
          <w:rFonts w:cs="Times New Roman"/>
          <w:lang w:val="fr-CA"/>
        </w:rPr>
        <w:t xml:space="preserve"> (2012 ONCA 363, 111 O.R. (3d) 268). La Cour d</w:t>
      </w:r>
      <w:r>
        <w:rPr>
          <w:rFonts w:cs="Times New Roman"/>
          <w:lang w:val="fr-CA"/>
        </w:rPr>
        <w:t>’</w:t>
      </w:r>
      <w:r w:rsidRPr="00AF17C2">
        <w:rPr>
          <w:rFonts w:cs="Times New Roman"/>
          <w:lang w:val="fr-CA"/>
        </w:rPr>
        <w:t xml:space="preserve">appel, sous la plume du juge </w:t>
      </w:r>
      <w:proofErr w:type="spellStart"/>
      <w:r w:rsidRPr="00AF17C2">
        <w:rPr>
          <w:rFonts w:cs="Times New Roman"/>
          <w:lang w:val="fr-CA"/>
        </w:rPr>
        <w:t>Juriansz</w:t>
      </w:r>
      <w:proofErr w:type="spellEnd"/>
      <w:r w:rsidRPr="00AF17C2">
        <w:rPr>
          <w:rFonts w:cs="Times New Roman"/>
          <w:lang w:val="fr-CA"/>
        </w:rPr>
        <w:t>, s</w:t>
      </w:r>
      <w:r>
        <w:rPr>
          <w:rFonts w:cs="Times New Roman"/>
          <w:lang w:val="fr-CA"/>
        </w:rPr>
        <w:t>’</w:t>
      </w:r>
      <w:r w:rsidRPr="00AF17C2">
        <w:rPr>
          <w:rFonts w:cs="Times New Roman"/>
          <w:lang w:val="fr-CA"/>
        </w:rPr>
        <w:t xml:space="preserve">est concentrée sur la notion de </w:t>
      </w:r>
      <w:r w:rsidR="00795B2B">
        <w:rPr>
          <w:rFonts w:cs="Times New Roman"/>
          <w:lang w:val="fr-CA"/>
        </w:rPr>
        <w:t>« </w:t>
      </w:r>
      <w:r w:rsidRPr="00AF17C2">
        <w:rPr>
          <w:rFonts w:cs="Times New Roman"/>
          <w:lang w:val="fr-CA"/>
        </w:rPr>
        <w:t>droit dérivé</w:t>
      </w:r>
      <w:r w:rsidR="00795B2B">
        <w:rPr>
          <w:rFonts w:cs="Times New Roman"/>
          <w:lang w:val="fr-CA"/>
        </w:rPr>
        <w:t> »</w:t>
      </w:r>
      <w:r w:rsidRPr="00AF17C2">
        <w:rPr>
          <w:rFonts w:cs="Times New Roman"/>
          <w:lang w:val="fr-CA"/>
        </w:rPr>
        <w:t>, terme employé par notre Cour dans l</w:t>
      </w:r>
      <w:r>
        <w:rPr>
          <w:rFonts w:cs="Times New Roman"/>
          <w:lang w:val="fr-CA"/>
        </w:rPr>
        <w:t>’</w:t>
      </w:r>
      <w:r w:rsidRPr="00AF17C2">
        <w:rPr>
          <w:rFonts w:cs="Times New Roman"/>
          <w:lang w:val="fr-CA"/>
        </w:rPr>
        <w:t>arrêt</w:t>
      </w:r>
      <w:r w:rsidRPr="00AF17C2">
        <w:rPr>
          <w:rFonts w:cs="Times New Roman"/>
          <w:i/>
          <w:lang w:val="fr-CA"/>
        </w:rPr>
        <w:t xml:space="preserve"> Fraser</w:t>
      </w:r>
      <w:r w:rsidRPr="00AF17C2">
        <w:rPr>
          <w:rFonts w:cs="Times New Roman"/>
          <w:lang w:val="fr-CA"/>
        </w:rPr>
        <w:t xml:space="preserve"> pour décrire la négociation collective (par.</w:t>
      </w:r>
      <w:r w:rsidR="00795B2B">
        <w:rPr>
          <w:rFonts w:cs="Times New Roman"/>
          <w:lang w:val="fr-CA"/>
        </w:rPr>
        <w:t xml:space="preserve"> </w:t>
      </w:r>
      <w:r w:rsidRPr="00AF17C2">
        <w:rPr>
          <w:rFonts w:cs="Times New Roman"/>
          <w:lang w:val="fr-CA"/>
        </w:rPr>
        <w:t xml:space="preserve">109, citant </w:t>
      </w:r>
      <w:r w:rsidRPr="00AF17C2">
        <w:rPr>
          <w:rFonts w:cs="Times New Roman"/>
          <w:i/>
          <w:lang w:val="fr-CA"/>
        </w:rPr>
        <w:t xml:space="preserve">Ontario (Sûreté et Sécurité publique) c. </w:t>
      </w:r>
      <w:proofErr w:type="spellStart"/>
      <w:r w:rsidRPr="00AF17C2">
        <w:rPr>
          <w:rFonts w:cs="Times New Roman"/>
          <w:i/>
          <w:lang w:val="fr-CA"/>
        </w:rPr>
        <w:t>Criminal</w:t>
      </w:r>
      <w:proofErr w:type="spellEnd"/>
      <w:r w:rsidRPr="00AF17C2">
        <w:rPr>
          <w:rFonts w:cs="Times New Roman"/>
          <w:i/>
          <w:lang w:val="fr-CA"/>
        </w:rPr>
        <w:t xml:space="preserve"> </w:t>
      </w:r>
      <w:proofErr w:type="spellStart"/>
      <w:r w:rsidRPr="00AF17C2">
        <w:rPr>
          <w:rFonts w:cs="Times New Roman"/>
          <w:i/>
          <w:lang w:val="fr-CA"/>
        </w:rPr>
        <w:t>Lawyers</w:t>
      </w:r>
      <w:proofErr w:type="spellEnd"/>
      <w:r>
        <w:rPr>
          <w:rFonts w:cs="Times New Roman"/>
          <w:i/>
          <w:lang w:val="fr-CA"/>
        </w:rPr>
        <w:t>’</w:t>
      </w:r>
      <w:r w:rsidRPr="00AF17C2">
        <w:rPr>
          <w:rFonts w:cs="Times New Roman"/>
          <w:i/>
          <w:lang w:val="fr-CA"/>
        </w:rPr>
        <w:t xml:space="preserve"> Association</w:t>
      </w:r>
      <w:r w:rsidRPr="00AF17C2">
        <w:rPr>
          <w:rFonts w:cs="Times New Roman"/>
          <w:lang w:val="fr-CA"/>
        </w:rPr>
        <w:t>, 2010 CSC 23, [2010] 1 R.C.S.</w:t>
      </w:r>
      <w:r w:rsidR="00795B2B">
        <w:rPr>
          <w:rFonts w:cs="Times New Roman"/>
          <w:lang w:val="fr-CA"/>
        </w:rPr>
        <w:t xml:space="preserve"> </w:t>
      </w:r>
      <w:r w:rsidRPr="00AF17C2">
        <w:rPr>
          <w:rFonts w:cs="Times New Roman"/>
          <w:lang w:val="fr-CA"/>
        </w:rPr>
        <w:t xml:space="preserve">815), et a conclu que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l</w:t>
      </w:r>
      <w:r>
        <w:rPr>
          <w:rFonts w:cs="Times New Roman"/>
          <w:lang w:val="fr-CA"/>
        </w:rPr>
        <w:t>’</w:t>
      </w:r>
      <w:r w:rsidRPr="00AF17C2">
        <w:rPr>
          <w:rFonts w:cs="Times New Roman"/>
          <w:lang w:val="fr-CA"/>
        </w:rPr>
        <w:t>obligation positive de s</w:t>
      </w:r>
      <w:r>
        <w:rPr>
          <w:rFonts w:cs="Times New Roman"/>
          <w:lang w:val="fr-CA"/>
        </w:rPr>
        <w:t>’</w:t>
      </w:r>
      <w:r w:rsidRPr="00AF17C2">
        <w:rPr>
          <w:rFonts w:cs="Times New Roman"/>
          <w:lang w:val="fr-CA"/>
        </w:rPr>
        <w:t xml:space="preserve">engager de bonne foi dans une négociation collective ne </w:t>
      </w:r>
      <w:r w:rsidRPr="00AF17C2">
        <w:rPr>
          <w:rFonts w:cs="Times New Roman"/>
          <w:lang w:val="fr-CA"/>
        </w:rPr>
        <w:lastRenderedPageBreak/>
        <w:t>sera imposée à l</w:t>
      </w:r>
      <w:r>
        <w:rPr>
          <w:rFonts w:cs="Times New Roman"/>
          <w:lang w:val="fr-CA"/>
        </w:rPr>
        <w:t>’</w:t>
      </w:r>
      <w:r w:rsidRPr="00AF17C2">
        <w:rPr>
          <w:rFonts w:cs="Times New Roman"/>
          <w:lang w:val="fr-CA"/>
        </w:rPr>
        <w:t>employeur que s</w:t>
      </w:r>
      <w:r>
        <w:rPr>
          <w:rFonts w:cs="Times New Roman"/>
          <w:lang w:val="fr-CA"/>
        </w:rPr>
        <w:t>’</w:t>
      </w:r>
      <w:r w:rsidRPr="00AF17C2">
        <w:rPr>
          <w:rFonts w:cs="Times New Roman"/>
          <w:lang w:val="fr-CA"/>
        </w:rPr>
        <w:t>il est effectivement impossible pour les employés d</w:t>
      </w:r>
      <w:r>
        <w:rPr>
          <w:rFonts w:cs="Times New Roman"/>
          <w:lang w:val="fr-CA"/>
        </w:rPr>
        <w:t>’</w:t>
      </w:r>
      <w:r w:rsidRPr="00AF17C2">
        <w:rPr>
          <w:rFonts w:cs="Times New Roman"/>
          <w:lang w:val="fr-CA"/>
        </w:rPr>
        <w:t>agir collectivement en vue de réaliser des objectifs relatifs au travail</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111).</w:t>
      </w:r>
    </w:p>
    <w:p w:rsidR="007B74A6" w:rsidRPr="00AF17C2" w:rsidRDefault="007B74A6" w:rsidP="00795B2B">
      <w:pPr>
        <w:pStyle w:val="ParaNoNdepar-AltN"/>
        <w:rPr>
          <w:rFonts w:cs="Times New Roman"/>
          <w:lang w:val="fr-CA"/>
        </w:rPr>
      </w:pPr>
      <w:r w:rsidRPr="00AF17C2">
        <w:rPr>
          <w:rFonts w:cs="Times New Roman"/>
          <w:lang w:val="fr-CA"/>
        </w:rPr>
        <w:t>La Cour d</w:t>
      </w:r>
      <w:r>
        <w:rPr>
          <w:rFonts w:cs="Times New Roman"/>
          <w:lang w:val="fr-CA"/>
        </w:rPr>
        <w:t>’</w:t>
      </w:r>
      <w:r w:rsidRPr="00AF17C2">
        <w:rPr>
          <w:rFonts w:cs="Times New Roman"/>
          <w:lang w:val="fr-CA"/>
        </w:rPr>
        <w:t>appel a estimé qu</w:t>
      </w:r>
      <w:r>
        <w:rPr>
          <w:rFonts w:cs="Times New Roman"/>
          <w:lang w:val="fr-CA"/>
        </w:rPr>
        <w:t>’</w:t>
      </w:r>
      <w:r w:rsidRPr="00AF17C2">
        <w:rPr>
          <w:rFonts w:cs="Times New Roman"/>
          <w:lang w:val="fr-CA"/>
        </w:rPr>
        <w:t>il n</w:t>
      </w:r>
      <w:r>
        <w:rPr>
          <w:rFonts w:cs="Times New Roman"/>
          <w:lang w:val="fr-CA"/>
        </w:rPr>
        <w:t>’</w:t>
      </w:r>
      <w:r w:rsidRPr="00AF17C2">
        <w:rPr>
          <w:rFonts w:cs="Times New Roman"/>
          <w:lang w:val="fr-CA"/>
        </w:rPr>
        <w:t xml:space="preserve">est pas </w:t>
      </w:r>
      <w:r w:rsidR="00795B2B">
        <w:rPr>
          <w:rFonts w:cs="Times New Roman"/>
          <w:lang w:val="fr-CA"/>
        </w:rPr>
        <w:t>« </w:t>
      </w:r>
      <w:r w:rsidRPr="00AF17C2">
        <w:rPr>
          <w:rFonts w:cs="Times New Roman"/>
          <w:lang w:val="fr-CA"/>
        </w:rPr>
        <w:t>effectivement impossible</w:t>
      </w:r>
      <w:r w:rsidR="00795B2B">
        <w:rPr>
          <w:rFonts w:cs="Times New Roman"/>
          <w:lang w:val="fr-CA"/>
        </w:rPr>
        <w:t> »</w:t>
      </w:r>
      <w:r w:rsidRPr="00AF17C2">
        <w:rPr>
          <w:rFonts w:cs="Times New Roman"/>
          <w:lang w:val="fr-CA"/>
        </w:rPr>
        <w:t xml:space="preserve"> pour les membres de la GRC d</w:t>
      </w:r>
      <w:r>
        <w:rPr>
          <w:rFonts w:cs="Times New Roman"/>
          <w:lang w:val="fr-CA"/>
        </w:rPr>
        <w:t>’</w:t>
      </w:r>
      <w:r w:rsidRPr="00AF17C2">
        <w:rPr>
          <w:rFonts w:cs="Times New Roman"/>
          <w:lang w:val="fr-CA"/>
        </w:rPr>
        <w:t>exercer véritablement leur droit garanti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(par.</w:t>
      </w:r>
      <w:r w:rsidR="00795B2B">
        <w:rPr>
          <w:rFonts w:cs="Times New Roman"/>
          <w:lang w:val="fr-CA"/>
        </w:rPr>
        <w:t xml:space="preserve"> </w:t>
      </w:r>
      <w:r w:rsidRPr="00AF17C2">
        <w:rPr>
          <w:rFonts w:cs="Times New Roman"/>
          <w:lang w:val="fr-CA"/>
        </w:rPr>
        <w:t>121) en raison de l</w:t>
      </w:r>
      <w:r>
        <w:rPr>
          <w:rFonts w:cs="Times New Roman"/>
          <w:lang w:val="fr-CA"/>
        </w:rPr>
        <w:t>’</w:t>
      </w:r>
      <w:r w:rsidRPr="00AF17C2">
        <w:rPr>
          <w:rFonts w:cs="Times New Roman"/>
          <w:lang w:val="fr-CA"/>
        </w:rPr>
        <w:t>existence</w:t>
      </w:r>
      <w:r w:rsidR="00795B2B">
        <w:rPr>
          <w:rFonts w:cs="Times New Roman"/>
          <w:lang w:val="fr-CA"/>
        </w:rPr>
        <w:t> :</w:t>
      </w:r>
      <w:r w:rsidRPr="00AF17C2">
        <w:rPr>
          <w:rFonts w:cs="Times New Roman"/>
          <w:lang w:val="fr-CA"/>
        </w:rPr>
        <w:t xml:space="preserve"> (1)</w:t>
      </w:r>
      <w:r w:rsidR="00795B2B">
        <w:rPr>
          <w:rFonts w:cs="Times New Roman"/>
          <w:lang w:val="fr-CA"/>
        </w:rPr>
        <w:t xml:space="preserve"> </w:t>
      </w:r>
      <w:r w:rsidRPr="00AF17C2">
        <w:rPr>
          <w:rFonts w:cs="Times New Roman"/>
          <w:lang w:val="fr-CA"/>
        </w:rPr>
        <w:t>d</w:t>
      </w:r>
      <w:r>
        <w:rPr>
          <w:rFonts w:cs="Times New Roman"/>
          <w:lang w:val="fr-CA"/>
        </w:rPr>
        <w:t>’</w:t>
      </w:r>
      <w:r w:rsidRPr="00AF17C2">
        <w:rPr>
          <w:rFonts w:cs="Times New Roman"/>
          <w:lang w:val="fr-CA"/>
        </w:rPr>
        <w:t>associations volontaires telles que les appelantes; (2)</w:t>
      </w:r>
      <w:r w:rsidR="00795B2B">
        <w:rPr>
          <w:rFonts w:cs="Times New Roman"/>
          <w:lang w:val="fr-CA"/>
        </w:rPr>
        <w:t xml:space="preserve"> </w:t>
      </w:r>
      <w:r w:rsidRPr="00AF17C2">
        <w:rPr>
          <w:rFonts w:cs="Times New Roman"/>
          <w:lang w:val="fr-CA"/>
        </w:rPr>
        <w:t>du Fonds de recours juridique qui fournit de l</w:t>
      </w:r>
      <w:r>
        <w:rPr>
          <w:rFonts w:cs="Times New Roman"/>
          <w:lang w:val="fr-CA"/>
        </w:rPr>
        <w:t>’</w:t>
      </w:r>
      <w:r w:rsidRPr="00AF17C2">
        <w:rPr>
          <w:rFonts w:cs="Times New Roman"/>
          <w:lang w:val="fr-CA"/>
        </w:rPr>
        <w:t>assistance à ses membres; et (3)</w:t>
      </w:r>
      <w:r w:rsidR="00795B2B">
        <w:rPr>
          <w:rFonts w:cs="Times New Roman"/>
          <w:lang w:val="fr-CA"/>
        </w:rPr>
        <w:t xml:space="preserve"> </w:t>
      </w:r>
      <w:r w:rsidRPr="00AF17C2">
        <w:rPr>
          <w:rFonts w:cs="Times New Roman"/>
          <w:lang w:val="fr-CA"/>
        </w:rPr>
        <w:t>du PRRF. La Cour d</w:t>
      </w:r>
      <w:r>
        <w:rPr>
          <w:rFonts w:cs="Times New Roman"/>
          <w:lang w:val="fr-CA"/>
        </w:rPr>
        <w:t>’</w:t>
      </w:r>
      <w:r w:rsidRPr="00AF17C2">
        <w:rPr>
          <w:rFonts w:cs="Times New Roman"/>
          <w:lang w:val="fr-CA"/>
        </w:rPr>
        <w:t xml:space="preserve">appel a reconnu que le PRRF a été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créé par règlement</w:t>
      </w:r>
      <w:r w:rsidR="00795B2B">
        <w:rPr>
          <w:rFonts w:cs="Times New Roman"/>
          <w:lang w:val="fr-CA"/>
        </w:rPr>
        <w:t> »</w:t>
      </w:r>
      <w:r w:rsidRPr="00AF17C2">
        <w:rPr>
          <w:rFonts w:cs="Times New Roman"/>
          <w:lang w:val="fr-CA"/>
        </w:rPr>
        <w:t>, qu</w:t>
      </w:r>
      <w:r>
        <w:rPr>
          <w:rFonts w:cs="Times New Roman"/>
          <w:lang w:val="fr-CA"/>
        </w:rPr>
        <w:t>’</w:t>
      </w:r>
      <w:r w:rsidRPr="00AF17C2">
        <w:rPr>
          <w:rFonts w:cs="Times New Roman"/>
          <w:lang w:val="fr-CA"/>
        </w:rPr>
        <w:t>il n</w:t>
      </w:r>
      <w:r>
        <w:rPr>
          <w:rFonts w:cs="Times New Roman"/>
          <w:lang w:val="fr-CA"/>
        </w:rPr>
        <w:t>’</w:t>
      </w:r>
      <w:r w:rsidRPr="00AF17C2">
        <w:rPr>
          <w:rFonts w:cs="Times New Roman"/>
          <w:lang w:val="fr-CA"/>
        </w:rPr>
        <w:t xml:space="preserve">était pas </w:t>
      </w:r>
      <w:r w:rsidR="00795B2B">
        <w:rPr>
          <w:rFonts w:cs="Times New Roman"/>
          <w:lang w:val="fr-CA"/>
        </w:rPr>
        <w:t>« </w:t>
      </w:r>
      <w:r w:rsidRPr="00AF17C2">
        <w:rPr>
          <w:rFonts w:cs="Times New Roman"/>
          <w:lang w:val="fr-CA"/>
        </w:rPr>
        <w:t>indépendant d</w:t>
      </w:r>
      <w:r>
        <w:rPr>
          <w:rFonts w:cs="Times New Roman"/>
          <w:lang w:val="fr-CA"/>
        </w:rPr>
        <w:t>’</w:t>
      </w:r>
      <w:r w:rsidRPr="00AF17C2">
        <w:rPr>
          <w:rFonts w:cs="Times New Roman"/>
          <w:lang w:val="fr-CA"/>
        </w:rPr>
        <w:t>un point de vue institutionnel</w:t>
      </w:r>
      <w:r w:rsidR="00795B2B">
        <w:rPr>
          <w:rFonts w:cs="Times New Roman"/>
          <w:lang w:val="fr-CA"/>
        </w:rPr>
        <w:t> »</w:t>
      </w:r>
      <w:r w:rsidRPr="00AF17C2">
        <w:rPr>
          <w:rFonts w:cs="Times New Roman"/>
          <w:lang w:val="fr-CA"/>
        </w:rPr>
        <w:t xml:space="preserve"> et qu</w:t>
      </w:r>
      <w:r>
        <w:rPr>
          <w:rFonts w:cs="Times New Roman"/>
          <w:lang w:val="fr-CA"/>
        </w:rPr>
        <w:t>’</w:t>
      </w:r>
      <w:r w:rsidRPr="00AF17C2">
        <w:rPr>
          <w:rFonts w:cs="Times New Roman"/>
          <w:lang w:val="fr-CA"/>
        </w:rPr>
        <w:t xml:space="preserve">il ne permettait pas aux membres de la GRC de choisir </w:t>
      </w:r>
      <w:r w:rsidR="00795B2B">
        <w:rPr>
          <w:rFonts w:cs="Times New Roman"/>
          <w:lang w:val="fr-CA"/>
        </w:rPr>
        <w:t>« </w:t>
      </w:r>
      <w:r w:rsidRPr="00AF17C2">
        <w:rPr>
          <w:rFonts w:cs="Times New Roman"/>
          <w:lang w:val="fr-CA"/>
        </w:rPr>
        <w:t>un agent négociateur dans un régime de relations de travail de type Wagner</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128). Elle a néanmoins conclu que les membres de la GRC pouvaient agir collectivement au moyen du PRRF, et ainsi faire valoir, de façon utile, toute préoccupation relative à leurs conditions de travail. En conséquence, selon la Cour d</w:t>
      </w:r>
      <w:r>
        <w:rPr>
          <w:rFonts w:cs="Times New Roman"/>
          <w:lang w:val="fr-CA"/>
        </w:rPr>
        <w:t>’</w:t>
      </w:r>
      <w:r w:rsidRPr="00AF17C2">
        <w:rPr>
          <w:rFonts w:cs="Times New Roman"/>
          <w:lang w:val="fr-CA"/>
        </w:rPr>
        <w:t>appel, le régime actuel de relations de travail ne violait pas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517664">
        <w:rPr>
          <w:rFonts w:cs="Times New Roman"/>
          <w:lang w:val="fr-CA"/>
        </w:rPr>
        <w:t>.</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 xml:space="preserve">Questions en litige </w:t>
      </w:r>
    </w:p>
    <w:p w:rsidR="007B74A6" w:rsidRPr="00AF17C2" w:rsidRDefault="007B74A6" w:rsidP="00795B2B">
      <w:pPr>
        <w:pStyle w:val="ParaNoNdepar-AltN"/>
        <w:rPr>
          <w:rFonts w:cs="Times New Roman"/>
          <w:lang w:val="fr-CA"/>
        </w:rPr>
      </w:pPr>
      <w:r w:rsidRPr="00AF17C2">
        <w:rPr>
          <w:rFonts w:cs="Times New Roman"/>
          <w:lang w:val="fr-CA"/>
        </w:rPr>
        <w:t>Le 20</w:t>
      </w:r>
      <w:r w:rsidR="00795B2B">
        <w:rPr>
          <w:rFonts w:cs="Times New Roman"/>
          <w:lang w:val="fr-CA"/>
        </w:rPr>
        <w:t xml:space="preserve"> </w:t>
      </w:r>
      <w:r w:rsidRPr="00AF17C2">
        <w:rPr>
          <w:rFonts w:cs="Times New Roman"/>
          <w:lang w:val="fr-CA"/>
        </w:rPr>
        <w:t>février 2013, la Juge en chef a formulé les questions constitutionnelles suivantes</w:t>
      </w:r>
      <w:r w:rsidR="00795B2B">
        <w:rPr>
          <w:rFonts w:cs="Times New Roman"/>
          <w:lang w:val="fr-CA"/>
        </w:rPr>
        <w:t> :</w:t>
      </w:r>
      <w:r w:rsidRPr="00AF17C2">
        <w:rPr>
          <w:rFonts w:cs="Times New Roman"/>
          <w:lang w:val="fr-CA"/>
        </w:rPr>
        <w:t xml:space="preserve"> </w:t>
      </w:r>
    </w:p>
    <w:p w:rsidR="007B74A6" w:rsidRPr="00AF17C2" w:rsidRDefault="007B74A6" w:rsidP="00795B2B">
      <w:pPr>
        <w:pStyle w:val="Citation-AltC"/>
        <w:spacing w:after="240"/>
        <w:ind w:left="1440" w:hanging="284"/>
        <w:contextualSpacing w:val="0"/>
        <w:rPr>
          <w:lang w:val="fr-CA"/>
        </w:rPr>
      </w:pPr>
      <w:r w:rsidRPr="00AF17C2">
        <w:rPr>
          <w:lang w:val="fr-CA"/>
        </w:rPr>
        <w:t>1.</w:t>
      </w:r>
      <w:r w:rsidRPr="00AF17C2">
        <w:rPr>
          <w:lang w:val="fr-CA"/>
        </w:rPr>
        <w:tab/>
        <w:t>L</w:t>
      </w:r>
      <w:r>
        <w:rPr>
          <w:lang w:val="fr-CA"/>
        </w:rPr>
        <w:t>’</w:t>
      </w:r>
      <w:r w:rsidRPr="00AF17C2">
        <w:rPr>
          <w:lang w:val="fr-CA"/>
        </w:rPr>
        <w:t>article</w:t>
      </w:r>
      <w:r w:rsidR="00795B2B">
        <w:rPr>
          <w:lang w:val="fr-CA"/>
        </w:rPr>
        <w:t xml:space="preserve"> </w:t>
      </w:r>
      <w:r w:rsidRPr="00AF17C2">
        <w:rPr>
          <w:lang w:val="fr-CA"/>
        </w:rPr>
        <w:t xml:space="preserve">96 du </w:t>
      </w:r>
      <w:r w:rsidRPr="00AF17C2">
        <w:rPr>
          <w:i/>
          <w:lang w:val="fr-CA"/>
        </w:rPr>
        <w:t>Règlement de la Gendarmerie royale du Canada</w:t>
      </w:r>
      <w:r w:rsidRPr="00AF17C2">
        <w:rPr>
          <w:lang w:val="fr-CA"/>
        </w:rPr>
        <w:t xml:space="preserve"> </w:t>
      </w:r>
      <w:r w:rsidRPr="00881323">
        <w:rPr>
          <w:i/>
          <w:lang w:val="fr-CA"/>
        </w:rPr>
        <w:t>(1988)</w:t>
      </w:r>
      <w:r w:rsidRPr="00AF17C2">
        <w:rPr>
          <w:lang w:val="fr-CA"/>
        </w:rPr>
        <w:t xml:space="preserve">, </w:t>
      </w:r>
      <w:r w:rsidRPr="00AF17C2">
        <w:rPr>
          <w:smallCaps/>
          <w:lang w:val="fr-CA"/>
        </w:rPr>
        <w:t>DORS</w:t>
      </w:r>
      <w:r w:rsidRPr="00AF17C2">
        <w:rPr>
          <w:lang w:val="fr-CA"/>
        </w:rPr>
        <w:t>/88</w:t>
      </w:r>
      <w:r w:rsidR="00795B2B">
        <w:rPr>
          <w:lang w:val="fr-CA"/>
        </w:rPr>
        <w:t>-</w:t>
      </w:r>
      <w:r w:rsidRPr="00AF17C2">
        <w:rPr>
          <w:lang w:val="fr-CA"/>
        </w:rPr>
        <w:t>361, viole</w:t>
      </w:r>
      <w:r w:rsidR="00795B2B">
        <w:rPr>
          <w:lang w:val="fr-CA"/>
        </w:rPr>
        <w:t>-</w:t>
      </w:r>
      <w:r w:rsidRPr="00AF17C2">
        <w:rPr>
          <w:lang w:val="fr-CA"/>
        </w:rPr>
        <w:t>t</w:t>
      </w:r>
      <w:r w:rsidR="00795B2B">
        <w:rPr>
          <w:lang w:val="fr-CA"/>
        </w:rPr>
        <w:t>-</w:t>
      </w:r>
      <w:r w:rsidRPr="00AF17C2">
        <w:rPr>
          <w:lang w:val="fr-CA"/>
        </w:rPr>
        <w:t>il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xml:space="preserve">) de la </w:t>
      </w:r>
      <w:r w:rsidRPr="00AF17C2">
        <w:rPr>
          <w:i/>
          <w:lang w:val="fr-CA"/>
        </w:rPr>
        <w:t>Charte canadienne des droits et libertés</w:t>
      </w:r>
      <w:r w:rsidRPr="00AF17C2">
        <w:rPr>
          <w:lang w:val="fr-CA"/>
        </w:rPr>
        <w:t>?</w:t>
      </w:r>
    </w:p>
    <w:p w:rsidR="007B74A6" w:rsidRPr="00AF17C2" w:rsidRDefault="007B74A6" w:rsidP="00795B2B">
      <w:pPr>
        <w:pStyle w:val="Citation-AltC"/>
        <w:spacing w:after="240"/>
        <w:ind w:left="1440" w:hanging="284"/>
        <w:contextualSpacing w:val="0"/>
        <w:rPr>
          <w:lang w:val="fr-CA"/>
        </w:rPr>
      </w:pPr>
      <w:r w:rsidRPr="00AF17C2">
        <w:rPr>
          <w:lang w:val="fr-CA"/>
        </w:rPr>
        <w:t>2.</w:t>
      </w:r>
      <w:r w:rsidRPr="00AF17C2">
        <w:rPr>
          <w:lang w:val="fr-CA"/>
        </w:rPr>
        <w:tab/>
        <w:t>Dans l</w:t>
      </w:r>
      <w:r>
        <w:rPr>
          <w:lang w:val="fr-CA"/>
        </w:rPr>
        <w:t>’</w:t>
      </w:r>
      <w:r w:rsidRPr="00AF17C2">
        <w:rPr>
          <w:lang w:val="fr-CA"/>
        </w:rPr>
        <w:t>affirmative, s</w:t>
      </w:r>
      <w:r>
        <w:rPr>
          <w:lang w:val="fr-CA"/>
        </w:rPr>
        <w:t>’</w:t>
      </w:r>
      <w:r w:rsidRPr="00AF17C2">
        <w:rPr>
          <w:lang w:val="fr-CA"/>
        </w:rPr>
        <w:t>agit</w:t>
      </w:r>
      <w:r w:rsidR="00795B2B">
        <w:rPr>
          <w:lang w:val="fr-CA"/>
        </w:rPr>
        <w:t>-</w:t>
      </w:r>
      <w:r w:rsidRPr="00AF17C2">
        <w:rPr>
          <w:lang w:val="fr-CA"/>
        </w:rPr>
        <w:t>il d</w:t>
      </w:r>
      <w:r>
        <w:rPr>
          <w:lang w:val="fr-CA"/>
        </w:rPr>
        <w:t>’</w:t>
      </w:r>
      <w:r w:rsidRPr="00AF17C2">
        <w:rPr>
          <w:lang w:val="fr-CA"/>
        </w:rPr>
        <w:t>une violation constituant une limite raisonnable, établie par une règle de droit et dont la justification peut se démontrer dans le cadre d</w:t>
      </w:r>
      <w:r>
        <w:rPr>
          <w:lang w:val="fr-CA"/>
        </w:rPr>
        <w:t>’</w:t>
      </w:r>
      <w:r w:rsidRPr="00AF17C2">
        <w:rPr>
          <w:lang w:val="fr-CA"/>
        </w:rPr>
        <w:t>une société libre et démocratique conformément à l</w:t>
      </w:r>
      <w:r>
        <w:rPr>
          <w:lang w:val="fr-CA"/>
        </w:rPr>
        <w:t>’</w:t>
      </w:r>
      <w:r w:rsidRPr="00AF17C2">
        <w:rPr>
          <w:lang w:val="fr-CA"/>
        </w:rPr>
        <w:t xml:space="preserve">article premier de la </w:t>
      </w:r>
      <w:r w:rsidRPr="00AF17C2">
        <w:rPr>
          <w:i/>
          <w:lang w:val="fr-CA"/>
        </w:rPr>
        <w:t>Charte canadienne des droits et libertés</w:t>
      </w:r>
      <w:r w:rsidRPr="00AF17C2">
        <w:rPr>
          <w:lang w:val="fr-CA"/>
        </w:rPr>
        <w:t>?</w:t>
      </w:r>
    </w:p>
    <w:p w:rsidR="007B74A6" w:rsidRPr="00AF17C2" w:rsidRDefault="007B74A6" w:rsidP="00795B2B">
      <w:pPr>
        <w:pStyle w:val="Citation-AltC"/>
        <w:spacing w:after="240"/>
        <w:ind w:left="1440" w:hanging="284"/>
        <w:contextualSpacing w:val="0"/>
        <w:rPr>
          <w:lang w:val="fr-CA"/>
        </w:rPr>
      </w:pPr>
      <w:r w:rsidRPr="00AF17C2">
        <w:rPr>
          <w:lang w:val="fr-CA"/>
        </w:rPr>
        <w:lastRenderedPageBreak/>
        <w:t>3.</w:t>
      </w:r>
      <w:r w:rsidRPr="00AF17C2">
        <w:rPr>
          <w:lang w:val="fr-CA"/>
        </w:rPr>
        <w:tab/>
        <w:t>L</w:t>
      </w:r>
      <w:r>
        <w:rPr>
          <w:lang w:val="fr-CA"/>
        </w:rPr>
        <w:t>’</w:t>
      </w:r>
      <w:r w:rsidRPr="00AF17C2">
        <w:rPr>
          <w:lang w:val="fr-CA"/>
        </w:rPr>
        <w:t>alinéa</w:t>
      </w:r>
      <w:r w:rsidR="00795B2B">
        <w:rPr>
          <w:lang w:val="fr-CA"/>
        </w:rPr>
        <w:t xml:space="preserve"> </w:t>
      </w:r>
      <w:r w:rsidRPr="00AF17C2">
        <w:rPr>
          <w:i/>
          <w:lang w:val="fr-CA"/>
        </w:rPr>
        <w:t>d</w:t>
      </w:r>
      <w:r w:rsidRPr="00AF17C2">
        <w:rPr>
          <w:lang w:val="fr-CA"/>
        </w:rPr>
        <w:t xml:space="preserve">) de la définition de </w:t>
      </w:r>
      <w:r w:rsidR="00795B2B">
        <w:rPr>
          <w:lang w:val="fr-CA"/>
        </w:rPr>
        <w:t>« </w:t>
      </w:r>
      <w:r w:rsidRPr="00AF17C2">
        <w:rPr>
          <w:lang w:val="fr-CA"/>
        </w:rPr>
        <w:t>fonctionnaire</w:t>
      </w:r>
      <w:r w:rsidR="00795B2B">
        <w:rPr>
          <w:lang w:val="fr-CA"/>
        </w:rPr>
        <w:t> »</w:t>
      </w:r>
      <w:r w:rsidRPr="00AF17C2">
        <w:rPr>
          <w:lang w:val="fr-CA"/>
        </w:rPr>
        <w:t xml:space="preserve"> au par.</w:t>
      </w:r>
      <w:r w:rsidR="00795B2B">
        <w:rPr>
          <w:lang w:val="fr-CA"/>
        </w:rPr>
        <w:t xml:space="preserve"> </w:t>
      </w:r>
      <w:r w:rsidRPr="00AF17C2">
        <w:rPr>
          <w:lang w:val="fr-CA"/>
        </w:rPr>
        <w:t xml:space="preserve">2(1) de la </w:t>
      </w:r>
      <w:r w:rsidRPr="00AF17C2">
        <w:rPr>
          <w:i/>
          <w:lang w:val="fr-CA"/>
        </w:rPr>
        <w:t>Loi sur les relations de travail dans la fonction publique</w:t>
      </w:r>
      <w:r w:rsidRPr="00AF17C2">
        <w:rPr>
          <w:lang w:val="fr-CA"/>
        </w:rPr>
        <w:t>, L.C.</w:t>
      </w:r>
      <w:r w:rsidR="00795B2B">
        <w:rPr>
          <w:lang w:val="fr-CA"/>
        </w:rPr>
        <w:t xml:space="preserve"> </w:t>
      </w:r>
      <w:r w:rsidRPr="00AF17C2">
        <w:rPr>
          <w:lang w:val="fr-CA"/>
        </w:rPr>
        <w:t>2003, c.</w:t>
      </w:r>
      <w:r w:rsidR="00795B2B">
        <w:rPr>
          <w:lang w:val="fr-CA"/>
        </w:rPr>
        <w:t xml:space="preserve"> </w:t>
      </w:r>
      <w:r w:rsidRPr="00AF17C2">
        <w:rPr>
          <w:lang w:val="fr-CA"/>
        </w:rPr>
        <w:t>22</w:t>
      </w:r>
      <w:r w:rsidR="00881323">
        <w:rPr>
          <w:lang w:val="fr-CA"/>
        </w:rPr>
        <w:t>,</w:t>
      </w:r>
      <w:r w:rsidRPr="00AF17C2">
        <w:rPr>
          <w:lang w:val="fr-CA"/>
        </w:rPr>
        <w:t xml:space="preserve"> viole</w:t>
      </w:r>
      <w:r w:rsidR="00795B2B">
        <w:rPr>
          <w:lang w:val="fr-CA"/>
        </w:rPr>
        <w:t>-</w:t>
      </w:r>
      <w:r w:rsidRPr="00AF17C2">
        <w:rPr>
          <w:lang w:val="fr-CA"/>
        </w:rPr>
        <w:t>t</w:t>
      </w:r>
      <w:r w:rsidR="00795B2B">
        <w:rPr>
          <w:lang w:val="fr-CA"/>
        </w:rPr>
        <w:t>-</w:t>
      </w:r>
      <w:r w:rsidRPr="00AF17C2">
        <w:rPr>
          <w:lang w:val="fr-CA"/>
        </w:rPr>
        <w:t>il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xml:space="preserve">) de la </w:t>
      </w:r>
      <w:r w:rsidRPr="00AF17C2">
        <w:rPr>
          <w:i/>
          <w:lang w:val="fr-CA"/>
        </w:rPr>
        <w:t>Charte canadienne des droits et libertés</w:t>
      </w:r>
      <w:r w:rsidRPr="00AF17C2">
        <w:rPr>
          <w:lang w:val="fr-CA"/>
        </w:rPr>
        <w:t>?</w:t>
      </w:r>
    </w:p>
    <w:p w:rsidR="007B74A6" w:rsidRPr="00AF17C2" w:rsidRDefault="007B74A6" w:rsidP="00795B2B">
      <w:pPr>
        <w:pStyle w:val="Citation-AltC"/>
        <w:ind w:left="1440" w:hanging="288"/>
        <w:contextualSpacing w:val="0"/>
        <w:rPr>
          <w:lang w:val="fr-CA"/>
        </w:rPr>
      </w:pPr>
      <w:r w:rsidRPr="00AF17C2">
        <w:rPr>
          <w:lang w:val="fr-CA"/>
        </w:rPr>
        <w:t>4.</w:t>
      </w:r>
      <w:r w:rsidRPr="00AF17C2">
        <w:rPr>
          <w:lang w:val="fr-CA"/>
        </w:rPr>
        <w:tab/>
        <w:t>Dans l</w:t>
      </w:r>
      <w:r>
        <w:rPr>
          <w:lang w:val="fr-CA"/>
        </w:rPr>
        <w:t>’</w:t>
      </w:r>
      <w:r w:rsidRPr="00AF17C2">
        <w:rPr>
          <w:lang w:val="fr-CA"/>
        </w:rPr>
        <w:t>affirmative, s</w:t>
      </w:r>
      <w:r>
        <w:rPr>
          <w:lang w:val="fr-CA"/>
        </w:rPr>
        <w:t>’</w:t>
      </w:r>
      <w:r w:rsidRPr="00AF17C2">
        <w:rPr>
          <w:lang w:val="fr-CA"/>
        </w:rPr>
        <w:t>agit</w:t>
      </w:r>
      <w:r w:rsidR="00795B2B">
        <w:rPr>
          <w:lang w:val="fr-CA"/>
        </w:rPr>
        <w:t>-</w:t>
      </w:r>
      <w:r w:rsidRPr="00AF17C2">
        <w:rPr>
          <w:lang w:val="fr-CA"/>
        </w:rPr>
        <w:t>il d</w:t>
      </w:r>
      <w:r>
        <w:rPr>
          <w:lang w:val="fr-CA"/>
        </w:rPr>
        <w:t>’</w:t>
      </w:r>
      <w:r w:rsidRPr="00AF17C2">
        <w:rPr>
          <w:lang w:val="fr-CA"/>
        </w:rPr>
        <w:t>une violation constituant une limite raisonnable, établie par une règle de droit et dont la justification peut se démontrer dans le cadre d</w:t>
      </w:r>
      <w:r>
        <w:rPr>
          <w:lang w:val="fr-CA"/>
        </w:rPr>
        <w:t>’</w:t>
      </w:r>
      <w:r w:rsidRPr="00AF17C2">
        <w:rPr>
          <w:lang w:val="fr-CA"/>
        </w:rPr>
        <w:t>une société libre et démocratique conformément à l</w:t>
      </w:r>
      <w:r>
        <w:rPr>
          <w:lang w:val="fr-CA"/>
        </w:rPr>
        <w:t>’</w:t>
      </w:r>
      <w:r w:rsidRPr="00AF17C2">
        <w:rPr>
          <w:lang w:val="fr-CA"/>
        </w:rPr>
        <w:t xml:space="preserve">article premier de la </w:t>
      </w:r>
      <w:r w:rsidRPr="00AF17C2">
        <w:rPr>
          <w:i/>
          <w:lang w:val="fr-CA"/>
        </w:rPr>
        <w:t>Charte canadienne des droits et libertés</w:t>
      </w:r>
      <w:r w:rsidRPr="00AF17C2">
        <w:rPr>
          <w:lang w:val="fr-CA"/>
        </w:rPr>
        <w:t>?</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Analyse</w:t>
      </w:r>
    </w:p>
    <w:p w:rsidR="007B74A6" w:rsidRPr="00AF17C2" w:rsidRDefault="007B74A6" w:rsidP="00795B2B">
      <w:pPr>
        <w:pStyle w:val="Title2LevelTitre2Niveau"/>
        <w:rPr>
          <w:rFonts w:cs="Times New Roman"/>
          <w:lang w:val="fr-CA"/>
        </w:rPr>
      </w:pPr>
      <w:r w:rsidRPr="00AF17C2">
        <w:rPr>
          <w:rFonts w:cs="Times New Roman"/>
          <w:lang w:val="fr-CA"/>
        </w:rPr>
        <w:t>Évolution de la jurisprudence sur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 vers une interprétation téléologique et contextuelle</w:t>
      </w:r>
    </w:p>
    <w:p w:rsidR="007B74A6" w:rsidRPr="00AF17C2" w:rsidRDefault="007B74A6" w:rsidP="00795B2B">
      <w:pPr>
        <w:pStyle w:val="ParaNoNdepar-AltN"/>
        <w:rPr>
          <w:rFonts w:cs="Times New Roman"/>
          <w:lang w:val="fr-CA"/>
        </w:rPr>
      </w:pPr>
      <w:r w:rsidRPr="00AF17C2">
        <w:rPr>
          <w:rFonts w:cs="Times New Roman"/>
          <w:lang w:val="fr-CA"/>
        </w:rPr>
        <w:t>La jurisprudence sur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517664">
        <w:rPr>
          <w:rFonts w:cs="Times New Roman"/>
          <w:lang w:val="fr-CA"/>
        </w:rPr>
        <w:t xml:space="preserve"> —</w:t>
      </w:r>
      <w:r w:rsidRPr="00AF17C2">
        <w:rPr>
          <w:rFonts w:cs="Times New Roman"/>
          <w:i/>
          <w:lang w:val="fr-CA"/>
        </w:rPr>
        <w:t xml:space="preserve"> </w:t>
      </w:r>
      <w:r w:rsidRPr="00AF17C2">
        <w:rPr>
          <w:rFonts w:cs="Times New Roman"/>
          <w:lang w:val="fr-CA"/>
        </w:rPr>
        <w:t>qui s</w:t>
      </w:r>
      <w:r>
        <w:rPr>
          <w:rFonts w:cs="Times New Roman"/>
          <w:lang w:val="fr-CA"/>
        </w:rPr>
        <w:t>’</w:t>
      </w:r>
      <w:r w:rsidRPr="00AF17C2">
        <w:rPr>
          <w:rFonts w:cs="Times New Roman"/>
          <w:lang w:val="fr-CA"/>
        </w:rPr>
        <w:t>est principalement développée en matière de relations de travail (J.</w:t>
      </w:r>
      <w:r w:rsidR="00795B2B">
        <w:rPr>
          <w:rFonts w:cs="Times New Roman"/>
          <w:lang w:val="fr-CA"/>
        </w:rPr>
        <w:t xml:space="preserve"> </w:t>
      </w:r>
      <w:proofErr w:type="spellStart"/>
      <w:r w:rsidRPr="00AF17C2">
        <w:rPr>
          <w:rFonts w:cs="Times New Roman"/>
          <w:lang w:val="fr-CA"/>
        </w:rPr>
        <w:t>Fudge</w:t>
      </w:r>
      <w:proofErr w:type="spellEnd"/>
      <w:r w:rsidRPr="00AF17C2">
        <w:rPr>
          <w:rFonts w:cs="Times New Roman"/>
          <w:lang w:val="fr-CA"/>
        </w:rPr>
        <w:t xml:space="preserve">, </w:t>
      </w:r>
      <w:r w:rsidR="00795B2B">
        <w:rPr>
          <w:rFonts w:cs="Times New Roman"/>
          <w:lang w:val="fr-CA"/>
        </w:rPr>
        <w:t>« </w:t>
      </w:r>
      <w:proofErr w:type="spellStart"/>
      <w:r w:rsidRPr="00AF17C2">
        <w:rPr>
          <w:rFonts w:cs="Times New Roman"/>
          <w:lang w:val="fr-CA"/>
        </w:rPr>
        <w:t>Freedom</w:t>
      </w:r>
      <w:proofErr w:type="spellEnd"/>
      <w:r w:rsidRPr="00AF17C2">
        <w:rPr>
          <w:rFonts w:cs="Times New Roman"/>
          <w:lang w:val="fr-CA"/>
        </w:rPr>
        <w:t xml:space="preserve"> of Association</w:t>
      </w:r>
      <w:r w:rsidR="00795B2B">
        <w:rPr>
          <w:rFonts w:cs="Times New Roman"/>
          <w:lang w:val="fr-CA"/>
        </w:rPr>
        <w:t> »</w:t>
      </w:r>
      <w:r w:rsidRPr="00AF17C2">
        <w:rPr>
          <w:rFonts w:cs="Times New Roman"/>
          <w:lang w:val="fr-CA"/>
        </w:rPr>
        <w:t>,</w:t>
      </w:r>
      <w:r w:rsidRPr="00AF17C2">
        <w:rPr>
          <w:rFonts w:cs="Times New Roman"/>
          <w:i/>
          <w:lang w:val="fr-CA"/>
        </w:rPr>
        <w:t xml:space="preserve"> </w:t>
      </w:r>
      <w:r w:rsidRPr="00AF17C2">
        <w:rPr>
          <w:rFonts w:cs="Times New Roman"/>
          <w:lang w:val="fr-CA"/>
        </w:rPr>
        <w:t>dans E.</w:t>
      </w:r>
      <w:r w:rsidR="00795B2B">
        <w:rPr>
          <w:rFonts w:cs="Times New Roman"/>
          <w:lang w:val="fr-CA"/>
        </w:rPr>
        <w:t xml:space="preserve"> </w:t>
      </w:r>
      <w:r w:rsidRPr="00AF17C2">
        <w:rPr>
          <w:rFonts w:cs="Times New Roman"/>
          <w:lang w:val="fr-CA"/>
        </w:rPr>
        <w:t>Mendes et S.</w:t>
      </w:r>
      <w:r w:rsidR="00795B2B">
        <w:rPr>
          <w:rFonts w:cs="Times New Roman"/>
          <w:lang w:val="fr-CA"/>
        </w:rPr>
        <w:t xml:space="preserve"> </w:t>
      </w:r>
      <w:proofErr w:type="spellStart"/>
      <w:r w:rsidRPr="00AF17C2">
        <w:rPr>
          <w:rFonts w:cs="Times New Roman"/>
          <w:lang w:val="fr-CA"/>
        </w:rPr>
        <w:t>Beaulac</w:t>
      </w:r>
      <w:proofErr w:type="spellEnd"/>
      <w:r w:rsidRPr="00AF17C2">
        <w:rPr>
          <w:rFonts w:cs="Times New Roman"/>
          <w:lang w:val="fr-CA"/>
        </w:rPr>
        <w:t>,</w:t>
      </w:r>
      <w:r w:rsidRPr="00AF17C2">
        <w:rPr>
          <w:rFonts w:cs="Times New Roman"/>
          <w:i/>
          <w:lang w:val="fr-CA"/>
        </w:rPr>
        <w:t xml:space="preserve"> </w:t>
      </w:r>
      <w:proofErr w:type="spellStart"/>
      <w:proofErr w:type="gramStart"/>
      <w:r w:rsidRPr="00AF17C2">
        <w:rPr>
          <w:rFonts w:cs="Times New Roman"/>
          <w:lang w:val="fr-CA"/>
        </w:rPr>
        <w:t>dir</w:t>
      </w:r>
      <w:proofErr w:type="spellEnd"/>
      <w:r w:rsidRPr="00AF17C2">
        <w:rPr>
          <w:rFonts w:cs="Times New Roman"/>
          <w:lang w:val="fr-CA"/>
        </w:rPr>
        <w:t>.,</w:t>
      </w:r>
      <w:proofErr w:type="gramEnd"/>
      <w:r w:rsidRPr="00AF17C2">
        <w:rPr>
          <w:rFonts w:cs="Times New Roman"/>
          <w:lang w:val="fr-CA"/>
        </w:rPr>
        <w:t xml:space="preserve"> </w:t>
      </w:r>
      <w:r w:rsidR="00517664">
        <w:rPr>
          <w:rFonts w:cs="Times New Roman"/>
          <w:i/>
          <w:lang w:val="fr-CA"/>
        </w:rPr>
        <w:t>Charte canadienne des droits et libertés</w:t>
      </w:r>
      <w:r w:rsidRPr="00AF17C2">
        <w:rPr>
          <w:rFonts w:cs="Times New Roman"/>
          <w:i/>
          <w:lang w:val="fr-CA"/>
        </w:rPr>
        <w:t xml:space="preserve"> </w:t>
      </w:r>
      <w:r w:rsidRPr="00AF17C2">
        <w:rPr>
          <w:rFonts w:cs="Times New Roman"/>
          <w:lang w:val="fr-CA"/>
        </w:rPr>
        <w:t>(5</w:t>
      </w:r>
      <w:r w:rsidRPr="00AF17C2">
        <w:rPr>
          <w:rFonts w:cs="Times New Roman"/>
          <w:vertAlign w:val="superscript"/>
          <w:lang w:val="fr-CA"/>
        </w:rPr>
        <w:t>e</w:t>
      </w:r>
      <w:r w:rsidR="00795B2B">
        <w:rPr>
          <w:rFonts w:cs="Times New Roman"/>
          <w:lang w:val="fr-CA"/>
        </w:rPr>
        <w:t xml:space="preserve"> </w:t>
      </w:r>
      <w:r w:rsidRPr="00AF17C2">
        <w:rPr>
          <w:rFonts w:cs="Times New Roman"/>
          <w:lang w:val="fr-CA"/>
        </w:rPr>
        <w:t>éd. 2013), 527, p.</w:t>
      </w:r>
      <w:r w:rsidR="00795B2B">
        <w:rPr>
          <w:rFonts w:cs="Times New Roman"/>
          <w:lang w:val="fr-CA"/>
        </w:rPr>
        <w:t xml:space="preserve"> </w:t>
      </w:r>
      <w:r w:rsidRPr="00AF17C2">
        <w:rPr>
          <w:rFonts w:cs="Times New Roman"/>
          <w:lang w:val="fr-CA"/>
        </w:rPr>
        <w:t>527</w:t>
      </w:r>
      <w:r w:rsidR="00795B2B">
        <w:rPr>
          <w:rFonts w:cs="Times New Roman"/>
          <w:lang w:val="fr-CA"/>
        </w:rPr>
        <w:t>-</w:t>
      </w:r>
      <w:r w:rsidRPr="00AF17C2">
        <w:rPr>
          <w:rFonts w:cs="Times New Roman"/>
          <w:lang w:val="fr-CA"/>
        </w:rPr>
        <w:t xml:space="preserve">528) — </w:t>
      </w:r>
      <w:r w:rsidR="00D20EDC">
        <w:rPr>
          <w:rFonts w:cs="Times New Roman"/>
          <w:lang w:val="fr-CA"/>
        </w:rPr>
        <w:t xml:space="preserve">se divise </w:t>
      </w:r>
      <w:r w:rsidRPr="00AF17C2">
        <w:rPr>
          <w:rFonts w:cs="Times New Roman"/>
          <w:lang w:val="fr-CA"/>
        </w:rPr>
        <w:t>en deux périodes importantes. La première s</w:t>
      </w:r>
      <w:r>
        <w:rPr>
          <w:rFonts w:cs="Times New Roman"/>
          <w:lang w:val="fr-CA"/>
        </w:rPr>
        <w:t>’</w:t>
      </w:r>
      <w:r w:rsidRPr="00AF17C2">
        <w:rPr>
          <w:rFonts w:cs="Times New Roman"/>
          <w:lang w:val="fr-CA"/>
        </w:rPr>
        <w:t>est caractérisée par une interprétation restrictive de la liberté d</w:t>
      </w:r>
      <w:r>
        <w:rPr>
          <w:rFonts w:cs="Times New Roman"/>
          <w:lang w:val="fr-CA"/>
        </w:rPr>
        <w:t>’</w:t>
      </w:r>
      <w:r w:rsidRPr="00AF17C2">
        <w:rPr>
          <w:rFonts w:cs="Times New Roman"/>
          <w:lang w:val="fr-CA"/>
        </w:rPr>
        <w:t>association. La seconde a, pour sa part, graduellement privilégié une interprétation généreuse et fondée sur l</w:t>
      </w:r>
      <w:r>
        <w:rPr>
          <w:rFonts w:cs="Times New Roman"/>
          <w:lang w:val="fr-CA"/>
        </w:rPr>
        <w:t>’</w:t>
      </w:r>
      <w:r w:rsidRPr="00AF17C2">
        <w:rPr>
          <w:rFonts w:cs="Times New Roman"/>
          <w:lang w:val="fr-CA"/>
        </w:rPr>
        <w:t>objet de la garantie constitutionnelle.</w:t>
      </w:r>
    </w:p>
    <w:p w:rsidR="007B74A6" w:rsidRPr="00AF17C2" w:rsidRDefault="007B74A6" w:rsidP="00795B2B">
      <w:pPr>
        <w:pStyle w:val="ParaNoNdepar-AltN"/>
        <w:rPr>
          <w:rFonts w:cs="Times New Roman"/>
          <w:lang w:val="fr-CA"/>
        </w:rPr>
      </w:pPr>
      <w:r w:rsidRPr="00AF17C2">
        <w:rPr>
          <w:rFonts w:cs="Times New Roman"/>
          <w:lang w:val="fr-CA"/>
        </w:rPr>
        <w:t>Dans ce qu</w:t>
      </w:r>
      <w:r>
        <w:rPr>
          <w:rFonts w:cs="Times New Roman"/>
          <w:lang w:val="fr-CA"/>
        </w:rPr>
        <w:t>’</w:t>
      </w:r>
      <w:r w:rsidRPr="00AF17C2">
        <w:rPr>
          <w:rFonts w:cs="Times New Roman"/>
          <w:lang w:val="fr-CA"/>
        </w:rPr>
        <w:t xml:space="preserve">on appelle désormais la </w:t>
      </w:r>
      <w:r w:rsidR="00795B2B">
        <w:rPr>
          <w:rFonts w:cs="Times New Roman"/>
          <w:lang w:val="fr-CA"/>
        </w:rPr>
        <w:t>« </w:t>
      </w:r>
      <w:r w:rsidRPr="00AF17C2">
        <w:rPr>
          <w:rFonts w:cs="Times New Roman"/>
          <w:lang w:val="fr-CA"/>
        </w:rPr>
        <w:t>trilogie en droit du travail</w:t>
      </w:r>
      <w:r w:rsidR="00795B2B">
        <w:rPr>
          <w:rFonts w:cs="Times New Roman"/>
          <w:lang w:val="fr-CA"/>
        </w:rPr>
        <w:t> »</w:t>
      </w:r>
      <w:r w:rsidRPr="00AF17C2">
        <w:rPr>
          <w:rFonts w:cs="Times New Roman"/>
          <w:lang w:val="fr-CA"/>
        </w:rPr>
        <w:t>,</w:t>
      </w:r>
      <w:r w:rsidRPr="00AF17C2">
        <w:rPr>
          <w:rFonts w:cs="Times New Roman"/>
          <w:i/>
          <w:lang w:val="fr-CA"/>
        </w:rPr>
        <w:t xml:space="preserve"> </w:t>
      </w:r>
      <w:r w:rsidRPr="00AF17C2">
        <w:rPr>
          <w:rFonts w:cs="Times New Roman"/>
          <w:lang w:val="fr-CA"/>
        </w:rPr>
        <w:t>la Cour a conclu à la majorité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ne garantit ni le droit de négocier collectivement ni celui de faire la grève (</w:t>
      </w:r>
      <w:r w:rsidRPr="00AF17C2">
        <w:rPr>
          <w:rFonts w:cs="Times New Roman"/>
          <w:i/>
          <w:lang w:val="fr-CA"/>
        </w:rPr>
        <w:t xml:space="preserve">Renvoi relatif à la Public Service </w:t>
      </w:r>
      <w:proofErr w:type="spellStart"/>
      <w:r w:rsidRPr="00AF17C2">
        <w:rPr>
          <w:rFonts w:cs="Times New Roman"/>
          <w:i/>
          <w:lang w:val="fr-CA"/>
        </w:rPr>
        <w:t>Employee</w:t>
      </w:r>
      <w:proofErr w:type="spellEnd"/>
      <w:r w:rsidRPr="00AF17C2">
        <w:rPr>
          <w:rFonts w:cs="Times New Roman"/>
          <w:i/>
          <w:lang w:val="fr-CA"/>
        </w:rPr>
        <w:t xml:space="preserve"> Relations </w:t>
      </w:r>
      <w:proofErr w:type="spellStart"/>
      <w:r w:rsidRPr="00AF17C2">
        <w:rPr>
          <w:rFonts w:cs="Times New Roman"/>
          <w:i/>
          <w:lang w:val="fr-CA"/>
        </w:rPr>
        <w:t>Act</w:t>
      </w:r>
      <w:proofErr w:type="spellEnd"/>
      <w:r w:rsidRPr="00AF17C2">
        <w:rPr>
          <w:rFonts w:cs="Times New Roman"/>
          <w:i/>
          <w:lang w:val="fr-CA"/>
        </w:rPr>
        <w:t xml:space="preserve"> (</w:t>
      </w:r>
      <w:proofErr w:type="spellStart"/>
      <w:r w:rsidRPr="00AF17C2">
        <w:rPr>
          <w:rFonts w:cs="Times New Roman"/>
          <w:i/>
          <w:lang w:val="fr-CA"/>
        </w:rPr>
        <w:t>Alb</w:t>
      </w:r>
      <w:proofErr w:type="spellEnd"/>
      <w:r w:rsidRPr="00AF17C2">
        <w:rPr>
          <w:rFonts w:cs="Times New Roman"/>
          <w:i/>
          <w:lang w:val="fr-CA"/>
        </w:rPr>
        <w:t>.)</w:t>
      </w:r>
      <w:r w:rsidRPr="00AF17C2">
        <w:rPr>
          <w:rFonts w:cs="Times New Roman"/>
          <w:lang w:val="fr-CA"/>
        </w:rPr>
        <w:t>, [1987] 1 R.C.S.</w:t>
      </w:r>
      <w:r w:rsidR="00795B2B">
        <w:rPr>
          <w:rFonts w:cs="Times New Roman"/>
          <w:lang w:val="fr-CA"/>
        </w:rPr>
        <w:t xml:space="preserve"> </w:t>
      </w:r>
      <w:r w:rsidRPr="00AF17C2">
        <w:rPr>
          <w:rFonts w:cs="Times New Roman"/>
          <w:lang w:val="fr-CA"/>
        </w:rPr>
        <w:t>313 (</w:t>
      </w:r>
      <w:r w:rsidR="00795B2B">
        <w:rPr>
          <w:rFonts w:cs="Times New Roman"/>
          <w:lang w:val="fr-CA"/>
        </w:rPr>
        <w:t>« </w:t>
      </w:r>
      <w:r w:rsidRPr="00AF17C2">
        <w:rPr>
          <w:rFonts w:cs="Times New Roman"/>
          <w:i/>
          <w:lang w:val="fr-CA"/>
        </w:rPr>
        <w:t>Renvoi relatif à l</w:t>
      </w:r>
      <w:r>
        <w:rPr>
          <w:rFonts w:cs="Times New Roman"/>
          <w:i/>
          <w:lang w:val="fr-CA"/>
        </w:rPr>
        <w:t>’</w:t>
      </w:r>
      <w:r w:rsidRPr="00AF17C2">
        <w:rPr>
          <w:rFonts w:cs="Times New Roman"/>
          <w:i/>
          <w:lang w:val="fr-CA"/>
        </w:rPr>
        <w:t>Alberta</w:t>
      </w:r>
      <w:r w:rsidR="00795B2B" w:rsidRPr="00795B2B">
        <w:rPr>
          <w:rFonts w:cs="Times New Roman"/>
          <w:lang w:val="fr-CA"/>
        </w:rPr>
        <w:t> »</w:t>
      </w:r>
      <w:r w:rsidRPr="00AF17C2">
        <w:rPr>
          <w:rFonts w:cs="Times New Roman"/>
          <w:lang w:val="fr-CA"/>
        </w:rPr>
        <w:t xml:space="preserve">); </w:t>
      </w:r>
      <w:r w:rsidRPr="00AF17C2">
        <w:rPr>
          <w:rFonts w:cs="Times New Roman"/>
          <w:i/>
          <w:lang w:val="fr-CA"/>
        </w:rPr>
        <w:t>AFPC c. Canada</w:t>
      </w:r>
      <w:r w:rsidRPr="00AF17C2">
        <w:rPr>
          <w:rFonts w:cs="Times New Roman"/>
          <w:lang w:val="fr-CA"/>
        </w:rPr>
        <w:t>, [1987] 1 R.C.S.</w:t>
      </w:r>
      <w:r w:rsidR="00795B2B">
        <w:rPr>
          <w:rFonts w:cs="Times New Roman"/>
          <w:lang w:val="fr-CA"/>
        </w:rPr>
        <w:t xml:space="preserve"> </w:t>
      </w:r>
      <w:r w:rsidRPr="00AF17C2">
        <w:rPr>
          <w:rFonts w:cs="Times New Roman"/>
          <w:lang w:val="fr-CA"/>
        </w:rPr>
        <w:t xml:space="preserve">424; et </w:t>
      </w:r>
      <w:r w:rsidRPr="00AF17C2">
        <w:rPr>
          <w:rFonts w:cs="Times New Roman"/>
          <w:i/>
          <w:lang w:val="fr-CA"/>
        </w:rPr>
        <w:t>SDGMR c. Saskatchewan</w:t>
      </w:r>
      <w:r w:rsidRPr="00AF17C2">
        <w:rPr>
          <w:rFonts w:cs="Times New Roman"/>
          <w:lang w:val="fr-CA"/>
        </w:rPr>
        <w:t>, [1987] 1 R.C.S.</w:t>
      </w:r>
      <w:r w:rsidR="00795B2B">
        <w:rPr>
          <w:rFonts w:cs="Times New Roman"/>
          <w:lang w:val="fr-CA"/>
        </w:rPr>
        <w:t xml:space="preserve"> </w:t>
      </w:r>
      <w:r w:rsidRPr="00AF17C2">
        <w:rPr>
          <w:rFonts w:cs="Times New Roman"/>
          <w:lang w:val="fr-CA"/>
        </w:rPr>
        <w:t>460).</w:t>
      </w:r>
    </w:p>
    <w:p w:rsidR="007B74A6" w:rsidRPr="00AF17C2" w:rsidRDefault="007B74A6" w:rsidP="00795B2B">
      <w:pPr>
        <w:pStyle w:val="ParaNoNdepar-AltN"/>
        <w:rPr>
          <w:rFonts w:cs="Times New Roman"/>
          <w:lang w:val="fr-CA"/>
        </w:rPr>
      </w:pPr>
      <w:r w:rsidRPr="00AF17C2">
        <w:rPr>
          <w:rFonts w:cs="Times New Roman"/>
          <w:lang w:val="fr-CA"/>
        </w:rPr>
        <w:t>Le raisonnement sous</w:t>
      </w:r>
      <w:r w:rsidR="00795B2B">
        <w:rPr>
          <w:rFonts w:cs="Times New Roman"/>
          <w:lang w:val="fr-CA"/>
        </w:rPr>
        <w:t>-</w:t>
      </w:r>
      <w:r w:rsidRPr="00AF17C2">
        <w:rPr>
          <w:rFonts w:cs="Times New Roman"/>
          <w:lang w:val="fr-CA"/>
        </w:rPr>
        <w:t xml:space="preserve">tendant cette conclusion est expliqué en détail par les trois opinions formulées dans le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xml:space="preserve">. Dans de brefs motifs, </w:t>
      </w:r>
      <w:r w:rsidRPr="00AF17C2">
        <w:rPr>
          <w:rFonts w:cs="Times New Roman"/>
          <w:lang w:val="fr-CA"/>
        </w:rPr>
        <w:lastRenderedPageBreak/>
        <w:t xml:space="preserve">auxquels ont souscrit les juges </w:t>
      </w:r>
      <w:proofErr w:type="spellStart"/>
      <w:r w:rsidRPr="00AF17C2">
        <w:rPr>
          <w:rFonts w:cs="Times New Roman"/>
          <w:lang w:val="fr-CA"/>
        </w:rPr>
        <w:t>Beetz</w:t>
      </w:r>
      <w:proofErr w:type="spellEnd"/>
      <w:r w:rsidRPr="00AF17C2">
        <w:rPr>
          <w:rFonts w:cs="Times New Roman"/>
          <w:lang w:val="fr-CA"/>
        </w:rPr>
        <w:t xml:space="preserve"> et La Forest, le juge Le</w:t>
      </w:r>
      <w:r w:rsidR="00795B2B">
        <w:rPr>
          <w:rFonts w:cs="Times New Roman"/>
          <w:lang w:val="fr-CA"/>
        </w:rPr>
        <w:t xml:space="preserve"> </w:t>
      </w:r>
      <w:r w:rsidRPr="00AF17C2">
        <w:rPr>
          <w:rFonts w:cs="Times New Roman"/>
          <w:lang w:val="fr-CA"/>
        </w:rPr>
        <w:t>Dain a retenu une interprétation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qui protégeait </w:t>
      </w:r>
      <w:r w:rsidR="00795B2B">
        <w:rPr>
          <w:rFonts w:cs="Times New Roman"/>
          <w:lang w:val="fr-CA"/>
        </w:rPr>
        <w:t>« </w:t>
      </w:r>
      <w:r w:rsidRPr="00AF17C2">
        <w:rPr>
          <w:rFonts w:cs="Times New Roman"/>
          <w:lang w:val="fr-CA"/>
        </w:rPr>
        <w:t>la liberté de travailler à la constitution d</w:t>
      </w:r>
      <w:r>
        <w:rPr>
          <w:rFonts w:cs="Times New Roman"/>
          <w:lang w:val="fr-CA"/>
        </w:rPr>
        <w:t>’</w:t>
      </w:r>
      <w:r w:rsidRPr="00AF17C2">
        <w:rPr>
          <w:rFonts w:cs="Times New Roman"/>
          <w:lang w:val="fr-CA"/>
        </w:rPr>
        <w:t>une association, d</w:t>
      </w:r>
      <w:r>
        <w:rPr>
          <w:rFonts w:cs="Times New Roman"/>
          <w:lang w:val="fr-CA"/>
        </w:rPr>
        <w:t>’</w:t>
      </w:r>
      <w:r w:rsidRPr="00AF17C2">
        <w:rPr>
          <w:rFonts w:cs="Times New Roman"/>
          <w:lang w:val="fr-CA"/>
        </w:rPr>
        <w:t>appartenir à une association, de la maintenir et de participer à ses activités licites sans faire l</w:t>
      </w:r>
      <w:r>
        <w:rPr>
          <w:rFonts w:cs="Times New Roman"/>
          <w:lang w:val="fr-CA"/>
        </w:rPr>
        <w:t>’</w:t>
      </w:r>
      <w:r w:rsidRPr="00AF17C2">
        <w:rPr>
          <w:rFonts w:cs="Times New Roman"/>
          <w:lang w:val="fr-CA"/>
        </w:rPr>
        <w:t>objet d</w:t>
      </w:r>
      <w:r>
        <w:rPr>
          <w:rFonts w:cs="Times New Roman"/>
          <w:lang w:val="fr-CA"/>
        </w:rPr>
        <w:t>’</w:t>
      </w:r>
      <w:r w:rsidRPr="00AF17C2">
        <w:rPr>
          <w:rFonts w:cs="Times New Roman"/>
          <w:lang w:val="fr-CA"/>
        </w:rPr>
        <w:t>une peine ou de représailles</w:t>
      </w:r>
      <w:r w:rsidR="00795B2B">
        <w:rPr>
          <w:rFonts w:cs="Times New Roman"/>
          <w:lang w:val="fr-CA"/>
        </w:rPr>
        <w:t> »</w:t>
      </w:r>
      <w:r w:rsidRPr="00AF17C2">
        <w:rPr>
          <w:rFonts w:cs="Times New Roman"/>
          <w:lang w:val="fr-CA"/>
        </w:rPr>
        <w:t xml:space="preserve"> (p.</w:t>
      </w:r>
      <w:r w:rsidR="00795B2B">
        <w:rPr>
          <w:rFonts w:cs="Times New Roman"/>
          <w:lang w:val="fr-CA"/>
        </w:rPr>
        <w:t xml:space="preserve"> </w:t>
      </w:r>
      <w:r w:rsidRPr="00AF17C2">
        <w:rPr>
          <w:rFonts w:cs="Times New Roman"/>
          <w:lang w:val="fr-CA"/>
        </w:rPr>
        <w:t xml:space="preserve">391). Toutefois, il a qualifié le droit de négocier collectivement et de faire la grève de </w:t>
      </w:r>
      <w:r w:rsidR="00795B2B">
        <w:rPr>
          <w:rFonts w:cs="Times New Roman"/>
          <w:lang w:val="fr-CA"/>
        </w:rPr>
        <w:t>« </w:t>
      </w:r>
      <w:r w:rsidRPr="00AF17C2">
        <w:rPr>
          <w:rFonts w:cs="Times New Roman"/>
          <w:lang w:val="fr-CA"/>
        </w:rPr>
        <w:t>droits contemporains</w:t>
      </w:r>
      <w:r w:rsidR="00795B2B">
        <w:rPr>
          <w:rFonts w:cs="Times New Roman"/>
          <w:lang w:val="fr-CA"/>
        </w:rPr>
        <w:t> »</w:t>
      </w:r>
      <w:r w:rsidRPr="00AF17C2">
        <w:rPr>
          <w:rFonts w:cs="Times New Roman"/>
          <w:lang w:val="fr-CA"/>
        </w:rPr>
        <w:t xml:space="preserve"> créés par la loi et, partant, non protégés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r w:rsidRPr="00AF17C2">
        <w:rPr>
          <w:rFonts w:cs="Times New Roman"/>
          <w:i/>
          <w:lang w:val="fr-CA"/>
        </w:rPr>
        <w:t>ibid.</w:t>
      </w:r>
      <w:r w:rsidRPr="00AF17C2">
        <w:rPr>
          <w:rFonts w:cs="Times New Roman"/>
          <w:lang w:val="fr-CA"/>
        </w:rPr>
        <w:t>).</w:t>
      </w:r>
    </w:p>
    <w:p w:rsidR="007B74A6" w:rsidRPr="00AF17C2" w:rsidRDefault="007B74A6" w:rsidP="00795B2B">
      <w:pPr>
        <w:pStyle w:val="ParaNoNdepar-AltN"/>
        <w:rPr>
          <w:rFonts w:cs="Times New Roman"/>
          <w:lang w:val="fr-CA"/>
        </w:rPr>
      </w:pPr>
      <w:r w:rsidRPr="00AF17C2">
        <w:rPr>
          <w:rFonts w:cs="Times New Roman"/>
          <w:lang w:val="fr-CA"/>
        </w:rPr>
        <w:t>Le juge</w:t>
      </w:r>
      <w:r w:rsidR="00795B2B">
        <w:rPr>
          <w:rFonts w:cs="Times New Roman"/>
          <w:lang w:val="fr-CA"/>
        </w:rPr>
        <w:t xml:space="preserve"> </w:t>
      </w:r>
      <w:r w:rsidRPr="00AF17C2">
        <w:rPr>
          <w:rFonts w:cs="Times New Roman"/>
          <w:lang w:val="fr-CA"/>
        </w:rPr>
        <w:t>McIntyre a conclu de la même manière, mais pour des motifs quelque peu différents. À son avis, la liberté d</w:t>
      </w:r>
      <w:r>
        <w:rPr>
          <w:rFonts w:cs="Times New Roman"/>
          <w:lang w:val="fr-CA"/>
        </w:rPr>
        <w:t>’</w:t>
      </w:r>
      <w:r w:rsidRPr="00AF17C2">
        <w:rPr>
          <w:rFonts w:cs="Times New Roman"/>
          <w:lang w:val="fr-CA"/>
        </w:rPr>
        <w:t>association reposait sur la proposition selon laquelle</w:t>
      </w:r>
      <w:r w:rsidR="00795B2B">
        <w:rPr>
          <w:rFonts w:cs="Times New Roman"/>
          <w:lang w:val="fr-CA"/>
        </w:rPr>
        <w:t> :</w:t>
      </w:r>
      <w:r w:rsidRPr="00AF17C2">
        <w:rPr>
          <w:rFonts w:cs="Times New Roman"/>
          <w:lang w:val="fr-CA"/>
        </w:rPr>
        <w:t xml:space="preserve"> </w:t>
      </w:r>
      <w:proofErr w:type="gramStart"/>
      <w:r w:rsidR="00795B2B">
        <w:rPr>
          <w:rFonts w:cs="Times New Roman"/>
          <w:lang w:val="fr-CA"/>
        </w:rPr>
        <w:t>« .</w:t>
      </w:r>
      <w:proofErr w:type="gramEnd"/>
      <w:r w:rsidR="00795B2B">
        <w:rPr>
          <w:rFonts w:cs="Times New Roman"/>
          <w:lang w:val="fr-CA"/>
        </w:rPr>
        <w:t> . .</w:t>
      </w:r>
      <w:r w:rsidRPr="00AF17C2">
        <w:rPr>
          <w:rFonts w:cs="Times New Roman"/>
          <w:lang w:val="fr-CA"/>
        </w:rPr>
        <w:t xml:space="preserve"> pour l</w:t>
      </w:r>
      <w:r>
        <w:rPr>
          <w:rFonts w:cs="Times New Roman"/>
          <w:lang w:val="fr-CA"/>
        </w:rPr>
        <w:t>’</w:t>
      </w:r>
      <w:r w:rsidRPr="00AF17C2">
        <w:rPr>
          <w:rFonts w:cs="Times New Roman"/>
          <w:lang w:val="fr-CA"/>
        </w:rPr>
        <w:t>individu, la réalisation de certains objectifs par l</w:t>
      </w:r>
      <w:r>
        <w:rPr>
          <w:rFonts w:cs="Times New Roman"/>
          <w:lang w:val="fr-CA"/>
        </w:rPr>
        <w:t>’</w:t>
      </w:r>
      <w:r w:rsidRPr="00AF17C2">
        <w:rPr>
          <w:rFonts w:cs="Times New Roman"/>
          <w:lang w:val="fr-CA"/>
        </w:rPr>
        <w:t>exercice de ses droits individuels est généralement impossible sans l</w:t>
      </w:r>
      <w:r>
        <w:rPr>
          <w:rFonts w:cs="Times New Roman"/>
          <w:lang w:val="fr-CA"/>
        </w:rPr>
        <w:t>’</w:t>
      </w:r>
      <w:r w:rsidRPr="00AF17C2">
        <w:rPr>
          <w:rFonts w:cs="Times New Roman"/>
          <w:lang w:val="fr-CA"/>
        </w:rPr>
        <w:t>aide et la coopération d</w:t>
      </w:r>
      <w:r>
        <w:rPr>
          <w:rFonts w:cs="Times New Roman"/>
          <w:lang w:val="fr-CA"/>
        </w:rPr>
        <w:t>’</w:t>
      </w:r>
      <w:r w:rsidRPr="00AF17C2">
        <w:rPr>
          <w:rFonts w:cs="Times New Roman"/>
          <w:lang w:val="fr-CA"/>
        </w:rPr>
        <w:t>autrui</w:t>
      </w:r>
      <w:r w:rsidR="00795B2B">
        <w:rPr>
          <w:rFonts w:cs="Times New Roman"/>
          <w:lang w:val="fr-CA"/>
        </w:rPr>
        <w:t> »</w:t>
      </w:r>
      <w:r w:rsidRPr="00AF17C2">
        <w:rPr>
          <w:rFonts w:cs="Times New Roman"/>
          <w:lang w:val="fr-CA"/>
        </w:rPr>
        <w:t xml:space="preserve"> (p.</w:t>
      </w:r>
      <w:r w:rsidR="00795B2B">
        <w:rPr>
          <w:rFonts w:cs="Times New Roman"/>
          <w:lang w:val="fr-CA"/>
        </w:rPr>
        <w:t xml:space="preserve"> </w:t>
      </w:r>
      <w:r w:rsidRPr="00AF17C2">
        <w:rPr>
          <w:rFonts w:cs="Times New Roman"/>
          <w:lang w:val="fr-CA"/>
        </w:rPr>
        <w:t>395). Par conséquent, selon lui, la liberté d</w:t>
      </w:r>
      <w:r>
        <w:rPr>
          <w:rFonts w:cs="Times New Roman"/>
          <w:lang w:val="fr-CA"/>
        </w:rPr>
        <w:t>’</w:t>
      </w:r>
      <w:r w:rsidRPr="00AF17C2">
        <w:rPr>
          <w:rFonts w:cs="Times New Roman"/>
          <w:lang w:val="fr-CA"/>
        </w:rPr>
        <w:t>association garantissait le droit de s</w:t>
      </w:r>
      <w:r>
        <w:rPr>
          <w:rFonts w:cs="Times New Roman"/>
          <w:lang w:val="fr-CA"/>
        </w:rPr>
        <w:t>’</w:t>
      </w:r>
      <w:r w:rsidRPr="00AF17C2">
        <w:rPr>
          <w:rFonts w:cs="Times New Roman"/>
          <w:lang w:val="fr-CA"/>
        </w:rPr>
        <w:t>adonner collectivement à des activités protégées par la Constitution pour chaque individu</w:t>
      </w:r>
      <w:r w:rsidR="00795B2B">
        <w:rPr>
          <w:rFonts w:cs="Times New Roman"/>
          <w:lang w:val="fr-CA"/>
        </w:rPr>
        <w:t> :</w:t>
      </w:r>
    </w:p>
    <w:p w:rsidR="007B74A6" w:rsidRPr="00AF17C2" w:rsidRDefault="000E7A20" w:rsidP="00795B2B">
      <w:pPr>
        <w:pStyle w:val="Citation-AltC"/>
        <w:ind w:hanging="1166"/>
        <w:contextualSpacing w:val="0"/>
        <w:rPr>
          <w:lang w:val="fr-CA"/>
        </w:rPr>
      </w:pPr>
      <w:r>
        <w:rPr>
          <w:lang w:val="fr-CA"/>
        </w:rPr>
        <w:tab/>
      </w:r>
      <w:r w:rsidR="007B74A6" w:rsidRPr="00AF17C2">
        <w:rPr>
          <w:lang w:val="fr-CA"/>
        </w:rPr>
        <w:t>La liberté d</w:t>
      </w:r>
      <w:r w:rsidR="007B74A6">
        <w:rPr>
          <w:lang w:val="fr-CA"/>
        </w:rPr>
        <w:t>’</w:t>
      </w:r>
      <w:r w:rsidR="007B74A6" w:rsidRPr="00AF17C2">
        <w:rPr>
          <w:lang w:val="fr-CA"/>
        </w:rPr>
        <w:t>association est le seul motif invoqué à l</w:t>
      </w:r>
      <w:r w:rsidR="007B74A6">
        <w:rPr>
          <w:lang w:val="fr-CA"/>
        </w:rPr>
        <w:t>’</w:t>
      </w:r>
      <w:r w:rsidR="007B74A6" w:rsidRPr="00AF17C2">
        <w:rPr>
          <w:lang w:val="fr-CA"/>
        </w:rPr>
        <w:t xml:space="preserve">appui de la prétention que la </w:t>
      </w:r>
      <w:r w:rsidR="007B74A6" w:rsidRPr="00AF17C2">
        <w:rPr>
          <w:i/>
          <w:lang w:val="fr-CA"/>
        </w:rPr>
        <w:t>Charte</w:t>
      </w:r>
      <w:r w:rsidR="007B74A6" w:rsidRPr="00AF17C2">
        <w:rPr>
          <w:lang w:val="fr-CA"/>
        </w:rPr>
        <w:t xml:space="preserve"> consacre le droit de grève. La négociation collective constitue une affaire de groupe, une activité de groupe, mais le groupe ne peut exercer, au nom de ses membres, que les droits constitutionnels dont ils jouissent individuellement. Si le droit revendiqué n</w:t>
      </w:r>
      <w:r w:rsidR="007B74A6">
        <w:rPr>
          <w:lang w:val="fr-CA"/>
        </w:rPr>
        <w:t>’</w:t>
      </w:r>
      <w:r w:rsidR="007B74A6" w:rsidRPr="00AF17C2">
        <w:rPr>
          <w:lang w:val="fr-CA"/>
        </w:rPr>
        <w:t xml:space="preserve">est pas prévu par la </w:t>
      </w:r>
      <w:r w:rsidR="007B74A6" w:rsidRPr="00AF17C2">
        <w:rPr>
          <w:i/>
          <w:lang w:val="fr-CA"/>
        </w:rPr>
        <w:t>Charte</w:t>
      </w:r>
      <w:r w:rsidR="007B74A6" w:rsidRPr="00AF17C2">
        <w:rPr>
          <w:lang w:val="fr-CA"/>
        </w:rPr>
        <w:t xml:space="preserve"> au profit de l</w:t>
      </w:r>
      <w:r w:rsidR="007B74A6">
        <w:rPr>
          <w:lang w:val="fr-CA"/>
        </w:rPr>
        <w:t>’</w:t>
      </w:r>
      <w:r w:rsidR="007B74A6" w:rsidRPr="00AF17C2">
        <w:rPr>
          <w:lang w:val="fr-CA"/>
        </w:rPr>
        <w:t>individu, il ne saurait exister implicitement pour le groupe du simple fait de l</w:t>
      </w:r>
      <w:r w:rsidR="007B74A6">
        <w:rPr>
          <w:lang w:val="fr-CA"/>
        </w:rPr>
        <w:t>’</w:t>
      </w:r>
      <w:r w:rsidR="007B74A6" w:rsidRPr="00AF17C2">
        <w:rPr>
          <w:lang w:val="fr-CA"/>
        </w:rPr>
        <w:t>association. Il s</w:t>
      </w:r>
      <w:r w:rsidR="007B74A6">
        <w:rPr>
          <w:lang w:val="fr-CA"/>
        </w:rPr>
        <w:t>’</w:t>
      </w:r>
      <w:r w:rsidR="007B74A6" w:rsidRPr="00AF17C2">
        <w:rPr>
          <w:lang w:val="fr-CA"/>
        </w:rPr>
        <w:t>ensuit aussi que les droits dont jouissent individuellement les membres du groupe ne sauraient être élargis du simple fait de l</w:t>
      </w:r>
      <w:r w:rsidR="007B74A6">
        <w:rPr>
          <w:lang w:val="fr-CA"/>
        </w:rPr>
        <w:t>’</w:t>
      </w:r>
      <w:r w:rsidR="007B74A6" w:rsidRPr="00AF17C2">
        <w:rPr>
          <w:lang w:val="fr-CA"/>
        </w:rPr>
        <w:t>association. [p.</w:t>
      </w:r>
      <w:r w:rsidR="00795B2B">
        <w:rPr>
          <w:lang w:val="fr-CA"/>
        </w:rPr>
        <w:t xml:space="preserve"> </w:t>
      </w:r>
      <w:r w:rsidR="007B74A6" w:rsidRPr="00AF17C2">
        <w:rPr>
          <w:lang w:val="fr-CA"/>
        </w:rPr>
        <w:t>398</w:t>
      </w:r>
      <w:r w:rsidR="00795B2B">
        <w:rPr>
          <w:lang w:val="fr-CA"/>
        </w:rPr>
        <w:t>-</w:t>
      </w:r>
      <w:r>
        <w:rPr>
          <w:lang w:val="fr-CA"/>
        </w:rPr>
        <w:t>3</w:t>
      </w:r>
      <w:r w:rsidR="007B74A6" w:rsidRPr="00AF17C2">
        <w:rPr>
          <w:lang w:val="fr-CA"/>
        </w:rPr>
        <w:t>99]</w:t>
      </w:r>
    </w:p>
    <w:p w:rsidR="007B74A6" w:rsidRPr="00AF17C2" w:rsidRDefault="007B74A6" w:rsidP="00795B2B">
      <w:pPr>
        <w:pStyle w:val="ParaNoNdepar-AltN"/>
        <w:rPr>
          <w:rFonts w:cs="Times New Roman"/>
          <w:lang w:val="fr-CA"/>
        </w:rPr>
      </w:pPr>
      <w:r w:rsidRPr="00AF17C2">
        <w:rPr>
          <w:rFonts w:cs="Times New Roman"/>
          <w:lang w:val="fr-CA"/>
        </w:rPr>
        <w:t>Après avoir examiné six interprétations possibles de la portée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le juge McIntyre a conclu que la liberté d</w:t>
      </w:r>
      <w:r>
        <w:rPr>
          <w:rFonts w:cs="Times New Roman"/>
          <w:lang w:val="fr-CA"/>
        </w:rPr>
        <w:t>’</w:t>
      </w:r>
      <w:r w:rsidRPr="00AF17C2">
        <w:rPr>
          <w:rFonts w:cs="Times New Roman"/>
          <w:lang w:val="fr-CA"/>
        </w:rPr>
        <w:t>association englobait le droit de constituer une association et d</w:t>
      </w:r>
      <w:r>
        <w:rPr>
          <w:rFonts w:cs="Times New Roman"/>
          <w:lang w:val="fr-CA"/>
        </w:rPr>
        <w:t>’</w:t>
      </w:r>
      <w:r w:rsidRPr="00AF17C2">
        <w:rPr>
          <w:rFonts w:cs="Times New Roman"/>
          <w:lang w:val="fr-CA"/>
        </w:rPr>
        <w:t>y adhérer, le droit d</w:t>
      </w:r>
      <w:r>
        <w:rPr>
          <w:rFonts w:cs="Times New Roman"/>
          <w:lang w:val="fr-CA"/>
        </w:rPr>
        <w:t>’</w:t>
      </w:r>
      <w:r w:rsidRPr="00AF17C2">
        <w:rPr>
          <w:rFonts w:cs="Times New Roman"/>
          <w:lang w:val="fr-CA"/>
        </w:rPr>
        <w:t>exercer collectivement d</w:t>
      </w:r>
      <w:r>
        <w:rPr>
          <w:rFonts w:cs="Times New Roman"/>
          <w:lang w:val="fr-CA"/>
        </w:rPr>
        <w:t>’</w:t>
      </w:r>
      <w:r w:rsidRPr="00AF17C2">
        <w:rPr>
          <w:rFonts w:cs="Times New Roman"/>
          <w:lang w:val="fr-CA"/>
        </w:rPr>
        <w:t>autres libertés constitutionnelles et celui d</w:t>
      </w:r>
      <w:r>
        <w:rPr>
          <w:rFonts w:cs="Times New Roman"/>
          <w:lang w:val="fr-CA"/>
        </w:rPr>
        <w:t>’</w:t>
      </w:r>
      <w:r w:rsidRPr="00AF17C2">
        <w:rPr>
          <w:rFonts w:cs="Times New Roman"/>
          <w:lang w:val="fr-CA"/>
        </w:rPr>
        <w:t>accomplir de concert avec d</w:t>
      </w:r>
      <w:r>
        <w:rPr>
          <w:rFonts w:cs="Times New Roman"/>
          <w:lang w:val="fr-CA"/>
        </w:rPr>
        <w:t>’</w:t>
      </w:r>
      <w:r w:rsidRPr="00AF17C2">
        <w:rPr>
          <w:rFonts w:cs="Times New Roman"/>
          <w:lang w:val="fr-CA"/>
        </w:rPr>
        <w:t>autres ce que l</w:t>
      </w:r>
      <w:r>
        <w:rPr>
          <w:rFonts w:cs="Times New Roman"/>
          <w:lang w:val="fr-CA"/>
        </w:rPr>
        <w:t>’</w:t>
      </w:r>
      <w:r w:rsidRPr="00AF17C2">
        <w:rPr>
          <w:rFonts w:cs="Times New Roman"/>
          <w:lang w:val="fr-CA"/>
        </w:rPr>
        <w:t xml:space="preserve">individu peut </w:t>
      </w:r>
      <w:r w:rsidRPr="00AF17C2">
        <w:rPr>
          <w:rFonts w:cs="Times New Roman"/>
          <w:lang w:val="fr-CA"/>
        </w:rPr>
        <w:lastRenderedPageBreak/>
        <w:t>licitement accomplir seul (p.</w:t>
      </w:r>
      <w:r w:rsidR="00795B2B">
        <w:rPr>
          <w:rFonts w:cs="Times New Roman"/>
          <w:lang w:val="fr-CA"/>
        </w:rPr>
        <w:t xml:space="preserve"> </w:t>
      </w:r>
      <w:r w:rsidRPr="00AF17C2">
        <w:rPr>
          <w:rFonts w:cs="Times New Roman"/>
          <w:lang w:val="fr-CA"/>
        </w:rPr>
        <w:t>409). À propos de la question particulière dont la Cour était saisie, il a estimé qu</w:t>
      </w:r>
      <w:r>
        <w:rPr>
          <w:rFonts w:cs="Times New Roman"/>
          <w:lang w:val="fr-CA"/>
        </w:rPr>
        <w:t>’</w:t>
      </w:r>
      <w:r w:rsidRPr="00AF17C2">
        <w:rPr>
          <w:rFonts w:cs="Times New Roman"/>
          <w:lang w:val="fr-CA"/>
        </w:rPr>
        <w:t>un individu ne peut licitement refuser de travailler et qu</w:t>
      </w:r>
      <w:r>
        <w:rPr>
          <w:rFonts w:cs="Times New Roman"/>
          <w:lang w:val="fr-CA"/>
        </w:rPr>
        <w:t>’</w:t>
      </w:r>
      <w:r w:rsidRPr="00AF17C2">
        <w:rPr>
          <w:rFonts w:cs="Times New Roman"/>
          <w:lang w:val="fr-CA"/>
        </w:rPr>
        <w:t>il n</w:t>
      </w:r>
      <w:r>
        <w:rPr>
          <w:rFonts w:cs="Times New Roman"/>
          <w:lang w:val="fr-CA"/>
        </w:rPr>
        <w:t>’</w:t>
      </w:r>
      <w:r w:rsidRPr="00AF17C2">
        <w:rPr>
          <w:rFonts w:cs="Times New Roman"/>
          <w:lang w:val="fr-CA"/>
        </w:rPr>
        <w:t>existait pas d</w:t>
      </w:r>
      <w:r>
        <w:rPr>
          <w:rFonts w:cs="Times New Roman"/>
          <w:lang w:val="fr-CA"/>
        </w:rPr>
        <w:t>’</w:t>
      </w:r>
      <w:r w:rsidRPr="00AF17C2">
        <w:rPr>
          <w:rFonts w:cs="Times New Roman"/>
          <w:lang w:val="fr-CA"/>
        </w:rPr>
        <w:t>équivalent individuel à la grève menée conformément à la législation en matière de travail (p.</w:t>
      </w:r>
      <w:r w:rsidR="00795B2B">
        <w:rPr>
          <w:rFonts w:cs="Times New Roman"/>
          <w:lang w:val="fr-CA"/>
        </w:rPr>
        <w:t xml:space="preserve"> </w:t>
      </w:r>
      <w:r w:rsidRPr="00AF17C2">
        <w:rPr>
          <w:rFonts w:cs="Times New Roman"/>
          <w:lang w:val="fr-CA"/>
        </w:rPr>
        <w:t>410). Il a donc décidé que le droit de faire la grève n</w:t>
      </w:r>
      <w:r>
        <w:rPr>
          <w:rFonts w:cs="Times New Roman"/>
          <w:lang w:val="fr-CA"/>
        </w:rPr>
        <w:t>’</w:t>
      </w:r>
      <w:r w:rsidRPr="00AF17C2">
        <w:rPr>
          <w:rFonts w:cs="Times New Roman"/>
          <w:lang w:val="fr-CA"/>
        </w:rPr>
        <w:t>était pas garanti par la Constitution (p.</w:t>
      </w:r>
      <w:r w:rsidR="00795B2B">
        <w:rPr>
          <w:rFonts w:cs="Times New Roman"/>
          <w:lang w:val="fr-CA"/>
        </w:rPr>
        <w:t xml:space="preserve"> </w:t>
      </w:r>
      <w:r w:rsidRPr="00AF17C2">
        <w:rPr>
          <w:rFonts w:cs="Times New Roman"/>
          <w:lang w:val="fr-CA"/>
        </w:rPr>
        <w:t>412).</w:t>
      </w:r>
    </w:p>
    <w:p w:rsidR="007B74A6" w:rsidRPr="00AF17C2" w:rsidRDefault="007B74A6" w:rsidP="00795B2B">
      <w:pPr>
        <w:pStyle w:val="ParaNoNdepar-AltN"/>
        <w:rPr>
          <w:rFonts w:cs="Times New Roman"/>
          <w:lang w:val="fr-CA"/>
        </w:rPr>
      </w:pPr>
      <w:r w:rsidRPr="00AF17C2">
        <w:rPr>
          <w:rFonts w:cs="Times New Roman"/>
          <w:lang w:val="fr-CA"/>
        </w:rPr>
        <w:t>Le juge en chef Dickson, dissident (avec l</w:t>
      </w:r>
      <w:r>
        <w:rPr>
          <w:rFonts w:cs="Times New Roman"/>
          <w:lang w:val="fr-CA"/>
        </w:rPr>
        <w:t>’</w:t>
      </w:r>
      <w:r w:rsidRPr="00AF17C2">
        <w:rPr>
          <w:rFonts w:cs="Times New Roman"/>
          <w:lang w:val="fr-CA"/>
        </w:rPr>
        <w:t>appui de la juge</w:t>
      </w:r>
      <w:r w:rsidR="00795B2B">
        <w:rPr>
          <w:rFonts w:cs="Times New Roman"/>
          <w:lang w:val="fr-CA"/>
        </w:rPr>
        <w:t xml:space="preserve"> </w:t>
      </w:r>
      <w:r w:rsidRPr="00AF17C2">
        <w:rPr>
          <w:rFonts w:cs="Times New Roman"/>
          <w:lang w:val="fr-CA"/>
        </w:rPr>
        <w:t>Wilson), était d</w:t>
      </w:r>
      <w:r>
        <w:rPr>
          <w:rFonts w:cs="Times New Roman"/>
          <w:lang w:val="fr-CA"/>
        </w:rPr>
        <w:t>’</w:t>
      </w:r>
      <w:r w:rsidRPr="00AF17C2">
        <w:rPr>
          <w:rFonts w:cs="Times New Roman"/>
          <w:lang w:val="fr-CA"/>
        </w:rPr>
        <w:t>avis d</w:t>
      </w:r>
      <w:r>
        <w:rPr>
          <w:rFonts w:cs="Times New Roman"/>
          <w:lang w:val="fr-CA"/>
        </w:rPr>
        <w:t>’</w:t>
      </w:r>
      <w:r w:rsidRPr="00AF17C2">
        <w:rPr>
          <w:rFonts w:cs="Times New Roman"/>
          <w:lang w:val="fr-CA"/>
        </w:rPr>
        <w:t>accueillir le pourvoi. Il a relevé trois approches pouvant être appliquées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La première, qu</w:t>
      </w:r>
      <w:r>
        <w:rPr>
          <w:rFonts w:cs="Times New Roman"/>
          <w:lang w:val="fr-CA"/>
        </w:rPr>
        <w:t>’</w:t>
      </w:r>
      <w:r w:rsidRPr="00AF17C2">
        <w:rPr>
          <w:rFonts w:cs="Times New Roman"/>
          <w:lang w:val="fr-CA"/>
        </w:rPr>
        <w:t>il a appelée l</w:t>
      </w:r>
      <w:r>
        <w:rPr>
          <w:rFonts w:cs="Times New Roman"/>
          <w:lang w:val="fr-CA"/>
        </w:rPr>
        <w:t>’</w:t>
      </w:r>
      <w:r w:rsidRPr="00AF17C2">
        <w:rPr>
          <w:rFonts w:cs="Times New Roman"/>
          <w:lang w:val="fr-CA"/>
        </w:rPr>
        <w:t xml:space="preserve">approche </w:t>
      </w:r>
      <w:r w:rsidR="00795B2B">
        <w:rPr>
          <w:rFonts w:cs="Times New Roman"/>
          <w:lang w:val="fr-CA"/>
        </w:rPr>
        <w:t>« </w:t>
      </w:r>
      <w:r w:rsidRPr="00AF17C2">
        <w:rPr>
          <w:rFonts w:cs="Times New Roman"/>
          <w:lang w:val="fr-CA"/>
        </w:rPr>
        <w:t>constitutive</w:t>
      </w:r>
      <w:r w:rsidR="00795B2B">
        <w:rPr>
          <w:rFonts w:cs="Times New Roman"/>
          <w:lang w:val="fr-CA"/>
        </w:rPr>
        <w:t> »</w:t>
      </w:r>
      <w:r w:rsidRPr="00AF17C2">
        <w:rPr>
          <w:rFonts w:cs="Times New Roman"/>
          <w:lang w:val="fr-CA"/>
        </w:rPr>
        <w:t>, protégerait la liberté d</w:t>
      </w:r>
      <w:r>
        <w:rPr>
          <w:rFonts w:cs="Times New Roman"/>
          <w:lang w:val="fr-CA"/>
        </w:rPr>
        <w:t>’</w:t>
      </w:r>
      <w:r w:rsidRPr="00AF17C2">
        <w:rPr>
          <w:rFonts w:cs="Times New Roman"/>
          <w:lang w:val="fr-CA"/>
        </w:rPr>
        <w:t>appartenir à une association ou de la constituer (p.</w:t>
      </w:r>
      <w:r w:rsidR="00795B2B">
        <w:rPr>
          <w:rFonts w:cs="Times New Roman"/>
          <w:lang w:val="fr-CA"/>
        </w:rPr>
        <w:t xml:space="preserve"> </w:t>
      </w:r>
      <w:r w:rsidRPr="00AF17C2">
        <w:rPr>
          <w:rFonts w:cs="Times New Roman"/>
          <w:lang w:val="fr-CA"/>
        </w:rPr>
        <w:t>362). La deuxième, l</w:t>
      </w:r>
      <w:r>
        <w:rPr>
          <w:rFonts w:cs="Times New Roman"/>
          <w:lang w:val="fr-CA"/>
        </w:rPr>
        <w:t>’</w:t>
      </w:r>
      <w:r w:rsidRPr="00AF17C2">
        <w:rPr>
          <w:rFonts w:cs="Times New Roman"/>
          <w:lang w:val="fr-CA"/>
        </w:rPr>
        <w:t xml:space="preserve">approche </w:t>
      </w:r>
      <w:r w:rsidR="00795B2B">
        <w:rPr>
          <w:rFonts w:cs="Times New Roman"/>
          <w:lang w:val="fr-CA"/>
        </w:rPr>
        <w:t>« </w:t>
      </w:r>
      <w:r w:rsidRPr="00AF17C2">
        <w:rPr>
          <w:rFonts w:cs="Times New Roman"/>
          <w:lang w:val="fr-CA"/>
        </w:rPr>
        <w:t>déductive</w:t>
      </w:r>
      <w:r w:rsidR="00795B2B">
        <w:rPr>
          <w:rFonts w:cs="Times New Roman"/>
          <w:lang w:val="fr-CA"/>
        </w:rPr>
        <w:t> »</w:t>
      </w:r>
      <w:r w:rsidRPr="00AF17C2">
        <w:rPr>
          <w:rFonts w:cs="Times New Roman"/>
          <w:lang w:val="fr-CA"/>
        </w:rPr>
        <w:t>, irait au</w:t>
      </w:r>
      <w:r w:rsidR="00795B2B">
        <w:rPr>
          <w:rFonts w:cs="Times New Roman"/>
          <w:lang w:val="fr-CA"/>
        </w:rPr>
        <w:t>-</w:t>
      </w:r>
      <w:r w:rsidRPr="00AF17C2">
        <w:rPr>
          <w:rFonts w:cs="Times New Roman"/>
          <w:lang w:val="fr-CA"/>
        </w:rPr>
        <w:t>delà de l</w:t>
      </w:r>
      <w:r>
        <w:rPr>
          <w:rFonts w:cs="Times New Roman"/>
          <w:lang w:val="fr-CA"/>
        </w:rPr>
        <w:t>’</w:t>
      </w:r>
      <w:r w:rsidRPr="00AF17C2">
        <w:rPr>
          <w:rFonts w:cs="Times New Roman"/>
          <w:lang w:val="fr-CA"/>
        </w:rPr>
        <w:t>approche constitutive et viserait à protéger les actes de l</w:t>
      </w:r>
      <w:r>
        <w:rPr>
          <w:rFonts w:cs="Times New Roman"/>
          <w:lang w:val="fr-CA"/>
        </w:rPr>
        <w:t>’</w:t>
      </w:r>
      <w:r w:rsidRPr="00AF17C2">
        <w:rPr>
          <w:rFonts w:cs="Times New Roman"/>
          <w:lang w:val="fr-CA"/>
        </w:rPr>
        <w:t>association qui sont liés précisément à d</w:t>
      </w:r>
      <w:r>
        <w:rPr>
          <w:rFonts w:cs="Times New Roman"/>
          <w:lang w:val="fr-CA"/>
        </w:rPr>
        <w:t>’</w:t>
      </w:r>
      <w:r w:rsidRPr="00AF17C2">
        <w:rPr>
          <w:rFonts w:cs="Times New Roman"/>
          <w:lang w:val="fr-CA"/>
        </w:rPr>
        <w:t>autres libertés constitutionnelles énumérées à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2 (p.</w:t>
      </w:r>
      <w:r w:rsidR="00795B2B">
        <w:rPr>
          <w:rFonts w:cs="Times New Roman"/>
          <w:lang w:val="fr-CA"/>
        </w:rPr>
        <w:t xml:space="preserve"> </w:t>
      </w:r>
      <w:r w:rsidRPr="00AF17C2">
        <w:rPr>
          <w:rFonts w:cs="Times New Roman"/>
          <w:lang w:val="fr-CA"/>
        </w:rPr>
        <w:t>364). Le juge en chef Dickson a écarté ces approches parce qu</w:t>
      </w:r>
      <w:r>
        <w:rPr>
          <w:rFonts w:cs="Times New Roman"/>
          <w:lang w:val="fr-CA"/>
        </w:rPr>
        <w:t>’</w:t>
      </w:r>
      <w:r w:rsidRPr="00AF17C2">
        <w:rPr>
          <w:rFonts w:cs="Times New Roman"/>
          <w:lang w:val="fr-CA"/>
        </w:rPr>
        <w:t>elles étaient trop restrictives. À son avis, il fallait adopter une troisième approche et aborder la liberté d</w:t>
      </w:r>
      <w:r>
        <w:rPr>
          <w:rFonts w:cs="Times New Roman"/>
          <w:lang w:val="fr-CA"/>
        </w:rPr>
        <w:t>’</w:t>
      </w:r>
      <w:r w:rsidRPr="00AF17C2">
        <w:rPr>
          <w:rFonts w:cs="Times New Roman"/>
          <w:lang w:val="fr-CA"/>
        </w:rPr>
        <w:t>association sous l</w:t>
      </w:r>
      <w:r>
        <w:rPr>
          <w:rFonts w:cs="Times New Roman"/>
          <w:lang w:val="fr-CA"/>
        </w:rPr>
        <w:t>’</w:t>
      </w:r>
      <w:r w:rsidRPr="00AF17C2">
        <w:rPr>
          <w:rFonts w:cs="Times New Roman"/>
          <w:lang w:val="fr-CA"/>
        </w:rPr>
        <w:t>angle téléologique ou de l</w:t>
      </w:r>
      <w:r>
        <w:rPr>
          <w:rFonts w:cs="Times New Roman"/>
          <w:lang w:val="fr-CA"/>
        </w:rPr>
        <w:t>’</w:t>
      </w:r>
      <w:r w:rsidRPr="00AF17C2">
        <w:rPr>
          <w:rFonts w:cs="Times New Roman"/>
          <w:lang w:val="fr-CA"/>
        </w:rPr>
        <w:t>objet visé. Il a exposé comme suit l</w:t>
      </w:r>
      <w:r>
        <w:rPr>
          <w:rFonts w:cs="Times New Roman"/>
          <w:lang w:val="fr-CA"/>
        </w:rPr>
        <w:t>’</w:t>
      </w:r>
      <w:r w:rsidRPr="00AF17C2">
        <w:rPr>
          <w:rFonts w:cs="Times New Roman"/>
          <w:lang w:val="fr-CA"/>
        </w:rPr>
        <w:t>objet et la portée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r w:rsidR="00795B2B">
        <w:rPr>
          <w:rFonts w:cs="Times New Roman"/>
          <w:lang w:val="fr-CA"/>
        </w:rPr>
        <w:t> :</w:t>
      </w:r>
    </w:p>
    <w:p w:rsidR="00F205A1" w:rsidRDefault="007B74A6" w:rsidP="00795B2B">
      <w:pPr>
        <w:pStyle w:val="Citation-AltC"/>
        <w:spacing w:after="240"/>
        <w:ind w:left="1168" w:hanging="1168"/>
        <w:contextualSpacing w:val="0"/>
        <w:rPr>
          <w:lang w:val="fr-CA"/>
        </w:rPr>
      </w:pPr>
      <w:r w:rsidRPr="00AF17C2">
        <w:rPr>
          <w:lang w:val="fr-CA"/>
        </w:rPr>
        <w:tab/>
        <w:t>À mon sens, la garantie constitutionnelle de la liberté d</w:t>
      </w:r>
      <w:r>
        <w:rPr>
          <w:lang w:val="fr-CA"/>
        </w:rPr>
        <w:t>’</w:t>
      </w:r>
      <w:r w:rsidRPr="00AF17C2">
        <w:rPr>
          <w:lang w:val="fr-CA"/>
        </w:rPr>
        <w:t>association vise à reconnaître la nature sociale profonde des entreprises humaines et à protéger l</w:t>
      </w:r>
      <w:r>
        <w:rPr>
          <w:lang w:val="fr-CA"/>
        </w:rPr>
        <w:t>’</w:t>
      </w:r>
      <w:r w:rsidRPr="00AF17C2">
        <w:rPr>
          <w:lang w:val="fr-CA"/>
        </w:rPr>
        <w:t>individu contre tout isolement imposé par l</w:t>
      </w:r>
      <w:r>
        <w:rPr>
          <w:lang w:val="fr-CA"/>
        </w:rPr>
        <w:t>’</w:t>
      </w:r>
      <w:r w:rsidRPr="00AF17C2">
        <w:rPr>
          <w:lang w:val="fr-CA"/>
        </w:rPr>
        <w:t>état dans la poursuite de ses fins</w:t>
      </w:r>
      <w:r w:rsidR="00881323">
        <w:rPr>
          <w:lang w:val="fr-CA"/>
        </w:rPr>
        <w:t>. . . </w:t>
      </w:r>
    </w:p>
    <w:p w:rsidR="00F205A1" w:rsidRDefault="00F205A1" w:rsidP="00F205A1">
      <w:pPr>
        <w:pStyle w:val="Citation-AltC"/>
        <w:spacing w:after="240"/>
        <w:ind w:left="1168" w:hanging="1168"/>
        <w:contextualSpacing w:val="0"/>
        <w:jc w:val="center"/>
        <w:rPr>
          <w:lang w:val="fr-CA"/>
        </w:rPr>
      </w:pPr>
      <w:r>
        <w:rPr>
          <w:lang w:val="fr-CA"/>
        </w:rPr>
        <w:t>. . .</w:t>
      </w:r>
    </w:p>
    <w:p w:rsidR="007B74A6" w:rsidRPr="00AF17C2" w:rsidRDefault="00F205A1" w:rsidP="00F205A1">
      <w:pPr>
        <w:pStyle w:val="Citation-AltC"/>
        <w:spacing w:after="240"/>
        <w:ind w:left="1168" w:hanging="448"/>
        <w:contextualSpacing w:val="0"/>
        <w:rPr>
          <w:lang w:val="fr-CA"/>
        </w:rPr>
      </w:pPr>
      <w:r>
        <w:rPr>
          <w:lang w:val="fr-CA"/>
        </w:rPr>
        <w:tab/>
      </w:r>
      <w:r w:rsidR="00D444EC">
        <w:rPr>
          <w:lang w:val="fr-CA"/>
        </w:rPr>
        <w:tab/>
      </w:r>
      <w:r w:rsidR="007B74A6" w:rsidRPr="00AF17C2">
        <w:rPr>
          <w:lang w:val="fr-CA"/>
        </w:rPr>
        <w:t>En tant qu</w:t>
      </w:r>
      <w:r w:rsidR="007B74A6">
        <w:rPr>
          <w:lang w:val="fr-CA"/>
        </w:rPr>
        <w:t>’</w:t>
      </w:r>
      <w:r w:rsidR="007B74A6" w:rsidRPr="00AF17C2">
        <w:rPr>
          <w:lang w:val="fr-CA"/>
        </w:rPr>
        <w:t>êtres sociaux, notre liberté d</w:t>
      </w:r>
      <w:r w:rsidR="007B74A6">
        <w:rPr>
          <w:lang w:val="fr-CA"/>
        </w:rPr>
        <w:t>’</w:t>
      </w:r>
      <w:r w:rsidR="007B74A6" w:rsidRPr="00AF17C2">
        <w:rPr>
          <w:lang w:val="fr-CA"/>
        </w:rPr>
        <w:t>agir collectivement est une condition première de la vie communautaire, du progrès humain et d</w:t>
      </w:r>
      <w:r w:rsidR="007B74A6">
        <w:rPr>
          <w:lang w:val="fr-CA"/>
        </w:rPr>
        <w:t>’</w:t>
      </w:r>
      <w:r w:rsidR="007B74A6" w:rsidRPr="00AF17C2">
        <w:rPr>
          <w:lang w:val="fr-CA"/>
        </w:rPr>
        <w:t>une société civilisée. En s</w:t>
      </w:r>
      <w:r w:rsidR="007B74A6">
        <w:rPr>
          <w:lang w:val="fr-CA"/>
        </w:rPr>
        <w:t>’</w:t>
      </w:r>
      <w:r w:rsidR="007B74A6" w:rsidRPr="00AF17C2">
        <w:rPr>
          <w:lang w:val="fr-CA"/>
        </w:rPr>
        <w:t>associant, les individus ont été en mesure de participer à la détermination et au contrôle des conditions immédiates de leur vie et des règles, mœurs et principes qui régissent les collectivités dans lesquelles ils vivent</w:t>
      </w:r>
      <w:r w:rsidR="00795B2B">
        <w:rPr>
          <w:lang w:val="fr-CA"/>
        </w:rPr>
        <w:t>. . .</w:t>
      </w:r>
    </w:p>
    <w:p w:rsidR="007B74A6" w:rsidRDefault="007B74A6" w:rsidP="00795B2B">
      <w:pPr>
        <w:pStyle w:val="Citation-AltC"/>
        <w:spacing w:after="240"/>
        <w:ind w:left="1168" w:hanging="1168"/>
        <w:contextualSpacing w:val="0"/>
        <w:rPr>
          <w:lang w:val="fr-CA"/>
        </w:rPr>
      </w:pPr>
      <w:r w:rsidRPr="00AF17C2">
        <w:rPr>
          <w:lang w:val="fr-CA"/>
        </w:rPr>
        <w:tab/>
      </w:r>
      <w:r w:rsidRPr="00AF17C2">
        <w:rPr>
          <w:lang w:val="fr-CA"/>
        </w:rPr>
        <w:tab/>
        <w:t>La liberté d</w:t>
      </w:r>
      <w:r>
        <w:rPr>
          <w:lang w:val="fr-CA"/>
        </w:rPr>
        <w:t>’</w:t>
      </w:r>
      <w:r w:rsidRPr="00AF17C2">
        <w:rPr>
          <w:lang w:val="fr-CA"/>
        </w:rPr>
        <w:t>association est on ne peut plus essentielle dans les circonstances où l</w:t>
      </w:r>
      <w:r>
        <w:rPr>
          <w:lang w:val="fr-CA"/>
        </w:rPr>
        <w:t>’</w:t>
      </w:r>
      <w:r w:rsidRPr="00AF17C2">
        <w:rPr>
          <w:lang w:val="fr-CA"/>
        </w:rPr>
        <w:t>individu risque d</w:t>
      </w:r>
      <w:r>
        <w:rPr>
          <w:lang w:val="fr-CA"/>
        </w:rPr>
        <w:t>’</w:t>
      </w:r>
      <w:r w:rsidRPr="00AF17C2">
        <w:rPr>
          <w:lang w:val="fr-CA"/>
        </w:rPr>
        <w:t xml:space="preserve">être lésé par les actions de quelque entité plus importante et plus puissante comme le gouvernement ou un </w:t>
      </w:r>
      <w:r w:rsidRPr="00AF17C2">
        <w:rPr>
          <w:lang w:val="fr-CA"/>
        </w:rPr>
        <w:lastRenderedPageBreak/>
        <w:t>employeur. L</w:t>
      </w:r>
      <w:r>
        <w:rPr>
          <w:lang w:val="fr-CA"/>
        </w:rPr>
        <w:t>’</w:t>
      </w:r>
      <w:r w:rsidRPr="00AF17C2">
        <w:rPr>
          <w:lang w:val="fr-CA"/>
        </w:rPr>
        <w:t>association a toujours été le moyen par lequel les minorités politiques, culturelles et raciales, les groupes religieux et les travailleurs ont tenté d</w:t>
      </w:r>
      <w:r>
        <w:rPr>
          <w:lang w:val="fr-CA"/>
        </w:rPr>
        <w:t>’</w:t>
      </w:r>
      <w:r w:rsidRPr="00AF17C2">
        <w:rPr>
          <w:lang w:val="fr-CA"/>
        </w:rPr>
        <w:t>atteindre leurs buts et de réaliser leurs aspirations; elle a permis à ceux qui, par ailleurs, auraient été vulnérables et inefficaces de faire face, à armes plus égales, à la puissance et à la force de ceux avec qui leurs intérêts interagissaient et, peut</w:t>
      </w:r>
      <w:r w:rsidR="00795B2B">
        <w:rPr>
          <w:lang w:val="fr-CA"/>
        </w:rPr>
        <w:t>-</w:t>
      </w:r>
      <w:r w:rsidR="00F205A1">
        <w:rPr>
          <w:lang w:val="fr-CA"/>
        </w:rPr>
        <w:t>être même, entraient en conflit</w:t>
      </w:r>
      <w:r w:rsidR="00795B2B">
        <w:rPr>
          <w:lang w:val="fr-CA"/>
        </w:rPr>
        <w:t>. . .</w:t>
      </w:r>
    </w:p>
    <w:p w:rsidR="00F205A1" w:rsidRPr="00AF17C2" w:rsidRDefault="00F205A1" w:rsidP="00F205A1">
      <w:pPr>
        <w:pStyle w:val="Citation-AltC"/>
        <w:spacing w:after="240"/>
        <w:ind w:left="1168" w:hanging="1168"/>
        <w:contextualSpacing w:val="0"/>
        <w:jc w:val="center"/>
        <w:rPr>
          <w:lang w:val="fr-CA"/>
        </w:rPr>
      </w:pPr>
      <w:r>
        <w:rPr>
          <w:lang w:val="fr-CA"/>
        </w:rPr>
        <w:t>. . .</w:t>
      </w:r>
    </w:p>
    <w:p w:rsidR="007B74A6" w:rsidRPr="00AF17C2" w:rsidRDefault="007B74A6" w:rsidP="00795B2B">
      <w:pPr>
        <w:pStyle w:val="Citation-AltC"/>
        <w:ind w:hanging="1166"/>
        <w:contextualSpacing w:val="0"/>
        <w:rPr>
          <w:lang w:val="fr-CA"/>
        </w:rPr>
      </w:pPr>
      <w:r w:rsidRPr="00AF17C2">
        <w:rPr>
          <w:lang w:val="fr-CA"/>
        </w:rPr>
        <w:tab/>
      </w:r>
      <w:r w:rsidRPr="00AF17C2">
        <w:rPr>
          <w:lang w:val="fr-CA"/>
        </w:rPr>
        <w:tab/>
        <w:t>Ce que la liberté d</w:t>
      </w:r>
      <w:r>
        <w:rPr>
          <w:lang w:val="fr-CA"/>
        </w:rPr>
        <w:t>’</w:t>
      </w:r>
      <w:r w:rsidRPr="00AF17C2">
        <w:rPr>
          <w:lang w:val="fr-CA"/>
        </w:rPr>
        <w:t>association vise à protéger, ce ne sont pas les activités de l</w:t>
      </w:r>
      <w:r>
        <w:rPr>
          <w:lang w:val="fr-CA"/>
        </w:rPr>
        <w:t>’</w:t>
      </w:r>
      <w:r w:rsidRPr="00AF17C2">
        <w:rPr>
          <w:lang w:val="fr-CA"/>
        </w:rPr>
        <w:t>association en tant qu</w:t>
      </w:r>
      <w:r>
        <w:rPr>
          <w:lang w:val="fr-CA"/>
        </w:rPr>
        <w:t>’</w:t>
      </w:r>
      <w:r w:rsidRPr="00AF17C2">
        <w:rPr>
          <w:lang w:val="fr-CA"/>
        </w:rPr>
        <w:t>activités particulières, mais la liberté des individus d</w:t>
      </w:r>
      <w:r>
        <w:rPr>
          <w:lang w:val="fr-CA"/>
        </w:rPr>
        <w:t>’</w:t>
      </w:r>
      <w:r w:rsidRPr="00AF17C2">
        <w:rPr>
          <w:lang w:val="fr-CA"/>
        </w:rPr>
        <w:t>interagir avec d</w:t>
      </w:r>
      <w:r>
        <w:rPr>
          <w:lang w:val="fr-CA"/>
        </w:rPr>
        <w:t>’</w:t>
      </w:r>
      <w:r w:rsidRPr="00AF17C2">
        <w:rPr>
          <w:lang w:val="fr-CA"/>
        </w:rPr>
        <w:t>autres êtres humains, de les aider et d</w:t>
      </w:r>
      <w:r>
        <w:rPr>
          <w:lang w:val="fr-CA"/>
        </w:rPr>
        <w:t>’</w:t>
      </w:r>
      <w:r w:rsidRPr="00AF17C2">
        <w:rPr>
          <w:lang w:val="fr-CA"/>
        </w:rPr>
        <w:t>être aidés par eux dans les diverses activités qu</w:t>
      </w:r>
      <w:r>
        <w:rPr>
          <w:lang w:val="fr-CA"/>
        </w:rPr>
        <w:t>’</w:t>
      </w:r>
      <w:r w:rsidRPr="00AF17C2">
        <w:rPr>
          <w:lang w:val="fr-CA"/>
        </w:rPr>
        <w:t>ils choisissent d</w:t>
      </w:r>
      <w:r>
        <w:rPr>
          <w:lang w:val="fr-CA"/>
        </w:rPr>
        <w:t>’</w:t>
      </w:r>
      <w:r w:rsidRPr="00AF17C2">
        <w:rPr>
          <w:lang w:val="fr-CA"/>
        </w:rPr>
        <w:t>exercer. [p.</w:t>
      </w:r>
      <w:r w:rsidR="00795B2B">
        <w:rPr>
          <w:lang w:val="fr-CA"/>
        </w:rPr>
        <w:t xml:space="preserve"> </w:t>
      </w:r>
      <w:r w:rsidRPr="00AF17C2">
        <w:rPr>
          <w:lang w:val="fr-CA"/>
        </w:rPr>
        <w:t>365</w:t>
      </w:r>
      <w:r w:rsidR="00795B2B">
        <w:rPr>
          <w:lang w:val="fr-CA"/>
        </w:rPr>
        <w:t>-</w:t>
      </w:r>
      <w:r w:rsidRPr="00AF17C2">
        <w:rPr>
          <w:lang w:val="fr-CA"/>
        </w:rPr>
        <w:t>366]</w:t>
      </w:r>
    </w:p>
    <w:p w:rsidR="007B74A6" w:rsidRPr="00AF17C2" w:rsidRDefault="007B74A6" w:rsidP="00795B2B">
      <w:pPr>
        <w:pStyle w:val="ParaNoNdepar-AltN"/>
        <w:rPr>
          <w:rFonts w:cs="Times New Roman"/>
          <w:lang w:val="fr-CA"/>
        </w:rPr>
      </w:pPr>
      <w:r w:rsidRPr="00AF17C2">
        <w:rPr>
          <w:rFonts w:cs="Times New Roman"/>
          <w:lang w:val="fr-CA"/>
        </w:rPr>
        <w:t>Le juge en chef Dickson a reconnu, comme point de départ,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protégeait le droit de faire collectivement ce qu</w:t>
      </w:r>
      <w:r>
        <w:rPr>
          <w:rFonts w:cs="Times New Roman"/>
          <w:lang w:val="fr-CA"/>
        </w:rPr>
        <w:t>’</w:t>
      </w:r>
      <w:r w:rsidRPr="00AF17C2">
        <w:rPr>
          <w:rFonts w:cs="Times New Roman"/>
          <w:lang w:val="fr-CA"/>
        </w:rPr>
        <w:t>il est permis de réaliser comme individu. Il était toutefois également d</w:t>
      </w:r>
      <w:r>
        <w:rPr>
          <w:rFonts w:cs="Times New Roman"/>
          <w:lang w:val="fr-CA"/>
        </w:rPr>
        <w:t>’</w:t>
      </w:r>
      <w:r w:rsidRPr="00AF17C2">
        <w:rPr>
          <w:rFonts w:cs="Times New Roman"/>
          <w:lang w:val="fr-CA"/>
        </w:rPr>
        <w:t xml:space="preserve">avis que la </w:t>
      </w:r>
      <w:r w:rsidRPr="00AF17C2">
        <w:rPr>
          <w:rFonts w:cs="Times New Roman"/>
          <w:i/>
          <w:lang w:val="fr-CA"/>
        </w:rPr>
        <w:t>Charte</w:t>
      </w:r>
      <w:r w:rsidRPr="00AF17C2">
        <w:rPr>
          <w:rFonts w:cs="Times New Roman"/>
          <w:lang w:val="fr-CA"/>
        </w:rPr>
        <w:t xml:space="preserve"> protégeait certaines activités collectives qui n</w:t>
      </w:r>
      <w:r>
        <w:rPr>
          <w:rFonts w:cs="Times New Roman"/>
          <w:lang w:val="fr-CA"/>
        </w:rPr>
        <w:t>’</w:t>
      </w:r>
      <w:r w:rsidRPr="00AF17C2">
        <w:rPr>
          <w:rFonts w:cs="Times New Roman"/>
          <w:lang w:val="fr-CA"/>
        </w:rPr>
        <w:t>avaient pas d</w:t>
      </w:r>
      <w:r>
        <w:rPr>
          <w:rFonts w:cs="Times New Roman"/>
          <w:lang w:val="fr-CA"/>
        </w:rPr>
        <w:t>’</w:t>
      </w:r>
      <w:r w:rsidRPr="00AF17C2">
        <w:rPr>
          <w:rFonts w:cs="Times New Roman"/>
          <w:lang w:val="fr-CA"/>
        </w:rPr>
        <w:t>équivalent individuel, notamment le droit de faire la grève.</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interprétation de la liberté d</w:t>
      </w:r>
      <w:r>
        <w:rPr>
          <w:rFonts w:cs="Times New Roman"/>
          <w:lang w:val="fr-CA"/>
        </w:rPr>
        <w:t>’</w:t>
      </w:r>
      <w:r w:rsidRPr="00AF17C2">
        <w:rPr>
          <w:rFonts w:cs="Times New Roman"/>
          <w:lang w:val="fr-CA"/>
        </w:rPr>
        <w:t>association qu</w:t>
      </w:r>
      <w:r>
        <w:rPr>
          <w:rFonts w:cs="Times New Roman"/>
          <w:lang w:val="fr-CA"/>
        </w:rPr>
        <w:t>’</w:t>
      </w:r>
      <w:r w:rsidRPr="00AF17C2">
        <w:rPr>
          <w:rFonts w:cs="Times New Roman"/>
          <w:lang w:val="fr-CA"/>
        </w:rPr>
        <w:t>ont adoptée les juges majoritaires dans la trilogie en droit du travail a été confirmée trois ans plus tard dans l</w:t>
      </w:r>
      <w:r>
        <w:rPr>
          <w:rFonts w:cs="Times New Roman"/>
          <w:lang w:val="fr-CA"/>
        </w:rPr>
        <w:t>’</w:t>
      </w:r>
      <w:r w:rsidRPr="00AF17C2">
        <w:rPr>
          <w:rFonts w:cs="Times New Roman"/>
          <w:lang w:val="fr-CA"/>
        </w:rPr>
        <w:t xml:space="preserve">arrêt </w:t>
      </w:r>
      <w:r w:rsidR="00F205A1">
        <w:rPr>
          <w:rFonts w:cs="Times New Roman"/>
          <w:i/>
          <w:lang w:val="fr-CA"/>
        </w:rPr>
        <w:t>Institut professionnel de la F</w:t>
      </w:r>
      <w:r w:rsidRPr="00AF17C2">
        <w:rPr>
          <w:rFonts w:cs="Times New Roman"/>
          <w:i/>
          <w:lang w:val="fr-CA"/>
        </w:rPr>
        <w:t>onction publique du Canada c. Territoires du Nord</w:t>
      </w:r>
      <w:r w:rsidR="00795B2B">
        <w:rPr>
          <w:rFonts w:cs="Times New Roman"/>
          <w:i/>
          <w:lang w:val="fr-CA"/>
        </w:rPr>
        <w:t>-</w:t>
      </w:r>
      <w:r w:rsidRPr="00AF17C2">
        <w:rPr>
          <w:rFonts w:cs="Times New Roman"/>
          <w:i/>
          <w:lang w:val="fr-CA"/>
        </w:rPr>
        <w:t>Ouest (Commissaire)</w:t>
      </w:r>
      <w:r w:rsidRPr="00AF17C2">
        <w:rPr>
          <w:rFonts w:cs="Times New Roman"/>
          <w:lang w:val="fr-CA"/>
        </w:rPr>
        <w:t>, [1990] 2 R.C.S.</w:t>
      </w:r>
      <w:r w:rsidR="00795B2B">
        <w:rPr>
          <w:rFonts w:cs="Times New Roman"/>
          <w:lang w:val="fr-CA"/>
        </w:rPr>
        <w:t xml:space="preserve"> </w:t>
      </w:r>
      <w:r w:rsidRPr="00AF17C2">
        <w:rPr>
          <w:rFonts w:cs="Times New Roman"/>
          <w:lang w:val="fr-CA"/>
        </w:rPr>
        <w:t>367 (</w:t>
      </w:r>
      <w:r w:rsidR="00795B2B">
        <w:rPr>
          <w:rFonts w:cs="Times New Roman"/>
          <w:lang w:val="fr-CA"/>
        </w:rPr>
        <w:t>« </w:t>
      </w:r>
      <w:r w:rsidRPr="00AF17C2">
        <w:rPr>
          <w:rFonts w:cs="Times New Roman"/>
          <w:i/>
          <w:lang w:val="fr-CA"/>
        </w:rPr>
        <w:t>IPFPC</w:t>
      </w:r>
      <w:r w:rsidR="00795B2B">
        <w:rPr>
          <w:rFonts w:cs="Times New Roman"/>
          <w:lang w:val="fr-CA"/>
        </w:rPr>
        <w:t> »</w:t>
      </w:r>
      <w:r w:rsidRPr="00AF17C2">
        <w:rPr>
          <w:rFonts w:cs="Times New Roman"/>
          <w:lang w:val="fr-CA"/>
        </w:rPr>
        <w:t xml:space="preserve">). Cette affaire portait sur la </w:t>
      </w:r>
      <w:r w:rsidRPr="00AF17C2">
        <w:rPr>
          <w:rFonts w:cs="Times New Roman"/>
          <w:i/>
          <w:lang w:val="fr-CA"/>
        </w:rPr>
        <w:t xml:space="preserve">Public Service </w:t>
      </w:r>
      <w:proofErr w:type="spellStart"/>
      <w:r w:rsidRPr="00AF17C2">
        <w:rPr>
          <w:rFonts w:cs="Times New Roman"/>
          <w:i/>
          <w:lang w:val="fr-CA"/>
        </w:rPr>
        <w:t>Act</w:t>
      </w:r>
      <w:proofErr w:type="spellEnd"/>
      <w:r w:rsidRPr="00AF17C2">
        <w:rPr>
          <w:rFonts w:cs="Times New Roman"/>
          <w:lang w:val="fr-CA"/>
        </w:rPr>
        <w:t>, R.S.N.W.T.</w:t>
      </w:r>
      <w:r w:rsidR="00795B2B">
        <w:rPr>
          <w:rFonts w:cs="Times New Roman"/>
          <w:lang w:val="fr-CA"/>
        </w:rPr>
        <w:t xml:space="preserve"> </w:t>
      </w:r>
      <w:r w:rsidRPr="00AF17C2">
        <w:rPr>
          <w:rFonts w:cs="Times New Roman"/>
          <w:lang w:val="fr-CA"/>
        </w:rPr>
        <w:t>1974, c.</w:t>
      </w:r>
      <w:r w:rsidR="00795B2B">
        <w:rPr>
          <w:rFonts w:cs="Times New Roman"/>
          <w:lang w:val="fr-CA"/>
        </w:rPr>
        <w:t xml:space="preserve"> </w:t>
      </w:r>
      <w:r w:rsidRPr="00AF17C2">
        <w:rPr>
          <w:rFonts w:cs="Times New Roman"/>
          <w:lang w:val="fr-CA"/>
        </w:rPr>
        <w:t>P</w:t>
      </w:r>
      <w:r w:rsidR="00795B2B">
        <w:rPr>
          <w:rFonts w:cs="Times New Roman"/>
          <w:lang w:val="fr-CA"/>
        </w:rPr>
        <w:t>-</w:t>
      </w:r>
      <w:r w:rsidRPr="00AF17C2">
        <w:rPr>
          <w:rFonts w:eastAsia="MS Mincho" w:cs="Times New Roman"/>
          <w:lang w:val="fr-CA"/>
        </w:rPr>
        <w:t>1</w:t>
      </w:r>
      <w:r w:rsidRPr="00AF17C2">
        <w:rPr>
          <w:rFonts w:cs="Times New Roman"/>
          <w:lang w:val="fr-CA"/>
        </w:rPr>
        <w:t>3, qui subordonnait le choix d</w:t>
      </w:r>
      <w:r>
        <w:rPr>
          <w:rFonts w:cs="Times New Roman"/>
          <w:lang w:val="fr-CA"/>
        </w:rPr>
        <w:t>’</w:t>
      </w:r>
      <w:r w:rsidRPr="00AF17C2">
        <w:rPr>
          <w:rFonts w:cs="Times New Roman"/>
          <w:lang w:val="fr-CA"/>
        </w:rPr>
        <w:t>un agent négociateur par les employés à l</w:t>
      </w:r>
      <w:r>
        <w:rPr>
          <w:rFonts w:cs="Times New Roman"/>
          <w:lang w:val="fr-CA"/>
        </w:rPr>
        <w:t>’</w:t>
      </w:r>
      <w:r w:rsidRPr="00AF17C2">
        <w:rPr>
          <w:rFonts w:cs="Times New Roman"/>
          <w:lang w:val="fr-CA"/>
        </w:rPr>
        <w:t>approbation de la législature des Territoires du Nord</w:t>
      </w:r>
      <w:r w:rsidR="00795B2B">
        <w:rPr>
          <w:rFonts w:cs="Times New Roman"/>
          <w:lang w:val="fr-CA"/>
        </w:rPr>
        <w:t>-</w:t>
      </w:r>
      <w:r w:rsidRPr="00AF17C2">
        <w:rPr>
          <w:rFonts w:cs="Times New Roman"/>
          <w:lang w:val="fr-CA"/>
        </w:rPr>
        <w:t>Ouest. Tout comme en l</w:t>
      </w:r>
      <w:r>
        <w:rPr>
          <w:rFonts w:cs="Times New Roman"/>
          <w:lang w:val="fr-CA"/>
        </w:rPr>
        <w:t>’</w:t>
      </w:r>
      <w:r w:rsidRPr="00AF17C2">
        <w:rPr>
          <w:rFonts w:cs="Times New Roman"/>
          <w:lang w:val="fr-CA"/>
        </w:rPr>
        <w:t>espèce, la Cour était alors saisie d</w:t>
      </w:r>
      <w:r>
        <w:rPr>
          <w:rFonts w:cs="Times New Roman"/>
          <w:lang w:val="fr-CA"/>
        </w:rPr>
        <w:t>’</w:t>
      </w:r>
      <w:r w:rsidRPr="00AF17C2">
        <w:rPr>
          <w:rFonts w:cs="Times New Roman"/>
          <w:lang w:val="fr-CA"/>
        </w:rPr>
        <w:t>une contestation relative à un régime de relations de travail qui imposait un cadre de négociation collective à un groupe de fonctionnaires et qui limitait ainsi leur capacité d</w:t>
      </w:r>
      <w:r>
        <w:rPr>
          <w:rFonts w:cs="Times New Roman"/>
          <w:lang w:val="fr-CA"/>
        </w:rPr>
        <w:t>’</w:t>
      </w:r>
      <w:r w:rsidRPr="00AF17C2">
        <w:rPr>
          <w:rFonts w:cs="Times New Roman"/>
          <w:lang w:val="fr-CA"/>
        </w:rPr>
        <w:t>être représentés par l</w:t>
      </w:r>
      <w:r>
        <w:rPr>
          <w:rFonts w:cs="Times New Roman"/>
          <w:lang w:val="fr-CA"/>
        </w:rPr>
        <w:t>’</w:t>
      </w:r>
      <w:r w:rsidRPr="00AF17C2">
        <w:rPr>
          <w:rFonts w:cs="Times New Roman"/>
          <w:lang w:val="fr-CA"/>
        </w:rPr>
        <w:t>intermédiaire d</w:t>
      </w:r>
      <w:r>
        <w:rPr>
          <w:rFonts w:cs="Times New Roman"/>
          <w:lang w:val="fr-CA"/>
        </w:rPr>
        <w:t>’</w:t>
      </w:r>
      <w:r w:rsidRPr="00AF17C2">
        <w:rPr>
          <w:rFonts w:cs="Times New Roman"/>
          <w:lang w:val="fr-CA"/>
        </w:rPr>
        <w:t>une association librement choisie. Cela dit, l</w:t>
      </w:r>
      <w:r>
        <w:rPr>
          <w:rFonts w:cs="Times New Roman"/>
          <w:lang w:val="fr-CA"/>
        </w:rPr>
        <w:t>’</w:t>
      </w:r>
      <w:r w:rsidRPr="00AF17C2">
        <w:rPr>
          <w:rFonts w:cs="Times New Roman"/>
          <w:lang w:val="fr-CA"/>
        </w:rPr>
        <w:t>association comme telle demeurait tout à fait indépendante de la direction (p.</w:t>
      </w:r>
      <w:r w:rsidR="00795B2B">
        <w:rPr>
          <w:rFonts w:cs="Times New Roman"/>
          <w:lang w:val="fr-CA"/>
        </w:rPr>
        <w:t xml:space="preserve"> </w:t>
      </w:r>
      <w:r w:rsidRPr="00AF17C2">
        <w:rPr>
          <w:rFonts w:cs="Times New Roman"/>
          <w:lang w:val="fr-CA"/>
        </w:rPr>
        <w:t>408).</w:t>
      </w:r>
    </w:p>
    <w:p w:rsidR="007B74A6" w:rsidRPr="00AF17C2" w:rsidRDefault="007B74A6" w:rsidP="00795B2B">
      <w:pPr>
        <w:pStyle w:val="ParaNoNdepar-AltN"/>
        <w:rPr>
          <w:rFonts w:cs="Times New Roman"/>
          <w:lang w:val="fr-CA"/>
        </w:rPr>
      </w:pPr>
      <w:r w:rsidRPr="00AF17C2">
        <w:rPr>
          <w:rFonts w:cs="Times New Roman"/>
          <w:lang w:val="fr-CA"/>
        </w:rPr>
        <w:lastRenderedPageBreak/>
        <w:t xml:space="preserve">Les sept juges qui ont entendu le pourvoi ont rédigé cinq opinions distinctes. Les juges majoritaires ont convenu avec le juge </w:t>
      </w:r>
      <w:proofErr w:type="spellStart"/>
      <w:r w:rsidRPr="00AF17C2">
        <w:rPr>
          <w:rFonts w:cs="Times New Roman"/>
          <w:lang w:val="fr-CA"/>
        </w:rPr>
        <w:t>Sopinka</w:t>
      </w:r>
      <w:proofErr w:type="spellEnd"/>
      <w:r w:rsidRPr="00AF17C2">
        <w:rPr>
          <w:rFonts w:cs="Times New Roman"/>
          <w:lang w:val="fr-CA"/>
        </w:rPr>
        <w:t xml:space="preserve"> qui a conclu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protégeait uniquement la capacité de constituer un syndicat et d</w:t>
      </w:r>
      <w:r>
        <w:rPr>
          <w:rFonts w:cs="Times New Roman"/>
          <w:lang w:val="fr-CA"/>
        </w:rPr>
        <w:t>’</w:t>
      </w:r>
      <w:r w:rsidRPr="00AF17C2">
        <w:rPr>
          <w:rFonts w:cs="Times New Roman"/>
          <w:lang w:val="fr-CA"/>
        </w:rPr>
        <w:t>y adhérer, et non le droit de négocier collectivement. Il a en outre formulé comme suit, à la p.</w:t>
      </w:r>
      <w:r w:rsidR="00795B2B">
        <w:rPr>
          <w:rFonts w:cs="Times New Roman"/>
          <w:lang w:val="fr-CA"/>
        </w:rPr>
        <w:t xml:space="preserve"> </w:t>
      </w:r>
      <w:r w:rsidRPr="00AF17C2">
        <w:rPr>
          <w:rFonts w:cs="Times New Roman"/>
          <w:lang w:val="fr-CA"/>
        </w:rPr>
        <w:t xml:space="preserve">402, sa célèbre description des quatre principes dégagés du </w:t>
      </w:r>
      <w:r w:rsidRPr="00AF17C2">
        <w:rPr>
          <w:rFonts w:cs="Times New Roman"/>
          <w:i/>
          <w:lang w:val="fr-CA"/>
        </w:rPr>
        <w:t>Renvoi relatif à l</w:t>
      </w:r>
      <w:r>
        <w:rPr>
          <w:rFonts w:cs="Times New Roman"/>
          <w:i/>
          <w:lang w:val="fr-CA"/>
        </w:rPr>
        <w:t>’</w:t>
      </w:r>
      <w:r w:rsidRPr="00AF17C2">
        <w:rPr>
          <w:rFonts w:cs="Times New Roman"/>
          <w:i/>
          <w:lang w:val="fr-CA"/>
        </w:rPr>
        <w:t xml:space="preserve">Alberta </w:t>
      </w:r>
      <w:r w:rsidRPr="00AF17C2">
        <w:rPr>
          <w:rFonts w:cs="Times New Roman"/>
          <w:lang w:val="fr-CA"/>
        </w:rPr>
        <w:t>sur la portée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r w:rsidR="00795B2B">
        <w:rPr>
          <w:rFonts w:cs="Times New Roman"/>
          <w:lang w:val="fr-CA"/>
        </w:rPr>
        <w:t> :</w:t>
      </w:r>
    </w:p>
    <w:p w:rsidR="007B74A6" w:rsidRPr="00AF17C2" w:rsidRDefault="007B74A6" w:rsidP="00795B2B">
      <w:pPr>
        <w:pStyle w:val="Citation-AltC"/>
        <w:ind w:hanging="1166"/>
        <w:rPr>
          <w:lang w:val="fr-CA"/>
        </w:rPr>
      </w:pPr>
      <w:r w:rsidRPr="00AF17C2">
        <w:rPr>
          <w:lang w:val="fr-CA"/>
        </w:rPr>
        <w:tab/>
      </w:r>
      <w:r w:rsidRPr="00AF17C2">
        <w:rPr>
          <w:lang w:val="fr-CA"/>
        </w:rPr>
        <w:tab/>
      </w:r>
      <w:r w:rsidR="00795B2B">
        <w:rPr>
          <w:lang w:val="fr-CA"/>
        </w:rPr>
        <w:t>. . .</w:t>
      </w:r>
      <w:r w:rsidRPr="00AF17C2">
        <w:rPr>
          <w:lang w:val="fr-CA"/>
        </w:rPr>
        <w:t xml:space="preserve"> premièrement,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protège la liberté de constituer une association, de la maintenir et d</w:t>
      </w:r>
      <w:r>
        <w:rPr>
          <w:lang w:val="fr-CA"/>
        </w:rPr>
        <w:t>’</w:t>
      </w:r>
      <w:r w:rsidRPr="00AF17C2">
        <w:rPr>
          <w:lang w:val="fr-CA"/>
        </w:rPr>
        <w:t>y appartenir; deuxièmement,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ne protège pas une activité pour le seul motif que cette activité est un objet fondamental ou essentiel d</w:t>
      </w:r>
      <w:r>
        <w:rPr>
          <w:lang w:val="fr-CA"/>
        </w:rPr>
        <w:t>’</w:t>
      </w:r>
      <w:r w:rsidRPr="00AF17C2">
        <w:rPr>
          <w:lang w:val="fr-CA"/>
        </w:rPr>
        <w:t>une association; troisièmement,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protège l</w:t>
      </w:r>
      <w:r>
        <w:rPr>
          <w:lang w:val="fr-CA"/>
        </w:rPr>
        <w:t>’</w:t>
      </w:r>
      <w:r w:rsidRPr="00AF17C2">
        <w:rPr>
          <w:lang w:val="fr-CA"/>
        </w:rPr>
        <w:t>exercice collectif des droits et libertés individuels consacrés par la Constitution; et quatrièmement,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protège l</w:t>
      </w:r>
      <w:r>
        <w:rPr>
          <w:lang w:val="fr-CA"/>
        </w:rPr>
        <w:t>’</w:t>
      </w:r>
      <w:r w:rsidRPr="00AF17C2">
        <w:rPr>
          <w:lang w:val="fr-CA"/>
        </w:rPr>
        <w:t>exercice collectif des droits légitimes des individus.</w:t>
      </w:r>
    </w:p>
    <w:p w:rsidR="007B74A6" w:rsidRPr="00AF17C2" w:rsidRDefault="007B74A6" w:rsidP="00795B2B">
      <w:pPr>
        <w:pStyle w:val="ParaNoNdepar-AltN"/>
        <w:rPr>
          <w:rFonts w:cs="Times New Roman"/>
          <w:lang w:val="fr-CA"/>
        </w:rPr>
      </w:pPr>
      <w:r w:rsidRPr="00AF17C2">
        <w:rPr>
          <w:rFonts w:cs="Times New Roman"/>
          <w:lang w:val="fr-CA"/>
        </w:rPr>
        <w:t>Le juge en chef Dickson ainsi que les juges La</w:t>
      </w:r>
      <w:r w:rsidR="00795B2B">
        <w:rPr>
          <w:rFonts w:cs="Times New Roman"/>
          <w:lang w:val="fr-CA"/>
        </w:rPr>
        <w:t xml:space="preserve"> </w:t>
      </w:r>
      <w:r w:rsidRPr="00AF17C2">
        <w:rPr>
          <w:rFonts w:cs="Times New Roman"/>
          <w:lang w:val="fr-CA"/>
        </w:rPr>
        <w:t>Forest et L</w:t>
      </w:r>
      <w:r>
        <w:rPr>
          <w:rFonts w:cs="Times New Roman"/>
          <w:lang w:val="fr-CA"/>
        </w:rPr>
        <w:t>’</w:t>
      </w:r>
      <w:r w:rsidRPr="00AF17C2">
        <w:rPr>
          <w:rFonts w:cs="Times New Roman"/>
          <w:lang w:val="fr-CA"/>
        </w:rPr>
        <w:t>Heureux</w:t>
      </w:r>
      <w:r w:rsidR="00795B2B">
        <w:rPr>
          <w:rFonts w:cs="Times New Roman"/>
          <w:lang w:val="fr-CA"/>
        </w:rPr>
        <w:t>-</w:t>
      </w:r>
      <w:proofErr w:type="spellStart"/>
      <w:r w:rsidRPr="00AF17C2">
        <w:rPr>
          <w:rFonts w:cs="Times New Roman"/>
          <w:lang w:val="fr-CA"/>
        </w:rPr>
        <w:t>Dubé</w:t>
      </w:r>
      <w:proofErr w:type="spellEnd"/>
      <w:r w:rsidRPr="00AF17C2">
        <w:rPr>
          <w:rFonts w:cs="Times New Roman"/>
          <w:lang w:val="fr-CA"/>
        </w:rPr>
        <w:t xml:space="preserve"> ont souscrit au dispositif du juge </w:t>
      </w:r>
      <w:proofErr w:type="spellStart"/>
      <w:r w:rsidRPr="00AF17C2">
        <w:rPr>
          <w:rFonts w:cs="Times New Roman"/>
          <w:lang w:val="fr-CA"/>
        </w:rPr>
        <w:t>Sopinka</w:t>
      </w:r>
      <w:proofErr w:type="spellEnd"/>
      <w:r w:rsidRPr="00AF17C2">
        <w:rPr>
          <w:rFonts w:cs="Times New Roman"/>
          <w:lang w:val="fr-CA"/>
        </w:rPr>
        <w:t>, mais seule la juge L</w:t>
      </w:r>
      <w:r>
        <w:rPr>
          <w:rFonts w:cs="Times New Roman"/>
          <w:lang w:val="fr-CA"/>
        </w:rPr>
        <w:t>’</w:t>
      </w:r>
      <w:r w:rsidRPr="00AF17C2">
        <w:rPr>
          <w:rFonts w:cs="Times New Roman"/>
          <w:lang w:val="fr-CA"/>
        </w:rPr>
        <w:t>Heureux</w:t>
      </w:r>
      <w:r w:rsidR="00795B2B">
        <w:rPr>
          <w:rFonts w:cs="Times New Roman"/>
          <w:lang w:val="fr-CA"/>
        </w:rPr>
        <w:t>-</w:t>
      </w:r>
      <w:proofErr w:type="spellStart"/>
      <w:r w:rsidRPr="00AF17C2">
        <w:rPr>
          <w:rFonts w:cs="Times New Roman"/>
          <w:lang w:val="fr-CA"/>
        </w:rPr>
        <w:t>Dubé</w:t>
      </w:r>
      <w:proofErr w:type="spellEnd"/>
      <w:r w:rsidRPr="00AF17C2">
        <w:rPr>
          <w:rFonts w:cs="Times New Roman"/>
          <w:lang w:val="fr-CA"/>
        </w:rPr>
        <w:t xml:space="preserve"> a confirmé l</w:t>
      </w:r>
      <w:r>
        <w:rPr>
          <w:rFonts w:cs="Times New Roman"/>
          <w:lang w:val="fr-CA"/>
        </w:rPr>
        <w:t>’</w:t>
      </w:r>
      <w:r w:rsidRPr="00AF17C2">
        <w:rPr>
          <w:rFonts w:cs="Times New Roman"/>
          <w:lang w:val="fr-CA"/>
        </w:rPr>
        <w:t>effet restrictif des troisième et quatrième principes au regard de la portée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Le juge en chef Dickson et le juge La Forest ont conclu, dans des motifs distincts, que le pourvoi pouvait être tranché en appliquant la conclusion formulée dans la </w:t>
      </w:r>
      <w:r w:rsidR="00D444EC">
        <w:rPr>
          <w:rFonts w:cs="Times New Roman"/>
          <w:lang w:val="fr-CA"/>
        </w:rPr>
        <w:t>trilogie en droit du travail</w:t>
      </w:r>
      <w:r w:rsidRPr="00AF17C2">
        <w:rPr>
          <w:rFonts w:cs="Times New Roman"/>
          <w:lang w:val="fr-CA"/>
        </w:rPr>
        <w:t xml:space="preserve"> selon laquelle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ne protégeait pas la négociation collective, sans se prononcer sur la question plus large de sa portée.</w:t>
      </w:r>
    </w:p>
    <w:p w:rsidR="007B74A6" w:rsidRPr="00AF17C2" w:rsidRDefault="007B74A6" w:rsidP="00795B2B">
      <w:pPr>
        <w:pStyle w:val="ParaNoNdepar-AltN"/>
        <w:rPr>
          <w:rFonts w:cs="Times New Roman"/>
          <w:lang w:val="fr-CA"/>
        </w:rPr>
      </w:pPr>
      <w:r w:rsidRPr="00AF17C2">
        <w:rPr>
          <w:rFonts w:cs="Times New Roman"/>
          <w:lang w:val="fr-CA"/>
        </w:rPr>
        <w:t>Le juge Cory (avec l</w:t>
      </w:r>
      <w:r>
        <w:rPr>
          <w:rFonts w:cs="Times New Roman"/>
          <w:lang w:val="fr-CA"/>
        </w:rPr>
        <w:t>’</w:t>
      </w:r>
      <w:r w:rsidRPr="00AF17C2">
        <w:rPr>
          <w:rFonts w:cs="Times New Roman"/>
          <w:lang w:val="fr-CA"/>
        </w:rPr>
        <w:t>accord des juges Wilson et Gonthier) était dissident sur la portée de la liberté d</w:t>
      </w:r>
      <w:r>
        <w:rPr>
          <w:rFonts w:cs="Times New Roman"/>
          <w:lang w:val="fr-CA"/>
        </w:rPr>
        <w:t>’</w:t>
      </w:r>
      <w:r w:rsidRPr="00AF17C2">
        <w:rPr>
          <w:rFonts w:cs="Times New Roman"/>
          <w:lang w:val="fr-CA"/>
        </w:rPr>
        <w:t>association. À son avis, cette liberté permet aux individus de collaborer pour réaliser des objectifs communs. Il s</w:t>
      </w:r>
      <w:r>
        <w:rPr>
          <w:rFonts w:cs="Times New Roman"/>
          <w:lang w:val="fr-CA"/>
        </w:rPr>
        <w:t>’</w:t>
      </w:r>
      <w:r w:rsidRPr="00AF17C2">
        <w:rPr>
          <w:rFonts w:cs="Times New Roman"/>
          <w:lang w:val="fr-CA"/>
        </w:rPr>
        <w:t>agit d</w:t>
      </w:r>
      <w:r>
        <w:rPr>
          <w:rFonts w:cs="Times New Roman"/>
          <w:lang w:val="fr-CA"/>
        </w:rPr>
        <w:t>’</w:t>
      </w:r>
      <w:r w:rsidRPr="00AF17C2">
        <w:rPr>
          <w:rFonts w:cs="Times New Roman"/>
          <w:lang w:val="fr-CA"/>
        </w:rPr>
        <w:t>un droit fondamental dans une société libre et démocratique et il s</w:t>
      </w:r>
      <w:r>
        <w:rPr>
          <w:rFonts w:cs="Times New Roman"/>
          <w:lang w:val="fr-CA"/>
        </w:rPr>
        <w:t>’</w:t>
      </w:r>
      <w:r w:rsidRPr="00AF17C2">
        <w:rPr>
          <w:rFonts w:cs="Times New Roman"/>
          <w:lang w:val="fr-CA"/>
        </w:rPr>
        <w:t>applique dans le contexte du travail. Le juge Cory a exposé brièvement un des aspects de la liberté d</w:t>
      </w:r>
      <w:r>
        <w:rPr>
          <w:rFonts w:cs="Times New Roman"/>
          <w:lang w:val="fr-CA"/>
        </w:rPr>
        <w:t>’</w:t>
      </w:r>
      <w:r w:rsidRPr="00AF17C2">
        <w:rPr>
          <w:rFonts w:cs="Times New Roman"/>
          <w:lang w:val="fr-CA"/>
        </w:rPr>
        <w:t>association dans ce contexte</w:t>
      </w:r>
      <w:r w:rsidR="00795B2B">
        <w:rPr>
          <w:rFonts w:cs="Times New Roman"/>
          <w:lang w:val="fr-CA"/>
        </w:rPr>
        <w:t> :</w:t>
      </w:r>
    </w:p>
    <w:p w:rsidR="007B74A6" w:rsidRPr="00AF17C2" w:rsidRDefault="007B74A6" w:rsidP="00795B2B">
      <w:pPr>
        <w:pStyle w:val="Citation-AltC"/>
        <w:ind w:hanging="1166"/>
        <w:rPr>
          <w:lang w:val="fr-CA"/>
        </w:rPr>
      </w:pPr>
      <w:r w:rsidRPr="00AF17C2">
        <w:rPr>
          <w:lang w:val="fr-CA"/>
        </w:rPr>
        <w:lastRenderedPageBreak/>
        <w:tab/>
      </w:r>
      <w:r w:rsidRPr="00AF17C2">
        <w:rPr>
          <w:lang w:val="fr-CA"/>
        </w:rPr>
        <w:tab/>
        <w:t>Partout où des personnes travaillent pour gagner leur vie, le droit d</w:t>
      </w:r>
      <w:r>
        <w:rPr>
          <w:lang w:val="fr-CA"/>
        </w:rPr>
        <w:t>’</w:t>
      </w:r>
      <w:r w:rsidRPr="00AF17C2">
        <w:rPr>
          <w:lang w:val="fr-CA"/>
        </w:rPr>
        <w:t xml:space="preserve">association a une importance énorme. Le salaire et les conditions de travail auront toujours une importance vitale pour un employé. </w:t>
      </w:r>
      <w:r w:rsidRPr="00AF17C2">
        <w:rPr>
          <w:u w:val="single"/>
          <w:lang w:val="fr-CA"/>
        </w:rPr>
        <w:t>Il s</w:t>
      </w:r>
      <w:r>
        <w:rPr>
          <w:u w:val="single"/>
          <w:lang w:val="fr-CA"/>
        </w:rPr>
        <w:t>’</w:t>
      </w:r>
      <w:r w:rsidRPr="00AF17C2">
        <w:rPr>
          <w:u w:val="single"/>
          <w:lang w:val="fr-CA"/>
        </w:rPr>
        <w:t>ensuit que pour un employé, le droit de choisir le groupe ou l</w:t>
      </w:r>
      <w:r>
        <w:rPr>
          <w:u w:val="single"/>
          <w:lang w:val="fr-CA"/>
        </w:rPr>
        <w:t>’</w:t>
      </w:r>
      <w:r w:rsidRPr="00AF17C2">
        <w:rPr>
          <w:u w:val="single"/>
          <w:lang w:val="fr-CA"/>
        </w:rPr>
        <w:t>association qui négociera pour son compte ce salaire et ces conditions de travail a une importance fondamentale.</w:t>
      </w:r>
      <w:r w:rsidRPr="00AF17C2">
        <w:rPr>
          <w:lang w:val="fr-CA"/>
        </w:rPr>
        <w:t xml:space="preserve"> L</w:t>
      </w:r>
      <w:r>
        <w:rPr>
          <w:lang w:val="fr-CA"/>
        </w:rPr>
        <w:t>’</w:t>
      </w:r>
      <w:r w:rsidRPr="00AF17C2">
        <w:rPr>
          <w:lang w:val="fr-CA"/>
        </w:rPr>
        <w:t>association jouera un rôle très important dans à peu près tous les aspects de la vie de l</w:t>
      </w:r>
      <w:r>
        <w:rPr>
          <w:lang w:val="fr-CA"/>
        </w:rPr>
        <w:t>’</w:t>
      </w:r>
      <w:r w:rsidRPr="00AF17C2">
        <w:rPr>
          <w:lang w:val="fr-CA"/>
        </w:rPr>
        <w:t>employé dans son lieu de travail, en faisant fonction de conseiller, de porte</w:t>
      </w:r>
      <w:r w:rsidR="00795B2B">
        <w:rPr>
          <w:lang w:val="fr-CA"/>
        </w:rPr>
        <w:t>-</w:t>
      </w:r>
      <w:r w:rsidRPr="00AF17C2">
        <w:rPr>
          <w:lang w:val="fr-CA"/>
        </w:rPr>
        <w:t>parole dans les négociations et de rempart contre les actes illicites de l</w:t>
      </w:r>
      <w:r>
        <w:rPr>
          <w:lang w:val="fr-CA"/>
        </w:rPr>
        <w:t>’</w:t>
      </w:r>
      <w:r w:rsidRPr="00AF17C2">
        <w:rPr>
          <w:lang w:val="fr-CA"/>
        </w:rPr>
        <w:t>employeur. Pour que les négociations collectives donnent des résultats, les employés doivent avoir confiance en leurs représentants. Cette confiance n</w:t>
      </w:r>
      <w:r>
        <w:rPr>
          <w:lang w:val="fr-CA"/>
        </w:rPr>
        <w:t>’</w:t>
      </w:r>
      <w:r w:rsidRPr="00AF17C2">
        <w:rPr>
          <w:lang w:val="fr-CA"/>
        </w:rPr>
        <w:t>existera pas si l</w:t>
      </w:r>
      <w:r>
        <w:rPr>
          <w:lang w:val="fr-CA"/>
        </w:rPr>
        <w:t>’</w:t>
      </w:r>
      <w:r w:rsidRPr="00AF17C2">
        <w:rPr>
          <w:lang w:val="fr-CA"/>
        </w:rPr>
        <w:t>employé à titre individuel n</w:t>
      </w:r>
      <w:r>
        <w:rPr>
          <w:lang w:val="fr-CA"/>
        </w:rPr>
        <w:t>’</w:t>
      </w:r>
      <w:r w:rsidRPr="00AF17C2">
        <w:rPr>
          <w:lang w:val="fr-CA"/>
        </w:rPr>
        <w:t>est pas en mesure de choisir l</w:t>
      </w:r>
      <w:r>
        <w:rPr>
          <w:lang w:val="fr-CA"/>
        </w:rPr>
        <w:t>’</w:t>
      </w:r>
      <w:r w:rsidRPr="00AF17C2">
        <w:rPr>
          <w:lang w:val="fr-CA"/>
        </w:rPr>
        <w:t>association. [Nous soulignons; p.</w:t>
      </w:r>
      <w:r w:rsidR="00795B2B">
        <w:rPr>
          <w:lang w:val="fr-CA"/>
        </w:rPr>
        <w:t xml:space="preserve"> </w:t>
      </w:r>
      <w:r w:rsidRPr="00AF17C2">
        <w:rPr>
          <w:lang w:val="fr-CA"/>
        </w:rPr>
        <w:t>380.]</w:t>
      </w:r>
    </w:p>
    <w:p w:rsidR="007B74A6" w:rsidRPr="00AF17C2" w:rsidRDefault="007B74A6" w:rsidP="00795B2B">
      <w:pPr>
        <w:pStyle w:val="ParaNoNdepar-AltN"/>
        <w:rPr>
          <w:rFonts w:cs="Times New Roman"/>
          <w:lang w:val="fr-CA"/>
        </w:rPr>
      </w:pPr>
      <w:r w:rsidRPr="00AF17C2">
        <w:rPr>
          <w:rFonts w:cs="Times New Roman"/>
          <w:lang w:val="fr-CA"/>
        </w:rPr>
        <w:t>Pour résumer, et malgré des dissidences notables, on peut affirmer que, pendant cette première période, les juges majoritaires de la Cour ont donné à la liberté d</w:t>
      </w:r>
      <w:r>
        <w:rPr>
          <w:rFonts w:cs="Times New Roman"/>
          <w:lang w:val="fr-CA"/>
        </w:rPr>
        <w:t>’</w:t>
      </w:r>
      <w:r w:rsidRPr="00AF17C2">
        <w:rPr>
          <w:rFonts w:cs="Times New Roman"/>
          <w:lang w:val="fr-CA"/>
        </w:rPr>
        <w:t>association une interprétation étroite qui ne protégeait que la simple constitution de l</w:t>
      </w:r>
      <w:r>
        <w:rPr>
          <w:rFonts w:cs="Times New Roman"/>
          <w:lang w:val="fr-CA"/>
        </w:rPr>
        <w:t>’</w:t>
      </w:r>
      <w:r w:rsidRPr="00AF17C2">
        <w:rPr>
          <w:rFonts w:cs="Times New Roman"/>
          <w:lang w:val="fr-CA"/>
        </w:rPr>
        <w:t>association et l</w:t>
      </w:r>
      <w:r>
        <w:rPr>
          <w:rFonts w:cs="Times New Roman"/>
          <w:lang w:val="fr-CA"/>
        </w:rPr>
        <w:t>’</w:t>
      </w:r>
      <w:r w:rsidRPr="00AF17C2">
        <w:rPr>
          <w:rFonts w:cs="Times New Roman"/>
          <w:lang w:val="fr-CA"/>
        </w:rPr>
        <w:t>exercice collectif des libertés individuelles. Cette interprétation a prédominé pendant un certain temps. Ainsi, dans un contexte autre que celui des relations de travail, elle a été appliquée dans l</w:t>
      </w:r>
      <w:r>
        <w:rPr>
          <w:rFonts w:cs="Times New Roman"/>
          <w:lang w:val="fr-CA"/>
        </w:rPr>
        <w:t>’</w:t>
      </w:r>
      <w:r w:rsidRPr="00AF17C2">
        <w:rPr>
          <w:rFonts w:cs="Times New Roman"/>
          <w:lang w:val="fr-CA"/>
        </w:rPr>
        <w:t xml:space="preserve">arrêt </w:t>
      </w:r>
      <w:r w:rsidRPr="00AF17C2">
        <w:rPr>
          <w:rFonts w:cs="Times New Roman"/>
          <w:i/>
          <w:lang w:val="fr-CA"/>
        </w:rPr>
        <w:t>Office canadien de commercialisation des œufs c. Richardson</w:t>
      </w:r>
      <w:r w:rsidRPr="00AF17C2">
        <w:rPr>
          <w:rFonts w:cs="Times New Roman"/>
          <w:lang w:val="fr-CA"/>
        </w:rPr>
        <w:t>, [1998] 3 R.C.S.</w:t>
      </w:r>
      <w:r w:rsidR="00795B2B">
        <w:rPr>
          <w:rFonts w:cs="Times New Roman"/>
          <w:lang w:val="fr-CA"/>
        </w:rPr>
        <w:t xml:space="preserve"> </w:t>
      </w:r>
      <w:r w:rsidRPr="00AF17C2">
        <w:rPr>
          <w:rFonts w:cs="Times New Roman"/>
          <w:lang w:val="fr-CA"/>
        </w:rPr>
        <w:t>157. Puis, de nouveau dans le domaine des relations de travail, elle a amené les juges majoritaires de la Cour à conclure, dans l</w:t>
      </w:r>
      <w:r>
        <w:rPr>
          <w:rFonts w:cs="Times New Roman"/>
          <w:lang w:val="fr-CA"/>
        </w:rPr>
        <w:t>’</w:t>
      </w:r>
      <w:r w:rsidRPr="00AF17C2">
        <w:rPr>
          <w:rFonts w:cs="Times New Roman"/>
          <w:lang w:val="fr-CA"/>
        </w:rPr>
        <w:t xml:space="preserve">arrêt </w:t>
      </w:r>
      <w:r w:rsidRPr="00AF17C2">
        <w:rPr>
          <w:rFonts w:cs="Times New Roman"/>
          <w:i/>
          <w:lang w:val="fr-CA"/>
        </w:rPr>
        <w:t xml:space="preserve">Delisle </w:t>
      </w:r>
      <w:r w:rsidRPr="00AF17C2">
        <w:rPr>
          <w:rFonts w:cs="Times New Roman"/>
          <w:lang w:val="fr-CA"/>
        </w:rPr>
        <w:t>rendu en 1999, que l</w:t>
      </w:r>
      <w:r>
        <w:rPr>
          <w:rFonts w:cs="Times New Roman"/>
          <w:lang w:val="fr-CA"/>
        </w:rPr>
        <w:t>’</w:t>
      </w:r>
      <w:r w:rsidRPr="00AF17C2">
        <w:rPr>
          <w:rFonts w:cs="Times New Roman"/>
          <w:lang w:val="fr-CA"/>
        </w:rPr>
        <w:t>exclusion des membres de la GRC de l</w:t>
      </w:r>
      <w:r>
        <w:rPr>
          <w:rFonts w:cs="Times New Roman"/>
          <w:lang w:val="fr-CA"/>
        </w:rPr>
        <w:t>’</w:t>
      </w:r>
      <w:r w:rsidRPr="00AF17C2">
        <w:rPr>
          <w:rFonts w:cs="Times New Roman"/>
          <w:lang w:val="fr-CA"/>
        </w:rPr>
        <w:t xml:space="preserve">application de la première </w:t>
      </w:r>
      <w:r w:rsidRPr="00AF17C2">
        <w:rPr>
          <w:rFonts w:cs="Times New Roman"/>
          <w:i/>
          <w:lang w:val="fr-CA"/>
        </w:rPr>
        <w:t>LRTFP</w:t>
      </w:r>
      <w:r w:rsidRPr="00AF17C2">
        <w:rPr>
          <w:rFonts w:cs="Times New Roman"/>
          <w:lang w:val="fr-CA"/>
        </w:rPr>
        <w:t xml:space="preserve"> ne portait pas atteinte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r w:rsidRPr="0008432B">
        <w:rPr>
          <w:rFonts w:cs="Times New Roman"/>
          <w:lang w:val="fr-CA"/>
        </w:rPr>
        <w:t>.</w:t>
      </w:r>
    </w:p>
    <w:p w:rsidR="007B74A6" w:rsidRPr="00AF17C2" w:rsidRDefault="007B74A6" w:rsidP="00795B2B">
      <w:pPr>
        <w:pStyle w:val="ParaNoNdepar-AltN"/>
        <w:rPr>
          <w:rFonts w:cs="Times New Roman"/>
          <w:lang w:val="fr-CA"/>
        </w:rPr>
      </w:pPr>
      <w:r w:rsidRPr="00AF17C2">
        <w:rPr>
          <w:rFonts w:cs="Times New Roman"/>
          <w:lang w:val="fr-CA"/>
        </w:rPr>
        <w:t xml:space="preserve">Parallèlement aux affaires mentionnées précédemment, la Cour a examiné </w:t>
      </w:r>
      <w:r w:rsidR="00795B2B">
        <w:rPr>
          <w:rFonts w:cs="Times New Roman"/>
          <w:lang w:val="fr-CA"/>
        </w:rPr>
        <w:t>« </w:t>
      </w:r>
      <w:r w:rsidRPr="00AF17C2">
        <w:rPr>
          <w:rFonts w:cs="Times New Roman"/>
          <w:lang w:val="fr-CA"/>
        </w:rPr>
        <w:t>l</w:t>
      </w:r>
      <w:r>
        <w:rPr>
          <w:rFonts w:cs="Times New Roman"/>
          <w:lang w:val="fr-CA"/>
        </w:rPr>
        <w:t>’</w:t>
      </w:r>
      <w:r w:rsidRPr="00AF17C2">
        <w:rPr>
          <w:rFonts w:cs="Times New Roman"/>
          <w:lang w:val="fr-CA"/>
        </w:rPr>
        <w:t>envers</w:t>
      </w:r>
      <w:r w:rsidR="00795B2B">
        <w:rPr>
          <w:rFonts w:cs="Times New Roman"/>
          <w:lang w:val="fr-CA"/>
        </w:rPr>
        <w:t> »</w:t>
      </w:r>
      <w:r w:rsidRPr="00AF17C2">
        <w:rPr>
          <w:rFonts w:cs="Times New Roman"/>
          <w:lang w:val="fr-CA"/>
        </w:rPr>
        <w:t xml:space="preserve"> de la liberté d</w:t>
      </w:r>
      <w:r>
        <w:rPr>
          <w:rFonts w:cs="Times New Roman"/>
          <w:lang w:val="fr-CA"/>
        </w:rPr>
        <w:t>’</w:t>
      </w:r>
      <w:r w:rsidRPr="00AF17C2">
        <w:rPr>
          <w:rFonts w:cs="Times New Roman"/>
          <w:lang w:val="fr-CA"/>
        </w:rPr>
        <w:t>association, soit celle de ne pas s</w:t>
      </w:r>
      <w:r>
        <w:rPr>
          <w:rFonts w:cs="Times New Roman"/>
          <w:lang w:val="fr-CA"/>
        </w:rPr>
        <w:t>’</w:t>
      </w:r>
      <w:r w:rsidRPr="00AF17C2">
        <w:rPr>
          <w:rFonts w:cs="Times New Roman"/>
          <w:lang w:val="fr-CA"/>
        </w:rPr>
        <w:t>associer</w:t>
      </w:r>
      <w:r w:rsidR="00795B2B">
        <w:rPr>
          <w:rFonts w:cs="Times New Roman"/>
          <w:lang w:val="fr-CA"/>
        </w:rPr>
        <w:t> :</w:t>
      </w:r>
      <w:r w:rsidRPr="00AF17C2">
        <w:rPr>
          <w:rFonts w:cs="Times New Roman"/>
          <w:lang w:val="fr-CA"/>
        </w:rPr>
        <w:t xml:space="preserve"> </w:t>
      </w:r>
      <w:r w:rsidRPr="00AF17C2">
        <w:rPr>
          <w:rFonts w:cs="Times New Roman"/>
          <w:i/>
          <w:lang w:val="fr-CA"/>
        </w:rPr>
        <w:t>Lavigne c. Syndicat des employés de la fonction publique de l</w:t>
      </w:r>
      <w:r>
        <w:rPr>
          <w:rFonts w:cs="Times New Roman"/>
          <w:i/>
          <w:lang w:val="fr-CA"/>
        </w:rPr>
        <w:t>’</w:t>
      </w:r>
      <w:r w:rsidRPr="00AF17C2">
        <w:rPr>
          <w:rFonts w:cs="Times New Roman"/>
          <w:i/>
          <w:lang w:val="fr-CA"/>
        </w:rPr>
        <w:t>Ontario</w:t>
      </w:r>
      <w:r w:rsidRPr="00AF17C2">
        <w:rPr>
          <w:rFonts w:cs="Times New Roman"/>
          <w:lang w:val="fr-CA"/>
        </w:rPr>
        <w:t>, [1991] 2 R.C.S.</w:t>
      </w:r>
      <w:r w:rsidR="00795B2B">
        <w:rPr>
          <w:rFonts w:cs="Times New Roman"/>
          <w:lang w:val="fr-CA"/>
        </w:rPr>
        <w:t xml:space="preserve"> </w:t>
      </w:r>
      <w:r w:rsidRPr="00AF17C2">
        <w:rPr>
          <w:rFonts w:cs="Times New Roman"/>
          <w:lang w:val="fr-CA"/>
        </w:rPr>
        <w:t xml:space="preserve">211; </w:t>
      </w:r>
      <w:r w:rsidRPr="00AF17C2">
        <w:rPr>
          <w:rFonts w:cs="Times New Roman"/>
          <w:i/>
          <w:lang w:val="fr-CA"/>
        </w:rPr>
        <w:t xml:space="preserve">R. c. </w:t>
      </w:r>
      <w:proofErr w:type="spellStart"/>
      <w:r w:rsidRPr="00AF17C2">
        <w:rPr>
          <w:rFonts w:cs="Times New Roman"/>
          <w:i/>
          <w:lang w:val="fr-CA"/>
        </w:rPr>
        <w:t>Advance</w:t>
      </w:r>
      <w:proofErr w:type="spellEnd"/>
      <w:r w:rsidRPr="00AF17C2">
        <w:rPr>
          <w:rFonts w:cs="Times New Roman"/>
          <w:i/>
          <w:lang w:val="fr-CA"/>
        </w:rPr>
        <w:t xml:space="preserve"> </w:t>
      </w:r>
      <w:proofErr w:type="spellStart"/>
      <w:r w:rsidRPr="00AF17C2">
        <w:rPr>
          <w:rFonts w:cs="Times New Roman"/>
          <w:i/>
          <w:lang w:val="fr-CA"/>
        </w:rPr>
        <w:t>Cutting</w:t>
      </w:r>
      <w:proofErr w:type="spellEnd"/>
      <w:r w:rsidRPr="00AF17C2">
        <w:rPr>
          <w:rFonts w:cs="Times New Roman"/>
          <w:i/>
          <w:lang w:val="fr-CA"/>
        </w:rPr>
        <w:t xml:space="preserve"> &amp; </w:t>
      </w:r>
      <w:proofErr w:type="spellStart"/>
      <w:r w:rsidRPr="00AF17C2">
        <w:rPr>
          <w:rFonts w:cs="Times New Roman"/>
          <w:i/>
          <w:lang w:val="fr-CA"/>
        </w:rPr>
        <w:t>Coring</w:t>
      </w:r>
      <w:proofErr w:type="spellEnd"/>
      <w:r w:rsidRPr="00AF17C2">
        <w:rPr>
          <w:rFonts w:cs="Times New Roman"/>
          <w:i/>
          <w:lang w:val="fr-CA"/>
        </w:rPr>
        <w:t xml:space="preserve"> Ltd</w:t>
      </w:r>
      <w:r w:rsidRPr="0008432B">
        <w:rPr>
          <w:rFonts w:cs="Times New Roman"/>
          <w:i/>
          <w:lang w:val="fr-CA"/>
        </w:rPr>
        <w:t>.</w:t>
      </w:r>
      <w:r w:rsidRPr="00AF17C2">
        <w:rPr>
          <w:rFonts w:cs="Times New Roman"/>
          <w:lang w:val="fr-CA"/>
        </w:rPr>
        <w:t>, 2001 CSC 70, [2001] 3 R.C.S.</w:t>
      </w:r>
      <w:r w:rsidR="00795B2B">
        <w:rPr>
          <w:rFonts w:cs="Times New Roman"/>
          <w:lang w:val="fr-CA"/>
        </w:rPr>
        <w:t xml:space="preserve"> </w:t>
      </w:r>
      <w:r w:rsidRPr="00AF17C2">
        <w:rPr>
          <w:rFonts w:cs="Times New Roman"/>
          <w:lang w:val="fr-CA"/>
        </w:rPr>
        <w:t xml:space="preserve">209; confirmé par </w:t>
      </w:r>
      <w:r w:rsidRPr="00AF17C2">
        <w:rPr>
          <w:rFonts w:cs="Times New Roman"/>
          <w:i/>
          <w:lang w:val="fr-CA"/>
        </w:rPr>
        <w:t>Bernard c. Canada (Procureur général)</w:t>
      </w:r>
      <w:r w:rsidRPr="00AF17C2">
        <w:rPr>
          <w:rFonts w:cs="Times New Roman"/>
          <w:lang w:val="fr-CA"/>
        </w:rPr>
        <w:t>, 2014 CSC 13, [2014] 1 R.C.S.</w:t>
      </w:r>
      <w:r w:rsidR="00795B2B">
        <w:rPr>
          <w:rFonts w:cs="Times New Roman"/>
          <w:lang w:val="fr-CA"/>
        </w:rPr>
        <w:t xml:space="preserve"> </w:t>
      </w:r>
      <w:r w:rsidRPr="00AF17C2">
        <w:rPr>
          <w:rFonts w:cs="Times New Roman"/>
          <w:lang w:val="fr-CA"/>
        </w:rPr>
        <w:t xml:space="preserve">227. Or, les arrêts </w:t>
      </w:r>
      <w:r w:rsidRPr="00AF17C2">
        <w:rPr>
          <w:rFonts w:cs="Times New Roman"/>
          <w:i/>
          <w:lang w:val="fr-CA"/>
        </w:rPr>
        <w:t>Lavigne</w:t>
      </w:r>
      <w:r w:rsidRPr="00AF17C2">
        <w:rPr>
          <w:rFonts w:cs="Times New Roman"/>
          <w:lang w:val="fr-CA"/>
        </w:rPr>
        <w:t xml:space="preserve"> et </w:t>
      </w:r>
      <w:proofErr w:type="spellStart"/>
      <w:r w:rsidRPr="00AF17C2">
        <w:rPr>
          <w:rFonts w:cs="Times New Roman"/>
          <w:i/>
          <w:lang w:val="fr-CA"/>
        </w:rPr>
        <w:t>Advance</w:t>
      </w:r>
      <w:proofErr w:type="spellEnd"/>
      <w:r w:rsidRPr="00AF17C2">
        <w:rPr>
          <w:rFonts w:cs="Times New Roman"/>
          <w:i/>
          <w:lang w:val="fr-CA"/>
        </w:rPr>
        <w:t xml:space="preserve"> </w:t>
      </w:r>
      <w:proofErr w:type="spellStart"/>
      <w:r w:rsidRPr="00AF17C2">
        <w:rPr>
          <w:rFonts w:cs="Times New Roman"/>
          <w:i/>
          <w:lang w:val="fr-CA"/>
        </w:rPr>
        <w:t>Cutting</w:t>
      </w:r>
      <w:proofErr w:type="spellEnd"/>
      <w:r w:rsidRPr="00AF17C2">
        <w:rPr>
          <w:rFonts w:cs="Times New Roman"/>
          <w:lang w:val="fr-CA"/>
        </w:rPr>
        <w:t xml:space="preserve"> sont importants parce qu</w:t>
      </w:r>
      <w:r>
        <w:rPr>
          <w:rFonts w:cs="Times New Roman"/>
          <w:lang w:val="fr-CA"/>
        </w:rPr>
        <w:t>’</w:t>
      </w:r>
      <w:r w:rsidRPr="00AF17C2">
        <w:rPr>
          <w:rFonts w:cs="Times New Roman"/>
          <w:lang w:val="fr-CA"/>
        </w:rPr>
        <w:t>ils ont appliqué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w:t>
      </w:r>
      <w:r w:rsidRPr="00AF17C2">
        <w:rPr>
          <w:rFonts w:cs="Times New Roman"/>
          <w:lang w:val="fr-CA"/>
        </w:rPr>
        <w:lastRenderedPageBreak/>
        <w:t>l</w:t>
      </w:r>
      <w:r>
        <w:rPr>
          <w:rFonts w:cs="Times New Roman"/>
          <w:lang w:val="fr-CA"/>
        </w:rPr>
        <w:t>’</w:t>
      </w:r>
      <w:r w:rsidRPr="00AF17C2">
        <w:rPr>
          <w:rFonts w:cs="Times New Roman"/>
          <w:lang w:val="fr-CA"/>
        </w:rPr>
        <w:t xml:space="preserve">interprétation téléologique. Dans </w:t>
      </w:r>
      <w:r w:rsidRPr="00AF17C2">
        <w:rPr>
          <w:rFonts w:cs="Times New Roman"/>
          <w:i/>
          <w:lang w:val="fr-CA"/>
        </w:rPr>
        <w:t>Lavigne</w:t>
      </w:r>
      <w:r w:rsidRPr="00AF17C2">
        <w:rPr>
          <w:rFonts w:cs="Times New Roman"/>
          <w:lang w:val="fr-CA"/>
        </w:rPr>
        <w:t>, le juge La</w:t>
      </w:r>
      <w:r w:rsidR="00795B2B">
        <w:rPr>
          <w:rFonts w:cs="Times New Roman"/>
          <w:lang w:val="fr-CA"/>
        </w:rPr>
        <w:t xml:space="preserve"> </w:t>
      </w:r>
      <w:r w:rsidRPr="00AF17C2">
        <w:rPr>
          <w:rFonts w:cs="Times New Roman"/>
          <w:lang w:val="fr-CA"/>
        </w:rPr>
        <w:t>Forest a suggéré que, conformément aux idéaux démocratiques, la garantie de la liberté d</w:t>
      </w:r>
      <w:r>
        <w:rPr>
          <w:rFonts w:cs="Times New Roman"/>
          <w:lang w:val="fr-CA"/>
        </w:rPr>
        <w:t>’</w:t>
      </w:r>
      <w:r w:rsidRPr="00AF17C2">
        <w:rPr>
          <w:rFonts w:cs="Times New Roman"/>
          <w:lang w:val="fr-CA"/>
        </w:rPr>
        <w:t xml:space="preserve">association devrait être interprétée de manière à protéger </w:t>
      </w:r>
      <w:r w:rsidR="00795B2B">
        <w:rPr>
          <w:rFonts w:cs="Times New Roman"/>
          <w:lang w:val="fr-CA"/>
        </w:rPr>
        <w:t>« </w:t>
      </w:r>
      <w:r w:rsidRPr="00AF17C2">
        <w:rPr>
          <w:rFonts w:cs="Times New Roman"/>
          <w:lang w:val="fr-CA"/>
        </w:rPr>
        <w:t>la possibilité pour l</w:t>
      </w:r>
      <w:r>
        <w:rPr>
          <w:rFonts w:cs="Times New Roman"/>
          <w:lang w:val="fr-CA"/>
        </w:rPr>
        <w:t>’</w:t>
      </w:r>
      <w:r w:rsidRPr="00AF17C2">
        <w:rPr>
          <w:rFonts w:cs="Times New Roman"/>
          <w:lang w:val="fr-CA"/>
        </w:rPr>
        <w:t>individu de réaliser son épanouissement et son accomplissement personnels aussi sûrement que l</w:t>
      </w:r>
      <w:r>
        <w:rPr>
          <w:rFonts w:cs="Times New Roman"/>
          <w:lang w:val="fr-CA"/>
        </w:rPr>
        <w:t>’</w:t>
      </w:r>
      <w:r w:rsidRPr="00AF17C2">
        <w:rPr>
          <w:rFonts w:cs="Times New Roman"/>
          <w:lang w:val="fr-CA"/>
        </w:rPr>
        <w:t>association volontaire la développera</w:t>
      </w:r>
      <w:r w:rsidR="00795B2B">
        <w:rPr>
          <w:rFonts w:cs="Times New Roman"/>
          <w:lang w:val="fr-CA"/>
        </w:rPr>
        <w:t> »</w:t>
      </w:r>
      <w:r w:rsidRPr="00AF17C2">
        <w:rPr>
          <w:rFonts w:cs="Times New Roman"/>
          <w:lang w:val="fr-CA"/>
        </w:rPr>
        <w:t xml:space="preserve"> (p.</w:t>
      </w:r>
      <w:r w:rsidR="00795B2B">
        <w:rPr>
          <w:rFonts w:cs="Times New Roman"/>
          <w:lang w:val="fr-CA"/>
        </w:rPr>
        <w:t xml:space="preserve"> </w:t>
      </w:r>
      <w:r w:rsidRPr="00AF17C2">
        <w:rPr>
          <w:rFonts w:cs="Times New Roman"/>
          <w:lang w:val="fr-CA"/>
        </w:rPr>
        <w:t xml:space="preserve">318). (Voir aussi </w:t>
      </w:r>
      <w:r w:rsidRPr="00AF17C2">
        <w:rPr>
          <w:rFonts w:cs="Times New Roman"/>
          <w:i/>
          <w:lang w:val="fr-CA"/>
        </w:rPr>
        <w:t>Lavigne</w:t>
      </w:r>
      <w:r w:rsidRPr="00AF17C2">
        <w:rPr>
          <w:rFonts w:cs="Times New Roman"/>
          <w:lang w:val="fr-CA"/>
        </w:rPr>
        <w:t>,</w:t>
      </w:r>
      <w:r w:rsidRPr="00AF17C2">
        <w:rPr>
          <w:rFonts w:cs="Times New Roman"/>
          <w:i/>
          <w:lang w:val="fr-CA"/>
        </w:rPr>
        <w:t xml:space="preserve"> </w:t>
      </w:r>
      <w:r w:rsidRPr="00AF17C2">
        <w:rPr>
          <w:rFonts w:cs="Times New Roman"/>
          <w:lang w:val="fr-CA"/>
        </w:rPr>
        <w:t>p.</w:t>
      </w:r>
      <w:r w:rsidR="00795B2B">
        <w:rPr>
          <w:rFonts w:cs="Times New Roman"/>
          <w:lang w:val="fr-CA"/>
        </w:rPr>
        <w:t xml:space="preserve"> </w:t>
      </w:r>
      <w:r w:rsidRPr="00AF17C2">
        <w:rPr>
          <w:rFonts w:cs="Times New Roman"/>
          <w:lang w:val="fr-CA"/>
        </w:rPr>
        <w:t xml:space="preserve">344, la juge </w:t>
      </w:r>
      <w:proofErr w:type="spellStart"/>
      <w:r w:rsidRPr="00AF17C2">
        <w:rPr>
          <w:rFonts w:cs="Times New Roman"/>
          <w:lang w:val="fr-CA"/>
        </w:rPr>
        <w:t>McLachlin</w:t>
      </w:r>
      <w:proofErr w:type="spellEnd"/>
      <w:r w:rsidRPr="00AF17C2">
        <w:rPr>
          <w:rFonts w:cs="Times New Roman"/>
          <w:lang w:val="fr-CA"/>
        </w:rPr>
        <w:t xml:space="preserve">; et </w:t>
      </w:r>
      <w:proofErr w:type="spellStart"/>
      <w:r w:rsidRPr="00AF17C2">
        <w:rPr>
          <w:rFonts w:cs="Times New Roman"/>
          <w:i/>
          <w:lang w:val="fr-CA"/>
        </w:rPr>
        <w:t>Advance</w:t>
      </w:r>
      <w:proofErr w:type="spellEnd"/>
      <w:r w:rsidRPr="00AF17C2">
        <w:rPr>
          <w:rFonts w:cs="Times New Roman"/>
          <w:i/>
          <w:lang w:val="fr-CA"/>
        </w:rPr>
        <w:t xml:space="preserve"> </w:t>
      </w:r>
      <w:proofErr w:type="spellStart"/>
      <w:r w:rsidRPr="00AF17C2">
        <w:rPr>
          <w:rFonts w:cs="Times New Roman"/>
          <w:i/>
          <w:lang w:val="fr-CA"/>
        </w:rPr>
        <w:t>Cutting</w:t>
      </w:r>
      <w:proofErr w:type="spellEnd"/>
      <w:r w:rsidRPr="00AF17C2">
        <w:rPr>
          <w:rFonts w:cs="Times New Roman"/>
          <w:lang w:val="fr-CA"/>
        </w:rPr>
        <w:t>,</w:t>
      </w:r>
      <w:r w:rsidRPr="00AF17C2">
        <w:rPr>
          <w:rFonts w:cs="Times New Roman"/>
          <w:i/>
          <w:lang w:val="fr-CA"/>
        </w:rPr>
        <w:t xml:space="preserve"> </w:t>
      </w:r>
      <w:r w:rsidRPr="00AF17C2">
        <w:rPr>
          <w:rFonts w:cs="Times New Roman"/>
          <w:lang w:val="fr-CA"/>
        </w:rPr>
        <w:t>par.</w:t>
      </w:r>
      <w:r w:rsidR="00795B2B">
        <w:rPr>
          <w:rFonts w:cs="Times New Roman"/>
          <w:lang w:val="fr-CA"/>
        </w:rPr>
        <w:t xml:space="preserve"> </w:t>
      </w:r>
      <w:r w:rsidRPr="00AF17C2">
        <w:rPr>
          <w:rFonts w:cs="Times New Roman"/>
          <w:lang w:val="fr-CA"/>
        </w:rPr>
        <w:t>15</w:t>
      </w:r>
      <w:r w:rsidR="00795B2B">
        <w:rPr>
          <w:rFonts w:cs="Times New Roman"/>
          <w:lang w:val="fr-CA"/>
        </w:rPr>
        <w:t>-</w:t>
      </w:r>
      <w:r w:rsidRPr="00AF17C2">
        <w:rPr>
          <w:rFonts w:cs="Times New Roman"/>
          <w:lang w:val="fr-CA"/>
        </w:rPr>
        <w:t xml:space="preserve">17, le juge </w:t>
      </w:r>
      <w:proofErr w:type="spellStart"/>
      <w:r w:rsidRPr="00AF17C2">
        <w:rPr>
          <w:rFonts w:cs="Times New Roman"/>
          <w:lang w:val="fr-CA"/>
        </w:rPr>
        <w:t>Bastarache</w:t>
      </w:r>
      <w:proofErr w:type="spellEnd"/>
      <w:r w:rsidRPr="00AF17C2">
        <w:rPr>
          <w:rFonts w:cs="Times New Roman"/>
          <w:lang w:val="fr-CA"/>
        </w:rPr>
        <w:t>, et par.</w:t>
      </w:r>
      <w:r w:rsidR="00795B2B">
        <w:rPr>
          <w:rFonts w:cs="Times New Roman"/>
          <w:lang w:val="fr-CA"/>
        </w:rPr>
        <w:t xml:space="preserve"> </w:t>
      </w:r>
      <w:r w:rsidRPr="00AF17C2">
        <w:rPr>
          <w:rFonts w:cs="Times New Roman"/>
          <w:lang w:val="fr-CA"/>
        </w:rPr>
        <w:t>170</w:t>
      </w:r>
      <w:r w:rsidR="00795B2B">
        <w:rPr>
          <w:rFonts w:cs="Times New Roman"/>
          <w:lang w:val="fr-CA"/>
        </w:rPr>
        <w:t>-</w:t>
      </w:r>
      <w:r w:rsidRPr="00AF17C2">
        <w:rPr>
          <w:rFonts w:cs="Times New Roman"/>
          <w:lang w:val="fr-CA"/>
        </w:rPr>
        <w:t xml:space="preserve">171, le juge </w:t>
      </w:r>
      <w:proofErr w:type="spellStart"/>
      <w:r w:rsidRPr="00AF17C2">
        <w:rPr>
          <w:rFonts w:cs="Times New Roman"/>
          <w:lang w:val="fr-CA"/>
        </w:rPr>
        <w:t>LeBel</w:t>
      </w:r>
      <w:proofErr w:type="spellEnd"/>
      <w:r w:rsidR="0008432B">
        <w:rPr>
          <w:rFonts w:cs="Times New Roman"/>
          <w:lang w:val="fr-CA"/>
        </w:rPr>
        <w:t>.</w:t>
      </w:r>
      <w:r w:rsidRPr="00AF17C2">
        <w:rPr>
          <w:rFonts w:cs="Times New Roman"/>
          <w:lang w:val="fr-CA"/>
        </w:rPr>
        <w:t>) Les deux arrêts ont souligné l</w:t>
      </w:r>
      <w:r>
        <w:rPr>
          <w:rFonts w:cs="Times New Roman"/>
          <w:lang w:val="fr-CA"/>
        </w:rPr>
        <w:t>’</w:t>
      </w:r>
      <w:r w:rsidRPr="00AF17C2">
        <w:rPr>
          <w:rFonts w:cs="Times New Roman"/>
          <w:lang w:val="fr-CA"/>
        </w:rPr>
        <w:t>importance de donner une interprétation téléologique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w:t>
      </w:r>
    </w:p>
    <w:p w:rsidR="007B74A6" w:rsidRPr="00AF17C2" w:rsidRDefault="007B74A6" w:rsidP="00795B2B">
      <w:pPr>
        <w:pStyle w:val="ParaNoNdepar-AltN"/>
        <w:rPr>
          <w:rFonts w:cs="Times New Roman"/>
          <w:lang w:val="fr-CA"/>
        </w:rPr>
      </w:pPr>
      <w:r w:rsidRPr="00AF17C2">
        <w:rPr>
          <w:rFonts w:cs="Times New Roman"/>
          <w:lang w:val="fr-CA"/>
        </w:rPr>
        <w:t>Ces décisions ont marqué l</w:t>
      </w:r>
      <w:r>
        <w:rPr>
          <w:rFonts w:cs="Times New Roman"/>
          <w:lang w:val="fr-CA"/>
        </w:rPr>
        <w:t>’</w:t>
      </w:r>
      <w:r w:rsidRPr="00AF17C2">
        <w:rPr>
          <w:rFonts w:cs="Times New Roman"/>
          <w:lang w:val="fr-CA"/>
        </w:rPr>
        <w:t>amorce du virage de la Cour vers une interprétation plus généreuse et fondée sur l</w:t>
      </w:r>
      <w:r>
        <w:rPr>
          <w:rFonts w:cs="Times New Roman"/>
          <w:lang w:val="fr-CA"/>
        </w:rPr>
        <w:t>’</w:t>
      </w:r>
      <w:r w:rsidRPr="00AF17C2">
        <w:rPr>
          <w:rFonts w:cs="Times New Roman"/>
          <w:lang w:val="fr-CA"/>
        </w:rPr>
        <w:t>objet visé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interprétation confirmée de manière catégorique dans l</w:t>
      </w:r>
      <w:r>
        <w:rPr>
          <w:rFonts w:cs="Times New Roman"/>
          <w:lang w:val="fr-CA"/>
        </w:rPr>
        <w:t>’</w:t>
      </w:r>
      <w:r w:rsidRPr="00AF17C2">
        <w:rPr>
          <w:rFonts w:cs="Times New Roman"/>
          <w:lang w:val="fr-CA"/>
        </w:rPr>
        <w:t xml:space="preserve">arrêt </w:t>
      </w:r>
      <w:proofErr w:type="spellStart"/>
      <w:r w:rsidRPr="00AF17C2">
        <w:rPr>
          <w:rFonts w:cs="Times New Roman"/>
          <w:i/>
          <w:lang w:val="fr-CA"/>
        </w:rPr>
        <w:t>Dunmore</w:t>
      </w:r>
      <w:proofErr w:type="spellEnd"/>
      <w:r w:rsidRPr="00AF17C2">
        <w:rPr>
          <w:rFonts w:cs="Times New Roman"/>
          <w:i/>
          <w:lang w:val="fr-CA"/>
        </w:rPr>
        <w:t xml:space="preserve"> c. Ontario (Procureur général)</w:t>
      </w:r>
      <w:r w:rsidRPr="00AF17C2">
        <w:rPr>
          <w:rFonts w:cs="Times New Roman"/>
          <w:lang w:val="fr-CA"/>
        </w:rPr>
        <w:t>, 2001 CSC 94, [2001] 3 R.C.S.</w:t>
      </w:r>
      <w:r w:rsidR="00795B2B">
        <w:rPr>
          <w:rFonts w:cs="Times New Roman"/>
          <w:lang w:val="fr-CA"/>
        </w:rPr>
        <w:t xml:space="preserve"> </w:t>
      </w:r>
      <w:r w:rsidRPr="00AF17C2">
        <w:rPr>
          <w:rFonts w:cs="Times New Roman"/>
          <w:lang w:val="fr-CA"/>
        </w:rPr>
        <w:t xml:space="preserve">1016. Dans cette affaire, des travailleurs agricoles contestaient leur exclusion du régime de négociation collective créé par la </w:t>
      </w:r>
      <w:r w:rsidRPr="00AF17C2">
        <w:rPr>
          <w:rFonts w:cs="Times New Roman"/>
          <w:i/>
          <w:lang w:val="fr-CA"/>
        </w:rPr>
        <w:t>Loi de 1995 sur les relations de travail</w:t>
      </w:r>
      <w:r w:rsidR="00D444EC" w:rsidRPr="00D444EC">
        <w:rPr>
          <w:rFonts w:cs="Times New Roman"/>
          <w:lang w:val="fr-CA"/>
        </w:rPr>
        <w:t xml:space="preserve"> </w:t>
      </w:r>
      <w:r w:rsidR="00D444EC" w:rsidRPr="00AF17C2">
        <w:rPr>
          <w:rFonts w:cs="Times New Roman"/>
          <w:lang w:val="fr-CA"/>
        </w:rPr>
        <w:t>de l</w:t>
      </w:r>
      <w:r w:rsidR="00D444EC">
        <w:rPr>
          <w:rFonts w:cs="Times New Roman"/>
          <w:lang w:val="fr-CA"/>
        </w:rPr>
        <w:t>’</w:t>
      </w:r>
      <w:r w:rsidR="00D444EC" w:rsidRPr="00AF17C2">
        <w:rPr>
          <w:rFonts w:cs="Times New Roman"/>
          <w:lang w:val="fr-CA"/>
        </w:rPr>
        <w:t>Ontario</w:t>
      </w:r>
      <w:r w:rsidRPr="00AF17C2">
        <w:rPr>
          <w:rFonts w:cs="Times New Roman"/>
          <w:lang w:val="fr-CA"/>
        </w:rPr>
        <w:t>, L.O.</w:t>
      </w:r>
      <w:r w:rsidR="00795B2B">
        <w:rPr>
          <w:rFonts w:cs="Times New Roman"/>
          <w:lang w:val="fr-CA"/>
        </w:rPr>
        <w:t xml:space="preserve"> </w:t>
      </w:r>
      <w:r w:rsidRPr="00AF17C2">
        <w:rPr>
          <w:rFonts w:cs="Times New Roman"/>
          <w:lang w:val="fr-CA"/>
        </w:rPr>
        <w:t>1995, c.</w:t>
      </w:r>
      <w:r w:rsidR="00795B2B">
        <w:rPr>
          <w:rFonts w:cs="Times New Roman"/>
          <w:lang w:val="fr-CA"/>
        </w:rPr>
        <w:t xml:space="preserve"> </w:t>
      </w:r>
      <w:r w:rsidRPr="00AF17C2">
        <w:rPr>
          <w:rFonts w:cs="Times New Roman"/>
          <w:lang w:val="fr-CA"/>
        </w:rPr>
        <w:t xml:space="preserve">1, </w:t>
      </w:r>
      <w:proofErr w:type="spellStart"/>
      <w:r w:rsidRPr="00AF17C2">
        <w:rPr>
          <w:rFonts w:cs="Times New Roman"/>
          <w:lang w:val="fr-CA"/>
        </w:rPr>
        <w:t>ann</w:t>
      </w:r>
      <w:proofErr w:type="spellEnd"/>
      <w:r w:rsidRPr="00AF17C2">
        <w:rPr>
          <w:rFonts w:cs="Times New Roman"/>
          <w:lang w:val="fr-CA"/>
        </w:rPr>
        <w:t>.</w:t>
      </w:r>
      <w:r w:rsidR="00795B2B">
        <w:rPr>
          <w:rFonts w:cs="Times New Roman"/>
          <w:lang w:val="fr-CA"/>
        </w:rPr>
        <w:t xml:space="preserve"> </w:t>
      </w:r>
      <w:r w:rsidRPr="00AF17C2">
        <w:rPr>
          <w:rFonts w:cs="Times New Roman"/>
          <w:lang w:val="fr-CA"/>
        </w:rPr>
        <w:t xml:space="preserve">A. Au nom des juges majoritaires, le juge </w:t>
      </w:r>
      <w:proofErr w:type="spellStart"/>
      <w:r w:rsidRPr="00AF17C2">
        <w:rPr>
          <w:rFonts w:cs="Times New Roman"/>
          <w:lang w:val="fr-CA"/>
        </w:rPr>
        <w:t>Bastarache</w:t>
      </w:r>
      <w:proofErr w:type="spellEnd"/>
      <w:r w:rsidRPr="00AF17C2">
        <w:rPr>
          <w:rFonts w:cs="Times New Roman"/>
          <w:lang w:val="fr-CA"/>
        </w:rPr>
        <w:t xml:space="preserve"> a commencé son analyse par un examen de la jurisprudence et a conclu que les quatre principes énoncés par le juge </w:t>
      </w:r>
      <w:proofErr w:type="spellStart"/>
      <w:r w:rsidRPr="00AF17C2">
        <w:rPr>
          <w:rFonts w:cs="Times New Roman"/>
          <w:lang w:val="fr-CA"/>
        </w:rPr>
        <w:t>Sopinka</w:t>
      </w:r>
      <w:proofErr w:type="spellEnd"/>
      <w:r w:rsidRPr="00AF17C2">
        <w:rPr>
          <w:rFonts w:cs="Times New Roman"/>
          <w:lang w:val="fr-CA"/>
        </w:rPr>
        <w:t xml:space="preserve"> ne rendaient pas compte de toute la portée potentielle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Le juge </w:t>
      </w:r>
      <w:proofErr w:type="spellStart"/>
      <w:r w:rsidRPr="00AF17C2">
        <w:rPr>
          <w:rFonts w:cs="Times New Roman"/>
          <w:lang w:val="fr-CA"/>
        </w:rPr>
        <w:t>Bastarache</w:t>
      </w:r>
      <w:proofErr w:type="spellEnd"/>
      <w:r w:rsidRPr="00AF17C2">
        <w:rPr>
          <w:rFonts w:cs="Times New Roman"/>
          <w:lang w:val="fr-CA"/>
        </w:rPr>
        <w:t xml:space="preserve"> a écrit ces commentaires, au par.</w:t>
      </w:r>
      <w:r w:rsidR="00795B2B">
        <w:rPr>
          <w:rFonts w:cs="Times New Roman"/>
          <w:lang w:val="fr-CA"/>
        </w:rPr>
        <w:t xml:space="preserve"> </w:t>
      </w:r>
      <w:r w:rsidRPr="00AF17C2">
        <w:rPr>
          <w:rFonts w:cs="Times New Roman"/>
          <w:lang w:val="fr-CA"/>
        </w:rPr>
        <w:t>16</w:t>
      </w:r>
      <w:r w:rsidR="00795B2B">
        <w:rPr>
          <w:rFonts w:cs="Times New Roman"/>
          <w:lang w:val="fr-CA"/>
        </w:rPr>
        <w:t> :</w:t>
      </w:r>
    </w:p>
    <w:p w:rsidR="007B74A6" w:rsidRPr="00AF17C2" w:rsidRDefault="007B74A6" w:rsidP="00795B2B">
      <w:pPr>
        <w:pStyle w:val="Citation-AltC"/>
        <w:ind w:hanging="1166"/>
        <w:rPr>
          <w:lang w:val="fr-CA"/>
        </w:rPr>
      </w:pPr>
      <w:r w:rsidRPr="00AF17C2">
        <w:rPr>
          <w:lang w:val="fr-CA"/>
        </w:rPr>
        <w:tab/>
        <w:t>À mon avis, même si le critère à quatre volets applicable à la liberté d</w:t>
      </w:r>
      <w:r>
        <w:rPr>
          <w:lang w:val="fr-CA"/>
        </w:rPr>
        <w:t>’</w:t>
      </w:r>
      <w:r w:rsidRPr="00AF17C2">
        <w:rPr>
          <w:lang w:val="fr-CA"/>
        </w:rPr>
        <w:t>association clarifie cette notion, il ne rend pas compte de toute la gamme d</w:t>
      </w:r>
      <w:r>
        <w:rPr>
          <w:lang w:val="fr-CA"/>
        </w:rPr>
        <w:t>’</w:t>
      </w:r>
      <w:r w:rsidRPr="00AF17C2">
        <w:rPr>
          <w:lang w:val="fr-CA"/>
        </w:rPr>
        <w:t>activités protégées par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En particulier, il y a des cas où une activité n</w:t>
      </w:r>
      <w:r>
        <w:rPr>
          <w:lang w:val="fr-CA"/>
        </w:rPr>
        <w:t>’</w:t>
      </w:r>
      <w:r w:rsidRPr="00AF17C2">
        <w:rPr>
          <w:lang w:val="fr-CA"/>
        </w:rPr>
        <w:t xml:space="preserve">est pas visée par les troisième et quatrième règles énoncées par le juge </w:t>
      </w:r>
      <w:proofErr w:type="spellStart"/>
      <w:r w:rsidRPr="00AF17C2">
        <w:rPr>
          <w:lang w:val="fr-CA"/>
        </w:rPr>
        <w:t>Sopinka</w:t>
      </w:r>
      <w:proofErr w:type="spellEnd"/>
      <w:r w:rsidRPr="00AF17C2">
        <w:rPr>
          <w:lang w:val="fr-CA"/>
        </w:rPr>
        <w:t xml:space="preserve"> dans </w:t>
      </w:r>
      <w:r w:rsidRPr="00AF17C2">
        <w:rPr>
          <w:i/>
          <w:lang w:val="fr-CA"/>
        </w:rPr>
        <w:t>IPFPC</w:t>
      </w:r>
      <w:r w:rsidRPr="00AF17C2">
        <w:rPr>
          <w:lang w:val="fr-CA"/>
        </w:rPr>
        <w:t>, précité, mais où l</w:t>
      </w:r>
      <w:r>
        <w:rPr>
          <w:lang w:val="fr-CA"/>
        </w:rPr>
        <w:t>’</w:t>
      </w:r>
      <w:r w:rsidRPr="00AF17C2">
        <w:rPr>
          <w:lang w:val="fr-CA"/>
        </w:rPr>
        <w:t>État l</w:t>
      </w:r>
      <w:r>
        <w:rPr>
          <w:lang w:val="fr-CA"/>
        </w:rPr>
        <w:t>’</w:t>
      </w:r>
      <w:r w:rsidRPr="00AF17C2">
        <w:rPr>
          <w:lang w:val="fr-CA"/>
        </w:rPr>
        <w:t>interdit néanmoins en raison seulement de sa nature associative. Il s</w:t>
      </w:r>
      <w:r>
        <w:rPr>
          <w:lang w:val="fr-CA"/>
        </w:rPr>
        <w:t>’</w:t>
      </w:r>
      <w:r w:rsidRPr="00AF17C2">
        <w:rPr>
          <w:lang w:val="fr-CA"/>
        </w:rPr>
        <w:t>agit d</w:t>
      </w:r>
      <w:r>
        <w:rPr>
          <w:lang w:val="fr-CA"/>
        </w:rPr>
        <w:t>’</w:t>
      </w:r>
      <w:r w:rsidRPr="00AF17C2">
        <w:rPr>
          <w:lang w:val="fr-CA"/>
        </w:rPr>
        <w:t>activités (1)</w:t>
      </w:r>
      <w:r w:rsidR="00795B2B">
        <w:rPr>
          <w:lang w:val="fr-CA"/>
        </w:rPr>
        <w:t xml:space="preserve"> </w:t>
      </w:r>
      <w:r w:rsidRPr="00AF17C2">
        <w:rPr>
          <w:lang w:val="fr-CA"/>
        </w:rPr>
        <w:t>qui ne sont pas protégées par une autre liberté constitutionnelle, et (2)</w:t>
      </w:r>
      <w:r w:rsidR="00795B2B">
        <w:rPr>
          <w:lang w:val="fr-CA"/>
        </w:rPr>
        <w:t xml:space="preserve"> </w:t>
      </w:r>
      <w:r w:rsidRPr="00AF17C2">
        <w:rPr>
          <w:lang w:val="fr-CA"/>
        </w:rPr>
        <w:t>qui ne peuvent, pour une raison ou une autre, être considérées comme des activités licites d</w:t>
      </w:r>
      <w:r>
        <w:rPr>
          <w:lang w:val="fr-CA"/>
        </w:rPr>
        <w:t>’</w:t>
      </w:r>
      <w:r w:rsidRPr="00AF17C2">
        <w:rPr>
          <w:lang w:val="fr-CA"/>
        </w:rPr>
        <w:t>un individu.</w:t>
      </w:r>
    </w:p>
    <w:p w:rsidR="007B74A6" w:rsidRPr="00AF17C2" w:rsidRDefault="007B74A6" w:rsidP="00795B2B">
      <w:pPr>
        <w:pStyle w:val="ParaNoNdepar-AltN"/>
        <w:rPr>
          <w:rFonts w:cs="Times New Roman"/>
          <w:lang w:val="fr-CA"/>
        </w:rPr>
      </w:pPr>
      <w:r w:rsidRPr="00AF17C2">
        <w:rPr>
          <w:rFonts w:cs="Times New Roman"/>
          <w:lang w:val="fr-CA"/>
        </w:rPr>
        <w:lastRenderedPageBreak/>
        <w:t>En raison de l</w:t>
      </w:r>
      <w:r>
        <w:rPr>
          <w:rFonts w:cs="Times New Roman"/>
          <w:lang w:val="fr-CA"/>
        </w:rPr>
        <w:t>’</w:t>
      </w:r>
      <w:r w:rsidRPr="00AF17C2">
        <w:rPr>
          <w:rFonts w:cs="Times New Roman"/>
          <w:lang w:val="fr-CA"/>
        </w:rPr>
        <w:t>importance accrue qui avait été accordée à l</w:t>
      </w:r>
      <w:r>
        <w:rPr>
          <w:rFonts w:cs="Times New Roman"/>
          <w:lang w:val="fr-CA"/>
        </w:rPr>
        <w:t>’</w:t>
      </w:r>
      <w:r w:rsidRPr="00AF17C2">
        <w:rPr>
          <w:rFonts w:cs="Times New Roman"/>
          <w:lang w:val="fr-CA"/>
        </w:rPr>
        <w:t>aspect collectif de la liberté d</w:t>
      </w:r>
      <w:r>
        <w:rPr>
          <w:rFonts w:cs="Times New Roman"/>
          <w:lang w:val="fr-CA"/>
        </w:rPr>
        <w:t>’</w:t>
      </w:r>
      <w:r w:rsidRPr="00AF17C2">
        <w:rPr>
          <w:rFonts w:cs="Times New Roman"/>
          <w:lang w:val="fr-CA"/>
        </w:rPr>
        <w:t>association et à son interprétation téléologique, l</w:t>
      </w:r>
      <w:r>
        <w:rPr>
          <w:rFonts w:cs="Times New Roman"/>
          <w:lang w:val="fr-CA"/>
        </w:rPr>
        <w:t>’</w:t>
      </w:r>
      <w:r w:rsidRPr="00AF17C2">
        <w:rPr>
          <w:rFonts w:cs="Times New Roman"/>
          <w:lang w:val="fr-CA"/>
        </w:rPr>
        <w:t xml:space="preserve">arrêt </w:t>
      </w:r>
      <w:proofErr w:type="spellStart"/>
      <w:r w:rsidRPr="00AF17C2">
        <w:rPr>
          <w:rFonts w:cs="Times New Roman"/>
          <w:i/>
          <w:lang w:val="fr-CA"/>
        </w:rPr>
        <w:t>Health</w:t>
      </w:r>
      <w:proofErr w:type="spellEnd"/>
      <w:r w:rsidRPr="00AF17C2">
        <w:rPr>
          <w:rFonts w:cs="Times New Roman"/>
          <w:i/>
          <w:lang w:val="fr-CA"/>
        </w:rPr>
        <w:t xml:space="preserve"> </w:t>
      </w:r>
      <w:proofErr w:type="gramStart"/>
      <w:r w:rsidRPr="00AF17C2">
        <w:rPr>
          <w:rFonts w:cs="Times New Roman"/>
          <w:i/>
          <w:lang w:val="fr-CA"/>
        </w:rPr>
        <w:t xml:space="preserve">Services </w:t>
      </w:r>
      <w:r w:rsidRPr="00AF17C2">
        <w:rPr>
          <w:rFonts w:cs="Times New Roman"/>
          <w:lang w:val="fr-CA"/>
        </w:rPr>
        <w:t>a</w:t>
      </w:r>
      <w:proofErr w:type="gramEnd"/>
      <w:r w:rsidRPr="00AF17C2">
        <w:rPr>
          <w:rFonts w:cs="Times New Roman"/>
          <w:lang w:val="fr-CA"/>
        </w:rPr>
        <w:t xml:space="preserve"> expressément reconnu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garantit le droit de négocier collectivement. Les sept juges qui ont entendu ce pourvoi ont tous convenu que, selon une interprétation téléologique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le droit des employés de participer à un processus de négociation collective devait bénéficier d</w:t>
      </w:r>
      <w:r>
        <w:rPr>
          <w:rFonts w:cs="Times New Roman"/>
          <w:lang w:val="fr-CA"/>
        </w:rPr>
        <w:t>’</w:t>
      </w:r>
      <w:r w:rsidRPr="00AF17C2">
        <w:rPr>
          <w:rFonts w:cs="Times New Roman"/>
          <w:lang w:val="fr-CA"/>
        </w:rPr>
        <w:t>une protection constitutionnelle</w:t>
      </w:r>
      <w:r w:rsidR="00795B2B">
        <w:rPr>
          <w:rFonts w:cs="Times New Roman"/>
          <w:lang w:val="fr-CA"/>
        </w:rPr>
        <w:t> :</w:t>
      </w:r>
    </w:p>
    <w:p w:rsidR="007B74A6" w:rsidRPr="00AF17C2" w:rsidRDefault="0008432B" w:rsidP="00795B2B">
      <w:pPr>
        <w:pStyle w:val="Citation-AltC"/>
        <w:spacing w:after="240"/>
        <w:ind w:hanging="1166"/>
        <w:contextualSpacing w:val="0"/>
        <w:rPr>
          <w:lang w:val="fr-CA"/>
        </w:rPr>
      </w:pPr>
      <w:r>
        <w:rPr>
          <w:lang w:val="fr-CA"/>
        </w:rPr>
        <w:tab/>
      </w:r>
      <w:r w:rsidR="007B74A6" w:rsidRPr="00AF17C2">
        <w:rPr>
          <w:lang w:val="fr-CA"/>
        </w:rPr>
        <w:t xml:space="preserve">Selon les principes élaborés dans </w:t>
      </w:r>
      <w:proofErr w:type="spellStart"/>
      <w:r w:rsidR="007B74A6" w:rsidRPr="00AF17C2">
        <w:rPr>
          <w:i/>
          <w:lang w:val="fr-CA"/>
        </w:rPr>
        <w:t>Dunmore</w:t>
      </w:r>
      <w:proofErr w:type="spellEnd"/>
      <w:r w:rsidR="007B74A6" w:rsidRPr="00AF17C2">
        <w:rPr>
          <w:lang w:val="fr-CA"/>
        </w:rPr>
        <w:t xml:space="preserve"> et dans cette perspective historique et internationale, le droit constitutionnel de négocier collectivement vise à protéger la capacité des travailleurs de participer à des activités associatives et leur capacité d</w:t>
      </w:r>
      <w:r w:rsidR="007B74A6">
        <w:rPr>
          <w:lang w:val="fr-CA"/>
        </w:rPr>
        <w:t>’</w:t>
      </w:r>
      <w:r w:rsidR="007B74A6" w:rsidRPr="00AF17C2">
        <w:rPr>
          <w:lang w:val="fr-CA"/>
        </w:rPr>
        <w:t xml:space="preserve">agir collectivement pour réaliser des objectifs communs concernant des questions liées au milieu </w:t>
      </w:r>
      <w:r>
        <w:rPr>
          <w:lang w:val="fr-CA"/>
        </w:rPr>
        <w:t xml:space="preserve">de </w:t>
      </w:r>
      <w:r w:rsidR="007B74A6" w:rsidRPr="00AF17C2">
        <w:rPr>
          <w:lang w:val="fr-CA"/>
        </w:rPr>
        <w:t xml:space="preserve">travail et leurs conditions de travail. </w:t>
      </w:r>
    </w:p>
    <w:p w:rsidR="007B74A6" w:rsidRPr="00AF17C2" w:rsidRDefault="007B74A6" w:rsidP="0008432B">
      <w:pPr>
        <w:pStyle w:val="Citation-AltC"/>
        <w:ind w:left="0"/>
        <w:rPr>
          <w:lang w:val="fr-CA"/>
        </w:rPr>
      </w:pPr>
      <w:r w:rsidRPr="00AF17C2">
        <w:rPr>
          <w:lang w:val="fr-CA"/>
        </w:rPr>
        <w:t>(Par.</w:t>
      </w:r>
      <w:r w:rsidR="00795B2B">
        <w:rPr>
          <w:lang w:val="fr-CA"/>
        </w:rPr>
        <w:t xml:space="preserve"> </w:t>
      </w:r>
      <w:r w:rsidRPr="00AF17C2">
        <w:rPr>
          <w:lang w:val="fr-CA"/>
        </w:rPr>
        <w:t xml:space="preserve">89, la juge en chef </w:t>
      </w:r>
      <w:proofErr w:type="spellStart"/>
      <w:r w:rsidRPr="00AF17C2">
        <w:rPr>
          <w:lang w:val="fr-CA"/>
        </w:rPr>
        <w:t>McLachlin</w:t>
      </w:r>
      <w:proofErr w:type="spellEnd"/>
      <w:r w:rsidRPr="00AF17C2">
        <w:rPr>
          <w:lang w:val="fr-CA"/>
        </w:rPr>
        <w:t xml:space="preserve"> et le juge </w:t>
      </w:r>
      <w:proofErr w:type="spellStart"/>
      <w:r w:rsidRPr="00AF17C2">
        <w:rPr>
          <w:lang w:val="fr-CA"/>
        </w:rPr>
        <w:t>LeBel</w:t>
      </w:r>
      <w:proofErr w:type="spellEnd"/>
      <w:r w:rsidRPr="00AF17C2">
        <w:rPr>
          <w:lang w:val="fr-CA"/>
        </w:rPr>
        <w:t>; voir aussi le par.</w:t>
      </w:r>
      <w:r w:rsidR="00795B2B">
        <w:rPr>
          <w:lang w:val="fr-CA"/>
        </w:rPr>
        <w:t xml:space="preserve"> </w:t>
      </w:r>
      <w:r w:rsidRPr="00AF17C2">
        <w:rPr>
          <w:lang w:val="fr-CA"/>
        </w:rPr>
        <w:t>174, la juge</w:t>
      </w:r>
      <w:r w:rsidR="00795B2B">
        <w:rPr>
          <w:lang w:val="fr-CA"/>
        </w:rPr>
        <w:t xml:space="preserve"> </w:t>
      </w:r>
      <w:r w:rsidRPr="00AF17C2">
        <w:rPr>
          <w:lang w:val="fr-CA"/>
        </w:rPr>
        <w:t xml:space="preserve">Deschamps.) </w:t>
      </w:r>
    </w:p>
    <w:p w:rsidR="007B74A6" w:rsidRPr="00AF17C2" w:rsidRDefault="007B74A6" w:rsidP="00795B2B">
      <w:pPr>
        <w:pStyle w:val="ParaNoNdepar-AltN"/>
        <w:rPr>
          <w:rFonts w:cs="Times New Roman"/>
          <w:lang w:val="fr-CA"/>
        </w:rPr>
      </w:pPr>
      <w:r w:rsidRPr="00AF17C2">
        <w:rPr>
          <w:rFonts w:cs="Times New Roman"/>
          <w:lang w:val="fr-CA"/>
        </w:rPr>
        <w:t>Enfin, dans l</w:t>
      </w:r>
      <w:r>
        <w:rPr>
          <w:rFonts w:cs="Times New Roman"/>
          <w:lang w:val="fr-CA"/>
        </w:rPr>
        <w:t>’</w:t>
      </w:r>
      <w:r w:rsidRPr="00AF17C2">
        <w:rPr>
          <w:rFonts w:cs="Times New Roman"/>
          <w:lang w:val="fr-CA"/>
        </w:rPr>
        <w:t xml:space="preserve">arrêt </w:t>
      </w:r>
      <w:proofErr w:type="gramStart"/>
      <w:r w:rsidRPr="00AF17C2">
        <w:rPr>
          <w:rFonts w:cs="Times New Roman"/>
          <w:i/>
          <w:lang w:val="fr-CA"/>
        </w:rPr>
        <w:t>Fraser</w:t>
      </w:r>
      <w:r w:rsidRPr="00AF17C2">
        <w:rPr>
          <w:rFonts w:cs="Times New Roman"/>
          <w:lang w:val="fr-CA"/>
        </w:rPr>
        <w:t>, la Cour a</w:t>
      </w:r>
      <w:proofErr w:type="gramEnd"/>
      <w:r w:rsidRPr="00AF17C2">
        <w:rPr>
          <w:rFonts w:cs="Times New Roman"/>
          <w:lang w:val="fr-CA"/>
        </w:rPr>
        <w:t xml:space="preserve"> réaffirmé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confère le droit de participer à un processus de négociation collective, c</w:t>
      </w:r>
      <w:r>
        <w:rPr>
          <w:rFonts w:cs="Times New Roman"/>
          <w:lang w:val="fr-CA"/>
        </w:rPr>
        <w:t>’</w:t>
      </w:r>
      <w:r w:rsidRPr="00AF17C2">
        <w:rPr>
          <w:rFonts w:cs="Times New Roman"/>
          <w:lang w:val="fr-CA"/>
        </w:rPr>
        <w:t>est</w:t>
      </w:r>
      <w:r w:rsidR="00795B2B">
        <w:rPr>
          <w:rFonts w:cs="Times New Roman"/>
          <w:lang w:val="fr-CA"/>
        </w:rPr>
        <w:t>-</w:t>
      </w:r>
      <w:r w:rsidRPr="00AF17C2">
        <w:rPr>
          <w:rFonts w:cs="Times New Roman"/>
          <w:lang w:val="fr-CA"/>
        </w:rPr>
        <w:t>à</w:t>
      </w:r>
      <w:r w:rsidR="00795B2B">
        <w:rPr>
          <w:rFonts w:cs="Times New Roman"/>
          <w:lang w:val="fr-CA"/>
        </w:rPr>
        <w:t>-</w:t>
      </w:r>
      <w:r w:rsidRPr="00AF17C2">
        <w:rPr>
          <w:rFonts w:cs="Times New Roman"/>
          <w:lang w:val="fr-CA"/>
        </w:rPr>
        <w:t>dire de former une association véritable en vue de réaliser des objectifs relatifs au travail. Ce droit à un processus véritable s</w:t>
      </w:r>
      <w:r>
        <w:rPr>
          <w:rFonts w:cs="Times New Roman"/>
          <w:lang w:val="fr-CA"/>
        </w:rPr>
        <w:t>’</w:t>
      </w:r>
      <w:r w:rsidRPr="00AF17C2">
        <w:rPr>
          <w:rFonts w:cs="Times New Roman"/>
          <w:lang w:val="fr-CA"/>
        </w:rPr>
        <w:t>entend des droits des employés de s</w:t>
      </w:r>
      <w:r>
        <w:rPr>
          <w:rFonts w:cs="Times New Roman"/>
          <w:lang w:val="fr-CA"/>
        </w:rPr>
        <w:t>’</w:t>
      </w:r>
      <w:r w:rsidRPr="00AF17C2">
        <w:rPr>
          <w:rFonts w:cs="Times New Roman"/>
          <w:lang w:val="fr-CA"/>
        </w:rPr>
        <w:t>associer, de formuler des revendications collectives auprès de l</w:t>
      </w:r>
      <w:r>
        <w:rPr>
          <w:rFonts w:cs="Times New Roman"/>
          <w:lang w:val="fr-CA"/>
        </w:rPr>
        <w:t>’</w:t>
      </w:r>
      <w:r w:rsidRPr="00AF17C2">
        <w:rPr>
          <w:rFonts w:cs="Times New Roman"/>
          <w:lang w:val="fr-CA"/>
        </w:rPr>
        <w:t>employeur et de les voir prises en considération de bonne foi</w:t>
      </w:r>
      <w:r w:rsidR="00795B2B">
        <w:rPr>
          <w:rFonts w:cs="Times New Roman"/>
          <w:lang w:val="fr-CA"/>
        </w:rPr>
        <w:t> :</w:t>
      </w:r>
    </w:p>
    <w:p w:rsidR="007B74A6" w:rsidRPr="00AF17C2" w:rsidRDefault="00881323" w:rsidP="00795B2B">
      <w:pPr>
        <w:pStyle w:val="Citation-AltC"/>
        <w:ind w:left="1168" w:hanging="1168"/>
        <w:contextualSpacing w:val="0"/>
        <w:rPr>
          <w:lang w:val="fr-CA"/>
        </w:rPr>
      </w:pPr>
      <w:r>
        <w:rPr>
          <w:lang w:val="fr-CA"/>
        </w:rPr>
        <w:tab/>
      </w:r>
      <w:r w:rsidR="007B74A6" w:rsidRPr="00AF17C2">
        <w:rPr>
          <w:lang w:val="fr-CA"/>
        </w:rPr>
        <w:t>En effet, [l</w:t>
      </w:r>
      <w:r w:rsidR="007B74A6">
        <w:rPr>
          <w:lang w:val="fr-CA"/>
        </w:rPr>
        <w:t>’</w:t>
      </w:r>
      <w:r w:rsidR="007B74A6" w:rsidRPr="00AF17C2">
        <w:rPr>
          <w:lang w:val="fr-CA"/>
        </w:rPr>
        <w:t>al.</w:t>
      </w:r>
      <w:r w:rsidR="00795B2B">
        <w:rPr>
          <w:lang w:val="fr-CA"/>
        </w:rPr>
        <w:t xml:space="preserve"> </w:t>
      </w:r>
      <w:r w:rsidR="007B74A6" w:rsidRPr="00AF17C2">
        <w:rPr>
          <w:lang w:val="fr-CA"/>
        </w:rPr>
        <w:t>2</w:t>
      </w:r>
      <w:r w:rsidR="007B74A6" w:rsidRPr="00AF17C2">
        <w:rPr>
          <w:i/>
          <w:lang w:val="fr-CA"/>
        </w:rPr>
        <w:t>d</w:t>
      </w:r>
      <w:r w:rsidR="007B74A6" w:rsidRPr="00AF17C2">
        <w:rPr>
          <w:lang w:val="fr-CA"/>
        </w:rPr>
        <w:t>)] garantit, dans le contexte des relations du travail, le droit à un processus véritable. Dans cette optique, on ne saurait tenir pour véritable un processus qui permet à l</w:t>
      </w:r>
      <w:r w:rsidR="007B74A6">
        <w:rPr>
          <w:lang w:val="fr-CA"/>
        </w:rPr>
        <w:t>’</w:t>
      </w:r>
      <w:r w:rsidR="007B74A6" w:rsidRPr="00AF17C2">
        <w:rPr>
          <w:lang w:val="fr-CA"/>
        </w:rPr>
        <w:t>employeur de ne même pas prendre en compte les observations de ses employés. [</w:t>
      </w:r>
      <w:r w:rsidR="00795B2B">
        <w:rPr>
          <w:lang w:val="fr-CA"/>
        </w:rPr>
        <w:t>. . .</w:t>
      </w:r>
      <w:r w:rsidR="007B74A6" w:rsidRPr="00AF17C2">
        <w:rPr>
          <w:lang w:val="fr-CA"/>
        </w:rPr>
        <w:t>] À défaut d</w:t>
      </w:r>
      <w:r w:rsidR="007B74A6">
        <w:rPr>
          <w:lang w:val="fr-CA"/>
        </w:rPr>
        <w:t>’</w:t>
      </w:r>
      <w:r w:rsidR="007B74A6" w:rsidRPr="00AF17C2">
        <w:rPr>
          <w:lang w:val="fr-CA"/>
        </w:rPr>
        <w:t>un tel processus, l</w:t>
      </w:r>
      <w:r w:rsidR="007B74A6">
        <w:rPr>
          <w:lang w:val="fr-CA"/>
        </w:rPr>
        <w:t>’</w:t>
      </w:r>
      <w:r w:rsidR="007B74A6" w:rsidRPr="00AF17C2">
        <w:rPr>
          <w:lang w:val="fr-CA"/>
        </w:rPr>
        <w:t xml:space="preserve">association aux fins de réaliser des objectifs </w:t>
      </w:r>
      <w:r w:rsidR="0008432B">
        <w:rPr>
          <w:lang w:val="fr-CA"/>
        </w:rPr>
        <w:t>liés</w:t>
      </w:r>
      <w:r w:rsidR="007B74A6" w:rsidRPr="00AF17C2">
        <w:rPr>
          <w:lang w:val="fr-CA"/>
        </w:rPr>
        <w:t xml:space="preserve"> au travail perd sa raison d</w:t>
      </w:r>
      <w:r w:rsidR="007B74A6">
        <w:rPr>
          <w:lang w:val="fr-CA"/>
        </w:rPr>
        <w:t>’</w:t>
      </w:r>
      <w:r w:rsidR="007B74A6" w:rsidRPr="00AF17C2">
        <w:rPr>
          <w:lang w:val="fr-CA"/>
        </w:rPr>
        <w:t>être, ce qui entrave substantiellement l</w:t>
      </w:r>
      <w:r w:rsidR="007B74A6">
        <w:rPr>
          <w:lang w:val="fr-CA"/>
        </w:rPr>
        <w:t>’</w:t>
      </w:r>
      <w:r w:rsidR="007B74A6" w:rsidRPr="00AF17C2">
        <w:rPr>
          <w:lang w:val="fr-CA"/>
        </w:rPr>
        <w:t>exercice de la liberté d</w:t>
      </w:r>
      <w:r w:rsidR="007B74A6">
        <w:rPr>
          <w:lang w:val="fr-CA"/>
        </w:rPr>
        <w:t>’</w:t>
      </w:r>
      <w:r w:rsidR="007B74A6" w:rsidRPr="00AF17C2">
        <w:rPr>
          <w:lang w:val="fr-CA"/>
        </w:rPr>
        <w:t>association. On peut entraver l</w:t>
      </w:r>
      <w:r w:rsidR="007B74A6">
        <w:rPr>
          <w:lang w:val="fr-CA"/>
        </w:rPr>
        <w:t>’</w:t>
      </w:r>
      <w:r w:rsidR="007B74A6" w:rsidRPr="00AF17C2">
        <w:rPr>
          <w:lang w:val="fr-CA"/>
        </w:rPr>
        <w:t>exercice de la liberté d</w:t>
      </w:r>
      <w:r w:rsidR="007B74A6">
        <w:rPr>
          <w:lang w:val="fr-CA"/>
        </w:rPr>
        <w:t>’</w:t>
      </w:r>
      <w:r w:rsidR="007B74A6" w:rsidRPr="00AF17C2">
        <w:rPr>
          <w:lang w:val="fr-CA"/>
        </w:rPr>
        <w:t>association voué à la réalisation d</w:t>
      </w:r>
      <w:r w:rsidR="007B74A6">
        <w:rPr>
          <w:lang w:val="fr-CA"/>
        </w:rPr>
        <w:t>’</w:t>
      </w:r>
      <w:r w:rsidR="007B74A6" w:rsidRPr="00AF17C2">
        <w:rPr>
          <w:lang w:val="fr-CA"/>
        </w:rPr>
        <w:t xml:space="preserve">objectifs </w:t>
      </w:r>
      <w:r w:rsidR="0008432B">
        <w:rPr>
          <w:lang w:val="fr-CA"/>
        </w:rPr>
        <w:t xml:space="preserve">liés </w:t>
      </w:r>
      <w:r w:rsidR="007B74A6" w:rsidRPr="00AF17C2">
        <w:rPr>
          <w:lang w:val="fr-CA"/>
        </w:rPr>
        <w:t>au travail en frappant d</w:t>
      </w:r>
      <w:r w:rsidR="007B74A6">
        <w:rPr>
          <w:lang w:val="fr-CA"/>
        </w:rPr>
        <w:t>’</w:t>
      </w:r>
      <w:r w:rsidR="007B74A6" w:rsidRPr="00AF17C2">
        <w:rPr>
          <w:lang w:val="fr-CA"/>
        </w:rPr>
        <w:t>interdiction la formation d</w:t>
      </w:r>
      <w:r w:rsidR="007B74A6">
        <w:rPr>
          <w:lang w:val="fr-CA"/>
        </w:rPr>
        <w:t>’</w:t>
      </w:r>
      <w:r w:rsidR="007B74A6" w:rsidRPr="00AF17C2">
        <w:rPr>
          <w:lang w:val="fr-CA"/>
        </w:rPr>
        <w:t>associations d</w:t>
      </w:r>
      <w:r w:rsidR="007B74A6">
        <w:rPr>
          <w:lang w:val="fr-CA"/>
        </w:rPr>
        <w:t>’</w:t>
      </w:r>
      <w:r w:rsidR="007B74A6" w:rsidRPr="00AF17C2">
        <w:rPr>
          <w:lang w:val="fr-CA"/>
        </w:rPr>
        <w:t xml:space="preserve">employés. On peut le faire </w:t>
      </w:r>
      <w:r w:rsidR="007B74A6" w:rsidRPr="00AF17C2">
        <w:rPr>
          <w:lang w:val="fr-CA"/>
        </w:rPr>
        <w:lastRenderedPageBreak/>
        <w:t>tout aussi efficacement en établissant un système qui rend impossible la négociation véritable de questions liées au travail. [</w:t>
      </w:r>
      <w:proofErr w:type="gramStart"/>
      <w:r w:rsidR="007B74A6" w:rsidRPr="00AF17C2">
        <w:rPr>
          <w:lang w:val="fr-CA"/>
        </w:rPr>
        <w:t>par</w:t>
      </w:r>
      <w:proofErr w:type="gramEnd"/>
      <w:r w:rsidR="007B74A6" w:rsidRPr="00AF17C2">
        <w:rPr>
          <w:lang w:val="fr-CA"/>
        </w:rPr>
        <w:t>.</w:t>
      </w:r>
      <w:r w:rsidR="00795B2B">
        <w:rPr>
          <w:lang w:val="fr-CA"/>
        </w:rPr>
        <w:t xml:space="preserve"> </w:t>
      </w:r>
      <w:r w:rsidR="007B74A6" w:rsidRPr="00AF17C2">
        <w:rPr>
          <w:lang w:val="fr-CA"/>
        </w:rPr>
        <w:t>42]</w:t>
      </w:r>
    </w:p>
    <w:p w:rsidR="007B74A6" w:rsidRPr="00AF17C2" w:rsidRDefault="007B74A6" w:rsidP="00795B2B">
      <w:pPr>
        <w:pStyle w:val="ParaNoNdepar-AltN"/>
        <w:rPr>
          <w:rFonts w:cs="Times New Roman"/>
          <w:lang w:val="fr-CA"/>
        </w:rPr>
      </w:pPr>
      <w:r w:rsidRPr="00AF17C2">
        <w:rPr>
          <w:rFonts w:cs="Times New Roman"/>
          <w:lang w:val="fr-CA"/>
        </w:rPr>
        <w:t>En résumé, après une période initiale marquée par une réticence à reconnaître toute la portée de la liberté d</w:t>
      </w:r>
      <w:r>
        <w:rPr>
          <w:rFonts w:cs="Times New Roman"/>
          <w:lang w:val="fr-CA"/>
        </w:rPr>
        <w:t>’</w:t>
      </w:r>
      <w:r w:rsidRPr="00AF17C2">
        <w:rPr>
          <w:rFonts w:cs="Times New Roman"/>
          <w:lang w:val="fr-CA"/>
        </w:rPr>
        <w:t>association en matière de relations de travail, la jurisprudence a évolué vers une approche généreuse de cette liberté. Cette approche visait essentiellement à encourager l</w:t>
      </w:r>
      <w:r>
        <w:rPr>
          <w:rFonts w:cs="Times New Roman"/>
          <w:lang w:val="fr-CA"/>
        </w:rPr>
        <w:t>’</w:t>
      </w:r>
      <w:r w:rsidRPr="00AF17C2">
        <w:rPr>
          <w:rFonts w:cs="Times New Roman"/>
          <w:lang w:val="fr-CA"/>
        </w:rPr>
        <w:t xml:space="preserve">épanouissement individuel et la réalisation collective des objectifs humains, dans le respect des valeurs démocratiques, à la lumière des </w:t>
      </w:r>
      <w:r w:rsidR="00795B2B">
        <w:rPr>
          <w:rFonts w:cs="Times New Roman"/>
          <w:lang w:val="fr-CA"/>
        </w:rPr>
        <w:t>« </w:t>
      </w:r>
      <w:r w:rsidRPr="00AF17C2">
        <w:rPr>
          <w:rFonts w:cs="Times New Roman"/>
          <w:lang w:val="fr-CA"/>
        </w:rPr>
        <w:t>origines historiques des concepts enchâssés</w:t>
      </w:r>
      <w:r w:rsidR="00795B2B">
        <w:rPr>
          <w:rFonts w:cs="Times New Roman"/>
          <w:lang w:val="fr-CA"/>
        </w:rPr>
        <w:t> »</w:t>
      </w:r>
      <w:r w:rsidRPr="00AF17C2">
        <w:rPr>
          <w:rFonts w:cs="Times New Roman"/>
          <w:lang w:val="fr-CA"/>
        </w:rPr>
        <w:t xml:space="preserve"> dans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r w:rsidR="0008432B">
        <w:rPr>
          <w:rFonts w:cs="Times New Roman"/>
          <w:i/>
          <w:lang w:val="fr-CA"/>
        </w:rPr>
        <w:t xml:space="preserve">R. c. </w:t>
      </w:r>
      <w:proofErr w:type="spellStart"/>
      <w:r w:rsidR="0008432B">
        <w:rPr>
          <w:rFonts w:cs="Times New Roman"/>
          <w:i/>
          <w:lang w:val="fr-CA"/>
        </w:rPr>
        <w:t>Big</w:t>
      </w:r>
      <w:proofErr w:type="spellEnd"/>
      <w:r w:rsidR="0008432B">
        <w:rPr>
          <w:rFonts w:cs="Times New Roman"/>
          <w:i/>
          <w:lang w:val="fr-CA"/>
        </w:rPr>
        <w:t xml:space="preserve"> M Drug </w:t>
      </w:r>
      <w:proofErr w:type="spellStart"/>
      <w:r w:rsidR="0008432B">
        <w:rPr>
          <w:rFonts w:cs="Times New Roman"/>
          <w:i/>
          <w:lang w:val="fr-CA"/>
        </w:rPr>
        <w:t>Mart</w:t>
      </w:r>
      <w:proofErr w:type="spellEnd"/>
      <w:r w:rsidR="0008432B">
        <w:rPr>
          <w:rFonts w:cs="Times New Roman"/>
          <w:i/>
          <w:lang w:val="fr-CA"/>
        </w:rPr>
        <w:t xml:space="preserve"> L</w:t>
      </w:r>
      <w:r w:rsidRPr="00AF17C2">
        <w:rPr>
          <w:rFonts w:cs="Times New Roman"/>
          <w:i/>
          <w:lang w:val="fr-CA"/>
        </w:rPr>
        <w:t>td.</w:t>
      </w:r>
      <w:r w:rsidRPr="00AF17C2">
        <w:rPr>
          <w:rFonts w:cs="Times New Roman"/>
          <w:lang w:val="fr-CA"/>
        </w:rPr>
        <w:t>, [1985] 1 R.C.S.</w:t>
      </w:r>
      <w:r w:rsidR="00795B2B">
        <w:rPr>
          <w:rFonts w:cs="Times New Roman"/>
          <w:lang w:val="fr-CA"/>
        </w:rPr>
        <w:t xml:space="preserve"> </w:t>
      </w:r>
      <w:r w:rsidRPr="00AF17C2">
        <w:rPr>
          <w:rFonts w:cs="Times New Roman"/>
          <w:lang w:val="fr-CA"/>
        </w:rPr>
        <w:t>295, p.</w:t>
      </w:r>
      <w:r w:rsidR="00795B2B">
        <w:rPr>
          <w:rFonts w:cs="Times New Roman"/>
          <w:lang w:val="fr-CA"/>
        </w:rPr>
        <w:t xml:space="preserve"> </w:t>
      </w:r>
      <w:r w:rsidRPr="00AF17C2">
        <w:rPr>
          <w:rFonts w:cs="Times New Roman"/>
          <w:lang w:val="fr-CA"/>
        </w:rPr>
        <w:t>344).</w:t>
      </w:r>
    </w:p>
    <w:p w:rsidR="007B74A6" w:rsidRPr="00AF17C2" w:rsidRDefault="007B74A6" w:rsidP="00795B2B">
      <w:pPr>
        <w:pStyle w:val="Title2LevelTitre2Niveau"/>
        <w:rPr>
          <w:rFonts w:cs="Times New Roman"/>
          <w:lang w:val="fr-CA"/>
        </w:rPr>
      </w:pPr>
      <w:r w:rsidRPr="00AF17C2">
        <w:rPr>
          <w:rFonts w:cs="Times New Roman"/>
          <w:lang w:val="fr-CA"/>
        </w:rPr>
        <w:t>Définir la portée du droit garanti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w:t>
      </w:r>
    </w:p>
    <w:p w:rsidR="007B74A6" w:rsidRPr="00AF17C2" w:rsidRDefault="007B74A6" w:rsidP="00795B2B">
      <w:pPr>
        <w:pStyle w:val="Title3LevelTitre3Niveau"/>
        <w:ind w:left="1077"/>
        <w:rPr>
          <w:rFonts w:cs="Times New Roman"/>
          <w:lang w:val="fr-CA"/>
        </w:rPr>
      </w:pPr>
      <w:r w:rsidRPr="00AF17C2">
        <w:rPr>
          <w:rFonts w:cs="Times New Roman"/>
          <w:lang w:val="fr-CA"/>
        </w:rPr>
        <w:t>Une interprétation téléologique, généreuse et contextuelle</w:t>
      </w:r>
    </w:p>
    <w:p w:rsidR="007B74A6" w:rsidRPr="00AF17C2" w:rsidRDefault="007B74A6" w:rsidP="00795B2B">
      <w:pPr>
        <w:pStyle w:val="ParaNoNdepar-AltN"/>
        <w:rPr>
          <w:rFonts w:cs="Times New Roman"/>
          <w:lang w:val="fr-CA"/>
        </w:rPr>
      </w:pPr>
      <w:r w:rsidRPr="00AF17C2">
        <w:rPr>
          <w:rFonts w:cs="Times New Roman"/>
          <w:lang w:val="fr-CA"/>
        </w:rPr>
        <w:t>Comme dans le cas d</w:t>
      </w:r>
      <w:r>
        <w:rPr>
          <w:rFonts w:cs="Times New Roman"/>
          <w:lang w:val="fr-CA"/>
        </w:rPr>
        <w:t>’</w:t>
      </w:r>
      <w:r w:rsidRPr="00AF17C2">
        <w:rPr>
          <w:rFonts w:cs="Times New Roman"/>
          <w:lang w:val="fr-CA"/>
        </w:rPr>
        <w:t xml:space="preserve">autres droits protégés par la </w:t>
      </w:r>
      <w:r w:rsidRPr="00AF17C2">
        <w:rPr>
          <w:rFonts w:cs="Times New Roman"/>
          <w:i/>
          <w:lang w:val="fr-CA"/>
        </w:rPr>
        <w:t>Charte</w:t>
      </w:r>
      <w:r w:rsidRPr="00AF17C2">
        <w:rPr>
          <w:rFonts w:cs="Times New Roman"/>
          <w:lang w:val="fr-CA"/>
        </w:rPr>
        <w:t>, la jurisprudence a établi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doit recevoir une interprétation généreuse et téléologique, qui tient compte des </w:t>
      </w:r>
      <w:r w:rsidR="00795B2B">
        <w:rPr>
          <w:rFonts w:cs="Times New Roman"/>
          <w:lang w:val="fr-CA"/>
        </w:rPr>
        <w:t>« </w:t>
      </w:r>
      <w:r w:rsidRPr="00AF17C2">
        <w:rPr>
          <w:rFonts w:cs="Times New Roman"/>
          <w:lang w:val="fr-CA"/>
        </w:rPr>
        <w:t xml:space="preserve">objectifs plus larges de la </w:t>
      </w:r>
      <w:r w:rsidRPr="00AF17C2">
        <w:rPr>
          <w:rFonts w:cs="Times New Roman"/>
          <w:i/>
          <w:lang w:val="fr-CA"/>
        </w:rPr>
        <w:t>Charte</w:t>
      </w:r>
      <w:r w:rsidRPr="00AF17C2">
        <w:rPr>
          <w:rFonts w:cs="Times New Roman"/>
          <w:lang w:val="fr-CA"/>
        </w:rPr>
        <w:t xml:space="preserve"> [</w:t>
      </w:r>
      <w:r w:rsidR="00795B2B">
        <w:rPr>
          <w:rFonts w:cs="Times New Roman"/>
          <w:lang w:val="fr-CA"/>
        </w:rPr>
        <w:t>. . .</w:t>
      </w:r>
      <w:r w:rsidRPr="00AF17C2">
        <w:rPr>
          <w:rFonts w:cs="Times New Roman"/>
          <w:lang w:val="fr-CA"/>
        </w:rPr>
        <w:t>], des termes choisis pour énoncer ce droit ou cette liberté, des origines historiques des concepts enchâssés et, s</w:t>
      </w:r>
      <w:r>
        <w:rPr>
          <w:rFonts w:cs="Times New Roman"/>
          <w:lang w:val="fr-CA"/>
        </w:rPr>
        <w:t>’</w:t>
      </w:r>
      <w:r w:rsidRPr="00AF17C2">
        <w:rPr>
          <w:rFonts w:cs="Times New Roman"/>
          <w:lang w:val="fr-CA"/>
        </w:rPr>
        <w:t>il y a lieu, [</w:t>
      </w:r>
      <w:r w:rsidR="00795B2B">
        <w:rPr>
          <w:rFonts w:cs="Times New Roman"/>
          <w:lang w:val="fr-CA"/>
        </w:rPr>
        <w:t>. . .</w:t>
      </w:r>
      <w:r w:rsidRPr="00AF17C2">
        <w:rPr>
          <w:rFonts w:cs="Times New Roman"/>
          <w:lang w:val="fr-CA"/>
        </w:rPr>
        <w:t>] du sens et de l</w:t>
      </w:r>
      <w:r>
        <w:rPr>
          <w:rFonts w:cs="Times New Roman"/>
          <w:lang w:val="fr-CA"/>
        </w:rPr>
        <w:t>’</w:t>
      </w:r>
      <w:r w:rsidRPr="00AF17C2">
        <w:rPr>
          <w:rFonts w:cs="Times New Roman"/>
          <w:lang w:val="fr-CA"/>
        </w:rPr>
        <w:t>objet des autres libertés et droits particuliers qui s</w:t>
      </w:r>
      <w:r>
        <w:rPr>
          <w:rFonts w:cs="Times New Roman"/>
          <w:lang w:val="fr-CA"/>
        </w:rPr>
        <w:t>’</w:t>
      </w:r>
      <w:r w:rsidRPr="00AF17C2">
        <w:rPr>
          <w:rFonts w:cs="Times New Roman"/>
          <w:lang w:val="fr-CA"/>
        </w:rPr>
        <w:t xml:space="preserve">y rattachent selon le texte de la </w:t>
      </w:r>
      <w:r w:rsidRPr="00AF17C2">
        <w:rPr>
          <w:rFonts w:cs="Times New Roman"/>
          <w:i/>
          <w:lang w:val="fr-CA"/>
        </w:rPr>
        <w:t>Charte</w:t>
      </w:r>
      <w:r w:rsidR="00795B2B">
        <w:rPr>
          <w:rFonts w:cs="Times New Roman"/>
          <w:lang w:val="fr-CA"/>
        </w:rPr>
        <w:t> »</w:t>
      </w:r>
      <w:r w:rsidRPr="00AF17C2">
        <w:rPr>
          <w:rFonts w:cs="Times New Roman"/>
          <w:lang w:val="fr-CA"/>
        </w:rPr>
        <w:t xml:space="preserve"> (</w:t>
      </w:r>
      <w:proofErr w:type="spellStart"/>
      <w:r w:rsidRPr="00AF17C2">
        <w:rPr>
          <w:rFonts w:cs="Times New Roman"/>
          <w:i/>
          <w:lang w:val="fr-CA"/>
        </w:rPr>
        <w:t>Big</w:t>
      </w:r>
      <w:proofErr w:type="spellEnd"/>
      <w:r w:rsidRPr="00AF17C2">
        <w:rPr>
          <w:rFonts w:cs="Times New Roman"/>
          <w:i/>
          <w:lang w:val="fr-CA"/>
        </w:rPr>
        <w:t xml:space="preserve"> M Drug </w:t>
      </w:r>
      <w:proofErr w:type="spellStart"/>
      <w:r w:rsidRPr="00AF17C2">
        <w:rPr>
          <w:rFonts w:cs="Times New Roman"/>
          <w:i/>
          <w:lang w:val="fr-CA"/>
        </w:rPr>
        <w:t>Mart</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344). Bref, pour déterminer si une restriction au droit d</w:t>
      </w:r>
      <w:r>
        <w:rPr>
          <w:rFonts w:cs="Times New Roman"/>
          <w:lang w:val="fr-CA"/>
        </w:rPr>
        <w:t>’</w:t>
      </w:r>
      <w:r w:rsidRPr="00AF17C2">
        <w:rPr>
          <w:rFonts w:cs="Times New Roman"/>
          <w:lang w:val="fr-CA"/>
        </w:rPr>
        <w:t>association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du fait qu</w:t>
      </w:r>
      <w:r>
        <w:rPr>
          <w:rFonts w:cs="Times New Roman"/>
          <w:lang w:val="fr-CA"/>
        </w:rPr>
        <w:t>’</w:t>
      </w:r>
      <w:r w:rsidRPr="00AF17C2">
        <w:rPr>
          <w:rFonts w:cs="Times New Roman"/>
          <w:lang w:val="fr-CA"/>
        </w:rPr>
        <w:t>elle contrevient à l</w:t>
      </w:r>
      <w:r>
        <w:rPr>
          <w:rFonts w:cs="Times New Roman"/>
          <w:lang w:val="fr-CA"/>
        </w:rPr>
        <w:t>’</w:t>
      </w:r>
      <w:r w:rsidRPr="00AF17C2">
        <w:rPr>
          <w:rFonts w:cs="Times New Roman"/>
          <w:lang w:val="fr-CA"/>
        </w:rPr>
        <w:t>objet de cette disposition, nous devons considérer l</w:t>
      </w:r>
      <w:r>
        <w:rPr>
          <w:rFonts w:cs="Times New Roman"/>
          <w:lang w:val="fr-CA"/>
        </w:rPr>
        <w:t>’</w:t>
      </w:r>
      <w:r w:rsidRPr="00AF17C2">
        <w:rPr>
          <w:rFonts w:cs="Times New Roman"/>
          <w:lang w:val="fr-CA"/>
        </w:rPr>
        <w:t>activité associative en cause dans son contexte global et en fonction de son histoire. En effet, ni le libellé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ni les principes généraux d</w:t>
      </w:r>
      <w:r>
        <w:rPr>
          <w:rFonts w:cs="Times New Roman"/>
          <w:lang w:val="fr-CA"/>
        </w:rPr>
        <w:t>’</w:t>
      </w:r>
      <w:r w:rsidRPr="00AF17C2">
        <w:rPr>
          <w:rFonts w:cs="Times New Roman"/>
          <w:lang w:val="fr-CA"/>
        </w:rPr>
        <w:t xml:space="preserve">interprétation de la </w:t>
      </w:r>
      <w:r w:rsidRPr="00AF17C2">
        <w:rPr>
          <w:rFonts w:cs="Times New Roman"/>
          <w:i/>
          <w:lang w:val="fr-CA"/>
        </w:rPr>
        <w:t>Charte</w:t>
      </w:r>
      <w:r w:rsidRPr="00AF17C2">
        <w:rPr>
          <w:rFonts w:cs="Times New Roman"/>
          <w:lang w:val="fr-CA"/>
        </w:rPr>
        <w:t xml:space="preserve"> ne favorisent une lecture restrictive de la liberté d</w:t>
      </w:r>
      <w:r>
        <w:rPr>
          <w:rFonts w:cs="Times New Roman"/>
          <w:lang w:val="fr-CA"/>
        </w:rPr>
        <w:t>’</w:t>
      </w:r>
      <w:r w:rsidRPr="00AF17C2">
        <w:rPr>
          <w:rFonts w:cs="Times New Roman"/>
          <w:lang w:val="fr-CA"/>
        </w:rPr>
        <w:t xml:space="preserve">association. </w:t>
      </w:r>
    </w:p>
    <w:p w:rsidR="007B74A6" w:rsidRPr="00AF17C2" w:rsidRDefault="007B74A6" w:rsidP="00795B2B">
      <w:pPr>
        <w:pStyle w:val="ParaNoNdepar-AltN"/>
        <w:rPr>
          <w:rFonts w:cs="Times New Roman"/>
          <w:lang w:val="fr-CA"/>
        </w:rPr>
      </w:pPr>
      <w:r w:rsidRPr="00AF17C2">
        <w:rPr>
          <w:rFonts w:cs="Times New Roman"/>
          <w:lang w:val="fr-CA"/>
        </w:rPr>
        <w:lastRenderedPageBreak/>
        <w:t>Cette interprétation de la liberté d</w:t>
      </w:r>
      <w:r>
        <w:rPr>
          <w:rFonts w:cs="Times New Roman"/>
          <w:lang w:val="fr-CA"/>
        </w:rPr>
        <w:t>’</w:t>
      </w:r>
      <w:r w:rsidRPr="00AF17C2">
        <w:rPr>
          <w:rFonts w:cs="Times New Roman"/>
          <w:lang w:val="fr-CA"/>
        </w:rPr>
        <w:t>association correspond à celle donnée à d</w:t>
      </w:r>
      <w:r>
        <w:rPr>
          <w:rFonts w:cs="Times New Roman"/>
          <w:lang w:val="fr-CA"/>
        </w:rPr>
        <w:t>’</w:t>
      </w:r>
      <w:r w:rsidRPr="00AF17C2">
        <w:rPr>
          <w:rFonts w:cs="Times New Roman"/>
          <w:lang w:val="fr-CA"/>
        </w:rPr>
        <w:t>autres droits fondamentaux relatifs aux activités et aux besoins de l</w:t>
      </w:r>
      <w:r>
        <w:rPr>
          <w:rFonts w:cs="Times New Roman"/>
          <w:lang w:val="fr-CA"/>
        </w:rPr>
        <w:t>’</w:t>
      </w:r>
      <w:r w:rsidRPr="00AF17C2">
        <w:rPr>
          <w:rFonts w:cs="Times New Roman"/>
          <w:lang w:val="fr-CA"/>
        </w:rPr>
        <w:t>être humain. La portée de la liberté de religion, par exemple, tient à son historique et à la gamme d</w:t>
      </w:r>
      <w:r>
        <w:rPr>
          <w:rFonts w:cs="Times New Roman"/>
          <w:lang w:val="fr-CA"/>
        </w:rPr>
        <w:t>’</w:t>
      </w:r>
      <w:r w:rsidRPr="00AF17C2">
        <w:rPr>
          <w:rFonts w:cs="Times New Roman"/>
          <w:lang w:val="fr-CA"/>
        </w:rPr>
        <w:t>activités auxquelles elle s</w:t>
      </w:r>
      <w:r>
        <w:rPr>
          <w:rFonts w:cs="Times New Roman"/>
          <w:lang w:val="fr-CA"/>
        </w:rPr>
        <w:t>’</w:t>
      </w:r>
      <w:r w:rsidRPr="00AF17C2">
        <w:rPr>
          <w:rFonts w:cs="Times New Roman"/>
          <w:lang w:val="fr-CA"/>
        </w:rPr>
        <w:t>applique — avoir, manifester et transmettre des croyances au sein d</w:t>
      </w:r>
      <w:r>
        <w:rPr>
          <w:rFonts w:cs="Times New Roman"/>
          <w:lang w:val="fr-CA"/>
        </w:rPr>
        <w:t>’</w:t>
      </w:r>
      <w:r w:rsidRPr="00AF17C2">
        <w:rPr>
          <w:rFonts w:cs="Times New Roman"/>
          <w:lang w:val="fr-CA"/>
        </w:rPr>
        <w:t xml:space="preserve">un État laïc (R. Moon, </w:t>
      </w:r>
      <w:r w:rsidR="00795B2B">
        <w:rPr>
          <w:rFonts w:cs="Times New Roman"/>
          <w:lang w:val="fr-CA"/>
        </w:rPr>
        <w:t>« </w:t>
      </w:r>
      <w:proofErr w:type="spellStart"/>
      <w:r w:rsidRPr="0008432B">
        <w:rPr>
          <w:rFonts w:cs="Times New Roman"/>
          <w:lang w:val="fr-CA"/>
        </w:rPr>
        <w:t>Freedom</w:t>
      </w:r>
      <w:proofErr w:type="spellEnd"/>
      <w:r w:rsidRPr="0008432B">
        <w:rPr>
          <w:rFonts w:cs="Times New Roman"/>
          <w:lang w:val="fr-CA"/>
        </w:rPr>
        <w:t xml:space="preserve"> of Conscience and Religion</w:t>
      </w:r>
      <w:r w:rsidR="00795B2B" w:rsidRPr="00795B2B">
        <w:rPr>
          <w:rFonts w:cs="Times New Roman"/>
          <w:lang w:val="fr-CA"/>
        </w:rPr>
        <w:t> »</w:t>
      </w:r>
      <w:r w:rsidRPr="00AF17C2">
        <w:rPr>
          <w:rFonts w:cs="Times New Roman"/>
          <w:lang w:val="fr-CA"/>
        </w:rPr>
        <w:t>,</w:t>
      </w:r>
      <w:r w:rsidRPr="00AF17C2">
        <w:rPr>
          <w:rFonts w:cs="Times New Roman"/>
          <w:i/>
          <w:lang w:val="fr-CA"/>
        </w:rPr>
        <w:t xml:space="preserve"> </w:t>
      </w:r>
      <w:r w:rsidR="00D60A3E">
        <w:rPr>
          <w:rFonts w:cs="Times New Roman"/>
          <w:lang w:val="fr-CA"/>
        </w:rPr>
        <w:t xml:space="preserve">dans Mendes et </w:t>
      </w:r>
      <w:proofErr w:type="spellStart"/>
      <w:r w:rsidR="00D60A3E">
        <w:rPr>
          <w:rFonts w:cs="Times New Roman"/>
          <w:lang w:val="fr-CA"/>
        </w:rPr>
        <w:t>Beaulac</w:t>
      </w:r>
      <w:proofErr w:type="spellEnd"/>
      <w:r w:rsidR="00D60A3E">
        <w:rPr>
          <w:rFonts w:cs="Times New Roman"/>
          <w:lang w:val="fr-CA"/>
        </w:rPr>
        <w:t xml:space="preserve">, </w:t>
      </w:r>
      <w:r w:rsidRPr="00AF17C2">
        <w:rPr>
          <w:rFonts w:cs="Times New Roman"/>
          <w:lang w:val="fr-CA"/>
        </w:rPr>
        <w:t>339). De même, la portée de la liberté d</w:t>
      </w:r>
      <w:r>
        <w:rPr>
          <w:rFonts w:cs="Times New Roman"/>
          <w:lang w:val="fr-CA"/>
        </w:rPr>
        <w:t>’</w:t>
      </w:r>
      <w:r w:rsidRPr="00AF17C2">
        <w:rPr>
          <w:rFonts w:cs="Times New Roman"/>
          <w:lang w:val="fr-CA"/>
        </w:rPr>
        <w:t>expression se définit par ses différentes manifestations et les intérêts divers qu</w:t>
      </w:r>
      <w:r>
        <w:rPr>
          <w:rFonts w:cs="Times New Roman"/>
          <w:lang w:val="fr-CA"/>
        </w:rPr>
        <w:t>’</w:t>
      </w:r>
      <w:r w:rsidRPr="00AF17C2">
        <w:rPr>
          <w:rFonts w:cs="Times New Roman"/>
          <w:lang w:val="fr-CA"/>
        </w:rPr>
        <w:t xml:space="preserve">elle protège — notamment, </w:t>
      </w:r>
      <w:r w:rsidR="00795B2B">
        <w:rPr>
          <w:rFonts w:cs="Times New Roman"/>
          <w:lang w:val="fr-CA"/>
        </w:rPr>
        <w:t>« </w:t>
      </w:r>
      <w:r w:rsidRPr="00AF17C2">
        <w:rPr>
          <w:rFonts w:cs="Times New Roman"/>
          <w:lang w:val="fr-CA"/>
        </w:rPr>
        <w:t>la recherche de la vérité, [</w:t>
      </w:r>
      <w:r w:rsidR="00795B2B">
        <w:rPr>
          <w:rFonts w:cs="Times New Roman"/>
          <w:lang w:val="fr-CA"/>
        </w:rPr>
        <w:t>. . .</w:t>
      </w:r>
      <w:r w:rsidRPr="00AF17C2">
        <w:rPr>
          <w:rFonts w:cs="Times New Roman"/>
          <w:lang w:val="fr-CA"/>
        </w:rPr>
        <w:t>] l</w:t>
      </w:r>
      <w:r>
        <w:rPr>
          <w:rFonts w:cs="Times New Roman"/>
          <w:lang w:val="fr-CA"/>
        </w:rPr>
        <w:t>’</w:t>
      </w:r>
      <w:r w:rsidRPr="00AF17C2">
        <w:rPr>
          <w:rFonts w:cs="Times New Roman"/>
          <w:lang w:val="fr-CA"/>
        </w:rPr>
        <w:t>épanouissement personnel ou [</w:t>
      </w:r>
      <w:r w:rsidR="00795B2B">
        <w:rPr>
          <w:rFonts w:cs="Times New Roman"/>
          <w:lang w:val="fr-CA"/>
        </w:rPr>
        <w:t>. . .</w:t>
      </w:r>
      <w:r w:rsidRPr="00AF17C2">
        <w:rPr>
          <w:rFonts w:cs="Times New Roman"/>
          <w:lang w:val="fr-CA"/>
        </w:rPr>
        <w:t>] la tenue d</w:t>
      </w:r>
      <w:r>
        <w:rPr>
          <w:rFonts w:cs="Times New Roman"/>
          <w:lang w:val="fr-CA"/>
        </w:rPr>
        <w:t>’</w:t>
      </w:r>
      <w:r w:rsidRPr="00AF17C2">
        <w:rPr>
          <w:rFonts w:cs="Times New Roman"/>
          <w:lang w:val="fr-CA"/>
        </w:rPr>
        <w:t>un débat d</w:t>
      </w:r>
      <w:r>
        <w:rPr>
          <w:rFonts w:cs="Times New Roman"/>
          <w:lang w:val="fr-CA"/>
        </w:rPr>
        <w:t>’</w:t>
      </w:r>
      <w:r w:rsidRPr="00AF17C2">
        <w:rPr>
          <w:rFonts w:cs="Times New Roman"/>
          <w:lang w:val="fr-CA"/>
        </w:rPr>
        <w:t>idées riche et ouvert</w:t>
      </w:r>
      <w:r w:rsidR="00795B2B">
        <w:rPr>
          <w:rFonts w:cs="Times New Roman"/>
          <w:lang w:val="fr-CA"/>
        </w:rPr>
        <w:t> »</w:t>
      </w:r>
      <w:r w:rsidRPr="00AF17C2">
        <w:rPr>
          <w:rFonts w:cs="Times New Roman"/>
          <w:lang w:val="fr-CA"/>
        </w:rPr>
        <w:t xml:space="preserve"> (le juge </w:t>
      </w:r>
      <w:proofErr w:type="spellStart"/>
      <w:r w:rsidRPr="00AF17C2">
        <w:rPr>
          <w:rFonts w:cs="Times New Roman"/>
          <w:lang w:val="fr-CA"/>
        </w:rPr>
        <w:t>Rothstein</w:t>
      </w:r>
      <w:proofErr w:type="spellEnd"/>
      <w:r w:rsidRPr="00AF17C2">
        <w:rPr>
          <w:rFonts w:cs="Times New Roman"/>
          <w:lang w:val="fr-CA"/>
        </w:rPr>
        <w:t xml:space="preserve"> au nom de la Cour dans </w:t>
      </w:r>
      <w:r w:rsidRPr="00AF17C2">
        <w:rPr>
          <w:rFonts w:cs="Times New Roman"/>
          <w:i/>
          <w:lang w:val="fr-CA"/>
        </w:rPr>
        <w:t>Saskatchewan (</w:t>
      </w:r>
      <w:proofErr w:type="spellStart"/>
      <w:r w:rsidRPr="00AF17C2">
        <w:rPr>
          <w:rFonts w:cs="Times New Roman"/>
          <w:i/>
          <w:lang w:val="fr-CA"/>
        </w:rPr>
        <w:t>Human</w:t>
      </w:r>
      <w:proofErr w:type="spellEnd"/>
      <w:r w:rsidRPr="00AF17C2">
        <w:rPr>
          <w:rFonts w:cs="Times New Roman"/>
          <w:i/>
          <w:lang w:val="fr-CA"/>
        </w:rPr>
        <w:t xml:space="preserve"> </w:t>
      </w:r>
      <w:proofErr w:type="spellStart"/>
      <w:r w:rsidRPr="00AF17C2">
        <w:rPr>
          <w:rFonts w:cs="Times New Roman"/>
          <w:i/>
          <w:lang w:val="fr-CA"/>
        </w:rPr>
        <w:t>Rights</w:t>
      </w:r>
      <w:proofErr w:type="spellEnd"/>
      <w:r w:rsidRPr="00AF17C2">
        <w:rPr>
          <w:rFonts w:cs="Times New Roman"/>
          <w:i/>
          <w:lang w:val="fr-CA"/>
        </w:rPr>
        <w:t xml:space="preserve"> Commission) c. </w:t>
      </w:r>
      <w:proofErr w:type="spellStart"/>
      <w:r w:rsidRPr="00AF17C2">
        <w:rPr>
          <w:rFonts w:cs="Times New Roman"/>
          <w:i/>
          <w:lang w:val="fr-CA"/>
        </w:rPr>
        <w:t>Whatcott</w:t>
      </w:r>
      <w:proofErr w:type="spellEnd"/>
      <w:r w:rsidRPr="00AF17C2">
        <w:rPr>
          <w:rFonts w:cs="Times New Roman"/>
          <w:lang w:val="fr-CA"/>
        </w:rPr>
        <w:t>, 2013 CSC 11, [2013] 1 R.C.S.</w:t>
      </w:r>
      <w:r w:rsidR="00795B2B">
        <w:rPr>
          <w:rFonts w:cs="Times New Roman"/>
          <w:lang w:val="fr-CA"/>
        </w:rPr>
        <w:t xml:space="preserve"> </w:t>
      </w:r>
      <w:r w:rsidRPr="00AF17C2">
        <w:rPr>
          <w:rFonts w:cs="Times New Roman"/>
          <w:lang w:val="fr-CA"/>
        </w:rPr>
        <w:t>467, par.</w:t>
      </w:r>
      <w:r w:rsidR="00795B2B">
        <w:rPr>
          <w:rFonts w:cs="Times New Roman"/>
          <w:lang w:val="fr-CA"/>
        </w:rPr>
        <w:t xml:space="preserve"> </w:t>
      </w:r>
      <w:r w:rsidRPr="00AF17C2">
        <w:rPr>
          <w:rFonts w:cs="Times New Roman"/>
          <w:lang w:val="fr-CA"/>
        </w:rPr>
        <w:t xml:space="preserve">171; voir aussi </w:t>
      </w:r>
      <w:r w:rsidRPr="00AF17C2">
        <w:rPr>
          <w:rFonts w:cs="Times New Roman"/>
          <w:i/>
          <w:lang w:val="fr-CA"/>
        </w:rPr>
        <w:t xml:space="preserve">R. c. </w:t>
      </w:r>
      <w:proofErr w:type="spellStart"/>
      <w:r w:rsidRPr="00AF17C2">
        <w:rPr>
          <w:rFonts w:cs="Times New Roman"/>
          <w:i/>
          <w:lang w:val="fr-CA"/>
        </w:rPr>
        <w:t>Keegstra</w:t>
      </w:r>
      <w:proofErr w:type="spellEnd"/>
      <w:r w:rsidRPr="00AF17C2">
        <w:rPr>
          <w:rFonts w:cs="Times New Roman"/>
          <w:lang w:val="fr-CA"/>
        </w:rPr>
        <w:t>, [1990] 3 R.C.S.</w:t>
      </w:r>
      <w:r w:rsidR="00795B2B">
        <w:rPr>
          <w:rFonts w:cs="Times New Roman"/>
          <w:lang w:val="fr-CA"/>
        </w:rPr>
        <w:t xml:space="preserve"> </w:t>
      </w:r>
      <w:r w:rsidRPr="00AF17C2">
        <w:rPr>
          <w:rFonts w:cs="Times New Roman"/>
          <w:lang w:val="fr-CA"/>
        </w:rPr>
        <w:t>697, p.</w:t>
      </w:r>
      <w:r w:rsidR="00795B2B">
        <w:rPr>
          <w:rFonts w:cs="Times New Roman"/>
          <w:lang w:val="fr-CA"/>
        </w:rPr>
        <w:t xml:space="preserve"> </w:t>
      </w:r>
      <w:r w:rsidRPr="00AF17C2">
        <w:rPr>
          <w:rFonts w:cs="Times New Roman"/>
          <w:lang w:val="fr-CA"/>
        </w:rPr>
        <w:t>766; P.</w:t>
      </w:r>
      <w:r w:rsidR="00795B2B">
        <w:rPr>
          <w:rFonts w:cs="Times New Roman"/>
          <w:lang w:val="fr-CA"/>
        </w:rPr>
        <w:t xml:space="preserve"> </w:t>
      </w:r>
      <w:r w:rsidRPr="00AF17C2">
        <w:rPr>
          <w:rFonts w:cs="Times New Roman"/>
          <w:lang w:val="fr-CA"/>
        </w:rPr>
        <w:t>B.</w:t>
      </w:r>
      <w:r w:rsidR="00795B2B">
        <w:rPr>
          <w:rFonts w:cs="Times New Roman"/>
          <w:lang w:val="fr-CA"/>
        </w:rPr>
        <w:t xml:space="preserve"> </w:t>
      </w:r>
      <w:proofErr w:type="spellStart"/>
      <w:r w:rsidRPr="00AF17C2">
        <w:rPr>
          <w:rFonts w:cs="Times New Roman"/>
          <w:lang w:val="fr-CA"/>
        </w:rPr>
        <w:t>Schabas</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 xml:space="preserve">The </w:t>
      </w:r>
      <w:proofErr w:type="spellStart"/>
      <w:r w:rsidRPr="00AF17C2">
        <w:rPr>
          <w:rFonts w:cs="Times New Roman"/>
          <w:lang w:val="fr-CA"/>
        </w:rPr>
        <w:t>Ups</w:t>
      </w:r>
      <w:proofErr w:type="spellEnd"/>
      <w:r w:rsidRPr="00AF17C2">
        <w:rPr>
          <w:rFonts w:cs="Times New Roman"/>
          <w:lang w:val="fr-CA"/>
        </w:rPr>
        <w:t xml:space="preserve"> and Downs of </w:t>
      </w:r>
      <w:proofErr w:type="spellStart"/>
      <w:r w:rsidRPr="00AF17C2">
        <w:rPr>
          <w:rFonts w:cs="Times New Roman"/>
          <w:lang w:val="fr-CA"/>
        </w:rPr>
        <w:t>Freedom</w:t>
      </w:r>
      <w:proofErr w:type="spellEnd"/>
      <w:r w:rsidRPr="00AF17C2">
        <w:rPr>
          <w:rFonts w:cs="Times New Roman"/>
          <w:lang w:val="fr-CA"/>
        </w:rPr>
        <w:t xml:space="preserve"> of Expression</w:t>
      </w:r>
      <w:r>
        <w:rPr>
          <w:rFonts w:cs="Times New Roman"/>
          <w:lang w:val="fr-CA"/>
        </w:rPr>
        <w:t xml:space="preserve"> — S</w:t>
      </w:r>
      <w:r w:rsidRPr="00AF17C2">
        <w:rPr>
          <w:rFonts w:cs="Times New Roman"/>
          <w:lang w:val="fr-CA"/>
        </w:rPr>
        <w:t>ection</w:t>
      </w:r>
      <w:r w:rsidR="00795B2B">
        <w:rPr>
          <w:rFonts w:cs="Times New Roman"/>
          <w:lang w:val="fr-CA"/>
        </w:rPr>
        <w:t xml:space="preserve"> </w:t>
      </w:r>
      <w:r w:rsidRPr="00AF17C2">
        <w:rPr>
          <w:rFonts w:cs="Times New Roman"/>
          <w:lang w:val="fr-CA"/>
        </w:rPr>
        <w:t>2(b)</w:t>
      </w:r>
      <w:r w:rsidR="00795B2B">
        <w:rPr>
          <w:rFonts w:cs="Times New Roman"/>
          <w:lang w:val="fr-CA"/>
        </w:rPr>
        <w:t> »</w:t>
      </w:r>
      <w:r w:rsidRPr="00AF17C2">
        <w:rPr>
          <w:rFonts w:cs="Times New Roman"/>
          <w:lang w:val="fr-CA"/>
        </w:rPr>
        <w:t>, dans R.</w:t>
      </w:r>
      <w:r w:rsidR="00795B2B">
        <w:rPr>
          <w:rFonts w:cs="Times New Roman"/>
          <w:lang w:val="fr-CA"/>
        </w:rPr>
        <w:t xml:space="preserve"> </w:t>
      </w:r>
      <w:proofErr w:type="spellStart"/>
      <w:r w:rsidRPr="00AF17C2">
        <w:rPr>
          <w:rFonts w:cs="Times New Roman"/>
          <w:lang w:val="fr-CA"/>
        </w:rPr>
        <w:t>Gilliland</w:t>
      </w:r>
      <w:proofErr w:type="spellEnd"/>
      <w:r w:rsidRPr="00AF17C2">
        <w:rPr>
          <w:rFonts w:cs="Times New Roman"/>
          <w:lang w:val="fr-CA"/>
        </w:rPr>
        <w:t xml:space="preserve">, </w:t>
      </w:r>
      <w:proofErr w:type="spellStart"/>
      <w:r w:rsidRPr="00AF17C2">
        <w:rPr>
          <w:rFonts w:cs="Times New Roman"/>
          <w:lang w:val="fr-CA"/>
        </w:rPr>
        <w:t>dir</w:t>
      </w:r>
      <w:proofErr w:type="spellEnd"/>
      <w:r w:rsidRPr="00AF17C2">
        <w:rPr>
          <w:rFonts w:cs="Times New Roman"/>
          <w:lang w:val="fr-CA"/>
        </w:rPr>
        <w:t xml:space="preserve">., </w:t>
      </w:r>
      <w:r w:rsidRPr="00AF17C2">
        <w:rPr>
          <w:rFonts w:cs="Times New Roman"/>
          <w:i/>
          <w:lang w:val="fr-CA"/>
        </w:rPr>
        <w:t xml:space="preserve">The Charter at </w:t>
      </w:r>
      <w:proofErr w:type="spellStart"/>
      <w:r w:rsidRPr="00AF17C2">
        <w:rPr>
          <w:rFonts w:cs="Times New Roman"/>
          <w:i/>
          <w:lang w:val="fr-CA"/>
        </w:rPr>
        <w:t>Thirty</w:t>
      </w:r>
      <w:proofErr w:type="spellEnd"/>
      <w:r w:rsidRPr="00AF17C2">
        <w:rPr>
          <w:rFonts w:cs="Times New Roman"/>
          <w:lang w:val="fr-CA"/>
        </w:rPr>
        <w:t xml:space="preserve"> (2012),</w:t>
      </w:r>
      <w:r w:rsidRPr="00AF17C2">
        <w:rPr>
          <w:rFonts w:cs="Times New Roman"/>
          <w:i/>
          <w:lang w:val="fr-CA"/>
        </w:rPr>
        <w:t xml:space="preserve"> </w:t>
      </w:r>
      <w:r w:rsidRPr="00AF17C2">
        <w:rPr>
          <w:rFonts w:cs="Times New Roman"/>
          <w:lang w:val="fr-CA"/>
        </w:rPr>
        <w:t>1; H.</w:t>
      </w:r>
      <w:r w:rsidR="00795B2B">
        <w:rPr>
          <w:rFonts w:cs="Times New Roman"/>
          <w:lang w:val="fr-CA"/>
        </w:rPr>
        <w:t xml:space="preserve"> </w:t>
      </w:r>
      <w:r w:rsidRPr="00AF17C2">
        <w:rPr>
          <w:rFonts w:cs="Times New Roman"/>
          <w:lang w:val="fr-CA"/>
        </w:rPr>
        <w:t>Brun, G.</w:t>
      </w:r>
      <w:r w:rsidR="00795B2B">
        <w:rPr>
          <w:rFonts w:cs="Times New Roman"/>
          <w:lang w:val="fr-CA"/>
        </w:rPr>
        <w:t xml:space="preserve"> </w:t>
      </w:r>
      <w:r w:rsidRPr="00AF17C2">
        <w:rPr>
          <w:rFonts w:cs="Times New Roman"/>
          <w:lang w:val="fr-CA"/>
        </w:rPr>
        <w:t>Tremblay et E.</w:t>
      </w:r>
      <w:r w:rsidR="00795B2B">
        <w:rPr>
          <w:rFonts w:cs="Times New Roman"/>
          <w:lang w:val="fr-CA"/>
        </w:rPr>
        <w:t xml:space="preserve"> </w:t>
      </w:r>
      <w:r w:rsidRPr="00AF17C2">
        <w:rPr>
          <w:rFonts w:cs="Times New Roman"/>
          <w:lang w:val="fr-CA"/>
        </w:rPr>
        <w:t xml:space="preserve">Brouillet, </w:t>
      </w:r>
      <w:r w:rsidRPr="00AF17C2">
        <w:rPr>
          <w:rFonts w:cs="Times New Roman"/>
          <w:i/>
          <w:lang w:val="fr-CA"/>
        </w:rPr>
        <w:t xml:space="preserve">Droit constitutionnel </w:t>
      </w:r>
      <w:r w:rsidRPr="00AF17C2">
        <w:rPr>
          <w:rFonts w:cs="Times New Roman"/>
          <w:lang w:val="fr-CA"/>
        </w:rPr>
        <w:t>(5</w:t>
      </w:r>
      <w:r w:rsidRPr="00AF17C2">
        <w:rPr>
          <w:rFonts w:cs="Times New Roman"/>
          <w:vertAlign w:val="superscript"/>
          <w:lang w:val="fr-CA"/>
        </w:rPr>
        <w:t>e</w:t>
      </w:r>
      <w:r w:rsidR="00795B2B">
        <w:rPr>
          <w:rFonts w:cs="Times New Roman"/>
          <w:lang w:val="fr-CA"/>
        </w:rPr>
        <w:t xml:space="preserve"> </w:t>
      </w:r>
      <w:r w:rsidRPr="00AF17C2">
        <w:rPr>
          <w:rFonts w:cs="Times New Roman"/>
          <w:lang w:val="fr-CA"/>
        </w:rPr>
        <w:t>éd. 2008), p.</w:t>
      </w:r>
      <w:r w:rsidR="00795B2B">
        <w:rPr>
          <w:rFonts w:cs="Times New Roman"/>
          <w:lang w:val="fr-CA"/>
        </w:rPr>
        <w:t xml:space="preserve"> </w:t>
      </w:r>
      <w:r w:rsidRPr="00AF17C2">
        <w:rPr>
          <w:rFonts w:cs="Times New Roman"/>
          <w:lang w:val="fr-CA"/>
        </w:rPr>
        <w:t>1060). Il est tout aussi essentiel d</w:t>
      </w:r>
      <w:r>
        <w:rPr>
          <w:rFonts w:cs="Times New Roman"/>
          <w:lang w:val="fr-CA"/>
        </w:rPr>
        <w:t>’</w:t>
      </w:r>
      <w:r w:rsidRPr="00AF17C2">
        <w:rPr>
          <w:rFonts w:cs="Times New Roman"/>
          <w:lang w:val="fr-CA"/>
        </w:rPr>
        <w:t>adopter une interprétation contextuelle fondée sur les activités visées à l</w:t>
      </w:r>
      <w:r>
        <w:rPr>
          <w:rFonts w:cs="Times New Roman"/>
          <w:lang w:val="fr-CA"/>
        </w:rPr>
        <w:t>’</w:t>
      </w:r>
      <w:r w:rsidRPr="00AF17C2">
        <w:rPr>
          <w:rFonts w:cs="Times New Roman"/>
          <w:lang w:val="fr-CA"/>
        </w:rPr>
        <w:t>égard de la liberté d</w:t>
      </w:r>
      <w:r>
        <w:rPr>
          <w:rFonts w:cs="Times New Roman"/>
          <w:lang w:val="fr-CA"/>
        </w:rPr>
        <w:t>’</w:t>
      </w:r>
      <w:r w:rsidRPr="00AF17C2">
        <w:rPr>
          <w:rFonts w:cs="Times New Roman"/>
          <w:lang w:val="fr-CA"/>
        </w:rPr>
        <w:t>association. À l</w:t>
      </w:r>
      <w:r>
        <w:rPr>
          <w:rFonts w:cs="Times New Roman"/>
          <w:lang w:val="fr-CA"/>
        </w:rPr>
        <w:t>’</w:t>
      </w:r>
      <w:r w:rsidRPr="00AF17C2">
        <w:rPr>
          <w:rFonts w:cs="Times New Roman"/>
          <w:lang w:val="fr-CA"/>
        </w:rPr>
        <w:t>instar des autres libertés garanties par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2 — la liberté d</w:t>
      </w:r>
      <w:r>
        <w:rPr>
          <w:rFonts w:cs="Times New Roman"/>
          <w:lang w:val="fr-CA"/>
        </w:rPr>
        <w:t>’</w:t>
      </w:r>
      <w:r w:rsidRPr="00AF17C2">
        <w:rPr>
          <w:rFonts w:cs="Times New Roman"/>
          <w:lang w:val="fr-CA"/>
        </w:rPr>
        <w:t>expression, la liberté de conscience et de religion, et la liberté de réunion pacifique —, la liberté d</w:t>
      </w:r>
      <w:r>
        <w:rPr>
          <w:rFonts w:cs="Times New Roman"/>
          <w:lang w:val="fr-CA"/>
        </w:rPr>
        <w:t>’</w:t>
      </w:r>
      <w:r w:rsidRPr="00AF17C2">
        <w:rPr>
          <w:rFonts w:cs="Times New Roman"/>
          <w:lang w:val="fr-CA"/>
        </w:rPr>
        <w:t>association protège des droits de nature fondamentale dans une société libérale et démocratique que forme le Canada.</w:t>
      </w:r>
    </w:p>
    <w:p w:rsidR="007B74A6" w:rsidRPr="00AF17C2" w:rsidRDefault="007B74A6" w:rsidP="00795B2B">
      <w:pPr>
        <w:pStyle w:val="ParaNoNdepar-AltN"/>
        <w:rPr>
          <w:rFonts w:cs="Times New Roman"/>
          <w:lang w:val="fr-CA"/>
        </w:rPr>
      </w:pPr>
      <w:r w:rsidRPr="00AF17C2">
        <w:rPr>
          <w:rFonts w:cs="Times New Roman"/>
          <w:lang w:val="fr-CA"/>
        </w:rPr>
        <w:t>Le droit d</w:t>
      </w:r>
      <w:r>
        <w:rPr>
          <w:rFonts w:cs="Times New Roman"/>
          <w:lang w:val="fr-CA"/>
        </w:rPr>
        <w:t>’</w:t>
      </w:r>
      <w:r w:rsidRPr="00AF17C2">
        <w:rPr>
          <w:rFonts w:cs="Times New Roman"/>
          <w:lang w:val="fr-CA"/>
        </w:rPr>
        <w:t xml:space="preserve">association ne représente pas un droit simplement dérivé des autres droits et libertés garantis par la Constitution. Au contraire, </w:t>
      </w:r>
      <w:r>
        <w:rPr>
          <w:rFonts w:cs="Times New Roman"/>
          <w:lang w:val="fr-CA"/>
        </w:rPr>
        <w:t xml:space="preserve">il </w:t>
      </w:r>
      <w:r w:rsidRPr="00AF17C2">
        <w:rPr>
          <w:rFonts w:cs="Times New Roman"/>
          <w:lang w:val="fr-CA"/>
        </w:rPr>
        <w:t>constitue un droit distinct doté d</w:t>
      </w:r>
      <w:r>
        <w:rPr>
          <w:rFonts w:cs="Times New Roman"/>
          <w:lang w:val="fr-CA"/>
        </w:rPr>
        <w:t>’</w:t>
      </w:r>
      <w:r w:rsidRPr="00AF17C2">
        <w:rPr>
          <w:rFonts w:cs="Times New Roman"/>
          <w:lang w:val="fr-CA"/>
        </w:rPr>
        <w:t>un contenu autre, un droit essentiel au développement et au maintien de la société civile dynamique sur laquelle repose notre démocratie.</w:t>
      </w:r>
    </w:p>
    <w:p w:rsidR="007B74A6" w:rsidRPr="00AF17C2" w:rsidRDefault="007B74A6" w:rsidP="00795B2B">
      <w:pPr>
        <w:pStyle w:val="ParaNoNdepar-AltN"/>
        <w:rPr>
          <w:rFonts w:cs="Times New Roman"/>
          <w:lang w:val="fr-CA"/>
        </w:rPr>
      </w:pPr>
      <w:r w:rsidRPr="00AF17C2">
        <w:rPr>
          <w:rFonts w:cs="Times New Roman"/>
          <w:lang w:val="fr-CA"/>
        </w:rPr>
        <w:lastRenderedPageBreak/>
        <w:t>Par ailleurs, les objectifs qui sous</w:t>
      </w:r>
      <w:r w:rsidR="00795B2B">
        <w:rPr>
          <w:rFonts w:cs="Times New Roman"/>
          <w:lang w:val="fr-CA"/>
        </w:rPr>
        <w:t>-</w:t>
      </w:r>
      <w:r w:rsidRPr="00AF17C2">
        <w:rPr>
          <w:rFonts w:cs="Times New Roman"/>
          <w:lang w:val="fr-CA"/>
        </w:rPr>
        <w:t xml:space="preserve">tendent les droits et libertés garantis par la </w:t>
      </w:r>
      <w:r w:rsidRPr="00AF17C2">
        <w:rPr>
          <w:rFonts w:cs="Times New Roman"/>
          <w:i/>
          <w:lang w:val="fr-CA"/>
        </w:rPr>
        <w:t>Charte</w:t>
      </w:r>
      <w:r w:rsidRPr="00AF17C2">
        <w:rPr>
          <w:rFonts w:cs="Times New Roman"/>
          <w:lang w:val="fr-CA"/>
        </w:rPr>
        <w:t xml:space="preserve"> peuvent atteindre divers niveaux d</w:t>
      </w:r>
      <w:r>
        <w:rPr>
          <w:rFonts w:cs="Times New Roman"/>
          <w:lang w:val="fr-CA"/>
        </w:rPr>
        <w:t>’</w:t>
      </w:r>
      <w:r w:rsidRPr="00AF17C2">
        <w:rPr>
          <w:rFonts w:cs="Times New Roman"/>
          <w:lang w:val="fr-CA"/>
        </w:rPr>
        <w:t xml:space="preserve">abstraction. Au niveau le plus élevé, une interprétation téléologique doit être compatible avec les </w:t>
      </w:r>
      <w:r w:rsidR="00795B2B">
        <w:rPr>
          <w:rFonts w:cs="Times New Roman"/>
          <w:lang w:val="fr-CA"/>
        </w:rPr>
        <w:t>« </w:t>
      </w:r>
      <w:r w:rsidRPr="00AF17C2">
        <w:rPr>
          <w:rFonts w:cs="Times New Roman"/>
          <w:lang w:val="fr-CA"/>
        </w:rPr>
        <w:t xml:space="preserve">objectifs plus larges de la </w:t>
      </w:r>
      <w:r w:rsidRPr="00AF17C2">
        <w:rPr>
          <w:rFonts w:cs="Times New Roman"/>
          <w:i/>
          <w:lang w:val="fr-CA"/>
        </w:rPr>
        <w:t>Charte</w:t>
      </w:r>
      <w:r w:rsidR="00795B2B">
        <w:rPr>
          <w:rFonts w:cs="Times New Roman"/>
          <w:lang w:val="fr-CA"/>
        </w:rPr>
        <w:t> »</w:t>
      </w:r>
      <w:r w:rsidRPr="00AF17C2">
        <w:rPr>
          <w:rFonts w:cs="Times New Roman"/>
          <w:lang w:val="fr-CA"/>
        </w:rPr>
        <w:t xml:space="preserve">, y compris les </w:t>
      </w:r>
      <w:r w:rsidR="00795B2B">
        <w:rPr>
          <w:rFonts w:cs="Times New Roman"/>
          <w:lang w:val="fr-CA"/>
        </w:rPr>
        <w:t>« </w:t>
      </w:r>
      <w:r w:rsidRPr="00AF17C2">
        <w:rPr>
          <w:rFonts w:cs="Times New Roman"/>
          <w:lang w:val="fr-CA"/>
        </w:rPr>
        <w:t>convictions fondamentales quant à la valeur et à la dignité de l</w:t>
      </w:r>
      <w:r>
        <w:rPr>
          <w:rFonts w:cs="Times New Roman"/>
          <w:lang w:val="fr-CA"/>
        </w:rPr>
        <w:t>’</w:t>
      </w:r>
      <w:r w:rsidRPr="00AF17C2">
        <w:rPr>
          <w:rFonts w:cs="Times New Roman"/>
          <w:lang w:val="fr-CA"/>
        </w:rPr>
        <w:t>être humain</w:t>
      </w:r>
      <w:r w:rsidR="00795B2B">
        <w:rPr>
          <w:rFonts w:cs="Times New Roman"/>
          <w:lang w:val="fr-CA"/>
        </w:rPr>
        <w:t> »</w:t>
      </w:r>
      <w:r w:rsidRPr="00AF17C2">
        <w:rPr>
          <w:rFonts w:cs="Times New Roman"/>
          <w:lang w:val="fr-CA"/>
        </w:rPr>
        <w:t xml:space="preserve"> et le maintien d</w:t>
      </w:r>
      <w:r>
        <w:rPr>
          <w:rFonts w:cs="Times New Roman"/>
          <w:lang w:val="fr-CA"/>
        </w:rPr>
        <w:t>’</w:t>
      </w:r>
      <w:r w:rsidRPr="00AF17C2">
        <w:rPr>
          <w:rFonts w:cs="Times New Roman"/>
          <w:lang w:val="fr-CA"/>
        </w:rPr>
        <w:t xml:space="preserve">un </w:t>
      </w:r>
      <w:r w:rsidR="00795B2B">
        <w:rPr>
          <w:rFonts w:cs="Times New Roman"/>
          <w:lang w:val="fr-CA"/>
        </w:rPr>
        <w:t>« </w:t>
      </w:r>
      <w:r w:rsidRPr="00AF17C2">
        <w:rPr>
          <w:rFonts w:cs="Times New Roman"/>
          <w:lang w:val="fr-CA"/>
        </w:rPr>
        <w:t>système politique libre et démocratique</w:t>
      </w:r>
      <w:r w:rsidR="00795B2B">
        <w:rPr>
          <w:rFonts w:cs="Times New Roman"/>
          <w:lang w:val="fr-CA"/>
        </w:rPr>
        <w:t> »</w:t>
      </w:r>
      <w:r w:rsidRPr="00AF17C2">
        <w:rPr>
          <w:rFonts w:cs="Times New Roman"/>
          <w:lang w:val="fr-CA"/>
        </w:rPr>
        <w:t xml:space="preserve"> (</w:t>
      </w:r>
      <w:proofErr w:type="spellStart"/>
      <w:r w:rsidRPr="00AF17C2">
        <w:rPr>
          <w:rFonts w:cs="Times New Roman"/>
          <w:i/>
          <w:lang w:val="fr-CA"/>
        </w:rPr>
        <w:t>Big</w:t>
      </w:r>
      <w:proofErr w:type="spellEnd"/>
      <w:r w:rsidR="00795B2B">
        <w:rPr>
          <w:rFonts w:cs="Times New Roman"/>
          <w:i/>
          <w:lang w:val="fr-CA"/>
        </w:rPr>
        <w:t xml:space="preserve"> </w:t>
      </w:r>
      <w:r w:rsidRPr="00AF17C2">
        <w:rPr>
          <w:rFonts w:cs="Times New Roman"/>
          <w:i/>
          <w:lang w:val="fr-CA"/>
        </w:rPr>
        <w:t>M</w:t>
      </w:r>
      <w:r w:rsidR="00795B2B">
        <w:rPr>
          <w:rFonts w:cs="Times New Roman"/>
          <w:i/>
          <w:lang w:val="fr-CA"/>
        </w:rPr>
        <w:t xml:space="preserve"> </w:t>
      </w:r>
      <w:r w:rsidRPr="00AF17C2">
        <w:rPr>
          <w:rFonts w:cs="Times New Roman"/>
          <w:i/>
          <w:lang w:val="fr-CA"/>
        </w:rPr>
        <w:t>Drug</w:t>
      </w:r>
      <w:r w:rsidR="00795B2B">
        <w:rPr>
          <w:rFonts w:cs="Times New Roman"/>
          <w:i/>
          <w:lang w:val="fr-CA"/>
        </w:rPr>
        <w:t xml:space="preserve"> </w:t>
      </w:r>
      <w:proofErr w:type="spellStart"/>
      <w:r w:rsidRPr="00AF17C2">
        <w:rPr>
          <w:rFonts w:cs="Times New Roman"/>
          <w:i/>
          <w:lang w:val="fr-CA"/>
        </w:rPr>
        <w:t>Mart</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 xml:space="preserve">344 et 346; voir aussi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81). Cela dit, s</w:t>
      </w:r>
      <w:r>
        <w:rPr>
          <w:rFonts w:cs="Times New Roman"/>
          <w:lang w:val="fr-CA"/>
        </w:rPr>
        <w:t>’</w:t>
      </w:r>
      <w:r w:rsidRPr="00AF17C2">
        <w:rPr>
          <w:rFonts w:cs="Times New Roman"/>
          <w:lang w:val="fr-CA"/>
        </w:rPr>
        <w:t xml:space="preserve">il faut certes donner aux droits et libertés protégés par la </w:t>
      </w:r>
      <w:r w:rsidRPr="00AF17C2">
        <w:rPr>
          <w:rFonts w:cs="Times New Roman"/>
          <w:i/>
          <w:lang w:val="fr-CA"/>
        </w:rPr>
        <w:t>Charte</w:t>
      </w:r>
      <w:r w:rsidRPr="00AF17C2">
        <w:rPr>
          <w:rFonts w:cs="Times New Roman"/>
          <w:lang w:val="fr-CA"/>
        </w:rPr>
        <w:t xml:space="preserve"> une interprétation large et libérale, une analyse téléologique exige aussi que les tribunaux examinent l</w:t>
      </w:r>
      <w:r>
        <w:rPr>
          <w:rFonts w:cs="Times New Roman"/>
          <w:lang w:val="fr-CA"/>
        </w:rPr>
        <w:t>’</w:t>
      </w:r>
      <w:r w:rsidRPr="00AF17C2">
        <w:rPr>
          <w:rFonts w:cs="Times New Roman"/>
          <w:lang w:val="fr-CA"/>
        </w:rPr>
        <w:t>objectif le plus concret — ou l</w:t>
      </w:r>
      <w:r>
        <w:rPr>
          <w:rFonts w:cs="Times New Roman"/>
          <w:lang w:val="fr-CA"/>
        </w:rPr>
        <w:t>’</w:t>
      </w:r>
      <w:r w:rsidRPr="00AF17C2">
        <w:rPr>
          <w:rFonts w:cs="Times New Roman"/>
          <w:lang w:val="fr-CA"/>
        </w:rPr>
        <w:t>ensemble des objectifs les plus concrets — qui sous</w:t>
      </w:r>
      <w:r w:rsidR="00795B2B">
        <w:rPr>
          <w:rFonts w:cs="Times New Roman"/>
          <w:lang w:val="fr-CA"/>
        </w:rPr>
        <w:t>-</w:t>
      </w:r>
      <w:r w:rsidRPr="00AF17C2">
        <w:rPr>
          <w:rFonts w:cs="Times New Roman"/>
          <w:lang w:val="fr-CA"/>
        </w:rPr>
        <w:t>tend le droit ou la liberté en cause, eu égard à son historique et à son contexte global. C</w:t>
      </w:r>
      <w:r>
        <w:rPr>
          <w:rFonts w:cs="Times New Roman"/>
          <w:lang w:val="fr-CA"/>
        </w:rPr>
        <w:t>’</w:t>
      </w:r>
      <w:r w:rsidRPr="00AF17C2">
        <w:rPr>
          <w:rFonts w:cs="Times New Roman"/>
          <w:lang w:val="fr-CA"/>
        </w:rPr>
        <w:t>est la tâche à laquelle nous allons maintenant nous livrer au sujet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Title3LevelTitre3Niveau"/>
        <w:ind w:left="1077"/>
        <w:rPr>
          <w:rFonts w:cs="Times New Roman"/>
          <w:lang w:val="fr-CA"/>
        </w:rPr>
      </w:pPr>
      <w:r w:rsidRPr="00AF17C2">
        <w:rPr>
          <w:rFonts w:cs="Times New Roman"/>
          <w:lang w:val="fr-CA"/>
        </w:rPr>
        <w:t>Le contenu de la protection conférée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rPr>
          <w:rFonts w:cs="Times New Roman"/>
          <w:lang w:val="fr-CA"/>
        </w:rPr>
      </w:pPr>
      <w:r w:rsidRPr="00AF17C2">
        <w:rPr>
          <w:rFonts w:cs="Times New Roman"/>
          <w:lang w:val="fr-CA"/>
        </w:rPr>
        <w:t xml:space="preserve">Dans le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le juge en chef Dickson, dissident, a énoncé trois approches possibles quant à l</w:t>
      </w:r>
      <w:r>
        <w:rPr>
          <w:rFonts w:cs="Times New Roman"/>
          <w:lang w:val="fr-CA"/>
        </w:rPr>
        <w:t>’</w:t>
      </w:r>
      <w:r w:rsidRPr="00AF17C2">
        <w:rPr>
          <w:rFonts w:cs="Times New Roman"/>
          <w:lang w:val="fr-CA"/>
        </w:rPr>
        <w:t>interprétation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r w:rsidR="00795B2B">
        <w:rPr>
          <w:rFonts w:cs="Times New Roman"/>
          <w:lang w:val="fr-CA"/>
        </w:rPr>
        <w:t> :</w:t>
      </w:r>
      <w:r w:rsidRPr="00AF17C2">
        <w:rPr>
          <w:rFonts w:cs="Times New Roman"/>
          <w:lang w:val="fr-CA"/>
        </w:rPr>
        <w:t xml:space="preserve"> l</w:t>
      </w:r>
      <w:r>
        <w:rPr>
          <w:rFonts w:cs="Times New Roman"/>
          <w:lang w:val="fr-CA"/>
        </w:rPr>
        <w:t>’</w:t>
      </w:r>
      <w:r w:rsidRPr="00AF17C2">
        <w:rPr>
          <w:rFonts w:cs="Times New Roman"/>
          <w:lang w:val="fr-CA"/>
        </w:rPr>
        <w:t>approche constitutive, l</w:t>
      </w:r>
      <w:r>
        <w:rPr>
          <w:rFonts w:cs="Times New Roman"/>
          <w:lang w:val="fr-CA"/>
        </w:rPr>
        <w:t>’</w:t>
      </w:r>
      <w:r w:rsidRPr="00AF17C2">
        <w:rPr>
          <w:rFonts w:cs="Times New Roman"/>
          <w:lang w:val="fr-CA"/>
        </w:rPr>
        <w:t>approche déductive et l</w:t>
      </w:r>
      <w:r>
        <w:rPr>
          <w:rFonts w:cs="Times New Roman"/>
          <w:lang w:val="fr-CA"/>
        </w:rPr>
        <w:t>’</w:t>
      </w:r>
      <w:r w:rsidRPr="00AF17C2">
        <w:rPr>
          <w:rFonts w:cs="Times New Roman"/>
          <w:lang w:val="fr-CA"/>
        </w:rPr>
        <w:t xml:space="preserve">approche téléologique. </w:t>
      </w:r>
      <w:proofErr w:type="gramStart"/>
      <w:r w:rsidRPr="00AF17C2">
        <w:rPr>
          <w:rFonts w:cs="Times New Roman"/>
          <w:lang w:val="fr-CA"/>
        </w:rPr>
        <w:t>Nous concluons</w:t>
      </w:r>
      <w:proofErr w:type="gramEnd"/>
      <w:r w:rsidRPr="00AF17C2">
        <w:rPr>
          <w:rFonts w:cs="Times New Roman"/>
          <w:lang w:val="fr-CA"/>
        </w:rPr>
        <w:t xml:space="preserve">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chacun des aspects de la liberté d</w:t>
      </w:r>
      <w:r>
        <w:rPr>
          <w:rFonts w:cs="Times New Roman"/>
          <w:lang w:val="fr-CA"/>
        </w:rPr>
        <w:t>’</w:t>
      </w:r>
      <w:r w:rsidRPr="00AF17C2">
        <w:rPr>
          <w:rFonts w:cs="Times New Roman"/>
          <w:lang w:val="fr-CA"/>
        </w:rPr>
        <w:t>association visés par ces approches.</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approche la plus restrictive, soit l</w:t>
      </w:r>
      <w:r>
        <w:rPr>
          <w:rFonts w:cs="Times New Roman"/>
          <w:lang w:val="fr-CA"/>
        </w:rPr>
        <w:t>’</w:t>
      </w:r>
      <w:r w:rsidRPr="00AF17C2">
        <w:rPr>
          <w:rFonts w:cs="Times New Roman"/>
          <w:lang w:val="fr-CA"/>
        </w:rPr>
        <w:t xml:space="preserve">approche </w:t>
      </w:r>
      <w:r w:rsidR="00795B2B">
        <w:rPr>
          <w:rFonts w:cs="Times New Roman"/>
          <w:lang w:val="fr-CA"/>
        </w:rPr>
        <w:t>« </w:t>
      </w:r>
      <w:r w:rsidRPr="00AF17C2">
        <w:rPr>
          <w:rFonts w:cs="Times New Roman"/>
          <w:lang w:val="fr-CA"/>
        </w:rPr>
        <w:t>constitutive</w:t>
      </w:r>
      <w:r w:rsidR="00795B2B">
        <w:rPr>
          <w:rFonts w:cs="Times New Roman"/>
          <w:lang w:val="fr-CA"/>
        </w:rPr>
        <w:t> »</w:t>
      </w:r>
      <w:r w:rsidRPr="00AF17C2">
        <w:rPr>
          <w:rFonts w:cs="Times New Roman"/>
          <w:lang w:val="fr-CA"/>
        </w:rPr>
        <w:t>, ne protège que le simple droit d</w:t>
      </w:r>
      <w:r>
        <w:rPr>
          <w:rFonts w:cs="Times New Roman"/>
          <w:lang w:val="fr-CA"/>
        </w:rPr>
        <w:t>’</w:t>
      </w:r>
      <w:r w:rsidRPr="00AF17C2">
        <w:rPr>
          <w:rFonts w:cs="Times New Roman"/>
          <w:lang w:val="fr-CA"/>
        </w:rPr>
        <w:t>appartenir à une association ou de la constituer. L</w:t>
      </w:r>
      <w:r>
        <w:rPr>
          <w:rFonts w:cs="Times New Roman"/>
          <w:lang w:val="fr-CA"/>
        </w:rPr>
        <w:t>’</w:t>
      </w:r>
      <w:r w:rsidRPr="00AF17C2">
        <w:rPr>
          <w:rFonts w:cs="Times New Roman"/>
          <w:lang w:val="fr-CA"/>
        </w:rPr>
        <w:t>État n</w:t>
      </w:r>
      <w:r>
        <w:rPr>
          <w:rFonts w:cs="Times New Roman"/>
          <w:lang w:val="fr-CA"/>
        </w:rPr>
        <w:t>’</w:t>
      </w:r>
      <w:r w:rsidRPr="00AF17C2">
        <w:rPr>
          <w:rFonts w:cs="Times New Roman"/>
          <w:lang w:val="fr-CA"/>
        </w:rPr>
        <w:t>aurait donc pas le droit d</w:t>
      </w:r>
      <w:r>
        <w:rPr>
          <w:rFonts w:cs="Times New Roman"/>
          <w:lang w:val="fr-CA"/>
        </w:rPr>
        <w:t>’</w:t>
      </w:r>
      <w:r w:rsidRPr="00AF17C2">
        <w:rPr>
          <w:rFonts w:cs="Times New Roman"/>
          <w:lang w:val="fr-CA"/>
        </w:rPr>
        <w:t xml:space="preserve">empêcher les gens de se réunir ou de constituer des associations, mais il pourrait intervenir dans les </w:t>
      </w:r>
      <w:r w:rsidRPr="00AF17C2">
        <w:rPr>
          <w:rFonts w:cs="Times New Roman"/>
          <w:i/>
          <w:lang w:val="fr-CA"/>
        </w:rPr>
        <w:t>activités</w:t>
      </w:r>
      <w:r w:rsidRPr="00AF17C2">
        <w:rPr>
          <w:rFonts w:cs="Times New Roman"/>
          <w:lang w:val="fr-CA"/>
        </w:rPr>
        <w:t xml:space="preserve"> exercées par les associations ainsi formées. Cette protection, bien qu</w:t>
      </w:r>
      <w:r>
        <w:rPr>
          <w:rFonts w:cs="Times New Roman"/>
          <w:lang w:val="fr-CA"/>
        </w:rPr>
        <w:t>’</w:t>
      </w:r>
      <w:r w:rsidRPr="00AF17C2">
        <w:rPr>
          <w:rFonts w:cs="Times New Roman"/>
          <w:lang w:val="fr-CA"/>
        </w:rPr>
        <w:t>étroite, n</w:t>
      </w:r>
      <w:r>
        <w:rPr>
          <w:rFonts w:cs="Times New Roman"/>
          <w:lang w:val="fr-CA"/>
        </w:rPr>
        <w:t>’</w:t>
      </w:r>
      <w:r w:rsidRPr="00AF17C2">
        <w:rPr>
          <w:rFonts w:cs="Times New Roman"/>
          <w:lang w:val="fr-CA"/>
        </w:rPr>
        <w:t>est pas négligeable. L</w:t>
      </w:r>
      <w:r>
        <w:rPr>
          <w:rFonts w:cs="Times New Roman"/>
          <w:lang w:val="fr-CA"/>
        </w:rPr>
        <w:t>’</w:t>
      </w:r>
      <w:r w:rsidRPr="00AF17C2">
        <w:rPr>
          <w:rFonts w:cs="Times New Roman"/>
          <w:lang w:val="fr-CA"/>
        </w:rPr>
        <w:t>histoire donne de nombreux exemples d</w:t>
      </w:r>
      <w:r>
        <w:rPr>
          <w:rFonts w:cs="Times New Roman"/>
          <w:lang w:val="fr-CA"/>
        </w:rPr>
        <w:t>’</w:t>
      </w:r>
      <w:r w:rsidRPr="00AF17C2">
        <w:rPr>
          <w:rFonts w:cs="Times New Roman"/>
          <w:lang w:val="fr-CA"/>
        </w:rPr>
        <w:t xml:space="preserve">États qui ont interdit les associations ou empêché les citoyens </w:t>
      </w:r>
      <w:r w:rsidRPr="00AF17C2">
        <w:rPr>
          <w:rFonts w:cs="Times New Roman"/>
          <w:lang w:val="fr-CA"/>
        </w:rPr>
        <w:lastRenderedPageBreak/>
        <w:t>de s</w:t>
      </w:r>
      <w:r>
        <w:rPr>
          <w:rFonts w:cs="Times New Roman"/>
          <w:lang w:val="fr-CA"/>
        </w:rPr>
        <w:t>’</w:t>
      </w:r>
      <w:r w:rsidRPr="00AF17C2">
        <w:rPr>
          <w:rFonts w:cs="Times New Roman"/>
          <w:lang w:val="fr-CA"/>
        </w:rPr>
        <w:t>associer, soit de façon absolue, soit en restreignant le nombre de personnes autorisées à se regrouper dans un but précis.</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 xml:space="preserve">approche </w:t>
      </w:r>
      <w:r w:rsidR="00795B2B">
        <w:rPr>
          <w:rFonts w:cs="Times New Roman"/>
          <w:lang w:val="fr-CA"/>
        </w:rPr>
        <w:t>« </w:t>
      </w:r>
      <w:r w:rsidRPr="00AF17C2">
        <w:rPr>
          <w:rFonts w:cs="Times New Roman"/>
          <w:lang w:val="fr-CA"/>
        </w:rPr>
        <w:t>déductive</w:t>
      </w:r>
      <w:r w:rsidR="00795B2B">
        <w:rPr>
          <w:rFonts w:cs="Times New Roman"/>
          <w:lang w:val="fr-CA"/>
        </w:rPr>
        <w:t> »</w:t>
      </w:r>
      <w:r w:rsidRPr="00AF17C2">
        <w:rPr>
          <w:rFonts w:cs="Times New Roman"/>
          <w:lang w:val="fr-CA"/>
        </w:rPr>
        <w:t xml:space="preserve"> protège non seulement le droit de s</w:t>
      </w:r>
      <w:r>
        <w:rPr>
          <w:rFonts w:cs="Times New Roman"/>
          <w:lang w:val="fr-CA"/>
        </w:rPr>
        <w:t>’</w:t>
      </w:r>
      <w:r w:rsidRPr="00AF17C2">
        <w:rPr>
          <w:rFonts w:cs="Times New Roman"/>
          <w:lang w:val="fr-CA"/>
        </w:rPr>
        <w:t>associer, mais aussi celui d</w:t>
      </w:r>
      <w:r>
        <w:rPr>
          <w:rFonts w:cs="Times New Roman"/>
          <w:lang w:val="fr-CA"/>
        </w:rPr>
        <w:t>’</w:t>
      </w:r>
      <w:r w:rsidRPr="00AF17C2">
        <w:rPr>
          <w:rFonts w:cs="Times New Roman"/>
          <w:lang w:val="fr-CA"/>
        </w:rPr>
        <w:t xml:space="preserve">exercer des </w:t>
      </w:r>
      <w:r w:rsidRPr="00AF17C2">
        <w:rPr>
          <w:rFonts w:cs="Times New Roman"/>
          <w:i/>
          <w:lang w:val="fr-CA"/>
        </w:rPr>
        <w:t>activités</w:t>
      </w:r>
      <w:r w:rsidRPr="00AF17C2">
        <w:rPr>
          <w:rFonts w:cs="Times New Roman"/>
          <w:lang w:val="fr-CA"/>
        </w:rPr>
        <w:t xml:space="preserve"> associatives qui s</w:t>
      </w:r>
      <w:r>
        <w:rPr>
          <w:rFonts w:cs="Times New Roman"/>
          <w:lang w:val="fr-CA"/>
        </w:rPr>
        <w:t>’</w:t>
      </w:r>
      <w:r w:rsidRPr="00AF17C2">
        <w:rPr>
          <w:rFonts w:cs="Times New Roman"/>
          <w:lang w:val="fr-CA"/>
        </w:rPr>
        <w:t>attachent expressément à d</w:t>
      </w:r>
      <w:r>
        <w:rPr>
          <w:rFonts w:cs="Times New Roman"/>
          <w:lang w:val="fr-CA"/>
        </w:rPr>
        <w:t>’</w:t>
      </w:r>
      <w:r w:rsidRPr="00AF17C2">
        <w:rPr>
          <w:rFonts w:cs="Times New Roman"/>
          <w:lang w:val="fr-CA"/>
        </w:rPr>
        <w:t>autres libertés constitutionnelles. Cette approche est appliquée aux États</w:t>
      </w:r>
      <w:r w:rsidR="00795B2B">
        <w:rPr>
          <w:rFonts w:cs="Times New Roman"/>
          <w:lang w:val="fr-CA"/>
        </w:rPr>
        <w:t>-</w:t>
      </w:r>
      <w:r w:rsidRPr="00AF17C2">
        <w:rPr>
          <w:rFonts w:cs="Times New Roman"/>
          <w:lang w:val="fr-CA"/>
        </w:rPr>
        <w:t>Unis, où la liberté d</w:t>
      </w:r>
      <w:r>
        <w:rPr>
          <w:rFonts w:cs="Times New Roman"/>
          <w:lang w:val="fr-CA"/>
        </w:rPr>
        <w:t>’</w:t>
      </w:r>
      <w:r w:rsidRPr="00AF17C2">
        <w:rPr>
          <w:rFonts w:cs="Times New Roman"/>
          <w:lang w:val="fr-CA"/>
        </w:rPr>
        <w:t>association est reconnue dans la mesure où elle renforce d</w:t>
      </w:r>
      <w:r>
        <w:rPr>
          <w:rFonts w:cs="Times New Roman"/>
          <w:lang w:val="fr-CA"/>
        </w:rPr>
        <w:t>’</w:t>
      </w:r>
      <w:r w:rsidRPr="00AF17C2">
        <w:rPr>
          <w:rFonts w:cs="Times New Roman"/>
          <w:lang w:val="fr-CA"/>
        </w:rPr>
        <w:t>autres droits constitutionnels comme la liberté de religion et les droits politiques. Sous cette réserve, les activités associatives ne jouissent pas d</w:t>
      </w:r>
      <w:r>
        <w:rPr>
          <w:rFonts w:cs="Times New Roman"/>
          <w:lang w:val="fr-CA"/>
        </w:rPr>
        <w:t>’</w:t>
      </w:r>
      <w:r w:rsidRPr="00AF17C2">
        <w:rPr>
          <w:rFonts w:cs="Times New Roman"/>
          <w:lang w:val="fr-CA"/>
        </w:rPr>
        <w:t>une protection constitutionnelle.</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 xml:space="preserve">approche téléologique, adoptée par le juge en chef Dickson dans le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définit le contenu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au regard de l</w:t>
      </w:r>
      <w:r>
        <w:rPr>
          <w:rFonts w:cs="Times New Roman"/>
          <w:lang w:val="fr-CA"/>
        </w:rPr>
        <w:t>’</w:t>
      </w:r>
      <w:r w:rsidRPr="00AF17C2">
        <w:rPr>
          <w:rFonts w:cs="Times New Roman"/>
          <w:lang w:val="fr-CA"/>
        </w:rPr>
        <w:t>objet de la protection du droit d</w:t>
      </w:r>
      <w:r>
        <w:rPr>
          <w:rFonts w:cs="Times New Roman"/>
          <w:lang w:val="fr-CA"/>
        </w:rPr>
        <w:t>’</w:t>
      </w:r>
      <w:r w:rsidRPr="00AF17C2">
        <w:rPr>
          <w:rFonts w:cs="Times New Roman"/>
          <w:lang w:val="fr-CA"/>
        </w:rPr>
        <w:t>association, soit de</w:t>
      </w:r>
      <w:r w:rsidR="00795B2B">
        <w:rPr>
          <w:rFonts w:cs="Times New Roman"/>
          <w:lang w:val="fr-CA"/>
        </w:rPr>
        <w:t> :</w:t>
      </w:r>
      <w:r w:rsidRPr="00AF17C2">
        <w:rPr>
          <w:rFonts w:cs="Times New Roman"/>
          <w:lang w:val="fr-CA"/>
        </w:rPr>
        <w:t xml:space="preserve"> </w:t>
      </w:r>
      <w:proofErr w:type="gramStart"/>
      <w:r w:rsidR="00795B2B">
        <w:rPr>
          <w:rFonts w:cs="Times New Roman"/>
          <w:lang w:val="fr-CA"/>
        </w:rPr>
        <w:t>« .</w:t>
      </w:r>
      <w:proofErr w:type="gramEnd"/>
      <w:r w:rsidR="00795B2B">
        <w:rPr>
          <w:rFonts w:cs="Times New Roman"/>
          <w:lang w:val="fr-CA"/>
        </w:rPr>
        <w:t> . .</w:t>
      </w:r>
      <w:r w:rsidRPr="00AF17C2">
        <w:rPr>
          <w:rFonts w:cs="Times New Roman"/>
          <w:lang w:val="fr-CA"/>
        </w:rPr>
        <w:t xml:space="preserve"> reconnaître la nature sociale profonde des entreprises humaines et [de] protéger l</w:t>
      </w:r>
      <w:r>
        <w:rPr>
          <w:rFonts w:cs="Times New Roman"/>
          <w:lang w:val="fr-CA"/>
        </w:rPr>
        <w:t>’</w:t>
      </w:r>
      <w:r w:rsidRPr="00AF17C2">
        <w:rPr>
          <w:rFonts w:cs="Times New Roman"/>
          <w:lang w:val="fr-CA"/>
        </w:rPr>
        <w:t>individu contre tout isolement imposé par l</w:t>
      </w:r>
      <w:r>
        <w:rPr>
          <w:rFonts w:cs="Times New Roman"/>
          <w:lang w:val="fr-CA"/>
        </w:rPr>
        <w:t>’É</w:t>
      </w:r>
      <w:r w:rsidRPr="00AF17C2">
        <w:rPr>
          <w:rFonts w:cs="Times New Roman"/>
          <w:lang w:val="fr-CA"/>
        </w:rPr>
        <w:t>tat dans la poursuite de ses fins</w:t>
      </w:r>
      <w:r w:rsidR="00795B2B">
        <w:rPr>
          <w:rFonts w:cs="Times New Roman"/>
          <w:lang w:val="fr-CA"/>
        </w:rPr>
        <w:t> »</w:t>
      </w:r>
      <w:r w:rsidRPr="00AF17C2">
        <w:rPr>
          <w:rFonts w:cs="Times New Roman"/>
          <w:lang w:val="fr-CA"/>
        </w:rPr>
        <w:t xml:space="preserv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p.</w:t>
      </w:r>
      <w:r w:rsidR="00795B2B">
        <w:rPr>
          <w:rFonts w:cs="Times New Roman"/>
          <w:lang w:val="fr-CA"/>
        </w:rPr>
        <w:t xml:space="preserve"> </w:t>
      </w:r>
      <w:r w:rsidRPr="00AF17C2">
        <w:rPr>
          <w:rFonts w:cs="Times New Roman"/>
          <w:lang w:val="fr-CA"/>
        </w:rPr>
        <w:t>365). L</w:t>
      </w:r>
      <w:r>
        <w:rPr>
          <w:rFonts w:cs="Times New Roman"/>
          <w:lang w:val="fr-CA"/>
        </w:rPr>
        <w:t>’</w:t>
      </w:r>
      <w:r w:rsidRPr="00AF17C2">
        <w:rPr>
          <w:rFonts w:cs="Times New Roman"/>
          <w:lang w:val="fr-CA"/>
        </w:rPr>
        <w:t>objet auquel réfère le juge en chef Dickson est concret; il ne correspond pas à l</w:t>
      </w:r>
      <w:r>
        <w:rPr>
          <w:rFonts w:cs="Times New Roman"/>
          <w:lang w:val="fr-CA"/>
        </w:rPr>
        <w:t>’</w:t>
      </w:r>
      <w:r w:rsidRPr="00AF17C2">
        <w:rPr>
          <w:rFonts w:cs="Times New Roman"/>
          <w:lang w:val="fr-CA"/>
        </w:rPr>
        <w:t>expression abstraite d</w:t>
      </w:r>
      <w:r>
        <w:rPr>
          <w:rFonts w:cs="Times New Roman"/>
          <w:lang w:val="fr-CA"/>
        </w:rPr>
        <w:t>’</w:t>
      </w:r>
      <w:r w:rsidRPr="00AF17C2">
        <w:rPr>
          <w:rFonts w:cs="Times New Roman"/>
          <w:lang w:val="fr-CA"/>
        </w:rPr>
        <w:t>un désir d</w:t>
      </w:r>
      <w:r>
        <w:rPr>
          <w:rFonts w:cs="Times New Roman"/>
          <w:lang w:val="fr-CA"/>
        </w:rPr>
        <w:t>’</w:t>
      </w:r>
      <w:r w:rsidRPr="00AF17C2">
        <w:rPr>
          <w:rFonts w:cs="Times New Roman"/>
          <w:lang w:val="fr-CA"/>
        </w:rPr>
        <w:t>une vie meilleure. Lorsqu</w:t>
      </w:r>
      <w:r>
        <w:rPr>
          <w:rFonts w:cs="Times New Roman"/>
          <w:lang w:val="fr-CA"/>
        </w:rPr>
        <w:t>’</w:t>
      </w:r>
      <w:r w:rsidRPr="00AF17C2">
        <w:rPr>
          <w:rFonts w:cs="Times New Roman"/>
          <w:lang w:val="fr-CA"/>
        </w:rPr>
        <w:t>il a exploré plus en détail cette interprétation, le juge en chef Dickson a précisé que l</w:t>
      </w:r>
      <w:r>
        <w:rPr>
          <w:rFonts w:cs="Times New Roman"/>
          <w:lang w:val="fr-CA"/>
        </w:rPr>
        <w:t>’</w:t>
      </w:r>
      <w:r w:rsidRPr="00AF17C2">
        <w:rPr>
          <w:rFonts w:cs="Times New Roman"/>
          <w:lang w:val="fr-CA"/>
        </w:rPr>
        <w:t>objet de la liberté d</w:t>
      </w:r>
      <w:r>
        <w:rPr>
          <w:rFonts w:cs="Times New Roman"/>
          <w:lang w:val="fr-CA"/>
        </w:rPr>
        <w:t>’</w:t>
      </w:r>
      <w:r w:rsidRPr="00AF17C2">
        <w:rPr>
          <w:rFonts w:cs="Times New Roman"/>
          <w:lang w:val="fr-CA"/>
        </w:rPr>
        <w:t>association englobe la protection (1)</w:t>
      </w:r>
      <w:r w:rsidR="00795B2B">
        <w:rPr>
          <w:rFonts w:cs="Times New Roman"/>
          <w:lang w:val="fr-CA"/>
        </w:rPr>
        <w:t xml:space="preserve"> </w:t>
      </w:r>
      <w:r w:rsidRPr="00AF17C2">
        <w:rPr>
          <w:rFonts w:cs="Times New Roman"/>
          <w:lang w:val="fr-CA"/>
        </w:rPr>
        <w:t>de la capacité des individus de se joindre à d</w:t>
      </w:r>
      <w:r>
        <w:rPr>
          <w:rFonts w:cs="Times New Roman"/>
          <w:lang w:val="fr-CA"/>
        </w:rPr>
        <w:t>’</w:t>
      </w:r>
      <w:r w:rsidRPr="00AF17C2">
        <w:rPr>
          <w:rFonts w:cs="Times New Roman"/>
          <w:lang w:val="fr-CA"/>
        </w:rPr>
        <w:t>autres pour former des associations (l</w:t>
      </w:r>
      <w:r>
        <w:rPr>
          <w:rFonts w:cs="Times New Roman"/>
          <w:lang w:val="fr-CA"/>
        </w:rPr>
        <w:t>’</w:t>
      </w:r>
      <w:r w:rsidRPr="00AF17C2">
        <w:rPr>
          <w:rFonts w:cs="Times New Roman"/>
          <w:lang w:val="fr-CA"/>
        </w:rPr>
        <w:t>approche constitutive); (2)</w:t>
      </w:r>
      <w:r w:rsidR="00795B2B">
        <w:rPr>
          <w:rFonts w:cs="Times New Roman"/>
          <w:lang w:val="fr-CA"/>
        </w:rPr>
        <w:t xml:space="preserve"> </w:t>
      </w:r>
      <w:r w:rsidRPr="00AF17C2">
        <w:rPr>
          <w:rFonts w:cs="Times New Roman"/>
          <w:lang w:val="fr-CA"/>
        </w:rPr>
        <w:t>de l</w:t>
      </w:r>
      <w:r>
        <w:rPr>
          <w:rFonts w:cs="Times New Roman"/>
          <w:lang w:val="fr-CA"/>
        </w:rPr>
        <w:t>’</w:t>
      </w:r>
      <w:r w:rsidRPr="00AF17C2">
        <w:rPr>
          <w:rFonts w:cs="Times New Roman"/>
          <w:lang w:val="fr-CA"/>
        </w:rPr>
        <w:t>activité collective à l</w:t>
      </w:r>
      <w:r>
        <w:rPr>
          <w:rFonts w:cs="Times New Roman"/>
          <w:lang w:val="fr-CA"/>
        </w:rPr>
        <w:t>’</w:t>
      </w:r>
      <w:r w:rsidRPr="00AF17C2">
        <w:rPr>
          <w:rFonts w:cs="Times New Roman"/>
          <w:lang w:val="fr-CA"/>
        </w:rPr>
        <w:t>appui d</w:t>
      </w:r>
      <w:r>
        <w:rPr>
          <w:rFonts w:cs="Times New Roman"/>
          <w:lang w:val="fr-CA"/>
        </w:rPr>
        <w:t>’</w:t>
      </w:r>
      <w:r w:rsidRPr="00AF17C2">
        <w:rPr>
          <w:rFonts w:cs="Times New Roman"/>
          <w:lang w:val="fr-CA"/>
        </w:rPr>
        <w:t>autres droits constitutionnels (l</w:t>
      </w:r>
      <w:r>
        <w:rPr>
          <w:rFonts w:cs="Times New Roman"/>
          <w:lang w:val="fr-CA"/>
        </w:rPr>
        <w:t>’</w:t>
      </w:r>
      <w:r w:rsidRPr="00AF17C2">
        <w:rPr>
          <w:rFonts w:cs="Times New Roman"/>
          <w:lang w:val="fr-CA"/>
        </w:rPr>
        <w:t>approche déductive); et (3)</w:t>
      </w:r>
      <w:r w:rsidR="00795B2B">
        <w:rPr>
          <w:rFonts w:cs="Times New Roman"/>
          <w:lang w:val="fr-CA"/>
        </w:rPr>
        <w:t xml:space="preserve"> </w:t>
      </w:r>
      <w:r w:rsidRPr="00AF17C2">
        <w:rPr>
          <w:rFonts w:cs="Times New Roman"/>
          <w:lang w:val="fr-CA"/>
        </w:rPr>
        <w:t>de l</w:t>
      </w:r>
      <w:r>
        <w:rPr>
          <w:rFonts w:cs="Times New Roman"/>
          <w:lang w:val="fr-CA"/>
        </w:rPr>
        <w:t>’</w:t>
      </w:r>
      <w:r w:rsidRPr="00AF17C2">
        <w:rPr>
          <w:rFonts w:cs="Times New Roman"/>
          <w:lang w:val="fr-CA"/>
        </w:rPr>
        <w:t xml:space="preserve">activité collective qui permet à </w:t>
      </w:r>
      <w:r w:rsidR="00795B2B">
        <w:rPr>
          <w:rFonts w:cs="Times New Roman"/>
          <w:lang w:val="fr-CA"/>
        </w:rPr>
        <w:t>« </w:t>
      </w:r>
      <w:r w:rsidRPr="00AF17C2">
        <w:rPr>
          <w:rFonts w:cs="Times New Roman"/>
          <w:lang w:val="fr-CA"/>
        </w:rPr>
        <w:t xml:space="preserve">ceux qui, par ailleurs, auraient été vulnérables et inefficaces de faire face, à armes plus égales, à la puissance et à la force de ceux avec qui leurs intérêts </w:t>
      </w:r>
      <w:proofErr w:type="spellStart"/>
      <w:r w:rsidRPr="00AF17C2">
        <w:rPr>
          <w:rFonts w:cs="Times New Roman"/>
          <w:lang w:val="fr-CA"/>
        </w:rPr>
        <w:t>interagiss</w:t>
      </w:r>
      <w:proofErr w:type="spellEnd"/>
      <w:r w:rsidRPr="00AF17C2">
        <w:rPr>
          <w:rFonts w:cs="Times New Roman"/>
          <w:lang w:val="fr-CA"/>
        </w:rPr>
        <w:t>[</w:t>
      </w:r>
      <w:proofErr w:type="spellStart"/>
      <w:r w:rsidRPr="00AF17C2">
        <w:rPr>
          <w:rFonts w:cs="Times New Roman"/>
          <w:lang w:val="fr-CA"/>
        </w:rPr>
        <w:t>ent</w:t>
      </w:r>
      <w:proofErr w:type="spellEnd"/>
      <w:r w:rsidRPr="00AF17C2">
        <w:rPr>
          <w:rFonts w:cs="Times New Roman"/>
          <w:lang w:val="fr-CA"/>
        </w:rPr>
        <w:t>] et, peut</w:t>
      </w:r>
      <w:r w:rsidR="00795B2B">
        <w:rPr>
          <w:rFonts w:cs="Times New Roman"/>
          <w:lang w:val="fr-CA"/>
        </w:rPr>
        <w:t>-</w:t>
      </w:r>
      <w:r w:rsidRPr="00AF17C2">
        <w:rPr>
          <w:rFonts w:cs="Times New Roman"/>
          <w:lang w:val="fr-CA"/>
        </w:rPr>
        <w:t xml:space="preserve">être même, </w:t>
      </w:r>
      <w:proofErr w:type="spellStart"/>
      <w:r w:rsidRPr="00AF17C2">
        <w:rPr>
          <w:rFonts w:cs="Times New Roman"/>
          <w:lang w:val="fr-CA"/>
        </w:rPr>
        <w:t>entr</w:t>
      </w:r>
      <w:proofErr w:type="spellEnd"/>
      <w:r w:rsidRPr="00AF17C2">
        <w:rPr>
          <w:rFonts w:cs="Times New Roman"/>
          <w:lang w:val="fr-CA"/>
        </w:rPr>
        <w:t>[</w:t>
      </w:r>
      <w:proofErr w:type="spellStart"/>
      <w:r w:rsidRPr="00AF17C2">
        <w:rPr>
          <w:rFonts w:cs="Times New Roman"/>
          <w:lang w:val="fr-CA"/>
        </w:rPr>
        <w:t>ent</w:t>
      </w:r>
      <w:proofErr w:type="spellEnd"/>
      <w:r w:rsidRPr="00AF17C2">
        <w:rPr>
          <w:rFonts w:cs="Times New Roman"/>
          <w:lang w:val="fr-CA"/>
        </w:rPr>
        <w:t>] en conflit</w:t>
      </w:r>
      <w:r w:rsidR="00795B2B">
        <w:rPr>
          <w:rFonts w:cs="Times New Roman"/>
          <w:lang w:val="fr-CA"/>
        </w:rPr>
        <w:t> »</w:t>
      </w:r>
      <w:r w:rsidRPr="00AF17C2">
        <w:rPr>
          <w:rFonts w:cs="Times New Roman"/>
          <w:lang w:val="fr-CA"/>
        </w:rPr>
        <w:t xml:space="preserv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p.</w:t>
      </w:r>
      <w:r w:rsidR="00795B2B">
        <w:rPr>
          <w:rFonts w:cs="Times New Roman"/>
          <w:lang w:val="fr-CA"/>
        </w:rPr>
        <w:t xml:space="preserve"> </w:t>
      </w:r>
      <w:r w:rsidRPr="00AF17C2">
        <w:rPr>
          <w:rFonts w:cs="Times New Roman"/>
          <w:lang w:val="fr-CA"/>
        </w:rPr>
        <w:t>366).</w:t>
      </w:r>
    </w:p>
    <w:p w:rsidR="007B74A6" w:rsidRPr="00AF17C2" w:rsidRDefault="007B74A6" w:rsidP="00795B2B">
      <w:pPr>
        <w:pStyle w:val="ParaNoNdepar-AltN"/>
        <w:rPr>
          <w:rFonts w:cs="Times New Roman"/>
          <w:lang w:val="fr-CA"/>
        </w:rPr>
      </w:pPr>
      <w:r w:rsidRPr="00AF17C2">
        <w:rPr>
          <w:rFonts w:cs="Times New Roman"/>
          <w:lang w:val="fr-CA"/>
        </w:rPr>
        <w:lastRenderedPageBreak/>
        <w:t>L</w:t>
      </w:r>
      <w:r>
        <w:rPr>
          <w:rFonts w:cs="Times New Roman"/>
          <w:lang w:val="fr-CA"/>
        </w:rPr>
        <w:t>’</w:t>
      </w:r>
      <w:r w:rsidRPr="00AF17C2">
        <w:rPr>
          <w:rFonts w:cs="Times New Roman"/>
          <w:lang w:val="fr-CA"/>
        </w:rPr>
        <w:t>approche téléologique reconnaît donc que la liberté d</w:t>
      </w:r>
      <w:r>
        <w:rPr>
          <w:rFonts w:cs="Times New Roman"/>
          <w:lang w:val="fr-CA"/>
        </w:rPr>
        <w:t>’</w:t>
      </w:r>
      <w:r w:rsidRPr="00AF17C2">
        <w:rPr>
          <w:rFonts w:cs="Times New Roman"/>
          <w:lang w:val="fr-CA"/>
        </w:rPr>
        <w:t>association est constitutive de pouvoirs. En effet, nous attachons de l</w:t>
      </w:r>
      <w:r>
        <w:rPr>
          <w:rFonts w:cs="Times New Roman"/>
          <w:lang w:val="fr-CA"/>
        </w:rPr>
        <w:t>’</w:t>
      </w:r>
      <w:r w:rsidRPr="00AF17C2">
        <w:rPr>
          <w:rFonts w:cs="Times New Roman"/>
          <w:lang w:val="fr-CA"/>
        </w:rPr>
        <w:t>importance à la garantie inscrite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parce qu</w:t>
      </w:r>
      <w:r>
        <w:rPr>
          <w:rFonts w:cs="Times New Roman"/>
          <w:lang w:val="fr-CA"/>
        </w:rPr>
        <w:t>’</w:t>
      </w:r>
      <w:r w:rsidRPr="00AF17C2">
        <w:rPr>
          <w:rFonts w:cs="Times New Roman"/>
          <w:lang w:val="fr-CA"/>
        </w:rPr>
        <w:t xml:space="preserve">elle accorde des pouvoirs à des groupes dont les membres, pris individuellement, pourraient trop facilement ne pas réussir à se faire entendre. Cette conclusion se fonde sur les </w:t>
      </w:r>
      <w:r w:rsidR="00795B2B">
        <w:rPr>
          <w:rFonts w:cs="Times New Roman"/>
          <w:lang w:val="fr-CA"/>
        </w:rPr>
        <w:t>« </w:t>
      </w:r>
      <w:r w:rsidRPr="00AF17C2">
        <w:rPr>
          <w:rFonts w:cs="Times New Roman"/>
          <w:lang w:val="fr-CA"/>
        </w:rPr>
        <w:t>origines historiques des concepts enchâssés</w:t>
      </w:r>
      <w:r w:rsidR="00795B2B">
        <w:rPr>
          <w:rFonts w:cs="Times New Roman"/>
          <w:lang w:val="fr-CA"/>
        </w:rPr>
        <w:t> »</w:t>
      </w:r>
      <w:r w:rsidRPr="00AF17C2">
        <w:rPr>
          <w:rFonts w:cs="Times New Roman"/>
          <w:lang w:val="fr-CA"/>
        </w:rPr>
        <w:t xml:space="preserv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proofErr w:type="spellStart"/>
      <w:r w:rsidRPr="00AF17C2">
        <w:rPr>
          <w:rFonts w:cs="Times New Roman"/>
          <w:i/>
          <w:lang w:val="fr-CA"/>
        </w:rPr>
        <w:t>Big</w:t>
      </w:r>
      <w:proofErr w:type="spellEnd"/>
      <w:r w:rsidRPr="00AF17C2">
        <w:rPr>
          <w:rFonts w:cs="Times New Roman"/>
          <w:i/>
          <w:lang w:val="fr-CA"/>
        </w:rPr>
        <w:t xml:space="preserve"> M Drug </w:t>
      </w:r>
      <w:proofErr w:type="spellStart"/>
      <w:r w:rsidRPr="00AF17C2">
        <w:rPr>
          <w:rFonts w:cs="Times New Roman"/>
          <w:i/>
          <w:lang w:val="fr-CA"/>
        </w:rPr>
        <w:t>Mart</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344).</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émergence historique du droit d</w:t>
      </w:r>
      <w:r>
        <w:rPr>
          <w:rFonts w:cs="Times New Roman"/>
          <w:lang w:val="fr-CA"/>
        </w:rPr>
        <w:t>’</w:t>
      </w:r>
      <w:r w:rsidRPr="00AF17C2">
        <w:rPr>
          <w:rFonts w:cs="Times New Roman"/>
          <w:lang w:val="fr-CA"/>
        </w:rPr>
        <w:t>association en tant que liberté fondamentale — une liberté qui permet à une sphère de la société civile de se développer largement à l</w:t>
      </w:r>
      <w:r>
        <w:rPr>
          <w:rFonts w:cs="Times New Roman"/>
          <w:lang w:val="fr-CA"/>
        </w:rPr>
        <w:t>’</w:t>
      </w:r>
      <w:r w:rsidRPr="00AF17C2">
        <w:rPr>
          <w:rFonts w:cs="Times New Roman"/>
          <w:lang w:val="fr-CA"/>
        </w:rPr>
        <w:t>abri de l</w:t>
      </w:r>
      <w:r>
        <w:rPr>
          <w:rFonts w:cs="Times New Roman"/>
          <w:lang w:val="fr-CA"/>
        </w:rPr>
        <w:t>’</w:t>
      </w:r>
      <w:r w:rsidRPr="00AF17C2">
        <w:rPr>
          <w:rFonts w:cs="Times New Roman"/>
          <w:lang w:val="fr-CA"/>
        </w:rPr>
        <w:t>ingérence de l</w:t>
      </w:r>
      <w:r>
        <w:rPr>
          <w:rFonts w:cs="Times New Roman"/>
          <w:lang w:val="fr-CA"/>
        </w:rPr>
        <w:t>’</w:t>
      </w:r>
      <w:r w:rsidRPr="00AF17C2">
        <w:rPr>
          <w:rFonts w:cs="Times New Roman"/>
          <w:lang w:val="fr-CA"/>
        </w:rPr>
        <w:t>État — puise son origine dans la protection des minorités religieuses (M.</w:t>
      </w:r>
      <w:r w:rsidR="00795B2B">
        <w:rPr>
          <w:rFonts w:cs="Times New Roman"/>
          <w:lang w:val="fr-CA"/>
        </w:rPr>
        <w:t xml:space="preserve"> </w:t>
      </w:r>
      <w:proofErr w:type="spellStart"/>
      <w:r w:rsidRPr="00AF17C2">
        <w:rPr>
          <w:rFonts w:cs="Times New Roman"/>
          <w:lang w:val="fr-CA"/>
        </w:rPr>
        <w:t>Walzer</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The Concept of Civil Society</w:t>
      </w:r>
      <w:r w:rsidR="00795B2B">
        <w:rPr>
          <w:rFonts w:cs="Times New Roman"/>
          <w:lang w:val="fr-CA"/>
        </w:rPr>
        <w:t> »</w:t>
      </w:r>
      <w:r w:rsidRPr="00AF17C2">
        <w:rPr>
          <w:rFonts w:cs="Times New Roman"/>
          <w:lang w:val="fr-CA"/>
        </w:rPr>
        <w:t>, dans M.</w:t>
      </w:r>
      <w:r w:rsidR="00795B2B">
        <w:rPr>
          <w:rFonts w:cs="Times New Roman"/>
          <w:lang w:val="fr-CA"/>
        </w:rPr>
        <w:t xml:space="preserve"> </w:t>
      </w:r>
      <w:proofErr w:type="spellStart"/>
      <w:r w:rsidRPr="00AF17C2">
        <w:rPr>
          <w:rFonts w:cs="Times New Roman"/>
          <w:lang w:val="fr-CA"/>
        </w:rPr>
        <w:t>Walzer</w:t>
      </w:r>
      <w:proofErr w:type="spellEnd"/>
      <w:r w:rsidRPr="00AF17C2">
        <w:rPr>
          <w:rFonts w:cs="Times New Roman"/>
          <w:lang w:val="fr-CA"/>
        </w:rPr>
        <w:t xml:space="preserve">, </w:t>
      </w:r>
      <w:proofErr w:type="spellStart"/>
      <w:proofErr w:type="gramStart"/>
      <w:r w:rsidRPr="00AF17C2">
        <w:rPr>
          <w:rFonts w:cs="Times New Roman"/>
          <w:lang w:val="fr-CA"/>
        </w:rPr>
        <w:t>dir</w:t>
      </w:r>
      <w:proofErr w:type="spellEnd"/>
      <w:r w:rsidRPr="00AF17C2">
        <w:rPr>
          <w:rFonts w:cs="Times New Roman"/>
          <w:lang w:val="fr-CA"/>
        </w:rPr>
        <w:t>.,</w:t>
      </w:r>
      <w:proofErr w:type="gramEnd"/>
      <w:r w:rsidRPr="00AF17C2">
        <w:rPr>
          <w:rFonts w:cs="Times New Roman"/>
          <w:lang w:val="fr-CA"/>
        </w:rPr>
        <w:t xml:space="preserve"> </w:t>
      </w:r>
      <w:proofErr w:type="spellStart"/>
      <w:r w:rsidRPr="00AF17C2">
        <w:rPr>
          <w:rFonts w:cs="Times New Roman"/>
          <w:i/>
          <w:lang w:val="fr-CA"/>
        </w:rPr>
        <w:t>Toward</w:t>
      </w:r>
      <w:proofErr w:type="spellEnd"/>
      <w:r w:rsidRPr="00AF17C2">
        <w:rPr>
          <w:rFonts w:cs="Times New Roman"/>
          <w:i/>
          <w:lang w:val="fr-CA"/>
        </w:rPr>
        <w:t xml:space="preserve"> a Global Civil Society</w:t>
      </w:r>
      <w:r w:rsidRPr="00AF17C2">
        <w:rPr>
          <w:rFonts w:cs="Times New Roman"/>
          <w:lang w:val="fr-CA"/>
        </w:rPr>
        <w:t xml:space="preserve"> (1995), 7, p.</w:t>
      </w:r>
      <w:r w:rsidR="00795B2B">
        <w:rPr>
          <w:rFonts w:cs="Times New Roman"/>
          <w:lang w:val="fr-CA"/>
        </w:rPr>
        <w:t xml:space="preserve"> </w:t>
      </w:r>
      <w:r w:rsidRPr="00AF17C2">
        <w:rPr>
          <w:rFonts w:cs="Times New Roman"/>
          <w:lang w:val="fr-CA"/>
        </w:rPr>
        <w:t>20). L</w:t>
      </w:r>
      <w:r>
        <w:rPr>
          <w:rFonts w:cs="Times New Roman"/>
          <w:lang w:val="fr-CA"/>
        </w:rPr>
        <w:t>’</w:t>
      </w:r>
      <w:r w:rsidRPr="00AF17C2">
        <w:rPr>
          <w:rFonts w:cs="Times New Roman"/>
          <w:lang w:val="fr-CA"/>
        </w:rPr>
        <w:t>histoire plus récente illustre également l</w:t>
      </w:r>
      <w:r>
        <w:rPr>
          <w:rFonts w:cs="Times New Roman"/>
          <w:lang w:val="fr-CA"/>
        </w:rPr>
        <w:t>’</w:t>
      </w:r>
      <w:r w:rsidRPr="00AF17C2">
        <w:rPr>
          <w:rFonts w:cs="Times New Roman"/>
          <w:lang w:val="fr-CA"/>
        </w:rPr>
        <w:t>apport de la liberté d</w:t>
      </w:r>
      <w:r>
        <w:rPr>
          <w:rFonts w:cs="Times New Roman"/>
          <w:lang w:val="fr-CA"/>
        </w:rPr>
        <w:t>’</w:t>
      </w:r>
      <w:r w:rsidRPr="00AF17C2">
        <w:rPr>
          <w:rFonts w:cs="Times New Roman"/>
          <w:lang w:val="fr-CA"/>
        </w:rPr>
        <w:t>association au vote des femmes et aux mouvements en faveur des droits des homosexuels (J.</w:t>
      </w:r>
      <w:r w:rsidR="00795B2B">
        <w:rPr>
          <w:rFonts w:cs="Times New Roman"/>
          <w:lang w:val="fr-CA"/>
        </w:rPr>
        <w:t xml:space="preserve"> </w:t>
      </w:r>
      <w:r w:rsidRPr="00AF17C2">
        <w:rPr>
          <w:rFonts w:cs="Times New Roman"/>
          <w:lang w:val="fr-CA"/>
        </w:rPr>
        <w:t>D.</w:t>
      </w:r>
      <w:r w:rsidR="00795B2B">
        <w:rPr>
          <w:rFonts w:cs="Times New Roman"/>
          <w:lang w:val="fr-CA"/>
        </w:rPr>
        <w:t xml:space="preserve"> </w:t>
      </w:r>
      <w:proofErr w:type="spellStart"/>
      <w:r w:rsidRPr="00AF17C2">
        <w:rPr>
          <w:rFonts w:cs="Times New Roman"/>
          <w:lang w:val="fr-CA"/>
        </w:rPr>
        <w:t>Inazu</w:t>
      </w:r>
      <w:proofErr w:type="spellEnd"/>
      <w:r w:rsidRPr="00AF17C2">
        <w:rPr>
          <w:rFonts w:cs="Times New Roman"/>
          <w:lang w:val="fr-CA"/>
        </w:rPr>
        <w:t xml:space="preserve">, </w:t>
      </w:r>
      <w:proofErr w:type="spellStart"/>
      <w:r w:rsidRPr="00AF17C2">
        <w:rPr>
          <w:rFonts w:cs="Times New Roman"/>
          <w:i/>
          <w:lang w:val="fr-CA"/>
        </w:rPr>
        <w:t>Liberty</w:t>
      </w:r>
      <w:r>
        <w:rPr>
          <w:rFonts w:cs="Times New Roman"/>
          <w:i/>
          <w:lang w:val="fr-CA"/>
        </w:rPr>
        <w:t>’</w:t>
      </w:r>
      <w:r w:rsidRPr="00AF17C2">
        <w:rPr>
          <w:rFonts w:cs="Times New Roman"/>
          <w:i/>
          <w:lang w:val="fr-CA"/>
        </w:rPr>
        <w:t>s</w:t>
      </w:r>
      <w:proofErr w:type="spellEnd"/>
      <w:r w:rsidRPr="00AF17C2">
        <w:rPr>
          <w:rFonts w:cs="Times New Roman"/>
          <w:i/>
          <w:lang w:val="fr-CA"/>
        </w:rPr>
        <w:t xml:space="preserve"> Refuge</w:t>
      </w:r>
      <w:r w:rsidR="00795B2B">
        <w:rPr>
          <w:rFonts w:cs="Times New Roman"/>
          <w:i/>
          <w:lang w:val="fr-CA"/>
        </w:rPr>
        <w:t> :</w:t>
      </w:r>
      <w:r w:rsidRPr="00AF17C2">
        <w:rPr>
          <w:rFonts w:cs="Times New Roman"/>
          <w:i/>
          <w:lang w:val="fr-CA"/>
        </w:rPr>
        <w:t xml:space="preserve"> The </w:t>
      </w:r>
      <w:proofErr w:type="spellStart"/>
      <w:r w:rsidRPr="00AF17C2">
        <w:rPr>
          <w:rFonts w:cs="Times New Roman"/>
          <w:i/>
          <w:lang w:val="fr-CA"/>
        </w:rPr>
        <w:t>Forg</w:t>
      </w:r>
      <w:r>
        <w:rPr>
          <w:rFonts w:cs="Times New Roman"/>
          <w:i/>
          <w:lang w:val="fr-CA"/>
        </w:rPr>
        <w:t>o</w:t>
      </w:r>
      <w:r w:rsidRPr="00AF17C2">
        <w:rPr>
          <w:rFonts w:cs="Times New Roman"/>
          <w:i/>
          <w:lang w:val="fr-CA"/>
        </w:rPr>
        <w:t>tten</w:t>
      </w:r>
      <w:proofErr w:type="spellEnd"/>
      <w:r w:rsidRPr="00AF17C2">
        <w:rPr>
          <w:rFonts w:cs="Times New Roman"/>
          <w:i/>
          <w:lang w:val="fr-CA"/>
        </w:rPr>
        <w:t xml:space="preserve"> </w:t>
      </w:r>
      <w:proofErr w:type="spellStart"/>
      <w:r w:rsidRPr="00AF17C2">
        <w:rPr>
          <w:rFonts w:cs="Times New Roman"/>
          <w:i/>
          <w:lang w:val="fr-CA"/>
        </w:rPr>
        <w:t>Freedom</w:t>
      </w:r>
      <w:proofErr w:type="spellEnd"/>
      <w:r w:rsidRPr="00AF17C2">
        <w:rPr>
          <w:rFonts w:cs="Times New Roman"/>
          <w:i/>
          <w:lang w:val="fr-CA"/>
        </w:rPr>
        <w:t xml:space="preserve"> of </w:t>
      </w:r>
      <w:proofErr w:type="spellStart"/>
      <w:r w:rsidRPr="00AF17C2">
        <w:rPr>
          <w:rFonts w:cs="Times New Roman"/>
          <w:i/>
          <w:lang w:val="fr-CA"/>
        </w:rPr>
        <w:t>Assembly</w:t>
      </w:r>
      <w:proofErr w:type="spellEnd"/>
      <w:r w:rsidRPr="00AF17C2">
        <w:rPr>
          <w:rFonts w:cs="Times New Roman"/>
          <w:i/>
          <w:lang w:val="fr-CA"/>
        </w:rPr>
        <w:t xml:space="preserve"> </w:t>
      </w:r>
      <w:r w:rsidRPr="00AF17C2">
        <w:rPr>
          <w:rFonts w:cs="Times New Roman"/>
          <w:lang w:val="fr-CA"/>
        </w:rPr>
        <w:t>(2012), p.</w:t>
      </w:r>
      <w:r w:rsidR="00795B2B">
        <w:rPr>
          <w:rFonts w:cs="Times New Roman"/>
          <w:lang w:val="fr-CA"/>
        </w:rPr>
        <w:t xml:space="preserve"> </w:t>
      </w:r>
      <w:r w:rsidR="00276AF5">
        <w:rPr>
          <w:rFonts w:cs="Times New Roman"/>
          <w:lang w:val="fr-CA"/>
        </w:rPr>
        <w:t>45;</w:t>
      </w:r>
      <w:r w:rsidRPr="00AF17C2">
        <w:rPr>
          <w:rFonts w:cs="Times New Roman"/>
          <w:lang w:val="fr-CA"/>
        </w:rPr>
        <w:t xml:space="preserve"> et D.</w:t>
      </w:r>
      <w:r w:rsidR="00795B2B">
        <w:rPr>
          <w:rFonts w:cs="Times New Roman"/>
          <w:lang w:val="fr-CA"/>
        </w:rPr>
        <w:t xml:space="preserve"> </w:t>
      </w:r>
      <w:r w:rsidRPr="00AF17C2">
        <w:rPr>
          <w:rFonts w:cs="Times New Roman"/>
          <w:lang w:val="fr-CA"/>
        </w:rPr>
        <w:t xml:space="preserve">Carpenter, </w:t>
      </w:r>
      <w:r w:rsidR="00795B2B">
        <w:rPr>
          <w:rFonts w:cs="Times New Roman"/>
          <w:lang w:val="fr-CA"/>
        </w:rPr>
        <w:t>« </w:t>
      </w:r>
      <w:r w:rsidRPr="00AF17C2">
        <w:rPr>
          <w:rFonts w:cs="Times New Roman"/>
          <w:lang w:val="fr-CA"/>
        </w:rPr>
        <w:t>Expressive Association and Anti</w:t>
      </w:r>
      <w:r w:rsidR="00795B2B">
        <w:rPr>
          <w:rFonts w:cs="Times New Roman"/>
          <w:lang w:val="fr-CA"/>
        </w:rPr>
        <w:t>-</w:t>
      </w:r>
      <w:r w:rsidRPr="00AF17C2">
        <w:rPr>
          <w:rFonts w:cs="Times New Roman"/>
          <w:lang w:val="fr-CA"/>
        </w:rPr>
        <w:t>Discrimination Law</w:t>
      </w:r>
      <w:r>
        <w:rPr>
          <w:rFonts w:cs="Times New Roman"/>
          <w:lang w:val="fr-CA"/>
        </w:rPr>
        <w:t xml:space="preserve"> </w:t>
      </w:r>
      <w:proofErr w:type="spellStart"/>
      <w:r>
        <w:rPr>
          <w:rFonts w:cs="Times New Roman"/>
          <w:lang w:val="fr-CA"/>
        </w:rPr>
        <w:t>A</w:t>
      </w:r>
      <w:r w:rsidRPr="00AF17C2">
        <w:rPr>
          <w:rFonts w:cs="Times New Roman"/>
          <w:lang w:val="fr-CA"/>
        </w:rPr>
        <w:t>fter</w:t>
      </w:r>
      <w:proofErr w:type="spellEnd"/>
      <w:r w:rsidR="00795B2B">
        <w:rPr>
          <w:rFonts w:cs="Times New Roman"/>
          <w:i/>
          <w:lang w:val="fr-CA"/>
        </w:rPr>
        <w:t xml:space="preserve"> </w:t>
      </w:r>
      <w:r w:rsidRPr="00AF17C2">
        <w:rPr>
          <w:rFonts w:cs="Times New Roman"/>
          <w:i/>
          <w:lang w:val="fr-CA"/>
        </w:rPr>
        <w:t>Dale</w:t>
      </w:r>
      <w:r w:rsidR="00795B2B" w:rsidRPr="00276AF5">
        <w:rPr>
          <w:rFonts w:cs="Times New Roman"/>
          <w:lang w:val="fr-CA"/>
        </w:rPr>
        <w:t> :</w:t>
      </w:r>
      <w:r w:rsidRPr="00AF17C2">
        <w:rPr>
          <w:rFonts w:cs="Times New Roman"/>
          <w:lang w:val="fr-CA"/>
        </w:rPr>
        <w:t xml:space="preserve"> A Tripartite </w:t>
      </w:r>
      <w:proofErr w:type="spellStart"/>
      <w:r w:rsidRPr="00AF17C2">
        <w:rPr>
          <w:rFonts w:cs="Times New Roman"/>
          <w:lang w:val="fr-CA"/>
        </w:rPr>
        <w:t>Approach</w:t>
      </w:r>
      <w:proofErr w:type="spellEnd"/>
      <w:r w:rsidR="00795B2B">
        <w:rPr>
          <w:rFonts w:cs="Times New Roman"/>
          <w:lang w:val="fr-CA"/>
        </w:rPr>
        <w:t> »</w:t>
      </w:r>
      <w:r w:rsidRPr="00AF17C2">
        <w:rPr>
          <w:rFonts w:cs="Times New Roman"/>
          <w:i/>
          <w:lang w:val="fr-CA"/>
        </w:rPr>
        <w:t xml:space="preserve"> </w:t>
      </w:r>
      <w:r w:rsidRPr="00AF17C2">
        <w:rPr>
          <w:rFonts w:cs="Times New Roman"/>
          <w:lang w:val="fr-CA"/>
        </w:rPr>
        <w:t>(2001), 85</w:t>
      </w:r>
      <w:r w:rsidRPr="00AF17C2">
        <w:rPr>
          <w:rFonts w:cs="Times New Roman"/>
          <w:i/>
          <w:lang w:val="fr-CA"/>
        </w:rPr>
        <w:t xml:space="preserve"> </w:t>
      </w:r>
      <w:proofErr w:type="spellStart"/>
      <w:r w:rsidRPr="00AF17C2">
        <w:rPr>
          <w:rFonts w:cs="Times New Roman"/>
          <w:i/>
          <w:lang w:val="fr-CA"/>
        </w:rPr>
        <w:t>Min</w:t>
      </w:r>
      <w:r>
        <w:rPr>
          <w:rFonts w:cs="Times New Roman"/>
          <w:i/>
          <w:lang w:val="fr-CA"/>
        </w:rPr>
        <w:t>n</w:t>
      </w:r>
      <w:proofErr w:type="spellEnd"/>
      <w:r w:rsidRPr="00AF17C2">
        <w:rPr>
          <w:rFonts w:cs="Times New Roman"/>
          <w:i/>
          <w:lang w:val="fr-CA"/>
        </w:rPr>
        <w:t xml:space="preserve">. L. </w:t>
      </w:r>
      <w:proofErr w:type="spellStart"/>
      <w:r w:rsidRPr="00AF17C2">
        <w:rPr>
          <w:rFonts w:cs="Times New Roman"/>
          <w:i/>
          <w:lang w:val="fr-CA"/>
        </w:rPr>
        <w:t>Rev</w:t>
      </w:r>
      <w:proofErr w:type="spellEnd"/>
      <w:r w:rsidRPr="00AF17C2">
        <w:rPr>
          <w:rFonts w:cs="Times New Roman"/>
          <w:i/>
          <w:lang w:val="fr-CA"/>
        </w:rPr>
        <w:t>.</w:t>
      </w:r>
      <w:r w:rsidRPr="00AF17C2">
        <w:rPr>
          <w:rFonts w:cs="Times New Roman"/>
          <w:lang w:val="fr-CA"/>
        </w:rPr>
        <w:t xml:space="preserve"> 1515).</w:t>
      </w:r>
    </w:p>
    <w:p w:rsidR="007B74A6" w:rsidRPr="00AF17C2" w:rsidRDefault="007B74A6" w:rsidP="00795B2B">
      <w:pPr>
        <w:pStyle w:val="ParaNoNdepar-AltN"/>
        <w:rPr>
          <w:rFonts w:cs="Times New Roman"/>
          <w:lang w:val="fr-CA"/>
        </w:rPr>
      </w:pPr>
      <w:r w:rsidRPr="00AF17C2">
        <w:rPr>
          <w:rFonts w:cs="Times New Roman"/>
          <w:lang w:val="fr-CA"/>
        </w:rPr>
        <w:t>Si les personnes les plus facilement ignorées et désavantagées ont toujours misé autant sur la liberté d</w:t>
      </w:r>
      <w:r>
        <w:rPr>
          <w:rFonts w:cs="Times New Roman"/>
          <w:lang w:val="fr-CA"/>
        </w:rPr>
        <w:t>’</w:t>
      </w:r>
      <w:r w:rsidRPr="00AF17C2">
        <w:rPr>
          <w:rFonts w:cs="Times New Roman"/>
          <w:lang w:val="fr-CA"/>
        </w:rPr>
        <w:t>association, c</w:t>
      </w:r>
      <w:r>
        <w:rPr>
          <w:rFonts w:cs="Times New Roman"/>
          <w:lang w:val="fr-CA"/>
        </w:rPr>
        <w:t>’</w:t>
      </w:r>
      <w:r w:rsidRPr="00AF17C2">
        <w:rPr>
          <w:rFonts w:cs="Times New Roman"/>
          <w:lang w:val="fr-CA"/>
        </w:rPr>
        <w:t>est précisément parce que l</w:t>
      </w:r>
      <w:r>
        <w:rPr>
          <w:rFonts w:cs="Times New Roman"/>
          <w:lang w:val="fr-CA"/>
        </w:rPr>
        <w:t>’</w:t>
      </w:r>
      <w:r w:rsidRPr="00AF17C2">
        <w:rPr>
          <w:rFonts w:cs="Times New Roman"/>
          <w:lang w:val="fr-CA"/>
        </w:rPr>
        <w:t>association est le moyen de faire entendre leur voix dans la société. Comme l</w:t>
      </w:r>
      <w:r>
        <w:rPr>
          <w:rFonts w:cs="Times New Roman"/>
          <w:lang w:val="fr-CA"/>
        </w:rPr>
        <w:t>’</w:t>
      </w:r>
      <w:r w:rsidRPr="00AF17C2">
        <w:rPr>
          <w:rFonts w:cs="Times New Roman"/>
          <w:lang w:val="fr-CA"/>
        </w:rPr>
        <w:t xml:space="preserve">a affirmé le juge en chef Dickson dans le </w:t>
      </w:r>
      <w:r w:rsidRPr="00AF17C2">
        <w:rPr>
          <w:rFonts w:cs="Times New Roman"/>
          <w:i/>
          <w:lang w:val="fr-CA"/>
        </w:rPr>
        <w:t>Renvoi relatif à l</w:t>
      </w:r>
      <w:r>
        <w:rPr>
          <w:rFonts w:cs="Times New Roman"/>
          <w:i/>
          <w:lang w:val="fr-CA"/>
        </w:rPr>
        <w:t>’</w:t>
      </w:r>
      <w:r w:rsidRPr="00AF17C2">
        <w:rPr>
          <w:rFonts w:cs="Times New Roman"/>
          <w:i/>
          <w:lang w:val="fr-CA"/>
        </w:rPr>
        <w:t>Alberta</w:t>
      </w:r>
      <w:r w:rsidR="00795B2B">
        <w:rPr>
          <w:rFonts w:cs="Times New Roman"/>
          <w:i/>
          <w:lang w:val="fr-CA"/>
        </w:rPr>
        <w:t> </w:t>
      </w:r>
      <w:r w:rsidR="00795B2B" w:rsidRPr="00881323">
        <w:rPr>
          <w:rFonts w:cs="Times New Roman"/>
          <w:lang w:val="fr-CA"/>
        </w:rPr>
        <w:t>:</w:t>
      </w:r>
    </w:p>
    <w:p w:rsidR="007B74A6" w:rsidRPr="00AF17C2" w:rsidRDefault="007B74A6" w:rsidP="00795B2B">
      <w:pPr>
        <w:pStyle w:val="Citation-AltC"/>
        <w:ind w:hanging="1166"/>
        <w:contextualSpacing w:val="0"/>
        <w:rPr>
          <w:lang w:val="fr-CA"/>
        </w:rPr>
      </w:pPr>
      <w:r w:rsidRPr="00AF17C2">
        <w:rPr>
          <w:lang w:val="fr-CA"/>
        </w:rPr>
        <w:tab/>
      </w:r>
      <w:r w:rsidRPr="00AF17C2">
        <w:rPr>
          <w:lang w:val="fr-CA"/>
        </w:rPr>
        <w:tab/>
        <w:t>La liberté d</w:t>
      </w:r>
      <w:r>
        <w:rPr>
          <w:lang w:val="fr-CA"/>
        </w:rPr>
        <w:t>’</w:t>
      </w:r>
      <w:r w:rsidRPr="00AF17C2">
        <w:rPr>
          <w:lang w:val="fr-CA"/>
        </w:rPr>
        <w:t>association est on ne peut plus essentielle dans les circonstances où l</w:t>
      </w:r>
      <w:r>
        <w:rPr>
          <w:lang w:val="fr-CA"/>
        </w:rPr>
        <w:t>’</w:t>
      </w:r>
      <w:r w:rsidRPr="00AF17C2">
        <w:rPr>
          <w:lang w:val="fr-CA"/>
        </w:rPr>
        <w:t>individu risque d</w:t>
      </w:r>
      <w:r>
        <w:rPr>
          <w:lang w:val="fr-CA"/>
        </w:rPr>
        <w:t>’</w:t>
      </w:r>
      <w:r w:rsidRPr="00AF17C2">
        <w:rPr>
          <w:lang w:val="fr-CA"/>
        </w:rPr>
        <w:t xml:space="preserve">être lésé par les actions de quelque entité plus importante et plus puissante comme le gouvernement ou un employeur. </w:t>
      </w:r>
      <w:r w:rsidRPr="00AF17C2">
        <w:rPr>
          <w:u w:val="single"/>
          <w:lang w:val="fr-CA"/>
        </w:rPr>
        <w:t>L</w:t>
      </w:r>
      <w:r>
        <w:rPr>
          <w:u w:val="single"/>
          <w:lang w:val="fr-CA"/>
        </w:rPr>
        <w:t>’</w:t>
      </w:r>
      <w:r w:rsidRPr="00AF17C2">
        <w:rPr>
          <w:u w:val="single"/>
          <w:lang w:val="fr-CA"/>
        </w:rPr>
        <w:t xml:space="preserve">association a toujours été le moyen par lequel les minorités </w:t>
      </w:r>
      <w:r w:rsidRPr="00AF17C2">
        <w:rPr>
          <w:u w:val="single"/>
          <w:lang w:val="fr-CA"/>
        </w:rPr>
        <w:lastRenderedPageBreak/>
        <w:t>politiques, culturelles et raciales, les groupes religieux et les travailleurs ont tenté d</w:t>
      </w:r>
      <w:r>
        <w:rPr>
          <w:u w:val="single"/>
          <w:lang w:val="fr-CA"/>
        </w:rPr>
        <w:t>’</w:t>
      </w:r>
      <w:r w:rsidRPr="00AF17C2">
        <w:rPr>
          <w:u w:val="single"/>
          <w:lang w:val="fr-CA"/>
        </w:rPr>
        <w:t>atteindre leurs buts et de réaliser leurs aspirations; elle a permis à ceux qui, par ailleurs, auraient été vulnérables et inefficaces de faire face, à armes plus égales, à la puissance et à la force de ceux avec qui leurs intérêts interagissaient et, peut</w:t>
      </w:r>
      <w:r w:rsidR="00795B2B">
        <w:rPr>
          <w:u w:val="single"/>
          <w:lang w:val="fr-CA"/>
        </w:rPr>
        <w:t>-</w:t>
      </w:r>
      <w:r w:rsidRPr="00AF17C2">
        <w:rPr>
          <w:u w:val="single"/>
          <w:lang w:val="fr-CA"/>
        </w:rPr>
        <w:t>être même, entraient en conflit.</w:t>
      </w:r>
      <w:r w:rsidRPr="00AF17C2">
        <w:rPr>
          <w:lang w:val="fr-CA"/>
        </w:rPr>
        <w:t xml:space="preserve"> [Nous soulignons; p.</w:t>
      </w:r>
      <w:r w:rsidR="00795B2B">
        <w:rPr>
          <w:lang w:val="fr-CA"/>
        </w:rPr>
        <w:t xml:space="preserve"> </w:t>
      </w:r>
      <w:r w:rsidRPr="00AF17C2">
        <w:rPr>
          <w:lang w:val="fr-CA"/>
        </w:rPr>
        <w:t>365</w:t>
      </w:r>
      <w:r w:rsidR="00795B2B">
        <w:rPr>
          <w:lang w:val="fr-CA"/>
        </w:rPr>
        <w:t>-</w:t>
      </w:r>
      <w:r w:rsidR="00276AF5">
        <w:rPr>
          <w:lang w:val="fr-CA"/>
        </w:rPr>
        <w:t>3</w:t>
      </w:r>
      <w:r w:rsidRPr="00AF17C2">
        <w:rPr>
          <w:lang w:val="fr-CA"/>
        </w:rPr>
        <w:t>66.]</w:t>
      </w:r>
    </w:p>
    <w:p w:rsidR="007B74A6" w:rsidRPr="00AF17C2" w:rsidRDefault="007B74A6" w:rsidP="00795B2B">
      <w:pPr>
        <w:pStyle w:val="ParaNoNdepar-AltN"/>
        <w:rPr>
          <w:rFonts w:cs="Times New Roman"/>
          <w:lang w:val="fr-CA"/>
        </w:rPr>
      </w:pPr>
      <w:r w:rsidRPr="00AF17C2">
        <w:rPr>
          <w:rFonts w:cs="Times New Roman"/>
          <w:lang w:val="fr-CA"/>
        </w:rPr>
        <w:t>Un des objets fondamentaux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est donc de protéger l</w:t>
      </w:r>
      <w:r>
        <w:rPr>
          <w:rFonts w:cs="Times New Roman"/>
          <w:lang w:val="fr-CA"/>
        </w:rPr>
        <w:t>’</w:t>
      </w:r>
      <w:r w:rsidRPr="00AF17C2">
        <w:rPr>
          <w:rFonts w:cs="Times New Roman"/>
          <w:lang w:val="fr-CA"/>
        </w:rPr>
        <w:t xml:space="preserve">individu contre </w:t>
      </w:r>
      <w:r w:rsidR="00795B2B">
        <w:rPr>
          <w:rFonts w:cs="Times New Roman"/>
          <w:lang w:val="fr-CA"/>
        </w:rPr>
        <w:t>« </w:t>
      </w:r>
      <w:r w:rsidRPr="00AF17C2">
        <w:rPr>
          <w:rFonts w:cs="Times New Roman"/>
          <w:lang w:val="fr-CA"/>
        </w:rPr>
        <w:t>tout isolement imposé par l</w:t>
      </w:r>
      <w:r>
        <w:rPr>
          <w:rFonts w:cs="Times New Roman"/>
          <w:lang w:val="fr-CA"/>
        </w:rPr>
        <w:t>’</w:t>
      </w:r>
      <w:r w:rsidRPr="00AF17C2">
        <w:rPr>
          <w:rFonts w:cs="Times New Roman"/>
          <w:lang w:val="fr-CA"/>
        </w:rPr>
        <w:t>État dans la poursuite de ses fins</w:t>
      </w:r>
      <w:r w:rsidR="00795B2B">
        <w:rPr>
          <w:rFonts w:cs="Times New Roman"/>
          <w:lang w:val="fr-CA"/>
        </w:rPr>
        <w:t> »</w:t>
      </w:r>
      <w:r w:rsidRPr="00AF17C2">
        <w:rPr>
          <w:rFonts w:cs="Times New Roman"/>
          <w:lang w:val="fr-CA"/>
        </w:rPr>
        <w:t xml:space="preserv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p.</w:t>
      </w:r>
      <w:r w:rsidR="00795B2B">
        <w:rPr>
          <w:rFonts w:cs="Times New Roman"/>
          <w:lang w:val="fr-CA"/>
        </w:rPr>
        <w:t xml:space="preserve"> </w:t>
      </w:r>
      <w:r w:rsidRPr="00AF17C2">
        <w:rPr>
          <w:rFonts w:cs="Times New Roman"/>
          <w:lang w:val="fr-CA"/>
        </w:rPr>
        <w:t>365). Cette garantie permet de protéger les individus contre des entités plus puissantes. En s</w:t>
      </w:r>
      <w:r>
        <w:rPr>
          <w:rFonts w:cs="Times New Roman"/>
          <w:lang w:val="fr-CA"/>
        </w:rPr>
        <w:t>’</w:t>
      </w:r>
      <w:r w:rsidRPr="00AF17C2">
        <w:rPr>
          <w:rFonts w:cs="Times New Roman"/>
          <w:lang w:val="fr-CA"/>
        </w:rPr>
        <w:t>unissant pour réaliser des objectifs communs, des personnes sont capables d</w:t>
      </w:r>
      <w:r>
        <w:rPr>
          <w:rFonts w:cs="Times New Roman"/>
          <w:lang w:val="fr-CA"/>
        </w:rPr>
        <w:t>’</w:t>
      </w:r>
      <w:r w:rsidRPr="00AF17C2">
        <w:rPr>
          <w:rFonts w:cs="Times New Roman"/>
          <w:lang w:val="fr-CA"/>
        </w:rPr>
        <w:t>empêcher des entités plus puissantes de faire obstacle aux buts et aux aspirations légitimes qu</w:t>
      </w:r>
      <w:r>
        <w:rPr>
          <w:rFonts w:cs="Times New Roman"/>
          <w:lang w:val="fr-CA"/>
        </w:rPr>
        <w:t>’</w:t>
      </w:r>
      <w:r w:rsidRPr="00AF17C2">
        <w:rPr>
          <w:rFonts w:cs="Times New Roman"/>
          <w:lang w:val="fr-CA"/>
        </w:rPr>
        <w:t>elles peuvent avoir. Le droit à la liberté d</w:t>
      </w:r>
      <w:r>
        <w:rPr>
          <w:rFonts w:cs="Times New Roman"/>
          <w:lang w:val="fr-CA"/>
        </w:rPr>
        <w:t>’</w:t>
      </w:r>
      <w:r w:rsidRPr="00AF17C2">
        <w:rPr>
          <w:rFonts w:cs="Times New Roman"/>
          <w:lang w:val="fr-CA"/>
        </w:rPr>
        <w:t xml:space="preserve">association confère donc certains pouvoirs aux groupes vulnérables et les aide à corriger les inégalités au sein de la société. </w:t>
      </w:r>
      <w:r w:rsidR="00A80955">
        <w:rPr>
          <w:rFonts w:cs="Times New Roman"/>
          <w:lang w:val="fr-CA"/>
        </w:rPr>
        <w:t>Il</w:t>
      </w:r>
      <w:r w:rsidRPr="00AF17C2">
        <w:rPr>
          <w:rFonts w:cs="Times New Roman"/>
          <w:lang w:val="fr-CA"/>
        </w:rPr>
        <w:t xml:space="preserve"> protège ainsi les groupes marginalisés et favorise la formation d</w:t>
      </w:r>
      <w:r>
        <w:rPr>
          <w:rFonts w:cs="Times New Roman"/>
          <w:lang w:val="fr-CA"/>
        </w:rPr>
        <w:t>’</w:t>
      </w:r>
      <w:r w:rsidRPr="00AF17C2">
        <w:rPr>
          <w:rFonts w:cs="Times New Roman"/>
          <w:lang w:val="fr-CA"/>
        </w:rPr>
        <w:t>une société plus équitable.</w:t>
      </w:r>
    </w:p>
    <w:p w:rsidR="007B74A6" w:rsidRPr="00AF17C2" w:rsidRDefault="007B74A6" w:rsidP="00795B2B">
      <w:pPr>
        <w:pStyle w:val="ParaNoNdepar-AltN"/>
        <w:rPr>
          <w:rFonts w:cs="Times New Roman"/>
          <w:lang w:val="fr-CA"/>
        </w:rPr>
      </w:pPr>
      <w:r w:rsidRPr="00AF17C2">
        <w:rPr>
          <w:rFonts w:cs="Times New Roman"/>
          <w:lang w:val="fr-CA"/>
        </w:rPr>
        <w:t>L</w:t>
      </w:r>
      <w:r>
        <w:rPr>
          <w:rFonts w:cs="Times New Roman"/>
          <w:lang w:val="fr-CA"/>
        </w:rPr>
        <w:t>’</w:t>
      </w:r>
      <w:r w:rsidRPr="00AF17C2">
        <w:rPr>
          <w:rFonts w:cs="Times New Roman"/>
          <w:lang w:val="fr-CA"/>
        </w:rPr>
        <w:t>application de l</w:t>
      </w:r>
      <w:r>
        <w:rPr>
          <w:rFonts w:cs="Times New Roman"/>
          <w:lang w:val="fr-CA"/>
        </w:rPr>
        <w:t>’</w:t>
      </w:r>
      <w:r w:rsidRPr="00AF17C2">
        <w:rPr>
          <w:rFonts w:cs="Times New Roman"/>
          <w:lang w:val="fr-CA"/>
        </w:rPr>
        <w:t>approche téléologique à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a toutefois pour revers que cette garantie ne protégera pas nécessairement toutes les activités associatives. En effet, puisque cette disposition vise à réduire les inégalités sociales, et non à les accentuer, certaines activités collectives échappent à la protection de la </w:t>
      </w:r>
      <w:r w:rsidRPr="00AF17C2">
        <w:rPr>
          <w:rFonts w:cs="Times New Roman"/>
          <w:i/>
          <w:lang w:val="fr-CA"/>
        </w:rPr>
        <w:t>Charte</w:t>
      </w:r>
      <w:r w:rsidRPr="00AF17C2">
        <w:rPr>
          <w:rFonts w:cs="Times New Roman"/>
          <w:lang w:val="fr-CA"/>
        </w:rPr>
        <w:t>. C</w:t>
      </w:r>
      <w:r>
        <w:rPr>
          <w:rFonts w:cs="Times New Roman"/>
          <w:lang w:val="fr-CA"/>
        </w:rPr>
        <w:t>’</w:t>
      </w:r>
      <w:r w:rsidRPr="00AF17C2">
        <w:rPr>
          <w:rFonts w:cs="Times New Roman"/>
          <w:lang w:val="fr-CA"/>
        </w:rPr>
        <w:t>est le cas, par exemple, des activités associatives violentes (</w:t>
      </w:r>
      <w:r w:rsidRPr="00AF17C2">
        <w:rPr>
          <w:rFonts w:cs="Times New Roman"/>
          <w:i/>
          <w:lang w:val="fr-CA"/>
        </w:rPr>
        <w:t>Suresh c. Canada (Ministre de la Citoyenneté et de l</w:t>
      </w:r>
      <w:r>
        <w:rPr>
          <w:rFonts w:cs="Times New Roman"/>
          <w:i/>
          <w:lang w:val="fr-CA"/>
        </w:rPr>
        <w:t>’</w:t>
      </w:r>
      <w:r w:rsidRPr="00AF17C2">
        <w:rPr>
          <w:rFonts w:cs="Times New Roman"/>
          <w:i/>
          <w:lang w:val="fr-CA"/>
        </w:rPr>
        <w:t>Immigration)</w:t>
      </w:r>
      <w:r w:rsidRPr="00AF17C2">
        <w:rPr>
          <w:rFonts w:cs="Times New Roman"/>
          <w:lang w:val="fr-CA"/>
        </w:rPr>
        <w:t>, 2002 CSC 1, [2002] 1 R.C.S.</w:t>
      </w:r>
      <w:r w:rsidR="00795B2B">
        <w:rPr>
          <w:rFonts w:cs="Times New Roman"/>
          <w:lang w:val="fr-CA"/>
        </w:rPr>
        <w:t xml:space="preserve"> </w:t>
      </w:r>
      <w:r w:rsidRPr="00AF17C2">
        <w:rPr>
          <w:rFonts w:cs="Times New Roman"/>
          <w:lang w:val="fr-CA"/>
        </w:rPr>
        <w:t>3, par.</w:t>
      </w:r>
      <w:r w:rsidR="00795B2B">
        <w:rPr>
          <w:rFonts w:cs="Times New Roman"/>
          <w:lang w:val="fr-CA"/>
        </w:rPr>
        <w:t xml:space="preserve"> </w:t>
      </w:r>
      <w:r w:rsidRPr="00AF17C2">
        <w:rPr>
          <w:rFonts w:cs="Times New Roman"/>
          <w:lang w:val="fr-CA"/>
        </w:rPr>
        <w:t xml:space="preserve">107).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l</w:t>
      </w:r>
      <w:r>
        <w:rPr>
          <w:rFonts w:cs="Times New Roman"/>
          <w:lang w:val="fr-CA"/>
        </w:rPr>
        <w:t>’</w:t>
      </w:r>
      <w:r w:rsidRPr="00AF17C2">
        <w:rPr>
          <w:rFonts w:cs="Times New Roman"/>
          <w:lang w:val="fr-CA"/>
        </w:rPr>
        <w:t>espèce, il n</w:t>
      </w:r>
      <w:r>
        <w:rPr>
          <w:rFonts w:cs="Times New Roman"/>
          <w:lang w:val="fr-CA"/>
        </w:rPr>
        <w:t>’</w:t>
      </w:r>
      <w:r w:rsidRPr="00AF17C2">
        <w:rPr>
          <w:rFonts w:cs="Times New Roman"/>
          <w:lang w:val="fr-CA"/>
        </w:rPr>
        <w:t>est pas nécessaire de déterminer si, en plus de la violence, d</w:t>
      </w:r>
      <w:r>
        <w:rPr>
          <w:rFonts w:cs="Times New Roman"/>
          <w:lang w:val="fr-CA"/>
        </w:rPr>
        <w:t>’</w:t>
      </w:r>
      <w:r w:rsidRPr="00AF17C2">
        <w:rPr>
          <w:rFonts w:cs="Times New Roman"/>
          <w:lang w:val="fr-CA"/>
        </w:rPr>
        <w:t>autres catégories d</w:t>
      </w:r>
      <w:r>
        <w:rPr>
          <w:rFonts w:cs="Times New Roman"/>
          <w:lang w:val="fr-CA"/>
        </w:rPr>
        <w:t>’</w:t>
      </w:r>
      <w:r w:rsidRPr="00AF17C2">
        <w:rPr>
          <w:rFonts w:cs="Times New Roman"/>
          <w:lang w:val="fr-CA"/>
        </w:rPr>
        <w:t>activités sont entièrement exclues de la protection conférée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en raison de leur nature même. Il suffit de souligner qu</w:t>
      </w:r>
      <w:r>
        <w:rPr>
          <w:rFonts w:cs="Times New Roman"/>
          <w:lang w:val="fr-CA"/>
        </w:rPr>
        <w:t>’</w:t>
      </w:r>
      <w:r w:rsidRPr="00AF17C2">
        <w:rPr>
          <w:rFonts w:cs="Times New Roman"/>
          <w:lang w:val="fr-CA"/>
        </w:rPr>
        <w:t xml:space="preserve">une </w:t>
      </w:r>
      <w:r w:rsidRPr="00AF17C2">
        <w:rPr>
          <w:rFonts w:cs="Times New Roman"/>
          <w:lang w:val="fr-CA"/>
        </w:rPr>
        <w:lastRenderedPageBreak/>
        <w:t>interprétation téléologique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à première vue un vaste éventail d</w:t>
      </w:r>
      <w:r>
        <w:rPr>
          <w:rFonts w:cs="Times New Roman"/>
          <w:lang w:val="fr-CA"/>
        </w:rPr>
        <w:t>’</w:t>
      </w:r>
      <w:r w:rsidRPr="00AF17C2">
        <w:rPr>
          <w:rFonts w:cs="Times New Roman"/>
          <w:lang w:val="fr-CA"/>
        </w:rPr>
        <w:t>activités associatives, sous réserve des limites justifiées au regard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nature de l</w:t>
      </w:r>
      <w:r>
        <w:rPr>
          <w:rFonts w:cs="Times New Roman"/>
          <w:lang w:val="fr-CA"/>
        </w:rPr>
        <w:t>’</w:t>
      </w:r>
      <w:r w:rsidRPr="00AF17C2">
        <w:rPr>
          <w:rFonts w:cs="Times New Roman"/>
          <w:lang w:val="fr-CA"/>
        </w:rPr>
        <w:t>activité associative et sa relation à l</w:t>
      </w:r>
      <w:r>
        <w:rPr>
          <w:rFonts w:cs="Times New Roman"/>
          <w:lang w:val="fr-CA"/>
        </w:rPr>
        <w:t>’</w:t>
      </w:r>
      <w:r w:rsidRPr="00AF17C2">
        <w:rPr>
          <w:rFonts w:cs="Times New Roman"/>
          <w:lang w:val="fr-CA"/>
        </w:rPr>
        <w:t>objet sous</w:t>
      </w:r>
      <w:r w:rsidR="00795B2B">
        <w:rPr>
          <w:rFonts w:cs="Times New Roman"/>
          <w:lang w:val="fr-CA"/>
        </w:rPr>
        <w:t>-</w:t>
      </w:r>
      <w:r w:rsidRPr="00AF17C2">
        <w:rPr>
          <w:rFonts w:cs="Times New Roman"/>
          <w:lang w:val="fr-CA"/>
        </w:rPr>
        <w:t>jacent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peuvent également devenir pertinentes pour les besoins d</w:t>
      </w:r>
      <w:r>
        <w:rPr>
          <w:rFonts w:cs="Times New Roman"/>
          <w:lang w:val="fr-CA"/>
        </w:rPr>
        <w:t>’</w:t>
      </w:r>
      <w:r w:rsidRPr="00AF17C2">
        <w:rPr>
          <w:rFonts w:cs="Times New Roman"/>
          <w:lang w:val="fr-CA"/>
        </w:rPr>
        <w:t>une analyse fondée sur l</w:t>
      </w:r>
      <w:r>
        <w:rPr>
          <w:rFonts w:cs="Times New Roman"/>
          <w:lang w:val="fr-CA"/>
        </w:rPr>
        <w:t>’</w:t>
      </w:r>
      <w:r w:rsidRPr="00AF17C2">
        <w:rPr>
          <w:rFonts w:cs="Times New Roman"/>
          <w:lang w:val="fr-CA"/>
        </w:rPr>
        <w:t>article premier, tout comme la nature d</w:t>
      </w:r>
      <w:r>
        <w:rPr>
          <w:rFonts w:cs="Times New Roman"/>
          <w:lang w:val="fr-CA"/>
        </w:rPr>
        <w:t>’</w:t>
      </w:r>
      <w:r w:rsidRPr="00AF17C2">
        <w:rPr>
          <w:rFonts w:cs="Times New Roman"/>
          <w:lang w:val="fr-CA"/>
        </w:rPr>
        <w:t>une forme particulière d</w:t>
      </w:r>
      <w:r>
        <w:rPr>
          <w:rFonts w:cs="Times New Roman"/>
          <w:lang w:val="fr-CA"/>
        </w:rPr>
        <w:t>’</w:t>
      </w:r>
      <w:r w:rsidRPr="00AF17C2">
        <w:rPr>
          <w:rFonts w:cs="Times New Roman"/>
          <w:lang w:val="fr-CA"/>
        </w:rPr>
        <w:t>expression l</w:t>
      </w:r>
      <w:r>
        <w:rPr>
          <w:rFonts w:cs="Times New Roman"/>
          <w:lang w:val="fr-CA"/>
        </w:rPr>
        <w:t>’</w:t>
      </w:r>
      <w:r w:rsidRPr="00AF17C2">
        <w:rPr>
          <w:rFonts w:cs="Times New Roman"/>
          <w:lang w:val="fr-CA"/>
        </w:rPr>
        <w:t>est dans les affaires pertinentes relatives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b</w:t>
      </w:r>
      <w:r w:rsidRPr="00AF17C2">
        <w:rPr>
          <w:rFonts w:cs="Times New Roman"/>
          <w:lang w:val="fr-CA"/>
        </w:rPr>
        <w:t>). À titre d</w:t>
      </w:r>
      <w:r>
        <w:rPr>
          <w:rFonts w:cs="Times New Roman"/>
          <w:lang w:val="fr-CA"/>
        </w:rPr>
        <w:t>’</w:t>
      </w:r>
      <w:r w:rsidRPr="00AF17C2">
        <w:rPr>
          <w:rFonts w:cs="Times New Roman"/>
          <w:lang w:val="fr-CA"/>
        </w:rPr>
        <w:t>exemple, comme l</w:t>
      </w:r>
      <w:r>
        <w:rPr>
          <w:rFonts w:cs="Times New Roman"/>
          <w:lang w:val="fr-CA"/>
        </w:rPr>
        <w:t>’</w:t>
      </w:r>
      <w:r w:rsidRPr="00AF17C2">
        <w:rPr>
          <w:rFonts w:cs="Times New Roman"/>
          <w:lang w:val="fr-CA"/>
        </w:rPr>
        <w:t xml:space="preserve">a expliqué le juge </w:t>
      </w:r>
      <w:proofErr w:type="spellStart"/>
      <w:r w:rsidRPr="00AF17C2">
        <w:rPr>
          <w:rFonts w:cs="Times New Roman"/>
          <w:lang w:val="fr-CA"/>
        </w:rPr>
        <w:t>Rothstein</w:t>
      </w:r>
      <w:proofErr w:type="spellEnd"/>
      <w:r w:rsidRPr="00AF17C2">
        <w:rPr>
          <w:rFonts w:cs="Times New Roman"/>
          <w:lang w:val="fr-CA"/>
        </w:rPr>
        <w:t xml:space="preserve"> dans </w:t>
      </w:r>
      <w:proofErr w:type="spellStart"/>
      <w:r w:rsidRPr="00AF17C2">
        <w:rPr>
          <w:rFonts w:cs="Times New Roman"/>
          <w:i/>
          <w:lang w:val="fr-CA"/>
        </w:rPr>
        <w:t>Whatcott</w:t>
      </w:r>
      <w:proofErr w:type="spellEnd"/>
      <w:r w:rsidR="00795B2B">
        <w:rPr>
          <w:rFonts w:cs="Times New Roman"/>
          <w:i/>
          <w:lang w:val="fr-CA"/>
        </w:rPr>
        <w:t> </w:t>
      </w:r>
      <w:r w:rsidR="00795B2B" w:rsidRPr="00276AF5">
        <w:rPr>
          <w:rFonts w:cs="Times New Roman"/>
          <w:lang w:val="fr-CA"/>
        </w:rPr>
        <w:t>:</w:t>
      </w:r>
    </w:p>
    <w:p w:rsidR="007B74A6" w:rsidRPr="00AF17C2" w:rsidRDefault="007B74A6" w:rsidP="00795B2B">
      <w:pPr>
        <w:pStyle w:val="Citation-AltC"/>
        <w:spacing w:after="240"/>
        <w:ind w:left="1168" w:hanging="1166"/>
        <w:contextualSpacing w:val="0"/>
        <w:rPr>
          <w:lang w:val="fr-CA"/>
        </w:rPr>
      </w:pPr>
      <w:r w:rsidRPr="00AF17C2">
        <w:rPr>
          <w:lang w:val="fr-CA"/>
        </w:rPr>
        <w:tab/>
      </w:r>
      <w:r w:rsidRPr="00AF17C2">
        <w:rPr>
          <w:lang w:val="fr-CA"/>
        </w:rPr>
        <w:tab/>
        <w:t>L</w:t>
      </w:r>
      <w:r>
        <w:rPr>
          <w:lang w:val="fr-CA"/>
        </w:rPr>
        <w:t>’</w:t>
      </w:r>
      <w:r w:rsidRPr="00AF17C2">
        <w:rPr>
          <w:lang w:val="fr-CA"/>
        </w:rPr>
        <w:t>alinéa</w:t>
      </w:r>
      <w:r w:rsidR="00795B2B">
        <w:rPr>
          <w:lang w:val="fr-CA"/>
        </w:rPr>
        <w:t xml:space="preserve"> </w:t>
      </w:r>
      <w:r w:rsidRPr="00AF17C2">
        <w:rPr>
          <w:lang w:val="fr-CA"/>
        </w:rPr>
        <w:t>2</w:t>
      </w:r>
      <w:r w:rsidRPr="00AF17C2">
        <w:rPr>
          <w:i/>
          <w:lang w:val="fr-CA"/>
        </w:rPr>
        <w:t>b</w:t>
      </w:r>
      <w:r w:rsidRPr="00AF17C2">
        <w:rPr>
          <w:lang w:val="fr-CA"/>
        </w:rPr>
        <w:t xml:space="preserve">) de la </w:t>
      </w:r>
      <w:r w:rsidRPr="00AF17C2">
        <w:rPr>
          <w:i/>
          <w:lang w:val="fr-CA"/>
        </w:rPr>
        <w:t>Charte</w:t>
      </w:r>
      <w:r w:rsidRPr="00AF17C2">
        <w:rPr>
          <w:lang w:val="fr-CA"/>
        </w:rPr>
        <w:t xml:space="preserve"> ne protège pas l</w:t>
      </w:r>
      <w:r>
        <w:rPr>
          <w:lang w:val="fr-CA"/>
        </w:rPr>
        <w:t>’</w:t>
      </w:r>
      <w:r w:rsidRPr="00AF17C2">
        <w:rPr>
          <w:lang w:val="fr-CA"/>
        </w:rPr>
        <w:t>écrit ou le discours qui exprime la violence ou la menace de recourir à la violence</w:t>
      </w:r>
      <w:r w:rsidR="00795B2B">
        <w:rPr>
          <w:lang w:val="fr-CA"/>
        </w:rPr>
        <w:t> :</w:t>
      </w:r>
      <w:r w:rsidRPr="00AF17C2">
        <w:rPr>
          <w:lang w:val="fr-CA"/>
        </w:rPr>
        <w:t xml:space="preserve"> </w:t>
      </w:r>
      <w:r w:rsidRPr="00AF17C2">
        <w:rPr>
          <w:i/>
          <w:lang w:val="fr-CA"/>
        </w:rPr>
        <w:t xml:space="preserve">R. c. </w:t>
      </w:r>
      <w:proofErr w:type="spellStart"/>
      <w:r w:rsidRPr="00AF17C2">
        <w:rPr>
          <w:i/>
          <w:lang w:val="fr-CA"/>
        </w:rPr>
        <w:t>Khawaja</w:t>
      </w:r>
      <w:proofErr w:type="spellEnd"/>
      <w:r w:rsidRPr="00AF17C2">
        <w:rPr>
          <w:lang w:val="fr-CA"/>
        </w:rPr>
        <w:t>, 2012 CSC 69, [2012] 3 R.C.S.</w:t>
      </w:r>
      <w:r w:rsidR="00795B2B">
        <w:rPr>
          <w:lang w:val="fr-CA"/>
        </w:rPr>
        <w:t xml:space="preserve"> </w:t>
      </w:r>
      <w:r w:rsidRPr="00AF17C2">
        <w:rPr>
          <w:lang w:val="fr-CA"/>
        </w:rPr>
        <w:t>555, par.</w:t>
      </w:r>
      <w:r w:rsidR="00795B2B">
        <w:rPr>
          <w:lang w:val="fr-CA"/>
        </w:rPr>
        <w:t xml:space="preserve"> </w:t>
      </w:r>
      <w:r w:rsidRPr="00AF17C2">
        <w:rPr>
          <w:lang w:val="fr-CA"/>
        </w:rPr>
        <w:t>70. À cette exception près, les écrits et les discours ne seront pas traités sur un pied d</w:t>
      </w:r>
      <w:r>
        <w:rPr>
          <w:lang w:val="fr-CA"/>
        </w:rPr>
        <w:t>’</w:t>
      </w:r>
      <w:r w:rsidRPr="00AF17C2">
        <w:rPr>
          <w:lang w:val="fr-CA"/>
        </w:rPr>
        <w:t>égalité lorsqu</w:t>
      </w:r>
      <w:r>
        <w:rPr>
          <w:lang w:val="fr-CA"/>
        </w:rPr>
        <w:t>’</w:t>
      </w:r>
      <w:r w:rsidRPr="00AF17C2">
        <w:rPr>
          <w:lang w:val="fr-CA"/>
        </w:rPr>
        <w:t>il s</w:t>
      </w:r>
      <w:r>
        <w:rPr>
          <w:lang w:val="fr-CA"/>
        </w:rPr>
        <w:t>’</w:t>
      </w:r>
      <w:r w:rsidRPr="00AF17C2">
        <w:rPr>
          <w:lang w:val="fr-CA"/>
        </w:rPr>
        <w:t>agit de trouver un juste équilibre entre des valeurs concurrentes dans le cadre d</w:t>
      </w:r>
      <w:r>
        <w:rPr>
          <w:lang w:val="fr-CA"/>
        </w:rPr>
        <w:t>’</w:t>
      </w:r>
      <w:r w:rsidRPr="00AF17C2">
        <w:rPr>
          <w:lang w:val="fr-CA"/>
        </w:rPr>
        <w:t>une analyse fondée sur l</w:t>
      </w:r>
      <w:r>
        <w:rPr>
          <w:lang w:val="fr-CA"/>
        </w:rPr>
        <w:t>’</w:t>
      </w:r>
      <w:r w:rsidRPr="00AF17C2">
        <w:rPr>
          <w:lang w:val="fr-CA"/>
        </w:rPr>
        <w:t>article premier. Cette situation tient au fait que, selon leur nature, les divers types d</w:t>
      </w:r>
      <w:r>
        <w:rPr>
          <w:lang w:val="fr-CA"/>
        </w:rPr>
        <w:t>’</w:t>
      </w:r>
      <w:r w:rsidRPr="00AF17C2">
        <w:rPr>
          <w:lang w:val="fr-CA"/>
        </w:rPr>
        <w:t>écrits et de discours se rapprochent ou s</w:t>
      </w:r>
      <w:r>
        <w:rPr>
          <w:lang w:val="fr-CA"/>
        </w:rPr>
        <w:t>’</w:t>
      </w:r>
      <w:r w:rsidRPr="00AF17C2">
        <w:rPr>
          <w:lang w:val="fr-CA"/>
        </w:rPr>
        <w:t>éloignent relativement des valeurs fondamentales à la base de la liberté, ce qui à son tour influe sur la valeur de l</w:t>
      </w:r>
      <w:r>
        <w:rPr>
          <w:lang w:val="fr-CA"/>
        </w:rPr>
        <w:t>’</w:t>
      </w:r>
      <w:r w:rsidRPr="00AF17C2">
        <w:rPr>
          <w:lang w:val="fr-CA"/>
        </w:rPr>
        <w:t xml:space="preserve">écrit ou du discours en question par rapport aux autres droits garantis par la </w:t>
      </w:r>
      <w:r w:rsidRPr="00AF17C2">
        <w:rPr>
          <w:i/>
          <w:lang w:val="fr-CA"/>
        </w:rPr>
        <w:t>Charte</w:t>
      </w:r>
      <w:r w:rsidRPr="00AF17C2">
        <w:rPr>
          <w:lang w:val="fr-CA"/>
        </w:rPr>
        <w:t xml:space="preserve"> dont l</w:t>
      </w:r>
      <w:r>
        <w:rPr>
          <w:lang w:val="fr-CA"/>
        </w:rPr>
        <w:t>’</w:t>
      </w:r>
      <w:r w:rsidRPr="00AF17C2">
        <w:rPr>
          <w:lang w:val="fr-CA"/>
        </w:rPr>
        <w:t>exercice ou la protection peut porter atteinte à la liberté d</w:t>
      </w:r>
      <w:r>
        <w:rPr>
          <w:lang w:val="fr-CA"/>
        </w:rPr>
        <w:t>’</w:t>
      </w:r>
      <w:r w:rsidRPr="00AF17C2">
        <w:rPr>
          <w:lang w:val="fr-CA"/>
        </w:rPr>
        <w:t>expression.</w:t>
      </w:r>
    </w:p>
    <w:p w:rsidR="007B74A6" w:rsidRPr="00AF17C2" w:rsidRDefault="007B74A6" w:rsidP="00795B2B">
      <w:pPr>
        <w:pStyle w:val="Citation-AltC"/>
        <w:spacing w:after="240"/>
        <w:ind w:left="1168" w:hanging="1168"/>
        <w:contextualSpacing w:val="0"/>
        <w:jc w:val="center"/>
        <w:rPr>
          <w:lang w:val="fr-CA"/>
        </w:rPr>
      </w:pPr>
      <w:r w:rsidRPr="00AF17C2">
        <w:rPr>
          <w:lang w:val="fr-CA"/>
        </w:rPr>
        <w:tab/>
      </w:r>
      <w:r w:rsidR="00795B2B">
        <w:rPr>
          <w:lang w:val="fr-CA"/>
        </w:rPr>
        <w:t>. . .</w:t>
      </w:r>
    </w:p>
    <w:p w:rsidR="007B74A6" w:rsidRPr="00AF17C2" w:rsidRDefault="007B74A6" w:rsidP="00795B2B">
      <w:pPr>
        <w:pStyle w:val="Citation-AltC"/>
        <w:ind w:hanging="1166"/>
        <w:contextualSpacing w:val="0"/>
        <w:rPr>
          <w:lang w:val="fr-CA"/>
        </w:rPr>
      </w:pPr>
      <w:r w:rsidRPr="00AF17C2">
        <w:rPr>
          <w:lang w:val="fr-CA"/>
        </w:rPr>
        <w:tab/>
      </w:r>
      <w:r w:rsidRPr="00AF17C2">
        <w:rPr>
          <w:lang w:val="fr-CA"/>
        </w:rPr>
        <w:tab/>
        <w:t>Le propos haineux est quelque peu éloigné de l</w:t>
      </w:r>
      <w:r>
        <w:rPr>
          <w:lang w:val="fr-CA"/>
        </w:rPr>
        <w:t>’</w:t>
      </w:r>
      <w:r w:rsidRPr="00AF17C2">
        <w:rPr>
          <w:lang w:val="fr-CA"/>
        </w:rPr>
        <w:t>esprit de l</w:t>
      </w:r>
      <w:r>
        <w:rPr>
          <w:lang w:val="fr-CA"/>
        </w:rPr>
        <w:t>’</w:t>
      </w:r>
      <w:r w:rsidRPr="00AF17C2">
        <w:rPr>
          <w:lang w:val="fr-CA"/>
        </w:rPr>
        <w:t>al.</w:t>
      </w:r>
      <w:r w:rsidR="00795B2B">
        <w:rPr>
          <w:lang w:val="fr-CA"/>
        </w:rPr>
        <w:t xml:space="preserve"> </w:t>
      </w:r>
      <w:r w:rsidRPr="00AF17C2">
        <w:rPr>
          <w:lang w:val="fr-CA"/>
        </w:rPr>
        <w:t>2</w:t>
      </w:r>
      <w:r w:rsidRPr="00AF17C2">
        <w:rPr>
          <w:i/>
          <w:lang w:val="fr-CA"/>
        </w:rPr>
        <w:t>b</w:t>
      </w:r>
      <w:r w:rsidRPr="00AF17C2">
        <w:rPr>
          <w:lang w:val="fr-CA"/>
        </w:rPr>
        <w:t xml:space="preserve">) </w:t>
      </w:r>
      <w:r w:rsidRPr="00AF17C2">
        <w:rPr>
          <w:u w:val="single"/>
          <w:lang w:val="fr-CA"/>
        </w:rPr>
        <w:t>parce qu</w:t>
      </w:r>
      <w:r>
        <w:rPr>
          <w:u w:val="single"/>
          <w:lang w:val="fr-CA"/>
        </w:rPr>
        <w:t>’</w:t>
      </w:r>
      <w:r w:rsidRPr="00AF17C2">
        <w:rPr>
          <w:u w:val="single"/>
          <w:lang w:val="fr-CA"/>
        </w:rPr>
        <w:t>il contribue peu à promouvoir les valeurs sous</w:t>
      </w:r>
      <w:r w:rsidR="00795B2B">
        <w:rPr>
          <w:rFonts w:eastAsia="MS Mincho"/>
          <w:u w:val="single"/>
          <w:lang w:val="fr-CA"/>
        </w:rPr>
        <w:t>-</w:t>
      </w:r>
      <w:r w:rsidRPr="00AF17C2">
        <w:rPr>
          <w:u w:val="single"/>
          <w:lang w:val="fr-CA"/>
        </w:rPr>
        <w:t>jacentes à la liberté d</w:t>
      </w:r>
      <w:r>
        <w:rPr>
          <w:u w:val="single"/>
          <w:lang w:val="fr-CA"/>
        </w:rPr>
        <w:t>’</w:t>
      </w:r>
      <w:r w:rsidRPr="00AF17C2">
        <w:rPr>
          <w:u w:val="single"/>
          <w:lang w:val="fr-CA"/>
        </w:rPr>
        <w:t>expression et qu</w:t>
      </w:r>
      <w:r>
        <w:rPr>
          <w:u w:val="single"/>
          <w:lang w:val="fr-CA"/>
        </w:rPr>
        <w:t>’</w:t>
      </w:r>
      <w:r w:rsidRPr="00AF17C2">
        <w:rPr>
          <w:u w:val="single"/>
          <w:lang w:val="fr-CA"/>
        </w:rPr>
        <w:t>il peut en fait les entraver</w:t>
      </w:r>
      <w:r w:rsidRPr="00AF17C2">
        <w:rPr>
          <w:lang w:val="fr-CA"/>
        </w:rPr>
        <w:t>. Le juge en chef Dickson a fait observer dans l</w:t>
      </w:r>
      <w:r>
        <w:rPr>
          <w:lang w:val="fr-CA"/>
        </w:rPr>
        <w:t>’</w:t>
      </w:r>
      <w:r w:rsidRPr="00AF17C2">
        <w:rPr>
          <w:lang w:val="fr-CA"/>
        </w:rPr>
        <w:t xml:space="preserve">arrêt </w:t>
      </w:r>
      <w:proofErr w:type="spellStart"/>
      <w:r w:rsidRPr="00AF17C2">
        <w:rPr>
          <w:i/>
          <w:lang w:val="fr-CA"/>
        </w:rPr>
        <w:t>Keegstra</w:t>
      </w:r>
      <w:proofErr w:type="spellEnd"/>
      <w:r w:rsidRPr="00AF17C2">
        <w:rPr>
          <w:lang w:val="fr-CA"/>
        </w:rPr>
        <w:t xml:space="preserve"> qu</w:t>
      </w:r>
      <w:r>
        <w:rPr>
          <w:lang w:val="fr-CA"/>
        </w:rPr>
        <w:t>’</w:t>
      </w:r>
      <w:r w:rsidRPr="00AF17C2">
        <w:rPr>
          <w:lang w:val="fr-CA"/>
        </w:rPr>
        <w:t>un écrit ou un discours peut être utilisé au détriment de la recherche de la vérité (p.</w:t>
      </w:r>
      <w:r w:rsidR="00795B2B">
        <w:rPr>
          <w:lang w:val="fr-CA"/>
        </w:rPr>
        <w:t xml:space="preserve"> </w:t>
      </w:r>
      <w:r w:rsidRPr="00AF17C2">
        <w:rPr>
          <w:lang w:val="fr-CA"/>
        </w:rPr>
        <w:t>763). Comme nous l</w:t>
      </w:r>
      <w:r>
        <w:rPr>
          <w:lang w:val="fr-CA"/>
        </w:rPr>
        <w:t>’</w:t>
      </w:r>
      <w:r w:rsidRPr="00AF17C2">
        <w:rPr>
          <w:lang w:val="fr-CA"/>
        </w:rPr>
        <w:t>avons déjà expliqué, le propos haineux peut également fausser ou restreindre l</w:t>
      </w:r>
      <w:r>
        <w:rPr>
          <w:lang w:val="fr-CA"/>
        </w:rPr>
        <w:t>’</w:t>
      </w:r>
      <w:r w:rsidRPr="00AF17C2">
        <w:rPr>
          <w:lang w:val="fr-CA"/>
        </w:rPr>
        <w:t>échange sain et libre d</w:t>
      </w:r>
      <w:r>
        <w:rPr>
          <w:lang w:val="fr-CA"/>
        </w:rPr>
        <w:t>’</w:t>
      </w:r>
      <w:r w:rsidRPr="00AF17C2">
        <w:rPr>
          <w:lang w:val="fr-CA"/>
        </w:rPr>
        <w:t>idées en raison de sa tendance à réduire au silence les membres du groupe visé. Il peut permettre à son auteur de s</w:t>
      </w:r>
      <w:r>
        <w:rPr>
          <w:lang w:val="fr-CA"/>
        </w:rPr>
        <w:t>’</w:t>
      </w:r>
      <w:r w:rsidRPr="00AF17C2">
        <w:rPr>
          <w:lang w:val="fr-CA"/>
        </w:rPr>
        <w:t>épanouir, mais il le fait souvent aux dépens de la victime. Il s</w:t>
      </w:r>
      <w:r>
        <w:rPr>
          <w:lang w:val="fr-CA"/>
        </w:rPr>
        <w:t>’</w:t>
      </w:r>
      <w:r w:rsidRPr="00AF17C2">
        <w:rPr>
          <w:lang w:val="fr-CA"/>
        </w:rPr>
        <w:t>agit là de considérations importantes lorsqu</w:t>
      </w:r>
      <w:r>
        <w:rPr>
          <w:lang w:val="fr-CA"/>
        </w:rPr>
        <w:t>’</w:t>
      </w:r>
      <w:r w:rsidRPr="00AF17C2">
        <w:rPr>
          <w:lang w:val="fr-CA"/>
        </w:rPr>
        <w:t>on recherche l</w:t>
      </w:r>
      <w:r>
        <w:rPr>
          <w:lang w:val="fr-CA"/>
        </w:rPr>
        <w:t>’</w:t>
      </w:r>
      <w:r w:rsidRPr="00AF17C2">
        <w:rPr>
          <w:lang w:val="fr-CA"/>
        </w:rPr>
        <w:t xml:space="preserve">équilibre entre le discours haineux et les droits opposés garantis par la </w:t>
      </w:r>
      <w:proofErr w:type="gramStart"/>
      <w:r w:rsidRPr="00AF17C2">
        <w:rPr>
          <w:i/>
          <w:lang w:val="fr-CA"/>
        </w:rPr>
        <w:t>Charte</w:t>
      </w:r>
      <w:r w:rsidRPr="00AF17C2">
        <w:rPr>
          <w:lang w:val="fr-CA"/>
        </w:rPr>
        <w:t xml:space="preserve"> </w:t>
      </w:r>
      <w:r w:rsidR="00795B2B">
        <w:rPr>
          <w:lang w:val="fr-CA"/>
        </w:rPr>
        <w:t>.</w:t>
      </w:r>
      <w:proofErr w:type="gramEnd"/>
      <w:r w:rsidR="00795B2B">
        <w:rPr>
          <w:lang w:val="fr-CA"/>
        </w:rPr>
        <w:t> . .</w:t>
      </w:r>
      <w:r w:rsidRPr="00AF17C2">
        <w:rPr>
          <w:lang w:val="fr-CA"/>
        </w:rPr>
        <w:t xml:space="preserve"> [Nous soulignons; par.</w:t>
      </w:r>
      <w:r w:rsidR="00795B2B">
        <w:rPr>
          <w:lang w:val="fr-CA"/>
        </w:rPr>
        <w:t xml:space="preserve"> </w:t>
      </w:r>
      <w:r w:rsidRPr="00AF17C2">
        <w:rPr>
          <w:lang w:val="fr-CA"/>
        </w:rPr>
        <w:t>112 et 114.]</w:t>
      </w:r>
    </w:p>
    <w:p w:rsidR="007B74A6" w:rsidRPr="00AF17C2" w:rsidRDefault="007B74A6" w:rsidP="00795B2B">
      <w:pPr>
        <w:pStyle w:val="ParaNoNdepar-AltN"/>
        <w:rPr>
          <w:rFonts w:cs="Times New Roman"/>
          <w:lang w:val="fr-CA"/>
        </w:rPr>
      </w:pPr>
      <w:r w:rsidRPr="00AF17C2">
        <w:rPr>
          <w:rFonts w:cs="Times New Roman"/>
          <w:lang w:val="fr-CA"/>
        </w:rPr>
        <w:lastRenderedPageBreak/>
        <w:t>Comme nous l</w:t>
      </w:r>
      <w:r>
        <w:rPr>
          <w:rFonts w:cs="Times New Roman"/>
          <w:lang w:val="fr-CA"/>
        </w:rPr>
        <w:t>’</w:t>
      </w:r>
      <w:r w:rsidRPr="00AF17C2">
        <w:rPr>
          <w:rFonts w:cs="Times New Roman"/>
          <w:lang w:val="fr-CA"/>
        </w:rPr>
        <w:t>avons vu,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l</w:t>
      </w:r>
      <w:r>
        <w:rPr>
          <w:rFonts w:cs="Times New Roman"/>
          <w:lang w:val="fr-CA"/>
        </w:rPr>
        <w:t>’</w:t>
      </w:r>
      <w:r w:rsidRPr="00AF17C2">
        <w:rPr>
          <w:rFonts w:cs="Times New Roman"/>
          <w:lang w:val="fr-CA"/>
        </w:rPr>
        <w:t>activité associative afin de prémunir les individus contre l</w:t>
      </w:r>
      <w:r>
        <w:rPr>
          <w:rFonts w:cs="Times New Roman"/>
          <w:lang w:val="fr-CA"/>
        </w:rPr>
        <w:t>’</w:t>
      </w:r>
      <w:r w:rsidRPr="00AF17C2">
        <w:rPr>
          <w:rFonts w:cs="Times New Roman"/>
          <w:lang w:val="fr-CA"/>
        </w:rPr>
        <w:t>isolement provoqué par l</w:t>
      </w:r>
      <w:r>
        <w:rPr>
          <w:rFonts w:cs="Times New Roman"/>
          <w:lang w:val="fr-CA"/>
        </w:rPr>
        <w:t>’</w:t>
      </w:r>
      <w:r w:rsidRPr="00AF17C2">
        <w:rPr>
          <w:rFonts w:cs="Times New Roman"/>
          <w:lang w:val="fr-CA"/>
        </w:rPr>
        <w:t>État et de leur permettre de réaliser collectivement ce qu</w:t>
      </w:r>
      <w:r>
        <w:rPr>
          <w:rFonts w:cs="Times New Roman"/>
          <w:lang w:val="fr-CA"/>
        </w:rPr>
        <w:t>’</w:t>
      </w:r>
      <w:r w:rsidRPr="00AF17C2">
        <w:rPr>
          <w:rFonts w:cs="Times New Roman"/>
          <w:lang w:val="fr-CA"/>
        </w:rPr>
        <w:t>ils ne pourraient pas accomplir seuls. En conséquence, les droits d</w:t>
      </w:r>
      <w:r>
        <w:rPr>
          <w:rFonts w:cs="Times New Roman"/>
          <w:lang w:val="fr-CA"/>
        </w:rPr>
        <w:t>’</w:t>
      </w:r>
      <w:r w:rsidRPr="00AF17C2">
        <w:rPr>
          <w:rFonts w:cs="Times New Roman"/>
          <w:lang w:val="fr-CA"/>
        </w:rPr>
        <w:t>association protégés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ne constituent pas simplement un ensemble de droits individuels, mais également des droits collectifs inhérents aux associations. La juge L</w:t>
      </w:r>
      <w:r>
        <w:rPr>
          <w:rFonts w:cs="Times New Roman"/>
          <w:lang w:val="fr-CA"/>
        </w:rPr>
        <w:t>’</w:t>
      </w:r>
      <w:r w:rsidRPr="00AF17C2">
        <w:rPr>
          <w:rFonts w:cs="Times New Roman"/>
          <w:lang w:val="fr-CA"/>
        </w:rPr>
        <w:t>Heureux</w:t>
      </w:r>
      <w:r w:rsidR="00795B2B">
        <w:rPr>
          <w:rFonts w:cs="Times New Roman"/>
          <w:lang w:val="fr-CA"/>
        </w:rPr>
        <w:t>-</w:t>
      </w:r>
      <w:proofErr w:type="spellStart"/>
      <w:r w:rsidRPr="00AF17C2">
        <w:rPr>
          <w:rFonts w:cs="Times New Roman"/>
          <w:lang w:val="fr-CA"/>
        </w:rPr>
        <w:t>Dubé</w:t>
      </w:r>
      <w:proofErr w:type="spellEnd"/>
      <w:r w:rsidRPr="00AF17C2">
        <w:rPr>
          <w:rFonts w:cs="Times New Roman"/>
          <w:lang w:val="fr-CA"/>
        </w:rPr>
        <w:t xml:space="preserve"> a rappelé avec justesse dans </w:t>
      </w:r>
      <w:proofErr w:type="spellStart"/>
      <w:r w:rsidRPr="00AF17C2">
        <w:rPr>
          <w:rFonts w:cs="Times New Roman"/>
          <w:i/>
          <w:lang w:val="fr-CA"/>
        </w:rPr>
        <w:t>Advance</w:t>
      </w:r>
      <w:proofErr w:type="spellEnd"/>
      <w:r w:rsidRPr="00AF17C2">
        <w:rPr>
          <w:rFonts w:cs="Times New Roman"/>
          <w:i/>
          <w:lang w:val="fr-CA"/>
        </w:rPr>
        <w:t xml:space="preserve"> </w:t>
      </w:r>
      <w:proofErr w:type="spellStart"/>
      <w:r w:rsidRPr="00AF17C2">
        <w:rPr>
          <w:rFonts w:cs="Times New Roman"/>
          <w:i/>
          <w:lang w:val="fr-CA"/>
        </w:rPr>
        <w:t>Cutting</w:t>
      </w:r>
      <w:proofErr w:type="spellEnd"/>
      <w:r w:rsidR="00795B2B">
        <w:rPr>
          <w:rFonts w:cs="Times New Roman"/>
          <w:lang w:val="fr-CA"/>
        </w:rPr>
        <w:t> :</w:t>
      </w:r>
    </w:p>
    <w:p w:rsidR="007B74A6" w:rsidRPr="00AF17C2" w:rsidRDefault="007B74A6" w:rsidP="00795B2B">
      <w:pPr>
        <w:pStyle w:val="Citation-AltC"/>
        <w:ind w:hanging="1166"/>
        <w:rPr>
          <w:lang w:val="fr-CA"/>
        </w:rPr>
      </w:pPr>
      <w:r w:rsidRPr="00AF17C2">
        <w:rPr>
          <w:lang w:val="fr-CA"/>
        </w:rPr>
        <w:tab/>
        <w:t>L</w:t>
      </w:r>
      <w:r>
        <w:rPr>
          <w:lang w:val="fr-CA"/>
        </w:rPr>
        <w:t>’</w:t>
      </w:r>
      <w:r w:rsidRPr="00AF17C2">
        <w:rPr>
          <w:lang w:val="fr-CA"/>
        </w:rPr>
        <w:t>interaction des individus entraîne un élément de synergie dans la société. La simple addition d</w:t>
      </w:r>
      <w:r>
        <w:rPr>
          <w:lang w:val="fr-CA"/>
        </w:rPr>
        <w:t>’</w:t>
      </w:r>
      <w:r w:rsidRPr="00AF17C2">
        <w:rPr>
          <w:lang w:val="fr-CA"/>
        </w:rPr>
        <w:t>objectifs individuels ne suffit pas. La société est plus que la somme de ses parties. Autrement dit, une rangée de taxis n</w:t>
      </w:r>
      <w:r>
        <w:rPr>
          <w:lang w:val="fr-CA"/>
        </w:rPr>
        <w:t>’</w:t>
      </w:r>
      <w:r w:rsidRPr="00AF17C2">
        <w:rPr>
          <w:lang w:val="fr-CA"/>
        </w:rPr>
        <w:t>équivaut pas à un autobus. L</w:t>
      </w:r>
      <w:r>
        <w:rPr>
          <w:lang w:val="fr-CA"/>
        </w:rPr>
        <w:t>’</w:t>
      </w:r>
      <w:r w:rsidRPr="00AF17C2">
        <w:rPr>
          <w:lang w:val="fr-CA"/>
        </w:rPr>
        <w:t>application d</w:t>
      </w:r>
      <w:r>
        <w:rPr>
          <w:lang w:val="fr-CA"/>
        </w:rPr>
        <w:t>’</w:t>
      </w:r>
      <w:r w:rsidRPr="00AF17C2">
        <w:rPr>
          <w:lang w:val="fr-CA"/>
        </w:rPr>
        <w:t>une méthode mathématique à l</w:t>
      </w:r>
      <w:r>
        <w:rPr>
          <w:lang w:val="fr-CA"/>
        </w:rPr>
        <w:t>’</w:t>
      </w:r>
      <w:r w:rsidRPr="00AF17C2">
        <w:rPr>
          <w:lang w:val="fr-CA"/>
        </w:rPr>
        <w:t xml:space="preserve">égard des droits garantis par la </w:t>
      </w:r>
      <w:r w:rsidRPr="00AF17C2">
        <w:rPr>
          <w:i/>
          <w:lang w:val="fr-CA"/>
        </w:rPr>
        <w:t>Charte</w:t>
      </w:r>
      <w:r w:rsidRPr="00AF17C2">
        <w:rPr>
          <w:lang w:val="fr-CA"/>
        </w:rPr>
        <w:t xml:space="preserve"> ne tient pas compte des aspirations qu</w:t>
      </w:r>
      <w:r>
        <w:rPr>
          <w:lang w:val="fr-CA"/>
        </w:rPr>
        <w:t>’</w:t>
      </w:r>
      <w:r w:rsidRPr="00AF17C2">
        <w:rPr>
          <w:lang w:val="fr-CA"/>
        </w:rPr>
        <w:t>elle enchâsse. [</w:t>
      </w:r>
      <w:proofErr w:type="gramStart"/>
      <w:r w:rsidRPr="00AF17C2">
        <w:rPr>
          <w:lang w:val="fr-CA"/>
        </w:rPr>
        <w:t>par</w:t>
      </w:r>
      <w:proofErr w:type="gramEnd"/>
      <w:r w:rsidRPr="00AF17C2">
        <w:rPr>
          <w:lang w:val="fr-CA"/>
        </w:rPr>
        <w:t>.</w:t>
      </w:r>
      <w:r w:rsidR="00795B2B">
        <w:rPr>
          <w:lang w:val="fr-CA"/>
        </w:rPr>
        <w:t xml:space="preserve"> </w:t>
      </w:r>
      <w:r w:rsidRPr="00AF17C2">
        <w:rPr>
          <w:lang w:val="fr-CA"/>
        </w:rPr>
        <w:t>66]</w:t>
      </w:r>
    </w:p>
    <w:p w:rsidR="007B74A6" w:rsidRPr="00AF17C2" w:rsidRDefault="007B74A6" w:rsidP="00795B2B">
      <w:pPr>
        <w:pStyle w:val="ParaNoNdepar-AltN"/>
        <w:rPr>
          <w:rFonts w:cs="Times New Roman"/>
          <w:lang w:val="fr-CA"/>
        </w:rPr>
      </w:pPr>
      <w:r w:rsidRPr="00AF17C2">
        <w:rPr>
          <w:rFonts w:cs="Times New Roman"/>
          <w:lang w:val="fr-CA"/>
        </w:rPr>
        <w:t>On a soutenu que les droits collectifs ne devraient pas être reconnus parce qu</w:t>
      </w:r>
      <w:r>
        <w:rPr>
          <w:rFonts w:cs="Times New Roman"/>
          <w:lang w:val="fr-CA"/>
        </w:rPr>
        <w:t>’</w:t>
      </w:r>
      <w:r w:rsidRPr="00AF17C2">
        <w:rPr>
          <w:rFonts w:cs="Times New Roman"/>
          <w:lang w:val="fr-CA"/>
        </w:rPr>
        <w:t xml:space="preserve">ils seraient incompatibles avec la </w:t>
      </w:r>
      <w:r w:rsidRPr="00AF17C2">
        <w:rPr>
          <w:rFonts w:cs="Times New Roman"/>
          <w:i/>
          <w:lang w:val="fr-CA"/>
        </w:rPr>
        <w:t>Charte</w:t>
      </w:r>
      <w:r w:rsidRPr="00AF17C2">
        <w:rPr>
          <w:rFonts w:cs="Times New Roman"/>
          <w:lang w:val="fr-CA"/>
        </w:rPr>
        <w:t>,</w:t>
      </w:r>
      <w:r w:rsidRPr="00AF17C2">
        <w:rPr>
          <w:rFonts w:cs="Times New Roman"/>
          <w:i/>
          <w:lang w:val="fr-CA"/>
        </w:rPr>
        <w:t xml:space="preserve"> </w:t>
      </w:r>
      <w:r w:rsidRPr="00AF17C2">
        <w:rPr>
          <w:rFonts w:cs="Times New Roman"/>
          <w:lang w:val="fr-CA"/>
        </w:rPr>
        <w:t>qui met l</w:t>
      </w:r>
      <w:r>
        <w:rPr>
          <w:rFonts w:cs="Times New Roman"/>
          <w:lang w:val="fr-CA"/>
        </w:rPr>
        <w:t>’</w:t>
      </w:r>
      <w:r w:rsidRPr="00AF17C2">
        <w:rPr>
          <w:rFonts w:cs="Times New Roman"/>
          <w:lang w:val="fr-CA"/>
        </w:rPr>
        <w:t>accent sur les droits individuels, et parce que les groupes bénéficieraient ainsi de droits plus étendus que les individus. À notre avis, aucun de ces arguments n</w:t>
      </w:r>
      <w:r>
        <w:rPr>
          <w:rFonts w:cs="Times New Roman"/>
          <w:lang w:val="fr-CA"/>
        </w:rPr>
        <w:t>’</w:t>
      </w:r>
      <w:r w:rsidRPr="00AF17C2">
        <w:rPr>
          <w:rFonts w:cs="Times New Roman"/>
          <w:lang w:val="fr-CA"/>
        </w:rPr>
        <w:t>est fondé.</w:t>
      </w:r>
    </w:p>
    <w:p w:rsidR="007B74A6" w:rsidRPr="00D444EC" w:rsidRDefault="007B74A6" w:rsidP="00795B2B">
      <w:pPr>
        <w:pStyle w:val="ParaNoNdepar-AltN"/>
        <w:rPr>
          <w:rFonts w:cs="Times New Roman"/>
          <w:lang w:val="fr-CA"/>
        </w:rPr>
      </w:pPr>
      <w:r w:rsidRPr="00AF17C2">
        <w:rPr>
          <w:rFonts w:cs="Times New Roman"/>
          <w:lang w:val="fr-CA"/>
        </w:rPr>
        <w:t>D</w:t>
      </w:r>
      <w:r>
        <w:rPr>
          <w:rFonts w:cs="Times New Roman"/>
          <w:lang w:val="fr-CA"/>
        </w:rPr>
        <w:t>’</w:t>
      </w:r>
      <w:r w:rsidRPr="00AF17C2">
        <w:rPr>
          <w:rFonts w:cs="Times New Roman"/>
          <w:lang w:val="fr-CA"/>
        </w:rPr>
        <w:t xml:space="preserve">abord, la </w:t>
      </w:r>
      <w:r w:rsidRPr="00AF17C2">
        <w:rPr>
          <w:rFonts w:cs="Times New Roman"/>
          <w:i/>
          <w:lang w:val="fr-CA"/>
        </w:rPr>
        <w:t xml:space="preserve">Charte </w:t>
      </w:r>
      <w:r w:rsidRPr="00AF17C2">
        <w:rPr>
          <w:rFonts w:cs="Times New Roman"/>
          <w:lang w:val="fr-CA"/>
        </w:rPr>
        <w:t>n</w:t>
      </w:r>
      <w:r>
        <w:rPr>
          <w:rFonts w:cs="Times New Roman"/>
          <w:lang w:val="fr-CA"/>
        </w:rPr>
        <w:t>’</w:t>
      </w:r>
      <w:r w:rsidRPr="00AF17C2">
        <w:rPr>
          <w:rFonts w:cs="Times New Roman"/>
          <w:lang w:val="fr-CA"/>
        </w:rPr>
        <w:t>exclut pas les droits collectifs. Bien que les titulaires de droit auxquels elle renvoie soient en général des particuliers, les garanties prévues par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2 s</w:t>
      </w:r>
      <w:r>
        <w:rPr>
          <w:rFonts w:cs="Times New Roman"/>
          <w:lang w:val="fr-CA"/>
        </w:rPr>
        <w:t>’</w:t>
      </w:r>
      <w:r w:rsidRPr="00AF17C2">
        <w:rPr>
          <w:rFonts w:cs="Times New Roman"/>
          <w:lang w:val="fr-CA"/>
        </w:rPr>
        <w:t>appliquent également aux groupes. La liberté de réunion pacifique vise, par définition, une activité collective qui n</w:t>
      </w:r>
      <w:r>
        <w:rPr>
          <w:rFonts w:cs="Times New Roman"/>
          <w:lang w:val="fr-CA"/>
        </w:rPr>
        <w:t>’</w:t>
      </w:r>
      <w:r w:rsidRPr="00AF17C2">
        <w:rPr>
          <w:rFonts w:cs="Times New Roman"/>
          <w:lang w:val="fr-CA"/>
        </w:rPr>
        <w:t>est pas susceptible d</w:t>
      </w:r>
      <w:r>
        <w:rPr>
          <w:rFonts w:cs="Times New Roman"/>
          <w:lang w:val="fr-CA"/>
        </w:rPr>
        <w:t>’</w:t>
      </w:r>
      <w:r w:rsidRPr="00AF17C2">
        <w:rPr>
          <w:rFonts w:cs="Times New Roman"/>
          <w:lang w:val="fr-CA"/>
        </w:rPr>
        <w:t>être accomplie par une seule personne. La liberté d</w:t>
      </w:r>
      <w:r>
        <w:rPr>
          <w:rFonts w:cs="Times New Roman"/>
          <w:lang w:val="fr-CA"/>
        </w:rPr>
        <w:t>’</w:t>
      </w:r>
      <w:r w:rsidRPr="00AF17C2">
        <w:rPr>
          <w:rFonts w:cs="Times New Roman"/>
          <w:lang w:val="fr-CA"/>
        </w:rPr>
        <w:t>expression protège tant les auditeurs que les orateurs (</w:t>
      </w:r>
      <w:r w:rsidRPr="00AF17C2">
        <w:rPr>
          <w:rFonts w:cs="Times New Roman"/>
          <w:i/>
          <w:lang w:val="fr-CA"/>
        </w:rPr>
        <w:t>R. c. National Post</w:t>
      </w:r>
      <w:r w:rsidRPr="00AF17C2">
        <w:rPr>
          <w:rFonts w:cs="Times New Roman"/>
          <w:lang w:val="fr-CA"/>
        </w:rPr>
        <w:t>, 2010 CSC 16, [2010] 1 R.C.S.</w:t>
      </w:r>
      <w:r w:rsidR="00795B2B">
        <w:rPr>
          <w:rFonts w:cs="Times New Roman"/>
          <w:lang w:val="fr-CA"/>
        </w:rPr>
        <w:t xml:space="preserve"> </w:t>
      </w:r>
      <w:r w:rsidRPr="00AF17C2">
        <w:rPr>
          <w:rFonts w:cs="Times New Roman"/>
          <w:lang w:val="fr-CA"/>
        </w:rPr>
        <w:t>477, par.</w:t>
      </w:r>
      <w:r w:rsidR="00795B2B">
        <w:rPr>
          <w:rFonts w:cs="Times New Roman"/>
          <w:lang w:val="fr-CA"/>
        </w:rPr>
        <w:t xml:space="preserve"> </w:t>
      </w:r>
      <w:r w:rsidRPr="00AF17C2">
        <w:rPr>
          <w:rFonts w:cs="Times New Roman"/>
          <w:lang w:val="fr-CA"/>
        </w:rPr>
        <w:t>28). Le droit de vote ne signifie rien sans un contexte social où son exercice peut favoriser la gouvernance démocratique (</w:t>
      </w:r>
      <w:r w:rsidRPr="00AF17C2">
        <w:rPr>
          <w:rFonts w:cs="Times New Roman"/>
          <w:i/>
          <w:lang w:val="fr-FR"/>
        </w:rPr>
        <w:t xml:space="preserve">Sauvé </w:t>
      </w:r>
      <w:r w:rsidRPr="00AF17C2">
        <w:rPr>
          <w:rFonts w:cs="Times New Roman"/>
          <w:i/>
          <w:iCs/>
          <w:lang w:val="fr-FR"/>
        </w:rPr>
        <w:t>c.</w:t>
      </w:r>
      <w:r w:rsidRPr="00AF17C2">
        <w:rPr>
          <w:rFonts w:cs="Times New Roman"/>
          <w:i/>
          <w:lang w:val="fr-FR"/>
        </w:rPr>
        <w:t xml:space="preserve"> Canada (Directeur général des élections)</w:t>
      </w:r>
      <w:r w:rsidRPr="00AF17C2">
        <w:rPr>
          <w:rFonts w:cs="Times New Roman"/>
          <w:lang w:val="fr-FR"/>
        </w:rPr>
        <w:t xml:space="preserve">, </w:t>
      </w:r>
      <w:r w:rsidRPr="00AF17C2">
        <w:rPr>
          <w:rFonts w:cs="Times New Roman"/>
          <w:lang w:val="fr-CA"/>
        </w:rPr>
        <w:t>2002 CSC 68, [2002] 3 R.C.S.</w:t>
      </w:r>
      <w:r w:rsidR="00795B2B">
        <w:rPr>
          <w:rFonts w:cs="Times New Roman"/>
          <w:lang w:val="fr-CA"/>
        </w:rPr>
        <w:t xml:space="preserve"> </w:t>
      </w:r>
      <w:r w:rsidRPr="00AF17C2">
        <w:rPr>
          <w:rFonts w:cs="Times New Roman"/>
          <w:lang w:val="fr-CA"/>
        </w:rPr>
        <w:t>519, par.</w:t>
      </w:r>
      <w:r w:rsidR="00795B2B">
        <w:rPr>
          <w:rFonts w:cs="Times New Roman"/>
          <w:lang w:val="fr-CA"/>
        </w:rPr>
        <w:t xml:space="preserve"> </w:t>
      </w:r>
      <w:r w:rsidRPr="00AF17C2">
        <w:rPr>
          <w:rFonts w:cs="Times New Roman"/>
          <w:lang w:val="fr-CA"/>
        </w:rPr>
        <w:t xml:space="preserve">31). La Cour a également reconnu que la liberté de religion </w:t>
      </w:r>
      <w:r w:rsidRPr="00AF17C2">
        <w:rPr>
          <w:rFonts w:cs="Times New Roman"/>
          <w:lang w:val="fr-CA"/>
        </w:rPr>
        <w:lastRenderedPageBreak/>
        <w:t>ne se limite pas au droit de posséder des croyances religieuses, mais qu</w:t>
      </w:r>
      <w:r>
        <w:rPr>
          <w:rFonts w:cs="Times New Roman"/>
          <w:lang w:val="fr-CA"/>
        </w:rPr>
        <w:t>’</w:t>
      </w:r>
      <w:r w:rsidRPr="00AF17C2">
        <w:rPr>
          <w:rFonts w:cs="Times New Roman"/>
          <w:lang w:val="fr-CA"/>
        </w:rPr>
        <w:t>elle inclut aussi le droit individuel d</w:t>
      </w:r>
      <w:r>
        <w:rPr>
          <w:rFonts w:cs="Times New Roman"/>
          <w:lang w:val="fr-CA"/>
        </w:rPr>
        <w:t>’</w:t>
      </w:r>
      <w:r w:rsidRPr="00AF17C2">
        <w:rPr>
          <w:rFonts w:cs="Times New Roman"/>
          <w:lang w:val="fr-CA"/>
        </w:rPr>
        <w:t>établir des communautés organisées autour d</w:t>
      </w:r>
      <w:r>
        <w:rPr>
          <w:rFonts w:cs="Times New Roman"/>
          <w:lang w:val="fr-CA"/>
        </w:rPr>
        <w:t>’</w:t>
      </w:r>
      <w:r w:rsidRPr="00AF17C2">
        <w:rPr>
          <w:rFonts w:cs="Times New Roman"/>
          <w:lang w:val="fr-CA"/>
        </w:rPr>
        <w:t xml:space="preserve">une même foi (voir </w:t>
      </w:r>
      <w:r w:rsidRPr="00AF17C2">
        <w:rPr>
          <w:rFonts w:cs="Times New Roman"/>
          <w:i/>
          <w:lang w:val="fr-CA"/>
        </w:rPr>
        <w:t xml:space="preserve">Alberta c. </w:t>
      </w:r>
      <w:proofErr w:type="spellStart"/>
      <w:r w:rsidRPr="00AF17C2">
        <w:rPr>
          <w:rFonts w:cs="Times New Roman"/>
          <w:i/>
          <w:lang w:val="fr-CA"/>
        </w:rPr>
        <w:t>Hutterian</w:t>
      </w:r>
      <w:proofErr w:type="spellEnd"/>
      <w:r w:rsidRPr="00AF17C2">
        <w:rPr>
          <w:rFonts w:cs="Times New Roman"/>
          <w:i/>
          <w:lang w:val="fr-CA"/>
        </w:rPr>
        <w:t xml:space="preserve"> </w:t>
      </w:r>
      <w:proofErr w:type="spellStart"/>
      <w:r w:rsidRPr="00AF17C2">
        <w:rPr>
          <w:rFonts w:cs="Times New Roman"/>
          <w:i/>
          <w:lang w:val="fr-CA"/>
        </w:rPr>
        <w:t>Brethren</w:t>
      </w:r>
      <w:proofErr w:type="spellEnd"/>
      <w:r w:rsidRPr="00AF17C2">
        <w:rPr>
          <w:rFonts w:cs="Times New Roman"/>
          <w:i/>
          <w:lang w:val="fr-CA"/>
        </w:rPr>
        <w:t xml:space="preserve"> of Wilson </w:t>
      </w:r>
      <w:proofErr w:type="spellStart"/>
      <w:r w:rsidRPr="00AF17C2">
        <w:rPr>
          <w:rFonts w:cs="Times New Roman"/>
          <w:i/>
          <w:lang w:val="fr-CA"/>
        </w:rPr>
        <w:t>Colony</w:t>
      </w:r>
      <w:proofErr w:type="spellEnd"/>
      <w:r w:rsidRPr="00AF17C2">
        <w:rPr>
          <w:rFonts w:cs="Times New Roman"/>
          <w:lang w:val="fr-CA"/>
        </w:rPr>
        <w:t>, 2009 CSC 37, [2009] 2 R.C.S.</w:t>
      </w:r>
      <w:r w:rsidR="00795B2B">
        <w:rPr>
          <w:rFonts w:cs="Times New Roman"/>
          <w:lang w:val="fr-CA"/>
        </w:rPr>
        <w:t xml:space="preserve"> </w:t>
      </w:r>
      <w:r w:rsidRPr="00AF17C2">
        <w:rPr>
          <w:rFonts w:cs="Times New Roman"/>
          <w:lang w:val="fr-CA"/>
        </w:rPr>
        <w:t>567). Bien que la Cour n</w:t>
      </w:r>
      <w:r>
        <w:rPr>
          <w:rFonts w:cs="Times New Roman"/>
          <w:lang w:val="fr-CA"/>
        </w:rPr>
        <w:t>’</w:t>
      </w:r>
      <w:r w:rsidRPr="00AF17C2">
        <w:rPr>
          <w:rFonts w:cs="Times New Roman"/>
          <w:lang w:val="fr-CA"/>
        </w:rPr>
        <w:t>ait pas examiné cette question, un courant de jurisprudence appuie par ailleurs l</w:t>
      </w:r>
      <w:r>
        <w:rPr>
          <w:rFonts w:cs="Times New Roman"/>
          <w:lang w:val="fr-CA"/>
        </w:rPr>
        <w:t>’</w:t>
      </w:r>
      <w:r w:rsidRPr="00AF17C2">
        <w:rPr>
          <w:rFonts w:cs="Times New Roman"/>
          <w:lang w:val="fr-CA"/>
        </w:rPr>
        <w:t xml:space="preserve">idée que </w:t>
      </w:r>
      <w:r w:rsidR="00795B2B">
        <w:rPr>
          <w:rFonts w:cs="Times New Roman"/>
          <w:lang w:val="fr-CA"/>
        </w:rPr>
        <w:t>« </w:t>
      </w:r>
      <w:r w:rsidRPr="00AF17C2">
        <w:rPr>
          <w:rFonts w:cs="Times New Roman"/>
          <w:lang w:val="fr-CA"/>
        </w:rPr>
        <w:t>l</w:t>
      </w:r>
      <w:r>
        <w:rPr>
          <w:rFonts w:cs="Times New Roman"/>
          <w:lang w:val="fr-CA"/>
        </w:rPr>
        <w:t>’</w:t>
      </w:r>
      <w:r w:rsidRPr="00AF17C2">
        <w:rPr>
          <w:rFonts w:cs="Times New Roman"/>
          <w:lang w:val="fr-CA"/>
        </w:rPr>
        <w:t>autonomie des communautés religieuses est indispensable au pluralisme dans une société démocratique et se trouve donc au cœur même de la protection</w:t>
      </w:r>
      <w:r w:rsidR="00795B2B">
        <w:rPr>
          <w:rFonts w:cs="Times New Roman"/>
          <w:lang w:val="fr-CA"/>
        </w:rPr>
        <w:t> »</w:t>
      </w:r>
      <w:r w:rsidRPr="00AF17C2">
        <w:rPr>
          <w:rFonts w:cs="Times New Roman"/>
          <w:lang w:val="fr-CA"/>
        </w:rPr>
        <w:t xml:space="preserve"> de la liberté de religion (</w:t>
      </w:r>
      <w:proofErr w:type="spellStart"/>
      <w:r w:rsidRPr="00AF17C2">
        <w:rPr>
          <w:rFonts w:cs="Times New Roman"/>
          <w:i/>
          <w:lang w:val="fr-CA"/>
        </w:rPr>
        <w:t>Hutterian</w:t>
      </w:r>
      <w:proofErr w:type="spellEnd"/>
      <w:r w:rsidRPr="00AF17C2">
        <w:rPr>
          <w:rFonts w:cs="Times New Roman"/>
          <w:i/>
          <w:lang w:val="fr-CA"/>
        </w:rPr>
        <w:t xml:space="preserve"> </w:t>
      </w:r>
      <w:proofErr w:type="spellStart"/>
      <w:r w:rsidRPr="00AF17C2">
        <w:rPr>
          <w:rFonts w:cs="Times New Roman"/>
          <w:i/>
          <w:lang w:val="fr-CA"/>
        </w:rPr>
        <w:t>Brethren</w:t>
      </w:r>
      <w:proofErr w:type="spellEnd"/>
      <w:r w:rsidRPr="00AF17C2">
        <w:rPr>
          <w:rFonts w:cs="Times New Roman"/>
          <w:lang w:val="fr-CA"/>
        </w:rPr>
        <w:t>, par.</w:t>
      </w:r>
      <w:r w:rsidR="00795B2B">
        <w:rPr>
          <w:rFonts w:cs="Times New Roman"/>
          <w:lang w:val="fr-CA"/>
        </w:rPr>
        <w:t xml:space="preserve"> </w:t>
      </w:r>
      <w:r w:rsidRPr="00AF17C2">
        <w:rPr>
          <w:rFonts w:cs="Times New Roman"/>
          <w:lang w:val="fr-CA"/>
        </w:rPr>
        <w:t>131, la juge Abella, dissidente</w:t>
      </w:r>
      <w:r w:rsidRPr="00276AF5">
        <w:rPr>
          <w:rFonts w:cs="Times New Roman"/>
          <w:lang w:val="fr-CA"/>
        </w:rPr>
        <w:t>, citant</w:t>
      </w:r>
      <w:r>
        <w:rPr>
          <w:rFonts w:cs="Times New Roman"/>
          <w:i/>
          <w:lang w:val="fr-CA"/>
        </w:rPr>
        <w:t xml:space="preserve"> </w:t>
      </w:r>
      <w:r w:rsidRPr="00AF17C2">
        <w:rPr>
          <w:rFonts w:cs="Times New Roman"/>
          <w:i/>
          <w:lang w:val="fr-CA"/>
        </w:rPr>
        <w:t>Église métropolitaine de Bessarabie c. Moldova</w:t>
      </w:r>
      <w:r w:rsidR="00276AF5">
        <w:rPr>
          <w:rFonts w:cs="Times New Roman"/>
          <w:lang w:val="fr-CA"/>
        </w:rPr>
        <w:t>, n</w:t>
      </w:r>
      <w:r w:rsidR="00276AF5" w:rsidRPr="00276AF5">
        <w:rPr>
          <w:rFonts w:cs="Times New Roman"/>
          <w:vertAlign w:val="superscript"/>
          <w:lang w:val="fr-CA"/>
        </w:rPr>
        <w:t>o</w:t>
      </w:r>
      <w:r w:rsidR="00276AF5">
        <w:rPr>
          <w:rFonts w:cs="Times New Roman"/>
          <w:lang w:val="fr-CA"/>
        </w:rPr>
        <w:t xml:space="preserve"> 45701/99</w:t>
      </w:r>
      <w:r w:rsidR="00881323">
        <w:rPr>
          <w:rFonts w:cs="Times New Roman"/>
          <w:lang w:val="fr-CA"/>
        </w:rPr>
        <w:t>,</w:t>
      </w:r>
      <w:r w:rsidR="00276AF5">
        <w:rPr>
          <w:rFonts w:cs="Times New Roman"/>
          <w:lang w:val="fr-CA"/>
        </w:rPr>
        <w:t xml:space="preserve"> CEDH 20</w:t>
      </w:r>
      <w:r w:rsidR="00D444EC">
        <w:rPr>
          <w:rFonts w:cs="Times New Roman"/>
          <w:lang w:val="fr-CA"/>
        </w:rPr>
        <w:t>0</w:t>
      </w:r>
      <w:r w:rsidR="00276AF5">
        <w:rPr>
          <w:rFonts w:cs="Times New Roman"/>
          <w:lang w:val="fr-CA"/>
        </w:rPr>
        <w:t>1-XII</w:t>
      </w:r>
      <w:r w:rsidRPr="00AF17C2">
        <w:rPr>
          <w:rFonts w:cs="Times New Roman"/>
          <w:lang w:val="fr-CA"/>
        </w:rPr>
        <w:t xml:space="preserve"> (1</w:t>
      </w:r>
      <w:r w:rsidRPr="00AF17C2">
        <w:rPr>
          <w:rFonts w:cs="Times New Roman"/>
          <w:vertAlign w:val="superscript"/>
          <w:lang w:val="fr-CA"/>
        </w:rPr>
        <w:t>re</w:t>
      </w:r>
      <w:r w:rsidR="00795B2B">
        <w:rPr>
          <w:rFonts w:cs="Times New Roman"/>
          <w:lang w:val="fr-CA"/>
        </w:rPr>
        <w:t xml:space="preserve"> </w:t>
      </w:r>
      <w:r w:rsidRPr="00AF17C2">
        <w:rPr>
          <w:rFonts w:cs="Times New Roman"/>
          <w:lang w:val="fr-CA"/>
        </w:rPr>
        <w:t>Section), par.</w:t>
      </w:r>
      <w:r w:rsidR="00795B2B">
        <w:rPr>
          <w:rFonts w:cs="Times New Roman"/>
          <w:lang w:val="fr-CA"/>
        </w:rPr>
        <w:t xml:space="preserve"> </w:t>
      </w:r>
      <w:r w:rsidRPr="00AF17C2">
        <w:rPr>
          <w:rFonts w:cs="Times New Roman"/>
          <w:lang w:val="fr-CA"/>
        </w:rPr>
        <w:t>118).</w:t>
      </w:r>
      <w:r w:rsidRPr="00AF17C2">
        <w:rPr>
          <w:rFonts w:cs="Times New Roman"/>
          <w:i/>
          <w:lang w:val="fr-CA"/>
        </w:rPr>
        <w:t xml:space="preserve"> </w:t>
      </w:r>
      <w:r w:rsidRPr="00D444EC">
        <w:rPr>
          <w:rFonts w:cs="Times New Roman"/>
          <w:lang w:val="fr-CA"/>
        </w:rPr>
        <w:t xml:space="preserve">Voir aussi </w:t>
      </w:r>
      <w:proofErr w:type="spellStart"/>
      <w:r w:rsidRPr="00D444EC">
        <w:rPr>
          <w:rFonts w:cs="Times New Roman"/>
          <w:i/>
          <w:lang w:val="fr-CA"/>
        </w:rPr>
        <w:t>Serbian</w:t>
      </w:r>
      <w:proofErr w:type="spellEnd"/>
      <w:r w:rsidRPr="00D444EC">
        <w:rPr>
          <w:rFonts w:cs="Times New Roman"/>
          <w:i/>
          <w:lang w:val="fr-CA"/>
        </w:rPr>
        <w:t xml:space="preserve"> </w:t>
      </w:r>
      <w:proofErr w:type="spellStart"/>
      <w:r w:rsidRPr="00D444EC">
        <w:rPr>
          <w:rFonts w:cs="Times New Roman"/>
          <w:i/>
          <w:lang w:val="fr-CA"/>
        </w:rPr>
        <w:t>Eastern</w:t>
      </w:r>
      <w:proofErr w:type="spellEnd"/>
      <w:r w:rsidRPr="00D444EC">
        <w:rPr>
          <w:rFonts w:cs="Times New Roman"/>
          <w:i/>
          <w:lang w:val="fr-CA"/>
        </w:rPr>
        <w:t xml:space="preserve"> </w:t>
      </w:r>
      <w:proofErr w:type="spellStart"/>
      <w:r w:rsidRPr="00D444EC">
        <w:rPr>
          <w:rFonts w:cs="Times New Roman"/>
          <w:i/>
          <w:lang w:val="fr-CA"/>
        </w:rPr>
        <w:t>Orthodox</w:t>
      </w:r>
      <w:proofErr w:type="spellEnd"/>
      <w:r w:rsidRPr="00D444EC">
        <w:rPr>
          <w:rFonts w:cs="Times New Roman"/>
          <w:i/>
          <w:lang w:val="fr-CA"/>
        </w:rPr>
        <w:t xml:space="preserve"> </w:t>
      </w:r>
      <w:proofErr w:type="spellStart"/>
      <w:r w:rsidRPr="00D444EC">
        <w:rPr>
          <w:rFonts w:cs="Times New Roman"/>
          <w:i/>
          <w:lang w:val="fr-CA"/>
        </w:rPr>
        <w:t>Diocese</w:t>
      </w:r>
      <w:proofErr w:type="spellEnd"/>
      <w:r w:rsidRPr="00D444EC">
        <w:rPr>
          <w:rFonts w:cs="Times New Roman"/>
          <w:i/>
          <w:lang w:val="fr-CA"/>
        </w:rPr>
        <w:t xml:space="preserve"> c. </w:t>
      </w:r>
      <w:proofErr w:type="spellStart"/>
      <w:r w:rsidRPr="00D444EC">
        <w:rPr>
          <w:rFonts w:cs="Times New Roman"/>
          <w:i/>
          <w:lang w:val="fr-CA"/>
        </w:rPr>
        <w:t>Milivojevich</w:t>
      </w:r>
      <w:proofErr w:type="spellEnd"/>
      <w:r w:rsidRPr="00D444EC">
        <w:rPr>
          <w:rFonts w:cs="Times New Roman"/>
          <w:lang w:val="fr-CA"/>
        </w:rPr>
        <w:t>, 426 U.S. 696 (1976).</w:t>
      </w:r>
    </w:p>
    <w:p w:rsidR="007B74A6" w:rsidRPr="00AF17C2" w:rsidRDefault="007B74A6" w:rsidP="00795B2B">
      <w:pPr>
        <w:pStyle w:val="ParaNoNdepar-AltN"/>
        <w:rPr>
          <w:rFonts w:cs="Times New Roman"/>
          <w:lang w:val="fr-CA"/>
        </w:rPr>
      </w:pPr>
      <w:r w:rsidRPr="00AF17C2">
        <w:rPr>
          <w:rFonts w:cs="Times New Roman"/>
          <w:lang w:val="fr-CA"/>
        </w:rPr>
        <w:t>On a également laissé entendre que la reconnaissance d</w:t>
      </w:r>
      <w:r>
        <w:rPr>
          <w:rFonts w:cs="Times New Roman"/>
          <w:lang w:val="fr-CA"/>
        </w:rPr>
        <w:t>’</w:t>
      </w:r>
      <w:r w:rsidRPr="00AF17C2">
        <w:rPr>
          <w:rFonts w:cs="Times New Roman"/>
          <w:lang w:val="fr-CA"/>
        </w:rPr>
        <w:t>aspects collectifs aux droits protégés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porterait en quelque sorte atteinte aux droits individuels eux</w:t>
      </w:r>
      <w:r w:rsidR="00795B2B">
        <w:rPr>
          <w:rFonts w:cs="Times New Roman"/>
          <w:lang w:val="fr-CA"/>
        </w:rPr>
        <w:t>-</w:t>
      </w:r>
      <w:r w:rsidRPr="00AF17C2">
        <w:rPr>
          <w:rFonts w:cs="Times New Roman"/>
          <w:lang w:val="fr-CA"/>
        </w:rPr>
        <w:t>mêmes ainsi qu</w:t>
      </w:r>
      <w:r>
        <w:rPr>
          <w:rFonts w:cs="Times New Roman"/>
          <w:lang w:val="fr-CA"/>
        </w:rPr>
        <w:t>’</w:t>
      </w:r>
      <w:r w:rsidRPr="00AF17C2">
        <w:rPr>
          <w:rFonts w:cs="Times New Roman"/>
          <w:lang w:val="fr-CA"/>
        </w:rPr>
        <w:t>à l</w:t>
      </w:r>
      <w:r>
        <w:rPr>
          <w:rFonts w:cs="Times New Roman"/>
          <w:lang w:val="fr-CA"/>
        </w:rPr>
        <w:t>’</w:t>
      </w:r>
      <w:r w:rsidRPr="00AF17C2">
        <w:rPr>
          <w:rFonts w:cs="Times New Roman"/>
          <w:lang w:val="fr-CA"/>
        </w:rPr>
        <w:t>aspect individuel de cette disposition. Cette prétention est dépourvue de tout fondement. La reconnaissance des droits collectifs complète, mais n</w:t>
      </w:r>
      <w:r>
        <w:rPr>
          <w:rFonts w:cs="Times New Roman"/>
          <w:lang w:val="fr-CA"/>
        </w:rPr>
        <w:t>’</w:t>
      </w:r>
      <w:r w:rsidRPr="00AF17C2">
        <w:rPr>
          <w:rFonts w:cs="Times New Roman"/>
          <w:lang w:val="fr-CA"/>
        </w:rPr>
        <w:t>efface pas, les droits individuels, comme le démontrent les exemples que nous venons de citer. Il ne s</w:t>
      </w:r>
      <w:r>
        <w:rPr>
          <w:rFonts w:cs="Times New Roman"/>
          <w:lang w:val="fr-CA"/>
        </w:rPr>
        <w:t>’</w:t>
      </w:r>
      <w:r w:rsidRPr="00AF17C2">
        <w:rPr>
          <w:rFonts w:cs="Times New Roman"/>
          <w:lang w:val="fr-CA"/>
        </w:rPr>
        <w:t xml:space="preserve">agit pas de reconnaître </w:t>
      </w:r>
      <w:r w:rsidRPr="00AF17C2">
        <w:rPr>
          <w:rFonts w:cs="Times New Roman"/>
          <w:i/>
          <w:lang w:val="fr-CA"/>
        </w:rPr>
        <w:t>soit</w:t>
      </w:r>
      <w:r w:rsidRPr="00AF17C2">
        <w:rPr>
          <w:rFonts w:cs="Times New Roman"/>
          <w:lang w:val="fr-CA"/>
        </w:rPr>
        <w:t xml:space="preserve"> les droits individuels </w:t>
      </w:r>
      <w:r w:rsidRPr="00AF17C2">
        <w:rPr>
          <w:rFonts w:cs="Times New Roman"/>
          <w:i/>
          <w:lang w:val="fr-CA"/>
        </w:rPr>
        <w:t>soit</w:t>
      </w:r>
      <w:r w:rsidRPr="00AF17C2">
        <w:rPr>
          <w:rFonts w:cs="Times New Roman"/>
          <w:lang w:val="fr-CA"/>
        </w:rPr>
        <w:t xml:space="preserve"> les droits collectifs. Ces deux catégories de droits sont essentielles pour que la </w:t>
      </w:r>
      <w:r w:rsidRPr="00AF17C2">
        <w:rPr>
          <w:rFonts w:cs="Times New Roman"/>
          <w:i/>
          <w:lang w:val="fr-CA"/>
        </w:rPr>
        <w:t xml:space="preserve">Charte </w:t>
      </w:r>
      <w:r w:rsidRPr="00AF17C2">
        <w:rPr>
          <w:rFonts w:cs="Times New Roman"/>
          <w:lang w:val="fr-CA"/>
        </w:rPr>
        <w:t>puisse offrir une protection complète.</w:t>
      </w:r>
    </w:p>
    <w:p w:rsidR="007B74A6" w:rsidRPr="00AF17C2" w:rsidRDefault="007B74A6" w:rsidP="00795B2B">
      <w:pPr>
        <w:pStyle w:val="ParaNoNdepar-AltN"/>
        <w:rPr>
          <w:rFonts w:cs="Times New Roman"/>
          <w:lang w:val="fr-CA"/>
        </w:rPr>
      </w:pPr>
      <w:r w:rsidRPr="00AF17C2">
        <w:rPr>
          <w:rFonts w:cs="Times New Roman"/>
          <w:lang w:val="fr-CA"/>
        </w:rPr>
        <w:t>En résumé, considéré en fonction de son objet,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trois catégories d</w:t>
      </w:r>
      <w:r>
        <w:rPr>
          <w:rFonts w:cs="Times New Roman"/>
          <w:lang w:val="fr-CA"/>
        </w:rPr>
        <w:t>’</w:t>
      </w:r>
      <w:r w:rsidRPr="00AF17C2">
        <w:rPr>
          <w:rFonts w:cs="Times New Roman"/>
          <w:lang w:val="fr-CA"/>
        </w:rPr>
        <w:t>activités</w:t>
      </w:r>
      <w:r w:rsidR="00795B2B">
        <w:rPr>
          <w:rFonts w:cs="Times New Roman"/>
          <w:lang w:val="fr-CA"/>
        </w:rPr>
        <w:t> :</w:t>
      </w:r>
      <w:r w:rsidRPr="00AF17C2">
        <w:rPr>
          <w:rFonts w:cs="Times New Roman"/>
          <w:lang w:val="fr-CA"/>
        </w:rPr>
        <w:t xml:space="preserve"> (1)</w:t>
      </w:r>
      <w:r w:rsidR="00795B2B">
        <w:rPr>
          <w:rFonts w:cs="Times New Roman"/>
          <w:lang w:val="fr-CA"/>
        </w:rPr>
        <w:t xml:space="preserve"> </w:t>
      </w:r>
      <w:r w:rsidRPr="00AF17C2">
        <w:rPr>
          <w:rFonts w:cs="Times New Roman"/>
          <w:lang w:val="fr-CA"/>
        </w:rPr>
        <w:t>le droit de s</w:t>
      </w:r>
      <w:r>
        <w:rPr>
          <w:rFonts w:cs="Times New Roman"/>
          <w:lang w:val="fr-CA"/>
        </w:rPr>
        <w:t>’</w:t>
      </w:r>
      <w:r w:rsidRPr="00AF17C2">
        <w:rPr>
          <w:rFonts w:cs="Times New Roman"/>
          <w:lang w:val="fr-CA"/>
        </w:rPr>
        <w:t>unir à d</w:t>
      </w:r>
      <w:r>
        <w:rPr>
          <w:rFonts w:cs="Times New Roman"/>
          <w:lang w:val="fr-CA"/>
        </w:rPr>
        <w:t>’</w:t>
      </w:r>
      <w:r w:rsidRPr="00AF17C2">
        <w:rPr>
          <w:rFonts w:cs="Times New Roman"/>
          <w:lang w:val="fr-CA"/>
        </w:rPr>
        <w:t>autres et de constituer des associations; (2)</w:t>
      </w:r>
      <w:r w:rsidR="00795B2B">
        <w:rPr>
          <w:rFonts w:cs="Times New Roman"/>
          <w:lang w:val="fr-CA"/>
        </w:rPr>
        <w:t xml:space="preserve"> </w:t>
      </w:r>
      <w:r w:rsidRPr="00AF17C2">
        <w:rPr>
          <w:rFonts w:cs="Times New Roman"/>
          <w:lang w:val="fr-CA"/>
        </w:rPr>
        <w:t>le droit de s</w:t>
      </w:r>
      <w:r>
        <w:rPr>
          <w:rFonts w:cs="Times New Roman"/>
          <w:lang w:val="fr-CA"/>
        </w:rPr>
        <w:t>’</w:t>
      </w:r>
      <w:r w:rsidRPr="00AF17C2">
        <w:rPr>
          <w:rFonts w:cs="Times New Roman"/>
          <w:lang w:val="fr-CA"/>
        </w:rPr>
        <w:t>unir à d</w:t>
      </w:r>
      <w:r>
        <w:rPr>
          <w:rFonts w:cs="Times New Roman"/>
          <w:lang w:val="fr-CA"/>
        </w:rPr>
        <w:t>’</w:t>
      </w:r>
      <w:r w:rsidRPr="00AF17C2">
        <w:rPr>
          <w:rFonts w:cs="Times New Roman"/>
          <w:lang w:val="fr-CA"/>
        </w:rPr>
        <w:t>autres pour exercer d</w:t>
      </w:r>
      <w:r>
        <w:rPr>
          <w:rFonts w:cs="Times New Roman"/>
          <w:lang w:val="fr-CA"/>
        </w:rPr>
        <w:t>’</w:t>
      </w:r>
      <w:r w:rsidRPr="00AF17C2">
        <w:rPr>
          <w:rFonts w:cs="Times New Roman"/>
          <w:lang w:val="fr-CA"/>
        </w:rPr>
        <w:t>autres droits constitutionnels; et (3)</w:t>
      </w:r>
      <w:r w:rsidR="00795B2B">
        <w:rPr>
          <w:rFonts w:cs="Times New Roman"/>
          <w:lang w:val="fr-CA"/>
        </w:rPr>
        <w:t xml:space="preserve"> </w:t>
      </w:r>
      <w:r w:rsidRPr="00AF17C2">
        <w:rPr>
          <w:rFonts w:cs="Times New Roman"/>
          <w:lang w:val="fr-CA"/>
        </w:rPr>
        <w:t>le droit de s</w:t>
      </w:r>
      <w:r>
        <w:rPr>
          <w:rFonts w:cs="Times New Roman"/>
          <w:lang w:val="fr-CA"/>
        </w:rPr>
        <w:t>’</w:t>
      </w:r>
      <w:r w:rsidRPr="00AF17C2">
        <w:rPr>
          <w:rFonts w:cs="Times New Roman"/>
          <w:lang w:val="fr-CA"/>
        </w:rPr>
        <w:t>unir à d</w:t>
      </w:r>
      <w:r>
        <w:rPr>
          <w:rFonts w:cs="Times New Roman"/>
          <w:lang w:val="fr-CA"/>
        </w:rPr>
        <w:t>’</w:t>
      </w:r>
      <w:r w:rsidRPr="00AF17C2">
        <w:rPr>
          <w:rFonts w:cs="Times New Roman"/>
          <w:lang w:val="fr-CA"/>
        </w:rPr>
        <w:t>autres pour faire face, à armes plus égales, à la puissance et à la force d</w:t>
      </w:r>
      <w:r>
        <w:rPr>
          <w:rFonts w:cs="Times New Roman"/>
          <w:lang w:val="fr-CA"/>
        </w:rPr>
        <w:t>’</w:t>
      </w:r>
      <w:r w:rsidRPr="00AF17C2">
        <w:rPr>
          <w:rFonts w:cs="Times New Roman"/>
          <w:lang w:val="fr-CA"/>
        </w:rPr>
        <w:t>autres groupes ou entités.</w:t>
      </w:r>
    </w:p>
    <w:p w:rsidR="007B74A6" w:rsidRPr="00AF17C2" w:rsidRDefault="007B74A6" w:rsidP="00795B2B">
      <w:pPr>
        <w:pStyle w:val="Title2LevelTitre2Niveau"/>
        <w:rPr>
          <w:rFonts w:cs="Times New Roman"/>
          <w:lang w:val="fr-CA"/>
        </w:rPr>
      </w:pPr>
      <w:r w:rsidRPr="00AF17C2">
        <w:rPr>
          <w:rFonts w:cs="Times New Roman"/>
          <w:lang w:val="fr-CA"/>
        </w:rPr>
        <w:lastRenderedPageBreak/>
        <w:t>Le droit à un processus véritable de négociation collective</w:t>
      </w:r>
    </w:p>
    <w:p w:rsidR="007B74A6" w:rsidRPr="00AF17C2" w:rsidRDefault="007B74A6" w:rsidP="00795B2B">
      <w:pPr>
        <w:pStyle w:val="ParaNoNdepar-AltN"/>
        <w:rPr>
          <w:rFonts w:cs="Times New Roman"/>
          <w:lang w:val="fr-CA"/>
        </w:rPr>
      </w:pPr>
      <w:r w:rsidRPr="00AF17C2">
        <w:rPr>
          <w:rFonts w:cs="Times New Roman"/>
          <w:lang w:val="fr-CA"/>
        </w:rPr>
        <w:t>Après avoir appliqué l</w:t>
      </w:r>
      <w:r>
        <w:rPr>
          <w:rFonts w:cs="Times New Roman"/>
          <w:lang w:val="fr-CA"/>
        </w:rPr>
        <w:t>’</w:t>
      </w:r>
      <w:r w:rsidRPr="00AF17C2">
        <w:rPr>
          <w:rFonts w:cs="Times New Roman"/>
          <w:lang w:val="fr-CA"/>
        </w:rPr>
        <w:t>approche téléologique que nous venons d</w:t>
      </w:r>
      <w:r>
        <w:rPr>
          <w:rFonts w:cs="Times New Roman"/>
          <w:lang w:val="fr-CA"/>
        </w:rPr>
        <w:t>’</w:t>
      </w:r>
      <w:r w:rsidRPr="00AF17C2">
        <w:rPr>
          <w:rFonts w:cs="Times New Roman"/>
          <w:lang w:val="fr-CA"/>
        </w:rPr>
        <w:t>examiner au contexte des relations du travail, nous reconnaissons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garantit le droit des employés de véritablement s</w:t>
      </w:r>
      <w:r>
        <w:rPr>
          <w:rFonts w:cs="Times New Roman"/>
          <w:lang w:val="fr-CA"/>
        </w:rPr>
        <w:t>’</w:t>
      </w:r>
      <w:r w:rsidRPr="00AF17C2">
        <w:rPr>
          <w:rFonts w:cs="Times New Roman"/>
          <w:lang w:val="fr-CA"/>
        </w:rPr>
        <w:t xml:space="preserve">associer en vue de réaliser des objectifs collectifs relatifs aux conditions de travail. Ce constat confirme les conclusions fondamentales tirées dans les arrêts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et </w:t>
      </w:r>
      <w:r w:rsidRPr="00AF17C2">
        <w:rPr>
          <w:rFonts w:cs="Times New Roman"/>
          <w:i/>
          <w:lang w:val="fr-CA"/>
        </w:rPr>
        <w:t>Fraser</w:t>
      </w:r>
      <w:r w:rsidRPr="00AF17C2">
        <w:rPr>
          <w:rFonts w:cs="Times New Roman"/>
          <w:lang w:val="fr-CA"/>
        </w:rPr>
        <w:t>. Cette protection inclut un droit de négocier collectivement. Ce droit garantit toutefois un processus plutôt qu</w:t>
      </w:r>
      <w:r>
        <w:rPr>
          <w:rFonts w:cs="Times New Roman"/>
          <w:lang w:val="fr-CA"/>
        </w:rPr>
        <w:t>’</w:t>
      </w:r>
      <w:r w:rsidRPr="00AF17C2">
        <w:rPr>
          <w:rFonts w:cs="Times New Roman"/>
          <w:lang w:val="fr-CA"/>
        </w:rPr>
        <w:t>un résultat ou que l</w:t>
      </w:r>
      <w:r>
        <w:rPr>
          <w:rFonts w:cs="Times New Roman"/>
          <w:lang w:val="fr-CA"/>
        </w:rPr>
        <w:t>’</w:t>
      </w:r>
      <w:r w:rsidRPr="00AF17C2">
        <w:rPr>
          <w:rFonts w:cs="Times New Roman"/>
          <w:lang w:val="fr-CA"/>
        </w:rPr>
        <w:t>accès à un modèle particulier de relations de travail.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Tout comme l</w:t>
      </w:r>
      <w:r>
        <w:rPr>
          <w:rFonts w:cs="Times New Roman"/>
          <w:lang w:val="fr-CA"/>
        </w:rPr>
        <w:t>’</w:t>
      </w:r>
      <w:r w:rsidRPr="00AF17C2">
        <w:rPr>
          <w:rFonts w:cs="Times New Roman"/>
          <w:lang w:val="fr-CA"/>
        </w:rPr>
        <w:t>interdiction pour des employés de s</w:t>
      </w:r>
      <w:r>
        <w:rPr>
          <w:rFonts w:cs="Times New Roman"/>
          <w:lang w:val="fr-CA"/>
        </w:rPr>
        <w:t>’</w:t>
      </w:r>
      <w:r w:rsidRPr="00AF17C2">
        <w:rPr>
          <w:rFonts w:cs="Times New Roman"/>
          <w:lang w:val="fr-CA"/>
        </w:rPr>
        <w:t>associer, le modèle de relations de travail qui entrave substantiellement la possibilité d</w:t>
      </w:r>
      <w:r>
        <w:rPr>
          <w:rFonts w:cs="Times New Roman"/>
          <w:lang w:val="fr-CA"/>
        </w:rPr>
        <w:t>’</w:t>
      </w:r>
      <w:r w:rsidRPr="00AF17C2">
        <w:rPr>
          <w:rFonts w:cs="Times New Roman"/>
          <w:lang w:val="fr-CA"/>
        </w:rPr>
        <w:t>engager de véritables négociations collectives sur des questions relatives au travail porte atteinte à la liberté d</w:t>
      </w:r>
      <w:r>
        <w:rPr>
          <w:rFonts w:cs="Times New Roman"/>
          <w:lang w:val="fr-CA"/>
        </w:rPr>
        <w:t>’</w:t>
      </w:r>
      <w:r w:rsidRPr="00AF17C2">
        <w:rPr>
          <w:rFonts w:cs="Times New Roman"/>
          <w:lang w:val="fr-CA"/>
        </w:rPr>
        <w:t>association. Les employés privés du droit de poursuivre collectivement des objectifs relatifs aux conditions de travail pourraient se retrouver essentiellement impuissants dans leurs échanges avec leur employeur ou pour influencer leurs conditions d</w:t>
      </w:r>
      <w:r>
        <w:rPr>
          <w:rFonts w:cs="Times New Roman"/>
          <w:lang w:val="fr-CA"/>
        </w:rPr>
        <w:t>’</w:t>
      </w:r>
      <w:r w:rsidRPr="00AF17C2">
        <w:rPr>
          <w:rFonts w:cs="Times New Roman"/>
          <w:lang w:val="fr-CA"/>
        </w:rPr>
        <w:t>emploi. L</w:t>
      </w:r>
      <w:r>
        <w:rPr>
          <w:rFonts w:cs="Times New Roman"/>
          <w:lang w:val="fr-CA"/>
        </w:rPr>
        <w:t>’</w:t>
      </w:r>
      <w:r w:rsidRPr="00AF17C2">
        <w:rPr>
          <w:rFonts w:cs="Times New Roman"/>
          <w:lang w:val="fr-CA"/>
        </w:rPr>
        <w:t>idée n</w:t>
      </w:r>
      <w:r>
        <w:rPr>
          <w:rFonts w:cs="Times New Roman"/>
          <w:lang w:val="fr-CA"/>
        </w:rPr>
        <w:t>’</w:t>
      </w:r>
      <w:r w:rsidRPr="00AF17C2">
        <w:rPr>
          <w:rFonts w:cs="Times New Roman"/>
          <w:lang w:val="fr-CA"/>
        </w:rPr>
        <w:t>est pas nouvelle. Comme la Cour suprême des États</w:t>
      </w:r>
      <w:r w:rsidR="00795B2B">
        <w:rPr>
          <w:rFonts w:cs="Times New Roman"/>
          <w:lang w:val="fr-CA"/>
        </w:rPr>
        <w:t>-</w:t>
      </w:r>
      <w:r w:rsidRPr="00AF17C2">
        <w:rPr>
          <w:rFonts w:cs="Times New Roman"/>
          <w:lang w:val="fr-CA"/>
        </w:rPr>
        <w:t>Unis l</w:t>
      </w:r>
      <w:r>
        <w:rPr>
          <w:rFonts w:cs="Times New Roman"/>
          <w:lang w:val="fr-CA"/>
        </w:rPr>
        <w:t>’</w:t>
      </w:r>
      <w:r w:rsidRPr="00AF17C2">
        <w:rPr>
          <w:rFonts w:cs="Times New Roman"/>
          <w:lang w:val="fr-CA"/>
        </w:rPr>
        <w:t>a souligné dans l</w:t>
      </w:r>
      <w:r>
        <w:rPr>
          <w:rFonts w:cs="Times New Roman"/>
          <w:lang w:val="fr-CA"/>
        </w:rPr>
        <w:t>’</w:t>
      </w:r>
      <w:r w:rsidRPr="00AF17C2">
        <w:rPr>
          <w:rFonts w:cs="Times New Roman"/>
          <w:lang w:val="fr-CA"/>
        </w:rPr>
        <w:t xml:space="preserve">arrêt </w:t>
      </w:r>
      <w:r w:rsidR="00A62103">
        <w:rPr>
          <w:rFonts w:cs="Times New Roman"/>
          <w:i/>
          <w:lang w:val="fr-CA"/>
        </w:rPr>
        <w:t xml:space="preserve">National Labor Relations </w:t>
      </w:r>
      <w:proofErr w:type="spellStart"/>
      <w:r w:rsidR="00A62103">
        <w:rPr>
          <w:rFonts w:cs="Times New Roman"/>
          <w:i/>
          <w:lang w:val="fr-CA"/>
        </w:rPr>
        <w:t>Board</w:t>
      </w:r>
      <w:proofErr w:type="spellEnd"/>
      <w:r w:rsidRPr="00AF17C2">
        <w:rPr>
          <w:rFonts w:cs="Times New Roman"/>
          <w:i/>
          <w:lang w:val="fr-CA"/>
        </w:rPr>
        <w:t xml:space="preserve"> c. Jones &amp; </w:t>
      </w:r>
      <w:proofErr w:type="spellStart"/>
      <w:r w:rsidRPr="00AF17C2">
        <w:rPr>
          <w:rFonts w:cs="Times New Roman"/>
          <w:i/>
          <w:lang w:val="fr-CA"/>
        </w:rPr>
        <w:t>Laughlin</w:t>
      </w:r>
      <w:proofErr w:type="spellEnd"/>
      <w:r w:rsidRPr="00AF17C2">
        <w:rPr>
          <w:rFonts w:cs="Times New Roman"/>
          <w:i/>
          <w:lang w:val="fr-CA"/>
        </w:rPr>
        <w:t xml:space="preserve"> </w:t>
      </w:r>
      <w:proofErr w:type="spellStart"/>
      <w:r w:rsidRPr="00AF17C2">
        <w:rPr>
          <w:rFonts w:cs="Times New Roman"/>
          <w:i/>
          <w:lang w:val="fr-CA"/>
        </w:rPr>
        <w:t>Steel</w:t>
      </w:r>
      <w:proofErr w:type="spellEnd"/>
      <w:r w:rsidRPr="00AF17C2">
        <w:rPr>
          <w:rFonts w:cs="Times New Roman"/>
          <w:i/>
          <w:lang w:val="fr-CA"/>
        </w:rPr>
        <w:t xml:space="preserve"> Corp.</w:t>
      </w:r>
      <w:r w:rsidRPr="00AF17C2">
        <w:rPr>
          <w:rFonts w:cs="Times New Roman"/>
          <w:lang w:val="fr-CA"/>
        </w:rPr>
        <w:t>, 301 U.S. 1 (1937)</w:t>
      </w:r>
      <w:r w:rsidR="00795B2B">
        <w:rPr>
          <w:rFonts w:cs="Times New Roman"/>
          <w:lang w:val="fr-CA"/>
        </w:rPr>
        <w:t> :</w:t>
      </w:r>
    </w:p>
    <w:p w:rsidR="007B74A6" w:rsidRPr="00AF17C2" w:rsidRDefault="00A62103" w:rsidP="00795B2B">
      <w:pPr>
        <w:pStyle w:val="Citation-AltC"/>
        <w:ind w:hanging="1166"/>
        <w:rPr>
          <w:lang w:val="fr-CA"/>
        </w:rPr>
      </w:pPr>
      <w:r>
        <w:rPr>
          <w:lang w:val="fr-CA"/>
        </w:rPr>
        <w:tab/>
      </w:r>
      <w:r w:rsidR="007B74A6" w:rsidRPr="00AF17C2">
        <w:rPr>
          <w:lang w:val="fr-CA"/>
        </w:rPr>
        <w:t>[</w:t>
      </w:r>
      <w:r w:rsidR="007B74A6" w:rsidRPr="00AF17C2">
        <w:rPr>
          <w:smallCaps/>
          <w:lang w:val="fr-CA"/>
        </w:rPr>
        <w:t>traduction</w:t>
      </w:r>
      <w:r w:rsidR="007B74A6" w:rsidRPr="00AF17C2">
        <w:rPr>
          <w:lang w:val="fr-CA"/>
        </w:rPr>
        <w:t>]  Il y a longtemps nous avons exposé la raison d</w:t>
      </w:r>
      <w:r w:rsidR="007B74A6">
        <w:rPr>
          <w:lang w:val="fr-CA"/>
        </w:rPr>
        <w:t>’</w:t>
      </w:r>
      <w:r w:rsidR="007B74A6" w:rsidRPr="00AF17C2">
        <w:rPr>
          <w:lang w:val="fr-CA"/>
        </w:rPr>
        <w:t>être des organisations ouvrières. Nous avons dit qu</w:t>
      </w:r>
      <w:r w:rsidR="007B74A6">
        <w:rPr>
          <w:lang w:val="fr-CA"/>
        </w:rPr>
        <w:t>’</w:t>
      </w:r>
      <w:r w:rsidR="007B74A6" w:rsidRPr="00AF17C2">
        <w:rPr>
          <w:lang w:val="fr-CA"/>
        </w:rPr>
        <w:t>elles se sont formées pour répondre à l</w:t>
      </w:r>
      <w:r w:rsidR="007B74A6">
        <w:rPr>
          <w:lang w:val="fr-CA"/>
        </w:rPr>
        <w:t>’</w:t>
      </w:r>
      <w:r w:rsidR="007B74A6" w:rsidRPr="00AF17C2">
        <w:rPr>
          <w:lang w:val="fr-CA"/>
        </w:rPr>
        <w:t xml:space="preserve">urgence de la situation; </w:t>
      </w:r>
      <w:r w:rsidR="007B74A6" w:rsidRPr="00AF17C2">
        <w:rPr>
          <w:u w:val="single"/>
          <w:lang w:val="fr-CA"/>
        </w:rPr>
        <w:t>qu</w:t>
      </w:r>
      <w:r w:rsidR="007B74A6">
        <w:rPr>
          <w:u w:val="single"/>
          <w:lang w:val="fr-CA"/>
        </w:rPr>
        <w:t>’</w:t>
      </w:r>
      <w:r w:rsidR="007B74A6" w:rsidRPr="00AF17C2">
        <w:rPr>
          <w:u w:val="single"/>
          <w:lang w:val="fr-CA"/>
        </w:rPr>
        <w:t>un simple employé était démuni quand il traitait avec un employeur</w:t>
      </w:r>
      <w:r w:rsidR="007B74A6" w:rsidRPr="00AF17C2">
        <w:rPr>
          <w:lang w:val="fr-CA"/>
        </w:rPr>
        <w:t xml:space="preserve"> et qu</w:t>
      </w:r>
      <w:r w:rsidR="007B74A6">
        <w:rPr>
          <w:lang w:val="fr-CA"/>
        </w:rPr>
        <w:t>’</w:t>
      </w:r>
      <w:r w:rsidR="007B74A6" w:rsidRPr="00AF17C2">
        <w:rPr>
          <w:lang w:val="fr-CA"/>
        </w:rPr>
        <w:t>il était habituellement tributaire de son salaire quotidien pour ce qui est de son entretien et de celui de sa famille; que si l</w:t>
      </w:r>
      <w:r w:rsidR="007B74A6">
        <w:rPr>
          <w:lang w:val="fr-CA"/>
        </w:rPr>
        <w:t>’</w:t>
      </w:r>
      <w:r w:rsidR="007B74A6" w:rsidRPr="00AF17C2">
        <w:rPr>
          <w:lang w:val="fr-CA"/>
        </w:rPr>
        <w:t>employeur refusait de lui payer le salaire qu</w:t>
      </w:r>
      <w:r w:rsidR="007B74A6">
        <w:rPr>
          <w:lang w:val="fr-CA"/>
        </w:rPr>
        <w:t>’</w:t>
      </w:r>
      <w:r w:rsidR="007B74A6" w:rsidRPr="00AF17C2">
        <w:rPr>
          <w:lang w:val="fr-CA"/>
        </w:rPr>
        <w:t xml:space="preserve">il estimait juste, il était néanmoins incapable de quitter son emploi et de résister à un traitement arbitraire et injuste </w:t>
      </w:r>
      <w:r w:rsidR="00795B2B">
        <w:rPr>
          <w:lang w:val="fr-CA"/>
        </w:rPr>
        <w:t>. . .</w:t>
      </w:r>
      <w:r w:rsidR="007B74A6" w:rsidRPr="00AF17C2">
        <w:rPr>
          <w:lang w:val="fr-CA"/>
        </w:rPr>
        <w:t xml:space="preserve"> [Nous soulignons; p.</w:t>
      </w:r>
      <w:r w:rsidR="00795B2B">
        <w:rPr>
          <w:lang w:val="fr-CA"/>
        </w:rPr>
        <w:t xml:space="preserve"> </w:t>
      </w:r>
      <w:r w:rsidR="007B74A6" w:rsidRPr="00AF17C2">
        <w:rPr>
          <w:lang w:val="fr-CA"/>
        </w:rPr>
        <w:t>33.]</w:t>
      </w:r>
    </w:p>
    <w:p w:rsidR="007B74A6" w:rsidRPr="00AF17C2" w:rsidRDefault="007B74A6" w:rsidP="00795B2B">
      <w:pPr>
        <w:pStyle w:val="ParaNoNdepar-AltN"/>
        <w:rPr>
          <w:rFonts w:cs="Times New Roman"/>
          <w:lang w:val="fr-CA"/>
        </w:rPr>
      </w:pPr>
      <w:r w:rsidRPr="00AF17C2">
        <w:rPr>
          <w:rFonts w:cs="Times New Roman"/>
          <w:lang w:val="fr-CA"/>
        </w:rPr>
        <w:lastRenderedPageBreak/>
        <w:t>De même, dans l</w:t>
      </w:r>
      <w:r>
        <w:rPr>
          <w:rFonts w:cs="Times New Roman"/>
          <w:lang w:val="fr-CA"/>
        </w:rPr>
        <w:t>’</w:t>
      </w:r>
      <w:r w:rsidRPr="00AF17C2">
        <w:rPr>
          <w:rFonts w:cs="Times New Roman"/>
          <w:lang w:val="fr-CA"/>
        </w:rPr>
        <w:t xml:space="preserve">arrêt </w:t>
      </w:r>
      <w:r w:rsidRPr="00AF17C2">
        <w:rPr>
          <w:rFonts w:cs="Times New Roman"/>
          <w:i/>
          <w:lang w:val="fr-CA"/>
        </w:rPr>
        <w:t xml:space="preserve">Alberta (Information and </w:t>
      </w:r>
      <w:proofErr w:type="spellStart"/>
      <w:r w:rsidRPr="00AF17C2">
        <w:rPr>
          <w:rFonts w:cs="Times New Roman"/>
          <w:i/>
          <w:lang w:val="fr-CA"/>
        </w:rPr>
        <w:t>Privacy</w:t>
      </w:r>
      <w:proofErr w:type="spellEnd"/>
      <w:r w:rsidRPr="00AF17C2">
        <w:rPr>
          <w:rFonts w:cs="Times New Roman"/>
          <w:i/>
          <w:lang w:val="fr-CA"/>
        </w:rPr>
        <w:t xml:space="preserve"> </w:t>
      </w:r>
      <w:proofErr w:type="spellStart"/>
      <w:r w:rsidRPr="00AF17C2">
        <w:rPr>
          <w:rFonts w:cs="Times New Roman"/>
          <w:i/>
          <w:lang w:val="fr-CA"/>
        </w:rPr>
        <w:t>Commissioner</w:t>
      </w:r>
      <w:proofErr w:type="spellEnd"/>
      <w:r w:rsidRPr="00AF17C2">
        <w:rPr>
          <w:rFonts w:cs="Times New Roman"/>
          <w:i/>
          <w:lang w:val="fr-CA"/>
        </w:rPr>
        <w:t>) c. Travailleurs et travailleuses unis de l</w:t>
      </w:r>
      <w:r>
        <w:rPr>
          <w:rFonts w:cs="Times New Roman"/>
          <w:i/>
          <w:lang w:val="fr-CA"/>
        </w:rPr>
        <w:t>’</w:t>
      </w:r>
      <w:r w:rsidRPr="00AF17C2">
        <w:rPr>
          <w:rFonts w:cs="Times New Roman"/>
          <w:i/>
          <w:lang w:val="fr-CA"/>
        </w:rPr>
        <w:t>alimentation et du commerce, section locale</w:t>
      </w:r>
      <w:r w:rsidR="00795B2B">
        <w:rPr>
          <w:rFonts w:cs="Times New Roman"/>
          <w:i/>
          <w:lang w:val="fr-CA"/>
        </w:rPr>
        <w:t xml:space="preserve"> </w:t>
      </w:r>
      <w:r w:rsidRPr="00AF17C2">
        <w:rPr>
          <w:rFonts w:cs="Times New Roman"/>
          <w:i/>
          <w:lang w:val="fr-CA"/>
        </w:rPr>
        <w:t>401</w:t>
      </w:r>
      <w:r w:rsidRPr="00AF17C2">
        <w:rPr>
          <w:rFonts w:cs="Times New Roman"/>
          <w:lang w:val="fr-CA"/>
        </w:rPr>
        <w:t>, 2013 CSC 62, [2013] 3 R.C.S.</w:t>
      </w:r>
      <w:r w:rsidR="00795B2B">
        <w:rPr>
          <w:rFonts w:cs="Times New Roman"/>
          <w:lang w:val="fr-CA"/>
        </w:rPr>
        <w:t xml:space="preserve"> </w:t>
      </w:r>
      <w:r w:rsidRPr="00AF17C2">
        <w:rPr>
          <w:rFonts w:cs="Times New Roman"/>
          <w:lang w:val="fr-CA"/>
        </w:rPr>
        <w:t>733, la Cour a récemment confirmé l</w:t>
      </w:r>
      <w:r>
        <w:rPr>
          <w:rFonts w:cs="Times New Roman"/>
          <w:lang w:val="fr-CA"/>
        </w:rPr>
        <w:t>’</w:t>
      </w:r>
      <w:r w:rsidRPr="00AF17C2">
        <w:rPr>
          <w:rFonts w:cs="Times New Roman"/>
          <w:lang w:val="fr-CA"/>
        </w:rPr>
        <w:t>importance de la liberté d</w:t>
      </w:r>
      <w:r>
        <w:rPr>
          <w:rFonts w:cs="Times New Roman"/>
          <w:lang w:val="fr-CA"/>
        </w:rPr>
        <w:t>’</w:t>
      </w:r>
      <w:r w:rsidRPr="00AF17C2">
        <w:rPr>
          <w:rFonts w:cs="Times New Roman"/>
          <w:lang w:val="fr-CA"/>
        </w:rPr>
        <w:t>expression dans l</w:t>
      </w:r>
      <w:r>
        <w:rPr>
          <w:rFonts w:cs="Times New Roman"/>
          <w:lang w:val="fr-CA"/>
        </w:rPr>
        <w:t>’</w:t>
      </w:r>
      <w:r w:rsidRPr="00AF17C2">
        <w:rPr>
          <w:rFonts w:cs="Times New Roman"/>
          <w:lang w:val="fr-CA"/>
        </w:rPr>
        <w:t>élimination de l</w:t>
      </w:r>
      <w:r>
        <w:rPr>
          <w:rFonts w:cs="Times New Roman"/>
          <w:lang w:val="fr-CA"/>
        </w:rPr>
        <w:t>’</w:t>
      </w:r>
      <w:r w:rsidRPr="00AF17C2">
        <w:rPr>
          <w:rFonts w:cs="Times New Roman"/>
          <w:lang w:val="fr-CA"/>
        </w:rPr>
        <w:t>inégalité inhérente à la relation employeur</w:t>
      </w:r>
      <w:r w:rsidR="00795B2B">
        <w:rPr>
          <w:rFonts w:cs="Times New Roman"/>
          <w:lang w:val="fr-CA"/>
        </w:rPr>
        <w:t>-</w:t>
      </w:r>
      <w:r w:rsidRPr="00AF17C2">
        <w:rPr>
          <w:rFonts w:cs="Times New Roman"/>
          <w:lang w:val="fr-CA"/>
        </w:rPr>
        <w:t>employé</w:t>
      </w:r>
      <w:r w:rsidR="00795B2B">
        <w:rPr>
          <w:rFonts w:cs="Times New Roman"/>
          <w:lang w:val="fr-CA"/>
        </w:rPr>
        <w:t> :</w:t>
      </w:r>
    </w:p>
    <w:p w:rsidR="007B74A6" w:rsidRPr="00AF17C2" w:rsidRDefault="007B74A6" w:rsidP="00795B2B">
      <w:pPr>
        <w:pStyle w:val="Citation-AltC"/>
        <w:spacing w:after="240"/>
        <w:ind w:hanging="1166"/>
        <w:contextualSpacing w:val="0"/>
        <w:rPr>
          <w:lang w:val="fr-CA"/>
        </w:rPr>
      </w:pPr>
      <w:r w:rsidRPr="00AF17C2">
        <w:rPr>
          <w:lang w:val="fr-CA"/>
        </w:rPr>
        <w:tab/>
      </w:r>
      <w:r w:rsidRPr="00AF17C2">
        <w:rPr>
          <w:lang w:val="fr-CA"/>
        </w:rPr>
        <w:tab/>
        <w:t>L</w:t>
      </w:r>
      <w:r>
        <w:rPr>
          <w:lang w:val="fr-CA"/>
        </w:rPr>
        <w:t>’</w:t>
      </w:r>
      <w:r w:rsidRPr="00AF17C2">
        <w:rPr>
          <w:lang w:val="fr-CA"/>
        </w:rPr>
        <w:t>emploi d</w:t>
      </w:r>
      <w:r>
        <w:rPr>
          <w:lang w:val="fr-CA"/>
        </w:rPr>
        <w:t>’</w:t>
      </w:r>
      <w:r w:rsidRPr="00AF17C2">
        <w:rPr>
          <w:lang w:val="fr-CA"/>
        </w:rPr>
        <w:t xml:space="preserve">une personne et ses conditions de travail sont susceptibles de façonner son identité, sa santé psychologique et sa perception de sa valeur </w:t>
      </w:r>
      <w:proofErr w:type="gramStart"/>
      <w:r w:rsidRPr="00AF17C2">
        <w:rPr>
          <w:lang w:val="fr-CA"/>
        </w:rPr>
        <w:t xml:space="preserve">personnelle </w:t>
      </w:r>
      <w:r w:rsidR="00795B2B">
        <w:rPr>
          <w:lang w:val="fr-CA"/>
        </w:rPr>
        <w:t>.</w:t>
      </w:r>
      <w:proofErr w:type="gramEnd"/>
      <w:r w:rsidR="00795B2B">
        <w:rPr>
          <w:lang w:val="fr-CA"/>
        </w:rPr>
        <w:t> . .</w:t>
      </w:r>
    </w:p>
    <w:p w:rsidR="007B74A6" w:rsidRPr="00AF17C2" w:rsidRDefault="007B74A6" w:rsidP="00795B2B">
      <w:pPr>
        <w:pStyle w:val="Citation-AltC"/>
        <w:ind w:hanging="1166"/>
        <w:contextualSpacing w:val="0"/>
        <w:rPr>
          <w:lang w:val="fr-CA"/>
        </w:rPr>
      </w:pPr>
      <w:r w:rsidRPr="00AF17C2">
        <w:rPr>
          <w:lang w:val="fr-CA"/>
        </w:rPr>
        <w:tab/>
      </w:r>
      <w:r w:rsidRPr="00AF17C2">
        <w:rPr>
          <w:lang w:val="fr-CA"/>
        </w:rPr>
        <w:tab/>
        <w:t>Dans le contexte du travail, la liberté d</w:t>
      </w:r>
      <w:r>
        <w:rPr>
          <w:lang w:val="fr-CA"/>
        </w:rPr>
        <w:t>’</w:t>
      </w:r>
      <w:r w:rsidRPr="00AF17C2">
        <w:rPr>
          <w:lang w:val="fr-CA"/>
        </w:rPr>
        <w:t>expression peut également jouer un rôle important pour éliminer ou atténuer l</w:t>
      </w:r>
      <w:r>
        <w:rPr>
          <w:lang w:val="fr-CA"/>
        </w:rPr>
        <w:t>’</w:t>
      </w:r>
      <w:r w:rsidRPr="00AF17C2">
        <w:rPr>
          <w:lang w:val="fr-CA"/>
        </w:rPr>
        <w:t>inégalité présumée entre le pouvoir économique de l</w:t>
      </w:r>
      <w:r>
        <w:rPr>
          <w:lang w:val="fr-CA"/>
        </w:rPr>
        <w:t>’</w:t>
      </w:r>
      <w:r w:rsidRPr="00AF17C2">
        <w:rPr>
          <w:lang w:val="fr-CA"/>
        </w:rPr>
        <w:t xml:space="preserve">employeur et la vulnérabilité relative du travailleur </w:t>
      </w:r>
      <w:r w:rsidR="00D444EC">
        <w:rPr>
          <w:lang w:val="fr-CA"/>
        </w:rPr>
        <w:t>[</w:t>
      </w:r>
      <w:r w:rsidR="00795B2B">
        <w:rPr>
          <w:lang w:val="fr-CA"/>
        </w:rPr>
        <w:t>. . .</w:t>
      </w:r>
      <w:r w:rsidR="00D444EC">
        <w:rPr>
          <w:lang w:val="fr-CA"/>
        </w:rPr>
        <w:t>]</w:t>
      </w:r>
      <w:r w:rsidRPr="00AF17C2">
        <w:rPr>
          <w:lang w:val="fr-CA"/>
        </w:rPr>
        <w:t xml:space="preserve"> C</w:t>
      </w:r>
      <w:r>
        <w:rPr>
          <w:lang w:val="fr-CA"/>
        </w:rPr>
        <w:t>’</w:t>
      </w:r>
      <w:r w:rsidRPr="00AF17C2">
        <w:rPr>
          <w:lang w:val="fr-CA"/>
        </w:rPr>
        <w:t>est grâce à leurs activités expressives que les syndicats sont en mesure de formuler et de promouvoir leurs intérêts communs et, en cas de conflit de travail, de tenter d</w:t>
      </w:r>
      <w:r>
        <w:rPr>
          <w:lang w:val="fr-CA"/>
        </w:rPr>
        <w:t>’</w:t>
      </w:r>
      <w:r w:rsidRPr="00AF17C2">
        <w:rPr>
          <w:lang w:val="fr-CA"/>
        </w:rPr>
        <w:t>infléchir l</w:t>
      </w:r>
      <w:r>
        <w:rPr>
          <w:lang w:val="fr-CA"/>
        </w:rPr>
        <w:t>’</w:t>
      </w:r>
      <w:r w:rsidRPr="00AF17C2">
        <w:rPr>
          <w:lang w:val="fr-CA"/>
        </w:rPr>
        <w:t>employeur. [Renvois omis; par.</w:t>
      </w:r>
      <w:r w:rsidR="00795B2B">
        <w:rPr>
          <w:lang w:val="fr-CA"/>
        </w:rPr>
        <w:t xml:space="preserve"> </w:t>
      </w:r>
      <w:r w:rsidRPr="00AF17C2">
        <w:rPr>
          <w:lang w:val="fr-CA"/>
        </w:rPr>
        <w:t>31</w:t>
      </w:r>
      <w:r w:rsidR="00795B2B">
        <w:rPr>
          <w:lang w:val="fr-CA"/>
        </w:rPr>
        <w:t>-</w:t>
      </w:r>
      <w:r w:rsidRPr="00AF17C2">
        <w:rPr>
          <w:lang w:val="fr-CA"/>
        </w:rPr>
        <w:t>32.]</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même raisonnement s</w:t>
      </w:r>
      <w:r>
        <w:rPr>
          <w:rFonts w:cs="Times New Roman"/>
          <w:lang w:val="fr-CA"/>
        </w:rPr>
        <w:t>’</w:t>
      </w:r>
      <w:r w:rsidRPr="00AF17C2">
        <w:rPr>
          <w:rFonts w:cs="Times New Roman"/>
          <w:lang w:val="fr-CA"/>
        </w:rPr>
        <w:t>applique à la liberté d</w:t>
      </w:r>
      <w:r>
        <w:rPr>
          <w:rFonts w:cs="Times New Roman"/>
          <w:lang w:val="fr-CA"/>
        </w:rPr>
        <w:t>’</w:t>
      </w:r>
      <w:r w:rsidRPr="00AF17C2">
        <w:rPr>
          <w:rFonts w:cs="Times New Roman"/>
          <w:lang w:val="fr-CA"/>
        </w:rPr>
        <w:t>association. Comme nous l</w:t>
      </w:r>
      <w:r>
        <w:rPr>
          <w:rFonts w:cs="Times New Roman"/>
          <w:lang w:val="fr-CA"/>
        </w:rPr>
        <w:t>’</w:t>
      </w:r>
      <w:r w:rsidRPr="00AF17C2">
        <w:rPr>
          <w:rFonts w:cs="Times New Roman"/>
          <w:lang w:val="fr-CA"/>
        </w:rPr>
        <w:t>avons vu,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vise à la fois à empêcher que des personnes — qui, isolées, demeureraient impuissantes — soient opprimées par des entités plus puissantes et à accroître leur influence par l</w:t>
      </w:r>
      <w:r>
        <w:rPr>
          <w:rFonts w:cs="Times New Roman"/>
          <w:lang w:val="fr-CA"/>
        </w:rPr>
        <w:t>’</w:t>
      </w:r>
      <w:r w:rsidRPr="00AF17C2">
        <w:rPr>
          <w:rFonts w:cs="Times New Roman"/>
          <w:lang w:val="fr-CA"/>
        </w:rPr>
        <w:t>exercice d</w:t>
      </w:r>
      <w:r>
        <w:rPr>
          <w:rFonts w:cs="Times New Roman"/>
          <w:lang w:val="fr-CA"/>
        </w:rPr>
        <w:t>’</w:t>
      </w:r>
      <w:r w:rsidRPr="00AF17C2">
        <w:rPr>
          <w:rFonts w:cs="Times New Roman"/>
          <w:lang w:val="fr-CA"/>
        </w:rPr>
        <w:t>un pouvoir collectif. Or, cette double fonction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ne peut être plus évidente que dans le cadre des relations de travail. En effet, les employés, agissant individuellement, ne disposent habituellement pas du pouvoir de négocier et de poursuivre des objectifs relatifs à leurs conditions de travail avec un employeur plus puissant. Seul le regroupement en association en vue de négocier collectivement — </w:t>
      </w:r>
      <w:r>
        <w:rPr>
          <w:rFonts w:cs="Times New Roman"/>
          <w:lang w:val="fr-CA"/>
        </w:rPr>
        <w:t xml:space="preserve">qui </w:t>
      </w:r>
      <w:r w:rsidRPr="00AF17C2">
        <w:rPr>
          <w:rFonts w:cs="Times New Roman"/>
          <w:lang w:val="fr-CA"/>
        </w:rPr>
        <w:t>augment</w:t>
      </w:r>
      <w:r>
        <w:rPr>
          <w:rFonts w:cs="Times New Roman"/>
          <w:lang w:val="fr-CA"/>
        </w:rPr>
        <w:t>e</w:t>
      </w:r>
      <w:r w:rsidRPr="00AF17C2">
        <w:rPr>
          <w:rFonts w:cs="Times New Roman"/>
          <w:lang w:val="fr-CA"/>
        </w:rPr>
        <w:t xml:space="preserve"> ainsi leur pouvoir de négociation — permet à des employés de poursuivre véritablement leurs objectifs relatifs à leurs conditions de travail.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Le droit à un processus véritable de négociation collective constitue donc un élément nécessaire du droit de poursuivre collectivement et de manière véritable des objectifs relatifs au travail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w:t>
      </w:r>
      <w:r w:rsidRPr="00AF17C2">
        <w:rPr>
          <w:rFonts w:cs="Times New Roman"/>
          <w:i/>
          <w:lang w:val="fr-CA"/>
        </w:rPr>
        <w:t>Fraser</w:t>
      </w:r>
      <w:r w:rsidRPr="00AF17C2">
        <w:rPr>
          <w:rFonts w:cs="Times New Roman"/>
          <w:lang w:val="fr-CA"/>
        </w:rPr>
        <w:t>). Un processus de négociation collective n</w:t>
      </w:r>
      <w:r>
        <w:rPr>
          <w:rFonts w:cs="Times New Roman"/>
          <w:lang w:val="fr-CA"/>
        </w:rPr>
        <w:t>’</w:t>
      </w:r>
      <w:r w:rsidRPr="00AF17C2">
        <w:rPr>
          <w:rFonts w:cs="Times New Roman"/>
          <w:lang w:val="fr-CA"/>
        </w:rPr>
        <w:t>aura toutefois pas un caractère véritable s</w:t>
      </w:r>
      <w:r>
        <w:rPr>
          <w:rFonts w:cs="Times New Roman"/>
          <w:lang w:val="fr-CA"/>
        </w:rPr>
        <w:t>’</w:t>
      </w:r>
      <w:r w:rsidRPr="00AF17C2">
        <w:rPr>
          <w:rFonts w:cs="Times New Roman"/>
          <w:lang w:val="fr-CA"/>
        </w:rPr>
        <w:t>il empêche les employés de poursuivre leurs objectifs. Comme l</w:t>
      </w:r>
      <w:r>
        <w:rPr>
          <w:rFonts w:cs="Times New Roman"/>
          <w:lang w:val="fr-CA"/>
        </w:rPr>
        <w:t>’</w:t>
      </w:r>
      <w:r w:rsidRPr="00AF17C2">
        <w:rPr>
          <w:rFonts w:cs="Times New Roman"/>
          <w:lang w:val="fr-CA"/>
        </w:rPr>
        <w:t xml:space="preserve">a affirmé la Cour dans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w:t>
      </w:r>
      <w:r w:rsidR="00795B2B">
        <w:rPr>
          <w:rFonts w:cs="Times New Roman"/>
          <w:lang w:val="fr-CA"/>
        </w:rPr>
        <w:t>« </w:t>
      </w:r>
      <w:r w:rsidRPr="00AF17C2">
        <w:rPr>
          <w:rFonts w:cs="Times New Roman"/>
          <w:lang w:val="fr-CA"/>
        </w:rPr>
        <w:t>un des succès fondamentaux résultant de la négociation collective est de pallier l</w:t>
      </w:r>
      <w:r>
        <w:rPr>
          <w:rFonts w:cs="Times New Roman"/>
          <w:lang w:val="fr-CA"/>
        </w:rPr>
        <w:t>’</w:t>
      </w:r>
      <w:r w:rsidRPr="00AF17C2">
        <w:rPr>
          <w:rFonts w:cs="Times New Roman"/>
          <w:lang w:val="fr-CA"/>
        </w:rPr>
        <w:t>inégalité qui a toujours exis</w:t>
      </w:r>
      <w:r w:rsidR="00A62103">
        <w:rPr>
          <w:rFonts w:cs="Times New Roman"/>
          <w:lang w:val="fr-CA"/>
        </w:rPr>
        <w:t xml:space="preserve">té entre employeur et </w:t>
      </w:r>
      <w:proofErr w:type="gramStart"/>
      <w:r w:rsidR="00A62103">
        <w:rPr>
          <w:rFonts w:cs="Times New Roman"/>
          <w:lang w:val="fr-CA"/>
        </w:rPr>
        <w:t xml:space="preserve">employés </w:t>
      </w:r>
      <w:r w:rsidR="00795B2B">
        <w:rPr>
          <w:rFonts w:cs="Times New Roman"/>
          <w:lang w:val="fr-CA"/>
        </w:rPr>
        <w:t>.</w:t>
      </w:r>
      <w:proofErr w:type="gramEnd"/>
      <w:r w:rsidR="00795B2B">
        <w:rPr>
          <w:rFonts w:cs="Times New Roman"/>
          <w:lang w:val="fr-CA"/>
        </w:rPr>
        <w:t> . . »</w:t>
      </w:r>
      <w:r w:rsidRPr="00AF17C2">
        <w:rPr>
          <w:rFonts w:cs="Times New Roman"/>
          <w:lang w:val="fr-CA"/>
        </w:rPr>
        <w:t xml:space="preserve"> (par.</w:t>
      </w:r>
      <w:r w:rsidR="00795B2B">
        <w:rPr>
          <w:rFonts w:cs="Times New Roman"/>
          <w:lang w:val="fr-CA"/>
        </w:rPr>
        <w:t xml:space="preserve"> </w:t>
      </w:r>
      <w:r w:rsidRPr="00AF17C2">
        <w:rPr>
          <w:rFonts w:cs="Times New Roman"/>
          <w:lang w:val="fr-CA"/>
        </w:rPr>
        <w:t>84). Ainsi, le mécanisme qui porte substantiellement atteinte à un processus véritable de négociation collective en réduisant le pouvoir de négociation des employés ne respecte pas la liberté d</w:t>
      </w:r>
      <w:r>
        <w:rPr>
          <w:rFonts w:cs="Times New Roman"/>
          <w:lang w:val="fr-CA"/>
        </w:rPr>
        <w:t>’</w:t>
      </w:r>
      <w:r w:rsidRPr="00AF17C2">
        <w:rPr>
          <w:rFonts w:cs="Times New Roman"/>
          <w:lang w:val="fr-CA"/>
        </w:rPr>
        <w:t>association garantie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équilibre nécessaire à la poursuite véritable d</w:t>
      </w:r>
      <w:r>
        <w:rPr>
          <w:rFonts w:cs="Times New Roman"/>
          <w:lang w:val="fr-CA"/>
        </w:rPr>
        <w:t>’</w:t>
      </w:r>
      <w:r w:rsidRPr="00AF17C2">
        <w:rPr>
          <w:rFonts w:cs="Times New Roman"/>
          <w:lang w:val="fr-CA"/>
        </w:rPr>
        <w:t>objectifs relatifs au travail peut être rompu de maintes façons. Des lois et des règlements peuvent restreindre les sujets susceptibles de faire l</w:t>
      </w:r>
      <w:r>
        <w:rPr>
          <w:rFonts w:cs="Times New Roman"/>
          <w:lang w:val="fr-CA"/>
        </w:rPr>
        <w:t>’</w:t>
      </w:r>
      <w:r w:rsidRPr="00AF17C2">
        <w:rPr>
          <w:rFonts w:cs="Times New Roman"/>
          <w:lang w:val="fr-CA"/>
        </w:rPr>
        <w:t>objet de négociation ou imposer des résultats arbitraires. Ils peuvent interdire l</w:t>
      </w:r>
      <w:r>
        <w:rPr>
          <w:rFonts w:cs="Times New Roman"/>
          <w:lang w:val="fr-CA"/>
        </w:rPr>
        <w:t>’</w:t>
      </w:r>
      <w:r w:rsidRPr="00AF17C2">
        <w:rPr>
          <w:rFonts w:cs="Times New Roman"/>
          <w:lang w:val="fr-CA"/>
        </w:rPr>
        <w:t>action collective des employés sans offrir de mesures de protection adéquate en compensation et réduire ainsi leur pouvoir de négociation. Ils peuvent rendre impossible la réalisation des objectifs des employés relatifs aux conditions de travail. Ou encore, des lois et des règlements pourraient établir un processus que les employés seraient incapables de contrôler ou d</w:t>
      </w:r>
      <w:r>
        <w:rPr>
          <w:rFonts w:cs="Times New Roman"/>
          <w:lang w:val="fr-CA"/>
        </w:rPr>
        <w:t>’</w:t>
      </w:r>
      <w:r w:rsidRPr="00AF17C2">
        <w:rPr>
          <w:rFonts w:cs="Times New Roman"/>
          <w:lang w:val="fr-CA"/>
        </w:rPr>
        <w:t>influencer. Quelle que soit la nature de la restriction, il faut essentiellement déterminer si les mesures en question perturbent l</w:t>
      </w:r>
      <w:r>
        <w:rPr>
          <w:rFonts w:cs="Times New Roman"/>
          <w:lang w:val="fr-CA"/>
        </w:rPr>
        <w:t>’</w:t>
      </w:r>
      <w:r w:rsidRPr="00AF17C2">
        <w:rPr>
          <w:rFonts w:cs="Times New Roman"/>
          <w:lang w:val="fr-CA"/>
        </w:rPr>
        <w:t>équilibre des rapports de force entre les employés et l</w:t>
      </w:r>
      <w:r>
        <w:rPr>
          <w:rFonts w:cs="Times New Roman"/>
          <w:lang w:val="fr-CA"/>
        </w:rPr>
        <w:t>’</w:t>
      </w:r>
      <w:r w:rsidRPr="00AF17C2">
        <w:rPr>
          <w:rFonts w:cs="Times New Roman"/>
          <w:lang w:val="fr-CA"/>
        </w:rPr>
        <w:t>employeur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vise à établir, de telle sorte qu</w:t>
      </w:r>
      <w:r>
        <w:rPr>
          <w:rFonts w:cs="Times New Roman"/>
          <w:lang w:val="fr-CA"/>
        </w:rPr>
        <w:t>’</w:t>
      </w:r>
      <w:r w:rsidRPr="00AF17C2">
        <w:rPr>
          <w:rFonts w:cs="Times New Roman"/>
          <w:lang w:val="fr-CA"/>
        </w:rPr>
        <w:t>elles interfèrent de façon substantielle avec un processus véritable de négociation collective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90).</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À l</w:t>
      </w:r>
      <w:r>
        <w:rPr>
          <w:rFonts w:cs="Times New Roman"/>
          <w:lang w:val="fr-CA"/>
        </w:rPr>
        <w:t>’</w:t>
      </w:r>
      <w:r w:rsidRPr="00AF17C2">
        <w:rPr>
          <w:rFonts w:cs="Times New Roman"/>
          <w:lang w:val="fr-CA"/>
        </w:rPr>
        <w:t>encontre de cette conception, le procureur général du Canada soutient, en se fondant sur l</w:t>
      </w:r>
      <w:r>
        <w:rPr>
          <w:rFonts w:cs="Times New Roman"/>
          <w:lang w:val="fr-CA"/>
        </w:rPr>
        <w:t>’</w:t>
      </w:r>
      <w:r w:rsidRPr="00AF17C2">
        <w:rPr>
          <w:rFonts w:cs="Times New Roman"/>
          <w:lang w:val="fr-CA"/>
        </w:rPr>
        <w:t xml:space="preserve">arrêt </w:t>
      </w:r>
      <w:r w:rsidRPr="00AF17C2">
        <w:rPr>
          <w:rFonts w:cs="Times New Roman"/>
          <w:i/>
          <w:lang w:val="fr-CA"/>
        </w:rPr>
        <w:t>Fraser</w:t>
      </w:r>
      <w:r w:rsidRPr="00AF17C2">
        <w:rPr>
          <w:rFonts w:cs="Times New Roman"/>
          <w:lang w:val="fr-CA"/>
        </w:rPr>
        <w:t>,</w:t>
      </w:r>
      <w:r w:rsidRPr="00AF17C2">
        <w:rPr>
          <w:rFonts w:cs="Times New Roman"/>
          <w:i/>
          <w:lang w:val="fr-CA"/>
        </w:rPr>
        <w:t xml:space="preserve"> </w:t>
      </w:r>
      <w:r w:rsidRPr="00AF17C2">
        <w:rPr>
          <w:rFonts w:cs="Times New Roman"/>
          <w:lang w:val="fr-CA"/>
        </w:rPr>
        <w:t xml:space="preserve">que la négociation collective est tout au plus un </w:t>
      </w:r>
      <w:r w:rsidR="00795B2B">
        <w:rPr>
          <w:rFonts w:cs="Times New Roman"/>
          <w:lang w:val="fr-CA"/>
        </w:rPr>
        <w:t>« </w:t>
      </w:r>
      <w:r w:rsidRPr="00AF17C2">
        <w:rPr>
          <w:rFonts w:cs="Times New Roman"/>
          <w:lang w:val="fr-CA"/>
        </w:rPr>
        <w:t>droit dérivé</w:t>
      </w:r>
      <w:r w:rsidR="00795B2B">
        <w:rPr>
          <w:rFonts w:cs="Times New Roman"/>
          <w:lang w:val="fr-CA"/>
        </w:rPr>
        <w:t> »</w:t>
      </w:r>
      <w:r w:rsidRPr="00AF17C2">
        <w:rPr>
          <w:rFonts w:cs="Times New Roman"/>
          <w:lang w:val="fr-CA"/>
        </w:rPr>
        <w:t xml:space="preserve"> du droit fondamental ou </w:t>
      </w:r>
      <w:r w:rsidR="00795B2B">
        <w:rPr>
          <w:rFonts w:cs="Times New Roman"/>
          <w:lang w:val="fr-CA"/>
        </w:rPr>
        <w:t>« </w:t>
      </w:r>
      <w:r w:rsidRPr="00AF17C2">
        <w:rPr>
          <w:rFonts w:cs="Times New Roman"/>
          <w:lang w:val="fr-CA"/>
        </w:rPr>
        <w:t>essentiel</w:t>
      </w:r>
      <w:r w:rsidR="00795B2B">
        <w:rPr>
          <w:rFonts w:cs="Times New Roman"/>
          <w:lang w:val="fr-CA"/>
        </w:rPr>
        <w:t> »</w:t>
      </w:r>
      <w:r w:rsidRPr="00AF17C2">
        <w:rPr>
          <w:rFonts w:cs="Times New Roman"/>
          <w:lang w:val="fr-CA"/>
        </w:rPr>
        <w:t xml:space="preserve"> de s</w:t>
      </w:r>
      <w:r>
        <w:rPr>
          <w:rFonts w:cs="Times New Roman"/>
          <w:lang w:val="fr-CA"/>
        </w:rPr>
        <w:t>’</w:t>
      </w:r>
      <w:r w:rsidRPr="00AF17C2">
        <w:rPr>
          <w:rFonts w:cs="Times New Roman"/>
          <w:lang w:val="fr-CA"/>
        </w:rPr>
        <w:t>associer (l</w:t>
      </w:r>
      <w:r>
        <w:rPr>
          <w:rFonts w:cs="Times New Roman"/>
          <w:lang w:val="fr-CA"/>
        </w:rPr>
        <w:t>’</w:t>
      </w:r>
      <w:r w:rsidRPr="00AF17C2">
        <w:rPr>
          <w:rFonts w:cs="Times New Roman"/>
          <w:lang w:val="fr-CA"/>
        </w:rPr>
        <w:t>approche constitutive). Il s</w:t>
      </w:r>
      <w:r>
        <w:rPr>
          <w:rFonts w:cs="Times New Roman"/>
          <w:lang w:val="fr-CA"/>
        </w:rPr>
        <w:t>’</w:t>
      </w:r>
      <w:r w:rsidRPr="00AF17C2">
        <w:rPr>
          <w:rFonts w:cs="Times New Roman"/>
          <w:lang w:val="fr-CA"/>
        </w:rPr>
        <w:t>ensuit, selon lui, que la négociation collective n</w:t>
      </w:r>
      <w:r>
        <w:rPr>
          <w:rFonts w:cs="Times New Roman"/>
          <w:lang w:val="fr-CA"/>
        </w:rPr>
        <w:t>’</w:t>
      </w:r>
      <w:r w:rsidRPr="00AF17C2">
        <w:rPr>
          <w:rFonts w:cs="Times New Roman"/>
          <w:lang w:val="fr-CA"/>
        </w:rPr>
        <w:t>est protégée que si l</w:t>
      </w:r>
      <w:r>
        <w:rPr>
          <w:rFonts w:cs="Times New Roman"/>
          <w:lang w:val="fr-CA"/>
        </w:rPr>
        <w:t>’</w:t>
      </w:r>
      <w:r w:rsidRPr="00AF17C2">
        <w:rPr>
          <w:rFonts w:cs="Times New Roman"/>
          <w:lang w:val="fr-CA"/>
        </w:rPr>
        <w:t>acte de l</w:t>
      </w:r>
      <w:r>
        <w:rPr>
          <w:rFonts w:cs="Times New Roman"/>
          <w:lang w:val="fr-CA"/>
        </w:rPr>
        <w:t>’</w:t>
      </w:r>
      <w:r w:rsidRPr="00AF17C2">
        <w:rPr>
          <w:rFonts w:cs="Times New Roman"/>
          <w:lang w:val="fr-CA"/>
        </w:rPr>
        <w:t xml:space="preserve">État rend </w:t>
      </w:r>
      <w:r w:rsidRPr="00B67DC6">
        <w:rPr>
          <w:rFonts w:cs="Times New Roman"/>
          <w:i/>
          <w:lang w:val="fr-CA"/>
        </w:rPr>
        <w:t>effectivement</w:t>
      </w:r>
      <w:r w:rsidRPr="00AF17C2">
        <w:rPr>
          <w:rFonts w:cs="Times New Roman"/>
          <w:lang w:val="fr-CA"/>
        </w:rPr>
        <w:t xml:space="preserve"> </w:t>
      </w:r>
      <w:r w:rsidRPr="00AF17C2">
        <w:rPr>
          <w:rFonts w:cs="Times New Roman"/>
          <w:i/>
          <w:lang w:val="fr-CA"/>
        </w:rPr>
        <w:t xml:space="preserve">impossible </w:t>
      </w:r>
      <w:r w:rsidRPr="00AF17C2">
        <w:rPr>
          <w:rFonts w:cs="Times New Roman"/>
          <w:lang w:val="fr-CA"/>
        </w:rPr>
        <w:t>l</w:t>
      </w:r>
      <w:r>
        <w:rPr>
          <w:rFonts w:cs="Times New Roman"/>
          <w:lang w:val="fr-CA"/>
        </w:rPr>
        <w:t>’</w:t>
      </w:r>
      <w:r w:rsidRPr="00AF17C2">
        <w:rPr>
          <w:rFonts w:cs="Times New Roman"/>
          <w:lang w:val="fr-CA"/>
        </w:rPr>
        <w:t>association en vue de régler des questions relatives au travail. En l</w:t>
      </w:r>
      <w:r>
        <w:rPr>
          <w:rFonts w:cs="Times New Roman"/>
          <w:lang w:val="fr-CA"/>
        </w:rPr>
        <w:t>’</w:t>
      </w:r>
      <w:r w:rsidRPr="00AF17C2">
        <w:rPr>
          <w:rFonts w:cs="Times New Roman"/>
          <w:lang w:val="fr-CA"/>
        </w:rPr>
        <w:t>espèce, affirme le procureur général, cette impossibilité n</w:t>
      </w:r>
      <w:r>
        <w:rPr>
          <w:rFonts w:cs="Times New Roman"/>
          <w:lang w:val="fr-CA"/>
        </w:rPr>
        <w:t>’</w:t>
      </w:r>
      <w:r w:rsidRPr="00AF17C2">
        <w:rPr>
          <w:rFonts w:cs="Times New Roman"/>
          <w:lang w:val="fr-CA"/>
        </w:rPr>
        <w:t>existe pas, parce que le PRRF constitue un moyen pour les membres de s</w:t>
      </w:r>
      <w:r>
        <w:rPr>
          <w:rFonts w:cs="Times New Roman"/>
          <w:lang w:val="fr-CA"/>
        </w:rPr>
        <w:t>’</w:t>
      </w:r>
      <w:r w:rsidRPr="00AF17C2">
        <w:rPr>
          <w:rFonts w:cs="Times New Roman"/>
          <w:lang w:val="fr-CA"/>
        </w:rPr>
        <w:t>associer à des fins relatives au travail. La Cour d</w:t>
      </w:r>
      <w:r>
        <w:rPr>
          <w:rFonts w:cs="Times New Roman"/>
          <w:lang w:val="fr-CA"/>
        </w:rPr>
        <w:t>’</w:t>
      </w:r>
      <w:r w:rsidRPr="00AF17C2">
        <w:rPr>
          <w:rFonts w:cs="Times New Roman"/>
          <w:lang w:val="fr-CA"/>
        </w:rPr>
        <w:t>appel a accepté cette thèse. Nous ne sommes pas d</w:t>
      </w:r>
      <w:r>
        <w:rPr>
          <w:rFonts w:cs="Times New Roman"/>
          <w:lang w:val="fr-CA"/>
        </w:rPr>
        <w:t>’</w:t>
      </w:r>
      <w:r w:rsidRPr="00AF17C2">
        <w:rPr>
          <w:rFonts w:cs="Times New Roman"/>
          <w:lang w:val="fr-CA"/>
        </w:rPr>
        <w:t xml:space="preserve">accord. Nous examinerons maintenant à tour de rôle les termes </w:t>
      </w:r>
      <w:r w:rsidR="00795B2B">
        <w:rPr>
          <w:rFonts w:cs="Times New Roman"/>
          <w:lang w:val="fr-CA"/>
        </w:rPr>
        <w:t>« </w:t>
      </w:r>
      <w:r w:rsidRPr="00AF17C2">
        <w:rPr>
          <w:rFonts w:cs="Times New Roman"/>
          <w:lang w:val="fr-CA"/>
        </w:rPr>
        <w:t>effectivement impossible</w:t>
      </w:r>
      <w:r w:rsidR="00795B2B">
        <w:rPr>
          <w:rFonts w:cs="Times New Roman"/>
          <w:lang w:val="fr-CA"/>
        </w:rPr>
        <w:t> »</w:t>
      </w:r>
      <w:r w:rsidRPr="00AF17C2">
        <w:rPr>
          <w:rFonts w:cs="Times New Roman"/>
          <w:lang w:val="fr-CA"/>
        </w:rPr>
        <w:t xml:space="preserve"> et </w:t>
      </w:r>
      <w:r w:rsidR="00795B2B">
        <w:rPr>
          <w:rFonts w:cs="Times New Roman"/>
          <w:lang w:val="fr-CA"/>
        </w:rPr>
        <w:t>« </w:t>
      </w:r>
      <w:r w:rsidRPr="00AF17C2">
        <w:rPr>
          <w:rFonts w:cs="Times New Roman"/>
          <w:lang w:val="fr-CA"/>
        </w:rPr>
        <w:t>droit dérivé</w:t>
      </w:r>
      <w:r w:rsidR="00795B2B">
        <w:rPr>
          <w:rFonts w:cs="Times New Roman"/>
          <w:lang w:val="fr-CA"/>
        </w:rPr>
        <w:t> »</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La mention dans </w:t>
      </w:r>
      <w:r w:rsidRPr="00AF17C2">
        <w:rPr>
          <w:rFonts w:cs="Times New Roman"/>
          <w:i/>
          <w:lang w:val="fr-CA"/>
        </w:rPr>
        <w:t xml:space="preserve">Fraser </w:t>
      </w:r>
      <w:r w:rsidRPr="00AF17C2">
        <w:rPr>
          <w:rFonts w:cs="Times New Roman"/>
          <w:lang w:val="fr-CA"/>
        </w:rPr>
        <w:t>de l</w:t>
      </w:r>
      <w:r>
        <w:rPr>
          <w:rFonts w:cs="Times New Roman"/>
          <w:lang w:val="fr-CA"/>
        </w:rPr>
        <w:t>’</w:t>
      </w:r>
      <w:r w:rsidRPr="00AF17C2">
        <w:rPr>
          <w:rFonts w:cs="Times New Roman"/>
          <w:lang w:val="fr-CA"/>
        </w:rPr>
        <w:t>impossibilité effective de réaliser des objectifs relatifs au travail doit être interprétée eu égard aux régimes législatifs en cause. À titre d</w:t>
      </w:r>
      <w:r>
        <w:rPr>
          <w:rFonts w:cs="Times New Roman"/>
          <w:lang w:val="fr-CA"/>
        </w:rPr>
        <w:t>’</w:t>
      </w:r>
      <w:r w:rsidRPr="00AF17C2">
        <w:rPr>
          <w:rFonts w:cs="Times New Roman"/>
          <w:lang w:val="fr-CA"/>
        </w:rPr>
        <w:t>exemple, lorsqu</w:t>
      </w:r>
      <w:r>
        <w:rPr>
          <w:rFonts w:cs="Times New Roman"/>
          <w:lang w:val="fr-CA"/>
        </w:rPr>
        <w:t>’</w:t>
      </w:r>
      <w:r w:rsidRPr="00AF17C2">
        <w:rPr>
          <w:rFonts w:cs="Times New Roman"/>
          <w:lang w:val="fr-CA"/>
        </w:rPr>
        <w:t>ils se sont penchés sur l</w:t>
      </w:r>
      <w:r>
        <w:rPr>
          <w:rFonts w:cs="Times New Roman"/>
          <w:lang w:val="fr-CA"/>
        </w:rPr>
        <w:t>’</w:t>
      </w:r>
      <w:r w:rsidRPr="00AF17C2">
        <w:rPr>
          <w:rFonts w:cs="Times New Roman"/>
          <w:lang w:val="fr-CA"/>
        </w:rPr>
        <w:t xml:space="preserve">arrêt </w:t>
      </w:r>
      <w:proofErr w:type="spellStart"/>
      <w:r w:rsidRPr="00AF17C2">
        <w:rPr>
          <w:rFonts w:cs="Times New Roman"/>
          <w:i/>
          <w:lang w:val="fr-CA"/>
        </w:rPr>
        <w:t>Dunmore</w:t>
      </w:r>
      <w:proofErr w:type="spellEnd"/>
      <w:r w:rsidRPr="00AF17C2">
        <w:rPr>
          <w:rFonts w:cs="Times New Roman"/>
          <w:lang w:val="fr-CA"/>
        </w:rPr>
        <w:t xml:space="preserve">, les juges majoritaires dans </w:t>
      </w:r>
      <w:r w:rsidRPr="00AF17C2">
        <w:rPr>
          <w:rFonts w:cs="Times New Roman"/>
          <w:i/>
          <w:lang w:val="fr-CA"/>
        </w:rPr>
        <w:t>Fraser</w:t>
      </w:r>
      <w:r w:rsidRPr="00AF17C2">
        <w:rPr>
          <w:rFonts w:cs="Times New Roman"/>
          <w:lang w:val="fr-CA"/>
        </w:rPr>
        <w:t xml:space="preserve"> ont expliqué que le juge </w:t>
      </w:r>
      <w:proofErr w:type="spellStart"/>
      <w:r w:rsidRPr="00AF17C2">
        <w:rPr>
          <w:rFonts w:cs="Times New Roman"/>
          <w:lang w:val="fr-CA"/>
        </w:rPr>
        <w:t>Bastarache</w:t>
      </w:r>
      <w:proofErr w:type="spellEnd"/>
      <w:r w:rsidRPr="00AF17C2">
        <w:rPr>
          <w:rFonts w:cs="Times New Roman"/>
          <w:lang w:val="fr-CA"/>
        </w:rPr>
        <w:t xml:space="preserve"> avait </w:t>
      </w:r>
      <w:r w:rsidR="00795B2B">
        <w:rPr>
          <w:rFonts w:cs="Times New Roman"/>
          <w:lang w:val="fr-CA"/>
        </w:rPr>
        <w:t>« </w:t>
      </w:r>
      <w:proofErr w:type="spellStart"/>
      <w:r w:rsidRPr="00AF17C2">
        <w:rPr>
          <w:rFonts w:cs="Times New Roman"/>
          <w:lang w:val="fr-CA"/>
        </w:rPr>
        <w:t>décid</w:t>
      </w:r>
      <w:proofErr w:type="spellEnd"/>
      <w:r w:rsidRPr="00AF17C2">
        <w:rPr>
          <w:rFonts w:cs="Times New Roman"/>
          <w:lang w:val="fr-CA"/>
        </w:rPr>
        <w:t>[é] [</w:t>
      </w:r>
      <w:r w:rsidR="00795B2B">
        <w:rPr>
          <w:rFonts w:cs="Times New Roman"/>
          <w:lang w:val="fr-CA"/>
        </w:rPr>
        <w:t>. . .</w:t>
      </w:r>
      <w:r w:rsidRPr="00AF17C2">
        <w:rPr>
          <w:rFonts w:cs="Times New Roman"/>
          <w:lang w:val="fr-CA"/>
        </w:rPr>
        <w:t>] que l</w:t>
      </w:r>
      <w:r>
        <w:rPr>
          <w:rFonts w:cs="Times New Roman"/>
          <w:lang w:val="fr-CA"/>
        </w:rPr>
        <w:t>’</w:t>
      </w:r>
      <w:r w:rsidRPr="00AF17C2">
        <w:rPr>
          <w:rFonts w:cs="Times New Roman"/>
          <w:lang w:val="fr-CA"/>
        </w:rPr>
        <w:t>omission du législateur de protéger les travailleurs agricoles désireux de s</w:t>
      </w:r>
      <w:r>
        <w:rPr>
          <w:rFonts w:cs="Times New Roman"/>
          <w:lang w:val="fr-CA"/>
        </w:rPr>
        <w:t>’</w:t>
      </w:r>
      <w:r w:rsidRPr="00AF17C2">
        <w:rPr>
          <w:rFonts w:cs="Times New Roman"/>
          <w:lang w:val="fr-CA"/>
        </w:rPr>
        <w:t>associer pour réaliser des objectifs</w:t>
      </w:r>
      <w:r w:rsidR="00C843CC">
        <w:rPr>
          <w:rFonts w:cs="Times New Roman"/>
          <w:lang w:val="fr-CA"/>
        </w:rPr>
        <w:t xml:space="preserve"> liés</w:t>
      </w:r>
      <w:r w:rsidRPr="00AF17C2">
        <w:rPr>
          <w:rFonts w:cs="Times New Roman"/>
          <w:lang w:val="fr-CA"/>
        </w:rPr>
        <w:t xml:space="preserve"> au travail </w:t>
      </w:r>
      <w:proofErr w:type="gramStart"/>
      <w:r w:rsidRPr="00AF17C2">
        <w:rPr>
          <w:rFonts w:cs="Times New Roman"/>
          <w:lang w:val="fr-CA"/>
        </w:rPr>
        <w:t>rend[</w:t>
      </w:r>
      <w:proofErr w:type="gramEnd"/>
      <w:r w:rsidRPr="00AF17C2">
        <w:rPr>
          <w:rFonts w:cs="Times New Roman"/>
          <w:lang w:val="fr-CA"/>
        </w:rPr>
        <w:t>ait] à toutes fins utiles impossible l</w:t>
      </w:r>
      <w:r>
        <w:rPr>
          <w:rFonts w:cs="Times New Roman"/>
          <w:lang w:val="fr-CA"/>
        </w:rPr>
        <w:t>’</w:t>
      </w:r>
      <w:r w:rsidRPr="00AF17C2">
        <w:rPr>
          <w:rFonts w:cs="Times New Roman"/>
          <w:lang w:val="fr-CA"/>
        </w:rPr>
        <w:t xml:space="preserve">association à cette fin </w:t>
      </w:r>
      <w:r w:rsidRPr="00AF17C2">
        <w:rPr>
          <w:rFonts w:cs="Times New Roman"/>
          <w:u w:val="single"/>
          <w:lang w:val="fr-CA"/>
        </w:rPr>
        <w:t xml:space="preserve">et </w:t>
      </w:r>
      <w:proofErr w:type="spellStart"/>
      <w:r w:rsidRPr="00AF17C2">
        <w:rPr>
          <w:rFonts w:cs="Times New Roman"/>
          <w:u w:val="single"/>
          <w:lang w:val="fr-CA"/>
        </w:rPr>
        <w:t>entrav</w:t>
      </w:r>
      <w:proofErr w:type="spellEnd"/>
      <w:r w:rsidRPr="00AF17C2">
        <w:rPr>
          <w:rFonts w:cs="Times New Roman"/>
          <w:u w:val="single"/>
          <w:lang w:val="fr-CA"/>
        </w:rPr>
        <w:t>[ait] de ce fait substantiellement</w:t>
      </w:r>
      <w:r w:rsidRPr="00AF17C2">
        <w:rPr>
          <w:rFonts w:cs="Times New Roman"/>
          <w:lang w:val="fr-CA"/>
        </w:rPr>
        <w:t xml:space="preserve"> l</w:t>
      </w:r>
      <w:r>
        <w:rPr>
          <w:rFonts w:cs="Times New Roman"/>
          <w:lang w:val="fr-CA"/>
        </w:rPr>
        <w:t>’</w:t>
      </w:r>
      <w:r w:rsidRPr="00AF17C2">
        <w:rPr>
          <w:rFonts w:cs="Times New Roman"/>
          <w:lang w:val="fr-CA"/>
        </w:rPr>
        <w:t>exercice du droit garanti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 xml:space="preserve">31 (nous soulignons)). De même, les juges majoritaires dans </w:t>
      </w:r>
      <w:r w:rsidRPr="00AF17C2">
        <w:rPr>
          <w:rFonts w:cs="Times New Roman"/>
          <w:i/>
          <w:lang w:val="fr-CA"/>
        </w:rPr>
        <w:t xml:space="preserve">Fraser </w:t>
      </w:r>
      <w:r w:rsidRPr="00AF17C2">
        <w:rPr>
          <w:rFonts w:cs="Times New Roman"/>
          <w:lang w:val="fr-CA"/>
        </w:rPr>
        <w:t xml:space="preserve">ont souligné que la loi contestée dans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 une loi qui annulait unilatéralement certaines conditions relatives à l</w:t>
      </w:r>
      <w:r>
        <w:rPr>
          <w:rFonts w:cs="Times New Roman"/>
          <w:lang w:val="fr-CA"/>
        </w:rPr>
        <w:t>’</w:t>
      </w:r>
      <w:r w:rsidRPr="00AF17C2">
        <w:rPr>
          <w:rFonts w:cs="Times New Roman"/>
          <w:lang w:val="fr-CA"/>
        </w:rPr>
        <w:t xml:space="preserve">ancienneté et à la mise en disponibilité dans des conventions collectives existantes et qui interdisait toute négociation ultérieure sur ces questions — </w:t>
      </w:r>
      <w:r w:rsidR="00795B2B">
        <w:rPr>
          <w:rFonts w:cs="Times New Roman"/>
          <w:lang w:val="fr-CA"/>
        </w:rPr>
        <w:t>« </w:t>
      </w:r>
      <w:proofErr w:type="gramStart"/>
      <w:r w:rsidRPr="00AF17C2">
        <w:rPr>
          <w:rFonts w:cs="Times New Roman"/>
          <w:lang w:val="fr-CA"/>
        </w:rPr>
        <w:t>rend[</w:t>
      </w:r>
      <w:proofErr w:type="gramEnd"/>
      <w:r w:rsidRPr="00AF17C2">
        <w:rPr>
          <w:rFonts w:cs="Times New Roman"/>
          <w:lang w:val="fr-CA"/>
        </w:rPr>
        <w:t xml:space="preserve">ait] impossible la poursuite véritable </w:t>
      </w:r>
      <w:r w:rsidR="00C843CC">
        <w:rPr>
          <w:rFonts w:cs="Times New Roman"/>
          <w:lang w:val="fr-CA"/>
        </w:rPr>
        <w:t>[</w:t>
      </w:r>
      <w:r w:rsidRPr="00AF17C2">
        <w:rPr>
          <w:rFonts w:cs="Times New Roman"/>
          <w:lang w:val="fr-CA"/>
        </w:rPr>
        <w:t>d</w:t>
      </w:r>
      <w:r>
        <w:rPr>
          <w:rFonts w:cs="Times New Roman"/>
          <w:lang w:val="fr-CA"/>
        </w:rPr>
        <w:t>’</w:t>
      </w:r>
      <w:r w:rsidR="00D27629">
        <w:rPr>
          <w:rFonts w:cs="Times New Roman"/>
          <w:lang w:val="fr-CA"/>
        </w:rPr>
        <w:t>]</w:t>
      </w:r>
      <w:r w:rsidRPr="00AF17C2">
        <w:rPr>
          <w:rFonts w:cs="Times New Roman"/>
          <w:lang w:val="fr-CA"/>
        </w:rPr>
        <w:t>objectifs [relatifs au travail] et [</w:t>
      </w:r>
      <w:r w:rsidR="00795B2B">
        <w:rPr>
          <w:rFonts w:cs="Times New Roman"/>
          <w:lang w:val="fr-CA"/>
        </w:rPr>
        <w:t>. . .</w:t>
      </w:r>
      <w:r w:rsidRPr="00AF17C2">
        <w:rPr>
          <w:rFonts w:cs="Times New Roman"/>
          <w:lang w:val="fr-CA"/>
        </w:rPr>
        <w:t xml:space="preserve">] </w:t>
      </w:r>
      <w:proofErr w:type="spellStart"/>
      <w:r w:rsidRPr="00AF17C2">
        <w:rPr>
          <w:rFonts w:cs="Times New Roman"/>
          <w:lang w:val="fr-CA"/>
        </w:rPr>
        <w:t>supprim</w:t>
      </w:r>
      <w:proofErr w:type="spellEnd"/>
      <w:r w:rsidRPr="00AF17C2">
        <w:rPr>
          <w:rFonts w:cs="Times New Roman"/>
          <w:lang w:val="fr-CA"/>
        </w:rPr>
        <w:t>[ait] dans les faits le droit de ses employés de s</w:t>
      </w:r>
      <w:r>
        <w:rPr>
          <w:rFonts w:cs="Times New Roman"/>
          <w:lang w:val="fr-CA"/>
        </w:rPr>
        <w:t>’</w:t>
      </w:r>
      <w:r w:rsidRPr="00AF17C2">
        <w:rPr>
          <w:rFonts w:cs="Times New Roman"/>
          <w:lang w:val="fr-CA"/>
        </w:rPr>
        <w:t>associer</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38).</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 xml:space="preserve">Dans ces passages des arrêts </w:t>
      </w:r>
      <w:r w:rsidRPr="00AF17C2">
        <w:rPr>
          <w:rFonts w:cs="Times New Roman"/>
          <w:i/>
          <w:lang w:val="fr-CA"/>
        </w:rPr>
        <w:t>Fraser</w:t>
      </w:r>
      <w:r w:rsidRPr="00AF17C2">
        <w:rPr>
          <w:rFonts w:cs="Times New Roman"/>
          <w:lang w:val="fr-CA"/>
        </w:rPr>
        <w:t xml:space="preserve"> et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la Cour utilise des termes comme </w:t>
      </w:r>
      <w:r w:rsidR="00795B2B">
        <w:rPr>
          <w:rFonts w:cs="Times New Roman"/>
          <w:lang w:val="fr-CA"/>
        </w:rPr>
        <w:t>« </w:t>
      </w:r>
      <w:r w:rsidRPr="00AF17C2">
        <w:rPr>
          <w:rFonts w:cs="Times New Roman"/>
          <w:lang w:val="fr-CA"/>
        </w:rPr>
        <w:t>impossible</w:t>
      </w:r>
      <w:r w:rsidR="00795B2B">
        <w:rPr>
          <w:rFonts w:cs="Times New Roman"/>
          <w:lang w:val="fr-CA"/>
        </w:rPr>
        <w:t> »</w:t>
      </w:r>
      <w:r w:rsidRPr="00AF17C2">
        <w:rPr>
          <w:rFonts w:cs="Times New Roman"/>
          <w:lang w:val="fr-CA"/>
        </w:rPr>
        <w:t xml:space="preserve"> et </w:t>
      </w:r>
      <w:r w:rsidR="00795B2B">
        <w:rPr>
          <w:rFonts w:cs="Times New Roman"/>
          <w:lang w:val="fr-CA"/>
        </w:rPr>
        <w:t>« </w:t>
      </w:r>
      <w:r w:rsidRPr="00AF17C2">
        <w:rPr>
          <w:rFonts w:cs="Times New Roman"/>
          <w:lang w:val="fr-CA"/>
        </w:rPr>
        <w:t>supprimer dans les faits</w:t>
      </w:r>
      <w:r w:rsidR="00795B2B">
        <w:rPr>
          <w:rFonts w:cs="Times New Roman"/>
          <w:lang w:val="fr-CA"/>
        </w:rPr>
        <w:t> »</w:t>
      </w:r>
      <w:r w:rsidRPr="00AF17C2">
        <w:rPr>
          <w:rFonts w:cs="Times New Roman"/>
          <w:lang w:val="fr-CA"/>
        </w:rPr>
        <w:t xml:space="preserve"> pour décrire l</w:t>
      </w:r>
      <w:r>
        <w:rPr>
          <w:rFonts w:cs="Times New Roman"/>
          <w:lang w:val="fr-CA"/>
        </w:rPr>
        <w:t>’</w:t>
      </w:r>
      <w:r w:rsidRPr="00AF17C2">
        <w:rPr>
          <w:rFonts w:cs="Times New Roman"/>
          <w:lang w:val="fr-CA"/>
        </w:rPr>
        <w:t>effet de certains régimes législatifs (notamment les exclusions prévues par la loi) et non pas le critère juridique permettant de conclure à une violation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En expliquant le raisonnement suivi dans </w:t>
      </w:r>
      <w:proofErr w:type="spellStart"/>
      <w:r w:rsidRPr="00AF17C2">
        <w:rPr>
          <w:rFonts w:cs="Times New Roman"/>
          <w:i/>
          <w:lang w:val="fr-CA"/>
        </w:rPr>
        <w:t>Dunmore</w:t>
      </w:r>
      <w:proofErr w:type="spellEnd"/>
      <w:r w:rsidRPr="00AF17C2">
        <w:rPr>
          <w:rFonts w:cs="Times New Roman"/>
          <w:lang w:val="fr-CA"/>
        </w:rPr>
        <w:t xml:space="preserve">, les juges majoritaires dans </w:t>
      </w:r>
      <w:r w:rsidRPr="00AF17C2">
        <w:rPr>
          <w:rFonts w:cs="Times New Roman"/>
          <w:i/>
          <w:lang w:val="fr-CA"/>
        </w:rPr>
        <w:t>Fraser</w:t>
      </w:r>
      <w:r w:rsidRPr="00AF17C2">
        <w:rPr>
          <w:rFonts w:cs="Times New Roman"/>
          <w:lang w:val="fr-CA"/>
        </w:rPr>
        <w:t xml:space="preserve"> ont affirmé que </w:t>
      </w:r>
      <w:r w:rsidR="00795B2B">
        <w:rPr>
          <w:rFonts w:cs="Times New Roman"/>
          <w:lang w:val="fr-CA"/>
        </w:rPr>
        <w:t>« </w:t>
      </w:r>
      <w:r w:rsidRPr="00AF17C2">
        <w:rPr>
          <w:rFonts w:cs="Times New Roman"/>
          <w:lang w:val="fr-CA"/>
        </w:rPr>
        <w:t>[l]e processus qui rend impossible la poursuite véritable d</w:t>
      </w:r>
      <w:r>
        <w:rPr>
          <w:rFonts w:cs="Times New Roman"/>
          <w:lang w:val="fr-CA"/>
        </w:rPr>
        <w:t>’</w:t>
      </w:r>
      <w:r w:rsidRPr="00AF17C2">
        <w:rPr>
          <w:rFonts w:cs="Times New Roman"/>
          <w:lang w:val="fr-CA"/>
        </w:rPr>
        <w:t xml:space="preserve">objectifs collectifs a pour </w:t>
      </w:r>
      <w:r w:rsidRPr="00AF17C2">
        <w:rPr>
          <w:rFonts w:cs="Times New Roman"/>
          <w:i/>
          <w:iCs/>
          <w:lang w:val="fr-CA"/>
        </w:rPr>
        <w:t>effet</w:t>
      </w:r>
      <w:r w:rsidRPr="00AF17C2">
        <w:rPr>
          <w:rFonts w:cs="Times New Roman"/>
          <w:lang w:val="fr-CA"/>
        </w:rPr>
        <w:t xml:space="preserve"> d</w:t>
      </w:r>
      <w:r>
        <w:rPr>
          <w:rFonts w:cs="Times New Roman"/>
          <w:lang w:val="fr-CA"/>
        </w:rPr>
        <w:t>’</w:t>
      </w:r>
      <w:r w:rsidRPr="00AF17C2">
        <w:rPr>
          <w:rFonts w:cs="Times New Roman"/>
          <w:lang w:val="fr-CA"/>
        </w:rPr>
        <w:t>entraver substantiellement l</w:t>
      </w:r>
      <w:r>
        <w:rPr>
          <w:rFonts w:cs="Times New Roman"/>
          <w:lang w:val="fr-CA"/>
        </w:rPr>
        <w:t>’</w:t>
      </w:r>
      <w:r w:rsidRPr="00AF17C2">
        <w:rPr>
          <w:rFonts w:cs="Times New Roman"/>
          <w:lang w:val="fr-CA"/>
        </w:rPr>
        <w:t xml:space="preserve">exercice du droit de libre </w:t>
      </w:r>
      <w:proofErr w:type="gramStart"/>
      <w:r w:rsidRPr="00AF17C2">
        <w:rPr>
          <w:rFonts w:cs="Times New Roman"/>
          <w:lang w:val="fr-CA"/>
        </w:rPr>
        <w:t xml:space="preserve">association </w:t>
      </w:r>
      <w:r w:rsidR="00795B2B">
        <w:rPr>
          <w:rFonts w:cs="Times New Roman"/>
          <w:lang w:val="fr-CA"/>
        </w:rPr>
        <w:t>.</w:t>
      </w:r>
      <w:proofErr w:type="gramEnd"/>
      <w:r w:rsidR="00795B2B">
        <w:rPr>
          <w:rFonts w:cs="Times New Roman"/>
          <w:lang w:val="fr-CA"/>
        </w:rPr>
        <w:t> . . »</w:t>
      </w:r>
      <w:r w:rsidRPr="00AF17C2">
        <w:rPr>
          <w:rFonts w:cs="Times New Roman"/>
          <w:lang w:val="fr-CA"/>
        </w:rPr>
        <w:t xml:space="preserve"> (par.</w:t>
      </w:r>
      <w:r w:rsidR="00795B2B">
        <w:rPr>
          <w:rFonts w:cs="Times New Roman"/>
          <w:lang w:val="fr-CA"/>
        </w:rPr>
        <w:t xml:space="preserve"> </w:t>
      </w:r>
      <w:r w:rsidRPr="00AF17C2">
        <w:rPr>
          <w:rFonts w:cs="Times New Roman"/>
          <w:lang w:val="fr-CA"/>
        </w:rPr>
        <w:t>33 (en italique dans l</w:t>
      </w:r>
      <w:r>
        <w:rPr>
          <w:rFonts w:cs="Times New Roman"/>
          <w:lang w:val="fr-CA"/>
        </w:rPr>
        <w:t>’</w:t>
      </w:r>
      <w:r w:rsidRPr="00AF17C2">
        <w:rPr>
          <w:rFonts w:cs="Times New Roman"/>
          <w:lang w:val="fr-CA"/>
        </w:rPr>
        <w:t>original)). Comme l</w:t>
      </w:r>
      <w:r>
        <w:rPr>
          <w:rFonts w:cs="Times New Roman"/>
          <w:lang w:val="fr-CA"/>
        </w:rPr>
        <w:t>’</w:t>
      </w:r>
      <w:r w:rsidRPr="00AF17C2">
        <w:rPr>
          <w:rFonts w:cs="Times New Roman"/>
          <w:lang w:val="fr-CA"/>
        </w:rPr>
        <w:t xml:space="preserve">ont expliqué en outre les juges majoritaires dans </w:t>
      </w:r>
      <w:r w:rsidRPr="00AF17C2">
        <w:rPr>
          <w:rFonts w:cs="Times New Roman"/>
          <w:i/>
          <w:lang w:val="fr-CA"/>
        </w:rPr>
        <w:t>Fraser</w:t>
      </w:r>
      <w:r w:rsidRPr="00AF17C2">
        <w:rPr>
          <w:rFonts w:cs="Times New Roman"/>
          <w:lang w:val="fr-CA"/>
        </w:rPr>
        <w:t xml:space="preserve">, on </w:t>
      </w:r>
      <w:r w:rsidRPr="00AF17C2">
        <w:rPr>
          <w:rFonts w:cs="Times New Roman"/>
          <w:u w:val="single"/>
          <w:lang w:val="fr-CA"/>
        </w:rPr>
        <w:t>ne peut</w:t>
      </w:r>
      <w:r w:rsidRPr="00AF17C2">
        <w:rPr>
          <w:rFonts w:cs="Times New Roman"/>
          <w:lang w:val="fr-CA"/>
        </w:rPr>
        <w:t xml:space="preserve"> </w:t>
      </w:r>
      <w:r w:rsidR="00795B2B">
        <w:rPr>
          <w:rFonts w:cs="Times New Roman"/>
          <w:lang w:val="fr-CA"/>
        </w:rPr>
        <w:t>« </w:t>
      </w:r>
      <w:r w:rsidRPr="00AF17C2">
        <w:rPr>
          <w:rFonts w:cs="Times New Roman"/>
          <w:u w:val="single"/>
          <w:lang w:val="fr-CA"/>
        </w:rPr>
        <w:t>douter</w:t>
      </w:r>
      <w:r w:rsidRPr="00AF17C2">
        <w:rPr>
          <w:rFonts w:cs="Times New Roman"/>
          <w:lang w:val="fr-CA"/>
        </w:rPr>
        <w:t xml:space="preserve"> que la loi (ou l</w:t>
      </w:r>
      <w:r>
        <w:rPr>
          <w:rFonts w:cs="Times New Roman"/>
          <w:lang w:val="fr-CA"/>
        </w:rPr>
        <w:t>’</w:t>
      </w:r>
      <w:r w:rsidRPr="00AF17C2">
        <w:rPr>
          <w:rFonts w:cs="Times New Roman"/>
          <w:lang w:val="fr-CA"/>
        </w:rPr>
        <w:t>absence d</w:t>
      </w:r>
      <w:r>
        <w:rPr>
          <w:rFonts w:cs="Times New Roman"/>
          <w:lang w:val="fr-CA"/>
        </w:rPr>
        <w:t>’</w:t>
      </w:r>
      <w:r w:rsidRPr="00AF17C2">
        <w:rPr>
          <w:rFonts w:cs="Times New Roman"/>
          <w:lang w:val="fr-CA"/>
        </w:rPr>
        <w:t>un cadre législatif) qui rendait essentiellement impossible</w:t>
      </w:r>
      <w:r w:rsidR="00795B2B">
        <w:rPr>
          <w:rFonts w:cs="Times New Roman"/>
          <w:lang w:val="fr-CA"/>
        </w:rPr>
        <w:t> »</w:t>
      </w:r>
      <w:r w:rsidRPr="00AF17C2">
        <w:rPr>
          <w:rFonts w:cs="Times New Roman"/>
          <w:lang w:val="fr-CA"/>
        </w:rPr>
        <w:t xml:space="preserve"> l</w:t>
      </w:r>
      <w:r>
        <w:rPr>
          <w:rFonts w:cs="Times New Roman"/>
          <w:lang w:val="fr-CA"/>
        </w:rPr>
        <w:t>’</w:t>
      </w:r>
      <w:r w:rsidRPr="00AF17C2">
        <w:rPr>
          <w:rFonts w:cs="Times New Roman"/>
          <w:lang w:val="fr-CA"/>
        </w:rPr>
        <w:t>atteinte d</w:t>
      </w:r>
      <w:r>
        <w:rPr>
          <w:rFonts w:cs="Times New Roman"/>
          <w:lang w:val="fr-CA"/>
        </w:rPr>
        <w:t>’</w:t>
      </w:r>
      <w:r w:rsidRPr="00AF17C2">
        <w:rPr>
          <w:rFonts w:cs="Times New Roman"/>
          <w:lang w:val="fr-CA"/>
        </w:rPr>
        <w:t xml:space="preserve">objectifs collectifs relatifs au travail </w:t>
      </w:r>
      <w:r w:rsidR="00795B2B">
        <w:rPr>
          <w:rFonts w:cs="Times New Roman"/>
          <w:lang w:val="fr-CA"/>
        </w:rPr>
        <w:t>« </w:t>
      </w:r>
      <w:r w:rsidRPr="00AF17C2">
        <w:rPr>
          <w:rFonts w:cs="Times New Roman"/>
          <w:lang w:val="fr-CA"/>
        </w:rPr>
        <w:t>restreignait l</w:t>
      </w:r>
      <w:r>
        <w:rPr>
          <w:rFonts w:cs="Times New Roman"/>
          <w:lang w:val="fr-CA"/>
        </w:rPr>
        <w:t>’</w:t>
      </w:r>
      <w:r w:rsidRPr="00AF17C2">
        <w:rPr>
          <w:rFonts w:cs="Times New Roman"/>
          <w:lang w:val="fr-CA"/>
        </w:rPr>
        <w:t>exercice de la liberté d</w:t>
      </w:r>
      <w:r>
        <w:rPr>
          <w:rFonts w:cs="Times New Roman"/>
          <w:lang w:val="fr-CA"/>
        </w:rPr>
        <w:t>’</w:t>
      </w:r>
      <w:r w:rsidRPr="00AF17C2">
        <w:rPr>
          <w:rFonts w:cs="Times New Roman"/>
          <w:lang w:val="fr-CA"/>
        </w:rPr>
        <w:t>association</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32 (nous soulignons)). Manifestement, de tels passages ne fixent pas comme seuil pour conclure à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une atteinte à la liberté d</w:t>
      </w:r>
      <w:r>
        <w:rPr>
          <w:rFonts w:cs="Times New Roman"/>
          <w:lang w:val="fr-CA"/>
        </w:rPr>
        <w:t>’</w:t>
      </w:r>
      <w:r w:rsidRPr="00AF17C2">
        <w:rPr>
          <w:rFonts w:cs="Times New Roman"/>
          <w:lang w:val="fr-CA"/>
        </w:rPr>
        <w:t>association, la démonstration qu</w:t>
      </w:r>
      <w:r>
        <w:rPr>
          <w:rFonts w:cs="Times New Roman"/>
          <w:lang w:val="fr-CA"/>
        </w:rPr>
        <w:t>’</w:t>
      </w:r>
      <w:r w:rsidRPr="00AF17C2">
        <w:rPr>
          <w:rFonts w:cs="Times New Roman"/>
          <w:lang w:val="fr-CA"/>
        </w:rPr>
        <w:t xml:space="preserve">il soit </w:t>
      </w:r>
      <w:r w:rsidR="00795B2B">
        <w:rPr>
          <w:rFonts w:cs="Times New Roman"/>
          <w:lang w:val="fr-CA"/>
        </w:rPr>
        <w:t>« </w:t>
      </w:r>
      <w:r w:rsidRPr="00AF17C2">
        <w:rPr>
          <w:rFonts w:cs="Times New Roman"/>
          <w:lang w:val="fr-CA"/>
        </w:rPr>
        <w:t>essentiellement impossible</w:t>
      </w:r>
      <w:r w:rsidR="00795B2B">
        <w:rPr>
          <w:rFonts w:cs="Times New Roman"/>
          <w:lang w:val="fr-CA"/>
        </w:rPr>
        <w:t> »</w:t>
      </w:r>
      <w:r w:rsidRPr="00AF17C2">
        <w:rPr>
          <w:rFonts w:cs="Times New Roman"/>
          <w:lang w:val="fr-CA"/>
        </w:rPr>
        <w:t xml:space="preserve"> de poser certains gestes. Ces passages démontrent plutôt que les juges majoritaires dans </w:t>
      </w:r>
      <w:r w:rsidRPr="00AF17C2">
        <w:rPr>
          <w:rFonts w:cs="Times New Roman"/>
          <w:i/>
          <w:lang w:val="fr-CA"/>
        </w:rPr>
        <w:t>Fraser</w:t>
      </w:r>
      <w:r w:rsidRPr="00AF17C2">
        <w:rPr>
          <w:rFonts w:cs="Times New Roman"/>
          <w:lang w:val="fr-CA"/>
        </w:rPr>
        <w:t xml:space="preserve"> ont adopté le </w:t>
      </w:r>
      <w:r w:rsidRPr="00AF17C2">
        <w:rPr>
          <w:rFonts w:cs="Times New Roman"/>
          <w:i/>
          <w:lang w:val="fr-CA"/>
        </w:rPr>
        <w:t>test juridique</w:t>
      </w:r>
      <w:r w:rsidRPr="00AF17C2">
        <w:rPr>
          <w:rFonts w:cs="Times New Roman"/>
          <w:lang w:val="fr-CA"/>
        </w:rPr>
        <w:t xml:space="preserve"> de l</w:t>
      </w:r>
      <w:r>
        <w:rPr>
          <w:rFonts w:cs="Times New Roman"/>
          <w:lang w:val="fr-CA"/>
        </w:rPr>
        <w:t>’</w:t>
      </w:r>
      <w:r w:rsidRPr="00AF17C2">
        <w:rPr>
          <w:rFonts w:cs="Times New Roman"/>
          <w:lang w:val="fr-CA"/>
        </w:rPr>
        <w:t>entrave substantielle pour conclure à une atteinte au droit d</w:t>
      </w:r>
      <w:r>
        <w:rPr>
          <w:rFonts w:cs="Times New Roman"/>
          <w:lang w:val="fr-CA"/>
        </w:rPr>
        <w:t>’</w:t>
      </w:r>
      <w:r w:rsidRPr="00AF17C2">
        <w:rPr>
          <w:rFonts w:cs="Times New Roman"/>
          <w:lang w:val="fr-CA"/>
        </w:rPr>
        <w:t>association.</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En dissidence dans la présente affaire, le juge </w:t>
      </w:r>
      <w:proofErr w:type="spellStart"/>
      <w:r w:rsidRPr="00AF17C2">
        <w:rPr>
          <w:rFonts w:cs="Times New Roman"/>
          <w:lang w:val="fr-CA"/>
        </w:rPr>
        <w:t>Rothstein</w:t>
      </w:r>
      <w:proofErr w:type="spellEnd"/>
      <w:r w:rsidRPr="00AF17C2">
        <w:rPr>
          <w:rFonts w:cs="Times New Roman"/>
          <w:lang w:val="fr-CA"/>
        </w:rPr>
        <w:t xml:space="preserve"> souligne que les juges majoritaires dans </w:t>
      </w:r>
      <w:r w:rsidRPr="00AF17C2">
        <w:rPr>
          <w:rFonts w:cs="Times New Roman"/>
          <w:i/>
          <w:lang w:val="fr-CA"/>
        </w:rPr>
        <w:t>Fraser</w:t>
      </w:r>
      <w:r w:rsidRPr="00AF17C2">
        <w:rPr>
          <w:rFonts w:cs="Times New Roman"/>
          <w:lang w:val="fr-CA"/>
        </w:rPr>
        <w:t xml:space="preserve"> </w:t>
      </w:r>
      <w:r w:rsidR="00795B2B">
        <w:rPr>
          <w:rFonts w:cs="Times New Roman"/>
          <w:lang w:val="fr-CA"/>
        </w:rPr>
        <w:t>« </w:t>
      </w:r>
      <w:r w:rsidRPr="00AF17C2">
        <w:rPr>
          <w:rFonts w:cs="Times New Roman"/>
          <w:lang w:val="fr-CA"/>
        </w:rPr>
        <w:t>mentionnent le critère de l</w:t>
      </w:r>
      <w:r>
        <w:rPr>
          <w:rFonts w:cs="Times New Roman"/>
          <w:lang w:val="fr-CA"/>
        </w:rPr>
        <w:t>’</w:t>
      </w:r>
      <w:r w:rsidRPr="00AF17C2">
        <w:rPr>
          <w:rFonts w:cs="Times New Roman"/>
          <w:lang w:val="fr-CA"/>
        </w:rPr>
        <w:t xml:space="preserve">impossibilité — </w:t>
      </w:r>
      <w:r>
        <w:rPr>
          <w:rFonts w:cs="Times New Roman"/>
          <w:lang w:val="fr-CA"/>
        </w:rPr>
        <w:t xml:space="preserve">substantielle </w:t>
      </w:r>
      <w:r w:rsidRPr="00AF17C2">
        <w:rPr>
          <w:rFonts w:cs="Times New Roman"/>
          <w:lang w:val="fr-CA"/>
        </w:rPr>
        <w:t xml:space="preserve">ou effective — </w:t>
      </w:r>
      <w:r w:rsidRPr="00AF17C2">
        <w:rPr>
          <w:rFonts w:cs="Times New Roman"/>
          <w:i/>
          <w:lang w:val="fr-CA"/>
        </w:rPr>
        <w:t>à pas moins de douze reprises</w:t>
      </w:r>
      <w:r w:rsidRPr="00AF17C2">
        <w:rPr>
          <w:rFonts w:cs="Times New Roman"/>
          <w:lang w:val="fr-CA"/>
        </w:rPr>
        <w:t xml:space="preserve">, en en retraçant les origines aux arrêts </w:t>
      </w:r>
      <w:proofErr w:type="spellStart"/>
      <w:r w:rsidRPr="00AF17C2">
        <w:rPr>
          <w:rFonts w:cs="Times New Roman"/>
          <w:i/>
          <w:lang w:val="fr-CA"/>
        </w:rPr>
        <w:t>Dunmore</w:t>
      </w:r>
      <w:proofErr w:type="spellEnd"/>
      <w:r w:rsidRPr="00AF17C2">
        <w:rPr>
          <w:rFonts w:cs="Times New Roman"/>
          <w:lang w:val="fr-CA"/>
        </w:rPr>
        <w:t xml:space="preserve"> et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w:t>
      </w:r>
      <w:r w:rsidR="00795B2B">
        <w:rPr>
          <w:rFonts w:cs="Times New Roman"/>
          <w:lang w:val="fr-CA"/>
        </w:rPr>
        <w:t>. . .</w:t>
      </w:r>
      <w:r w:rsidRPr="00AF17C2">
        <w:rPr>
          <w:rFonts w:cs="Times New Roman"/>
          <w:lang w:val="fr-CA"/>
        </w:rPr>
        <w:t>] (</w:t>
      </w:r>
      <w:r>
        <w:rPr>
          <w:rFonts w:cs="Times New Roman"/>
          <w:lang w:val="fr-CA"/>
        </w:rPr>
        <w:t xml:space="preserve">voir </w:t>
      </w:r>
      <w:r w:rsidRPr="00AF17C2">
        <w:rPr>
          <w:rFonts w:cs="Times New Roman"/>
          <w:i/>
          <w:lang w:val="fr-CA"/>
        </w:rPr>
        <w:t>Fraser</w:t>
      </w:r>
      <w:r w:rsidRPr="00AF17C2">
        <w:rPr>
          <w:rFonts w:cs="Times New Roman"/>
          <w:lang w:val="fr-CA"/>
        </w:rPr>
        <w:t>, par.</w:t>
      </w:r>
      <w:r w:rsidR="00795B2B">
        <w:rPr>
          <w:rFonts w:cs="Times New Roman"/>
          <w:lang w:val="fr-CA"/>
        </w:rPr>
        <w:t xml:space="preserve"> </w:t>
      </w:r>
      <w:r w:rsidRPr="00AF17C2">
        <w:rPr>
          <w:rFonts w:cs="Times New Roman"/>
          <w:lang w:val="fr-CA"/>
        </w:rPr>
        <w:t>31-34, 38, 42, 46-48, 62 et 98)</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213 (</w:t>
      </w:r>
      <w:r w:rsidR="00087DD5">
        <w:rPr>
          <w:rFonts w:cs="Times New Roman"/>
          <w:lang w:val="fr-CA"/>
        </w:rPr>
        <w:t xml:space="preserve">en </w:t>
      </w:r>
      <w:r w:rsidRPr="00AF17C2">
        <w:rPr>
          <w:rFonts w:cs="Times New Roman"/>
          <w:lang w:val="fr-CA"/>
        </w:rPr>
        <w:t>italique dans l</w:t>
      </w:r>
      <w:r>
        <w:rPr>
          <w:rFonts w:cs="Times New Roman"/>
          <w:lang w:val="fr-CA"/>
        </w:rPr>
        <w:t>’</w:t>
      </w:r>
      <w:r w:rsidRPr="00AF17C2">
        <w:rPr>
          <w:rFonts w:cs="Times New Roman"/>
          <w:lang w:val="fr-CA"/>
        </w:rPr>
        <w:t>original</w:t>
      </w:r>
      <w:r w:rsidR="00087DD5">
        <w:rPr>
          <w:rFonts w:cs="Times New Roman"/>
          <w:lang w:val="fr-CA"/>
        </w:rPr>
        <w:t>)</w:t>
      </w:r>
      <w:r w:rsidRPr="00AF17C2">
        <w:rPr>
          <w:rFonts w:cs="Times New Roman"/>
          <w:lang w:val="fr-CA"/>
        </w:rPr>
        <w:t>). Dans presque tous les cas (voir les par.</w:t>
      </w:r>
      <w:r w:rsidR="00795B2B">
        <w:rPr>
          <w:rFonts w:cs="Times New Roman"/>
          <w:lang w:val="fr-CA"/>
        </w:rPr>
        <w:t xml:space="preserve"> </w:t>
      </w:r>
      <w:r w:rsidRPr="00AF17C2">
        <w:rPr>
          <w:rFonts w:cs="Times New Roman"/>
          <w:lang w:val="fr-CA"/>
        </w:rPr>
        <w:t>31</w:t>
      </w:r>
      <w:r w:rsidR="00795B2B">
        <w:rPr>
          <w:rFonts w:cs="Times New Roman"/>
          <w:lang w:val="fr-CA"/>
        </w:rPr>
        <w:t>-</w:t>
      </w:r>
      <w:r w:rsidRPr="00AF17C2">
        <w:rPr>
          <w:rFonts w:cs="Times New Roman"/>
          <w:lang w:val="fr-CA"/>
        </w:rPr>
        <w:t>33, 38, 42, 46</w:t>
      </w:r>
      <w:r w:rsidR="00795B2B">
        <w:rPr>
          <w:rFonts w:cs="Times New Roman"/>
          <w:lang w:val="fr-CA"/>
        </w:rPr>
        <w:t>-</w:t>
      </w:r>
      <w:r w:rsidRPr="00AF17C2">
        <w:rPr>
          <w:rFonts w:cs="Times New Roman"/>
          <w:lang w:val="fr-CA"/>
        </w:rPr>
        <w:t>48, 62 et 98), l</w:t>
      </w:r>
      <w:r>
        <w:rPr>
          <w:rFonts w:cs="Times New Roman"/>
          <w:lang w:val="fr-CA"/>
        </w:rPr>
        <w:t>’</w:t>
      </w:r>
      <w:r w:rsidR="00795B2B">
        <w:rPr>
          <w:rFonts w:cs="Times New Roman"/>
          <w:lang w:val="fr-CA"/>
        </w:rPr>
        <w:t>« </w:t>
      </w:r>
      <w:r w:rsidRPr="00AF17C2">
        <w:rPr>
          <w:rFonts w:cs="Times New Roman"/>
          <w:lang w:val="fr-CA"/>
        </w:rPr>
        <w:t>impossibilité</w:t>
      </w:r>
      <w:r w:rsidR="00795B2B">
        <w:rPr>
          <w:rFonts w:cs="Times New Roman"/>
          <w:lang w:val="fr-CA"/>
        </w:rPr>
        <w:t> »</w:t>
      </w:r>
      <w:r w:rsidRPr="00AF17C2">
        <w:rPr>
          <w:rFonts w:cs="Times New Roman"/>
          <w:lang w:val="fr-CA"/>
        </w:rPr>
        <w:t xml:space="preserve"> renvoie expressément à l</w:t>
      </w:r>
      <w:r>
        <w:rPr>
          <w:rFonts w:cs="Times New Roman"/>
          <w:lang w:val="fr-CA"/>
        </w:rPr>
        <w:t>’</w:t>
      </w:r>
      <w:r w:rsidRPr="00AF17C2">
        <w:rPr>
          <w:rFonts w:cs="Times New Roman"/>
          <w:i/>
          <w:lang w:val="fr-CA"/>
        </w:rPr>
        <w:t>effet</w:t>
      </w:r>
      <w:r w:rsidRPr="00AF17C2">
        <w:rPr>
          <w:rFonts w:cs="Times New Roman"/>
          <w:lang w:val="fr-CA"/>
        </w:rPr>
        <w:t xml:space="preserve"> de la loi ou à l</w:t>
      </w:r>
      <w:r>
        <w:rPr>
          <w:rFonts w:cs="Times New Roman"/>
          <w:lang w:val="fr-CA"/>
        </w:rPr>
        <w:t>’</w:t>
      </w:r>
      <w:r w:rsidRPr="00AF17C2">
        <w:rPr>
          <w:rFonts w:cs="Times New Roman"/>
          <w:lang w:val="fr-CA"/>
        </w:rPr>
        <w:t>absence d</w:t>
      </w:r>
      <w:r>
        <w:rPr>
          <w:rFonts w:cs="Times New Roman"/>
          <w:lang w:val="fr-CA"/>
        </w:rPr>
        <w:t>’</w:t>
      </w:r>
      <w:r w:rsidRPr="00AF17C2">
        <w:rPr>
          <w:rFonts w:cs="Times New Roman"/>
          <w:lang w:val="fr-CA"/>
        </w:rPr>
        <w:t>un cadre législatif. Aux paragraphes</w:t>
      </w:r>
      <w:r w:rsidR="00795B2B">
        <w:rPr>
          <w:rFonts w:cs="Times New Roman"/>
          <w:lang w:val="fr-CA"/>
        </w:rPr>
        <w:t xml:space="preserve"> </w:t>
      </w:r>
      <w:r w:rsidRPr="00AF17C2">
        <w:rPr>
          <w:rFonts w:cs="Times New Roman"/>
          <w:lang w:val="fr-CA"/>
        </w:rPr>
        <w:t>31, 33, 47</w:t>
      </w:r>
      <w:r w:rsidR="00795B2B">
        <w:rPr>
          <w:rFonts w:cs="Times New Roman"/>
          <w:lang w:val="fr-CA"/>
        </w:rPr>
        <w:t>-</w:t>
      </w:r>
      <w:r w:rsidRPr="00AF17C2">
        <w:rPr>
          <w:rFonts w:cs="Times New Roman"/>
          <w:lang w:val="fr-CA"/>
        </w:rPr>
        <w:t xml:space="preserve">48 et 62, </w:t>
      </w:r>
      <w:r>
        <w:rPr>
          <w:rFonts w:cs="Times New Roman"/>
          <w:lang w:val="fr-CA"/>
        </w:rPr>
        <w:t xml:space="preserve">les juges majoritaires affirment </w:t>
      </w:r>
      <w:r w:rsidRPr="00AF17C2">
        <w:rPr>
          <w:rFonts w:cs="Times New Roman"/>
          <w:lang w:val="fr-CA"/>
        </w:rPr>
        <w:t>expressément que le critère d</w:t>
      </w:r>
      <w:r>
        <w:rPr>
          <w:rFonts w:cs="Times New Roman"/>
          <w:lang w:val="fr-CA"/>
        </w:rPr>
        <w:t>’</w:t>
      </w:r>
      <w:r w:rsidRPr="00AF17C2">
        <w:rPr>
          <w:rFonts w:cs="Times New Roman"/>
          <w:lang w:val="fr-CA"/>
        </w:rPr>
        <w:t xml:space="preserve">entrave ou </w:t>
      </w:r>
      <w:r w:rsidRPr="00AF17C2">
        <w:rPr>
          <w:rFonts w:cs="Times New Roman"/>
          <w:lang w:val="fr-CA"/>
        </w:rPr>
        <w:lastRenderedPageBreak/>
        <w:t>d</w:t>
      </w:r>
      <w:r>
        <w:rPr>
          <w:rFonts w:cs="Times New Roman"/>
          <w:lang w:val="fr-CA"/>
        </w:rPr>
        <w:t>’</w:t>
      </w:r>
      <w:r w:rsidRPr="00AF17C2">
        <w:rPr>
          <w:rFonts w:cs="Times New Roman"/>
          <w:lang w:val="fr-CA"/>
        </w:rPr>
        <w:t>atteinte substantielle constitue la norme applicable pour conclure à une violation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Enfin, les juges majoritaires dans </w:t>
      </w:r>
      <w:r w:rsidRPr="00AF17C2">
        <w:rPr>
          <w:rFonts w:cs="Times New Roman"/>
          <w:i/>
          <w:lang w:val="fr-CA"/>
        </w:rPr>
        <w:t>Fraser</w:t>
      </w:r>
      <w:r w:rsidRPr="00AF17C2">
        <w:rPr>
          <w:rFonts w:cs="Times New Roman"/>
          <w:lang w:val="fr-CA"/>
        </w:rPr>
        <w:t xml:space="preserve"> ont confirmé la conclusion de </w:t>
      </w:r>
      <w:proofErr w:type="spellStart"/>
      <w:r w:rsidRPr="00AF17C2">
        <w:rPr>
          <w:rFonts w:cs="Times New Roman"/>
          <w:i/>
          <w:lang w:val="fr-CA"/>
        </w:rPr>
        <w:t>Health</w:t>
      </w:r>
      <w:proofErr w:type="spellEnd"/>
      <w:r w:rsidRPr="00AF17C2">
        <w:rPr>
          <w:rFonts w:cs="Times New Roman"/>
          <w:i/>
          <w:lang w:val="fr-CA"/>
        </w:rPr>
        <w:t xml:space="preserve"> Services </w:t>
      </w:r>
      <w:r w:rsidRPr="00AF17C2">
        <w:rPr>
          <w:rFonts w:cs="Times New Roman"/>
          <w:lang w:val="fr-CA"/>
        </w:rPr>
        <w:t xml:space="preserve">selon laquelle </w:t>
      </w:r>
      <w:r w:rsidR="00795B2B">
        <w:rPr>
          <w:rFonts w:cs="Times New Roman"/>
          <w:lang w:val="fr-CA"/>
        </w:rPr>
        <w:t>« </w:t>
      </w:r>
      <w:r w:rsidRPr="00AF17C2">
        <w:rPr>
          <w:rFonts w:cs="Times New Roman"/>
          <w:lang w:val="fr-CA"/>
        </w:rPr>
        <w:t>[l]a question fondamentale en jeu demeure celle de déterminer si l</w:t>
      </w:r>
      <w:r>
        <w:rPr>
          <w:rFonts w:cs="Times New Roman"/>
          <w:lang w:val="fr-CA"/>
        </w:rPr>
        <w:t>’</w:t>
      </w:r>
      <w:r w:rsidRPr="00AF17C2">
        <w:rPr>
          <w:rFonts w:cs="Times New Roman"/>
          <w:lang w:val="fr-CA"/>
        </w:rPr>
        <w:t>acte de l</w:t>
      </w:r>
      <w:r>
        <w:rPr>
          <w:rFonts w:cs="Times New Roman"/>
          <w:lang w:val="fr-CA"/>
        </w:rPr>
        <w:t>’</w:t>
      </w:r>
      <w:r w:rsidRPr="00AF17C2">
        <w:rPr>
          <w:rFonts w:cs="Times New Roman"/>
          <w:lang w:val="fr-CA"/>
        </w:rPr>
        <w:t xml:space="preserve">État </w:t>
      </w:r>
      <w:r w:rsidRPr="00AF17C2">
        <w:rPr>
          <w:rFonts w:cs="Times New Roman"/>
          <w:i/>
          <w:lang w:val="fr-CA"/>
        </w:rPr>
        <w:t>entraverait substantiellement</w:t>
      </w:r>
      <w:r w:rsidRPr="00AF17C2">
        <w:rPr>
          <w:rFonts w:cs="Times New Roman"/>
          <w:lang w:val="fr-CA"/>
        </w:rPr>
        <w:t xml:space="preserve"> la capacité des “</w:t>
      </w:r>
      <w:r w:rsidRPr="00232B9F">
        <w:rPr>
          <w:rFonts w:cs="Times New Roman"/>
          <w:u w:val="single"/>
          <w:lang w:val="fr-CA"/>
        </w:rPr>
        <w:t>s</w:t>
      </w:r>
      <w:r w:rsidRPr="00AF17C2">
        <w:rPr>
          <w:rFonts w:cs="Times New Roman"/>
          <w:u w:val="single"/>
          <w:lang w:val="fr-CA"/>
        </w:rPr>
        <w:t>yndiqués</w:t>
      </w:r>
      <w:r w:rsidRPr="00AF17C2">
        <w:rPr>
          <w:rFonts w:cs="Times New Roman"/>
          <w:lang w:val="fr-CA"/>
        </w:rPr>
        <w:t xml:space="preserve"> de poursuivre collectivement des objectifs communs” (par.</w:t>
      </w:r>
      <w:r w:rsidR="00795B2B">
        <w:rPr>
          <w:rFonts w:cs="Times New Roman"/>
          <w:lang w:val="fr-CA"/>
        </w:rPr>
        <w:t xml:space="preserve"> </w:t>
      </w:r>
      <w:r w:rsidRPr="00AF17C2">
        <w:rPr>
          <w:rFonts w:cs="Times New Roman"/>
          <w:lang w:val="fr-CA"/>
        </w:rPr>
        <w:t>96 (nous soulignons))</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64 (souligné dans l</w:t>
      </w:r>
      <w:r>
        <w:rPr>
          <w:rFonts w:cs="Times New Roman"/>
          <w:lang w:val="fr-CA"/>
        </w:rPr>
        <w:t>’</w:t>
      </w:r>
      <w:r w:rsidRPr="00AF17C2">
        <w:rPr>
          <w:rFonts w:cs="Times New Roman"/>
          <w:lang w:val="fr-CA"/>
        </w:rPr>
        <w:t>original</w:t>
      </w:r>
      <w:r>
        <w:rPr>
          <w:rFonts w:cs="Times New Roman"/>
          <w:lang w:val="fr-CA"/>
        </w:rPr>
        <w:t>)</w:t>
      </w:r>
      <w:r w:rsidRPr="00AF17C2">
        <w:rPr>
          <w:rFonts w:cs="Times New Roman"/>
          <w:lang w:val="fr-CA"/>
        </w:rPr>
        <w:t xml:space="preserve">; voir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92 et 96).</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Cela dit, nous convenons que certains passages de </w:t>
      </w:r>
      <w:r w:rsidRPr="00AF17C2">
        <w:rPr>
          <w:rFonts w:cs="Times New Roman"/>
          <w:i/>
          <w:lang w:val="fr-CA"/>
        </w:rPr>
        <w:t>Fraser</w:t>
      </w:r>
      <w:r w:rsidRPr="00AF17C2">
        <w:rPr>
          <w:rFonts w:cs="Times New Roman"/>
          <w:lang w:val="fr-CA"/>
        </w:rPr>
        <w:t xml:space="preserve"> semblent compliquer inutilement l</w:t>
      </w:r>
      <w:r>
        <w:rPr>
          <w:rFonts w:cs="Times New Roman"/>
          <w:lang w:val="fr-CA"/>
        </w:rPr>
        <w:t>’</w:t>
      </w:r>
      <w:r w:rsidRPr="00AF17C2">
        <w:rPr>
          <w:rFonts w:cs="Times New Roman"/>
          <w:lang w:val="fr-CA"/>
        </w:rPr>
        <w:t>analyse en renvoyant à la fois à l</w:t>
      </w:r>
      <w:r>
        <w:rPr>
          <w:rFonts w:cs="Times New Roman"/>
          <w:lang w:val="fr-CA"/>
        </w:rPr>
        <w:t>’</w:t>
      </w:r>
      <w:r w:rsidRPr="00AF17C2">
        <w:rPr>
          <w:rFonts w:cs="Times New Roman"/>
          <w:lang w:val="fr-CA"/>
        </w:rPr>
        <w:t>impossibilité effective (en tant qu</w:t>
      </w:r>
      <w:r>
        <w:rPr>
          <w:rFonts w:cs="Times New Roman"/>
          <w:lang w:val="fr-CA"/>
        </w:rPr>
        <w:t>’</w:t>
      </w:r>
      <w:r w:rsidRPr="00AF17C2">
        <w:rPr>
          <w:rFonts w:cs="Times New Roman"/>
          <w:lang w:val="fr-CA"/>
        </w:rPr>
        <w:t>effet de certaines mesures gouvernementales) et à l</w:t>
      </w:r>
      <w:r>
        <w:rPr>
          <w:rFonts w:cs="Times New Roman"/>
          <w:lang w:val="fr-CA"/>
        </w:rPr>
        <w:t>’</w:t>
      </w:r>
      <w:r w:rsidRPr="00AF17C2">
        <w:rPr>
          <w:rFonts w:cs="Times New Roman"/>
          <w:lang w:val="fr-CA"/>
        </w:rPr>
        <w:t>entrave ou atteinte substantielle (en tant que critère applicable pour conclure à une violation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Cependant, pour les motifs que nous venons d</w:t>
      </w:r>
      <w:r>
        <w:rPr>
          <w:rFonts w:cs="Times New Roman"/>
          <w:lang w:val="fr-CA"/>
        </w:rPr>
        <w:t>’</w:t>
      </w:r>
      <w:r w:rsidRPr="00AF17C2">
        <w:rPr>
          <w:rFonts w:cs="Times New Roman"/>
          <w:lang w:val="fr-CA"/>
        </w:rPr>
        <w:t xml:space="preserve">exposer, ces renvois devraient être interprétés conformément aux motifs des juges majoritaires dans </w:t>
      </w:r>
      <w:r w:rsidRPr="00AF17C2">
        <w:rPr>
          <w:rFonts w:cs="Times New Roman"/>
          <w:i/>
          <w:lang w:val="fr-CA"/>
        </w:rPr>
        <w:t>Fraser</w:t>
      </w:r>
      <w:r w:rsidRPr="00AF17C2">
        <w:rPr>
          <w:rFonts w:cs="Times New Roman"/>
          <w:lang w:val="fr-CA"/>
        </w:rPr>
        <w:t>, lus dans leur intégralité, ainsi qu</w:t>
      </w:r>
      <w:r>
        <w:rPr>
          <w:rFonts w:cs="Times New Roman"/>
          <w:lang w:val="fr-CA"/>
        </w:rPr>
        <w:t>’</w:t>
      </w:r>
      <w:r w:rsidRPr="00AF17C2">
        <w:rPr>
          <w:rFonts w:cs="Times New Roman"/>
          <w:lang w:val="fr-CA"/>
        </w:rPr>
        <w:t xml:space="preserve">aux précédents établis par la Cour dans </w:t>
      </w:r>
      <w:proofErr w:type="spellStart"/>
      <w:r w:rsidRPr="00AF17C2">
        <w:rPr>
          <w:rFonts w:cs="Times New Roman"/>
          <w:i/>
          <w:lang w:val="fr-CA"/>
        </w:rPr>
        <w:t>Dunmore</w:t>
      </w:r>
      <w:proofErr w:type="spellEnd"/>
      <w:r w:rsidRPr="00AF17C2">
        <w:rPr>
          <w:rFonts w:cs="Times New Roman"/>
          <w:lang w:val="fr-CA"/>
        </w:rPr>
        <w:t xml:space="preserve"> et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De façon plus générale, leur interprétation doit respecter l</w:t>
      </w:r>
      <w:r>
        <w:rPr>
          <w:rFonts w:cs="Times New Roman"/>
          <w:lang w:val="fr-CA"/>
        </w:rPr>
        <w:t>’</w:t>
      </w:r>
      <w:r w:rsidRPr="00AF17C2">
        <w:rPr>
          <w:rFonts w:cs="Times New Roman"/>
          <w:lang w:val="fr-CA"/>
        </w:rPr>
        <w:t>interprétation téléologique et généreuse donnée par la Cour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et qui a été expliquée précédemment.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Penchons</w:t>
      </w:r>
      <w:r w:rsidR="00795B2B">
        <w:rPr>
          <w:rFonts w:cs="Times New Roman"/>
          <w:lang w:val="fr-CA"/>
        </w:rPr>
        <w:t>-</w:t>
      </w:r>
      <w:r w:rsidRPr="00AF17C2">
        <w:rPr>
          <w:rFonts w:cs="Times New Roman"/>
          <w:lang w:val="fr-CA"/>
        </w:rPr>
        <w:t>nous maintenant sur l</w:t>
      </w:r>
      <w:r>
        <w:rPr>
          <w:rFonts w:cs="Times New Roman"/>
          <w:lang w:val="fr-CA"/>
        </w:rPr>
        <w:t>’</w:t>
      </w:r>
      <w:r w:rsidR="00A80955">
        <w:rPr>
          <w:rFonts w:cs="Times New Roman"/>
          <w:lang w:val="fr-CA"/>
        </w:rPr>
        <w:t>utilisation du terme</w:t>
      </w:r>
      <w:r w:rsidRPr="00AF17C2">
        <w:rPr>
          <w:rFonts w:cs="Times New Roman"/>
          <w:lang w:val="fr-CA"/>
        </w:rPr>
        <w:t xml:space="preserve"> </w:t>
      </w:r>
      <w:r w:rsidR="00795B2B">
        <w:rPr>
          <w:rFonts w:cs="Times New Roman"/>
          <w:lang w:val="fr-CA"/>
        </w:rPr>
        <w:t>« </w:t>
      </w:r>
      <w:r w:rsidRPr="00AF17C2">
        <w:rPr>
          <w:rFonts w:cs="Times New Roman"/>
          <w:lang w:val="fr-CA"/>
        </w:rPr>
        <w:t>droit dérivé</w:t>
      </w:r>
      <w:r w:rsidR="00795B2B">
        <w:rPr>
          <w:rFonts w:cs="Times New Roman"/>
          <w:lang w:val="fr-CA"/>
        </w:rPr>
        <w:t> »</w:t>
      </w:r>
      <w:r w:rsidRPr="00AF17C2">
        <w:rPr>
          <w:rFonts w:cs="Times New Roman"/>
          <w:lang w:val="fr-CA"/>
        </w:rPr>
        <w:t xml:space="preserve"> dans </w:t>
      </w:r>
      <w:r w:rsidRPr="00AF17C2">
        <w:rPr>
          <w:rFonts w:cs="Times New Roman"/>
          <w:i/>
          <w:lang w:val="fr-CA"/>
        </w:rPr>
        <w:t>Fraser</w:t>
      </w:r>
      <w:r w:rsidRPr="00AF17C2">
        <w:rPr>
          <w:rFonts w:cs="Times New Roman"/>
          <w:lang w:val="fr-CA"/>
        </w:rPr>
        <w:t>. Selon l</w:t>
      </w:r>
      <w:r>
        <w:rPr>
          <w:rFonts w:cs="Times New Roman"/>
          <w:lang w:val="fr-CA"/>
        </w:rPr>
        <w:t>’</w:t>
      </w:r>
      <w:r w:rsidRPr="00AF17C2">
        <w:rPr>
          <w:rFonts w:cs="Times New Roman"/>
          <w:lang w:val="fr-CA"/>
        </w:rPr>
        <w:t>interprétation que la Cour d</w:t>
      </w:r>
      <w:r>
        <w:rPr>
          <w:rFonts w:cs="Times New Roman"/>
          <w:lang w:val="fr-CA"/>
        </w:rPr>
        <w:t>’</w:t>
      </w:r>
      <w:r w:rsidRPr="00AF17C2">
        <w:rPr>
          <w:rFonts w:cs="Times New Roman"/>
          <w:lang w:val="fr-CA"/>
        </w:rPr>
        <w:t xml:space="preserve">appel a donnée à cet arrêt, le droit à un processus véritable de négociation collective est un droit </w:t>
      </w:r>
      <w:r w:rsidR="00795B2B">
        <w:rPr>
          <w:rFonts w:cs="Times New Roman"/>
          <w:lang w:val="fr-CA"/>
        </w:rPr>
        <w:t>« </w:t>
      </w:r>
      <w:r w:rsidRPr="00AF17C2">
        <w:rPr>
          <w:rFonts w:cs="Times New Roman"/>
          <w:lang w:val="fr-CA"/>
        </w:rPr>
        <w:t>dérivé</w:t>
      </w:r>
      <w:r w:rsidR="00795B2B">
        <w:rPr>
          <w:rFonts w:cs="Times New Roman"/>
          <w:lang w:val="fr-CA"/>
        </w:rPr>
        <w:t> »</w:t>
      </w:r>
      <w:r w:rsidRPr="00AF17C2">
        <w:rPr>
          <w:rFonts w:cs="Times New Roman"/>
          <w:lang w:val="fr-CA"/>
        </w:rPr>
        <w:t>, en ce sens qu</w:t>
      </w:r>
      <w:r>
        <w:rPr>
          <w:rFonts w:cs="Times New Roman"/>
          <w:lang w:val="fr-CA"/>
        </w:rPr>
        <w:t>’</w:t>
      </w:r>
      <w:r w:rsidRPr="00AF17C2">
        <w:rPr>
          <w:rFonts w:cs="Times New Roman"/>
          <w:lang w:val="fr-CA"/>
        </w:rPr>
        <w:t>il n</w:t>
      </w:r>
      <w:r>
        <w:rPr>
          <w:rFonts w:cs="Times New Roman"/>
          <w:lang w:val="fr-CA"/>
        </w:rPr>
        <w:t>’</w:t>
      </w:r>
      <w:r w:rsidRPr="00AF17C2">
        <w:rPr>
          <w:rFonts w:cs="Times New Roman"/>
          <w:lang w:val="fr-CA"/>
        </w:rPr>
        <w:t>existe que si les employés établissent qu</w:t>
      </w:r>
      <w:r>
        <w:rPr>
          <w:rFonts w:cs="Times New Roman"/>
          <w:lang w:val="fr-CA"/>
        </w:rPr>
        <w:t>’</w:t>
      </w:r>
      <w:r w:rsidRPr="00AF17C2">
        <w:rPr>
          <w:rFonts w:cs="Times New Roman"/>
          <w:lang w:val="fr-CA"/>
        </w:rPr>
        <w:t>il est effectivement impossible pour eux d</w:t>
      </w:r>
      <w:r>
        <w:rPr>
          <w:rFonts w:cs="Times New Roman"/>
          <w:lang w:val="fr-CA"/>
        </w:rPr>
        <w:t>’</w:t>
      </w:r>
      <w:r w:rsidRPr="00AF17C2">
        <w:rPr>
          <w:rFonts w:cs="Times New Roman"/>
          <w:lang w:val="fr-CA"/>
        </w:rPr>
        <w:t>agir collectivement en vue de réaliser des objectifs relatifs au travail (par.</w:t>
      </w:r>
      <w:r w:rsidR="00795B2B">
        <w:rPr>
          <w:rFonts w:cs="Times New Roman"/>
          <w:lang w:val="fr-CA"/>
        </w:rPr>
        <w:t xml:space="preserve"> </w:t>
      </w:r>
      <w:r w:rsidRPr="00AF17C2">
        <w:rPr>
          <w:rFonts w:cs="Times New Roman"/>
          <w:lang w:val="fr-CA"/>
        </w:rPr>
        <w:t>110</w:t>
      </w:r>
      <w:r w:rsidR="00795B2B">
        <w:rPr>
          <w:rFonts w:cs="Times New Roman"/>
          <w:lang w:val="fr-CA"/>
        </w:rPr>
        <w:t>-</w:t>
      </w:r>
      <w:r w:rsidRPr="00AF17C2">
        <w:rPr>
          <w:rFonts w:cs="Times New Roman"/>
          <w:lang w:val="fr-CA"/>
        </w:rPr>
        <w:t xml:space="preserve">111 et 135). </w:t>
      </w:r>
      <w:r w:rsidR="00A80955">
        <w:rPr>
          <w:rFonts w:cs="Times New Roman"/>
          <w:lang w:val="fr-CA"/>
        </w:rPr>
        <w:t>Or</w:t>
      </w:r>
      <w:r w:rsidRPr="00AF17C2">
        <w:rPr>
          <w:rFonts w:cs="Times New Roman"/>
          <w:lang w:val="fr-CA"/>
        </w:rPr>
        <w:t xml:space="preserve">, les juges majoritaires dans </w:t>
      </w:r>
      <w:r w:rsidRPr="00AF17C2">
        <w:rPr>
          <w:rFonts w:cs="Times New Roman"/>
          <w:i/>
          <w:lang w:val="fr-CA"/>
        </w:rPr>
        <w:t>Fraser</w:t>
      </w:r>
      <w:r w:rsidRPr="00AF17C2">
        <w:rPr>
          <w:rFonts w:cs="Times New Roman"/>
          <w:lang w:val="fr-CA"/>
        </w:rPr>
        <w:t xml:space="preserve"> ont expliqué que </w:t>
      </w:r>
      <w:r w:rsidR="00795B2B">
        <w:rPr>
          <w:rFonts w:cs="Times New Roman"/>
          <w:lang w:val="fr-CA"/>
        </w:rPr>
        <w:t>« </w:t>
      </w:r>
      <w:r w:rsidRPr="00AF17C2">
        <w:rPr>
          <w:rFonts w:cs="Times New Roman"/>
          <w:lang w:val="fr-CA"/>
        </w:rPr>
        <w:t>la négociation collective est un droit dérivé</w:t>
      </w:r>
      <w:r w:rsidR="00795B2B">
        <w:rPr>
          <w:rFonts w:cs="Times New Roman"/>
          <w:lang w:val="fr-CA"/>
        </w:rPr>
        <w:t> »</w:t>
      </w:r>
      <w:r w:rsidRPr="00AF17C2">
        <w:rPr>
          <w:rFonts w:cs="Times New Roman"/>
          <w:lang w:val="fr-CA"/>
        </w:rPr>
        <w:t>, défini</w:t>
      </w:r>
      <w:r w:rsidR="00A80955">
        <w:rPr>
          <w:rFonts w:cs="Times New Roman"/>
          <w:lang w:val="fr-CA"/>
        </w:rPr>
        <w:t>e</w:t>
      </w:r>
      <w:r w:rsidRPr="00AF17C2">
        <w:rPr>
          <w:rFonts w:cs="Times New Roman"/>
          <w:lang w:val="fr-CA"/>
        </w:rPr>
        <w:t xml:space="preserve"> comme </w:t>
      </w:r>
      <w:r w:rsidR="00795B2B">
        <w:rPr>
          <w:rFonts w:cs="Times New Roman"/>
          <w:lang w:val="fr-CA"/>
        </w:rPr>
        <w:t>« </w:t>
      </w:r>
      <w:r w:rsidRPr="00AF17C2">
        <w:rPr>
          <w:rFonts w:cs="Times New Roman"/>
          <w:lang w:val="fr-CA"/>
        </w:rPr>
        <w:t xml:space="preserve">une “condition qui doit </w:t>
      </w:r>
      <w:r w:rsidRPr="00AF17C2">
        <w:rPr>
          <w:rFonts w:cs="Times New Roman"/>
          <w:lang w:val="fr-CA"/>
        </w:rPr>
        <w:lastRenderedPageBreak/>
        <w:t>nécessairement être réalisée” pour permettre l</w:t>
      </w:r>
      <w:r>
        <w:rPr>
          <w:rFonts w:cs="Times New Roman"/>
          <w:lang w:val="fr-CA"/>
        </w:rPr>
        <w:t>’</w:t>
      </w:r>
      <w:r w:rsidRPr="00AF17C2">
        <w:rPr>
          <w:rFonts w:cs="Times New Roman"/>
          <w:lang w:val="fr-CA"/>
        </w:rPr>
        <w:t>exercice véritable de la liberté d</w:t>
      </w:r>
      <w:r>
        <w:rPr>
          <w:rFonts w:cs="Times New Roman"/>
          <w:lang w:val="fr-CA"/>
        </w:rPr>
        <w:t>’</w:t>
      </w:r>
      <w:r w:rsidRPr="00AF17C2">
        <w:rPr>
          <w:rFonts w:cs="Times New Roman"/>
          <w:lang w:val="fr-CA"/>
        </w:rPr>
        <w:t>association garantie par la Constitution</w:t>
      </w:r>
      <w:r w:rsidR="00795B2B">
        <w:rPr>
          <w:rFonts w:cs="Times New Roman"/>
          <w:lang w:val="fr-CA"/>
        </w:rPr>
        <w:t> » :</w:t>
      </w:r>
      <w:r w:rsidRPr="00AF17C2">
        <w:rPr>
          <w:rFonts w:cs="Times New Roman"/>
          <w:lang w:val="fr-CA"/>
        </w:rPr>
        <w:t xml:space="preserve"> par.</w:t>
      </w:r>
      <w:r w:rsidR="00795B2B">
        <w:rPr>
          <w:rFonts w:cs="Times New Roman"/>
          <w:lang w:val="fr-CA"/>
        </w:rPr>
        <w:t xml:space="preserve"> </w:t>
      </w:r>
      <w:r w:rsidRPr="00AF17C2">
        <w:rPr>
          <w:rFonts w:cs="Times New Roman"/>
          <w:lang w:val="fr-CA"/>
        </w:rPr>
        <w:t>66. À ce propos, ils ont cité l</w:t>
      </w:r>
      <w:r>
        <w:rPr>
          <w:rFonts w:cs="Times New Roman"/>
          <w:lang w:val="fr-CA"/>
        </w:rPr>
        <w:t>’</w:t>
      </w:r>
      <w:r w:rsidRPr="00AF17C2">
        <w:rPr>
          <w:rFonts w:cs="Times New Roman"/>
          <w:lang w:val="fr-CA"/>
        </w:rPr>
        <w:t xml:space="preserve">arrêt </w:t>
      </w:r>
      <w:proofErr w:type="spellStart"/>
      <w:r w:rsidRPr="00AF17C2">
        <w:rPr>
          <w:rFonts w:cs="Times New Roman"/>
          <w:i/>
          <w:lang w:val="fr-CA"/>
        </w:rPr>
        <w:t>Criminal</w:t>
      </w:r>
      <w:proofErr w:type="spellEnd"/>
      <w:r w:rsidRPr="00AF17C2">
        <w:rPr>
          <w:rFonts w:cs="Times New Roman"/>
          <w:i/>
          <w:lang w:val="fr-CA"/>
        </w:rPr>
        <w:t xml:space="preserve"> </w:t>
      </w:r>
      <w:proofErr w:type="spellStart"/>
      <w:r w:rsidRPr="00AF17C2">
        <w:rPr>
          <w:rFonts w:cs="Times New Roman"/>
          <w:i/>
          <w:lang w:val="fr-CA"/>
        </w:rPr>
        <w:t>Lawyers</w:t>
      </w:r>
      <w:proofErr w:type="spellEnd"/>
      <w:r>
        <w:rPr>
          <w:rFonts w:cs="Times New Roman"/>
          <w:i/>
          <w:lang w:val="fr-CA"/>
        </w:rPr>
        <w:t>’</w:t>
      </w:r>
      <w:r w:rsidRPr="00AF17C2">
        <w:rPr>
          <w:rFonts w:cs="Times New Roman"/>
          <w:i/>
          <w:lang w:val="fr-CA"/>
        </w:rPr>
        <w:t xml:space="preserve"> Association</w:t>
      </w:r>
      <w:r w:rsidRPr="00AF17C2">
        <w:rPr>
          <w:rFonts w:cs="Times New Roman"/>
          <w:lang w:val="fr-CA"/>
        </w:rPr>
        <w:t xml:space="preserve"> où la Cour affirme au par.</w:t>
      </w:r>
      <w:r w:rsidR="00795B2B">
        <w:rPr>
          <w:rFonts w:cs="Times New Roman"/>
          <w:lang w:val="fr-CA"/>
        </w:rPr>
        <w:t xml:space="preserve"> </w:t>
      </w:r>
      <w:r w:rsidRPr="00AF17C2">
        <w:rPr>
          <w:rFonts w:cs="Times New Roman"/>
          <w:lang w:val="fr-CA"/>
        </w:rPr>
        <w:t>30 que</w:t>
      </w:r>
      <w:r w:rsidR="00795B2B">
        <w:rPr>
          <w:rFonts w:cs="Times New Roman"/>
          <w:lang w:val="fr-CA"/>
        </w:rPr>
        <w:t> :</w:t>
      </w:r>
      <w:r w:rsidRPr="00AF17C2">
        <w:rPr>
          <w:rFonts w:cs="Times New Roman"/>
          <w:lang w:val="fr-CA"/>
        </w:rPr>
        <w:t xml:space="preserve"> </w:t>
      </w:r>
      <w:r w:rsidR="00795B2B">
        <w:rPr>
          <w:rFonts w:cs="Times New Roman"/>
          <w:lang w:val="fr-CA"/>
        </w:rPr>
        <w:t>« </w:t>
      </w:r>
      <w:r w:rsidRPr="00AF17C2">
        <w:rPr>
          <w:rFonts w:cs="Times New Roman"/>
          <w:lang w:val="fr-CA"/>
        </w:rPr>
        <w:t>L</w:t>
      </w:r>
      <w:r>
        <w:rPr>
          <w:rFonts w:cs="Times New Roman"/>
          <w:lang w:val="fr-CA"/>
        </w:rPr>
        <w:t>’</w:t>
      </w:r>
      <w:r w:rsidRPr="00AF17C2">
        <w:rPr>
          <w:rFonts w:cs="Times New Roman"/>
          <w:lang w:val="fr-CA"/>
        </w:rPr>
        <w:t xml:space="preserve">accès [à des renseignements détenus par le gouvernement] est un droit dérivé </w:t>
      </w:r>
      <w:r w:rsidRPr="00AF17C2">
        <w:rPr>
          <w:rFonts w:cs="Times New Roman"/>
          <w:u w:val="single"/>
          <w:lang w:val="fr-CA"/>
        </w:rPr>
        <w:t>qui peut intervenir lorsqu</w:t>
      </w:r>
      <w:r>
        <w:rPr>
          <w:rFonts w:cs="Times New Roman"/>
          <w:lang w:val="fr-CA"/>
        </w:rPr>
        <w:t>’</w:t>
      </w:r>
      <w:r w:rsidRPr="00AF17C2">
        <w:rPr>
          <w:rFonts w:cs="Times New Roman"/>
          <w:lang w:val="fr-CA"/>
        </w:rPr>
        <w:t>il constitue une condition qui doit nécessairement être réalisée pour qu</w:t>
      </w:r>
      <w:r>
        <w:rPr>
          <w:rFonts w:cs="Times New Roman"/>
          <w:lang w:val="fr-CA"/>
        </w:rPr>
        <w:t>’</w:t>
      </w:r>
      <w:r w:rsidRPr="00AF17C2">
        <w:rPr>
          <w:rFonts w:cs="Times New Roman"/>
          <w:lang w:val="fr-CA"/>
        </w:rPr>
        <w:t>il soit possible de s</w:t>
      </w:r>
      <w:r>
        <w:rPr>
          <w:rFonts w:cs="Times New Roman"/>
          <w:lang w:val="fr-CA"/>
        </w:rPr>
        <w:t>’</w:t>
      </w:r>
      <w:r w:rsidRPr="00AF17C2">
        <w:rPr>
          <w:rFonts w:cs="Times New Roman"/>
          <w:lang w:val="fr-CA"/>
        </w:rPr>
        <w:t>exprimer de manière significative sur le fonctionnement du gouvernement</w:t>
      </w:r>
      <w:r w:rsidR="00795B2B">
        <w:rPr>
          <w:rFonts w:cs="Times New Roman"/>
          <w:lang w:val="fr-CA"/>
        </w:rPr>
        <w:t> »</w:t>
      </w:r>
      <w:r w:rsidRPr="00AF17C2">
        <w:rPr>
          <w:rFonts w:cs="Times New Roman"/>
          <w:lang w:val="fr-CA"/>
        </w:rPr>
        <w:t xml:space="preserve"> (nous soulignons). Pour la Cour d</w:t>
      </w:r>
      <w:r>
        <w:rPr>
          <w:rFonts w:cs="Times New Roman"/>
          <w:lang w:val="fr-CA"/>
        </w:rPr>
        <w:t>’</w:t>
      </w:r>
      <w:r w:rsidRPr="00AF17C2">
        <w:rPr>
          <w:rFonts w:cs="Times New Roman"/>
          <w:lang w:val="fr-CA"/>
        </w:rPr>
        <w:t>appel, cela signifie que le droit de négocier collectivement</w:t>
      </w:r>
      <w:r w:rsidRPr="00AF17C2">
        <w:rPr>
          <w:rFonts w:cs="Times New Roman"/>
          <w:i/>
          <w:lang w:val="fr-CA"/>
        </w:rPr>
        <w:t xml:space="preserve"> peut</w:t>
      </w:r>
      <w:r w:rsidRPr="00AF17C2">
        <w:rPr>
          <w:rFonts w:cs="Times New Roman"/>
          <w:lang w:val="fr-CA"/>
        </w:rPr>
        <w:t xml:space="preserve"> de façon similaire </w:t>
      </w:r>
      <w:r w:rsidRPr="00AF17C2">
        <w:rPr>
          <w:rFonts w:cs="Times New Roman"/>
          <w:i/>
          <w:lang w:val="fr-CA"/>
        </w:rPr>
        <w:t>intervenir</w:t>
      </w:r>
      <w:r w:rsidRPr="00AF17C2">
        <w:rPr>
          <w:rFonts w:cs="Times New Roman"/>
          <w:lang w:val="fr-CA"/>
        </w:rPr>
        <w:t xml:space="preserve"> comme une condition nécessaire à l</w:t>
      </w:r>
      <w:r>
        <w:rPr>
          <w:rFonts w:cs="Times New Roman"/>
          <w:lang w:val="fr-CA"/>
        </w:rPr>
        <w:t>’</w:t>
      </w:r>
      <w:r w:rsidRPr="00AF17C2">
        <w:rPr>
          <w:rFonts w:cs="Times New Roman"/>
          <w:lang w:val="fr-CA"/>
        </w:rPr>
        <w:t>exercice véritable de la liberté d</w:t>
      </w:r>
      <w:r>
        <w:rPr>
          <w:rFonts w:cs="Times New Roman"/>
          <w:lang w:val="fr-CA"/>
        </w:rPr>
        <w:t>’</w:t>
      </w:r>
      <w:r w:rsidRPr="00AF17C2">
        <w:rPr>
          <w:rFonts w:cs="Times New Roman"/>
          <w:lang w:val="fr-CA"/>
        </w:rPr>
        <w:t>association au travail seulement si une autre condition est tout d</w:t>
      </w:r>
      <w:r>
        <w:rPr>
          <w:rFonts w:cs="Times New Roman"/>
          <w:lang w:val="fr-CA"/>
        </w:rPr>
        <w:t>’</w:t>
      </w:r>
      <w:r w:rsidRPr="00AF17C2">
        <w:rPr>
          <w:rFonts w:cs="Times New Roman"/>
          <w:lang w:val="fr-CA"/>
        </w:rPr>
        <w:t>abord réalisée. De l</w:t>
      </w:r>
      <w:r>
        <w:rPr>
          <w:rFonts w:cs="Times New Roman"/>
          <w:lang w:val="fr-CA"/>
        </w:rPr>
        <w:t>’</w:t>
      </w:r>
      <w:r w:rsidRPr="00AF17C2">
        <w:rPr>
          <w:rFonts w:cs="Times New Roman"/>
          <w:lang w:val="fr-CA"/>
        </w:rPr>
        <w:t>avis de la Cour d</w:t>
      </w:r>
      <w:r>
        <w:rPr>
          <w:rFonts w:cs="Times New Roman"/>
          <w:lang w:val="fr-CA"/>
        </w:rPr>
        <w:t>’</w:t>
      </w:r>
      <w:r w:rsidRPr="00AF17C2">
        <w:rPr>
          <w:rFonts w:cs="Times New Roman"/>
          <w:lang w:val="fr-CA"/>
        </w:rPr>
        <w:t>appel, cette condition consiste en l</w:t>
      </w:r>
      <w:r>
        <w:rPr>
          <w:rFonts w:cs="Times New Roman"/>
          <w:lang w:val="fr-CA"/>
        </w:rPr>
        <w:t>’</w:t>
      </w:r>
      <w:r w:rsidRPr="00AF17C2">
        <w:rPr>
          <w:rFonts w:cs="Times New Roman"/>
          <w:lang w:val="fr-CA"/>
        </w:rPr>
        <w:t>impossibilité effective d</w:t>
      </w:r>
      <w:r>
        <w:rPr>
          <w:rFonts w:cs="Times New Roman"/>
          <w:lang w:val="fr-CA"/>
        </w:rPr>
        <w:t>’</w:t>
      </w:r>
      <w:r w:rsidRPr="00AF17C2">
        <w:rPr>
          <w:rFonts w:cs="Times New Roman"/>
          <w:lang w:val="fr-CA"/>
        </w:rPr>
        <w:t>agir collectivement pour réaliser des objectifs relatifs au travail.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Or, les juges majoritaires dans </w:t>
      </w:r>
      <w:r w:rsidRPr="00AF17C2">
        <w:rPr>
          <w:rFonts w:cs="Times New Roman"/>
          <w:i/>
          <w:lang w:val="fr-CA"/>
        </w:rPr>
        <w:t>Fraser</w:t>
      </w:r>
      <w:r w:rsidRPr="00AF17C2">
        <w:rPr>
          <w:rFonts w:cs="Times New Roman"/>
          <w:lang w:val="fr-CA"/>
        </w:rPr>
        <w:t xml:space="preserve"> n</w:t>
      </w:r>
      <w:r>
        <w:rPr>
          <w:rFonts w:cs="Times New Roman"/>
          <w:lang w:val="fr-CA"/>
        </w:rPr>
        <w:t>’</w:t>
      </w:r>
      <w:r w:rsidRPr="00AF17C2">
        <w:rPr>
          <w:rFonts w:cs="Times New Roman"/>
          <w:lang w:val="fr-CA"/>
        </w:rPr>
        <w:t xml:space="preserve">ont pas restreint ainsi le droit de négocier collectivement. Pour eux, la négociation </w:t>
      </w:r>
      <w:r w:rsidR="00D444EC">
        <w:rPr>
          <w:rFonts w:cs="Times New Roman"/>
          <w:lang w:val="fr-CA"/>
        </w:rPr>
        <w:t xml:space="preserve">collective </w:t>
      </w:r>
      <w:r w:rsidRPr="00AF17C2">
        <w:rPr>
          <w:rFonts w:cs="Times New Roman"/>
          <w:lang w:val="fr-CA"/>
        </w:rPr>
        <w:t xml:space="preserve">est </w:t>
      </w:r>
      <w:r w:rsidR="00795B2B">
        <w:rPr>
          <w:rFonts w:cs="Times New Roman"/>
          <w:lang w:val="fr-CA"/>
        </w:rPr>
        <w:t>« </w:t>
      </w:r>
      <w:r w:rsidRPr="00AF17C2">
        <w:rPr>
          <w:rFonts w:cs="Times New Roman"/>
          <w:lang w:val="fr-CA"/>
        </w:rPr>
        <w:t>une “condition qui doit nécessairement être réalisée” pour permettre l</w:t>
      </w:r>
      <w:r>
        <w:rPr>
          <w:rFonts w:cs="Times New Roman"/>
          <w:lang w:val="fr-CA"/>
        </w:rPr>
        <w:t>’</w:t>
      </w:r>
      <w:r w:rsidRPr="00AF17C2">
        <w:rPr>
          <w:rFonts w:cs="Times New Roman"/>
          <w:lang w:val="fr-CA"/>
        </w:rPr>
        <w:t>exercice véritable de la liberté d</w:t>
      </w:r>
      <w:r>
        <w:rPr>
          <w:rFonts w:cs="Times New Roman"/>
          <w:lang w:val="fr-CA"/>
        </w:rPr>
        <w:t>’</w:t>
      </w:r>
      <w:r w:rsidRPr="00AF17C2">
        <w:rPr>
          <w:rFonts w:cs="Times New Roman"/>
          <w:lang w:val="fr-CA"/>
        </w:rPr>
        <w:t>association garantie par la Constitution</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66). De même, au par.</w:t>
      </w:r>
      <w:r w:rsidR="00795B2B">
        <w:rPr>
          <w:rFonts w:cs="Times New Roman"/>
          <w:lang w:val="fr-CA"/>
        </w:rPr>
        <w:t xml:space="preserve"> </w:t>
      </w:r>
      <w:r w:rsidRPr="00AF17C2">
        <w:rPr>
          <w:rFonts w:cs="Times New Roman"/>
          <w:lang w:val="fr-CA"/>
        </w:rPr>
        <w:t>99</w:t>
      </w:r>
      <w:r w:rsidR="00795B2B">
        <w:rPr>
          <w:rFonts w:cs="Times New Roman"/>
          <w:lang w:val="fr-CA"/>
        </w:rPr>
        <w:t> :</w:t>
      </w:r>
      <w:r w:rsidRPr="00AF17C2">
        <w:rPr>
          <w:rFonts w:cs="Times New Roman"/>
          <w:lang w:val="fr-CA"/>
        </w:rPr>
        <w:t xml:space="preserve"> </w:t>
      </w:r>
      <w:r w:rsidR="00795B2B">
        <w:rPr>
          <w:rFonts w:cs="Times New Roman"/>
          <w:lang w:val="fr-CA"/>
        </w:rPr>
        <w:t>« . . .</w:t>
      </w:r>
      <w:r w:rsidRPr="00AF17C2">
        <w:rPr>
          <w:rFonts w:cs="Times New Roman"/>
          <w:lang w:val="fr-CA"/>
        </w:rPr>
        <w:t xml:space="preserve"> le droit d</w:t>
      </w:r>
      <w:r>
        <w:rPr>
          <w:rFonts w:cs="Times New Roman"/>
          <w:lang w:val="fr-CA"/>
        </w:rPr>
        <w:t>’</w:t>
      </w:r>
      <w:r w:rsidRPr="00AF17C2">
        <w:rPr>
          <w:rFonts w:cs="Times New Roman"/>
          <w:lang w:val="fr-CA"/>
        </w:rPr>
        <w:t>une association d</w:t>
      </w:r>
      <w:r>
        <w:rPr>
          <w:rFonts w:cs="Times New Roman"/>
          <w:lang w:val="fr-CA"/>
        </w:rPr>
        <w:t>’</w:t>
      </w:r>
      <w:r w:rsidRPr="00AF17C2">
        <w:rPr>
          <w:rFonts w:cs="Times New Roman"/>
          <w:lang w:val="fr-CA"/>
        </w:rPr>
        <w:t>employés de présenter des observations à l</w:t>
      </w:r>
      <w:r>
        <w:rPr>
          <w:rFonts w:cs="Times New Roman"/>
          <w:lang w:val="fr-CA"/>
        </w:rPr>
        <w:t>’</w:t>
      </w:r>
      <w:r w:rsidRPr="00AF17C2">
        <w:rPr>
          <w:rFonts w:cs="Times New Roman"/>
          <w:lang w:val="fr-CA"/>
        </w:rPr>
        <w:t>employeur et de les voir prises en compte de bonne foi</w:t>
      </w:r>
      <w:r w:rsidR="00795B2B">
        <w:rPr>
          <w:rFonts w:cs="Times New Roman"/>
          <w:lang w:val="fr-CA"/>
        </w:rPr>
        <w:t> »</w:t>
      </w:r>
      <w:r w:rsidRPr="00AF17C2">
        <w:rPr>
          <w:rFonts w:cs="Times New Roman"/>
          <w:lang w:val="fr-CA"/>
        </w:rPr>
        <w:t xml:space="preserve"> est décrit comme un droit </w:t>
      </w:r>
      <w:r w:rsidR="00795B2B">
        <w:rPr>
          <w:rFonts w:cs="Times New Roman"/>
          <w:lang w:val="fr-CA"/>
        </w:rPr>
        <w:t>« </w:t>
      </w:r>
      <w:r w:rsidRPr="00AF17C2">
        <w:rPr>
          <w:rFonts w:cs="Times New Roman"/>
          <w:lang w:val="fr-CA"/>
        </w:rPr>
        <w:t>dérivé de la liberté garantie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et [</w:t>
      </w:r>
      <w:r w:rsidR="00795B2B">
        <w:rPr>
          <w:rFonts w:cs="Times New Roman"/>
          <w:lang w:val="fr-CA"/>
        </w:rPr>
        <w:t>. . .</w:t>
      </w:r>
      <w:r w:rsidRPr="00AF17C2">
        <w:rPr>
          <w:rFonts w:cs="Times New Roman"/>
          <w:lang w:val="fr-CA"/>
        </w:rPr>
        <w:t xml:space="preserve">] </w:t>
      </w:r>
      <w:r w:rsidRPr="00AF17C2">
        <w:rPr>
          <w:rFonts w:cs="Times New Roman"/>
          <w:u w:val="single"/>
          <w:lang w:val="fr-CA"/>
        </w:rPr>
        <w:t>nécessaire</w:t>
      </w:r>
      <w:r w:rsidRPr="00232B9F">
        <w:rPr>
          <w:rFonts w:cs="Times New Roman"/>
          <w:i/>
          <w:u w:val="single"/>
          <w:lang w:val="fr-CA"/>
        </w:rPr>
        <w:t xml:space="preserve"> </w:t>
      </w:r>
      <w:r w:rsidRPr="00232B9F">
        <w:rPr>
          <w:rFonts w:cs="Times New Roman"/>
          <w:u w:val="single"/>
          <w:lang w:val="fr-CA"/>
        </w:rPr>
        <w:t>à</w:t>
      </w:r>
      <w:r w:rsidRPr="00AF17C2">
        <w:rPr>
          <w:rFonts w:cs="Times New Roman"/>
          <w:lang w:val="fr-CA"/>
        </w:rPr>
        <w:t xml:space="preserve"> l</w:t>
      </w:r>
      <w:r>
        <w:rPr>
          <w:rFonts w:cs="Times New Roman"/>
          <w:lang w:val="fr-CA"/>
        </w:rPr>
        <w:t>’</w:t>
      </w:r>
      <w:r w:rsidRPr="00AF17C2">
        <w:rPr>
          <w:rFonts w:cs="Times New Roman"/>
          <w:lang w:val="fr-CA"/>
        </w:rPr>
        <w:t>exercice véritable du droit de libre association</w:t>
      </w:r>
      <w:r w:rsidR="00795B2B">
        <w:rPr>
          <w:rFonts w:cs="Times New Roman"/>
          <w:lang w:val="fr-CA"/>
        </w:rPr>
        <w:t> »</w:t>
      </w:r>
      <w:r w:rsidRPr="00AF17C2">
        <w:rPr>
          <w:rFonts w:cs="Times New Roman"/>
          <w:lang w:val="fr-CA"/>
        </w:rPr>
        <w:t xml:space="preserve"> (nous soulignons). Dans la mesure où l</w:t>
      </w:r>
      <w:r>
        <w:rPr>
          <w:rFonts w:cs="Times New Roman"/>
          <w:lang w:val="fr-CA"/>
        </w:rPr>
        <w:t>’</w:t>
      </w:r>
      <w:r w:rsidRPr="00AF17C2">
        <w:rPr>
          <w:rFonts w:cs="Times New Roman"/>
          <w:lang w:val="fr-CA"/>
        </w:rPr>
        <w:t xml:space="preserve">expression </w:t>
      </w:r>
      <w:r w:rsidR="00795B2B">
        <w:rPr>
          <w:rFonts w:cs="Times New Roman"/>
          <w:lang w:val="fr-CA"/>
        </w:rPr>
        <w:t>« </w:t>
      </w:r>
      <w:r w:rsidRPr="00AF17C2">
        <w:rPr>
          <w:rFonts w:cs="Times New Roman"/>
          <w:lang w:val="fr-CA"/>
        </w:rPr>
        <w:t>droit dérivé</w:t>
      </w:r>
      <w:r w:rsidR="00795B2B">
        <w:rPr>
          <w:rFonts w:cs="Times New Roman"/>
          <w:lang w:val="fr-CA"/>
        </w:rPr>
        <w:t> »</w:t>
      </w:r>
      <w:r w:rsidRPr="00AF17C2">
        <w:rPr>
          <w:rFonts w:cs="Times New Roman"/>
          <w:lang w:val="fr-CA"/>
        </w:rPr>
        <w:t xml:space="preserve"> laisse entendre que le droit à un processus véritable de négociation collective ne s</w:t>
      </w:r>
      <w:r>
        <w:rPr>
          <w:rFonts w:cs="Times New Roman"/>
          <w:lang w:val="fr-CA"/>
        </w:rPr>
        <w:t>’</w:t>
      </w:r>
      <w:r w:rsidRPr="00AF17C2">
        <w:rPr>
          <w:rFonts w:cs="Times New Roman"/>
          <w:lang w:val="fr-CA"/>
        </w:rPr>
        <w:t>applique que s</w:t>
      </w:r>
      <w:r>
        <w:rPr>
          <w:rFonts w:cs="Times New Roman"/>
          <w:lang w:val="fr-CA"/>
        </w:rPr>
        <w:t>’</w:t>
      </w:r>
      <w:r w:rsidRPr="00AF17C2">
        <w:rPr>
          <w:rFonts w:cs="Times New Roman"/>
          <w:lang w:val="fr-CA"/>
        </w:rPr>
        <w:t>il a été autrement porté atteinte à la garantie prévue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il convient de l</w:t>
      </w:r>
      <w:r>
        <w:rPr>
          <w:rFonts w:cs="Times New Roman"/>
          <w:lang w:val="fr-CA"/>
        </w:rPr>
        <w:t>’</w:t>
      </w:r>
      <w:r w:rsidRPr="00AF17C2">
        <w:rPr>
          <w:rFonts w:cs="Times New Roman"/>
          <w:lang w:val="fr-CA"/>
        </w:rPr>
        <w:t>éviter. De plus, toute suggestion selon laquelle un aspect d</w:t>
      </w:r>
      <w:r>
        <w:rPr>
          <w:rFonts w:cs="Times New Roman"/>
          <w:lang w:val="fr-CA"/>
        </w:rPr>
        <w:t>’</w:t>
      </w:r>
      <w:r w:rsidRPr="00AF17C2">
        <w:rPr>
          <w:rFonts w:cs="Times New Roman"/>
          <w:lang w:val="fr-CA"/>
        </w:rPr>
        <w:t xml:space="preserve">un droit protégé par la </w:t>
      </w:r>
      <w:r w:rsidRPr="00AF17C2">
        <w:rPr>
          <w:rFonts w:cs="Times New Roman"/>
          <w:i/>
          <w:lang w:val="fr-CA"/>
        </w:rPr>
        <w:t>Charte</w:t>
      </w:r>
      <w:r w:rsidRPr="00AF17C2">
        <w:rPr>
          <w:rFonts w:cs="Times New Roman"/>
          <w:lang w:val="fr-CA"/>
        </w:rPr>
        <w:t xml:space="preserve"> serait d</w:t>
      </w:r>
      <w:r>
        <w:rPr>
          <w:rFonts w:cs="Times New Roman"/>
          <w:lang w:val="fr-CA"/>
        </w:rPr>
        <w:t>’</w:t>
      </w:r>
      <w:r w:rsidRPr="00AF17C2">
        <w:rPr>
          <w:rFonts w:cs="Times New Roman"/>
          <w:lang w:val="fr-CA"/>
        </w:rPr>
        <w:t>une manière ou d</w:t>
      </w:r>
      <w:r>
        <w:rPr>
          <w:rFonts w:cs="Times New Roman"/>
          <w:lang w:val="fr-CA"/>
        </w:rPr>
        <w:t>’</w:t>
      </w:r>
      <w:r w:rsidRPr="00AF17C2">
        <w:rPr>
          <w:rFonts w:cs="Times New Roman"/>
          <w:lang w:val="fr-CA"/>
        </w:rPr>
        <w:t xml:space="preserve">une autre secondaire ou accessoire à </w:t>
      </w:r>
      <w:r w:rsidRPr="00AF17C2">
        <w:rPr>
          <w:rFonts w:cs="Times New Roman"/>
          <w:lang w:val="fr-CA"/>
        </w:rPr>
        <w:lastRenderedPageBreak/>
        <w:t>d</w:t>
      </w:r>
      <w:r>
        <w:rPr>
          <w:rFonts w:cs="Times New Roman"/>
          <w:lang w:val="fr-CA"/>
        </w:rPr>
        <w:t>’</w:t>
      </w:r>
      <w:r w:rsidRPr="00AF17C2">
        <w:rPr>
          <w:rFonts w:cs="Times New Roman"/>
          <w:lang w:val="fr-CA"/>
        </w:rPr>
        <w:t>autres aspects de ce droit n</w:t>
      </w:r>
      <w:r>
        <w:rPr>
          <w:rFonts w:cs="Times New Roman"/>
          <w:lang w:val="fr-CA"/>
        </w:rPr>
        <w:t>’</w:t>
      </w:r>
      <w:r w:rsidRPr="00AF17C2">
        <w:rPr>
          <w:rFonts w:cs="Times New Roman"/>
          <w:lang w:val="fr-CA"/>
        </w:rPr>
        <w:t>est pas compatible avec l</w:t>
      </w:r>
      <w:r>
        <w:rPr>
          <w:rFonts w:cs="Times New Roman"/>
          <w:lang w:val="fr-CA"/>
        </w:rPr>
        <w:t>’</w:t>
      </w:r>
      <w:r w:rsidRPr="00AF17C2">
        <w:rPr>
          <w:rFonts w:cs="Times New Roman"/>
          <w:lang w:val="fr-CA"/>
        </w:rPr>
        <w:t>interprétation téléologique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Pour récapituler,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protège contre une entrave substantielle au droit à un processus véritable de négociation collective. Historiquement, les travailleurs se sont associés pour </w:t>
      </w:r>
      <w:r w:rsidR="00795B2B">
        <w:rPr>
          <w:rFonts w:cs="Times New Roman"/>
          <w:lang w:val="fr-CA"/>
        </w:rPr>
        <w:t>« </w:t>
      </w:r>
      <w:r w:rsidRPr="00AF17C2">
        <w:rPr>
          <w:rFonts w:cs="Times New Roman"/>
          <w:lang w:val="fr-CA"/>
        </w:rPr>
        <w:t>faire face, à armes plus égales, à la puissance et à la force de ceux avec qui leurs intérêts interagissaient et, peut</w:t>
      </w:r>
      <w:r w:rsidR="00795B2B">
        <w:rPr>
          <w:rFonts w:eastAsia="MS Mincho" w:cs="Times New Roman"/>
          <w:lang w:val="fr-CA"/>
        </w:rPr>
        <w:t>-</w:t>
      </w:r>
      <w:r w:rsidRPr="00AF17C2">
        <w:rPr>
          <w:rFonts w:cs="Times New Roman"/>
          <w:lang w:val="fr-CA"/>
        </w:rPr>
        <w:t>être même, entraient en conflit</w:t>
      </w:r>
      <w:r w:rsidR="00795B2B">
        <w:rPr>
          <w:rFonts w:cs="Times New Roman"/>
          <w:lang w:val="fr-CA"/>
        </w:rPr>
        <w:t> »</w:t>
      </w:r>
      <w:r w:rsidRPr="00AF17C2">
        <w:rPr>
          <w:rFonts w:cs="Times New Roman"/>
          <w:lang w:val="fr-CA"/>
        </w:rPr>
        <w:t>, c</w:t>
      </w:r>
      <w:r>
        <w:rPr>
          <w:rFonts w:cs="Times New Roman"/>
          <w:lang w:val="fr-CA"/>
        </w:rPr>
        <w:t>’</w:t>
      </w:r>
      <w:r w:rsidRPr="00AF17C2">
        <w:rPr>
          <w:rFonts w:cs="Times New Roman"/>
          <w:lang w:val="fr-CA"/>
        </w:rPr>
        <w:t>est</w:t>
      </w:r>
      <w:r w:rsidR="00795B2B">
        <w:rPr>
          <w:rFonts w:cs="Times New Roman"/>
          <w:lang w:val="fr-CA"/>
        </w:rPr>
        <w:t>-</w:t>
      </w:r>
      <w:r w:rsidRPr="00AF17C2">
        <w:rPr>
          <w:rFonts w:cs="Times New Roman"/>
          <w:lang w:val="fr-CA"/>
        </w:rPr>
        <w:t>à</w:t>
      </w:r>
      <w:r w:rsidR="00795B2B">
        <w:rPr>
          <w:rFonts w:cs="Times New Roman"/>
          <w:lang w:val="fr-CA"/>
        </w:rPr>
        <w:t>-</w:t>
      </w:r>
      <w:r w:rsidRPr="00AF17C2">
        <w:rPr>
          <w:rFonts w:cs="Times New Roman"/>
          <w:lang w:val="fr-CA"/>
        </w:rPr>
        <w:t>dire leur employeur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p.</w:t>
      </w:r>
      <w:r w:rsidR="00795B2B">
        <w:rPr>
          <w:rFonts w:cs="Times New Roman"/>
          <w:lang w:val="fr-CA"/>
        </w:rPr>
        <w:t xml:space="preserve"> </w:t>
      </w:r>
      <w:r w:rsidRPr="00AF17C2">
        <w:rPr>
          <w:rFonts w:cs="Times New Roman"/>
          <w:lang w:val="fr-CA"/>
        </w:rPr>
        <w:t>366). La garantie prévue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ne peut faire abstraction du déséquilibre des forces en présence dans le contexte des relations du travail. Le permettre reviendrait à ne pas tenir compte </w:t>
      </w:r>
      <w:r w:rsidR="00795B2B">
        <w:rPr>
          <w:rFonts w:cs="Times New Roman"/>
          <w:lang w:val="fr-CA"/>
        </w:rPr>
        <w:t>« </w:t>
      </w:r>
      <w:r w:rsidRPr="00AF17C2">
        <w:rPr>
          <w:rFonts w:cs="Times New Roman"/>
          <w:lang w:val="fr-CA"/>
        </w:rPr>
        <w:t>des origines historiques des concepts enchâssés</w:t>
      </w:r>
      <w:r w:rsidR="00795B2B">
        <w:rPr>
          <w:rFonts w:cs="Times New Roman"/>
          <w:lang w:val="fr-CA"/>
        </w:rPr>
        <w:t> »</w:t>
      </w:r>
      <w:r w:rsidRPr="00AF17C2">
        <w:rPr>
          <w:rFonts w:cs="Times New Roman"/>
          <w:lang w:val="fr-CA"/>
        </w:rPr>
        <w:t xml:space="preserv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proofErr w:type="spellStart"/>
      <w:r w:rsidRPr="00AF17C2">
        <w:rPr>
          <w:rFonts w:cs="Times New Roman"/>
          <w:i/>
          <w:lang w:val="fr-CA"/>
        </w:rPr>
        <w:t>Big</w:t>
      </w:r>
      <w:proofErr w:type="spellEnd"/>
      <w:r w:rsidRPr="00AF17C2">
        <w:rPr>
          <w:rFonts w:cs="Times New Roman"/>
          <w:i/>
          <w:lang w:val="fr-CA"/>
        </w:rPr>
        <w:t xml:space="preserve"> M Drug </w:t>
      </w:r>
      <w:proofErr w:type="spellStart"/>
      <w:r w:rsidRPr="00AF17C2">
        <w:rPr>
          <w:rFonts w:cs="Times New Roman"/>
          <w:i/>
          <w:lang w:val="fr-CA"/>
        </w:rPr>
        <w:t>Mart</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344). Portera donc atteinte au droit à un processus véritable de négociation collective tout régime législatif qui prive les employés de protections adéquates dans leurs interactions avec l</w:t>
      </w:r>
      <w:r>
        <w:rPr>
          <w:rFonts w:cs="Times New Roman"/>
          <w:lang w:val="fr-CA"/>
        </w:rPr>
        <w:t>’</w:t>
      </w:r>
      <w:r w:rsidRPr="00AF17C2">
        <w:rPr>
          <w:rFonts w:cs="Times New Roman"/>
          <w:lang w:val="fr-CA"/>
        </w:rPr>
        <w:t>employeur de manière à créer une entrave substantielle à leur capacité de véritablement mener des négociations collectives.</w:t>
      </w:r>
    </w:p>
    <w:p w:rsidR="007B74A6" w:rsidRPr="00AF17C2" w:rsidRDefault="007B74A6" w:rsidP="00232B9F">
      <w:pPr>
        <w:pStyle w:val="Title2LevelTitre2Niveau"/>
        <w:jc w:val="both"/>
        <w:rPr>
          <w:rFonts w:cs="Times New Roman"/>
          <w:lang w:val="fr-CA"/>
        </w:rPr>
      </w:pPr>
      <w:r w:rsidRPr="00AF17C2">
        <w:rPr>
          <w:rFonts w:cs="Times New Roman"/>
          <w:lang w:val="fr-CA"/>
        </w:rPr>
        <w:t>Caractéristiques essentielles d</w:t>
      </w:r>
      <w:r>
        <w:rPr>
          <w:rFonts w:cs="Times New Roman"/>
          <w:lang w:val="fr-CA"/>
        </w:rPr>
        <w:t>’</w:t>
      </w:r>
      <w:r w:rsidRPr="00AF17C2">
        <w:rPr>
          <w:rFonts w:cs="Times New Roman"/>
          <w:lang w:val="fr-CA"/>
        </w:rPr>
        <w:t>un processus véritable de négociation collective au sens où il faut l</w:t>
      </w:r>
      <w:r>
        <w:rPr>
          <w:rFonts w:cs="Times New Roman"/>
          <w:lang w:val="fr-CA"/>
        </w:rPr>
        <w:t>’</w:t>
      </w:r>
      <w:r w:rsidRPr="00AF17C2">
        <w:rPr>
          <w:rFonts w:cs="Times New Roman"/>
          <w:lang w:val="fr-CA"/>
        </w:rPr>
        <w:t>entendre pour l</w:t>
      </w:r>
      <w:r>
        <w:rPr>
          <w:rFonts w:cs="Times New Roman"/>
          <w:lang w:val="fr-CA"/>
        </w:rPr>
        <w:t>’</w:t>
      </w:r>
      <w:r w:rsidRPr="00AF17C2">
        <w:rPr>
          <w:rFonts w:cs="Times New Roman"/>
          <w:lang w:val="fr-CA"/>
        </w:rPr>
        <w:t>application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w:t>
      </w:r>
    </w:p>
    <w:p w:rsidR="007B74A6" w:rsidRPr="00AF17C2" w:rsidRDefault="007B74A6" w:rsidP="00795B2B">
      <w:pPr>
        <w:pStyle w:val="ParaNoNdepar-AltN"/>
        <w:tabs>
          <w:tab w:val="clear" w:pos="1152"/>
          <w:tab w:val="left" w:pos="1166"/>
        </w:tabs>
        <w:rPr>
          <w:rFonts w:cs="Times New Roman"/>
          <w:lang w:val="fr-CA"/>
        </w:rPr>
      </w:pPr>
      <w:proofErr w:type="gramStart"/>
      <w:r w:rsidRPr="00AF17C2">
        <w:rPr>
          <w:rFonts w:cs="Times New Roman"/>
          <w:lang w:val="fr-CA"/>
        </w:rPr>
        <w:t>Nous avons</w:t>
      </w:r>
      <w:proofErr w:type="gramEnd"/>
      <w:r w:rsidRPr="00AF17C2">
        <w:rPr>
          <w:rFonts w:cs="Times New Roman"/>
          <w:lang w:val="fr-CA"/>
        </w:rPr>
        <w:t xml:space="preserve"> conclu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protège le droit des employés de s</w:t>
      </w:r>
      <w:r>
        <w:rPr>
          <w:rFonts w:cs="Times New Roman"/>
          <w:lang w:val="fr-CA"/>
        </w:rPr>
        <w:t>’</w:t>
      </w:r>
      <w:r w:rsidRPr="00AF17C2">
        <w:rPr>
          <w:rFonts w:cs="Times New Roman"/>
          <w:lang w:val="fr-CA"/>
        </w:rPr>
        <w:t>associer en vue de réaliser véritablement des objectifs collectifs relatifs au travail. Le gouvernement ne saurait donc adopter des lois ou imposer un processus de relations de travail qui entrave substantiellement ce droit. Il faut alors rechercher les caractéristiques essentielles d</w:t>
      </w:r>
      <w:r>
        <w:rPr>
          <w:rFonts w:cs="Times New Roman"/>
          <w:lang w:val="fr-CA"/>
        </w:rPr>
        <w:t>’</w:t>
      </w:r>
      <w:r w:rsidRPr="00AF17C2">
        <w:rPr>
          <w:rFonts w:cs="Times New Roman"/>
          <w:lang w:val="fr-CA"/>
        </w:rPr>
        <w:t>un processus véritable de négociation collective au sens où il faut l</w:t>
      </w:r>
      <w:r>
        <w:rPr>
          <w:rFonts w:cs="Times New Roman"/>
          <w:lang w:val="fr-CA"/>
        </w:rPr>
        <w:t>’</w:t>
      </w:r>
      <w:r w:rsidRPr="00AF17C2">
        <w:rPr>
          <w:rFonts w:cs="Times New Roman"/>
          <w:lang w:val="fr-CA"/>
        </w:rPr>
        <w:t>entendre pour l</w:t>
      </w:r>
      <w:r>
        <w:rPr>
          <w:rFonts w:cs="Times New Roman"/>
          <w:lang w:val="fr-CA"/>
        </w:rPr>
        <w:t>’</w:t>
      </w:r>
      <w:r w:rsidRPr="00AF17C2">
        <w:rPr>
          <w:rFonts w:cs="Times New Roman"/>
          <w:lang w:val="fr-CA"/>
        </w:rPr>
        <w:t>application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Dans la présente partie, nous reconnaîtrons qu</w:t>
      </w:r>
      <w:r>
        <w:rPr>
          <w:rFonts w:cs="Times New Roman"/>
          <w:lang w:val="fr-CA"/>
        </w:rPr>
        <w:t>’</w:t>
      </w:r>
      <w:r w:rsidRPr="00AF17C2">
        <w:rPr>
          <w:rFonts w:cs="Times New Roman"/>
          <w:lang w:val="fr-CA"/>
        </w:rPr>
        <w:t>un processus véritable de négociation collective est tel qu</w:t>
      </w:r>
      <w:r>
        <w:rPr>
          <w:rFonts w:cs="Times New Roman"/>
          <w:lang w:val="fr-CA"/>
        </w:rPr>
        <w:t>’</w:t>
      </w:r>
      <w:r w:rsidRPr="00AF17C2">
        <w:rPr>
          <w:rFonts w:cs="Times New Roman"/>
          <w:lang w:val="fr-CA"/>
        </w:rPr>
        <w:t xml:space="preserve">il offre </w:t>
      </w:r>
      <w:r w:rsidRPr="00AF17C2">
        <w:rPr>
          <w:rFonts w:cs="Times New Roman"/>
          <w:lang w:val="fr-CA"/>
        </w:rPr>
        <w:lastRenderedPageBreak/>
        <w:t>aux employés une liberté de choix et une indépendance suffisantes pour leur permettre de décider de leurs intérêts collectifs et de véritablement les réaliser.</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La négociation collective représente un aspect fondamental de la société canadienne qui </w:t>
      </w:r>
      <w:r w:rsidR="00795B2B">
        <w:rPr>
          <w:rFonts w:cs="Times New Roman"/>
          <w:lang w:val="fr-CA"/>
        </w:rPr>
        <w:t>« </w:t>
      </w:r>
      <w:r w:rsidRPr="00AF17C2">
        <w:rPr>
          <w:rFonts w:cs="Times New Roman"/>
          <w:lang w:val="fr-CA"/>
        </w:rPr>
        <w:t>favorise la dignité humaine, la liberté et l</w:t>
      </w:r>
      <w:r>
        <w:rPr>
          <w:rFonts w:cs="Times New Roman"/>
          <w:lang w:val="fr-CA"/>
        </w:rPr>
        <w:t>’</w:t>
      </w:r>
      <w:r w:rsidRPr="00AF17C2">
        <w:rPr>
          <w:rFonts w:cs="Times New Roman"/>
          <w:lang w:val="fr-CA"/>
        </w:rPr>
        <w:t>autonomie des travailleurs en leur donnant l</w:t>
      </w:r>
      <w:r>
        <w:rPr>
          <w:rFonts w:cs="Times New Roman"/>
          <w:lang w:val="fr-CA"/>
        </w:rPr>
        <w:t>’</w:t>
      </w:r>
      <w:r w:rsidRPr="00AF17C2">
        <w:rPr>
          <w:rFonts w:cs="Times New Roman"/>
          <w:lang w:val="fr-CA"/>
        </w:rPr>
        <w:t>occasion d</w:t>
      </w:r>
      <w:r>
        <w:rPr>
          <w:rFonts w:cs="Times New Roman"/>
          <w:lang w:val="fr-CA"/>
        </w:rPr>
        <w:t>’</w:t>
      </w:r>
      <w:r w:rsidRPr="00AF17C2">
        <w:rPr>
          <w:rFonts w:cs="Times New Roman"/>
          <w:lang w:val="fr-CA"/>
        </w:rPr>
        <w:t>exercer une influence sur l</w:t>
      </w:r>
      <w:r>
        <w:rPr>
          <w:rFonts w:cs="Times New Roman"/>
          <w:lang w:val="fr-CA"/>
        </w:rPr>
        <w:t>’</w:t>
      </w:r>
      <w:r w:rsidRPr="00AF17C2">
        <w:rPr>
          <w:rFonts w:cs="Times New Roman"/>
          <w:lang w:val="fr-CA"/>
        </w:rPr>
        <w:t>adoption des règles régissant leur milieu de travail et, de ce fait, d</w:t>
      </w:r>
      <w:r>
        <w:rPr>
          <w:rFonts w:cs="Times New Roman"/>
          <w:lang w:val="fr-CA"/>
        </w:rPr>
        <w:t>’</w:t>
      </w:r>
      <w:r w:rsidRPr="00AF17C2">
        <w:rPr>
          <w:rFonts w:cs="Times New Roman"/>
          <w:lang w:val="fr-CA"/>
        </w:rPr>
        <w:t>exercer un certain contrôle sur un aspect d</w:t>
      </w:r>
      <w:r>
        <w:rPr>
          <w:rFonts w:cs="Times New Roman"/>
          <w:lang w:val="fr-CA"/>
        </w:rPr>
        <w:t>’</w:t>
      </w:r>
      <w:r w:rsidRPr="00AF17C2">
        <w:rPr>
          <w:rFonts w:cs="Times New Roman"/>
          <w:lang w:val="fr-CA"/>
        </w:rPr>
        <w:t>importance majeure de leur vie, à savoir leur travail</w:t>
      </w:r>
      <w:r w:rsidR="00795B2B">
        <w:rPr>
          <w:rFonts w:cs="Times New Roman"/>
          <w:lang w:val="fr-CA"/>
        </w:rPr>
        <w:t> »</w:t>
      </w:r>
      <w:r w:rsidRPr="00AF17C2">
        <w:rPr>
          <w:rFonts w:cs="Times New Roman"/>
          <w:lang w:val="fr-CA"/>
        </w:rPr>
        <w:t xml:space="preserve">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82). En termes simples, son objectif consiste à protéger l</w:t>
      </w:r>
      <w:r>
        <w:rPr>
          <w:rFonts w:cs="Times New Roman"/>
          <w:lang w:val="fr-CA"/>
        </w:rPr>
        <w:t>’</w:t>
      </w:r>
      <w:r w:rsidRPr="00AF17C2">
        <w:rPr>
          <w:rFonts w:cs="Times New Roman"/>
          <w:lang w:val="fr-CA"/>
        </w:rPr>
        <w:t>autonomie collective des employés contre le pouvoir supérieur de l</w:t>
      </w:r>
      <w:r>
        <w:rPr>
          <w:rFonts w:cs="Times New Roman"/>
          <w:lang w:val="fr-CA"/>
        </w:rPr>
        <w:t>’</w:t>
      </w:r>
      <w:r w:rsidRPr="00AF17C2">
        <w:rPr>
          <w:rFonts w:cs="Times New Roman"/>
          <w:lang w:val="fr-CA"/>
        </w:rPr>
        <w:t>administration et à maintenir un équilibre entre les parties. Cet équilibre s</w:t>
      </w:r>
      <w:r>
        <w:rPr>
          <w:rFonts w:cs="Times New Roman"/>
          <w:lang w:val="fr-CA"/>
        </w:rPr>
        <w:t>’</w:t>
      </w:r>
      <w:r w:rsidRPr="00AF17C2">
        <w:rPr>
          <w:rFonts w:cs="Times New Roman"/>
          <w:lang w:val="fr-CA"/>
        </w:rPr>
        <w:t>établit grâce à la liberté de choix et à l</w:t>
      </w:r>
      <w:r>
        <w:rPr>
          <w:rFonts w:cs="Times New Roman"/>
          <w:lang w:val="fr-CA"/>
        </w:rPr>
        <w:t>’</w:t>
      </w:r>
      <w:r w:rsidRPr="00AF17C2">
        <w:rPr>
          <w:rFonts w:cs="Times New Roman"/>
          <w:lang w:val="fr-CA"/>
        </w:rPr>
        <w:t xml:space="preserve">indépendance accordées aux employés dans le cadre de ce processus de relations de travail.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Cela dit, cette liberté de choix et cette indépendance ne sont pas absolues</w:t>
      </w:r>
      <w:r w:rsidR="00795B2B">
        <w:rPr>
          <w:rFonts w:cs="Times New Roman"/>
          <w:lang w:val="fr-CA"/>
        </w:rPr>
        <w:t> :</w:t>
      </w:r>
      <w:r w:rsidRPr="00AF17C2">
        <w:rPr>
          <w:rFonts w:cs="Times New Roman"/>
          <w:lang w:val="fr-CA"/>
        </w:rPr>
        <w:t xml:space="preserve"> elles sont limitées par le contexte de la négociation collective. À notre avis, la liberté de choix requise par la </w:t>
      </w:r>
      <w:r w:rsidRPr="00AF17C2">
        <w:rPr>
          <w:rFonts w:cs="Times New Roman"/>
          <w:i/>
          <w:lang w:val="fr-CA"/>
        </w:rPr>
        <w:t>Charte</w:t>
      </w:r>
      <w:r w:rsidRPr="00AF17C2">
        <w:rPr>
          <w:rFonts w:cs="Times New Roman"/>
          <w:lang w:val="fr-CA"/>
        </w:rPr>
        <w:t xml:space="preserve"> à des fins de négociation collective correspond à celle qui permet aux employés de participer véritablement au choix des objectifs collectifs que devra poursuivre leur association. Dans la même veine, l</w:t>
      </w:r>
      <w:r>
        <w:rPr>
          <w:rFonts w:cs="Times New Roman"/>
          <w:lang w:val="fr-CA"/>
        </w:rPr>
        <w:t>’</w:t>
      </w:r>
      <w:r w:rsidRPr="00AF17C2">
        <w:rPr>
          <w:rFonts w:cs="Times New Roman"/>
          <w:lang w:val="fr-CA"/>
        </w:rPr>
        <w:t xml:space="preserve">indépendance exigée par la </w:t>
      </w:r>
      <w:r w:rsidRPr="00AF17C2">
        <w:rPr>
          <w:rFonts w:cs="Times New Roman"/>
          <w:i/>
          <w:lang w:val="fr-CA"/>
        </w:rPr>
        <w:t>Charte</w:t>
      </w:r>
      <w:r w:rsidRPr="00AF17C2">
        <w:rPr>
          <w:rFonts w:cs="Times New Roman"/>
          <w:lang w:val="fr-CA"/>
        </w:rPr>
        <w:t xml:space="preserve"> à des fins de négociation collective se définit comme celle qui assure une correspondance entre les activités de l</w:t>
      </w:r>
      <w:r>
        <w:rPr>
          <w:rFonts w:cs="Times New Roman"/>
          <w:lang w:val="fr-CA"/>
        </w:rPr>
        <w:t>’</w:t>
      </w:r>
      <w:r w:rsidRPr="00AF17C2">
        <w:rPr>
          <w:rFonts w:cs="Times New Roman"/>
          <w:lang w:val="fr-CA"/>
        </w:rPr>
        <w:t xml:space="preserve">association et les intérêts de ses membres.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Dans les paragraphes qui suivent, nous exposerons les fondements théoriques de la liberté de choix et de l</w:t>
      </w:r>
      <w:r>
        <w:rPr>
          <w:rFonts w:cs="Times New Roman"/>
          <w:lang w:val="fr-CA"/>
        </w:rPr>
        <w:t>’</w:t>
      </w:r>
      <w:r w:rsidRPr="00AF17C2">
        <w:rPr>
          <w:rFonts w:cs="Times New Roman"/>
          <w:lang w:val="fr-CA"/>
        </w:rPr>
        <w:t>indépendance, et nous expliquerons à quel point celles</w:t>
      </w:r>
      <w:r w:rsidR="00795B2B">
        <w:rPr>
          <w:rFonts w:cs="Times New Roman"/>
          <w:lang w:val="fr-CA"/>
        </w:rPr>
        <w:t>-</w:t>
      </w:r>
      <w:r w:rsidRPr="00AF17C2">
        <w:rPr>
          <w:rFonts w:cs="Times New Roman"/>
          <w:lang w:val="fr-CA"/>
        </w:rPr>
        <w:t>ci sont inhérentes à la nature et à l</w:t>
      </w:r>
      <w:r>
        <w:rPr>
          <w:rFonts w:cs="Times New Roman"/>
          <w:lang w:val="fr-CA"/>
        </w:rPr>
        <w:t>’</w:t>
      </w:r>
      <w:r w:rsidRPr="00AF17C2">
        <w:rPr>
          <w:rFonts w:cs="Times New Roman"/>
          <w:lang w:val="fr-CA"/>
        </w:rPr>
        <w:t xml:space="preserve">objet de la négociation collective. </w:t>
      </w:r>
      <w:r w:rsidRPr="00AF17C2">
        <w:rPr>
          <w:rFonts w:cs="Times New Roman"/>
          <w:lang w:val="fr-CA"/>
        </w:rPr>
        <w:lastRenderedPageBreak/>
        <w:t>Nous exposerons ensuite comment cette liberté de choix et cette indépendance peuvent s</w:t>
      </w:r>
      <w:r>
        <w:rPr>
          <w:rFonts w:cs="Times New Roman"/>
          <w:lang w:val="fr-CA"/>
        </w:rPr>
        <w:t>’</w:t>
      </w:r>
      <w:r w:rsidRPr="00AF17C2">
        <w:rPr>
          <w:rFonts w:cs="Times New Roman"/>
          <w:lang w:val="fr-CA"/>
        </w:rPr>
        <w:t xml:space="preserve">inscrire dans les différents modèles de relations du travail, dans la mesure où ils permettent une véritable négociation collective. </w:t>
      </w:r>
    </w:p>
    <w:p w:rsidR="007B74A6" w:rsidRPr="00AF17C2" w:rsidRDefault="007B74A6" w:rsidP="00795B2B">
      <w:pPr>
        <w:pStyle w:val="Title3LevelTitre3Niveau"/>
        <w:ind w:left="1077"/>
        <w:jc w:val="both"/>
        <w:rPr>
          <w:rFonts w:cs="Times New Roman"/>
          <w:lang w:val="fr-CA"/>
        </w:rPr>
      </w:pPr>
      <w:r w:rsidRPr="00AF17C2">
        <w:rPr>
          <w:rFonts w:cs="Times New Roman"/>
          <w:lang w:val="fr-CA"/>
        </w:rPr>
        <w:t>La liberté de choix et l</w:t>
      </w:r>
      <w:r>
        <w:rPr>
          <w:rFonts w:cs="Times New Roman"/>
          <w:lang w:val="fr-CA"/>
        </w:rPr>
        <w:t>’</w:t>
      </w:r>
      <w:r w:rsidRPr="00AF17C2">
        <w:rPr>
          <w:rFonts w:cs="Times New Roman"/>
          <w:lang w:val="fr-CA"/>
        </w:rPr>
        <w:t>indépendance sont inhérentes à la nature et à l</w:t>
      </w:r>
      <w:r>
        <w:rPr>
          <w:rFonts w:cs="Times New Roman"/>
          <w:lang w:val="fr-CA"/>
        </w:rPr>
        <w:t>’</w:t>
      </w:r>
      <w:r w:rsidRPr="00AF17C2">
        <w:rPr>
          <w:rFonts w:cs="Times New Roman"/>
          <w:lang w:val="fr-CA"/>
        </w:rPr>
        <w:t>objectif de la négociation collective</w:t>
      </w:r>
    </w:p>
    <w:p w:rsidR="007B74A6" w:rsidRPr="00232B9F" w:rsidRDefault="007B74A6" w:rsidP="00232B9F">
      <w:pPr>
        <w:pStyle w:val="Title4LevelTitre4Niveau"/>
        <w:tabs>
          <w:tab w:val="clear" w:pos="6480"/>
          <w:tab w:val="num" w:pos="1080"/>
        </w:tabs>
        <w:ind w:left="1080" w:hanging="540"/>
        <w:rPr>
          <w:i/>
          <w:u w:val="none"/>
          <w:lang w:val="fr-CA"/>
        </w:rPr>
      </w:pPr>
      <w:r w:rsidRPr="00232B9F">
        <w:rPr>
          <w:i/>
          <w:u w:val="none"/>
          <w:lang w:val="fr-CA"/>
        </w:rPr>
        <w:t>Liberté de choix de l’employé</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objectif de la négociation collective n</w:t>
      </w:r>
      <w:r>
        <w:rPr>
          <w:rFonts w:cs="Times New Roman"/>
          <w:lang w:val="fr-CA"/>
        </w:rPr>
        <w:t>’</w:t>
      </w:r>
      <w:r w:rsidRPr="00AF17C2">
        <w:rPr>
          <w:rFonts w:cs="Times New Roman"/>
          <w:lang w:val="fr-CA"/>
        </w:rPr>
        <w:t>est pas atteint si le processus qui l</w:t>
      </w:r>
      <w:r>
        <w:rPr>
          <w:rFonts w:cs="Times New Roman"/>
          <w:lang w:val="fr-CA"/>
        </w:rPr>
        <w:t>’</w:t>
      </w:r>
      <w:r w:rsidRPr="00AF17C2">
        <w:rPr>
          <w:rFonts w:cs="Times New Roman"/>
          <w:lang w:val="fr-CA"/>
        </w:rPr>
        <w:t xml:space="preserve">entoure entrave le droit des employés de choisir ce qui </w:t>
      </w:r>
      <w:proofErr w:type="gramStart"/>
      <w:r w:rsidRPr="00AF17C2">
        <w:rPr>
          <w:rFonts w:cs="Times New Roman"/>
          <w:lang w:val="fr-CA"/>
        </w:rPr>
        <w:t>est dans leur intérêt et comment ils</w:t>
      </w:r>
      <w:proofErr w:type="gramEnd"/>
      <w:r w:rsidRPr="00AF17C2">
        <w:rPr>
          <w:rFonts w:cs="Times New Roman"/>
          <w:lang w:val="fr-CA"/>
        </w:rPr>
        <w:t xml:space="preserve"> devraient défe</w:t>
      </w:r>
      <w:r w:rsidR="00232B9F">
        <w:rPr>
          <w:rFonts w:cs="Times New Roman"/>
          <w:lang w:val="fr-CA"/>
        </w:rPr>
        <w:t>ndre ce dernier</w:t>
      </w:r>
      <w:r w:rsidRPr="00AF17C2">
        <w:rPr>
          <w:rFonts w:cs="Times New Roman"/>
          <w:lang w:val="fr-CA"/>
        </w:rPr>
        <w:t xml:space="preserve">. La liberté de choix requise par la </w:t>
      </w:r>
      <w:r w:rsidRPr="00AF17C2">
        <w:rPr>
          <w:rFonts w:cs="Times New Roman"/>
          <w:i/>
          <w:lang w:val="fr-CA"/>
        </w:rPr>
        <w:t>Charte</w:t>
      </w:r>
      <w:r w:rsidRPr="00AF17C2">
        <w:rPr>
          <w:rFonts w:cs="Times New Roman"/>
          <w:lang w:val="fr-CA"/>
        </w:rPr>
        <w:t xml:space="preserve"> doit permettre aux employés de participer réellement au choix de leurs objectifs collectifs. Ce droit de participer au processus collectif s</w:t>
      </w:r>
      <w:r>
        <w:rPr>
          <w:rFonts w:cs="Times New Roman"/>
          <w:lang w:val="fr-CA"/>
        </w:rPr>
        <w:t>’</w:t>
      </w:r>
      <w:r w:rsidRPr="00AF17C2">
        <w:rPr>
          <w:rFonts w:cs="Times New Roman"/>
          <w:lang w:val="fr-CA"/>
        </w:rPr>
        <w:t>avère essentiel pour protéger la capacité des employés de faire valoir leurs propres intérêts, surtout dans les régimes où ces derniers sont appelés à faire des compromis sur leurs droits individuels pour accroître leur pouvoir collectif (J.</w:t>
      </w:r>
      <w:r w:rsidR="00795B2B">
        <w:rPr>
          <w:rFonts w:cs="Times New Roman"/>
          <w:lang w:val="fr-CA"/>
        </w:rPr>
        <w:t xml:space="preserve"> </w:t>
      </w:r>
      <w:r w:rsidRPr="00AF17C2">
        <w:rPr>
          <w:rFonts w:cs="Times New Roman"/>
          <w:lang w:val="fr-CA"/>
        </w:rPr>
        <w:t>E.</w:t>
      </w:r>
      <w:r w:rsidR="00795B2B">
        <w:rPr>
          <w:rFonts w:cs="Times New Roman"/>
          <w:lang w:val="fr-CA"/>
        </w:rPr>
        <w:t xml:space="preserve"> </w:t>
      </w:r>
      <w:proofErr w:type="spellStart"/>
      <w:r w:rsidRPr="00AF17C2">
        <w:rPr>
          <w:rFonts w:cs="Times New Roman"/>
          <w:lang w:val="fr-CA"/>
        </w:rPr>
        <w:t>Dorsey</w:t>
      </w:r>
      <w:proofErr w:type="spellEnd"/>
      <w:r w:rsidRPr="00AF17C2">
        <w:rPr>
          <w:rFonts w:cs="Times New Roman"/>
          <w:lang w:val="fr-CA"/>
        </w:rPr>
        <w:t xml:space="preserve">, </w:t>
      </w:r>
      <w:r w:rsidR="00795B2B">
        <w:rPr>
          <w:rFonts w:cs="Times New Roman"/>
          <w:lang w:val="fr-CA"/>
        </w:rPr>
        <w:t>« </w:t>
      </w:r>
      <w:proofErr w:type="spellStart"/>
      <w:r w:rsidRPr="00AF17C2">
        <w:rPr>
          <w:rFonts w:cs="Times New Roman"/>
          <w:lang w:val="fr-CA"/>
        </w:rPr>
        <w:t>Individuals</w:t>
      </w:r>
      <w:proofErr w:type="spellEnd"/>
      <w:r w:rsidRPr="00AF17C2">
        <w:rPr>
          <w:rFonts w:cs="Times New Roman"/>
          <w:lang w:val="fr-CA"/>
        </w:rPr>
        <w:t xml:space="preserve"> and </w:t>
      </w:r>
      <w:proofErr w:type="spellStart"/>
      <w:r w:rsidRPr="00AF17C2">
        <w:rPr>
          <w:rFonts w:cs="Times New Roman"/>
          <w:lang w:val="fr-CA"/>
        </w:rPr>
        <w:t>Internal</w:t>
      </w:r>
      <w:proofErr w:type="spellEnd"/>
      <w:r w:rsidRPr="00AF17C2">
        <w:rPr>
          <w:rFonts w:cs="Times New Roman"/>
          <w:lang w:val="fr-CA"/>
        </w:rPr>
        <w:t xml:space="preserve"> Union </w:t>
      </w:r>
      <w:proofErr w:type="spellStart"/>
      <w:r w:rsidRPr="00AF17C2">
        <w:rPr>
          <w:rFonts w:cs="Times New Roman"/>
          <w:lang w:val="fr-CA"/>
        </w:rPr>
        <w:t>Affairs</w:t>
      </w:r>
      <w:proofErr w:type="spellEnd"/>
      <w:r w:rsidR="00795B2B">
        <w:rPr>
          <w:rFonts w:cs="Times New Roman"/>
          <w:lang w:val="fr-CA"/>
        </w:rPr>
        <w:t> :</w:t>
      </w:r>
      <w:r w:rsidRPr="00AF17C2">
        <w:rPr>
          <w:rFonts w:cs="Times New Roman"/>
          <w:lang w:val="fr-CA"/>
        </w:rPr>
        <w:t xml:space="preserve"> The Right to </w:t>
      </w:r>
      <w:proofErr w:type="spellStart"/>
      <w:r w:rsidRPr="00AF17C2">
        <w:rPr>
          <w:rFonts w:cs="Times New Roman"/>
          <w:lang w:val="fr-CA"/>
        </w:rPr>
        <w:t>Participate</w:t>
      </w:r>
      <w:proofErr w:type="spellEnd"/>
      <w:r w:rsidR="00795B2B">
        <w:rPr>
          <w:rFonts w:cs="Times New Roman"/>
          <w:lang w:val="fr-CA"/>
        </w:rPr>
        <w:t> »</w:t>
      </w:r>
      <w:r w:rsidR="00232B9F">
        <w:rPr>
          <w:rFonts w:cs="Times New Roman"/>
          <w:lang w:val="fr-CA"/>
        </w:rPr>
        <w:t>,</w:t>
      </w:r>
      <w:r w:rsidRPr="00AF17C2">
        <w:rPr>
          <w:rFonts w:cs="Times New Roman"/>
          <w:lang w:val="fr-CA"/>
        </w:rPr>
        <w:t xml:space="preserve"> dans K.</w:t>
      </w:r>
      <w:r w:rsidR="00795B2B">
        <w:rPr>
          <w:rFonts w:cs="Times New Roman"/>
          <w:lang w:val="fr-CA"/>
        </w:rPr>
        <w:t xml:space="preserve"> </w:t>
      </w:r>
      <w:r w:rsidRPr="00AF17C2">
        <w:rPr>
          <w:rFonts w:cs="Times New Roman"/>
          <w:lang w:val="fr-CA"/>
        </w:rPr>
        <w:t>P.</w:t>
      </w:r>
      <w:r w:rsidR="00795B2B">
        <w:rPr>
          <w:rFonts w:cs="Times New Roman"/>
          <w:lang w:val="fr-CA"/>
        </w:rPr>
        <w:t xml:space="preserve"> </w:t>
      </w:r>
      <w:r w:rsidRPr="00AF17C2">
        <w:rPr>
          <w:rFonts w:cs="Times New Roman"/>
          <w:lang w:val="fr-CA"/>
        </w:rPr>
        <w:t>Swan et K.</w:t>
      </w:r>
      <w:r w:rsidR="00795B2B">
        <w:rPr>
          <w:rFonts w:cs="Times New Roman"/>
          <w:lang w:val="fr-CA"/>
        </w:rPr>
        <w:t xml:space="preserve"> </w:t>
      </w:r>
      <w:r w:rsidRPr="00AF17C2">
        <w:rPr>
          <w:rFonts w:cs="Times New Roman"/>
          <w:lang w:val="fr-CA"/>
        </w:rPr>
        <w:t>E.</w:t>
      </w:r>
      <w:r w:rsidR="00795B2B">
        <w:rPr>
          <w:rFonts w:cs="Times New Roman"/>
          <w:lang w:val="fr-CA"/>
        </w:rPr>
        <w:t xml:space="preserve"> </w:t>
      </w:r>
      <w:proofErr w:type="spellStart"/>
      <w:r w:rsidRPr="00AF17C2">
        <w:rPr>
          <w:rFonts w:cs="Times New Roman"/>
          <w:lang w:val="fr-CA"/>
        </w:rPr>
        <w:t>Swinton</w:t>
      </w:r>
      <w:proofErr w:type="spellEnd"/>
      <w:r w:rsidRPr="00AF17C2">
        <w:rPr>
          <w:rFonts w:cs="Times New Roman"/>
          <w:lang w:val="fr-CA"/>
        </w:rPr>
        <w:t xml:space="preserve">, </w:t>
      </w:r>
      <w:proofErr w:type="spellStart"/>
      <w:r w:rsidRPr="00AF17C2">
        <w:rPr>
          <w:rFonts w:cs="Times New Roman"/>
          <w:lang w:val="fr-CA"/>
        </w:rPr>
        <w:t>dir</w:t>
      </w:r>
      <w:proofErr w:type="spellEnd"/>
      <w:r w:rsidRPr="00AF17C2">
        <w:rPr>
          <w:rFonts w:cs="Times New Roman"/>
          <w:lang w:val="fr-CA"/>
        </w:rPr>
        <w:t xml:space="preserve">., </w:t>
      </w:r>
      <w:proofErr w:type="spellStart"/>
      <w:r w:rsidRPr="00AF17C2">
        <w:rPr>
          <w:rFonts w:cs="Times New Roman"/>
          <w:i/>
          <w:lang w:val="fr-CA"/>
        </w:rPr>
        <w:t>Studies</w:t>
      </w:r>
      <w:proofErr w:type="spellEnd"/>
      <w:r w:rsidRPr="00AF17C2">
        <w:rPr>
          <w:rFonts w:cs="Times New Roman"/>
          <w:i/>
          <w:lang w:val="fr-CA"/>
        </w:rPr>
        <w:t xml:space="preserve"> in Labour Law </w:t>
      </w:r>
      <w:r w:rsidRPr="00AF17C2">
        <w:rPr>
          <w:rFonts w:cs="Times New Roman"/>
          <w:lang w:val="fr-CA"/>
        </w:rPr>
        <w:t xml:space="preserve">(1983), 193).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Parmi les caractéristiques de la liberté de choix des employés dans un tel contexte figure</w:t>
      </w:r>
      <w:r w:rsidR="000D70A3">
        <w:rPr>
          <w:rFonts w:cs="Times New Roman"/>
          <w:lang w:val="fr-CA"/>
        </w:rPr>
        <w:t>nt</w:t>
      </w:r>
      <w:r w:rsidRPr="00AF17C2">
        <w:rPr>
          <w:rFonts w:cs="Times New Roman"/>
          <w:lang w:val="fr-CA"/>
        </w:rPr>
        <w:t xml:space="preserve"> la capacité de constituer de nouvelles associations et d</w:t>
      </w:r>
      <w:r>
        <w:rPr>
          <w:rFonts w:cs="Times New Roman"/>
          <w:lang w:val="fr-CA"/>
        </w:rPr>
        <w:t>’</w:t>
      </w:r>
      <w:r w:rsidRPr="00AF17C2">
        <w:rPr>
          <w:rFonts w:cs="Times New Roman"/>
          <w:lang w:val="fr-CA"/>
        </w:rPr>
        <w:t xml:space="preserve">y adhérer, celle de changer de représentants, </w:t>
      </w:r>
      <w:r w:rsidR="00D444EC">
        <w:rPr>
          <w:rFonts w:cs="Times New Roman"/>
          <w:lang w:val="fr-CA"/>
        </w:rPr>
        <w:t xml:space="preserve">celle </w:t>
      </w:r>
      <w:r w:rsidRPr="00AF17C2">
        <w:rPr>
          <w:rFonts w:cs="Times New Roman"/>
          <w:lang w:val="fr-CA"/>
        </w:rPr>
        <w:t>d</w:t>
      </w:r>
      <w:r>
        <w:rPr>
          <w:rFonts w:cs="Times New Roman"/>
          <w:lang w:val="fr-CA"/>
        </w:rPr>
        <w:t>’</w:t>
      </w:r>
      <w:r w:rsidRPr="00AF17C2">
        <w:rPr>
          <w:rFonts w:cs="Times New Roman"/>
          <w:lang w:val="fr-CA"/>
        </w:rPr>
        <w:t>établir et de modifier les objectifs collectifs relatifs au travail et celle de dissoudre les associations existantes. Certes, la liberté de choix des employés peut susciter une diversité de structures associatives et une concurrence entre les associations, mais cette forme d</w:t>
      </w:r>
      <w:r>
        <w:rPr>
          <w:rFonts w:cs="Times New Roman"/>
          <w:lang w:val="fr-CA"/>
        </w:rPr>
        <w:t>’</w:t>
      </w:r>
      <w:r w:rsidRPr="00AF17C2">
        <w:rPr>
          <w:rFonts w:cs="Times New Roman"/>
          <w:lang w:val="fr-CA"/>
        </w:rPr>
        <w:t xml:space="preserve">exercice de la liberté </w:t>
      </w:r>
      <w:r w:rsidRPr="00AF17C2">
        <w:rPr>
          <w:rFonts w:cs="Times New Roman"/>
          <w:lang w:val="fr-CA"/>
        </w:rPr>
        <w:lastRenderedPageBreak/>
        <w:t>d</w:t>
      </w:r>
      <w:r>
        <w:rPr>
          <w:rFonts w:cs="Times New Roman"/>
          <w:lang w:val="fr-CA"/>
        </w:rPr>
        <w:t>’</w:t>
      </w:r>
      <w:r w:rsidRPr="00AF17C2">
        <w:rPr>
          <w:rFonts w:cs="Times New Roman"/>
          <w:lang w:val="fr-CA"/>
        </w:rPr>
        <w:t>association est essentielle à l</w:t>
      </w:r>
      <w:r>
        <w:rPr>
          <w:rFonts w:cs="Times New Roman"/>
          <w:lang w:val="fr-CA"/>
        </w:rPr>
        <w:t>’</w:t>
      </w:r>
      <w:r w:rsidRPr="00AF17C2">
        <w:rPr>
          <w:rFonts w:cs="Times New Roman"/>
          <w:lang w:val="fr-CA"/>
        </w:rPr>
        <w:t>existence des associations de travailleurs et au maintien de la confiance des membres à l</w:t>
      </w:r>
      <w:r>
        <w:rPr>
          <w:rFonts w:cs="Times New Roman"/>
          <w:lang w:val="fr-CA"/>
        </w:rPr>
        <w:t>’</w:t>
      </w:r>
      <w:r w:rsidRPr="00AF17C2">
        <w:rPr>
          <w:rFonts w:cs="Times New Roman"/>
          <w:lang w:val="fr-CA"/>
        </w:rPr>
        <w:t>égard de ces dernières (</w:t>
      </w:r>
      <w:r w:rsidRPr="00AF17C2">
        <w:rPr>
          <w:rFonts w:cs="Times New Roman"/>
          <w:i/>
          <w:lang w:val="fr-CA"/>
        </w:rPr>
        <w:t>IPFPC</w:t>
      </w:r>
      <w:r w:rsidRPr="00AF17C2">
        <w:rPr>
          <w:rFonts w:cs="Times New Roman"/>
          <w:lang w:val="fr-CA"/>
        </w:rPr>
        <w:t>,</w:t>
      </w:r>
      <w:r w:rsidRPr="00AF17C2">
        <w:rPr>
          <w:rFonts w:cs="Times New Roman"/>
          <w:i/>
          <w:lang w:val="fr-CA"/>
        </w:rPr>
        <w:t xml:space="preserve"> </w:t>
      </w:r>
      <w:r w:rsidRPr="00AF17C2">
        <w:rPr>
          <w:rFonts w:cs="Times New Roman"/>
          <w:lang w:val="fr-CA"/>
        </w:rPr>
        <w:t>p.</w:t>
      </w:r>
      <w:r w:rsidR="00795B2B">
        <w:rPr>
          <w:rFonts w:cs="Times New Roman"/>
          <w:lang w:val="fr-CA"/>
        </w:rPr>
        <w:t xml:space="preserve"> </w:t>
      </w:r>
      <w:r w:rsidRPr="00AF17C2">
        <w:rPr>
          <w:rFonts w:cs="Times New Roman"/>
          <w:lang w:val="fr-CA"/>
        </w:rPr>
        <w:t>380, le juge Cory, dissident; P.</w:t>
      </w:r>
      <w:r w:rsidR="00795B2B">
        <w:rPr>
          <w:rFonts w:cs="Times New Roman"/>
          <w:lang w:val="fr-CA"/>
        </w:rPr>
        <w:t xml:space="preserve"> </w:t>
      </w:r>
      <w:r w:rsidRPr="00AF17C2">
        <w:rPr>
          <w:rFonts w:cs="Times New Roman"/>
          <w:lang w:val="fr-CA"/>
        </w:rPr>
        <w:t>Davies et M.</w:t>
      </w:r>
      <w:r w:rsidR="00795B2B">
        <w:rPr>
          <w:rFonts w:cs="Times New Roman"/>
          <w:lang w:val="fr-CA"/>
        </w:rPr>
        <w:t xml:space="preserve"> </w:t>
      </w:r>
      <w:proofErr w:type="spellStart"/>
      <w:r w:rsidRPr="00AF17C2">
        <w:rPr>
          <w:rFonts w:cs="Times New Roman"/>
          <w:lang w:val="fr-CA"/>
        </w:rPr>
        <w:t>Freedland</w:t>
      </w:r>
      <w:proofErr w:type="spellEnd"/>
      <w:r w:rsidRPr="00AF17C2">
        <w:rPr>
          <w:rFonts w:cs="Times New Roman"/>
          <w:lang w:val="fr-CA"/>
        </w:rPr>
        <w:t xml:space="preserve">, </w:t>
      </w:r>
      <w:proofErr w:type="spellStart"/>
      <w:r w:rsidRPr="00AF17C2">
        <w:rPr>
          <w:rFonts w:cs="Times New Roman"/>
          <w:i/>
          <w:lang w:val="fr-CA"/>
        </w:rPr>
        <w:t>Kahn</w:t>
      </w:r>
      <w:r w:rsidR="00795B2B">
        <w:rPr>
          <w:rFonts w:cs="Times New Roman"/>
          <w:i/>
          <w:lang w:val="fr-CA"/>
        </w:rPr>
        <w:t>-</w:t>
      </w:r>
      <w:r w:rsidRPr="00AF17C2">
        <w:rPr>
          <w:rFonts w:cs="Times New Roman"/>
          <w:i/>
          <w:lang w:val="fr-CA"/>
        </w:rPr>
        <w:t>Freund</w:t>
      </w:r>
      <w:r>
        <w:rPr>
          <w:rFonts w:cs="Times New Roman"/>
          <w:i/>
          <w:lang w:val="fr-CA"/>
        </w:rPr>
        <w:t>’</w:t>
      </w:r>
      <w:r w:rsidRPr="00AF17C2">
        <w:rPr>
          <w:rFonts w:cs="Times New Roman"/>
          <w:i/>
          <w:lang w:val="fr-CA"/>
        </w:rPr>
        <w:t>s</w:t>
      </w:r>
      <w:proofErr w:type="spellEnd"/>
      <w:r w:rsidRPr="00AF17C2">
        <w:rPr>
          <w:rFonts w:cs="Times New Roman"/>
          <w:lang w:val="fr-CA"/>
        </w:rPr>
        <w:t xml:space="preserve"> </w:t>
      </w:r>
      <w:r w:rsidRPr="00AF17C2">
        <w:rPr>
          <w:rFonts w:cs="Times New Roman"/>
          <w:i/>
          <w:lang w:val="fr-CA"/>
        </w:rPr>
        <w:t>Labour and the Law</w:t>
      </w:r>
      <w:r w:rsidRPr="00AF17C2">
        <w:rPr>
          <w:rFonts w:cs="Times New Roman"/>
          <w:lang w:val="fr-CA"/>
        </w:rPr>
        <w:t xml:space="preserve"> (3</w:t>
      </w:r>
      <w:r w:rsidRPr="00AF17C2">
        <w:rPr>
          <w:rFonts w:cs="Times New Roman"/>
          <w:vertAlign w:val="superscript"/>
          <w:lang w:val="fr-CA"/>
        </w:rPr>
        <w:t>e</w:t>
      </w:r>
      <w:r w:rsidRPr="00AF17C2">
        <w:rPr>
          <w:rFonts w:cs="Times New Roman"/>
          <w:lang w:val="fr-CA"/>
        </w:rPr>
        <w:t xml:space="preserve"> éd. 1983), p.</w:t>
      </w:r>
      <w:r w:rsidR="00795B2B">
        <w:rPr>
          <w:rFonts w:cs="Times New Roman"/>
          <w:lang w:val="fr-CA"/>
        </w:rPr>
        <w:t xml:space="preserve"> </w:t>
      </w:r>
      <w:r w:rsidRPr="00AF17C2">
        <w:rPr>
          <w:rFonts w:cs="Times New Roman"/>
          <w:lang w:val="fr-CA"/>
        </w:rPr>
        <w:t>200</w:t>
      </w:r>
      <w:r w:rsidR="00232B9F">
        <w:rPr>
          <w:rFonts w:cs="Times New Roman"/>
          <w:lang w:val="fr-CA"/>
        </w:rPr>
        <w:t>)</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obligation de rendre compte aux membres de l</w:t>
      </w:r>
      <w:r>
        <w:rPr>
          <w:rFonts w:cs="Times New Roman"/>
          <w:lang w:val="fr-CA"/>
        </w:rPr>
        <w:t>’</w:t>
      </w:r>
      <w:r w:rsidRPr="00AF17C2">
        <w:rPr>
          <w:rFonts w:cs="Times New Roman"/>
          <w:lang w:val="fr-CA"/>
        </w:rPr>
        <w:t xml:space="preserve">association joue un rôle important pour apprécier la suffisance de la liberté de choix des employés dans un régime de relations de travail donné. Ces derniers choisissent leurs représentants en tenant pour acquis que </w:t>
      </w:r>
      <w:r w:rsidRPr="00AF17C2">
        <w:rPr>
          <w:rFonts w:cs="Times New Roman"/>
          <w:i/>
          <w:lang w:val="fr-CA"/>
        </w:rPr>
        <w:t>leur</w:t>
      </w:r>
      <w:r w:rsidRPr="00AF17C2">
        <w:rPr>
          <w:rFonts w:cs="Times New Roman"/>
          <w:lang w:val="fr-CA"/>
        </w:rPr>
        <w:t xml:space="preserve"> point de vue sera transmis à l</w:t>
      </w:r>
      <w:r>
        <w:rPr>
          <w:rFonts w:cs="Times New Roman"/>
          <w:lang w:val="fr-CA"/>
        </w:rPr>
        <w:t>’</w:t>
      </w:r>
      <w:r w:rsidRPr="00AF17C2">
        <w:rPr>
          <w:rFonts w:cs="Times New Roman"/>
          <w:lang w:val="fr-CA"/>
        </w:rPr>
        <w:t>employeur par les gens qu</w:t>
      </w:r>
      <w:r>
        <w:rPr>
          <w:rFonts w:cs="Times New Roman"/>
          <w:lang w:val="fr-CA"/>
        </w:rPr>
        <w:t>’</w:t>
      </w:r>
      <w:r w:rsidRPr="00AF17C2">
        <w:rPr>
          <w:rFonts w:cs="Times New Roman"/>
          <w:i/>
          <w:lang w:val="fr-CA"/>
        </w:rPr>
        <w:t>ils</w:t>
      </w:r>
      <w:r w:rsidRPr="00AF17C2">
        <w:rPr>
          <w:rFonts w:cs="Times New Roman"/>
          <w:lang w:val="fr-CA"/>
        </w:rPr>
        <w:t xml:space="preserve"> ont choisis (A.</w:t>
      </w:r>
      <w:r w:rsidR="00795B2B">
        <w:rPr>
          <w:rFonts w:cs="Times New Roman"/>
          <w:lang w:val="fr-CA"/>
        </w:rPr>
        <w:t xml:space="preserve"> </w:t>
      </w:r>
      <w:proofErr w:type="spellStart"/>
      <w:r w:rsidRPr="00AF17C2">
        <w:rPr>
          <w:rFonts w:cs="Times New Roman"/>
          <w:lang w:val="fr-CA"/>
        </w:rPr>
        <w:t>Bogg</w:t>
      </w:r>
      <w:proofErr w:type="spellEnd"/>
      <w:r w:rsidRPr="00AF17C2">
        <w:rPr>
          <w:rFonts w:cs="Times New Roman"/>
          <w:lang w:val="fr-CA"/>
        </w:rPr>
        <w:t xml:space="preserve"> et K.</w:t>
      </w:r>
      <w:r w:rsidR="00795B2B">
        <w:rPr>
          <w:rFonts w:cs="Times New Roman"/>
          <w:lang w:val="fr-CA"/>
        </w:rPr>
        <w:t xml:space="preserve"> </w:t>
      </w:r>
      <w:r w:rsidRPr="00AF17C2">
        <w:rPr>
          <w:rFonts w:cs="Times New Roman"/>
          <w:lang w:val="fr-CA"/>
        </w:rPr>
        <w:t xml:space="preserve">Ewing, </w:t>
      </w:r>
      <w:r w:rsidR="00795B2B">
        <w:rPr>
          <w:rFonts w:cs="Times New Roman"/>
          <w:lang w:val="fr-CA"/>
        </w:rPr>
        <w:t>« </w:t>
      </w:r>
      <w:r w:rsidRPr="00AF17C2">
        <w:rPr>
          <w:rFonts w:cs="Times New Roman"/>
          <w:lang w:val="fr-CA"/>
        </w:rPr>
        <w:t>A (</w:t>
      </w:r>
      <w:proofErr w:type="spellStart"/>
      <w:r w:rsidRPr="00AF17C2">
        <w:rPr>
          <w:rFonts w:cs="Times New Roman"/>
          <w:lang w:val="fr-CA"/>
        </w:rPr>
        <w:t>Muted</w:t>
      </w:r>
      <w:proofErr w:type="spellEnd"/>
      <w:r w:rsidRPr="00AF17C2">
        <w:rPr>
          <w:rFonts w:cs="Times New Roman"/>
          <w:lang w:val="fr-CA"/>
        </w:rPr>
        <w:t xml:space="preserve">) Voice at Work? </w:t>
      </w:r>
      <w:r w:rsidRPr="00AF17C2">
        <w:rPr>
          <w:rFonts w:cs="Times New Roman"/>
          <w:lang w:val="en-US"/>
        </w:rPr>
        <w:t>Collective Bargaining in the Supreme Court of Canada</w:t>
      </w:r>
      <w:r w:rsidR="00795B2B">
        <w:rPr>
          <w:rFonts w:cs="Times New Roman"/>
          <w:lang w:val="en-US"/>
        </w:rPr>
        <w:t> »</w:t>
      </w:r>
      <w:r w:rsidRPr="00AF17C2">
        <w:rPr>
          <w:rFonts w:cs="Times New Roman"/>
          <w:lang w:val="en-US"/>
        </w:rPr>
        <w:t xml:space="preserve"> (2012), 33 </w:t>
      </w:r>
      <w:r w:rsidRPr="00AF17C2">
        <w:rPr>
          <w:rFonts w:cs="Times New Roman"/>
          <w:i/>
          <w:lang w:val="en-US"/>
        </w:rPr>
        <w:t>Comp.</w:t>
      </w:r>
      <w:r w:rsidR="00795B2B">
        <w:rPr>
          <w:rFonts w:cs="Times New Roman"/>
          <w:i/>
          <w:lang w:val="en-US"/>
        </w:rPr>
        <w:t xml:space="preserve"> </w:t>
      </w:r>
      <w:r w:rsidRPr="00AF17C2">
        <w:rPr>
          <w:rFonts w:cs="Times New Roman"/>
          <w:i/>
          <w:lang w:val="en-US"/>
        </w:rPr>
        <w:t xml:space="preserve">Lab. L. &amp; </w:t>
      </w:r>
      <w:proofErr w:type="spellStart"/>
      <w:r w:rsidRPr="00AF17C2">
        <w:rPr>
          <w:rFonts w:cs="Times New Roman"/>
          <w:i/>
          <w:lang w:val="en-US"/>
        </w:rPr>
        <w:t>Pol</w:t>
      </w:r>
      <w:r>
        <w:rPr>
          <w:rFonts w:cs="Times New Roman"/>
          <w:i/>
          <w:lang w:val="en-US"/>
        </w:rPr>
        <w:t>’</w:t>
      </w:r>
      <w:r w:rsidRPr="00AF17C2">
        <w:rPr>
          <w:rFonts w:cs="Times New Roman"/>
          <w:i/>
          <w:lang w:val="en-US"/>
        </w:rPr>
        <w:t>y</w:t>
      </w:r>
      <w:proofErr w:type="spellEnd"/>
      <w:r w:rsidR="00795B2B">
        <w:rPr>
          <w:rFonts w:cs="Times New Roman"/>
          <w:i/>
          <w:lang w:val="en-US"/>
        </w:rPr>
        <w:t xml:space="preserve"> </w:t>
      </w:r>
      <w:r w:rsidRPr="00AF17C2">
        <w:rPr>
          <w:rFonts w:cs="Times New Roman"/>
          <w:i/>
          <w:lang w:val="en-US"/>
        </w:rPr>
        <w:t>J.</w:t>
      </w:r>
      <w:r w:rsidR="00795B2B">
        <w:rPr>
          <w:rFonts w:cs="Times New Roman"/>
          <w:i/>
          <w:lang w:val="en-US"/>
        </w:rPr>
        <w:t xml:space="preserve"> </w:t>
      </w:r>
      <w:r w:rsidRPr="00AF17C2">
        <w:rPr>
          <w:rFonts w:cs="Times New Roman"/>
          <w:lang w:val="en-US"/>
        </w:rPr>
        <w:t>379, p.</w:t>
      </w:r>
      <w:r w:rsidR="00795B2B">
        <w:rPr>
          <w:rFonts w:cs="Times New Roman"/>
          <w:lang w:val="en-US"/>
        </w:rPr>
        <w:t xml:space="preserve"> </w:t>
      </w:r>
      <w:r w:rsidRPr="00AF17C2">
        <w:rPr>
          <w:rFonts w:cs="Times New Roman"/>
          <w:lang w:val="en-US"/>
        </w:rPr>
        <w:t xml:space="preserve">405). </w:t>
      </w:r>
      <w:r w:rsidRPr="00AF17C2">
        <w:rPr>
          <w:rFonts w:cs="Times New Roman"/>
          <w:lang w:val="fr-CA"/>
        </w:rPr>
        <w:t>Tout régime qui oblige les représentants à rendre compte aux employés qui les ont choisis garantit que l</w:t>
      </w:r>
      <w:r>
        <w:rPr>
          <w:rFonts w:cs="Times New Roman"/>
          <w:lang w:val="fr-CA"/>
        </w:rPr>
        <w:t>’</w:t>
      </w:r>
      <w:r w:rsidRPr="00AF17C2">
        <w:rPr>
          <w:rFonts w:cs="Times New Roman"/>
          <w:lang w:val="fr-CA"/>
        </w:rPr>
        <w:t>association travaille à l</w:t>
      </w:r>
      <w:r>
        <w:rPr>
          <w:rFonts w:cs="Times New Roman"/>
          <w:lang w:val="fr-CA"/>
        </w:rPr>
        <w:t>’</w:t>
      </w:r>
      <w:r w:rsidRPr="00AF17C2">
        <w:rPr>
          <w:rFonts w:cs="Times New Roman"/>
          <w:lang w:val="fr-CA"/>
        </w:rPr>
        <w:t>atteinte des objectifs pour lesquels les employés se sont associés. L</w:t>
      </w:r>
      <w:r>
        <w:rPr>
          <w:rFonts w:cs="Times New Roman"/>
          <w:lang w:val="fr-CA"/>
        </w:rPr>
        <w:t>’</w:t>
      </w:r>
      <w:r w:rsidRPr="00AF17C2">
        <w:rPr>
          <w:rFonts w:cs="Times New Roman"/>
          <w:lang w:val="fr-CA"/>
        </w:rPr>
        <w:t>obligation de rendre compte assure aux employés un meilleur contrôle sur le choix des questions soumises à l</w:t>
      </w:r>
      <w:r>
        <w:rPr>
          <w:rFonts w:cs="Times New Roman"/>
          <w:lang w:val="fr-CA"/>
        </w:rPr>
        <w:t>’</w:t>
      </w:r>
      <w:r w:rsidRPr="00AF17C2">
        <w:rPr>
          <w:rFonts w:cs="Times New Roman"/>
          <w:lang w:val="fr-CA"/>
        </w:rPr>
        <w:t>attention de l</w:t>
      </w:r>
      <w:r>
        <w:rPr>
          <w:rFonts w:cs="Times New Roman"/>
          <w:lang w:val="fr-CA"/>
        </w:rPr>
        <w:t>’</w:t>
      </w:r>
      <w:r w:rsidRPr="00AF17C2">
        <w:rPr>
          <w:rFonts w:cs="Times New Roman"/>
          <w:lang w:val="fr-CA"/>
        </w:rPr>
        <w:t>employeur et sur les ententes conclues en leur nom à l</w:t>
      </w:r>
      <w:r>
        <w:rPr>
          <w:rFonts w:cs="Times New Roman"/>
          <w:lang w:val="fr-CA"/>
        </w:rPr>
        <w:t>’</w:t>
      </w:r>
      <w:r w:rsidRPr="00AF17C2">
        <w:rPr>
          <w:rFonts w:cs="Times New Roman"/>
          <w:lang w:val="fr-CA"/>
        </w:rPr>
        <w:t xml:space="preserve">issue du processus de négociation collective. </w:t>
      </w:r>
    </w:p>
    <w:p w:rsidR="007B74A6" w:rsidRPr="00232B9F" w:rsidRDefault="007B74A6" w:rsidP="00795B2B">
      <w:pPr>
        <w:pStyle w:val="Title4LevelTitre4Niveau"/>
        <w:tabs>
          <w:tab w:val="left" w:pos="1080"/>
        </w:tabs>
        <w:ind w:left="1078" w:hanging="539"/>
        <w:rPr>
          <w:rFonts w:cs="Times New Roman"/>
          <w:i/>
          <w:u w:val="none"/>
          <w:lang w:val="fr-CA"/>
        </w:rPr>
      </w:pPr>
      <w:r w:rsidRPr="00232B9F">
        <w:rPr>
          <w:rFonts w:cs="Times New Roman"/>
          <w:i/>
          <w:u w:val="none"/>
          <w:lang w:val="fr-CA"/>
        </w:rPr>
        <w:t xml:space="preserve">Indépendance à l’égard de la direction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objectif de la négociation collective n</w:t>
      </w:r>
      <w:r>
        <w:rPr>
          <w:rFonts w:cs="Times New Roman"/>
          <w:lang w:val="fr-CA"/>
        </w:rPr>
        <w:t>’</w:t>
      </w:r>
      <w:r w:rsidRPr="00AF17C2">
        <w:rPr>
          <w:rFonts w:cs="Times New Roman"/>
          <w:lang w:val="fr-CA"/>
        </w:rPr>
        <w:t>est pas atteint si l</w:t>
      </w:r>
      <w:r>
        <w:rPr>
          <w:rFonts w:cs="Times New Roman"/>
          <w:lang w:val="fr-CA"/>
        </w:rPr>
        <w:t>’</w:t>
      </w:r>
      <w:r w:rsidRPr="00AF17C2">
        <w:rPr>
          <w:rFonts w:cs="Times New Roman"/>
          <w:lang w:val="fr-CA"/>
        </w:rPr>
        <w:t>employeur domine ou influence le processus qui l</w:t>
      </w:r>
      <w:r>
        <w:rPr>
          <w:rFonts w:cs="Times New Roman"/>
          <w:lang w:val="fr-CA"/>
        </w:rPr>
        <w:t>’</w:t>
      </w:r>
      <w:r w:rsidRPr="00AF17C2">
        <w:rPr>
          <w:rFonts w:cs="Times New Roman"/>
          <w:lang w:val="fr-CA"/>
        </w:rPr>
        <w:t>entoure. C</w:t>
      </w:r>
      <w:r>
        <w:rPr>
          <w:rFonts w:cs="Times New Roman"/>
          <w:lang w:val="fr-CA"/>
        </w:rPr>
        <w:t>’</w:t>
      </w:r>
      <w:r w:rsidRPr="00AF17C2">
        <w:rPr>
          <w:rFonts w:cs="Times New Roman"/>
          <w:lang w:val="fr-CA"/>
        </w:rPr>
        <w:t>est pourquoi un processus véritable de négociation collective protège le droit des employés de former des associations qui sont indépendantes de la direction, et d</w:t>
      </w:r>
      <w:r>
        <w:rPr>
          <w:rFonts w:cs="Times New Roman"/>
          <w:lang w:val="fr-CA"/>
        </w:rPr>
        <w:t>’</w:t>
      </w:r>
      <w:r w:rsidRPr="00AF17C2">
        <w:rPr>
          <w:rFonts w:cs="Times New Roman"/>
          <w:lang w:val="fr-CA"/>
        </w:rPr>
        <w:t>y adhérer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Pr="00AF17C2">
        <w:rPr>
          <w:rFonts w:cs="Times New Roman"/>
          <w:lang w:val="fr-CA"/>
        </w:rPr>
        <w:t>32 et 37). À l</w:t>
      </w:r>
      <w:r>
        <w:rPr>
          <w:rFonts w:cs="Times New Roman"/>
          <w:lang w:val="fr-CA"/>
        </w:rPr>
        <w:t>’</w:t>
      </w:r>
      <w:r w:rsidRPr="00AF17C2">
        <w:rPr>
          <w:rFonts w:cs="Times New Roman"/>
          <w:lang w:val="fr-CA"/>
        </w:rPr>
        <w:t>instar de la liberté de choix, l</w:t>
      </w:r>
      <w:r>
        <w:rPr>
          <w:rFonts w:cs="Times New Roman"/>
          <w:lang w:val="fr-CA"/>
        </w:rPr>
        <w:t>’</w:t>
      </w:r>
      <w:r w:rsidRPr="00AF17C2">
        <w:rPr>
          <w:rFonts w:cs="Times New Roman"/>
          <w:lang w:val="fr-CA"/>
        </w:rPr>
        <w:t>indépendance dans le contexte de la négociation collective n</w:t>
      </w:r>
      <w:r>
        <w:rPr>
          <w:rFonts w:cs="Times New Roman"/>
          <w:lang w:val="fr-CA"/>
        </w:rPr>
        <w:t>’</w:t>
      </w:r>
      <w:r w:rsidRPr="00AF17C2">
        <w:rPr>
          <w:rFonts w:cs="Times New Roman"/>
          <w:lang w:val="fr-CA"/>
        </w:rPr>
        <w:t>est pas absolue. L</w:t>
      </w:r>
      <w:r>
        <w:rPr>
          <w:rFonts w:cs="Times New Roman"/>
          <w:lang w:val="fr-CA"/>
        </w:rPr>
        <w:t>’</w:t>
      </w:r>
      <w:r w:rsidRPr="00AF17C2">
        <w:rPr>
          <w:rFonts w:cs="Times New Roman"/>
          <w:lang w:val="fr-CA"/>
        </w:rPr>
        <w:t xml:space="preserve">indépendance requise par la </w:t>
      </w:r>
      <w:r w:rsidRPr="00AF17C2">
        <w:rPr>
          <w:rFonts w:cs="Times New Roman"/>
          <w:i/>
          <w:lang w:val="fr-CA"/>
        </w:rPr>
        <w:t>Charte</w:t>
      </w:r>
      <w:r w:rsidRPr="00AF17C2">
        <w:rPr>
          <w:rFonts w:cs="Times New Roman"/>
          <w:lang w:val="fr-CA"/>
        </w:rPr>
        <w:t xml:space="preserve"> aux fins de la négociation </w:t>
      </w:r>
      <w:r w:rsidRPr="00AF17C2">
        <w:rPr>
          <w:rFonts w:cs="Times New Roman"/>
          <w:lang w:val="fr-CA"/>
        </w:rPr>
        <w:lastRenderedPageBreak/>
        <w:t>collective est celle qui fait correspondre les activités de l</w:t>
      </w:r>
      <w:r>
        <w:rPr>
          <w:rFonts w:cs="Times New Roman"/>
          <w:lang w:val="fr-CA"/>
        </w:rPr>
        <w:t>’</w:t>
      </w:r>
      <w:r w:rsidRPr="00AF17C2">
        <w:rPr>
          <w:rFonts w:cs="Times New Roman"/>
          <w:lang w:val="fr-CA"/>
        </w:rPr>
        <w:t>association aux intérêts de ses membres.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Tout comme le choix, l</w:t>
      </w:r>
      <w:r>
        <w:rPr>
          <w:rFonts w:cs="Times New Roman"/>
          <w:lang w:val="fr-CA"/>
        </w:rPr>
        <w:t>’</w:t>
      </w:r>
      <w:r w:rsidRPr="00AF17C2">
        <w:rPr>
          <w:rFonts w:cs="Times New Roman"/>
          <w:lang w:val="fr-CA"/>
        </w:rPr>
        <w:t>indépendance à l</w:t>
      </w:r>
      <w:r>
        <w:rPr>
          <w:rFonts w:cs="Times New Roman"/>
          <w:lang w:val="fr-CA"/>
        </w:rPr>
        <w:t>’</w:t>
      </w:r>
      <w:r w:rsidRPr="00AF17C2">
        <w:rPr>
          <w:rFonts w:cs="Times New Roman"/>
          <w:lang w:val="fr-CA"/>
        </w:rPr>
        <w:t>égard de l</w:t>
      </w:r>
      <w:r>
        <w:rPr>
          <w:rFonts w:cs="Times New Roman"/>
          <w:lang w:val="fr-CA"/>
        </w:rPr>
        <w:t>’</w:t>
      </w:r>
      <w:r w:rsidRPr="00AF17C2">
        <w:rPr>
          <w:rFonts w:cs="Times New Roman"/>
          <w:lang w:val="fr-CA"/>
        </w:rPr>
        <w:t>employeur garantit que les activités de l</w:t>
      </w:r>
      <w:r>
        <w:rPr>
          <w:rFonts w:cs="Times New Roman"/>
          <w:lang w:val="fr-CA"/>
        </w:rPr>
        <w:t>’</w:t>
      </w:r>
      <w:r w:rsidRPr="00AF17C2">
        <w:rPr>
          <w:rFonts w:cs="Times New Roman"/>
          <w:lang w:val="fr-CA"/>
        </w:rPr>
        <w:t>association reflètent les intérêts des employés, ce qui respecte la nature et l</w:t>
      </w:r>
      <w:r>
        <w:rPr>
          <w:rFonts w:cs="Times New Roman"/>
          <w:lang w:val="fr-CA"/>
        </w:rPr>
        <w:t>’</w:t>
      </w:r>
      <w:r w:rsidRPr="00AF17C2">
        <w:rPr>
          <w:rFonts w:cs="Times New Roman"/>
          <w:lang w:val="fr-CA"/>
        </w:rPr>
        <w:t>objet du processus de négociation collective et en assure le bon fonctionnement. À l</w:t>
      </w:r>
      <w:r>
        <w:rPr>
          <w:rFonts w:cs="Times New Roman"/>
          <w:lang w:val="fr-CA"/>
        </w:rPr>
        <w:t>’</w:t>
      </w:r>
      <w:r w:rsidRPr="00AF17C2">
        <w:rPr>
          <w:rFonts w:cs="Times New Roman"/>
          <w:lang w:val="fr-CA"/>
        </w:rPr>
        <w:t>inverse, un manque d</w:t>
      </w:r>
      <w:r>
        <w:rPr>
          <w:rFonts w:cs="Times New Roman"/>
          <w:lang w:val="fr-CA"/>
        </w:rPr>
        <w:t>’</w:t>
      </w:r>
      <w:r w:rsidRPr="00AF17C2">
        <w:rPr>
          <w:rFonts w:cs="Times New Roman"/>
          <w:lang w:val="fr-CA"/>
        </w:rPr>
        <w:t>indépendance signifie que les employés ne sont peut</w:t>
      </w:r>
      <w:r w:rsidR="00795B2B">
        <w:rPr>
          <w:rFonts w:cs="Times New Roman"/>
          <w:lang w:val="fr-CA"/>
        </w:rPr>
        <w:t>-</w:t>
      </w:r>
      <w:r w:rsidRPr="00AF17C2">
        <w:rPr>
          <w:rFonts w:cs="Times New Roman"/>
          <w:lang w:val="fr-CA"/>
        </w:rPr>
        <w:t>être pas en mesure de faire valoir leurs propres intérêts, mais qu</w:t>
      </w:r>
      <w:r>
        <w:rPr>
          <w:rFonts w:cs="Times New Roman"/>
          <w:lang w:val="fr-CA"/>
        </w:rPr>
        <w:t>’</w:t>
      </w:r>
      <w:r w:rsidRPr="00AF17C2">
        <w:rPr>
          <w:rFonts w:cs="Times New Roman"/>
          <w:lang w:val="fr-CA"/>
        </w:rPr>
        <w:t>ils doivent choisir parmi ceux que l</w:t>
      </w:r>
      <w:r>
        <w:rPr>
          <w:rFonts w:cs="Times New Roman"/>
          <w:lang w:val="fr-CA"/>
        </w:rPr>
        <w:t>’</w:t>
      </w:r>
      <w:r w:rsidRPr="00AF17C2">
        <w:rPr>
          <w:rFonts w:cs="Times New Roman"/>
          <w:lang w:val="fr-CA"/>
        </w:rPr>
        <w:t>employeur les autorise à défendre. Au nombre des facteurs à considérer dans l</w:t>
      </w:r>
      <w:r>
        <w:rPr>
          <w:rFonts w:cs="Times New Roman"/>
          <w:lang w:val="fr-CA"/>
        </w:rPr>
        <w:t>’</w:t>
      </w:r>
      <w:r w:rsidRPr="00AF17C2">
        <w:rPr>
          <w:rFonts w:cs="Times New Roman"/>
          <w:lang w:val="fr-CA"/>
        </w:rPr>
        <w:t>examen de l</w:t>
      </w:r>
      <w:r>
        <w:rPr>
          <w:rFonts w:cs="Times New Roman"/>
          <w:lang w:val="fr-CA"/>
        </w:rPr>
        <w:t>’</w:t>
      </w:r>
      <w:r w:rsidRPr="00AF17C2">
        <w:rPr>
          <w:rFonts w:cs="Times New Roman"/>
          <w:lang w:val="fr-CA"/>
        </w:rPr>
        <w:t>indépendance, mentionnons la liberté de modifier l</w:t>
      </w:r>
      <w:r>
        <w:rPr>
          <w:rFonts w:cs="Times New Roman"/>
          <w:lang w:val="fr-CA"/>
        </w:rPr>
        <w:t>’</w:t>
      </w:r>
      <w:r w:rsidRPr="00AF17C2">
        <w:rPr>
          <w:rFonts w:cs="Times New Roman"/>
          <w:lang w:val="fr-CA"/>
        </w:rPr>
        <w:t>acte constitutif et les règles de l</w:t>
      </w:r>
      <w:r>
        <w:rPr>
          <w:rFonts w:cs="Times New Roman"/>
          <w:lang w:val="fr-CA"/>
        </w:rPr>
        <w:t>’</w:t>
      </w:r>
      <w:r w:rsidRPr="00AF17C2">
        <w:rPr>
          <w:rFonts w:cs="Times New Roman"/>
          <w:lang w:val="fr-CA"/>
        </w:rPr>
        <w:t>association, la liberté de choisir les représentants de celle</w:t>
      </w:r>
      <w:r w:rsidR="00795B2B">
        <w:rPr>
          <w:rFonts w:cs="Times New Roman"/>
          <w:lang w:val="fr-CA"/>
        </w:rPr>
        <w:t>-</w:t>
      </w:r>
      <w:r w:rsidRPr="00AF17C2">
        <w:rPr>
          <w:rFonts w:cs="Times New Roman"/>
          <w:lang w:val="fr-CA"/>
        </w:rPr>
        <w:t>ci ainsi que le contrôle sur l</w:t>
      </w:r>
      <w:r>
        <w:rPr>
          <w:rFonts w:cs="Times New Roman"/>
          <w:lang w:val="fr-CA"/>
        </w:rPr>
        <w:t>’</w:t>
      </w:r>
      <w:r w:rsidRPr="00AF17C2">
        <w:rPr>
          <w:rFonts w:cs="Times New Roman"/>
          <w:lang w:val="fr-CA"/>
        </w:rPr>
        <w:t>administration financière et sur les activités que l</w:t>
      </w:r>
      <w:r>
        <w:rPr>
          <w:rFonts w:cs="Times New Roman"/>
          <w:lang w:val="fr-CA"/>
        </w:rPr>
        <w:t>’</w:t>
      </w:r>
      <w:r w:rsidRPr="00AF17C2">
        <w:rPr>
          <w:rFonts w:cs="Times New Roman"/>
          <w:lang w:val="fr-CA"/>
        </w:rPr>
        <w:t>association décide de mener.</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 xml:space="preserve">indépendance et la liberté de choix forment des règles complémentaires pour déterminer si un régime de relations de travail respecte les exigences de la Constitution. Le respect de la </w:t>
      </w:r>
      <w:r w:rsidRPr="00AF17C2">
        <w:rPr>
          <w:rFonts w:cs="Times New Roman"/>
          <w:i/>
          <w:lang w:val="fr-CA"/>
        </w:rPr>
        <w:t>Charte</w:t>
      </w:r>
      <w:r w:rsidRPr="00AF17C2">
        <w:rPr>
          <w:rFonts w:cs="Times New Roman"/>
          <w:lang w:val="fr-CA"/>
        </w:rPr>
        <w:t xml:space="preserve"> s</w:t>
      </w:r>
      <w:r>
        <w:rPr>
          <w:rFonts w:cs="Times New Roman"/>
          <w:lang w:val="fr-CA"/>
        </w:rPr>
        <w:t>’</w:t>
      </w:r>
      <w:r w:rsidRPr="00AF17C2">
        <w:rPr>
          <w:rFonts w:cs="Times New Roman"/>
          <w:lang w:val="fr-CA"/>
        </w:rPr>
        <w:t xml:space="preserve">évalue en fonction des </w:t>
      </w:r>
      <w:r w:rsidRPr="00AF17C2">
        <w:rPr>
          <w:rFonts w:cs="Times New Roman"/>
          <w:i/>
          <w:lang w:val="fr-CA"/>
        </w:rPr>
        <w:t>degrés</w:t>
      </w:r>
      <w:r w:rsidRPr="00AF17C2">
        <w:rPr>
          <w:rFonts w:cs="Times New Roman"/>
          <w:lang w:val="fr-CA"/>
        </w:rPr>
        <w:t xml:space="preserve"> d</w:t>
      </w:r>
      <w:r>
        <w:rPr>
          <w:rFonts w:cs="Times New Roman"/>
          <w:lang w:val="fr-CA"/>
        </w:rPr>
        <w:t>’</w:t>
      </w:r>
      <w:r w:rsidRPr="00AF17C2">
        <w:rPr>
          <w:rFonts w:cs="Times New Roman"/>
          <w:lang w:val="fr-CA"/>
        </w:rPr>
        <w:t>indépendance et de liberté de choix garantis par le régime de relations de travail, en portant une attention particulière au contexte global du régime. Les degrés de liberté de choix et d</w:t>
      </w:r>
      <w:r>
        <w:rPr>
          <w:rFonts w:cs="Times New Roman"/>
          <w:lang w:val="fr-CA"/>
        </w:rPr>
        <w:t>’</w:t>
      </w:r>
      <w:r w:rsidRPr="00AF17C2">
        <w:rPr>
          <w:rFonts w:cs="Times New Roman"/>
          <w:lang w:val="fr-CA"/>
        </w:rPr>
        <w:t>indépendance accordés ne devraient pas être examinés isolément, mais plutôt globalement, toujours dans le but de déterminer si les employés sont en mesure de s</w:t>
      </w:r>
      <w:r>
        <w:rPr>
          <w:rFonts w:cs="Times New Roman"/>
          <w:lang w:val="fr-CA"/>
        </w:rPr>
        <w:t>’</w:t>
      </w:r>
      <w:r w:rsidRPr="00AF17C2">
        <w:rPr>
          <w:rFonts w:cs="Times New Roman"/>
          <w:lang w:val="fr-CA"/>
        </w:rPr>
        <w:t>associer en vue de réaliser véritablement des objectifs collectifs relatifs au travail.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examinerons maintenant les conséquences pratiques de la liberté de choix et de l</w:t>
      </w:r>
      <w:r>
        <w:rPr>
          <w:rFonts w:cs="Times New Roman"/>
          <w:lang w:val="fr-CA"/>
        </w:rPr>
        <w:t>’</w:t>
      </w:r>
      <w:r w:rsidRPr="00AF17C2">
        <w:rPr>
          <w:rFonts w:cs="Times New Roman"/>
          <w:lang w:val="fr-CA"/>
        </w:rPr>
        <w:t xml:space="preserve">indépendance sur les modèles de relations de travail. </w:t>
      </w:r>
    </w:p>
    <w:p w:rsidR="007B74A6" w:rsidRPr="00AF17C2" w:rsidRDefault="007B74A6" w:rsidP="008078FB">
      <w:pPr>
        <w:pStyle w:val="Title3LevelTitre3Niveau"/>
        <w:ind w:left="1077"/>
        <w:jc w:val="both"/>
        <w:rPr>
          <w:rFonts w:cs="Times New Roman"/>
          <w:lang w:val="fr-CA"/>
        </w:rPr>
      </w:pPr>
      <w:r w:rsidRPr="00AF17C2">
        <w:rPr>
          <w:rFonts w:cs="Times New Roman"/>
          <w:lang w:val="fr-CA"/>
        </w:rPr>
        <w:lastRenderedPageBreak/>
        <w:t>Les modèles de relations de travail doivent permettre une véritable négociation collective</w:t>
      </w:r>
    </w:p>
    <w:p w:rsidR="007B74A6" w:rsidRPr="005973FE" w:rsidRDefault="007B74A6" w:rsidP="00795B2B">
      <w:pPr>
        <w:pStyle w:val="ParaNoNdepar-AltN"/>
        <w:tabs>
          <w:tab w:val="clear" w:pos="1152"/>
          <w:tab w:val="left" w:pos="1166"/>
        </w:tabs>
        <w:rPr>
          <w:lang w:val="fr-CA"/>
        </w:rPr>
      </w:pPr>
      <w:r w:rsidRPr="00E01AE5">
        <w:rPr>
          <w:rFonts w:cs="Times New Roman"/>
          <w:lang w:val="fr-CA"/>
        </w:rPr>
        <w:t>Divers modèles de relations de travail peuvent offrir aux employés une liberté de choix et une indépendance suffisantes à l’égard de l’employeur pour permettre une véritable négociation collective. En effet, comme nous l’avons vu, la liberté de choix et l’indépendance ne sont pas absolues dans le contexte de la négociation collective. Forcément, un cadre collectif sert non seulement les intérêts des employés, mais impose aussi des limites aux droits individuels afin de permettre la poursuite d’objectifs collectifs. La négociation collective demeure [</w:t>
      </w:r>
      <w:r w:rsidRPr="00E01AE5">
        <w:rPr>
          <w:rFonts w:cs="Times New Roman"/>
          <w:smallCaps/>
          <w:lang w:val="fr-CA"/>
        </w:rPr>
        <w:t>traduction</w:t>
      </w:r>
      <w:r w:rsidRPr="00E01AE5">
        <w:rPr>
          <w:rFonts w:cs="Times New Roman"/>
          <w:lang w:val="fr-CA"/>
        </w:rPr>
        <w:t xml:space="preserve">] </w:t>
      </w:r>
      <w:r w:rsidR="00795B2B">
        <w:rPr>
          <w:rFonts w:cs="Times New Roman"/>
          <w:lang w:val="fr-CA"/>
        </w:rPr>
        <w:t>« </w:t>
      </w:r>
      <w:r w:rsidRPr="00E01AE5">
        <w:rPr>
          <w:rFonts w:cs="Times New Roman"/>
          <w:lang w:val="fr-CA"/>
        </w:rPr>
        <w:t>un exercice de solidarité où les intérêts individuels ne sont pas simplement regroupés, mais transformés au cours d’un processus de délibération démocratique</w:t>
      </w:r>
      <w:r w:rsidR="00795B2B">
        <w:rPr>
          <w:rFonts w:cs="Times New Roman"/>
          <w:lang w:val="fr-CA"/>
        </w:rPr>
        <w:t> »</w:t>
      </w:r>
      <w:r w:rsidRPr="00E01AE5">
        <w:rPr>
          <w:rFonts w:cs="Times New Roman"/>
          <w:lang w:val="fr-CA"/>
        </w:rPr>
        <w:t xml:space="preserve"> (J.</w:t>
      </w:r>
      <w:r w:rsidR="00795B2B">
        <w:rPr>
          <w:rFonts w:cs="Times New Roman"/>
          <w:lang w:val="fr-CA"/>
        </w:rPr>
        <w:t xml:space="preserve"> </w:t>
      </w:r>
      <w:proofErr w:type="spellStart"/>
      <w:r w:rsidRPr="00E01AE5">
        <w:rPr>
          <w:rFonts w:cs="Times New Roman"/>
          <w:lang w:val="fr-CA"/>
        </w:rPr>
        <w:t>Fudge</w:t>
      </w:r>
      <w:proofErr w:type="spellEnd"/>
      <w:r w:rsidRPr="00E01AE5">
        <w:rPr>
          <w:rFonts w:cs="Times New Roman"/>
          <w:lang w:val="fr-CA"/>
        </w:rPr>
        <w:t xml:space="preserve">, </w:t>
      </w:r>
      <w:r w:rsidR="00795B2B">
        <w:rPr>
          <w:rFonts w:cs="Times New Roman"/>
          <w:lang w:val="fr-CA"/>
        </w:rPr>
        <w:t>« </w:t>
      </w:r>
      <w:r w:rsidRPr="00E01AE5">
        <w:rPr>
          <w:rFonts w:cs="Times New Roman"/>
          <w:lang w:val="fr-CA"/>
        </w:rPr>
        <w:t>Introduction</w:t>
      </w:r>
      <w:r w:rsidR="00795B2B">
        <w:rPr>
          <w:rFonts w:cs="Times New Roman"/>
          <w:lang w:val="fr-CA"/>
        </w:rPr>
        <w:t> :</w:t>
      </w:r>
      <w:r w:rsidRPr="00E01AE5">
        <w:rPr>
          <w:rFonts w:cs="Times New Roman"/>
          <w:lang w:val="fr-CA"/>
        </w:rPr>
        <w:t xml:space="preserve"> </w:t>
      </w:r>
      <w:proofErr w:type="spellStart"/>
      <w:r w:rsidRPr="00E01AE5">
        <w:rPr>
          <w:rFonts w:cs="Times New Roman"/>
          <w:lang w:val="fr-CA"/>
        </w:rPr>
        <w:t>Farm</w:t>
      </w:r>
      <w:proofErr w:type="spellEnd"/>
      <w:r w:rsidRPr="00E01AE5">
        <w:rPr>
          <w:rFonts w:cs="Times New Roman"/>
          <w:lang w:val="fr-CA"/>
        </w:rPr>
        <w:t xml:space="preserve"> </w:t>
      </w:r>
      <w:proofErr w:type="spellStart"/>
      <w:r w:rsidRPr="00E01AE5">
        <w:rPr>
          <w:rFonts w:cs="Times New Roman"/>
          <w:lang w:val="fr-CA"/>
        </w:rPr>
        <w:t>Workers</w:t>
      </w:r>
      <w:proofErr w:type="spellEnd"/>
      <w:r w:rsidRPr="00E01AE5">
        <w:rPr>
          <w:rFonts w:cs="Times New Roman"/>
          <w:lang w:val="fr-CA"/>
        </w:rPr>
        <w:t xml:space="preserve">, Collective </w:t>
      </w:r>
      <w:proofErr w:type="spellStart"/>
      <w:r w:rsidRPr="00E01AE5">
        <w:rPr>
          <w:rFonts w:cs="Times New Roman"/>
          <w:lang w:val="fr-CA"/>
        </w:rPr>
        <w:t>Bargaining</w:t>
      </w:r>
      <w:proofErr w:type="spellEnd"/>
      <w:r w:rsidRPr="00E01AE5">
        <w:rPr>
          <w:rFonts w:cs="Times New Roman"/>
          <w:lang w:val="fr-CA"/>
        </w:rPr>
        <w:t xml:space="preserve"> </w:t>
      </w:r>
      <w:proofErr w:type="spellStart"/>
      <w:r w:rsidRPr="00E01AE5">
        <w:rPr>
          <w:rFonts w:cs="Times New Roman"/>
          <w:lang w:val="fr-CA"/>
        </w:rPr>
        <w:t>Rights</w:t>
      </w:r>
      <w:proofErr w:type="spellEnd"/>
      <w:r w:rsidRPr="00E01AE5">
        <w:rPr>
          <w:rFonts w:cs="Times New Roman"/>
          <w:lang w:val="fr-CA"/>
        </w:rPr>
        <w:t xml:space="preserve">, and the </w:t>
      </w:r>
      <w:proofErr w:type="spellStart"/>
      <w:r w:rsidRPr="00E01AE5">
        <w:rPr>
          <w:rFonts w:cs="Times New Roman"/>
          <w:lang w:val="fr-CA"/>
        </w:rPr>
        <w:t>Meaning</w:t>
      </w:r>
      <w:proofErr w:type="spellEnd"/>
      <w:r w:rsidRPr="00E01AE5">
        <w:rPr>
          <w:rFonts w:cs="Times New Roman"/>
          <w:lang w:val="fr-CA"/>
        </w:rPr>
        <w:t xml:space="preserve"> of </w:t>
      </w:r>
      <w:proofErr w:type="spellStart"/>
      <w:r w:rsidRPr="00E01AE5">
        <w:rPr>
          <w:rFonts w:cs="Times New Roman"/>
          <w:lang w:val="fr-CA"/>
        </w:rPr>
        <w:t>Constitutional</w:t>
      </w:r>
      <w:proofErr w:type="spellEnd"/>
      <w:r w:rsidRPr="00E01AE5">
        <w:rPr>
          <w:rFonts w:cs="Times New Roman"/>
          <w:lang w:val="fr-CA"/>
        </w:rPr>
        <w:t xml:space="preserve"> Protection</w:t>
      </w:r>
      <w:r w:rsidR="00795B2B">
        <w:rPr>
          <w:rFonts w:cs="Times New Roman"/>
          <w:lang w:val="fr-CA"/>
        </w:rPr>
        <w:t> »</w:t>
      </w:r>
      <w:r w:rsidRPr="00E01AE5">
        <w:rPr>
          <w:rFonts w:cs="Times New Roman"/>
          <w:lang w:val="fr-CA"/>
        </w:rPr>
        <w:t>, dans F. Faraday, J.</w:t>
      </w:r>
      <w:r w:rsidR="00795B2B">
        <w:rPr>
          <w:rFonts w:cs="Times New Roman"/>
          <w:lang w:val="fr-CA"/>
        </w:rPr>
        <w:t xml:space="preserve"> </w:t>
      </w:r>
      <w:proofErr w:type="spellStart"/>
      <w:r w:rsidRPr="00E01AE5">
        <w:rPr>
          <w:rFonts w:cs="Times New Roman"/>
          <w:lang w:val="fr-CA"/>
        </w:rPr>
        <w:t>Fudge</w:t>
      </w:r>
      <w:proofErr w:type="spellEnd"/>
      <w:r w:rsidRPr="00E01AE5">
        <w:rPr>
          <w:rFonts w:cs="Times New Roman"/>
          <w:lang w:val="fr-CA"/>
        </w:rPr>
        <w:t xml:space="preserve"> et E. Tucker, </w:t>
      </w:r>
      <w:proofErr w:type="spellStart"/>
      <w:r w:rsidRPr="00E01AE5">
        <w:rPr>
          <w:rFonts w:cs="Times New Roman"/>
          <w:lang w:val="fr-CA"/>
        </w:rPr>
        <w:t>dir</w:t>
      </w:r>
      <w:proofErr w:type="spellEnd"/>
      <w:r w:rsidRPr="00E01AE5">
        <w:rPr>
          <w:rFonts w:cs="Times New Roman"/>
          <w:lang w:val="fr-CA"/>
        </w:rPr>
        <w:t xml:space="preserve">., </w:t>
      </w:r>
      <w:r w:rsidRPr="00E01AE5">
        <w:rPr>
          <w:rFonts w:cs="Times New Roman"/>
          <w:i/>
          <w:lang w:val="fr-CA"/>
        </w:rPr>
        <w:t>Constitutional Labour Rights in Canada</w:t>
      </w:r>
      <w:r w:rsidR="00795B2B">
        <w:rPr>
          <w:rFonts w:cs="Times New Roman"/>
          <w:i/>
          <w:lang w:val="fr-CA"/>
        </w:rPr>
        <w:t> :</w:t>
      </w:r>
      <w:r w:rsidRPr="00E01AE5">
        <w:rPr>
          <w:rFonts w:cs="Times New Roman"/>
          <w:i/>
          <w:lang w:val="fr-CA"/>
        </w:rPr>
        <w:t xml:space="preserve"> </w:t>
      </w:r>
      <w:proofErr w:type="spellStart"/>
      <w:r w:rsidRPr="00E01AE5">
        <w:rPr>
          <w:rFonts w:cs="Times New Roman"/>
          <w:i/>
          <w:lang w:val="fr-CA"/>
        </w:rPr>
        <w:t>Farm</w:t>
      </w:r>
      <w:proofErr w:type="spellEnd"/>
      <w:r w:rsidRPr="00E01AE5">
        <w:rPr>
          <w:rFonts w:cs="Times New Roman"/>
          <w:i/>
          <w:lang w:val="fr-CA"/>
        </w:rPr>
        <w:t xml:space="preserve"> </w:t>
      </w:r>
      <w:proofErr w:type="spellStart"/>
      <w:r w:rsidRPr="00E01AE5">
        <w:rPr>
          <w:rFonts w:cs="Times New Roman"/>
          <w:i/>
          <w:lang w:val="fr-CA"/>
        </w:rPr>
        <w:t>Workers</w:t>
      </w:r>
      <w:proofErr w:type="spellEnd"/>
      <w:r w:rsidRPr="00E01AE5">
        <w:rPr>
          <w:rFonts w:cs="Times New Roman"/>
          <w:i/>
          <w:lang w:val="fr-CA"/>
        </w:rPr>
        <w:t xml:space="preserve"> and the Fraser Case </w:t>
      </w:r>
      <w:r w:rsidRPr="00E01AE5">
        <w:rPr>
          <w:rFonts w:cs="Times New Roman"/>
          <w:lang w:val="fr-CA"/>
        </w:rPr>
        <w:t>(2012),</w:t>
      </w:r>
      <w:r w:rsidR="00795B2B">
        <w:rPr>
          <w:rFonts w:cs="Times New Roman"/>
          <w:i/>
          <w:lang w:val="fr-CA"/>
        </w:rPr>
        <w:t xml:space="preserve"> </w:t>
      </w:r>
      <w:r w:rsidRPr="00E01AE5">
        <w:rPr>
          <w:rFonts w:cs="Times New Roman"/>
          <w:lang w:val="fr-CA"/>
        </w:rPr>
        <w:t>1, p.</w:t>
      </w:r>
      <w:r w:rsidR="00795B2B">
        <w:rPr>
          <w:rFonts w:cs="Times New Roman"/>
          <w:lang w:val="fr-CA"/>
        </w:rPr>
        <w:t xml:space="preserve"> </w:t>
      </w:r>
      <w:r w:rsidRPr="00E01AE5">
        <w:rPr>
          <w:rFonts w:cs="Times New Roman"/>
          <w:lang w:val="fr-CA"/>
        </w:rPr>
        <w:t>17; voir aussi G.</w:t>
      </w:r>
      <w:r w:rsidR="00795B2B">
        <w:rPr>
          <w:rFonts w:cs="Times New Roman"/>
          <w:lang w:val="fr-CA"/>
        </w:rPr>
        <w:t xml:space="preserve"> </w:t>
      </w:r>
      <w:r w:rsidRPr="00E01AE5">
        <w:rPr>
          <w:rFonts w:cs="Times New Roman"/>
          <w:lang w:val="fr-CA"/>
        </w:rPr>
        <w:t>Murray et P.</w:t>
      </w:r>
      <w:r w:rsidR="00795B2B">
        <w:rPr>
          <w:rFonts w:cs="Times New Roman"/>
          <w:lang w:val="fr-CA"/>
        </w:rPr>
        <w:t xml:space="preserve"> </w:t>
      </w:r>
      <w:r w:rsidRPr="00E01AE5">
        <w:rPr>
          <w:rFonts w:cs="Times New Roman"/>
          <w:lang w:val="fr-CA"/>
        </w:rPr>
        <w:t xml:space="preserve">Verge, </w:t>
      </w:r>
      <w:r w:rsidRPr="00E01AE5">
        <w:rPr>
          <w:rFonts w:cs="Times New Roman"/>
          <w:i/>
          <w:lang w:val="fr-CA"/>
        </w:rPr>
        <w:t>La représentation syndicale</w:t>
      </w:r>
      <w:r w:rsidR="00795B2B">
        <w:rPr>
          <w:rFonts w:cs="Times New Roman"/>
          <w:i/>
          <w:lang w:val="fr-CA"/>
        </w:rPr>
        <w:t> :</w:t>
      </w:r>
      <w:r w:rsidRPr="00E01AE5">
        <w:rPr>
          <w:rFonts w:cs="Times New Roman"/>
          <w:i/>
          <w:lang w:val="fr-CA"/>
        </w:rPr>
        <w:t xml:space="preserve"> visage juridique actuel et futur </w:t>
      </w:r>
      <w:r w:rsidRPr="00E01AE5">
        <w:rPr>
          <w:rFonts w:cs="Times New Roman"/>
          <w:lang w:val="fr-CA"/>
        </w:rPr>
        <w:t>(1999), p.</w:t>
      </w:r>
      <w:r w:rsidR="00795B2B">
        <w:rPr>
          <w:rFonts w:cs="Times New Roman"/>
          <w:lang w:val="fr-CA"/>
        </w:rPr>
        <w:t xml:space="preserve"> </w:t>
      </w:r>
      <w:r w:rsidRPr="00E01AE5">
        <w:rPr>
          <w:rFonts w:cs="Times New Roman"/>
          <w:lang w:val="fr-CA"/>
        </w:rPr>
        <w:t>2</w:t>
      </w:r>
      <w:r w:rsidR="00795B2B">
        <w:rPr>
          <w:rFonts w:cs="Times New Roman"/>
          <w:lang w:val="fr-CA"/>
        </w:rPr>
        <w:t>-</w:t>
      </w:r>
      <w:r w:rsidRPr="00E01AE5">
        <w:rPr>
          <w:rFonts w:cs="Times New Roman"/>
          <w:lang w:val="fr-CA"/>
        </w:rPr>
        <w:t xml:space="preserve">3; </w:t>
      </w:r>
      <w:proofErr w:type="spellStart"/>
      <w:r w:rsidRPr="00E01AE5">
        <w:rPr>
          <w:rFonts w:cs="Times New Roman"/>
          <w:lang w:val="fr-CA"/>
        </w:rPr>
        <w:t>Dorsey</w:t>
      </w:r>
      <w:proofErr w:type="spellEnd"/>
      <w:r w:rsidRPr="00E01AE5">
        <w:rPr>
          <w:rFonts w:cs="Times New Roman"/>
          <w:lang w:val="fr-CA"/>
        </w:rPr>
        <w:t>, p.</w:t>
      </w:r>
      <w:r w:rsidR="00795B2B">
        <w:rPr>
          <w:rFonts w:cs="Times New Roman"/>
          <w:lang w:val="fr-CA"/>
        </w:rPr>
        <w:t xml:space="preserve"> </w:t>
      </w:r>
      <w:r w:rsidRPr="00E01AE5">
        <w:rPr>
          <w:rFonts w:cs="Times New Roman"/>
          <w:lang w:val="fr-CA"/>
        </w:rPr>
        <w:t>195 et 219). Comme le dit le professeur Wellington</w:t>
      </w:r>
      <w:r w:rsidR="00795B2B">
        <w:rPr>
          <w:rFonts w:cs="Times New Roman"/>
          <w:lang w:val="fr-CA"/>
        </w:rPr>
        <w:t> :</w:t>
      </w:r>
      <w:r w:rsidRPr="00E01AE5">
        <w:rPr>
          <w:rFonts w:cs="Times New Roman"/>
          <w:lang w:val="fr-CA"/>
        </w:rPr>
        <w:t xml:space="preserve"> </w:t>
      </w:r>
      <w:r w:rsidRPr="00E01AE5">
        <w:rPr>
          <w:lang w:val="fr-CA"/>
        </w:rPr>
        <w:t>[</w:t>
      </w:r>
      <w:r w:rsidRPr="00E01AE5">
        <w:rPr>
          <w:smallCaps/>
          <w:lang w:val="fr-CA"/>
        </w:rPr>
        <w:t>traduction</w:t>
      </w:r>
      <w:r w:rsidRPr="00E01AE5">
        <w:rPr>
          <w:lang w:val="fr-CA"/>
        </w:rPr>
        <w:t xml:space="preserve">] </w:t>
      </w:r>
      <w:r w:rsidR="00795B2B">
        <w:rPr>
          <w:lang w:val="fr-CA"/>
        </w:rPr>
        <w:t>« </w:t>
      </w:r>
      <w:r w:rsidRPr="00E01AE5">
        <w:rPr>
          <w:lang w:val="fr-CA"/>
        </w:rPr>
        <w:t>Il est toujours difficile de concilier les intérêts du dissident et ceux de la majorité. La marque d’une société véritablement démocratique tient à son refus de renoncer facilement tant à la règle de la majori</w:t>
      </w:r>
      <w:r w:rsidR="005973FE">
        <w:rPr>
          <w:lang w:val="fr-CA"/>
        </w:rPr>
        <w:t>té qu’à la liberté individuelle</w:t>
      </w:r>
      <w:r w:rsidR="00795B2B">
        <w:rPr>
          <w:lang w:val="fr-CA"/>
        </w:rPr>
        <w:t> »</w:t>
      </w:r>
      <w:r>
        <w:rPr>
          <w:lang w:val="fr-CA"/>
        </w:rPr>
        <w:t xml:space="preserve"> </w:t>
      </w:r>
      <w:r w:rsidRPr="005973FE">
        <w:rPr>
          <w:lang w:val="fr-CA"/>
        </w:rPr>
        <w:t>(</w:t>
      </w:r>
      <w:r w:rsidRPr="005973FE">
        <w:rPr>
          <w:i/>
          <w:lang w:val="fr-CA"/>
        </w:rPr>
        <w:t xml:space="preserve">Labor and the </w:t>
      </w:r>
      <w:proofErr w:type="spellStart"/>
      <w:r w:rsidRPr="005973FE">
        <w:rPr>
          <w:i/>
          <w:lang w:val="fr-CA"/>
        </w:rPr>
        <w:t>Legal</w:t>
      </w:r>
      <w:proofErr w:type="spellEnd"/>
      <w:r w:rsidRPr="005973FE">
        <w:rPr>
          <w:i/>
          <w:lang w:val="fr-CA"/>
        </w:rPr>
        <w:t xml:space="preserve"> </w:t>
      </w:r>
      <w:proofErr w:type="spellStart"/>
      <w:r w:rsidRPr="005973FE">
        <w:rPr>
          <w:i/>
          <w:lang w:val="fr-CA"/>
        </w:rPr>
        <w:t>Process</w:t>
      </w:r>
      <w:proofErr w:type="spellEnd"/>
      <w:r w:rsidRPr="005973FE">
        <w:rPr>
          <w:lang w:val="fr-CA"/>
        </w:rPr>
        <w:t xml:space="preserve"> (1968), p.</w:t>
      </w:r>
      <w:r w:rsidR="00795B2B" w:rsidRPr="005973FE">
        <w:rPr>
          <w:lang w:val="fr-CA"/>
        </w:rPr>
        <w:t xml:space="preserve"> </w:t>
      </w:r>
      <w:r w:rsidRPr="005973FE">
        <w:rPr>
          <w:lang w:val="fr-CA"/>
        </w:rPr>
        <w:t xml:space="preserve">129).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Cour a constamment affirmé que la liberté d</w:t>
      </w:r>
      <w:r>
        <w:rPr>
          <w:rFonts w:cs="Times New Roman"/>
          <w:lang w:val="fr-CA"/>
        </w:rPr>
        <w:t>’</w:t>
      </w:r>
      <w:r w:rsidRPr="00AF17C2">
        <w:rPr>
          <w:rFonts w:cs="Times New Roman"/>
          <w:lang w:val="fr-CA"/>
        </w:rPr>
        <w:t>association n</w:t>
      </w:r>
      <w:r>
        <w:rPr>
          <w:rFonts w:cs="Times New Roman"/>
          <w:lang w:val="fr-CA"/>
        </w:rPr>
        <w:t>’</w:t>
      </w:r>
      <w:r w:rsidRPr="00AF17C2">
        <w:rPr>
          <w:rFonts w:cs="Times New Roman"/>
          <w:lang w:val="fr-CA"/>
        </w:rPr>
        <w:t>imposait pas un modèle particulier de relations de travail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Pr="00AF17C2">
        <w:rPr>
          <w:rFonts w:cs="Times New Roman"/>
          <w:lang w:val="fr-CA"/>
        </w:rPr>
        <w:t xml:space="preserve">33;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 xml:space="preserve">91; </w:t>
      </w:r>
      <w:r w:rsidRPr="00AF17C2">
        <w:rPr>
          <w:rFonts w:cs="Times New Roman"/>
          <w:i/>
          <w:lang w:val="fr-CA"/>
        </w:rPr>
        <w:t>Fraser</w:t>
      </w:r>
      <w:r w:rsidRPr="00AF17C2">
        <w:rPr>
          <w:rFonts w:cs="Times New Roman"/>
          <w:lang w:val="fr-CA"/>
        </w:rPr>
        <w:t>, par.</w:t>
      </w:r>
      <w:r w:rsidR="00795B2B">
        <w:rPr>
          <w:rFonts w:cs="Times New Roman"/>
          <w:lang w:val="fr-CA"/>
        </w:rPr>
        <w:t xml:space="preserve"> </w:t>
      </w:r>
      <w:r w:rsidRPr="00AF17C2">
        <w:rPr>
          <w:rFonts w:cs="Times New Roman"/>
          <w:lang w:val="fr-CA"/>
        </w:rPr>
        <w:t>42). Aucun modèle particulier n</w:t>
      </w:r>
      <w:r>
        <w:rPr>
          <w:rFonts w:cs="Times New Roman"/>
          <w:lang w:val="fr-CA"/>
        </w:rPr>
        <w:t>’</w:t>
      </w:r>
      <w:r w:rsidRPr="00AF17C2">
        <w:rPr>
          <w:rFonts w:cs="Times New Roman"/>
          <w:lang w:val="fr-CA"/>
        </w:rPr>
        <w:t>est requis; seulement un régime qui n</w:t>
      </w:r>
      <w:r>
        <w:rPr>
          <w:rFonts w:cs="Times New Roman"/>
          <w:lang w:val="fr-CA"/>
        </w:rPr>
        <w:t>’</w:t>
      </w:r>
      <w:r w:rsidRPr="00AF17C2">
        <w:rPr>
          <w:rFonts w:cs="Times New Roman"/>
          <w:lang w:val="fr-CA"/>
        </w:rPr>
        <w:t>entrave pas substantiellement la tenue d</w:t>
      </w:r>
      <w:r>
        <w:rPr>
          <w:rFonts w:cs="Times New Roman"/>
          <w:lang w:val="fr-CA"/>
        </w:rPr>
        <w:t>’</w:t>
      </w:r>
      <w:r w:rsidRPr="00AF17C2">
        <w:rPr>
          <w:rFonts w:cs="Times New Roman"/>
          <w:lang w:val="fr-CA"/>
        </w:rPr>
        <w:t xml:space="preserve">une véritable négociation collective et </w:t>
      </w:r>
      <w:r w:rsidRPr="00AF17C2">
        <w:rPr>
          <w:rFonts w:cs="Times New Roman"/>
          <w:lang w:val="fr-CA"/>
        </w:rPr>
        <w:lastRenderedPageBreak/>
        <w:t>qui respecte donc les exigences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 xml:space="preserve">94; </w:t>
      </w:r>
      <w:r w:rsidRPr="00AF17C2">
        <w:rPr>
          <w:rFonts w:cs="Times New Roman"/>
          <w:i/>
          <w:lang w:val="fr-CA"/>
        </w:rPr>
        <w:t>Fraser</w:t>
      </w:r>
      <w:r w:rsidRPr="00AF17C2">
        <w:rPr>
          <w:rFonts w:cs="Times New Roman"/>
          <w:lang w:val="fr-CA"/>
        </w:rPr>
        <w:t>, par.</w:t>
      </w:r>
      <w:r w:rsidR="00795B2B">
        <w:rPr>
          <w:rFonts w:cs="Times New Roman"/>
          <w:lang w:val="fr-CA"/>
        </w:rPr>
        <w:t xml:space="preserve"> </w:t>
      </w:r>
      <w:r w:rsidRPr="00AF17C2">
        <w:rPr>
          <w:rFonts w:cs="Times New Roman"/>
          <w:lang w:val="fr-CA"/>
        </w:rPr>
        <w:t>40). En revanche, les conditions nécessaires pour permettre une véritable négociation collective varient en fonction de la culture du secteur d</w:t>
      </w:r>
      <w:r>
        <w:rPr>
          <w:rFonts w:cs="Times New Roman"/>
          <w:lang w:val="fr-CA"/>
        </w:rPr>
        <w:t>’</w:t>
      </w:r>
      <w:r w:rsidRPr="00AF17C2">
        <w:rPr>
          <w:rFonts w:cs="Times New Roman"/>
          <w:lang w:val="fr-CA"/>
        </w:rPr>
        <w:t>activité et du milieu de travail en question. Comme pour tous les examens fondés sur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w:t>
      </w:r>
      <w:r>
        <w:rPr>
          <w:rFonts w:cs="Times New Roman"/>
          <w:lang w:val="fr-CA"/>
        </w:rPr>
        <w:t>’</w:t>
      </w:r>
      <w:r w:rsidRPr="00AF17C2">
        <w:rPr>
          <w:rFonts w:cs="Times New Roman"/>
          <w:lang w:val="fr-CA"/>
        </w:rPr>
        <w:t>analyse requise est contextuelle.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loi Wagner, appliqué</w:t>
      </w:r>
      <w:r w:rsidR="005973FE">
        <w:rPr>
          <w:rFonts w:cs="Times New Roman"/>
          <w:lang w:val="fr-CA"/>
        </w:rPr>
        <w:t>e</w:t>
      </w:r>
      <w:r w:rsidRPr="00AF17C2">
        <w:rPr>
          <w:rFonts w:cs="Times New Roman"/>
          <w:lang w:val="fr-CA"/>
        </w:rPr>
        <w:t xml:space="preserve"> dans la grande majorité du secteur privé et dans plusieurs lieux de travail du secteur public, constitue un exemple de la façon dont les exigences de la liberté de choix et de l</w:t>
      </w:r>
      <w:r>
        <w:rPr>
          <w:rFonts w:cs="Times New Roman"/>
          <w:lang w:val="fr-CA"/>
        </w:rPr>
        <w:t>’</w:t>
      </w:r>
      <w:r w:rsidRPr="00AF17C2">
        <w:rPr>
          <w:rFonts w:cs="Times New Roman"/>
          <w:lang w:val="fr-CA"/>
        </w:rPr>
        <w:t>indépendance assurent la conduite d</w:t>
      </w:r>
      <w:r>
        <w:rPr>
          <w:rFonts w:cs="Times New Roman"/>
          <w:lang w:val="fr-CA"/>
        </w:rPr>
        <w:t>’</w:t>
      </w:r>
      <w:r w:rsidRPr="00AF17C2">
        <w:rPr>
          <w:rFonts w:cs="Times New Roman"/>
          <w:lang w:val="fr-CA"/>
        </w:rPr>
        <w:t>une véritable négociation collective. Ce modèle permet à un secteur d</w:t>
      </w:r>
      <w:r>
        <w:rPr>
          <w:rFonts w:cs="Times New Roman"/>
          <w:lang w:val="fr-CA"/>
        </w:rPr>
        <w:t>’</w:t>
      </w:r>
      <w:r w:rsidRPr="00AF17C2">
        <w:rPr>
          <w:rFonts w:cs="Times New Roman"/>
          <w:lang w:val="fr-CA"/>
        </w:rPr>
        <w:t xml:space="preserve">employés suffisamment important de </w:t>
      </w:r>
      <w:r w:rsidRPr="00AF17C2">
        <w:rPr>
          <w:rFonts w:cs="Times New Roman"/>
          <w:i/>
          <w:lang w:val="fr-CA"/>
        </w:rPr>
        <w:t>choisir</w:t>
      </w:r>
      <w:r w:rsidRPr="00AF17C2">
        <w:rPr>
          <w:rFonts w:cs="Times New Roman"/>
          <w:lang w:val="fr-CA"/>
        </w:rPr>
        <w:t xml:space="preserve"> de s</w:t>
      </w:r>
      <w:r>
        <w:rPr>
          <w:rFonts w:cs="Times New Roman"/>
          <w:lang w:val="fr-CA"/>
        </w:rPr>
        <w:t>’</w:t>
      </w:r>
      <w:r w:rsidRPr="00AF17C2">
        <w:rPr>
          <w:rFonts w:cs="Times New Roman"/>
          <w:lang w:val="fr-CA"/>
        </w:rPr>
        <w:t>associer à un syndicat en particulier et, au besoin, d</w:t>
      </w:r>
      <w:r>
        <w:rPr>
          <w:rFonts w:cs="Times New Roman"/>
          <w:lang w:val="fr-CA"/>
        </w:rPr>
        <w:t>’</w:t>
      </w:r>
      <w:r w:rsidRPr="00AF17C2">
        <w:rPr>
          <w:rFonts w:cs="Times New Roman"/>
          <w:lang w:val="fr-CA"/>
        </w:rPr>
        <w:t>obtenir le retrait d</w:t>
      </w:r>
      <w:r>
        <w:rPr>
          <w:rFonts w:cs="Times New Roman"/>
          <w:lang w:val="fr-CA"/>
        </w:rPr>
        <w:t>’</w:t>
      </w:r>
      <w:r w:rsidRPr="00AF17C2">
        <w:rPr>
          <w:rFonts w:cs="Times New Roman"/>
          <w:lang w:val="fr-CA"/>
        </w:rPr>
        <w:t>accréditation d</w:t>
      </w:r>
      <w:r>
        <w:rPr>
          <w:rFonts w:cs="Times New Roman"/>
          <w:lang w:val="fr-CA"/>
        </w:rPr>
        <w:t>’</w:t>
      </w:r>
      <w:r w:rsidRPr="00AF17C2">
        <w:rPr>
          <w:rFonts w:cs="Times New Roman"/>
          <w:lang w:val="fr-CA"/>
        </w:rPr>
        <w:t>un agent négociateur qui ne répond pas à leurs besoins. Les principes de la majorité et de l</w:t>
      </w:r>
      <w:r>
        <w:rPr>
          <w:rFonts w:cs="Times New Roman"/>
          <w:lang w:val="fr-CA"/>
        </w:rPr>
        <w:t>’</w:t>
      </w:r>
      <w:r w:rsidRPr="00AF17C2">
        <w:rPr>
          <w:rFonts w:cs="Times New Roman"/>
          <w:lang w:val="fr-CA"/>
        </w:rPr>
        <w:t xml:space="preserve">exclusivité, le mécanisme des </w:t>
      </w:r>
      <w:r w:rsidR="00795B2B">
        <w:rPr>
          <w:rFonts w:cs="Times New Roman"/>
          <w:lang w:val="fr-CA"/>
        </w:rPr>
        <w:t>« </w:t>
      </w:r>
      <w:r w:rsidRPr="00AF17C2">
        <w:rPr>
          <w:rFonts w:cs="Times New Roman"/>
          <w:lang w:val="fr-CA"/>
        </w:rPr>
        <w:t>unités de négociation</w:t>
      </w:r>
      <w:r w:rsidR="00795B2B">
        <w:rPr>
          <w:rFonts w:cs="Times New Roman"/>
          <w:lang w:val="fr-CA"/>
        </w:rPr>
        <w:t> »</w:t>
      </w:r>
      <w:r w:rsidRPr="00AF17C2">
        <w:rPr>
          <w:rFonts w:cs="Times New Roman"/>
          <w:lang w:val="fr-CA"/>
        </w:rPr>
        <w:t xml:space="preserve"> et les processus d</w:t>
      </w:r>
      <w:r>
        <w:rPr>
          <w:rFonts w:cs="Times New Roman"/>
          <w:lang w:val="fr-CA"/>
        </w:rPr>
        <w:t>’</w:t>
      </w:r>
      <w:r w:rsidRPr="00AF17C2">
        <w:rPr>
          <w:rFonts w:cs="Times New Roman"/>
          <w:lang w:val="fr-CA"/>
        </w:rPr>
        <w:t>accréditation et de retrait d</w:t>
      </w:r>
      <w:r>
        <w:rPr>
          <w:rFonts w:cs="Times New Roman"/>
          <w:lang w:val="fr-CA"/>
        </w:rPr>
        <w:t>’</w:t>
      </w:r>
      <w:r w:rsidRPr="00AF17C2">
        <w:rPr>
          <w:rFonts w:cs="Times New Roman"/>
          <w:lang w:val="fr-CA"/>
        </w:rPr>
        <w:t>accréditation — le tout sous la supervision d</w:t>
      </w:r>
      <w:r>
        <w:rPr>
          <w:rFonts w:cs="Times New Roman"/>
          <w:lang w:val="fr-CA"/>
        </w:rPr>
        <w:t>’</w:t>
      </w:r>
      <w:r w:rsidRPr="00AF17C2">
        <w:rPr>
          <w:rFonts w:cs="Times New Roman"/>
          <w:lang w:val="fr-CA"/>
        </w:rPr>
        <w:t>une commission indépendante des relations de travail — garantissent que l</w:t>
      </w:r>
      <w:r>
        <w:rPr>
          <w:rFonts w:cs="Times New Roman"/>
          <w:lang w:val="fr-CA"/>
        </w:rPr>
        <w:t>’</w:t>
      </w:r>
      <w:r w:rsidRPr="00AF17C2">
        <w:rPr>
          <w:rFonts w:cs="Times New Roman"/>
          <w:lang w:val="fr-CA"/>
        </w:rPr>
        <w:t>employeur négocie avec l</w:t>
      </w:r>
      <w:r>
        <w:rPr>
          <w:rFonts w:cs="Times New Roman"/>
          <w:lang w:val="fr-CA"/>
        </w:rPr>
        <w:t>’</w:t>
      </w:r>
      <w:r w:rsidRPr="00AF17C2">
        <w:rPr>
          <w:rFonts w:cs="Times New Roman"/>
          <w:lang w:val="fr-CA"/>
        </w:rPr>
        <w:t>association la plus représentative des travailleurs qui en sont membres (G.</w:t>
      </w:r>
      <w:r w:rsidR="00795B2B">
        <w:rPr>
          <w:rFonts w:cs="Times New Roman"/>
          <w:lang w:val="fr-CA"/>
        </w:rPr>
        <w:t xml:space="preserve"> </w:t>
      </w:r>
      <w:r w:rsidRPr="00AF17C2">
        <w:rPr>
          <w:rFonts w:cs="Times New Roman"/>
          <w:lang w:val="fr-CA"/>
        </w:rPr>
        <w:t>W.</w:t>
      </w:r>
      <w:r w:rsidR="00795B2B">
        <w:rPr>
          <w:rFonts w:cs="Times New Roman"/>
          <w:lang w:val="fr-CA"/>
        </w:rPr>
        <w:t xml:space="preserve"> </w:t>
      </w:r>
      <w:r w:rsidRPr="00AF17C2">
        <w:rPr>
          <w:rFonts w:cs="Times New Roman"/>
          <w:lang w:val="fr-CA"/>
        </w:rPr>
        <w:t>Adams,</w:t>
      </w:r>
      <w:r w:rsidRPr="00AF17C2">
        <w:rPr>
          <w:rFonts w:cs="Times New Roman"/>
          <w:i/>
          <w:lang w:val="fr-CA"/>
        </w:rPr>
        <w:t xml:space="preserve"> Canadian Labour Law</w:t>
      </w:r>
      <w:r w:rsidRPr="00AF17C2">
        <w:rPr>
          <w:rFonts w:cs="Times New Roman"/>
          <w:lang w:val="fr-CA"/>
        </w:rPr>
        <w:t xml:space="preserve"> (2</w:t>
      </w:r>
      <w:r w:rsidRPr="00AF17C2">
        <w:rPr>
          <w:rFonts w:cs="Times New Roman"/>
          <w:vertAlign w:val="superscript"/>
          <w:lang w:val="fr-CA"/>
        </w:rPr>
        <w:t>e</w:t>
      </w:r>
      <w:r w:rsidRPr="00AF17C2">
        <w:rPr>
          <w:rFonts w:cs="Times New Roman"/>
          <w:lang w:val="fr-CA"/>
        </w:rPr>
        <w:t xml:space="preserve"> éd. (feuilles mobiles)), par.</w:t>
      </w:r>
      <w:r w:rsidR="00795B2B">
        <w:rPr>
          <w:rFonts w:cs="Times New Roman"/>
          <w:lang w:val="fr-CA"/>
        </w:rPr>
        <w:t xml:space="preserve"> </w:t>
      </w:r>
      <w:r w:rsidRPr="00AF17C2">
        <w:rPr>
          <w:rFonts w:cs="Times New Roman"/>
          <w:lang w:val="fr-CA"/>
        </w:rPr>
        <w:t>2.3800</w:t>
      </w:r>
      <w:r w:rsidR="00795B2B">
        <w:rPr>
          <w:rFonts w:cs="Times New Roman"/>
          <w:lang w:val="fr-CA"/>
        </w:rPr>
        <w:t xml:space="preserve"> </w:t>
      </w:r>
      <w:r w:rsidRPr="00AF17C2">
        <w:rPr>
          <w:rFonts w:cs="Times New Roman"/>
          <w:lang w:val="fr-CA"/>
        </w:rPr>
        <w:t>à 2.4030; D.</w:t>
      </w:r>
      <w:r w:rsidR="00795B2B">
        <w:rPr>
          <w:rFonts w:cs="Times New Roman"/>
          <w:lang w:val="fr-CA"/>
        </w:rPr>
        <w:t xml:space="preserve"> </w:t>
      </w:r>
      <w:r w:rsidRPr="00AF17C2">
        <w:rPr>
          <w:rFonts w:cs="Times New Roman"/>
          <w:lang w:val="fr-CA"/>
        </w:rPr>
        <w:t>D.</w:t>
      </w:r>
      <w:r w:rsidR="00795B2B">
        <w:rPr>
          <w:rFonts w:cs="Times New Roman"/>
          <w:lang w:val="fr-CA"/>
        </w:rPr>
        <w:t xml:space="preserve"> </w:t>
      </w:r>
      <w:r w:rsidRPr="00AF17C2">
        <w:rPr>
          <w:rFonts w:cs="Times New Roman"/>
          <w:lang w:val="fr-CA"/>
        </w:rPr>
        <w:t xml:space="preserve">Carter et </w:t>
      </w:r>
      <w:r w:rsidR="00D444EC">
        <w:rPr>
          <w:rFonts w:cs="Times New Roman"/>
          <w:lang w:val="fr-CA"/>
        </w:rPr>
        <w:t>autres</w:t>
      </w:r>
      <w:r w:rsidRPr="00AF17C2">
        <w:rPr>
          <w:rFonts w:cs="Times New Roman"/>
          <w:lang w:val="fr-CA"/>
        </w:rPr>
        <w:t>,</w:t>
      </w:r>
      <w:r w:rsidRPr="00AF17C2">
        <w:rPr>
          <w:rFonts w:cs="Times New Roman"/>
          <w:i/>
          <w:lang w:val="fr-CA"/>
        </w:rPr>
        <w:t xml:space="preserve"> Labour Law in Canada</w:t>
      </w:r>
      <w:r w:rsidRPr="00AF17C2">
        <w:rPr>
          <w:rFonts w:cs="Times New Roman"/>
          <w:lang w:val="fr-CA"/>
        </w:rPr>
        <w:t xml:space="preserve"> (5</w:t>
      </w:r>
      <w:r w:rsidRPr="00AF17C2">
        <w:rPr>
          <w:rFonts w:cs="Times New Roman"/>
          <w:vertAlign w:val="superscript"/>
          <w:lang w:val="fr-CA"/>
        </w:rPr>
        <w:t>e</w:t>
      </w:r>
      <w:r w:rsidR="00795B2B">
        <w:rPr>
          <w:rFonts w:cs="Times New Roman"/>
          <w:vertAlign w:val="superscript"/>
          <w:lang w:val="fr-CA"/>
        </w:rPr>
        <w:t xml:space="preserve"> </w:t>
      </w:r>
      <w:r w:rsidRPr="00AF17C2">
        <w:rPr>
          <w:rFonts w:cs="Times New Roman"/>
          <w:lang w:val="fr-CA"/>
        </w:rPr>
        <w:t>éd. 2002), p.</w:t>
      </w:r>
      <w:r w:rsidR="00795B2B">
        <w:rPr>
          <w:rFonts w:cs="Times New Roman"/>
          <w:lang w:val="fr-CA"/>
        </w:rPr>
        <w:t xml:space="preserve"> </w:t>
      </w:r>
      <w:r w:rsidRPr="00AF17C2">
        <w:rPr>
          <w:rFonts w:cs="Times New Roman"/>
          <w:lang w:val="fr-CA"/>
        </w:rPr>
        <w:t>286</w:t>
      </w:r>
      <w:r w:rsidR="00795B2B">
        <w:rPr>
          <w:rFonts w:cs="Times New Roman"/>
          <w:lang w:val="fr-CA"/>
        </w:rPr>
        <w:t>-</w:t>
      </w:r>
      <w:r w:rsidRPr="00AF17C2">
        <w:rPr>
          <w:rFonts w:cs="Times New Roman"/>
          <w:lang w:val="fr-CA"/>
        </w:rPr>
        <w:t>287; P.</w:t>
      </w:r>
      <w:r w:rsidR="00795B2B">
        <w:rPr>
          <w:rFonts w:cs="Times New Roman"/>
          <w:lang w:val="fr-CA"/>
        </w:rPr>
        <w:t xml:space="preserve"> </w:t>
      </w:r>
      <w:r w:rsidRPr="00AF17C2">
        <w:rPr>
          <w:rFonts w:cs="Times New Roman"/>
          <w:lang w:val="fr-CA"/>
        </w:rPr>
        <w:t>Verge, G.</w:t>
      </w:r>
      <w:r w:rsidR="00795B2B">
        <w:rPr>
          <w:rFonts w:cs="Times New Roman"/>
          <w:lang w:val="fr-CA"/>
        </w:rPr>
        <w:t xml:space="preserve"> </w:t>
      </w:r>
      <w:r w:rsidRPr="00AF17C2">
        <w:rPr>
          <w:rFonts w:cs="Times New Roman"/>
          <w:lang w:val="fr-CA"/>
        </w:rPr>
        <w:t>Trudeau et G.</w:t>
      </w:r>
      <w:r w:rsidR="00795B2B">
        <w:rPr>
          <w:rFonts w:cs="Times New Roman"/>
          <w:lang w:val="fr-CA"/>
        </w:rPr>
        <w:t xml:space="preserve"> </w:t>
      </w:r>
      <w:r w:rsidRPr="00AF17C2">
        <w:rPr>
          <w:rFonts w:cs="Times New Roman"/>
          <w:lang w:val="fr-CA"/>
        </w:rPr>
        <w:t xml:space="preserve">Vallée, </w:t>
      </w:r>
      <w:r w:rsidRPr="00AF17C2">
        <w:rPr>
          <w:rFonts w:cs="Times New Roman"/>
          <w:i/>
          <w:lang w:val="fr-CA"/>
        </w:rPr>
        <w:t xml:space="preserve">Le droit du travail par ses sources </w:t>
      </w:r>
      <w:r w:rsidRPr="00AF17C2">
        <w:rPr>
          <w:rFonts w:cs="Times New Roman"/>
          <w:lang w:val="fr-CA"/>
        </w:rPr>
        <w:t>(2006), p.</w:t>
      </w:r>
      <w:r w:rsidR="00795B2B">
        <w:rPr>
          <w:rFonts w:cs="Times New Roman"/>
          <w:lang w:val="fr-CA"/>
        </w:rPr>
        <w:t xml:space="preserve"> </w:t>
      </w:r>
      <w:r w:rsidRPr="00AF17C2">
        <w:rPr>
          <w:rFonts w:cs="Times New Roman"/>
          <w:lang w:val="fr-CA"/>
        </w:rPr>
        <w:t>41</w:t>
      </w:r>
      <w:r w:rsidR="00795B2B">
        <w:rPr>
          <w:rFonts w:cs="Times New Roman"/>
          <w:lang w:val="fr-CA"/>
        </w:rPr>
        <w:t>-</w:t>
      </w:r>
      <w:r w:rsidRPr="00AF17C2">
        <w:rPr>
          <w:rFonts w:cs="Times New Roman"/>
          <w:lang w:val="fr-CA"/>
        </w:rPr>
        <w:t xml:space="preserve">42).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loi Wagner n</w:t>
      </w:r>
      <w:r>
        <w:rPr>
          <w:rFonts w:cs="Times New Roman"/>
          <w:lang w:val="fr-CA"/>
        </w:rPr>
        <w:t>’</w:t>
      </w:r>
      <w:r w:rsidRPr="00AF17C2">
        <w:rPr>
          <w:rFonts w:cs="Times New Roman"/>
          <w:lang w:val="fr-CA"/>
        </w:rPr>
        <w:t xml:space="preserve">est cependant pas le seul </w:t>
      </w:r>
      <w:r>
        <w:rPr>
          <w:rFonts w:cs="Times New Roman"/>
          <w:lang w:val="fr-CA"/>
        </w:rPr>
        <w:t xml:space="preserve">modèle </w:t>
      </w:r>
      <w:r w:rsidRPr="00AF17C2">
        <w:rPr>
          <w:rFonts w:cs="Times New Roman"/>
          <w:lang w:val="fr-CA"/>
        </w:rPr>
        <w:t>capable de concilier la liberté de choix et l</w:t>
      </w:r>
      <w:r>
        <w:rPr>
          <w:rFonts w:cs="Times New Roman"/>
          <w:lang w:val="fr-CA"/>
        </w:rPr>
        <w:t>’</w:t>
      </w:r>
      <w:r w:rsidRPr="00AF17C2">
        <w:rPr>
          <w:rFonts w:cs="Times New Roman"/>
          <w:lang w:val="fr-CA"/>
        </w:rPr>
        <w:t>indépendance d</w:t>
      </w:r>
      <w:r>
        <w:rPr>
          <w:rFonts w:cs="Times New Roman"/>
          <w:lang w:val="fr-CA"/>
        </w:rPr>
        <w:t>’</w:t>
      </w:r>
      <w:r w:rsidRPr="00AF17C2">
        <w:rPr>
          <w:rFonts w:cs="Times New Roman"/>
          <w:lang w:val="fr-CA"/>
        </w:rPr>
        <w:t xml:space="preserve">une façon qui permette une véritable négociation collective. Le modèle faisant appel à un agent négociateur désigné (voir, par ex., la </w:t>
      </w:r>
      <w:r w:rsidRPr="00AF17C2">
        <w:rPr>
          <w:rFonts w:cs="Times New Roman"/>
          <w:i/>
          <w:lang w:val="fr-CA"/>
        </w:rPr>
        <w:t>Loi de 2014 sur la négociation collective dans les conseils scolaires</w:t>
      </w:r>
      <w:r w:rsidRPr="00AF17C2">
        <w:rPr>
          <w:rFonts w:cs="Times New Roman"/>
          <w:lang w:val="fr-CA"/>
        </w:rPr>
        <w:t>, L.O.</w:t>
      </w:r>
      <w:r w:rsidR="00795B2B">
        <w:rPr>
          <w:rFonts w:cs="Times New Roman"/>
          <w:lang w:val="fr-CA"/>
        </w:rPr>
        <w:t xml:space="preserve"> </w:t>
      </w:r>
      <w:r w:rsidRPr="00AF17C2">
        <w:rPr>
          <w:rFonts w:cs="Times New Roman"/>
          <w:lang w:val="fr-CA"/>
        </w:rPr>
        <w:t>2014, c.</w:t>
      </w:r>
      <w:r w:rsidR="00795B2B">
        <w:rPr>
          <w:rFonts w:cs="Times New Roman"/>
          <w:lang w:val="fr-CA"/>
        </w:rPr>
        <w:t xml:space="preserve"> </w:t>
      </w:r>
      <w:r w:rsidRPr="00AF17C2">
        <w:rPr>
          <w:rFonts w:cs="Times New Roman"/>
          <w:lang w:val="fr-CA"/>
        </w:rPr>
        <w:t xml:space="preserve">5) </w:t>
      </w:r>
      <w:r w:rsidRPr="00AF17C2">
        <w:rPr>
          <w:rFonts w:cs="Times New Roman"/>
          <w:lang w:val="fr-CA"/>
        </w:rPr>
        <w:lastRenderedPageBreak/>
        <w:t>offre un autre exemple de régime qui pourrait être acceptable. Bien que, suivant ce modèle, l</w:t>
      </w:r>
      <w:r>
        <w:rPr>
          <w:rFonts w:cs="Times New Roman"/>
          <w:lang w:val="fr-CA"/>
        </w:rPr>
        <w:t>’</w:t>
      </w:r>
      <w:r w:rsidRPr="00AF17C2">
        <w:rPr>
          <w:rFonts w:cs="Times New Roman"/>
          <w:lang w:val="fr-CA"/>
        </w:rPr>
        <w:t>agent négociateur représentant les employés soit désigné plutôt que choisi par les employés, ces derniers semblent conserver la liberté de choisir les objectifs relatifs à leurs conditions de travail et une indépendance à l</w:t>
      </w:r>
      <w:r>
        <w:rPr>
          <w:rFonts w:cs="Times New Roman"/>
          <w:lang w:val="fr-CA"/>
        </w:rPr>
        <w:t>’</w:t>
      </w:r>
      <w:r w:rsidRPr="00AF17C2">
        <w:rPr>
          <w:rFonts w:cs="Times New Roman"/>
          <w:lang w:val="fr-CA"/>
        </w:rPr>
        <w:t>égard de l</w:t>
      </w:r>
      <w:r>
        <w:rPr>
          <w:rFonts w:cs="Times New Roman"/>
          <w:lang w:val="fr-CA"/>
        </w:rPr>
        <w:t>’</w:t>
      </w:r>
      <w:r w:rsidRPr="00AF17C2">
        <w:rPr>
          <w:rFonts w:cs="Times New Roman"/>
          <w:lang w:val="fr-CA"/>
        </w:rPr>
        <w:t>employeur qui suffisent à assurer la tenue d</w:t>
      </w:r>
      <w:r>
        <w:rPr>
          <w:rFonts w:cs="Times New Roman"/>
          <w:lang w:val="fr-CA"/>
        </w:rPr>
        <w:t>’</w:t>
      </w:r>
      <w:r w:rsidRPr="00AF17C2">
        <w:rPr>
          <w:rFonts w:cs="Times New Roman"/>
          <w:lang w:val="fr-CA"/>
        </w:rPr>
        <w:t>une véritable négociation collective. Ce n</w:t>
      </w:r>
      <w:r>
        <w:rPr>
          <w:rFonts w:cs="Times New Roman"/>
          <w:lang w:val="fr-CA"/>
        </w:rPr>
        <w:t>’</w:t>
      </w:r>
      <w:r w:rsidRPr="00AF17C2">
        <w:rPr>
          <w:rFonts w:cs="Times New Roman"/>
          <w:lang w:val="fr-CA"/>
        </w:rPr>
        <w:t>est qu</w:t>
      </w:r>
      <w:r>
        <w:rPr>
          <w:rFonts w:cs="Times New Roman"/>
          <w:lang w:val="fr-CA"/>
        </w:rPr>
        <w:t>’</w:t>
      </w:r>
      <w:r w:rsidRPr="00AF17C2">
        <w:rPr>
          <w:rFonts w:cs="Times New Roman"/>
          <w:lang w:val="fr-CA"/>
        </w:rPr>
        <w:t>un exemple; d</w:t>
      </w:r>
      <w:r>
        <w:rPr>
          <w:rFonts w:cs="Times New Roman"/>
          <w:lang w:val="fr-CA"/>
        </w:rPr>
        <w:t>’</w:t>
      </w:r>
      <w:r w:rsidRPr="00AF17C2">
        <w:rPr>
          <w:rFonts w:cs="Times New Roman"/>
          <w:lang w:val="fr-CA"/>
        </w:rPr>
        <w:t>autres régimes de négociation collective peuvent aussi assurer à l</w:t>
      </w:r>
      <w:r>
        <w:rPr>
          <w:rFonts w:cs="Times New Roman"/>
          <w:lang w:val="fr-CA"/>
        </w:rPr>
        <w:t>’</w:t>
      </w:r>
      <w:r w:rsidRPr="00AF17C2">
        <w:rPr>
          <w:rFonts w:cs="Times New Roman"/>
          <w:lang w:val="fr-CA"/>
        </w:rPr>
        <w:t>employé un degré acceptable de liberté de choix et d</w:t>
      </w:r>
      <w:r>
        <w:rPr>
          <w:rFonts w:cs="Times New Roman"/>
          <w:lang w:val="fr-CA"/>
        </w:rPr>
        <w:t>’</w:t>
      </w:r>
      <w:r w:rsidRPr="00AF17C2">
        <w:rPr>
          <w:rFonts w:cs="Times New Roman"/>
          <w:lang w:val="fr-CA"/>
        </w:rPr>
        <w:t xml:space="preserve">indépendance qui permet une véritable négociation collective.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Les divers régimes de relations du travail tiennent compte des intérêts des parties concernées et du contexte particulier du milieu de travail en cause. On a d</w:t>
      </w:r>
      <w:r>
        <w:rPr>
          <w:rFonts w:cs="Times New Roman"/>
          <w:lang w:val="fr-CA"/>
        </w:rPr>
        <w:t>’</w:t>
      </w:r>
      <w:r w:rsidRPr="00AF17C2">
        <w:rPr>
          <w:rFonts w:cs="Times New Roman"/>
          <w:lang w:val="fr-CA"/>
        </w:rPr>
        <w:t>ailleurs vu apparaître différents modèles destinés à répondre aux besoins particuliers des divers secteurs et milieux de travail, d</w:t>
      </w:r>
      <w:r>
        <w:rPr>
          <w:rFonts w:cs="Times New Roman"/>
          <w:lang w:val="fr-CA"/>
        </w:rPr>
        <w:t>’</w:t>
      </w:r>
      <w:r w:rsidRPr="00AF17C2">
        <w:rPr>
          <w:rFonts w:cs="Times New Roman"/>
          <w:lang w:val="fr-CA"/>
        </w:rPr>
        <w:t>où le débat actuel sur l</w:t>
      </w:r>
      <w:r>
        <w:rPr>
          <w:rFonts w:cs="Times New Roman"/>
          <w:lang w:val="fr-CA"/>
        </w:rPr>
        <w:t>’</w:t>
      </w:r>
      <w:r w:rsidRPr="00AF17C2">
        <w:rPr>
          <w:rFonts w:cs="Times New Roman"/>
          <w:lang w:val="fr-CA"/>
        </w:rPr>
        <w:t>opportunité de différentes formes de représentation et de collaboration en milieu de travail et sur leur coexistence (D.</w:t>
      </w:r>
      <w:r w:rsidR="00795B2B">
        <w:rPr>
          <w:rFonts w:cs="Times New Roman"/>
          <w:lang w:val="fr-CA"/>
        </w:rPr>
        <w:t xml:space="preserve"> </w:t>
      </w:r>
      <w:r w:rsidRPr="00AF17C2">
        <w:rPr>
          <w:rFonts w:cs="Times New Roman"/>
          <w:lang w:val="fr-CA"/>
        </w:rPr>
        <w:t>J.</w:t>
      </w:r>
      <w:r w:rsidR="00795B2B">
        <w:rPr>
          <w:rFonts w:cs="Times New Roman"/>
          <w:lang w:val="fr-CA"/>
        </w:rPr>
        <w:t xml:space="preserve"> </w:t>
      </w:r>
      <w:proofErr w:type="spellStart"/>
      <w:r w:rsidRPr="00AF17C2">
        <w:rPr>
          <w:rFonts w:cs="Times New Roman"/>
          <w:lang w:val="fr-CA"/>
        </w:rPr>
        <w:t>Doorey</w:t>
      </w:r>
      <w:proofErr w:type="spellEnd"/>
      <w:r w:rsidRPr="00AF17C2">
        <w:rPr>
          <w:rFonts w:cs="Times New Roman"/>
          <w:lang w:val="fr-CA"/>
        </w:rPr>
        <w:t xml:space="preserve">, </w:t>
      </w:r>
      <w:r w:rsidR="00795B2B">
        <w:rPr>
          <w:rFonts w:cs="Times New Roman"/>
          <w:lang w:val="fr-CA"/>
        </w:rPr>
        <w:t>« </w:t>
      </w:r>
      <w:proofErr w:type="spellStart"/>
      <w:r w:rsidRPr="00AF17C2">
        <w:rPr>
          <w:rFonts w:cs="Times New Roman"/>
          <w:lang w:val="fr-CA"/>
        </w:rPr>
        <w:t>Graduated</w:t>
      </w:r>
      <w:proofErr w:type="spellEnd"/>
      <w:r w:rsidRPr="00AF17C2">
        <w:rPr>
          <w:rFonts w:cs="Times New Roman"/>
          <w:lang w:val="fr-CA"/>
        </w:rPr>
        <w:t xml:space="preserve"> </w:t>
      </w:r>
      <w:proofErr w:type="spellStart"/>
      <w:r w:rsidRPr="00AF17C2">
        <w:rPr>
          <w:rFonts w:cs="Times New Roman"/>
          <w:lang w:val="fr-CA"/>
        </w:rPr>
        <w:t>Freedom</w:t>
      </w:r>
      <w:proofErr w:type="spellEnd"/>
      <w:r w:rsidRPr="00AF17C2">
        <w:rPr>
          <w:rFonts w:cs="Times New Roman"/>
          <w:lang w:val="fr-CA"/>
        </w:rPr>
        <w:t xml:space="preserve"> of Association</w:t>
      </w:r>
      <w:r w:rsidR="00795B2B">
        <w:rPr>
          <w:rFonts w:cs="Times New Roman"/>
          <w:lang w:val="fr-CA"/>
        </w:rPr>
        <w:t> :</w:t>
      </w:r>
      <w:r w:rsidRPr="00AF17C2">
        <w:rPr>
          <w:rFonts w:cs="Times New Roman"/>
          <w:lang w:val="fr-CA"/>
        </w:rPr>
        <w:t xml:space="preserve"> </w:t>
      </w:r>
      <w:proofErr w:type="spellStart"/>
      <w:r w:rsidRPr="00AF17C2">
        <w:rPr>
          <w:rFonts w:cs="Times New Roman"/>
          <w:lang w:val="fr-CA"/>
        </w:rPr>
        <w:t>Worker</w:t>
      </w:r>
      <w:proofErr w:type="spellEnd"/>
      <w:r w:rsidRPr="00AF17C2">
        <w:rPr>
          <w:rFonts w:cs="Times New Roman"/>
          <w:lang w:val="fr-CA"/>
        </w:rPr>
        <w:t xml:space="preserve"> Voice </w:t>
      </w:r>
      <w:proofErr w:type="spellStart"/>
      <w:r w:rsidRPr="00AF17C2">
        <w:rPr>
          <w:rFonts w:cs="Times New Roman"/>
          <w:lang w:val="fr-CA"/>
        </w:rPr>
        <w:t>Beyond</w:t>
      </w:r>
      <w:proofErr w:type="spellEnd"/>
      <w:r w:rsidRPr="00AF17C2">
        <w:rPr>
          <w:rFonts w:cs="Times New Roman"/>
          <w:lang w:val="fr-CA"/>
        </w:rPr>
        <w:t xml:space="preserve"> the Wagner Model</w:t>
      </w:r>
      <w:r w:rsidR="00795B2B">
        <w:rPr>
          <w:rFonts w:cs="Times New Roman"/>
          <w:lang w:val="fr-CA"/>
        </w:rPr>
        <w:t> »</w:t>
      </w:r>
      <w:r w:rsidRPr="00AF17C2">
        <w:rPr>
          <w:rFonts w:cs="Times New Roman"/>
          <w:lang w:val="fr-CA"/>
        </w:rPr>
        <w:t xml:space="preserve"> (2013), 38</w:t>
      </w:r>
      <w:r w:rsidRPr="00AF17C2">
        <w:rPr>
          <w:rFonts w:cs="Times New Roman"/>
          <w:i/>
          <w:lang w:val="fr-CA"/>
        </w:rPr>
        <w:t xml:space="preserve"> </w:t>
      </w:r>
      <w:proofErr w:type="spellStart"/>
      <w:r w:rsidRPr="00AF17C2">
        <w:rPr>
          <w:rFonts w:cs="Times New Roman"/>
          <w:i/>
          <w:lang w:val="fr-CA"/>
        </w:rPr>
        <w:t>Queen</w:t>
      </w:r>
      <w:r>
        <w:rPr>
          <w:rFonts w:cs="Times New Roman"/>
          <w:i/>
          <w:lang w:val="fr-CA"/>
        </w:rPr>
        <w:t>’</w:t>
      </w:r>
      <w:r w:rsidRPr="00AF17C2">
        <w:rPr>
          <w:rFonts w:cs="Times New Roman"/>
          <w:i/>
          <w:lang w:val="fr-CA"/>
        </w:rPr>
        <w:t>s</w:t>
      </w:r>
      <w:proofErr w:type="spellEnd"/>
      <w:r w:rsidRPr="00AF17C2">
        <w:rPr>
          <w:rFonts w:cs="Times New Roman"/>
          <w:i/>
          <w:lang w:val="fr-CA"/>
        </w:rPr>
        <w:t xml:space="preserve"> L.J.</w:t>
      </w:r>
      <w:r w:rsidR="00795B2B">
        <w:rPr>
          <w:rFonts w:cs="Times New Roman"/>
          <w:lang w:val="fr-CA"/>
        </w:rPr>
        <w:t xml:space="preserve"> </w:t>
      </w:r>
      <w:r w:rsidRPr="00AF17C2">
        <w:rPr>
          <w:rFonts w:cs="Times New Roman"/>
          <w:lang w:val="fr-CA"/>
        </w:rPr>
        <w:t>511; B.</w:t>
      </w:r>
      <w:r w:rsidR="00795B2B">
        <w:rPr>
          <w:rFonts w:cs="Times New Roman"/>
          <w:lang w:val="fr-CA"/>
        </w:rPr>
        <w:t xml:space="preserve"> </w:t>
      </w:r>
      <w:r w:rsidRPr="00AF17C2">
        <w:rPr>
          <w:rFonts w:cs="Times New Roman"/>
          <w:lang w:val="fr-CA"/>
        </w:rPr>
        <w:t>W.</w:t>
      </w:r>
      <w:r w:rsidR="00795B2B">
        <w:rPr>
          <w:rFonts w:cs="Times New Roman"/>
          <w:lang w:val="fr-CA"/>
        </w:rPr>
        <w:t xml:space="preserve"> </w:t>
      </w:r>
      <w:proofErr w:type="spellStart"/>
      <w:r w:rsidRPr="00AF17C2">
        <w:rPr>
          <w:rFonts w:cs="Times New Roman"/>
          <w:lang w:val="fr-CA"/>
        </w:rPr>
        <w:t>Burkett</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 xml:space="preserve">The Future of the </w:t>
      </w:r>
      <w:r w:rsidRPr="00AF17C2">
        <w:rPr>
          <w:rFonts w:cs="Times New Roman"/>
          <w:i/>
          <w:lang w:val="fr-CA"/>
        </w:rPr>
        <w:t xml:space="preserve">Wagner </w:t>
      </w:r>
      <w:proofErr w:type="spellStart"/>
      <w:r w:rsidRPr="00AF17C2">
        <w:rPr>
          <w:rFonts w:cs="Times New Roman"/>
          <w:i/>
          <w:lang w:val="fr-CA"/>
        </w:rPr>
        <w:t>Act</w:t>
      </w:r>
      <w:proofErr w:type="spellEnd"/>
      <w:r w:rsidR="00795B2B">
        <w:rPr>
          <w:rFonts w:cs="Times New Roman"/>
          <w:lang w:val="fr-CA"/>
        </w:rPr>
        <w:t> :</w:t>
      </w:r>
      <w:r w:rsidRPr="00AF17C2">
        <w:rPr>
          <w:rFonts w:cs="Times New Roman"/>
          <w:lang w:val="fr-CA"/>
        </w:rPr>
        <w:t xml:space="preserve"> A Canadian</w:t>
      </w:r>
      <w:r w:rsidR="00795B2B">
        <w:rPr>
          <w:rFonts w:cs="Times New Roman"/>
          <w:lang w:val="fr-CA"/>
        </w:rPr>
        <w:t>-</w:t>
      </w:r>
      <w:r w:rsidRPr="00AF17C2">
        <w:rPr>
          <w:rFonts w:cs="Times New Roman"/>
          <w:lang w:val="fr-CA"/>
        </w:rPr>
        <w:t xml:space="preserve">American </w:t>
      </w:r>
      <w:proofErr w:type="spellStart"/>
      <w:r w:rsidRPr="00AF17C2">
        <w:rPr>
          <w:rFonts w:cs="Times New Roman"/>
          <w:lang w:val="fr-CA"/>
        </w:rPr>
        <w:t>Comparison</w:t>
      </w:r>
      <w:proofErr w:type="spellEnd"/>
      <w:r w:rsidR="00795B2B">
        <w:rPr>
          <w:rFonts w:cs="Times New Roman"/>
          <w:lang w:val="fr-CA"/>
        </w:rPr>
        <w:t> »</w:t>
      </w:r>
      <w:r w:rsidRPr="00AF17C2">
        <w:rPr>
          <w:rFonts w:cs="Times New Roman"/>
          <w:lang w:val="fr-CA"/>
        </w:rPr>
        <w:t xml:space="preserve"> (2013), 38</w:t>
      </w:r>
      <w:r w:rsidRPr="00AF17C2">
        <w:rPr>
          <w:rFonts w:cs="Times New Roman"/>
          <w:i/>
          <w:lang w:val="fr-CA"/>
        </w:rPr>
        <w:t xml:space="preserve"> </w:t>
      </w:r>
      <w:proofErr w:type="spellStart"/>
      <w:r w:rsidRPr="00AF17C2">
        <w:rPr>
          <w:rFonts w:cs="Times New Roman"/>
          <w:i/>
          <w:lang w:val="fr-CA"/>
        </w:rPr>
        <w:t>Queen</w:t>
      </w:r>
      <w:r>
        <w:rPr>
          <w:rFonts w:cs="Times New Roman"/>
          <w:i/>
          <w:lang w:val="fr-CA"/>
        </w:rPr>
        <w:t>’</w:t>
      </w:r>
      <w:r w:rsidRPr="00AF17C2">
        <w:rPr>
          <w:rFonts w:cs="Times New Roman"/>
          <w:i/>
          <w:lang w:val="fr-CA"/>
        </w:rPr>
        <w:t>s</w:t>
      </w:r>
      <w:proofErr w:type="spellEnd"/>
      <w:r w:rsidRPr="00AF17C2">
        <w:rPr>
          <w:rFonts w:cs="Times New Roman"/>
          <w:i/>
          <w:lang w:val="fr-CA"/>
        </w:rPr>
        <w:t xml:space="preserve"> L.J.</w:t>
      </w:r>
      <w:r w:rsidR="00795B2B">
        <w:rPr>
          <w:rFonts w:cs="Times New Roman"/>
          <w:lang w:val="fr-CA"/>
        </w:rPr>
        <w:t xml:space="preserve"> </w:t>
      </w:r>
      <w:r w:rsidRPr="00AF17C2">
        <w:rPr>
          <w:rFonts w:cs="Times New Roman"/>
          <w:lang w:val="fr-CA"/>
        </w:rPr>
        <w:t>363; D.</w:t>
      </w:r>
      <w:r w:rsidR="00795B2B">
        <w:rPr>
          <w:rFonts w:cs="Times New Roman"/>
          <w:lang w:val="fr-CA"/>
        </w:rPr>
        <w:t xml:space="preserve"> </w:t>
      </w:r>
      <w:r w:rsidRPr="00AF17C2">
        <w:rPr>
          <w:rFonts w:cs="Times New Roman"/>
          <w:lang w:val="fr-CA"/>
        </w:rPr>
        <w:t xml:space="preserve">Taras, </w:t>
      </w:r>
      <w:r w:rsidR="00795B2B">
        <w:rPr>
          <w:rFonts w:cs="Times New Roman"/>
          <w:lang w:val="fr-CA"/>
        </w:rPr>
        <w:t>« </w:t>
      </w:r>
      <w:proofErr w:type="spellStart"/>
      <w:r w:rsidRPr="00AF17C2">
        <w:rPr>
          <w:rFonts w:cs="Times New Roman"/>
          <w:lang w:val="fr-CA"/>
        </w:rPr>
        <w:t>Reconciling</w:t>
      </w:r>
      <w:proofErr w:type="spellEnd"/>
      <w:r w:rsidRPr="00AF17C2">
        <w:rPr>
          <w:rFonts w:cs="Times New Roman"/>
          <w:lang w:val="fr-CA"/>
        </w:rPr>
        <w:t xml:space="preserve"> </w:t>
      </w:r>
      <w:proofErr w:type="spellStart"/>
      <w:r w:rsidRPr="00AF17C2">
        <w:rPr>
          <w:rFonts w:cs="Times New Roman"/>
          <w:lang w:val="fr-CA"/>
        </w:rPr>
        <w:t>Differences</w:t>
      </w:r>
      <w:proofErr w:type="spellEnd"/>
      <w:r w:rsidRPr="00AF17C2">
        <w:rPr>
          <w:rFonts w:cs="Times New Roman"/>
          <w:lang w:val="fr-CA"/>
        </w:rPr>
        <w:t xml:space="preserve"> </w:t>
      </w:r>
      <w:proofErr w:type="spellStart"/>
      <w:r w:rsidRPr="00AF17C2">
        <w:rPr>
          <w:rFonts w:cs="Times New Roman"/>
          <w:lang w:val="fr-CA"/>
        </w:rPr>
        <w:t>Differently</w:t>
      </w:r>
      <w:proofErr w:type="spellEnd"/>
      <w:r w:rsidR="00795B2B">
        <w:rPr>
          <w:rFonts w:cs="Times New Roman"/>
          <w:lang w:val="fr-CA"/>
        </w:rPr>
        <w:t> :</w:t>
      </w:r>
      <w:r w:rsidRPr="00AF17C2">
        <w:rPr>
          <w:rFonts w:cs="Times New Roman"/>
          <w:lang w:val="fr-CA"/>
        </w:rPr>
        <w:t xml:space="preserve"> </w:t>
      </w:r>
      <w:proofErr w:type="spellStart"/>
      <w:r w:rsidRPr="00AF17C2">
        <w:rPr>
          <w:rFonts w:cs="Times New Roman"/>
          <w:lang w:val="fr-CA"/>
        </w:rPr>
        <w:t>Employee</w:t>
      </w:r>
      <w:proofErr w:type="spellEnd"/>
      <w:r w:rsidRPr="00AF17C2">
        <w:rPr>
          <w:rFonts w:cs="Times New Roman"/>
          <w:lang w:val="fr-CA"/>
        </w:rPr>
        <w:t xml:space="preserve"> Voice in Public </w:t>
      </w:r>
      <w:proofErr w:type="spellStart"/>
      <w:r w:rsidRPr="00AF17C2">
        <w:rPr>
          <w:rFonts w:cs="Times New Roman"/>
          <w:lang w:val="fr-CA"/>
        </w:rPr>
        <w:t>Policymaking</w:t>
      </w:r>
      <w:proofErr w:type="spellEnd"/>
      <w:r w:rsidRPr="00AF17C2">
        <w:rPr>
          <w:rFonts w:cs="Times New Roman"/>
          <w:lang w:val="fr-CA"/>
        </w:rPr>
        <w:t xml:space="preserve"> and </w:t>
      </w:r>
      <w:proofErr w:type="spellStart"/>
      <w:r w:rsidRPr="00AF17C2">
        <w:rPr>
          <w:rFonts w:cs="Times New Roman"/>
          <w:lang w:val="fr-CA"/>
        </w:rPr>
        <w:t>Workplace</w:t>
      </w:r>
      <w:proofErr w:type="spellEnd"/>
      <w:r w:rsidRPr="00AF17C2">
        <w:rPr>
          <w:rFonts w:cs="Times New Roman"/>
          <w:lang w:val="fr-CA"/>
        </w:rPr>
        <w:t xml:space="preserve"> </w:t>
      </w:r>
      <w:proofErr w:type="spellStart"/>
      <w:r w:rsidRPr="00AF17C2">
        <w:rPr>
          <w:rFonts w:cs="Times New Roman"/>
          <w:lang w:val="fr-CA"/>
        </w:rPr>
        <w:t>Governance</w:t>
      </w:r>
      <w:proofErr w:type="spellEnd"/>
      <w:r w:rsidR="00795B2B">
        <w:rPr>
          <w:rFonts w:cs="Times New Roman"/>
          <w:lang w:val="fr-CA"/>
        </w:rPr>
        <w:t> »</w:t>
      </w:r>
      <w:r w:rsidRPr="00AF17C2">
        <w:rPr>
          <w:rFonts w:cs="Times New Roman"/>
          <w:lang w:val="fr-CA"/>
        </w:rPr>
        <w:t xml:space="preserve"> (2007), 28</w:t>
      </w:r>
      <w:r w:rsidRPr="00AF17C2">
        <w:rPr>
          <w:rFonts w:cs="Times New Roman"/>
          <w:i/>
          <w:lang w:val="fr-CA"/>
        </w:rPr>
        <w:t xml:space="preserve"> </w:t>
      </w:r>
      <w:proofErr w:type="spellStart"/>
      <w:r w:rsidRPr="00AF17C2">
        <w:rPr>
          <w:rFonts w:cs="Times New Roman"/>
          <w:i/>
          <w:lang w:val="fr-CA"/>
        </w:rPr>
        <w:t>Comp</w:t>
      </w:r>
      <w:proofErr w:type="spellEnd"/>
      <w:r w:rsidRPr="00AF17C2">
        <w:rPr>
          <w:rFonts w:cs="Times New Roman"/>
          <w:i/>
          <w:lang w:val="fr-CA"/>
        </w:rPr>
        <w:t>.</w:t>
      </w:r>
      <w:r w:rsidR="00795B2B">
        <w:rPr>
          <w:rFonts w:cs="Times New Roman"/>
          <w:i/>
          <w:lang w:val="fr-CA"/>
        </w:rPr>
        <w:t xml:space="preserve"> </w:t>
      </w:r>
      <w:r w:rsidRPr="00AF17C2">
        <w:rPr>
          <w:rFonts w:cs="Times New Roman"/>
          <w:i/>
          <w:lang w:val="fr-CA"/>
        </w:rPr>
        <w:t xml:space="preserve">Lab. L. &amp; </w:t>
      </w:r>
      <w:proofErr w:type="spellStart"/>
      <w:r w:rsidRPr="00AF17C2">
        <w:rPr>
          <w:rFonts w:cs="Times New Roman"/>
          <w:i/>
          <w:lang w:val="fr-CA"/>
        </w:rPr>
        <w:t>Pol</w:t>
      </w:r>
      <w:r>
        <w:rPr>
          <w:rFonts w:cs="Times New Roman"/>
          <w:i/>
          <w:lang w:val="fr-CA"/>
        </w:rPr>
        <w:t>’</w:t>
      </w:r>
      <w:r w:rsidRPr="00AF17C2">
        <w:rPr>
          <w:rFonts w:cs="Times New Roman"/>
          <w:i/>
          <w:lang w:val="fr-CA"/>
        </w:rPr>
        <w:t>y</w:t>
      </w:r>
      <w:proofErr w:type="spellEnd"/>
      <w:r w:rsidRPr="00AF17C2">
        <w:rPr>
          <w:rFonts w:cs="Times New Roman"/>
          <w:i/>
          <w:lang w:val="fr-CA"/>
        </w:rPr>
        <w:t xml:space="preserve"> J.</w:t>
      </w:r>
      <w:r w:rsidR="00795B2B">
        <w:rPr>
          <w:rFonts w:cs="Times New Roman"/>
          <w:lang w:val="fr-CA"/>
        </w:rPr>
        <w:t xml:space="preserve"> </w:t>
      </w:r>
      <w:r w:rsidRPr="00AF17C2">
        <w:rPr>
          <w:rFonts w:cs="Times New Roman"/>
          <w:lang w:val="fr-CA"/>
        </w:rPr>
        <w:t>167; Adams, par.</w:t>
      </w:r>
      <w:r w:rsidR="00795B2B">
        <w:rPr>
          <w:rFonts w:cs="Times New Roman"/>
          <w:lang w:val="fr-CA"/>
        </w:rPr>
        <w:t xml:space="preserve"> </w:t>
      </w:r>
      <w:r w:rsidRPr="00AF17C2">
        <w:rPr>
          <w:rFonts w:cs="Times New Roman"/>
          <w:lang w:val="fr-CA"/>
        </w:rPr>
        <w:t>1.290</w:t>
      </w:r>
      <w:r w:rsidR="00795B2B">
        <w:rPr>
          <w:rFonts w:cs="Times New Roman"/>
          <w:lang w:val="fr-CA"/>
        </w:rPr>
        <w:t xml:space="preserve"> </w:t>
      </w:r>
      <w:r w:rsidRPr="00AF17C2">
        <w:rPr>
          <w:rFonts w:cs="Times New Roman"/>
          <w:lang w:val="fr-CA"/>
        </w:rPr>
        <w:t>à</w:t>
      </w:r>
      <w:r w:rsidR="00795B2B">
        <w:rPr>
          <w:rFonts w:cs="Times New Roman"/>
          <w:lang w:val="fr-CA"/>
        </w:rPr>
        <w:t xml:space="preserve"> </w:t>
      </w:r>
      <w:r w:rsidRPr="00AF17C2">
        <w:rPr>
          <w:rFonts w:cs="Times New Roman"/>
          <w:lang w:val="fr-CA"/>
        </w:rPr>
        <w:t xml:space="preserve">1.340).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Il ne s</w:t>
      </w:r>
      <w:r>
        <w:rPr>
          <w:rFonts w:cs="Times New Roman"/>
          <w:lang w:val="fr-CA"/>
        </w:rPr>
        <w:t>’</w:t>
      </w:r>
      <w:r w:rsidRPr="00AF17C2">
        <w:rPr>
          <w:rFonts w:cs="Times New Roman"/>
          <w:lang w:val="fr-CA"/>
        </w:rPr>
        <w:t xml:space="preserve">agit pas de trouver le régime </w:t>
      </w:r>
      <w:r w:rsidR="00795B2B">
        <w:rPr>
          <w:rFonts w:cs="Times New Roman"/>
          <w:lang w:val="fr-CA"/>
        </w:rPr>
        <w:t>« </w:t>
      </w:r>
      <w:r w:rsidRPr="00AF17C2">
        <w:rPr>
          <w:rFonts w:cs="Times New Roman"/>
          <w:lang w:val="fr-CA"/>
        </w:rPr>
        <w:t>idéal</w:t>
      </w:r>
      <w:r w:rsidR="00795B2B">
        <w:rPr>
          <w:rFonts w:cs="Times New Roman"/>
          <w:lang w:val="fr-CA"/>
        </w:rPr>
        <w:t> »</w:t>
      </w:r>
      <w:r w:rsidRPr="00AF17C2">
        <w:rPr>
          <w:rFonts w:cs="Times New Roman"/>
          <w:lang w:val="fr-CA"/>
        </w:rPr>
        <w:t xml:space="preserve"> de négociation collective, mais plutôt un modèle qui offre à l</w:t>
      </w:r>
      <w:r>
        <w:rPr>
          <w:rFonts w:cs="Times New Roman"/>
          <w:lang w:val="fr-CA"/>
        </w:rPr>
        <w:t>’</w:t>
      </w:r>
      <w:r w:rsidRPr="00AF17C2">
        <w:rPr>
          <w:rFonts w:cs="Times New Roman"/>
          <w:lang w:val="fr-CA"/>
        </w:rPr>
        <w:t>employé une liberté de choix et une indépendance suffisantes pour exprimer et défendre ses intérêts dans le contexte particulier du milieu de travail en cause. La liberté de choix et l</w:t>
      </w:r>
      <w:r>
        <w:rPr>
          <w:rFonts w:cs="Times New Roman"/>
          <w:lang w:val="fr-CA"/>
        </w:rPr>
        <w:t>’</w:t>
      </w:r>
      <w:r w:rsidRPr="00AF17C2">
        <w:rPr>
          <w:rFonts w:cs="Times New Roman"/>
          <w:lang w:val="fr-CA"/>
        </w:rPr>
        <w:t>indépendance n</w:t>
      </w:r>
      <w:r>
        <w:rPr>
          <w:rFonts w:cs="Times New Roman"/>
          <w:lang w:val="fr-CA"/>
        </w:rPr>
        <w:t>’</w:t>
      </w:r>
      <w:r w:rsidRPr="00AF17C2">
        <w:rPr>
          <w:rFonts w:cs="Times New Roman"/>
          <w:i/>
          <w:lang w:val="fr-CA"/>
        </w:rPr>
        <w:t>exigent</w:t>
      </w:r>
      <w:r w:rsidRPr="00AF17C2">
        <w:rPr>
          <w:rFonts w:cs="Times New Roman"/>
          <w:lang w:val="fr-CA"/>
        </w:rPr>
        <w:t xml:space="preserve"> pas des </w:t>
      </w:r>
      <w:r w:rsidRPr="00AF17C2">
        <w:rPr>
          <w:rFonts w:cs="Times New Roman"/>
          <w:lang w:val="fr-CA"/>
        </w:rPr>
        <w:lastRenderedPageBreak/>
        <w:t xml:space="preserve">relations de travail de nature contradictoire; rien dans la </w:t>
      </w:r>
      <w:r w:rsidRPr="00AF17C2">
        <w:rPr>
          <w:rFonts w:cs="Times New Roman"/>
          <w:i/>
          <w:lang w:val="fr-CA"/>
        </w:rPr>
        <w:t xml:space="preserve">Charte </w:t>
      </w:r>
      <w:r w:rsidRPr="00AF17C2">
        <w:rPr>
          <w:rFonts w:cs="Times New Roman"/>
          <w:lang w:val="fr-CA"/>
        </w:rPr>
        <w:t>n</w:t>
      </w:r>
      <w:r>
        <w:rPr>
          <w:rFonts w:cs="Times New Roman"/>
          <w:lang w:val="fr-CA"/>
        </w:rPr>
        <w:t>’</w:t>
      </w:r>
      <w:r w:rsidRPr="00AF17C2">
        <w:rPr>
          <w:rFonts w:cs="Times New Roman"/>
          <w:lang w:val="fr-CA"/>
        </w:rPr>
        <w:t>empêche une association d</w:t>
      </w:r>
      <w:r>
        <w:rPr>
          <w:rFonts w:cs="Times New Roman"/>
          <w:lang w:val="fr-CA"/>
        </w:rPr>
        <w:t>’</w:t>
      </w:r>
      <w:r w:rsidRPr="00AF17C2">
        <w:rPr>
          <w:rFonts w:cs="Times New Roman"/>
          <w:lang w:val="fr-CA"/>
        </w:rPr>
        <w:t>employés de s</w:t>
      </w:r>
      <w:r>
        <w:rPr>
          <w:rFonts w:cs="Times New Roman"/>
          <w:lang w:val="fr-CA"/>
        </w:rPr>
        <w:t>’</w:t>
      </w:r>
      <w:r w:rsidRPr="00AF17C2">
        <w:rPr>
          <w:rFonts w:cs="Times New Roman"/>
          <w:lang w:val="fr-CA"/>
        </w:rPr>
        <w:t>engager librement avec l</w:t>
      </w:r>
      <w:r>
        <w:rPr>
          <w:rFonts w:cs="Times New Roman"/>
          <w:lang w:val="fr-CA"/>
        </w:rPr>
        <w:t>’</w:t>
      </w:r>
      <w:r w:rsidRPr="00AF17C2">
        <w:rPr>
          <w:rFonts w:cs="Times New Roman"/>
          <w:lang w:val="fr-CA"/>
        </w:rPr>
        <w:t>employeur dans un type de négociation différent, moins contradictoire et davantage axé sur la collaboration. Cela dit, une véritable négociation collective ne saurait être fondée sur la négation des intérêts des employés, lorsqu</w:t>
      </w:r>
      <w:r>
        <w:rPr>
          <w:rFonts w:cs="Times New Roman"/>
          <w:lang w:val="fr-CA"/>
        </w:rPr>
        <w:t>’</w:t>
      </w:r>
      <w:r w:rsidRPr="00AF17C2">
        <w:rPr>
          <w:rFonts w:cs="Times New Roman"/>
          <w:lang w:val="fr-CA"/>
        </w:rPr>
        <w:t>ils divergent de ceux de l</w:t>
      </w:r>
      <w:r>
        <w:rPr>
          <w:rFonts w:cs="Times New Roman"/>
          <w:lang w:val="fr-CA"/>
        </w:rPr>
        <w:t>’</w:t>
      </w:r>
      <w:r w:rsidRPr="00AF17C2">
        <w:rPr>
          <w:rFonts w:cs="Times New Roman"/>
          <w:lang w:val="fr-CA"/>
        </w:rPr>
        <w:t>employeur, au nom d</w:t>
      </w:r>
      <w:r>
        <w:rPr>
          <w:rFonts w:cs="Times New Roman"/>
          <w:lang w:val="fr-CA"/>
        </w:rPr>
        <w:t>’</w:t>
      </w:r>
      <w:r w:rsidRPr="00AF17C2">
        <w:rPr>
          <w:rFonts w:cs="Times New Roman"/>
          <w:lang w:val="fr-CA"/>
        </w:rPr>
        <w:t xml:space="preserve">un processus </w:t>
      </w:r>
      <w:r w:rsidR="00795B2B">
        <w:rPr>
          <w:rFonts w:cs="Times New Roman"/>
          <w:lang w:val="fr-CA"/>
        </w:rPr>
        <w:t>« </w:t>
      </w:r>
      <w:r w:rsidRPr="00AF17C2">
        <w:rPr>
          <w:rFonts w:cs="Times New Roman"/>
          <w:lang w:val="fr-CA"/>
        </w:rPr>
        <w:t>non contradictoire</w:t>
      </w:r>
      <w:r w:rsidR="00795B2B">
        <w:rPr>
          <w:rFonts w:cs="Times New Roman"/>
          <w:lang w:val="fr-CA"/>
        </w:rPr>
        <w:t> »</w:t>
      </w:r>
      <w:r w:rsidRPr="00AF17C2">
        <w:rPr>
          <w:rFonts w:cs="Times New Roman"/>
          <w:lang w:val="fr-CA"/>
        </w:rPr>
        <w:t xml:space="preserve">. Sans égard au modèle, la </w:t>
      </w:r>
      <w:r w:rsidRPr="00AF17C2">
        <w:rPr>
          <w:rFonts w:cs="Times New Roman"/>
          <w:i/>
          <w:lang w:val="fr-CA"/>
        </w:rPr>
        <w:t>Charte</w:t>
      </w:r>
      <w:r w:rsidRPr="00AF17C2">
        <w:rPr>
          <w:rFonts w:cs="Times New Roman"/>
          <w:lang w:val="fr-CA"/>
        </w:rPr>
        <w:t xml:space="preserve"> n</w:t>
      </w:r>
      <w:r>
        <w:rPr>
          <w:rFonts w:cs="Times New Roman"/>
          <w:lang w:val="fr-CA"/>
        </w:rPr>
        <w:t>’</w:t>
      </w:r>
      <w:r w:rsidRPr="00AF17C2">
        <w:rPr>
          <w:rFonts w:cs="Times New Roman"/>
          <w:lang w:val="fr-CA"/>
        </w:rPr>
        <w:t>autorise pas que la liberté de choix et l</w:t>
      </w:r>
      <w:r>
        <w:rPr>
          <w:rFonts w:cs="Times New Roman"/>
          <w:lang w:val="fr-CA"/>
        </w:rPr>
        <w:t>’</w:t>
      </w:r>
      <w:r w:rsidRPr="00AF17C2">
        <w:rPr>
          <w:rFonts w:cs="Times New Roman"/>
          <w:lang w:val="fr-CA"/>
        </w:rPr>
        <w:t>indépendance soient affaiblies jusqu</w:t>
      </w:r>
      <w:r>
        <w:rPr>
          <w:rFonts w:cs="Times New Roman"/>
          <w:lang w:val="fr-CA"/>
        </w:rPr>
        <w:t>’</w:t>
      </w:r>
      <w:r w:rsidRPr="00AF17C2">
        <w:rPr>
          <w:rFonts w:cs="Times New Roman"/>
          <w:lang w:val="fr-CA"/>
        </w:rPr>
        <w:t>au point où apparaît une entrave substantielle à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 processus véritable de négociation collective. La désignation d</w:t>
      </w:r>
      <w:r>
        <w:rPr>
          <w:rFonts w:cs="Times New Roman"/>
          <w:lang w:val="fr-CA"/>
        </w:rPr>
        <w:t>’</w:t>
      </w:r>
      <w:r w:rsidRPr="00AF17C2">
        <w:rPr>
          <w:rFonts w:cs="Times New Roman"/>
          <w:lang w:val="fr-CA"/>
        </w:rPr>
        <w:t>agents négociateurs et l</w:t>
      </w:r>
      <w:r>
        <w:rPr>
          <w:rFonts w:cs="Times New Roman"/>
          <w:lang w:val="fr-CA"/>
        </w:rPr>
        <w:t>’</w:t>
      </w:r>
      <w:r w:rsidRPr="00AF17C2">
        <w:rPr>
          <w:rFonts w:cs="Times New Roman"/>
          <w:lang w:val="fr-CA"/>
        </w:rPr>
        <w:t>établissement d</w:t>
      </w:r>
      <w:r>
        <w:rPr>
          <w:rFonts w:cs="Times New Roman"/>
          <w:lang w:val="fr-CA"/>
        </w:rPr>
        <w:t>’</w:t>
      </w:r>
      <w:r w:rsidRPr="00AF17C2">
        <w:rPr>
          <w:rFonts w:cs="Times New Roman"/>
          <w:lang w:val="fr-CA"/>
        </w:rPr>
        <w:t>un cadre de négociation collective ne porteraient donc pas atteinte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si la structure qui est créée reste à l</w:t>
      </w:r>
      <w:r>
        <w:rPr>
          <w:rFonts w:cs="Times New Roman"/>
          <w:lang w:val="fr-CA"/>
        </w:rPr>
        <w:t>’</w:t>
      </w:r>
      <w:r w:rsidRPr="00AF17C2">
        <w:rPr>
          <w:rFonts w:cs="Times New Roman"/>
          <w:lang w:val="fr-CA"/>
        </w:rPr>
        <w:t>abri de l</w:t>
      </w:r>
      <w:r>
        <w:rPr>
          <w:rFonts w:cs="Times New Roman"/>
          <w:lang w:val="fr-CA"/>
        </w:rPr>
        <w:t>’</w:t>
      </w:r>
      <w:r w:rsidRPr="00AF17C2">
        <w:rPr>
          <w:rFonts w:cs="Times New Roman"/>
          <w:lang w:val="fr-CA"/>
        </w:rPr>
        <w:t>ingérence de l</w:t>
      </w:r>
      <w:r>
        <w:rPr>
          <w:rFonts w:cs="Times New Roman"/>
          <w:lang w:val="fr-CA"/>
        </w:rPr>
        <w:t>’</w:t>
      </w:r>
      <w:r w:rsidRPr="00AF17C2">
        <w:rPr>
          <w:rFonts w:cs="Times New Roman"/>
          <w:lang w:val="fr-CA"/>
        </w:rPr>
        <w:t>employeur, demeure sous le contrôle des employés et offre à ces derniers une liberté de choix suffisante quant aux objectifs qu</w:t>
      </w:r>
      <w:r>
        <w:rPr>
          <w:rFonts w:cs="Times New Roman"/>
          <w:lang w:val="fr-CA"/>
        </w:rPr>
        <w:t>’</w:t>
      </w:r>
      <w:r w:rsidRPr="00AF17C2">
        <w:rPr>
          <w:rFonts w:cs="Times New Roman"/>
          <w:lang w:val="fr-CA"/>
        </w:rPr>
        <w:t xml:space="preserve">ils entendent poursuivre au sujet de leurs conditions de travail. </w:t>
      </w:r>
    </w:p>
    <w:p w:rsidR="007B74A6" w:rsidRPr="00AF17C2" w:rsidRDefault="007B74A6" w:rsidP="00795B2B">
      <w:pPr>
        <w:pStyle w:val="ParaNoNdepar-AltN"/>
        <w:tabs>
          <w:tab w:val="clear" w:pos="1152"/>
          <w:tab w:val="left" w:pos="1166"/>
        </w:tabs>
        <w:rPr>
          <w:rFonts w:cs="Times New Roman"/>
          <w:lang w:val="fr-CA"/>
        </w:rPr>
      </w:pPr>
      <w:proofErr w:type="gramStart"/>
      <w:r w:rsidRPr="00AF17C2">
        <w:rPr>
          <w:rFonts w:cs="Times New Roman"/>
          <w:lang w:val="fr-CA"/>
        </w:rPr>
        <w:t>L</w:t>
      </w:r>
      <w:r>
        <w:rPr>
          <w:rFonts w:cs="Times New Roman"/>
          <w:lang w:val="fr-CA"/>
        </w:rPr>
        <w:t>’</w:t>
      </w:r>
      <w:r w:rsidRPr="00AF17C2">
        <w:rPr>
          <w:rFonts w:cs="Times New Roman"/>
          <w:lang w:val="fr-CA"/>
        </w:rPr>
        <w:t>intimé soutient</w:t>
      </w:r>
      <w:proofErr w:type="gramEnd"/>
      <w:r w:rsidRPr="00AF17C2">
        <w:rPr>
          <w:rFonts w:cs="Times New Roman"/>
          <w:lang w:val="fr-CA"/>
        </w:rPr>
        <w:t xml:space="preserve"> que cette façon d</w:t>
      </w:r>
      <w:r>
        <w:rPr>
          <w:rFonts w:cs="Times New Roman"/>
          <w:lang w:val="fr-CA"/>
        </w:rPr>
        <w:t>’</w:t>
      </w:r>
      <w:r w:rsidRPr="00AF17C2">
        <w:rPr>
          <w:rFonts w:cs="Times New Roman"/>
          <w:lang w:val="fr-CA"/>
        </w:rPr>
        <w:t>interpréter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imposerait à l</w:t>
      </w:r>
      <w:r>
        <w:rPr>
          <w:rFonts w:cs="Times New Roman"/>
          <w:lang w:val="fr-CA"/>
        </w:rPr>
        <w:t>’</w:t>
      </w:r>
      <w:r w:rsidRPr="00AF17C2">
        <w:rPr>
          <w:rFonts w:cs="Times New Roman"/>
          <w:lang w:val="fr-CA"/>
        </w:rPr>
        <w:t>employeur, même au gouvernement employeur, l</w:t>
      </w:r>
      <w:r>
        <w:rPr>
          <w:rFonts w:cs="Times New Roman"/>
          <w:lang w:val="fr-CA"/>
        </w:rPr>
        <w:t>’</w:t>
      </w:r>
      <w:r w:rsidRPr="00AF17C2">
        <w:rPr>
          <w:rFonts w:cs="Times New Roman"/>
          <w:lang w:val="fr-CA"/>
        </w:rPr>
        <w:t xml:space="preserve">obligation de reconnaître chaque association choisie par les employés, quelle que soit </w:t>
      </w:r>
      <w:r w:rsidR="000D70A3">
        <w:rPr>
          <w:rFonts w:cs="Times New Roman"/>
          <w:lang w:val="fr-CA"/>
        </w:rPr>
        <w:t>sa</w:t>
      </w:r>
      <w:r w:rsidRPr="00AF17C2">
        <w:rPr>
          <w:rFonts w:cs="Times New Roman"/>
          <w:lang w:val="fr-CA"/>
        </w:rPr>
        <w:t xml:space="preserve"> taille</w:t>
      </w:r>
      <w:r w:rsidR="000D70A3">
        <w:rPr>
          <w:rFonts w:cs="Times New Roman"/>
          <w:lang w:val="fr-CA"/>
        </w:rPr>
        <w:t>, et de négocier avec elle</w:t>
      </w:r>
      <w:r w:rsidRPr="00AF17C2">
        <w:rPr>
          <w:rFonts w:cs="Times New Roman"/>
          <w:lang w:val="fr-CA"/>
        </w:rPr>
        <w:t>. À notre avis, ce n</w:t>
      </w:r>
      <w:r>
        <w:rPr>
          <w:rFonts w:cs="Times New Roman"/>
          <w:lang w:val="fr-CA"/>
        </w:rPr>
        <w:t>’</w:t>
      </w:r>
      <w:r w:rsidRPr="00AF17C2">
        <w:rPr>
          <w:rFonts w:cs="Times New Roman"/>
          <w:lang w:val="fr-CA"/>
        </w:rPr>
        <w:t>est pas le cas. La liberté d</w:t>
      </w:r>
      <w:r>
        <w:rPr>
          <w:rFonts w:cs="Times New Roman"/>
          <w:lang w:val="fr-CA"/>
        </w:rPr>
        <w:t>’</w:t>
      </w:r>
      <w:r w:rsidRPr="00AF17C2">
        <w:rPr>
          <w:rFonts w:cs="Times New Roman"/>
          <w:lang w:val="fr-CA"/>
        </w:rPr>
        <w:t>association suppose, entre autres choses, qu</w:t>
      </w:r>
      <w:r>
        <w:rPr>
          <w:rFonts w:cs="Times New Roman"/>
          <w:lang w:val="fr-CA"/>
        </w:rPr>
        <w:t>’</w:t>
      </w:r>
      <w:r w:rsidRPr="00AF17C2">
        <w:rPr>
          <w:rFonts w:cs="Times New Roman"/>
          <w:lang w:val="fr-CA"/>
        </w:rPr>
        <w:t>aucun processus gouvernemental ne puisse entraver substantiellement la liberté des employés de créer une association ou d</w:t>
      </w:r>
      <w:r>
        <w:rPr>
          <w:rFonts w:cs="Times New Roman"/>
          <w:lang w:val="fr-CA"/>
        </w:rPr>
        <w:t>’</w:t>
      </w:r>
      <w:r w:rsidRPr="00AF17C2">
        <w:rPr>
          <w:rFonts w:cs="Times New Roman"/>
          <w:lang w:val="fr-CA"/>
        </w:rPr>
        <w:t>adhérer à une association de leur choix, même si, de ce fait, ils écartent une association existante. Elle suppose également que l</w:t>
      </w:r>
      <w:r>
        <w:rPr>
          <w:rFonts w:cs="Times New Roman"/>
          <w:lang w:val="fr-CA"/>
        </w:rPr>
        <w:t>’</w:t>
      </w:r>
      <w:r w:rsidRPr="00AF17C2">
        <w:rPr>
          <w:rFonts w:cs="Times New Roman"/>
          <w:lang w:val="fr-CA"/>
        </w:rPr>
        <w:t>employeur examine les observations des employés de bonne foi et qu</w:t>
      </w:r>
      <w:r>
        <w:rPr>
          <w:rFonts w:cs="Times New Roman"/>
          <w:lang w:val="fr-CA"/>
        </w:rPr>
        <w:t>’</w:t>
      </w:r>
      <w:r w:rsidRPr="00AF17C2">
        <w:rPr>
          <w:rFonts w:cs="Times New Roman"/>
          <w:lang w:val="fr-CA"/>
        </w:rPr>
        <w:t>il s</w:t>
      </w:r>
      <w:r>
        <w:rPr>
          <w:rFonts w:cs="Times New Roman"/>
          <w:lang w:val="fr-CA"/>
        </w:rPr>
        <w:t>’</w:t>
      </w:r>
      <w:r w:rsidRPr="00AF17C2">
        <w:rPr>
          <w:rFonts w:cs="Times New Roman"/>
          <w:lang w:val="fr-CA"/>
        </w:rPr>
        <w:t>engage avec ces derniers dans une véritable discussion. L</w:t>
      </w:r>
      <w:r>
        <w:rPr>
          <w:rFonts w:cs="Times New Roman"/>
          <w:lang w:val="fr-CA"/>
        </w:rPr>
        <w:t>’</w:t>
      </w:r>
      <w:r w:rsidRPr="00AF17C2">
        <w:rPr>
          <w:rFonts w:cs="Times New Roman"/>
          <w:lang w:val="fr-CA"/>
        </w:rPr>
        <w:t>alinéa</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w:t>
      </w:r>
      <w:r>
        <w:rPr>
          <w:rFonts w:cs="Times New Roman"/>
          <w:lang w:val="fr-CA"/>
        </w:rPr>
        <w:t>’</w:t>
      </w:r>
      <w:r w:rsidRPr="00AF17C2">
        <w:rPr>
          <w:rFonts w:cs="Times New Roman"/>
          <w:lang w:val="fr-CA"/>
        </w:rPr>
        <w:t xml:space="preserve">impose cependant pas un processus où </w:t>
      </w:r>
      <w:r w:rsidRPr="00AF17C2">
        <w:rPr>
          <w:rFonts w:cs="Times New Roman"/>
          <w:i/>
          <w:lang w:val="fr-CA"/>
        </w:rPr>
        <w:t xml:space="preserve">chaque </w:t>
      </w:r>
      <w:r w:rsidRPr="00AF17C2">
        <w:rPr>
          <w:rFonts w:cs="Times New Roman"/>
          <w:lang w:val="fr-CA"/>
        </w:rPr>
        <w:t xml:space="preserve">association finira par </w:t>
      </w:r>
      <w:r w:rsidRPr="00AF17C2">
        <w:rPr>
          <w:rFonts w:cs="Times New Roman"/>
          <w:i/>
          <w:lang w:val="fr-CA"/>
        </w:rPr>
        <w:t xml:space="preserve">obtenir </w:t>
      </w:r>
      <w:r w:rsidRPr="00AF17C2">
        <w:rPr>
          <w:rFonts w:cs="Times New Roman"/>
          <w:lang w:val="fr-CA"/>
        </w:rPr>
        <w:t>la reconnaissance qu</w:t>
      </w:r>
      <w:r>
        <w:rPr>
          <w:rFonts w:cs="Times New Roman"/>
          <w:lang w:val="fr-CA"/>
        </w:rPr>
        <w:t>’</w:t>
      </w:r>
      <w:r w:rsidRPr="00AF17C2">
        <w:rPr>
          <w:rFonts w:cs="Times New Roman"/>
          <w:lang w:val="fr-CA"/>
        </w:rPr>
        <w:t>elle cherche (voir M.</w:t>
      </w:r>
      <w:r w:rsidR="00795B2B">
        <w:rPr>
          <w:rFonts w:cs="Times New Roman"/>
          <w:lang w:val="fr-CA"/>
        </w:rPr>
        <w:t xml:space="preserve"> </w:t>
      </w:r>
      <w:proofErr w:type="spellStart"/>
      <w:r w:rsidRPr="00AF17C2">
        <w:rPr>
          <w:rFonts w:cs="Times New Roman"/>
          <w:lang w:val="fr-CA"/>
        </w:rPr>
        <w:t>Coutu</w:t>
      </w:r>
      <w:proofErr w:type="spellEnd"/>
      <w:r w:rsidRPr="00AF17C2">
        <w:rPr>
          <w:rFonts w:cs="Times New Roman"/>
          <w:lang w:val="fr-CA"/>
        </w:rPr>
        <w:t xml:space="preserve"> et </w:t>
      </w:r>
      <w:r w:rsidR="004C4ED4">
        <w:rPr>
          <w:rFonts w:cs="Times New Roman"/>
          <w:lang w:val="fr-CA"/>
        </w:rPr>
        <w:t>autres</w:t>
      </w:r>
      <w:r w:rsidRPr="00AF17C2">
        <w:rPr>
          <w:rFonts w:cs="Times New Roman"/>
          <w:lang w:val="fr-CA"/>
        </w:rPr>
        <w:t xml:space="preserve">, </w:t>
      </w:r>
      <w:r w:rsidRPr="00AF17C2">
        <w:rPr>
          <w:rFonts w:cs="Times New Roman"/>
          <w:i/>
          <w:lang w:val="fr-CA"/>
        </w:rPr>
        <w:t>Droit des rapports collectifs du travail au Québec</w:t>
      </w:r>
      <w:r w:rsidRPr="00AF17C2">
        <w:rPr>
          <w:rFonts w:cs="Times New Roman"/>
          <w:lang w:val="fr-CA"/>
        </w:rPr>
        <w:t xml:space="preserve"> </w:t>
      </w:r>
      <w:r w:rsidRPr="00AF17C2">
        <w:rPr>
          <w:rFonts w:cs="Times New Roman"/>
          <w:lang w:val="fr-CA"/>
        </w:rPr>
        <w:lastRenderedPageBreak/>
        <w:t>(2</w:t>
      </w:r>
      <w:r w:rsidRPr="00AF17C2">
        <w:rPr>
          <w:rFonts w:cs="Times New Roman"/>
          <w:vertAlign w:val="superscript"/>
          <w:lang w:val="fr-CA"/>
        </w:rPr>
        <w:t>e</w:t>
      </w:r>
      <w:r w:rsidRPr="00AF17C2">
        <w:rPr>
          <w:rFonts w:cs="Times New Roman"/>
          <w:lang w:val="fr-CA"/>
        </w:rPr>
        <w:t xml:space="preserve"> éd. 2013), vol.</w:t>
      </w:r>
      <w:r w:rsidR="00795B2B">
        <w:rPr>
          <w:rFonts w:cs="Times New Roman"/>
          <w:lang w:val="fr-CA"/>
        </w:rPr>
        <w:t xml:space="preserve"> </w:t>
      </w:r>
      <w:r w:rsidRPr="00AF17C2">
        <w:rPr>
          <w:rFonts w:cs="Times New Roman"/>
          <w:lang w:val="fr-CA"/>
        </w:rPr>
        <w:t xml:space="preserve">1, </w:t>
      </w:r>
      <w:r w:rsidRPr="00AF17C2">
        <w:rPr>
          <w:rFonts w:cs="Times New Roman"/>
          <w:i/>
          <w:lang w:val="fr-CA"/>
        </w:rPr>
        <w:t>Le régime général</w:t>
      </w:r>
      <w:r w:rsidRPr="00AF17C2">
        <w:rPr>
          <w:rFonts w:cs="Times New Roman"/>
          <w:lang w:val="fr-CA"/>
        </w:rPr>
        <w:t>, par.</w:t>
      </w:r>
      <w:r w:rsidR="00795B2B">
        <w:rPr>
          <w:rFonts w:cs="Times New Roman"/>
          <w:lang w:val="fr-CA"/>
        </w:rPr>
        <w:t xml:space="preserve"> </w:t>
      </w:r>
      <w:r w:rsidRPr="00AF17C2">
        <w:rPr>
          <w:rFonts w:cs="Times New Roman"/>
          <w:lang w:val="fr-CA"/>
        </w:rPr>
        <w:t>98). Comme nous l</w:t>
      </w:r>
      <w:r>
        <w:rPr>
          <w:rFonts w:cs="Times New Roman"/>
          <w:lang w:val="fr-CA"/>
        </w:rPr>
        <w:t>’</w:t>
      </w:r>
      <w:r w:rsidRPr="00AF17C2">
        <w:rPr>
          <w:rFonts w:cs="Times New Roman"/>
          <w:lang w:val="fr-CA"/>
        </w:rPr>
        <w:t>avons dit, il peut aussi être satisfait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en présence d</w:t>
      </w:r>
      <w:r>
        <w:rPr>
          <w:rFonts w:cs="Times New Roman"/>
          <w:lang w:val="fr-CA"/>
        </w:rPr>
        <w:t>’</w:t>
      </w:r>
      <w:r w:rsidRPr="00AF17C2">
        <w:rPr>
          <w:rFonts w:cs="Times New Roman"/>
          <w:lang w:val="fr-CA"/>
        </w:rPr>
        <w:t>un modèle reposant sur la majorité et l</w:t>
      </w:r>
      <w:r>
        <w:rPr>
          <w:rFonts w:cs="Times New Roman"/>
          <w:lang w:val="fr-CA"/>
        </w:rPr>
        <w:t>’</w:t>
      </w:r>
      <w:r w:rsidRPr="00AF17C2">
        <w:rPr>
          <w:rFonts w:cs="Times New Roman"/>
          <w:lang w:val="fr-CA"/>
        </w:rPr>
        <w:t xml:space="preserve">exclusivité (tel que le modèle fondé sur la loi Wagner) qui impose des restrictions aux droits des individus afin de réaliser des objectifs communs.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résumé, un processus véritable de négociation collective donne aux employés l</w:t>
      </w:r>
      <w:r>
        <w:rPr>
          <w:rFonts w:cs="Times New Roman"/>
          <w:lang w:val="fr-CA"/>
        </w:rPr>
        <w:t>’</w:t>
      </w:r>
      <w:r w:rsidRPr="00AF17C2">
        <w:rPr>
          <w:rFonts w:cs="Times New Roman"/>
          <w:lang w:val="fr-CA"/>
        </w:rPr>
        <w:t>occasion de véritablement participer au choix de leurs objectifs collectifs et leur assure une indépendance suffisante par rapport à la direction pour qu</w:t>
      </w:r>
      <w:r>
        <w:rPr>
          <w:rFonts w:cs="Times New Roman"/>
          <w:lang w:val="fr-CA"/>
        </w:rPr>
        <w:t>’</w:t>
      </w:r>
      <w:r w:rsidRPr="00AF17C2">
        <w:rPr>
          <w:rFonts w:cs="Times New Roman"/>
          <w:lang w:val="fr-CA"/>
        </w:rPr>
        <w:t>ils puissent contrôler les activités de l</w:t>
      </w:r>
      <w:r>
        <w:rPr>
          <w:rFonts w:cs="Times New Roman"/>
          <w:lang w:val="fr-CA"/>
        </w:rPr>
        <w:t>’</w:t>
      </w:r>
      <w:r w:rsidRPr="00AF17C2">
        <w:rPr>
          <w:rFonts w:cs="Times New Roman"/>
          <w:lang w:val="fr-CA"/>
        </w:rPr>
        <w:t>association, eu égard au secteur d</w:t>
      </w:r>
      <w:r>
        <w:rPr>
          <w:rFonts w:cs="Times New Roman"/>
          <w:lang w:val="fr-CA"/>
        </w:rPr>
        <w:t>’</w:t>
      </w:r>
      <w:r w:rsidRPr="00AF17C2">
        <w:rPr>
          <w:rFonts w:cs="Times New Roman"/>
          <w:lang w:val="fr-CA"/>
        </w:rPr>
        <w:t>activités et au milieu de travail en cause. Tout régime de relations de travail qui satisfait à ces conditions et qui permet donc la tenue d</w:t>
      </w:r>
      <w:r>
        <w:rPr>
          <w:rFonts w:cs="Times New Roman"/>
          <w:lang w:val="fr-CA"/>
        </w:rPr>
        <w:t>’</w:t>
      </w:r>
      <w:r w:rsidRPr="00AF17C2">
        <w:rPr>
          <w:rFonts w:cs="Times New Roman"/>
          <w:lang w:val="fr-CA"/>
        </w:rPr>
        <w:t>une véritable négociation collective satisfait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Avant de passer à l</w:t>
      </w:r>
      <w:r>
        <w:rPr>
          <w:rFonts w:cs="Times New Roman"/>
          <w:lang w:val="fr-CA"/>
        </w:rPr>
        <w:t>’</w:t>
      </w:r>
      <w:r w:rsidRPr="00AF17C2">
        <w:rPr>
          <w:rFonts w:cs="Times New Roman"/>
          <w:lang w:val="fr-CA"/>
        </w:rPr>
        <w:t>application de ces principes aux questions constitutionnelles soulevées en l</w:t>
      </w:r>
      <w:r>
        <w:rPr>
          <w:rFonts w:cs="Times New Roman"/>
          <w:lang w:val="fr-CA"/>
        </w:rPr>
        <w:t>’</w:t>
      </w:r>
      <w:r w:rsidRPr="00AF17C2">
        <w:rPr>
          <w:rFonts w:cs="Times New Roman"/>
          <w:lang w:val="fr-CA"/>
        </w:rPr>
        <w:t xml:space="preserve">espèce, examinons les motifs dissidents du juge </w:t>
      </w:r>
      <w:proofErr w:type="spellStart"/>
      <w:r w:rsidRPr="00AF17C2">
        <w:rPr>
          <w:rFonts w:cs="Times New Roman"/>
          <w:lang w:val="fr-CA"/>
        </w:rPr>
        <w:t>Rothstein</w:t>
      </w:r>
      <w:proofErr w:type="spellEnd"/>
      <w:r w:rsidRPr="00AF17C2">
        <w:rPr>
          <w:rFonts w:cs="Times New Roman"/>
          <w:lang w:val="fr-CA"/>
        </w:rPr>
        <w:t xml:space="preserve">. À son avis, </w:t>
      </w:r>
      <w:r w:rsidR="00795B2B">
        <w:rPr>
          <w:rFonts w:cs="Times New Roman"/>
          <w:lang w:val="fr-CA"/>
        </w:rPr>
        <w:t>« </w:t>
      </w:r>
      <w:r w:rsidRPr="00AF17C2">
        <w:rPr>
          <w:rFonts w:cs="Times New Roman"/>
          <w:lang w:val="fr-CA"/>
        </w:rPr>
        <w:t>[l]a caractéristique essentielle d</w:t>
      </w:r>
      <w:r>
        <w:rPr>
          <w:rFonts w:cs="Times New Roman"/>
          <w:lang w:val="fr-CA"/>
        </w:rPr>
        <w:t>’</w:t>
      </w:r>
      <w:r w:rsidRPr="00AF17C2">
        <w:rPr>
          <w:rFonts w:cs="Times New Roman"/>
          <w:lang w:val="fr-CA"/>
        </w:rPr>
        <w:t>un régime de relations de travail qui permet aux employés d</w:t>
      </w:r>
      <w:r>
        <w:rPr>
          <w:rFonts w:cs="Times New Roman"/>
          <w:lang w:val="fr-CA"/>
        </w:rPr>
        <w:t>’</w:t>
      </w:r>
      <w:r w:rsidRPr="00AF17C2">
        <w:rPr>
          <w:rFonts w:cs="Times New Roman"/>
          <w:lang w:val="fr-CA"/>
        </w:rPr>
        <w:t>exercer leur droit constitutionnel de formuler véritablement des revendications collectives quant à leurs objectifs relatifs au travail est la représentativité</w:t>
      </w:r>
      <w:r w:rsidR="00795B2B">
        <w:rPr>
          <w:rFonts w:cs="Times New Roman"/>
          <w:lang w:val="fr-CA"/>
        </w:rPr>
        <w:t> :</w:t>
      </w:r>
      <w:r w:rsidRPr="00AF17C2">
        <w:rPr>
          <w:rFonts w:cs="Times New Roman"/>
          <w:lang w:val="fr-CA"/>
        </w:rPr>
        <w:t xml:space="preserve"> le porte</w:t>
      </w:r>
      <w:r w:rsidR="00795B2B">
        <w:rPr>
          <w:rFonts w:cs="Times New Roman"/>
          <w:lang w:val="fr-CA"/>
        </w:rPr>
        <w:t>-</w:t>
      </w:r>
      <w:r w:rsidRPr="00AF17C2">
        <w:rPr>
          <w:rFonts w:cs="Times New Roman"/>
          <w:lang w:val="fr-CA"/>
        </w:rPr>
        <w:t>parole des employés doit défendre leurs intérêts et, ultimement, leur rendre des comptes. La représentativité est l</w:t>
      </w:r>
      <w:r>
        <w:rPr>
          <w:rFonts w:cs="Times New Roman"/>
          <w:lang w:val="fr-CA"/>
        </w:rPr>
        <w:t>’</w:t>
      </w:r>
      <w:r w:rsidRPr="00AF17C2">
        <w:rPr>
          <w:rFonts w:cs="Times New Roman"/>
          <w:lang w:val="fr-CA"/>
        </w:rPr>
        <w:t>impératif constitutionnel auquel il faut satisfaire, sans plus, pour s</w:t>
      </w:r>
      <w:r>
        <w:rPr>
          <w:rFonts w:cs="Times New Roman"/>
          <w:lang w:val="fr-CA"/>
        </w:rPr>
        <w:t>’</w:t>
      </w:r>
      <w:r w:rsidRPr="00AF17C2">
        <w:rPr>
          <w:rFonts w:cs="Times New Roman"/>
          <w:lang w:val="fr-CA"/>
        </w:rPr>
        <w:t>assurer que les droits prévus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iCs/>
          <w:lang w:val="fr-CA"/>
        </w:rPr>
        <w:t>d</w:t>
      </w:r>
      <w:r w:rsidRPr="00AF17C2">
        <w:rPr>
          <w:rFonts w:cs="Times New Roman"/>
          <w:lang w:val="fr-CA"/>
        </w:rPr>
        <w:t>) sont protégés dans le contexte de la négociation collective</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005973FE">
        <w:rPr>
          <w:rFonts w:cs="Times New Roman"/>
          <w:lang w:val="fr-CA"/>
        </w:rPr>
        <w:t>172</w:t>
      </w:r>
      <w:r w:rsidRPr="00AF17C2">
        <w:rPr>
          <w:rFonts w:cs="Times New Roman"/>
          <w:lang w:val="fr-CA"/>
        </w:rPr>
        <w:t>)</w:t>
      </w:r>
      <w:r w:rsidR="005973FE">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Exprimées ainsi, les notions de liberté de choix et d</w:t>
      </w:r>
      <w:r>
        <w:rPr>
          <w:rFonts w:cs="Times New Roman"/>
          <w:lang w:val="fr-CA"/>
        </w:rPr>
        <w:t>’</w:t>
      </w:r>
      <w:r w:rsidRPr="00AF17C2">
        <w:rPr>
          <w:rFonts w:cs="Times New Roman"/>
          <w:lang w:val="fr-CA"/>
        </w:rPr>
        <w:t>indépendance, d</w:t>
      </w:r>
      <w:r>
        <w:rPr>
          <w:rFonts w:cs="Times New Roman"/>
          <w:lang w:val="fr-CA"/>
        </w:rPr>
        <w:t>’</w:t>
      </w:r>
      <w:r w:rsidR="002833AC">
        <w:rPr>
          <w:rFonts w:cs="Times New Roman"/>
          <w:lang w:val="fr-CA"/>
        </w:rPr>
        <w:t>une part, et celle</w:t>
      </w:r>
      <w:r w:rsidRPr="00AF17C2">
        <w:rPr>
          <w:rFonts w:cs="Times New Roman"/>
          <w:lang w:val="fr-CA"/>
        </w:rPr>
        <w:t xml:space="preserve"> de représentativité, d</w:t>
      </w:r>
      <w:r>
        <w:rPr>
          <w:rFonts w:cs="Times New Roman"/>
          <w:lang w:val="fr-CA"/>
        </w:rPr>
        <w:t>’</w:t>
      </w:r>
      <w:r w:rsidRPr="00AF17C2">
        <w:rPr>
          <w:rFonts w:cs="Times New Roman"/>
          <w:lang w:val="fr-CA"/>
        </w:rPr>
        <w:t xml:space="preserve">autre part, se chevauchent considérablement. La </w:t>
      </w:r>
      <w:r w:rsidRPr="00AF17C2">
        <w:rPr>
          <w:rFonts w:cs="Times New Roman"/>
          <w:lang w:val="fr-CA"/>
        </w:rPr>
        <w:lastRenderedPageBreak/>
        <w:t>liberté de choix et l</w:t>
      </w:r>
      <w:r>
        <w:rPr>
          <w:rFonts w:cs="Times New Roman"/>
          <w:lang w:val="fr-CA"/>
        </w:rPr>
        <w:t>’</w:t>
      </w:r>
      <w:r w:rsidRPr="00AF17C2">
        <w:rPr>
          <w:rFonts w:cs="Times New Roman"/>
          <w:lang w:val="fr-CA"/>
        </w:rPr>
        <w:t>indépendance sont toutefois celles qui, à notre avis, se prêtent le mieux à l</w:t>
      </w:r>
      <w:r>
        <w:rPr>
          <w:rFonts w:cs="Times New Roman"/>
          <w:lang w:val="fr-CA"/>
        </w:rPr>
        <w:t>’</w:t>
      </w:r>
      <w:r w:rsidRPr="00AF17C2">
        <w:rPr>
          <w:rFonts w:cs="Times New Roman"/>
          <w:lang w:val="fr-CA"/>
        </w:rPr>
        <w:t>analyse constitutionnelle nécessaire en l</w:t>
      </w:r>
      <w:r>
        <w:rPr>
          <w:rFonts w:cs="Times New Roman"/>
          <w:lang w:val="fr-CA"/>
        </w:rPr>
        <w:t>’</w:t>
      </w:r>
      <w:r w:rsidRPr="00AF17C2">
        <w:rPr>
          <w:rFonts w:cs="Times New Roman"/>
          <w:lang w:val="fr-CA"/>
        </w:rPr>
        <w:t>espèce. Si les employés ne peuvent choisir leur porte</w:t>
      </w:r>
      <w:r w:rsidR="00795B2B">
        <w:rPr>
          <w:rFonts w:cs="Times New Roman"/>
          <w:lang w:val="fr-CA"/>
        </w:rPr>
        <w:t>-</w:t>
      </w:r>
      <w:r w:rsidRPr="00AF17C2">
        <w:rPr>
          <w:rFonts w:cs="Times New Roman"/>
          <w:lang w:val="fr-CA"/>
        </w:rPr>
        <w:t>parole, il est peu probable que celui</w:t>
      </w:r>
      <w:r w:rsidR="00795B2B">
        <w:rPr>
          <w:rFonts w:cs="Times New Roman"/>
          <w:lang w:val="fr-CA"/>
        </w:rPr>
        <w:t>-</w:t>
      </w:r>
      <w:r w:rsidRPr="00AF17C2">
        <w:rPr>
          <w:rFonts w:cs="Times New Roman"/>
          <w:lang w:val="fr-CA"/>
        </w:rPr>
        <w:t>ci défende leurs intérêts. Or c</w:t>
      </w:r>
      <w:r>
        <w:rPr>
          <w:rFonts w:cs="Times New Roman"/>
          <w:lang w:val="fr-CA"/>
        </w:rPr>
        <w:t>’</w:t>
      </w:r>
      <w:r w:rsidRPr="00AF17C2">
        <w:rPr>
          <w:rFonts w:cs="Times New Roman"/>
          <w:lang w:val="fr-CA"/>
        </w:rPr>
        <w:t xml:space="preserve">est précisément la liberté de se choisir un représentant qui garantit aux employés la possibilité de se faire entendre. De même, si les employés doivent </w:t>
      </w:r>
      <w:r w:rsidR="005973FE">
        <w:rPr>
          <w:rFonts w:cs="Times New Roman"/>
          <w:lang w:val="fr-CA"/>
        </w:rPr>
        <w:t>« </w:t>
      </w:r>
      <w:r w:rsidRPr="00AF17C2">
        <w:rPr>
          <w:rFonts w:cs="Times New Roman"/>
          <w:lang w:val="fr-CA"/>
        </w:rPr>
        <w:t>avoir confiance en leurs porte</w:t>
      </w:r>
      <w:r w:rsidR="00795B2B">
        <w:rPr>
          <w:rFonts w:cs="Times New Roman"/>
          <w:lang w:val="fr-CA"/>
        </w:rPr>
        <w:t>-</w:t>
      </w:r>
      <w:r w:rsidRPr="00AF17C2">
        <w:rPr>
          <w:rFonts w:cs="Times New Roman"/>
          <w:lang w:val="fr-CA"/>
        </w:rPr>
        <w:t>parole</w:t>
      </w:r>
      <w:r w:rsidR="00795B2B">
        <w:rPr>
          <w:rFonts w:cs="Times New Roman"/>
          <w:lang w:val="fr-CA"/>
        </w:rPr>
        <w:t> »</w:t>
      </w:r>
      <w:r w:rsidRPr="00AF17C2">
        <w:rPr>
          <w:rFonts w:cs="Times New Roman"/>
          <w:lang w:val="fr-CA"/>
        </w:rPr>
        <w:t xml:space="preserve"> (motifs du juge </w:t>
      </w:r>
      <w:proofErr w:type="spellStart"/>
      <w:r w:rsidRPr="00AF17C2">
        <w:rPr>
          <w:rFonts w:cs="Times New Roman"/>
          <w:lang w:val="fr-CA"/>
        </w:rPr>
        <w:t>Rothstein</w:t>
      </w:r>
      <w:proofErr w:type="spellEnd"/>
      <w:r w:rsidRPr="00AF17C2">
        <w:rPr>
          <w:rFonts w:cs="Times New Roman"/>
          <w:lang w:val="fr-CA"/>
        </w:rPr>
        <w:t>, par.</w:t>
      </w:r>
      <w:r w:rsidR="00795B2B">
        <w:rPr>
          <w:rFonts w:cs="Times New Roman"/>
          <w:lang w:val="fr-CA"/>
        </w:rPr>
        <w:t xml:space="preserve"> </w:t>
      </w:r>
      <w:r w:rsidRPr="00AF17C2">
        <w:rPr>
          <w:rFonts w:cs="Times New Roman"/>
          <w:lang w:val="fr-CA"/>
        </w:rPr>
        <w:t>219), le moyen d</w:t>
      </w:r>
      <w:r>
        <w:rPr>
          <w:rFonts w:cs="Times New Roman"/>
          <w:lang w:val="fr-CA"/>
        </w:rPr>
        <w:t>’</w:t>
      </w:r>
      <w:r w:rsidRPr="00AF17C2">
        <w:rPr>
          <w:rFonts w:cs="Times New Roman"/>
          <w:lang w:val="fr-CA"/>
        </w:rPr>
        <w:t>assurer cette confiance consiste à leur accorder une liberté de choix suffisante dans la sélection de leurs représentants.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Le juge </w:t>
      </w:r>
      <w:proofErr w:type="spellStart"/>
      <w:r w:rsidRPr="00AF17C2">
        <w:rPr>
          <w:rFonts w:cs="Times New Roman"/>
          <w:lang w:val="fr-CA"/>
        </w:rPr>
        <w:t>Rothstein</w:t>
      </w:r>
      <w:proofErr w:type="spellEnd"/>
      <w:r w:rsidRPr="00AF17C2">
        <w:rPr>
          <w:rFonts w:cs="Times New Roman"/>
          <w:lang w:val="fr-CA"/>
        </w:rPr>
        <w:t xml:space="preserve"> soutient que </w:t>
      </w:r>
      <w:r w:rsidR="00795B2B">
        <w:rPr>
          <w:rFonts w:cs="Times New Roman"/>
          <w:lang w:val="fr-CA"/>
        </w:rPr>
        <w:t>« </w:t>
      </w:r>
      <w:r w:rsidRPr="00AF17C2">
        <w:rPr>
          <w:rFonts w:cs="Times New Roman"/>
          <w:lang w:val="fr-CA"/>
        </w:rPr>
        <w:t>la pierre angulaire, c</w:t>
      </w:r>
      <w:r>
        <w:rPr>
          <w:rFonts w:cs="Times New Roman"/>
          <w:lang w:val="fr-CA"/>
        </w:rPr>
        <w:t>’</w:t>
      </w:r>
      <w:r w:rsidRPr="00AF17C2">
        <w:rPr>
          <w:rFonts w:cs="Times New Roman"/>
          <w:lang w:val="fr-CA"/>
        </w:rPr>
        <w:t>est la représentativité</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 xml:space="preserve">195). Il reconnaît toutefois que les employés doivent pouvoir demander à leurs représentants de leur </w:t>
      </w:r>
      <w:r w:rsidR="00795B2B">
        <w:rPr>
          <w:rFonts w:cs="Times New Roman"/>
          <w:lang w:val="fr-CA"/>
        </w:rPr>
        <w:t>« </w:t>
      </w:r>
      <w:r w:rsidRPr="00AF17C2">
        <w:rPr>
          <w:rFonts w:cs="Times New Roman"/>
          <w:lang w:val="fr-CA"/>
        </w:rPr>
        <w:t>rendre des comptes</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193 et 222). Or, ces derniers ne seront pas en mesure de le faire s</w:t>
      </w:r>
      <w:r>
        <w:rPr>
          <w:rFonts w:cs="Times New Roman"/>
          <w:lang w:val="fr-CA"/>
        </w:rPr>
        <w:t>’</w:t>
      </w:r>
      <w:r w:rsidRPr="00AF17C2">
        <w:rPr>
          <w:rFonts w:cs="Times New Roman"/>
          <w:lang w:val="fr-CA"/>
        </w:rPr>
        <w:t>ils ne disposent pas d</w:t>
      </w:r>
      <w:r>
        <w:rPr>
          <w:rFonts w:cs="Times New Roman"/>
          <w:lang w:val="fr-CA"/>
        </w:rPr>
        <w:t>’</w:t>
      </w:r>
      <w:r w:rsidRPr="00AF17C2">
        <w:rPr>
          <w:rFonts w:cs="Times New Roman"/>
          <w:lang w:val="fr-CA"/>
        </w:rPr>
        <w:t>une liberté de choix suffisante dans la sélection de ceux</w:t>
      </w:r>
      <w:r w:rsidR="00795B2B">
        <w:rPr>
          <w:rFonts w:cs="Times New Roman"/>
          <w:lang w:val="fr-CA"/>
        </w:rPr>
        <w:t>-</w:t>
      </w:r>
      <w:r w:rsidRPr="00AF17C2">
        <w:rPr>
          <w:rFonts w:cs="Times New Roman"/>
          <w:lang w:val="fr-CA"/>
        </w:rPr>
        <w:t>ci ou si ces représentants dépendent de la direction (par exemple, pour déterminer l</w:t>
      </w:r>
      <w:r>
        <w:rPr>
          <w:rFonts w:cs="Times New Roman"/>
          <w:lang w:val="fr-CA"/>
        </w:rPr>
        <w:t>’</w:t>
      </w:r>
      <w:r w:rsidRPr="00AF17C2">
        <w:rPr>
          <w:rFonts w:cs="Times New Roman"/>
          <w:lang w:val="fr-CA"/>
        </w:rPr>
        <w:t>objet acceptable des griefs des employés, ou la priorité relative des préoccupations des employés).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représentativité et l</w:t>
      </w:r>
      <w:r>
        <w:rPr>
          <w:rFonts w:cs="Times New Roman"/>
          <w:lang w:val="fr-CA"/>
        </w:rPr>
        <w:t>’</w:t>
      </w:r>
      <w:r w:rsidRPr="00AF17C2">
        <w:rPr>
          <w:rFonts w:cs="Times New Roman"/>
          <w:lang w:val="fr-CA"/>
        </w:rPr>
        <w:t>obligation de rendre compte reposent sur la liberté de choix et l</w:t>
      </w:r>
      <w:r>
        <w:rPr>
          <w:rFonts w:cs="Times New Roman"/>
          <w:lang w:val="fr-CA"/>
        </w:rPr>
        <w:t>’</w:t>
      </w:r>
      <w:r w:rsidRPr="00AF17C2">
        <w:rPr>
          <w:rFonts w:cs="Times New Roman"/>
          <w:lang w:val="fr-CA"/>
        </w:rPr>
        <w:t>indépendance. À notre avis, ces deux derniers principes sont ceux qui se prêtent le mieux à l</w:t>
      </w:r>
      <w:r>
        <w:rPr>
          <w:rFonts w:cs="Times New Roman"/>
          <w:lang w:val="fr-CA"/>
        </w:rPr>
        <w:t>’</w:t>
      </w:r>
      <w:r w:rsidRPr="00AF17C2">
        <w:rPr>
          <w:rFonts w:cs="Times New Roman"/>
          <w:lang w:val="fr-CA"/>
        </w:rPr>
        <w:t>analyse de la conformité constitutionnelle d</w:t>
      </w:r>
      <w:r>
        <w:rPr>
          <w:rFonts w:cs="Times New Roman"/>
          <w:lang w:val="fr-CA"/>
        </w:rPr>
        <w:t>’</w:t>
      </w:r>
      <w:r w:rsidRPr="00AF17C2">
        <w:rPr>
          <w:rFonts w:cs="Times New Roman"/>
          <w:lang w:val="fr-CA"/>
        </w:rPr>
        <w:t>un modèle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dans le contexte des relations de travail. Cela dit, ces principes servent d</w:t>
      </w:r>
      <w:r>
        <w:rPr>
          <w:rFonts w:cs="Times New Roman"/>
          <w:lang w:val="fr-CA"/>
        </w:rPr>
        <w:t>’</w:t>
      </w:r>
      <w:r w:rsidRPr="00AF17C2">
        <w:rPr>
          <w:rFonts w:cs="Times New Roman"/>
          <w:lang w:val="fr-CA"/>
        </w:rPr>
        <w:t>outils dans une analyse qui doit, dans chaque cas, permettre de déterminer si l</w:t>
      </w:r>
      <w:r>
        <w:rPr>
          <w:rFonts w:cs="Times New Roman"/>
          <w:lang w:val="fr-CA"/>
        </w:rPr>
        <w:t>’</w:t>
      </w:r>
      <w:r w:rsidRPr="00AF17C2">
        <w:rPr>
          <w:rFonts w:cs="Times New Roman"/>
          <w:lang w:val="fr-CA"/>
        </w:rPr>
        <w:t>on respecte le droit à un processus véritable de recherche d</w:t>
      </w:r>
      <w:r>
        <w:rPr>
          <w:rFonts w:cs="Times New Roman"/>
          <w:lang w:val="fr-CA"/>
        </w:rPr>
        <w:t>’</w:t>
      </w:r>
      <w:r w:rsidRPr="00AF17C2">
        <w:rPr>
          <w:rFonts w:cs="Times New Roman"/>
          <w:lang w:val="fr-CA"/>
        </w:rPr>
        <w:t xml:space="preserve">objectifs collectifs relatifs au travail. À notre avis, le désaccord entre la majorité et le juge </w:t>
      </w:r>
      <w:proofErr w:type="spellStart"/>
      <w:r w:rsidRPr="00AF17C2">
        <w:rPr>
          <w:rFonts w:cs="Times New Roman"/>
          <w:lang w:val="fr-CA"/>
        </w:rPr>
        <w:t>Rothstein</w:t>
      </w:r>
      <w:proofErr w:type="spellEnd"/>
      <w:r w:rsidRPr="00AF17C2">
        <w:rPr>
          <w:rFonts w:cs="Times New Roman"/>
          <w:lang w:val="fr-CA"/>
        </w:rPr>
        <w:t xml:space="preserve"> au sujet des termes </w:t>
      </w:r>
      <w:r w:rsidR="00795B2B">
        <w:rPr>
          <w:rFonts w:cs="Times New Roman"/>
          <w:lang w:val="fr-CA"/>
        </w:rPr>
        <w:t>« </w:t>
      </w:r>
      <w:r w:rsidRPr="00AF17C2">
        <w:rPr>
          <w:rFonts w:cs="Times New Roman"/>
          <w:lang w:val="fr-CA"/>
        </w:rPr>
        <w:t>liberté de choix et indépendance</w:t>
      </w:r>
      <w:r w:rsidR="00795B2B">
        <w:rPr>
          <w:rFonts w:cs="Times New Roman"/>
          <w:lang w:val="fr-CA"/>
        </w:rPr>
        <w:t> »</w:t>
      </w:r>
      <w:r w:rsidRPr="00AF17C2">
        <w:rPr>
          <w:rFonts w:cs="Times New Roman"/>
          <w:lang w:val="fr-CA"/>
        </w:rPr>
        <w:t xml:space="preserve"> et </w:t>
      </w:r>
      <w:r w:rsidR="00795B2B">
        <w:rPr>
          <w:rFonts w:cs="Times New Roman"/>
          <w:lang w:val="fr-CA"/>
        </w:rPr>
        <w:t>« </w:t>
      </w:r>
      <w:r w:rsidRPr="00AF17C2">
        <w:rPr>
          <w:rFonts w:cs="Times New Roman"/>
          <w:lang w:val="fr-CA"/>
        </w:rPr>
        <w:t>représentativité</w:t>
      </w:r>
      <w:r w:rsidR="00795B2B">
        <w:rPr>
          <w:rFonts w:cs="Times New Roman"/>
          <w:lang w:val="fr-CA"/>
        </w:rPr>
        <w:t> »</w:t>
      </w:r>
      <w:r w:rsidRPr="00AF17C2">
        <w:rPr>
          <w:rFonts w:cs="Times New Roman"/>
          <w:lang w:val="fr-CA"/>
        </w:rPr>
        <w:t xml:space="preserve"> demeure davantage sémantique que </w:t>
      </w:r>
      <w:r w:rsidRPr="00AF17C2">
        <w:rPr>
          <w:rFonts w:cs="Times New Roman"/>
          <w:lang w:val="fr-CA"/>
        </w:rPr>
        <w:lastRenderedPageBreak/>
        <w:t xml:space="preserve">réel. Le point de divergence véritable porte plutôt </w:t>
      </w:r>
      <w:r w:rsidR="005973FE">
        <w:rPr>
          <w:rFonts w:cs="Times New Roman"/>
          <w:lang w:val="fr-CA"/>
        </w:rPr>
        <w:t xml:space="preserve">sur </w:t>
      </w:r>
      <w:r w:rsidRPr="00AF17C2">
        <w:rPr>
          <w:rFonts w:cs="Times New Roman"/>
          <w:lang w:val="fr-CA"/>
        </w:rPr>
        <w:t>la façon dont les concepts sont interprétés et appliqués.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examinerons donc, sur cette toile de fond, les questions constitutionnelles soulevées en l</w:t>
      </w:r>
      <w:r>
        <w:rPr>
          <w:rFonts w:cs="Times New Roman"/>
          <w:lang w:val="fr-CA"/>
        </w:rPr>
        <w:t>’</w:t>
      </w:r>
      <w:r w:rsidRPr="00AF17C2">
        <w:rPr>
          <w:rFonts w:cs="Times New Roman"/>
          <w:lang w:val="fr-CA"/>
        </w:rPr>
        <w:t>espèce, soit celles de savoir si l</w:t>
      </w:r>
      <w:r>
        <w:rPr>
          <w:rFonts w:cs="Times New Roman"/>
          <w:lang w:val="fr-CA"/>
        </w:rPr>
        <w:t>’</w:t>
      </w:r>
      <w:r w:rsidRPr="00AF17C2">
        <w:rPr>
          <w:rFonts w:cs="Times New Roman"/>
          <w:lang w:val="fr-CA"/>
        </w:rPr>
        <w:t>imposition du PRRF et l</w:t>
      </w:r>
      <w:r>
        <w:rPr>
          <w:rFonts w:cs="Times New Roman"/>
          <w:lang w:val="fr-CA"/>
        </w:rPr>
        <w:t>’</w:t>
      </w:r>
      <w:r w:rsidRPr="00AF17C2">
        <w:rPr>
          <w:rFonts w:cs="Times New Roman"/>
          <w:lang w:val="fr-CA"/>
        </w:rPr>
        <w:t>exclusion des membres de la GRC du champ d</w:t>
      </w:r>
      <w:r>
        <w:rPr>
          <w:rFonts w:cs="Times New Roman"/>
          <w:lang w:val="fr-CA"/>
        </w:rPr>
        <w:t>’</w:t>
      </w:r>
      <w:r w:rsidRPr="00AF17C2">
        <w:rPr>
          <w:rFonts w:cs="Times New Roman"/>
          <w:lang w:val="fr-CA"/>
        </w:rPr>
        <w:t xml:space="preserve">application de la </w:t>
      </w:r>
      <w:r w:rsidRPr="00AF17C2">
        <w:rPr>
          <w:rFonts w:cs="Times New Roman"/>
          <w:i/>
          <w:lang w:val="fr-CA"/>
        </w:rPr>
        <w:t>LRTFP</w:t>
      </w:r>
      <w:r w:rsidRPr="00AF17C2">
        <w:rPr>
          <w:rFonts w:cs="Times New Roman"/>
          <w:lang w:val="fr-CA"/>
        </w:rPr>
        <w:t xml:space="preserve"> </w:t>
      </w:r>
      <w:r w:rsidR="00D444EC">
        <w:rPr>
          <w:rFonts w:cs="Times New Roman"/>
          <w:lang w:val="fr-CA"/>
        </w:rPr>
        <w:t xml:space="preserve">actuelle </w:t>
      </w:r>
      <w:r w:rsidRPr="00AF17C2">
        <w:rPr>
          <w:rFonts w:cs="Times New Roman"/>
          <w:lang w:val="fr-CA"/>
        </w:rPr>
        <w:t>violent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et, le cas échéant, si cette </w:t>
      </w:r>
      <w:r w:rsidR="00D444EC">
        <w:rPr>
          <w:rFonts w:cs="Times New Roman"/>
          <w:lang w:val="fr-CA"/>
        </w:rPr>
        <w:t xml:space="preserve">violation </w:t>
      </w:r>
      <w:r w:rsidRPr="00AF17C2">
        <w:rPr>
          <w:rFonts w:cs="Times New Roman"/>
          <w:lang w:val="fr-CA"/>
        </w:rPr>
        <w:t>constitue une limite raisonnable prescrite par une règle de droit dont la justification peut se démontrer dans le cadre d</w:t>
      </w:r>
      <w:r>
        <w:rPr>
          <w:rFonts w:cs="Times New Roman"/>
          <w:lang w:val="fr-CA"/>
        </w:rPr>
        <w:t>’</w:t>
      </w:r>
      <w:r w:rsidRPr="00AF17C2">
        <w:rPr>
          <w:rFonts w:cs="Times New Roman"/>
          <w:lang w:val="fr-CA"/>
        </w:rPr>
        <w:t>une société libre et démocratique suivant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w:t>
      </w:r>
    </w:p>
    <w:p w:rsidR="007B74A6" w:rsidRPr="00AF17C2" w:rsidRDefault="007B74A6" w:rsidP="00795B2B">
      <w:pPr>
        <w:pStyle w:val="Title2LevelTitre2Niveau"/>
        <w:ind w:left="0" w:firstLine="0"/>
        <w:rPr>
          <w:rFonts w:cs="Times New Roman"/>
          <w:lang w:val="fr-CA"/>
        </w:rPr>
      </w:pPr>
      <w:r w:rsidRPr="00AF17C2">
        <w:rPr>
          <w:rFonts w:cs="Times New Roman"/>
          <w:lang w:val="fr-CA"/>
        </w:rPr>
        <w:t>L</w:t>
      </w:r>
      <w:r>
        <w:rPr>
          <w:rFonts w:cs="Times New Roman"/>
          <w:lang w:val="fr-CA"/>
        </w:rPr>
        <w:t>’</w:t>
      </w:r>
      <w:r w:rsidRPr="00AF17C2">
        <w:rPr>
          <w:rFonts w:cs="Times New Roman"/>
          <w:lang w:val="fr-CA"/>
        </w:rPr>
        <w:t>imposition du PRRF viole</w:t>
      </w:r>
      <w:r w:rsidR="00795B2B">
        <w:rPr>
          <w:rFonts w:cs="Times New Roman"/>
          <w:lang w:val="fr-CA"/>
        </w:rPr>
        <w:t>-</w:t>
      </w:r>
      <w:r w:rsidRPr="00AF17C2">
        <w:rPr>
          <w:rFonts w:cs="Times New Roman"/>
          <w:lang w:val="fr-CA"/>
        </w:rPr>
        <w:t>t</w:t>
      </w:r>
      <w:r w:rsidR="00795B2B">
        <w:rPr>
          <w:rFonts w:cs="Times New Roman"/>
          <w:lang w:val="fr-CA"/>
        </w:rPr>
        <w:t>-</w:t>
      </w:r>
      <w:r>
        <w:rPr>
          <w:rFonts w:cs="Times New Roman"/>
          <w:lang w:val="fr-CA"/>
        </w:rPr>
        <w:t>e</w:t>
      </w:r>
      <w:r w:rsidRPr="00AF17C2">
        <w:rPr>
          <w:rFonts w:cs="Times New Roman"/>
          <w:lang w:val="fr-CA"/>
        </w:rPr>
        <w:t>l</w:t>
      </w:r>
      <w:r>
        <w:rPr>
          <w:rFonts w:cs="Times New Roman"/>
          <w:lang w:val="fr-CA"/>
        </w:rPr>
        <w:t>le</w:t>
      </w:r>
      <w:r w:rsidRPr="00AF17C2">
        <w:rPr>
          <w:rFonts w:cs="Times New Roman"/>
          <w:lang w:val="fr-CA"/>
        </w:rPr>
        <w:t xml:space="preserv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 de la Charte?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l</w:t>
      </w:r>
      <w:r>
        <w:rPr>
          <w:rFonts w:cs="Times New Roman"/>
          <w:lang w:val="fr-CA"/>
        </w:rPr>
        <w:t>’</w:t>
      </w:r>
      <w:r w:rsidRPr="00AF17C2">
        <w:rPr>
          <w:rFonts w:cs="Times New Roman"/>
          <w:lang w:val="fr-CA"/>
        </w:rPr>
        <w:t>espèce, on ne se trouve pas devant un cas de négation complète du droit constitutionnel de s</w:t>
      </w:r>
      <w:r>
        <w:rPr>
          <w:rFonts w:cs="Times New Roman"/>
          <w:lang w:val="fr-CA"/>
        </w:rPr>
        <w:t>’</w:t>
      </w:r>
      <w:r w:rsidRPr="00AF17C2">
        <w:rPr>
          <w:rFonts w:cs="Times New Roman"/>
          <w:lang w:val="fr-CA"/>
        </w:rPr>
        <w:t>associer et des garanties constitutionnelles qui y sont connexes. Il s</w:t>
      </w:r>
      <w:r>
        <w:rPr>
          <w:rFonts w:cs="Times New Roman"/>
          <w:lang w:val="fr-CA"/>
        </w:rPr>
        <w:t>’</w:t>
      </w:r>
      <w:r w:rsidRPr="00AF17C2">
        <w:rPr>
          <w:rFonts w:cs="Times New Roman"/>
          <w:lang w:val="fr-CA"/>
        </w:rPr>
        <w:t>agit plutôt d</w:t>
      </w:r>
      <w:r>
        <w:rPr>
          <w:rFonts w:cs="Times New Roman"/>
          <w:lang w:val="fr-CA"/>
        </w:rPr>
        <w:t>’</w:t>
      </w:r>
      <w:r w:rsidRPr="00AF17C2">
        <w:rPr>
          <w:rFonts w:cs="Times New Roman"/>
          <w:lang w:val="fr-CA"/>
        </w:rPr>
        <w:t>un cas d</w:t>
      </w:r>
      <w:r>
        <w:rPr>
          <w:rFonts w:cs="Times New Roman"/>
          <w:lang w:val="fr-CA"/>
        </w:rPr>
        <w:t>’</w:t>
      </w:r>
      <w:r w:rsidRPr="00AF17C2">
        <w:rPr>
          <w:rFonts w:cs="Times New Roman"/>
          <w:lang w:val="fr-CA"/>
        </w:rPr>
        <w:t>entrave substantielle au droit de s</w:t>
      </w:r>
      <w:r>
        <w:rPr>
          <w:rFonts w:cs="Times New Roman"/>
          <w:lang w:val="fr-CA"/>
        </w:rPr>
        <w:t>’</w:t>
      </w:r>
      <w:r w:rsidRPr="00AF17C2">
        <w:rPr>
          <w:rFonts w:cs="Times New Roman"/>
          <w:lang w:val="fr-CA"/>
        </w:rPr>
        <w:t>associer en vue de réaliser des objectifs relatifs au travail au moyen d</w:t>
      </w:r>
      <w:r>
        <w:rPr>
          <w:rFonts w:cs="Times New Roman"/>
          <w:lang w:val="fr-CA"/>
        </w:rPr>
        <w:t>’</w:t>
      </w:r>
      <w:r w:rsidRPr="00AF17C2">
        <w:rPr>
          <w:rFonts w:cs="Times New Roman"/>
          <w:lang w:val="fr-CA"/>
        </w:rPr>
        <w:t>un processus véritable de négociation collective, à l</w:t>
      </w:r>
      <w:r>
        <w:rPr>
          <w:rFonts w:cs="Times New Roman"/>
          <w:lang w:val="fr-CA"/>
        </w:rPr>
        <w:t>’</w:t>
      </w:r>
      <w:r w:rsidRPr="00AF17C2">
        <w:rPr>
          <w:rFonts w:cs="Times New Roman"/>
          <w:lang w:val="fr-CA"/>
        </w:rPr>
        <w:t>abri du contrôle de l</w:t>
      </w:r>
      <w:r>
        <w:rPr>
          <w:rFonts w:cs="Times New Roman"/>
          <w:lang w:val="fr-CA"/>
        </w:rPr>
        <w:t>’</w:t>
      </w:r>
      <w:r w:rsidRPr="00AF17C2">
        <w:rPr>
          <w:rFonts w:cs="Times New Roman"/>
          <w:lang w:val="fr-CA"/>
        </w:rPr>
        <w:t>employeur, comme l</w:t>
      </w:r>
      <w:r>
        <w:rPr>
          <w:rFonts w:cs="Times New Roman"/>
          <w:lang w:val="fr-CA"/>
        </w:rPr>
        <w:t>’</w:t>
      </w:r>
      <w:r w:rsidRPr="00AF17C2">
        <w:rPr>
          <w:rFonts w:cs="Times New Roman"/>
          <w:lang w:val="fr-CA"/>
        </w:rPr>
        <w:t xml:space="preserve">entendait le juge en chef Dickson dans le </w:t>
      </w:r>
      <w:r w:rsidRPr="00AF17C2">
        <w:rPr>
          <w:rFonts w:cs="Times New Roman"/>
          <w:i/>
          <w:lang w:val="fr-CA"/>
        </w:rPr>
        <w:t>Renvoi relatif à l</w:t>
      </w:r>
      <w:r>
        <w:rPr>
          <w:rFonts w:cs="Times New Roman"/>
          <w:i/>
          <w:lang w:val="fr-CA"/>
        </w:rPr>
        <w:t>’</w:t>
      </w:r>
      <w:r w:rsidRPr="00AF17C2">
        <w:rPr>
          <w:rFonts w:cs="Times New Roman"/>
          <w:i/>
          <w:lang w:val="fr-CA"/>
        </w:rPr>
        <w:t>Alberta</w:t>
      </w:r>
      <w:r w:rsidRPr="00AF17C2">
        <w:rPr>
          <w:rFonts w:cs="Times New Roman"/>
          <w:lang w:val="fr-CA"/>
        </w:rPr>
        <w:t xml:space="preserve">. Selon nous, les lacunes relevées dans le PRRF empêchent la tenue de </w:t>
      </w:r>
      <w:proofErr w:type="gramStart"/>
      <w:r w:rsidRPr="00AF17C2">
        <w:rPr>
          <w:rFonts w:cs="Times New Roman"/>
          <w:lang w:val="fr-CA"/>
        </w:rPr>
        <w:t>véritables négociations collectives et violent</w:t>
      </w:r>
      <w:proofErr w:type="gramEnd"/>
      <w:r w:rsidRPr="00AF17C2">
        <w:rPr>
          <w:rFonts w:cs="Times New Roman"/>
          <w:lang w:val="fr-CA"/>
        </w:rPr>
        <w:t xml:space="preserv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Le PRRF contrevient donc à la liberté d</w:t>
      </w:r>
      <w:r>
        <w:rPr>
          <w:rFonts w:cs="Times New Roman"/>
          <w:lang w:val="fr-CA"/>
        </w:rPr>
        <w:t>’</w:t>
      </w:r>
      <w:r w:rsidRPr="00AF17C2">
        <w:rPr>
          <w:rFonts w:cs="Times New Roman"/>
          <w:lang w:val="fr-CA"/>
        </w:rPr>
        <w:t xml:space="preserve">association des membres de la GRC tant par son objet que par ses effets.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effet,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 xml:space="preserve">Règlement de la GRC </w:t>
      </w:r>
      <w:r w:rsidRPr="00AF17C2">
        <w:rPr>
          <w:rFonts w:cs="Times New Roman"/>
          <w:lang w:val="fr-CA"/>
        </w:rPr>
        <w:t>imposait aux membres de la GRC le PRRF comme seul moyen de faire valoir leurs préoccupations à la direction. L</w:t>
      </w:r>
      <w:r>
        <w:rPr>
          <w:rFonts w:cs="Times New Roman"/>
          <w:lang w:val="fr-CA"/>
        </w:rPr>
        <w:t>’</w:t>
      </w:r>
      <w:r w:rsidRPr="00AF17C2">
        <w:rPr>
          <w:rFonts w:cs="Times New Roman"/>
          <w:lang w:val="fr-CA"/>
        </w:rPr>
        <w:t>article</w:t>
      </w:r>
      <w:r w:rsidR="00795B2B">
        <w:rPr>
          <w:rFonts w:cs="Times New Roman"/>
          <w:lang w:val="fr-CA"/>
        </w:rPr>
        <w:t xml:space="preserve"> </w:t>
      </w:r>
      <w:r w:rsidRPr="00AF17C2">
        <w:rPr>
          <w:rFonts w:cs="Times New Roman"/>
          <w:lang w:val="fr-CA"/>
        </w:rPr>
        <w:t xml:space="preserve">56 du </w:t>
      </w:r>
      <w:r w:rsidR="00A15F51">
        <w:rPr>
          <w:rFonts w:cs="Times New Roman"/>
          <w:i/>
          <w:lang w:val="fr-CA"/>
        </w:rPr>
        <w:t>Règlement de la GRC</w:t>
      </w:r>
      <w:r w:rsidRPr="00AF17C2">
        <w:rPr>
          <w:rFonts w:cs="Times New Roman"/>
          <w:i/>
          <w:lang w:val="fr-CA"/>
        </w:rPr>
        <w:t xml:space="preserve"> </w:t>
      </w:r>
      <w:r w:rsidR="00A15F51">
        <w:rPr>
          <w:rFonts w:cs="Times New Roman"/>
          <w:i/>
          <w:lang w:val="fr-CA"/>
        </w:rPr>
        <w:t>(</w:t>
      </w:r>
      <w:r w:rsidRPr="00AF17C2">
        <w:rPr>
          <w:rFonts w:cs="Times New Roman"/>
          <w:i/>
          <w:lang w:val="fr-CA"/>
        </w:rPr>
        <w:t>2014</w:t>
      </w:r>
      <w:r w:rsidR="00A15F51">
        <w:rPr>
          <w:rFonts w:cs="Times New Roman"/>
          <w:i/>
          <w:lang w:val="fr-CA"/>
        </w:rPr>
        <w:t>)</w:t>
      </w:r>
      <w:r w:rsidRPr="00AF17C2">
        <w:rPr>
          <w:rFonts w:cs="Times New Roman"/>
          <w:lang w:val="fr-CA"/>
        </w:rPr>
        <w:t xml:space="preserve">, actuellement en vigueur, continue à </w:t>
      </w:r>
      <w:r w:rsidRPr="00AF17C2">
        <w:rPr>
          <w:rFonts w:cs="Times New Roman"/>
          <w:lang w:val="fr-CA"/>
        </w:rPr>
        <w:lastRenderedPageBreak/>
        <w:t>imposer le PRRF à des conditions pratiquement identiques. Les membres de la GRC se trouvent représentés par un organisme qu</w:t>
      </w:r>
      <w:r>
        <w:rPr>
          <w:rFonts w:cs="Times New Roman"/>
          <w:lang w:val="fr-CA"/>
        </w:rPr>
        <w:t>’</w:t>
      </w:r>
      <w:r w:rsidRPr="00AF17C2">
        <w:rPr>
          <w:rFonts w:cs="Times New Roman"/>
          <w:lang w:val="fr-CA"/>
        </w:rPr>
        <w:t>ils n</w:t>
      </w:r>
      <w:r>
        <w:rPr>
          <w:rFonts w:cs="Times New Roman"/>
          <w:lang w:val="fr-CA"/>
        </w:rPr>
        <w:t>’</w:t>
      </w:r>
      <w:r w:rsidRPr="00AF17C2">
        <w:rPr>
          <w:rFonts w:cs="Times New Roman"/>
          <w:lang w:val="fr-CA"/>
        </w:rPr>
        <w:t>ont pas choisi et qu</w:t>
      </w:r>
      <w:r>
        <w:rPr>
          <w:rFonts w:cs="Times New Roman"/>
          <w:lang w:val="fr-CA"/>
        </w:rPr>
        <w:t>’</w:t>
      </w:r>
      <w:r w:rsidRPr="00AF17C2">
        <w:rPr>
          <w:rFonts w:cs="Times New Roman"/>
          <w:lang w:val="fr-CA"/>
        </w:rPr>
        <w:t>ils ne contrôlent pas. Ils sont tributaires d</w:t>
      </w:r>
      <w:r>
        <w:rPr>
          <w:rFonts w:cs="Times New Roman"/>
          <w:lang w:val="fr-CA"/>
        </w:rPr>
        <w:t>’</w:t>
      </w:r>
      <w:r w:rsidRPr="00AF17C2">
        <w:rPr>
          <w:rFonts w:cs="Times New Roman"/>
          <w:lang w:val="fr-CA"/>
        </w:rPr>
        <w:t>une structure dépourvue d</w:t>
      </w:r>
      <w:r>
        <w:rPr>
          <w:rFonts w:cs="Times New Roman"/>
          <w:lang w:val="fr-CA"/>
        </w:rPr>
        <w:t>’</w:t>
      </w:r>
      <w:r w:rsidRPr="00AF17C2">
        <w:rPr>
          <w:rFonts w:cs="Times New Roman"/>
          <w:lang w:val="fr-CA"/>
        </w:rPr>
        <w:t>indépendan</w:t>
      </w:r>
      <w:r>
        <w:rPr>
          <w:rFonts w:cs="Times New Roman"/>
          <w:lang w:val="fr-CA"/>
        </w:rPr>
        <w:t>c</w:t>
      </w:r>
      <w:r w:rsidRPr="00AF17C2">
        <w:rPr>
          <w:rFonts w:cs="Times New Roman"/>
          <w:lang w:val="fr-CA"/>
        </w:rPr>
        <w:t>e à l</w:t>
      </w:r>
      <w:r>
        <w:rPr>
          <w:rFonts w:cs="Times New Roman"/>
          <w:lang w:val="fr-CA"/>
        </w:rPr>
        <w:t>’</w:t>
      </w:r>
      <w:r w:rsidRPr="00AF17C2">
        <w:rPr>
          <w:rFonts w:cs="Times New Roman"/>
          <w:lang w:val="fr-CA"/>
        </w:rPr>
        <w:t>égard de la direction. De fait, cette structure et ce programme relèvent de l</w:t>
      </w:r>
      <w:r>
        <w:rPr>
          <w:rFonts w:cs="Times New Roman"/>
          <w:lang w:val="fr-CA"/>
        </w:rPr>
        <w:t>’</w:t>
      </w:r>
      <w:r w:rsidRPr="00AF17C2">
        <w:rPr>
          <w:rFonts w:cs="Times New Roman"/>
          <w:lang w:val="fr-CA"/>
        </w:rPr>
        <w:t>organisme de gestion de la GRC. Les employés se trouvent dans une position désavantageuse et vulnérable parce que le programme n</w:t>
      </w:r>
      <w:r>
        <w:rPr>
          <w:rFonts w:cs="Times New Roman"/>
          <w:lang w:val="fr-CA"/>
        </w:rPr>
        <w:t>’</w:t>
      </w:r>
      <w:r w:rsidRPr="00AF17C2">
        <w:rPr>
          <w:rFonts w:cs="Times New Roman"/>
          <w:lang w:val="fr-CA"/>
        </w:rPr>
        <w:t>établit pas, entre eux et l</w:t>
      </w:r>
      <w:r>
        <w:rPr>
          <w:rFonts w:cs="Times New Roman"/>
          <w:lang w:val="fr-CA"/>
        </w:rPr>
        <w:t>’</w:t>
      </w:r>
      <w:r w:rsidRPr="00AF17C2">
        <w:rPr>
          <w:rFonts w:cs="Times New Roman"/>
          <w:lang w:val="fr-CA"/>
        </w:rPr>
        <w:t>employeur, l</w:t>
      </w:r>
      <w:r>
        <w:rPr>
          <w:rFonts w:cs="Times New Roman"/>
          <w:lang w:val="fr-CA"/>
        </w:rPr>
        <w:t>’</w:t>
      </w:r>
      <w:r w:rsidRPr="00AF17C2">
        <w:rPr>
          <w:rFonts w:cs="Times New Roman"/>
          <w:lang w:val="fr-CA"/>
        </w:rPr>
        <w:t>équilibre essentiel à la tenue d</w:t>
      </w:r>
      <w:r>
        <w:rPr>
          <w:rFonts w:cs="Times New Roman"/>
          <w:lang w:val="fr-CA"/>
        </w:rPr>
        <w:t>’</w:t>
      </w:r>
      <w:r w:rsidRPr="00AF17C2">
        <w:rPr>
          <w:rFonts w:cs="Times New Roman"/>
          <w:lang w:val="fr-CA"/>
        </w:rPr>
        <w:t xml:space="preserve">une véritable négociation collective. </w:t>
      </w:r>
    </w:p>
    <w:p w:rsidR="007B74A6" w:rsidRPr="00AF17C2" w:rsidRDefault="007B74A6" w:rsidP="00795B2B">
      <w:pPr>
        <w:pStyle w:val="Title3LevelTitre3Niveau"/>
        <w:ind w:left="1077"/>
        <w:rPr>
          <w:rFonts w:cs="Times New Roman"/>
          <w:lang w:val="fr-CA"/>
        </w:rPr>
      </w:pPr>
      <w:r w:rsidRPr="00AF17C2">
        <w:rPr>
          <w:rFonts w:cs="Times New Roman"/>
          <w:lang w:val="fr-CA"/>
        </w:rPr>
        <w:t>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imposition du PRRF viole l</w:t>
      </w:r>
      <w:r>
        <w:rPr>
          <w:rFonts w:cs="Times New Roman"/>
          <w:lang w:val="fr-CA"/>
        </w:rPr>
        <w:t>’</w:t>
      </w:r>
      <w:r w:rsidRPr="00AF17C2">
        <w:rPr>
          <w:rFonts w:cs="Times New Roman"/>
          <w:lang w:val="fr-CA"/>
        </w:rPr>
        <w:t>al. 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avons décrit précédemment l</w:t>
      </w:r>
      <w:r>
        <w:rPr>
          <w:rFonts w:cs="Times New Roman"/>
          <w:lang w:val="fr-CA"/>
        </w:rPr>
        <w:t>’</w:t>
      </w:r>
      <w:r w:rsidRPr="00AF17C2">
        <w:rPr>
          <w:rFonts w:cs="Times New Roman"/>
          <w:lang w:val="fr-CA"/>
        </w:rPr>
        <w:t>historique des relations de travail à la GRC. Celui</w:t>
      </w:r>
      <w:r w:rsidR="00795B2B">
        <w:rPr>
          <w:rFonts w:cs="Times New Roman"/>
          <w:lang w:val="fr-CA"/>
        </w:rPr>
        <w:t>-</w:t>
      </w:r>
      <w:r w:rsidRPr="00AF17C2">
        <w:rPr>
          <w:rFonts w:cs="Times New Roman"/>
          <w:lang w:val="fr-CA"/>
        </w:rPr>
        <w:t>ci recèle une attitude d</w:t>
      </w:r>
      <w:r>
        <w:rPr>
          <w:rFonts w:cs="Times New Roman"/>
          <w:lang w:val="fr-CA"/>
        </w:rPr>
        <w:t>’</w:t>
      </w:r>
      <w:r w:rsidRPr="00AF17C2">
        <w:rPr>
          <w:rFonts w:cs="Times New Roman"/>
          <w:lang w:val="fr-CA"/>
        </w:rPr>
        <w:t>hostilité envers la syndicalisation au sein de la Gendarmerie tant de la part de la direction de la GRC que des gouvernements qui se sont succédé, et ce, depuis longtemps. Au début du 20</w:t>
      </w:r>
      <w:r w:rsidRPr="00AF17C2">
        <w:rPr>
          <w:rFonts w:cs="Times New Roman"/>
          <w:vertAlign w:val="superscript"/>
          <w:lang w:val="fr-CA"/>
        </w:rPr>
        <w:t>e</w:t>
      </w:r>
      <w:r w:rsidR="00795B2B">
        <w:rPr>
          <w:rFonts w:cs="Times New Roman"/>
          <w:lang w:val="fr-CA"/>
        </w:rPr>
        <w:t xml:space="preserve"> </w:t>
      </w:r>
      <w:r w:rsidRPr="00AF17C2">
        <w:rPr>
          <w:rFonts w:cs="Times New Roman"/>
          <w:lang w:val="fr-CA"/>
        </w:rPr>
        <w:t xml:space="preserve">siècle, le gouvernement fédéral </w:t>
      </w:r>
      <w:proofErr w:type="gramStart"/>
      <w:r w:rsidRPr="00AF17C2">
        <w:rPr>
          <w:rFonts w:cs="Times New Roman"/>
          <w:lang w:val="fr-CA"/>
        </w:rPr>
        <w:t>a</w:t>
      </w:r>
      <w:proofErr w:type="gramEnd"/>
      <w:r w:rsidRPr="00AF17C2">
        <w:rPr>
          <w:rFonts w:cs="Times New Roman"/>
          <w:lang w:val="fr-CA"/>
        </w:rPr>
        <w:t xml:space="preserve"> demandé à un des organismes qui ont précédé la GRC — la </w:t>
      </w:r>
      <w:r>
        <w:rPr>
          <w:rFonts w:cs="Times New Roman"/>
          <w:lang w:val="fr-CA"/>
        </w:rPr>
        <w:t xml:space="preserve">Police </w:t>
      </w:r>
      <w:r w:rsidRPr="00AF17C2">
        <w:rPr>
          <w:rFonts w:cs="Times New Roman"/>
          <w:lang w:val="fr-CA"/>
        </w:rPr>
        <w:t>à cheval du Nord</w:t>
      </w:r>
      <w:r w:rsidR="00795B2B">
        <w:rPr>
          <w:rFonts w:cs="Times New Roman"/>
          <w:lang w:val="fr-CA"/>
        </w:rPr>
        <w:t>-</w:t>
      </w:r>
      <w:r w:rsidRPr="00AF17C2">
        <w:rPr>
          <w:rFonts w:cs="Times New Roman"/>
          <w:lang w:val="fr-CA"/>
        </w:rPr>
        <w:t>Ouest (</w:t>
      </w:r>
      <w:r w:rsidR="00795B2B">
        <w:rPr>
          <w:rFonts w:cs="Times New Roman"/>
          <w:lang w:val="fr-CA"/>
        </w:rPr>
        <w:t>« </w:t>
      </w:r>
      <w:r>
        <w:rPr>
          <w:rFonts w:cs="Times New Roman"/>
          <w:lang w:val="fr-CA"/>
        </w:rPr>
        <w:t>P.</w:t>
      </w:r>
      <w:r w:rsidRPr="00AF17C2">
        <w:rPr>
          <w:rFonts w:cs="Times New Roman"/>
          <w:lang w:val="fr-CA"/>
        </w:rPr>
        <w:t>C</w:t>
      </w:r>
      <w:r>
        <w:rPr>
          <w:rFonts w:cs="Times New Roman"/>
          <w:lang w:val="fr-CA"/>
        </w:rPr>
        <w:t>.</w:t>
      </w:r>
      <w:r w:rsidRPr="00AF17C2">
        <w:rPr>
          <w:rFonts w:cs="Times New Roman"/>
          <w:lang w:val="fr-CA"/>
        </w:rPr>
        <w:t>N</w:t>
      </w:r>
      <w:r>
        <w:rPr>
          <w:rFonts w:cs="Times New Roman"/>
          <w:lang w:val="fr-CA"/>
        </w:rPr>
        <w:t>.</w:t>
      </w:r>
      <w:r w:rsidR="00795B2B">
        <w:rPr>
          <w:rFonts w:cs="Times New Roman"/>
          <w:lang w:val="fr-CA"/>
        </w:rPr>
        <w:t>-</w:t>
      </w:r>
      <w:r w:rsidRPr="00AF17C2">
        <w:rPr>
          <w:rFonts w:cs="Times New Roman"/>
          <w:lang w:val="fr-CA"/>
        </w:rPr>
        <w:t>O</w:t>
      </w:r>
      <w:r>
        <w:rPr>
          <w:rFonts w:cs="Times New Roman"/>
          <w:lang w:val="fr-CA"/>
        </w:rPr>
        <w:t>.</w:t>
      </w:r>
      <w:r w:rsidR="00795B2B">
        <w:rPr>
          <w:rFonts w:cs="Times New Roman"/>
          <w:lang w:val="fr-CA"/>
        </w:rPr>
        <w:t> »</w:t>
      </w:r>
      <w:r w:rsidRPr="00AF17C2">
        <w:rPr>
          <w:rFonts w:cs="Times New Roman"/>
          <w:lang w:val="fr-CA"/>
        </w:rPr>
        <w:t>) — d</w:t>
      </w:r>
      <w:r>
        <w:rPr>
          <w:rFonts w:cs="Times New Roman"/>
          <w:lang w:val="fr-CA"/>
        </w:rPr>
        <w:t>’</w:t>
      </w:r>
      <w:r w:rsidRPr="00AF17C2">
        <w:rPr>
          <w:rFonts w:cs="Times New Roman"/>
          <w:lang w:val="fr-CA"/>
        </w:rPr>
        <w:t>intervenir dans des conflits de travail, notamment pour briser la grève générale de Winnipeg de 1919. À l</w:t>
      </w:r>
      <w:r>
        <w:rPr>
          <w:rFonts w:cs="Times New Roman"/>
          <w:lang w:val="fr-CA"/>
        </w:rPr>
        <w:t>’</w:t>
      </w:r>
      <w:r w:rsidRPr="00AF17C2">
        <w:rPr>
          <w:rFonts w:cs="Times New Roman"/>
          <w:lang w:val="fr-CA"/>
        </w:rPr>
        <w:t>époque où les services de police municipaux au Canada commençaient à se syndiquer, le gouvernement canadien a pris le décret C.P. 1918</w:t>
      </w:r>
      <w:r w:rsidR="00795B2B">
        <w:rPr>
          <w:rFonts w:cs="Times New Roman"/>
          <w:lang w:val="fr-CA"/>
        </w:rPr>
        <w:t>-</w:t>
      </w:r>
      <w:r w:rsidRPr="00AF17C2">
        <w:rPr>
          <w:rFonts w:cs="Times New Roman"/>
          <w:lang w:val="fr-CA"/>
        </w:rPr>
        <w:t>2213</w:t>
      </w:r>
      <w:r w:rsidR="008701B1">
        <w:rPr>
          <w:rFonts w:cs="Times New Roman"/>
          <w:lang w:val="fr-CA"/>
        </w:rPr>
        <w:t>,</w:t>
      </w:r>
      <w:r w:rsidRPr="00AF17C2">
        <w:rPr>
          <w:rFonts w:cs="Times New Roman"/>
          <w:lang w:val="fr-CA"/>
        </w:rPr>
        <w:t xml:space="preserve"> qui interdisait aux membres de la </w:t>
      </w:r>
      <w:r>
        <w:rPr>
          <w:rFonts w:cs="Times New Roman"/>
          <w:lang w:val="fr-CA"/>
        </w:rPr>
        <w:t>P</w:t>
      </w:r>
      <w:r w:rsidRPr="00AF17C2">
        <w:rPr>
          <w:rFonts w:cs="Times New Roman"/>
          <w:lang w:val="fr-CA"/>
        </w:rPr>
        <w:t xml:space="preserve">olice fédérale et de la </w:t>
      </w:r>
      <w:r>
        <w:rPr>
          <w:rFonts w:cs="Times New Roman"/>
          <w:lang w:val="fr-CA"/>
        </w:rPr>
        <w:t>P.</w:t>
      </w:r>
      <w:r w:rsidRPr="00AF17C2">
        <w:rPr>
          <w:rFonts w:cs="Times New Roman"/>
          <w:lang w:val="fr-CA"/>
        </w:rPr>
        <w:t>C</w:t>
      </w:r>
      <w:r>
        <w:rPr>
          <w:rFonts w:cs="Times New Roman"/>
          <w:lang w:val="fr-CA"/>
        </w:rPr>
        <w:t>.</w:t>
      </w:r>
      <w:r w:rsidRPr="00AF17C2">
        <w:rPr>
          <w:rFonts w:cs="Times New Roman"/>
          <w:lang w:val="fr-CA"/>
        </w:rPr>
        <w:t>N</w:t>
      </w:r>
      <w:r>
        <w:rPr>
          <w:rFonts w:cs="Times New Roman"/>
          <w:lang w:val="fr-CA"/>
        </w:rPr>
        <w:t>.</w:t>
      </w:r>
      <w:r w:rsidR="00795B2B">
        <w:rPr>
          <w:rFonts w:cs="Times New Roman"/>
          <w:lang w:val="fr-CA"/>
        </w:rPr>
        <w:t>-</w:t>
      </w:r>
      <w:r w:rsidRPr="00AF17C2">
        <w:rPr>
          <w:rFonts w:cs="Times New Roman"/>
          <w:lang w:val="fr-CA"/>
        </w:rPr>
        <w:t>O</w:t>
      </w:r>
      <w:r>
        <w:rPr>
          <w:rFonts w:cs="Times New Roman"/>
          <w:lang w:val="fr-CA"/>
        </w:rPr>
        <w:t>.</w:t>
      </w:r>
      <w:r w:rsidRPr="00AF17C2">
        <w:rPr>
          <w:rFonts w:cs="Times New Roman"/>
          <w:smallCaps/>
          <w:lang w:val="fr-CA"/>
        </w:rPr>
        <w:t xml:space="preserve"> [traduction] </w:t>
      </w:r>
      <w:r w:rsidR="00795B2B">
        <w:rPr>
          <w:rFonts w:cs="Times New Roman"/>
          <w:lang w:val="fr-CA"/>
        </w:rPr>
        <w:t>« </w:t>
      </w:r>
      <w:r w:rsidR="008701B1">
        <w:rPr>
          <w:rFonts w:cs="Times New Roman"/>
          <w:lang w:val="fr-CA"/>
        </w:rPr>
        <w:t>d</w:t>
      </w:r>
      <w:r>
        <w:rPr>
          <w:rFonts w:cs="Times New Roman"/>
          <w:lang w:val="fr-CA"/>
        </w:rPr>
        <w:t>’</w:t>
      </w:r>
      <w:r w:rsidRPr="00AF17C2">
        <w:rPr>
          <w:rFonts w:cs="Times New Roman"/>
          <w:lang w:val="fr-CA"/>
        </w:rPr>
        <w:t xml:space="preserve">adhérer ou </w:t>
      </w:r>
      <w:r w:rsidR="008701B1">
        <w:rPr>
          <w:rFonts w:cs="Times New Roman"/>
          <w:lang w:val="fr-CA"/>
        </w:rPr>
        <w:t>de</w:t>
      </w:r>
      <w:r w:rsidRPr="00AF17C2">
        <w:rPr>
          <w:rFonts w:cs="Times New Roman"/>
          <w:lang w:val="fr-CA"/>
        </w:rPr>
        <w:t xml:space="preserve"> s</w:t>
      </w:r>
      <w:r>
        <w:rPr>
          <w:rFonts w:cs="Times New Roman"/>
          <w:lang w:val="fr-CA"/>
        </w:rPr>
        <w:t>’</w:t>
      </w:r>
      <w:r w:rsidRPr="00AF17C2">
        <w:rPr>
          <w:rFonts w:cs="Times New Roman"/>
          <w:lang w:val="fr-CA"/>
        </w:rPr>
        <w:t>associer de quelque façon à une organisation syndicale</w:t>
      </w:r>
      <w:r w:rsidR="008701B1">
        <w:rPr>
          <w:rFonts w:cs="Times New Roman"/>
          <w:lang w:val="fr-CA"/>
        </w:rPr>
        <w:t xml:space="preserve"> [. . .] ou à un syndicat</w:t>
      </w:r>
      <w:r w:rsidRPr="00AF17C2">
        <w:rPr>
          <w:rFonts w:cs="Times New Roman"/>
          <w:lang w:val="fr-CA"/>
        </w:rPr>
        <w:t xml:space="preserve">, à une société ou </w:t>
      </w:r>
      <w:r w:rsidR="008701B1">
        <w:rPr>
          <w:rFonts w:cs="Times New Roman"/>
          <w:lang w:val="fr-CA"/>
        </w:rPr>
        <w:t>à une association qui y est lié ou affilié</w:t>
      </w:r>
      <w:r w:rsidR="00795B2B">
        <w:rPr>
          <w:rFonts w:cs="Times New Roman"/>
          <w:lang w:val="fr-CA"/>
        </w:rPr>
        <w:t> »</w:t>
      </w:r>
      <w:r w:rsidRPr="00AF17C2">
        <w:rPr>
          <w:rFonts w:cs="Times New Roman"/>
          <w:lang w:val="fr-CA"/>
        </w:rPr>
        <w:t xml:space="preserve"> sous peine de congédiement immédiat.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Cette position s</w:t>
      </w:r>
      <w:r>
        <w:rPr>
          <w:rFonts w:cs="Times New Roman"/>
          <w:lang w:val="fr-CA"/>
        </w:rPr>
        <w:t>’</w:t>
      </w:r>
      <w:r w:rsidRPr="00AF17C2">
        <w:rPr>
          <w:rFonts w:cs="Times New Roman"/>
          <w:lang w:val="fr-CA"/>
        </w:rPr>
        <w:t>est assouplie au début des années</w:t>
      </w:r>
      <w:r w:rsidR="00795B2B">
        <w:rPr>
          <w:rFonts w:cs="Times New Roman"/>
          <w:lang w:val="fr-CA"/>
        </w:rPr>
        <w:t xml:space="preserve"> </w:t>
      </w:r>
      <w:r w:rsidRPr="00AF17C2">
        <w:rPr>
          <w:rFonts w:cs="Times New Roman"/>
          <w:lang w:val="fr-CA"/>
        </w:rPr>
        <w:t>1970, avec l</w:t>
      </w:r>
      <w:r>
        <w:rPr>
          <w:rFonts w:cs="Times New Roman"/>
          <w:lang w:val="fr-CA"/>
        </w:rPr>
        <w:t>’</w:t>
      </w:r>
      <w:r w:rsidRPr="00AF17C2">
        <w:rPr>
          <w:rFonts w:cs="Times New Roman"/>
          <w:lang w:val="fr-CA"/>
        </w:rPr>
        <w:t>abrogation du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(C.P. 1974-1339), mais le gouvernement fédéral a continué de s</w:t>
      </w:r>
      <w:r>
        <w:rPr>
          <w:rFonts w:cs="Times New Roman"/>
          <w:lang w:val="fr-CA"/>
        </w:rPr>
        <w:t>’</w:t>
      </w:r>
      <w:r w:rsidRPr="00AF17C2">
        <w:rPr>
          <w:rFonts w:cs="Times New Roman"/>
          <w:lang w:val="fr-CA"/>
        </w:rPr>
        <w:t>opposer à la constitution d</w:t>
      </w:r>
      <w:r>
        <w:rPr>
          <w:rFonts w:cs="Times New Roman"/>
          <w:lang w:val="fr-CA"/>
        </w:rPr>
        <w:t>’</w:t>
      </w:r>
      <w:r w:rsidRPr="00AF17C2">
        <w:rPr>
          <w:rFonts w:cs="Times New Roman"/>
          <w:lang w:val="fr-CA"/>
        </w:rPr>
        <w:t xml:space="preserve">associations indépendantes par les membres de la </w:t>
      </w:r>
      <w:r w:rsidRPr="00AF17C2">
        <w:rPr>
          <w:rFonts w:cs="Times New Roman"/>
          <w:lang w:val="fr-CA"/>
        </w:rPr>
        <w:lastRenderedPageBreak/>
        <w:t>GRC. Le PRDRF, précurseur du PRRF actuel, a été ouvertement présenté comme une solution de rechange à la syndicalisation. Au cours de l</w:t>
      </w:r>
      <w:r>
        <w:rPr>
          <w:rFonts w:cs="Times New Roman"/>
          <w:lang w:val="fr-CA"/>
        </w:rPr>
        <w:t>’</w:t>
      </w:r>
      <w:r w:rsidRPr="00AF17C2">
        <w:rPr>
          <w:rFonts w:cs="Times New Roman"/>
          <w:lang w:val="fr-CA"/>
        </w:rPr>
        <w:t>année où ce programme a été créé, le commissaire Nadon de la GRC a commandé un rapport sur les effets des associations de policiers et sur les avantages et les désavantages de créer une telle association au sein de la GRC (J.</w:t>
      </w:r>
      <w:r w:rsidR="00795B2B">
        <w:rPr>
          <w:rFonts w:cs="Times New Roman"/>
          <w:lang w:val="fr-CA"/>
        </w:rPr>
        <w:t xml:space="preserve"> </w:t>
      </w:r>
      <w:r w:rsidRPr="00AF17C2">
        <w:rPr>
          <w:rFonts w:cs="Times New Roman"/>
          <w:lang w:val="fr-CA"/>
        </w:rPr>
        <w:t>P.</w:t>
      </w:r>
      <w:r w:rsidR="00795B2B">
        <w:rPr>
          <w:rFonts w:cs="Times New Roman"/>
          <w:lang w:val="fr-CA"/>
        </w:rPr>
        <w:t xml:space="preserve"> </w:t>
      </w:r>
      <w:r w:rsidRPr="00AF17C2">
        <w:rPr>
          <w:rFonts w:cs="Times New Roman"/>
          <w:lang w:val="fr-CA"/>
        </w:rPr>
        <w:t xml:space="preserve">Middleton, </w:t>
      </w:r>
      <w:r w:rsidRPr="00AF17C2">
        <w:rPr>
          <w:rFonts w:cs="Times New Roman"/>
          <w:i/>
          <w:lang w:val="fr-CA"/>
        </w:rPr>
        <w:t>Rapport d</w:t>
      </w:r>
      <w:r>
        <w:rPr>
          <w:rFonts w:cs="Times New Roman"/>
          <w:i/>
          <w:lang w:val="fr-CA"/>
        </w:rPr>
        <w:t>’</w:t>
      </w:r>
      <w:r w:rsidRPr="00AF17C2">
        <w:rPr>
          <w:rFonts w:cs="Times New Roman"/>
          <w:i/>
          <w:lang w:val="fr-CA"/>
        </w:rPr>
        <w:t xml:space="preserve">étude sur les associations policières </w:t>
      </w:r>
      <w:r w:rsidRPr="00AF17C2">
        <w:rPr>
          <w:rFonts w:cs="Times New Roman"/>
          <w:lang w:val="fr-CA"/>
        </w:rPr>
        <w:t>(1974)). Le rapport Middleton appuyait largement la formation d</w:t>
      </w:r>
      <w:r>
        <w:rPr>
          <w:rFonts w:cs="Times New Roman"/>
          <w:lang w:val="fr-CA"/>
        </w:rPr>
        <w:t>’</w:t>
      </w:r>
      <w:r w:rsidRPr="00AF17C2">
        <w:rPr>
          <w:rFonts w:cs="Times New Roman"/>
          <w:lang w:val="fr-CA"/>
        </w:rPr>
        <w:t>une association ou d</w:t>
      </w:r>
      <w:r>
        <w:rPr>
          <w:rFonts w:cs="Times New Roman"/>
          <w:lang w:val="fr-CA"/>
        </w:rPr>
        <w:t>’</w:t>
      </w:r>
      <w:r w:rsidRPr="00AF17C2">
        <w:rPr>
          <w:rFonts w:cs="Times New Roman"/>
          <w:lang w:val="fr-CA"/>
        </w:rPr>
        <w:t>un syndicat des membres de la GRC. Toutefois, lorsqu</w:t>
      </w:r>
      <w:r>
        <w:rPr>
          <w:rFonts w:cs="Times New Roman"/>
          <w:lang w:val="fr-CA"/>
        </w:rPr>
        <w:t>’</w:t>
      </w:r>
      <w:r w:rsidRPr="00AF17C2">
        <w:rPr>
          <w:rFonts w:cs="Times New Roman"/>
          <w:lang w:val="fr-CA"/>
        </w:rPr>
        <w:t>il a diffusé le rapport, le commissaire</w:t>
      </w:r>
      <w:r w:rsidR="00795B2B">
        <w:rPr>
          <w:rFonts w:cs="Times New Roman"/>
          <w:lang w:val="fr-CA"/>
        </w:rPr>
        <w:t xml:space="preserve"> </w:t>
      </w:r>
      <w:r w:rsidRPr="00AF17C2">
        <w:rPr>
          <w:rFonts w:cs="Times New Roman"/>
          <w:lang w:val="fr-CA"/>
        </w:rPr>
        <w:t>Nadon a inclus un bref avant</w:t>
      </w:r>
      <w:r w:rsidR="00795B2B">
        <w:rPr>
          <w:rFonts w:cs="Times New Roman"/>
          <w:lang w:val="fr-CA"/>
        </w:rPr>
        <w:t>-</w:t>
      </w:r>
      <w:r w:rsidRPr="00AF17C2">
        <w:rPr>
          <w:rFonts w:cs="Times New Roman"/>
          <w:lang w:val="fr-CA"/>
        </w:rPr>
        <w:t>propos débutant</w:t>
      </w:r>
      <w:r w:rsidR="00795B2B">
        <w:rPr>
          <w:rFonts w:cs="Times New Roman"/>
          <w:lang w:val="fr-CA"/>
        </w:rPr>
        <w:t xml:space="preserve"> </w:t>
      </w:r>
      <w:r w:rsidRPr="00AF17C2">
        <w:rPr>
          <w:rFonts w:cs="Times New Roman"/>
          <w:lang w:val="fr-CA"/>
        </w:rPr>
        <w:t>comme suit</w:t>
      </w:r>
      <w:r w:rsidR="00795B2B">
        <w:rPr>
          <w:rFonts w:cs="Times New Roman"/>
          <w:lang w:val="fr-CA"/>
        </w:rPr>
        <w:t> :</w:t>
      </w:r>
    </w:p>
    <w:p w:rsidR="007B74A6" w:rsidRPr="00AF17C2" w:rsidRDefault="007B74A6" w:rsidP="00795B2B">
      <w:pPr>
        <w:pStyle w:val="Citation-AltC"/>
        <w:ind w:hanging="1166"/>
        <w:rPr>
          <w:lang w:val="fr-CA"/>
        </w:rPr>
      </w:pPr>
      <w:r w:rsidRPr="00AF17C2">
        <w:rPr>
          <w:lang w:val="fr-CA"/>
        </w:rPr>
        <w:tab/>
      </w:r>
      <w:r w:rsidRPr="00AF17C2">
        <w:rPr>
          <w:lang w:val="fr-CA"/>
        </w:rPr>
        <w:tab/>
        <w:t>Précisons d</w:t>
      </w:r>
      <w:r>
        <w:rPr>
          <w:lang w:val="fr-CA"/>
        </w:rPr>
        <w:t>’</w:t>
      </w:r>
      <w:r w:rsidRPr="00AF17C2">
        <w:rPr>
          <w:lang w:val="fr-CA"/>
        </w:rPr>
        <w:t>abord la position de la Gendarmerie</w:t>
      </w:r>
      <w:r w:rsidR="00795B2B">
        <w:rPr>
          <w:lang w:val="fr-CA"/>
        </w:rPr>
        <w:t> :</w:t>
      </w:r>
      <w:r w:rsidRPr="00AF17C2">
        <w:rPr>
          <w:lang w:val="fr-CA"/>
        </w:rPr>
        <w:t xml:space="preserve"> comme elle l</w:t>
      </w:r>
      <w:r>
        <w:rPr>
          <w:lang w:val="fr-CA"/>
        </w:rPr>
        <w:t>’</w:t>
      </w:r>
      <w:r w:rsidRPr="00AF17C2">
        <w:rPr>
          <w:lang w:val="fr-CA"/>
        </w:rPr>
        <w:t>a fait savoir à son ministre, elle s</w:t>
      </w:r>
      <w:r>
        <w:rPr>
          <w:lang w:val="fr-CA"/>
        </w:rPr>
        <w:t>’</w:t>
      </w:r>
      <w:r w:rsidRPr="00AF17C2">
        <w:rPr>
          <w:lang w:val="fr-CA"/>
        </w:rPr>
        <w:t>oppose à la formation d</w:t>
      </w:r>
      <w:r>
        <w:rPr>
          <w:lang w:val="fr-CA"/>
        </w:rPr>
        <w:t>’</w:t>
      </w:r>
      <w:r w:rsidRPr="00AF17C2">
        <w:rPr>
          <w:lang w:val="fr-CA"/>
        </w:rPr>
        <w:t>une association ou d</w:t>
      </w:r>
      <w:r>
        <w:rPr>
          <w:lang w:val="fr-CA"/>
        </w:rPr>
        <w:t>’</w:t>
      </w:r>
      <w:r w:rsidRPr="00AF17C2">
        <w:rPr>
          <w:lang w:val="fr-CA"/>
        </w:rPr>
        <w:t>un syndicat et ce, pour bien des raisons. [p. i]</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paragraphe</w:t>
      </w:r>
      <w:r w:rsidR="00795B2B">
        <w:rPr>
          <w:rFonts w:cs="Times New Roman"/>
          <w:lang w:val="fr-CA"/>
        </w:rPr>
        <w:t xml:space="preserve"> </w:t>
      </w:r>
      <w:r w:rsidRPr="00AF17C2">
        <w:rPr>
          <w:rFonts w:cs="Times New Roman"/>
          <w:lang w:val="fr-CA"/>
        </w:rPr>
        <w:t xml:space="preserve">3(2) des </w:t>
      </w:r>
      <w:r w:rsidR="00A15F51">
        <w:rPr>
          <w:rFonts w:cs="Times New Roman"/>
          <w:i/>
          <w:lang w:val="fr-CA"/>
        </w:rPr>
        <w:t>Consignes du C</w:t>
      </w:r>
      <w:r w:rsidRPr="00AF17C2">
        <w:rPr>
          <w:rFonts w:cs="Times New Roman"/>
          <w:i/>
          <w:lang w:val="fr-CA"/>
        </w:rPr>
        <w:t>ommissaire (Programme d</w:t>
      </w:r>
      <w:r w:rsidR="008701B1">
        <w:rPr>
          <w:rFonts w:cs="Times New Roman"/>
          <w:i/>
          <w:lang w:val="fr-CA"/>
        </w:rPr>
        <w:t xml:space="preserve">es représentants divisionnaires </w:t>
      </w:r>
      <w:r w:rsidRPr="00AF17C2">
        <w:rPr>
          <w:rFonts w:cs="Times New Roman"/>
          <w:i/>
          <w:lang w:val="fr-CA"/>
        </w:rPr>
        <w:t>des relations fonctio</w:t>
      </w:r>
      <w:r w:rsidR="00A15F51">
        <w:rPr>
          <w:rFonts w:cs="Times New Roman"/>
          <w:i/>
          <w:lang w:val="fr-CA"/>
        </w:rPr>
        <w:t>n</w:t>
      </w:r>
      <w:r w:rsidRPr="00AF17C2">
        <w:rPr>
          <w:rFonts w:cs="Times New Roman"/>
          <w:i/>
          <w:lang w:val="fr-CA"/>
        </w:rPr>
        <w:t>nelles)</w:t>
      </w:r>
      <w:r w:rsidRPr="00AF17C2">
        <w:rPr>
          <w:rFonts w:cs="Times New Roman"/>
          <w:lang w:val="fr-CA"/>
        </w:rPr>
        <w:t xml:space="preserve"> — qui ont constitué le fondement juridique du PR</w:t>
      </w:r>
      <w:r>
        <w:rPr>
          <w:rFonts w:cs="Times New Roman"/>
          <w:lang w:val="fr-CA"/>
        </w:rPr>
        <w:t>D</w:t>
      </w:r>
      <w:r w:rsidRPr="00AF17C2">
        <w:rPr>
          <w:rFonts w:cs="Times New Roman"/>
          <w:lang w:val="fr-CA"/>
        </w:rPr>
        <w:t>RF de 1974 à 2003 — interdisait aux RDRF de</w:t>
      </w:r>
      <w:r w:rsidRPr="00AF17C2">
        <w:rPr>
          <w:rFonts w:cs="Times New Roman"/>
          <w:i/>
          <w:lang w:val="fr-CA"/>
        </w:rPr>
        <w:t xml:space="preserve"> </w:t>
      </w:r>
      <w:r w:rsidRPr="00AF17C2">
        <w:rPr>
          <w:rFonts w:cs="Times New Roman"/>
          <w:lang w:val="fr-CA"/>
        </w:rPr>
        <w:t xml:space="preserve">contribuer </w:t>
      </w:r>
      <w:r w:rsidR="00795B2B">
        <w:rPr>
          <w:rFonts w:cs="Times New Roman"/>
          <w:lang w:val="fr-CA"/>
        </w:rPr>
        <w:t>« </w:t>
      </w:r>
      <w:r w:rsidRPr="00AF17C2">
        <w:rPr>
          <w:rFonts w:cs="Times New Roman"/>
          <w:lang w:val="fr-CA"/>
        </w:rPr>
        <w:t>à d</w:t>
      </w:r>
      <w:r>
        <w:rPr>
          <w:rFonts w:cs="Times New Roman"/>
          <w:lang w:val="fr-CA"/>
        </w:rPr>
        <w:t>’</w:t>
      </w:r>
      <w:r w:rsidRPr="00AF17C2">
        <w:rPr>
          <w:rFonts w:cs="Times New Roman"/>
          <w:i/>
          <w:lang w:val="fr-CA"/>
        </w:rPr>
        <w:t xml:space="preserve">autres </w:t>
      </w:r>
      <w:r w:rsidRPr="00AF17C2">
        <w:rPr>
          <w:rFonts w:cs="Times New Roman"/>
          <w:lang w:val="fr-CA"/>
        </w:rPr>
        <w:t>programmes qui sont en opposition avec le caractère non syndicaliste du Programme des représentants divisionnaires des relations fonctionnelles</w:t>
      </w:r>
      <w:r w:rsidR="00795B2B">
        <w:rPr>
          <w:rFonts w:cs="Times New Roman"/>
          <w:lang w:val="fr-CA"/>
        </w:rPr>
        <w:t> »</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Même devant la Cour, le procureur général du Canada n</w:t>
      </w:r>
      <w:r>
        <w:rPr>
          <w:rFonts w:cs="Times New Roman"/>
          <w:lang w:val="fr-CA"/>
        </w:rPr>
        <w:t>’</w:t>
      </w:r>
      <w:r w:rsidRPr="00AF17C2">
        <w:rPr>
          <w:rFonts w:cs="Times New Roman"/>
          <w:lang w:val="fr-CA"/>
        </w:rPr>
        <w:t>affirme pas que le PRRF actuel permette aux membres de la GRC de constituer une association indépendante. En fait, il semble que le procureur général admette que le PRRF continue d</w:t>
      </w:r>
      <w:r>
        <w:rPr>
          <w:rFonts w:cs="Times New Roman"/>
          <w:lang w:val="fr-CA"/>
        </w:rPr>
        <w:t>’</w:t>
      </w:r>
      <w:r w:rsidRPr="00AF17C2">
        <w:rPr>
          <w:rFonts w:cs="Times New Roman"/>
          <w:lang w:val="fr-CA"/>
        </w:rPr>
        <w:t>être imposé aux membres de la GRC afin d</w:t>
      </w:r>
      <w:r>
        <w:rPr>
          <w:rFonts w:cs="Times New Roman"/>
          <w:lang w:val="fr-CA"/>
        </w:rPr>
        <w:t>’</w:t>
      </w:r>
      <w:r w:rsidRPr="00AF17C2">
        <w:rPr>
          <w:rFonts w:cs="Times New Roman"/>
          <w:lang w:val="fr-CA"/>
        </w:rPr>
        <w:t>empêcher la négociation collective au moyen d</w:t>
      </w:r>
      <w:r>
        <w:rPr>
          <w:rFonts w:cs="Times New Roman"/>
          <w:lang w:val="fr-CA"/>
        </w:rPr>
        <w:t>’</w:t>
      </w:r>
      <w:r w:rsidRPr="00AF17C2">
        <w:rPr>
          <w:rFonts w:cs="Times New Roman"/>
          <w:lang w:val="fr-CA"/>
        </w:rPr>
        <w:t>une association indépendante. Il plaide plutôt que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ne garantit pas aux membres de la GRC le droit de former des associations et de négocier par l</w:t>
      </w:r>
      <w:r>
        <w:rPr>
          <w:rFonts w:cs="Times New Roman"/>
          <w:lang w:val="fr-CA"/>
        </w:rPr>
        <w:t>’</w:t>
      </w:r>
      <w:r w:rsidRPr="00AF17C2">
        <w:rPr>
          <w:rFonts w:cs="Times New Roman"/>
          <w:lang w:val="fr-CA"/>
        </w:rPr>
        <w:t>entremise d</w:t>
      </w:r>
      <w:r>
        <w:rPr>
          <w:rFonts w:cs="Times New Roman"/>
          <w:lang w:val="fr-CA"/>
        </w:rPr>
        <w:t>’</w:t>
      </w:r>
      <w:r w:rsidRPr="00AF17C2">
        <w:rPr>
          <w:rFonts w:cs="Times New Roman"/>
          <w:lang w:val="fr-CA"/>
        </w:rPr>
        <w:t>une association qu</w:t>
      </w:r>
      <w:r>
        <w:rPr>
          <w:rFonts w:cs="Times New Roman"/>
          <w:lang w:val="fr-CA"/>
        </w:rPr>
        <w:t>’</w:t>
      </w:r>
      <w:r w:rsidRPr="00AF17C2">
        <w:rPr>
          <w:rFonts w:cs="Times New Roman"/>
          <w:lang w:val="fr-CA"/>
        </w:rPr>
        <w:t xml:space="preserve">ils ont choisie. Nous avons rejeté ce </w:t>
      </w:r>
      <w:r w:rsidRPr="00AF17C2">
        <w:rPr>
          <w:rFonts w:cs="Times New Roman"/>
          <w:lang w:val="fr-CA"/>
        </w:rPr>
        <w:lastRenderedPageBreak/>
        <w:t>point de vue. En conséquence,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imposition du PRRF, soit d</w:t>
      </w:r>
      <w:r>
        <w:rPr>
          <w:rFonts w:cs="Times New Roman"/>
          <w:lang w:val="fr-CA"/>
        </w:rPr>
        <w:t>’</w:t>
      </w:r>
      <w:r w:rsidRPr="00AF17C2">
        <w:rPr>
          <w:rFonts w:cs="Times New Roman"/>
          <w:lang w:val="fr-CA"/>
        </w:rPr>
        <w:t>empêcher les membres de la GRC de former des associations indépendantes en vue de négocier collectivement, est inconstitutionnel.</w:t>
      </w:r>
    </w:p>
    <w:p w:rsidR="007B74A6" w:rsidRPr="00AF17C2" w:rsidRDefault="007B74A6" w:rsidP="00795B2B">
      <w:pPr>
        <w:pStyle w:val="Title3LevelTitre3Niveau"/>
        <w:ind w:left="1077"/>
        <w:rPr>
          <w:rFonts w:cs="Times New Roman"/>
          <w:lang w:val="fr-CA"/>
        </w:rPr>
      </w:pPr>
      <w:r w:rsidRPr="00AF17C2">
        <w:rPr>
          <w:rFonts w:cs="Times New Roman"/>
          <w:lang w:val="fr-CA"/>
        </w:rPr>
        <w:t>Les effets de l</w:t>
      </w:r>
      <w:r>
        <w:rPr>
          <w:rFonts w:cs="Times New Roman"/>
          <w:lang w:val="fr-CA"/>
        </w:rPr>
        <w:t>’</w:t>
      </w:r>
      <w:r w:rsidRPr="00AF17C2">
        <w:rPr>
          <w:rFonts w:cs="Times New Roman"/>
          <w:lang w:val="fr-CA"/>
        </w:rPr>
        <w:t>imposition du PRRF violent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Bien qu</w:t>
      </w:r>
      <w:r>
        <w:rPr>
          <w:rFonts w:cs="Times New Roman"/>
          <w:lang w:val="fr-CA"/>
        </w:rPr>
        <w:t>’</w:t>
      </w:r>
      <w:r w:rsidRPr="00AF17C2">
        <w:rPr>
          <w:rFonts w:cs="Times New Roman"/>
          <w:lang w:val="fr-CA"/>
        </w:rPr>
        <w:t>il soit suffisant de conclure à une violation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sur le seul fondement des objets de l</w:t>
      </w:r>
      <w:r>
        <w:rPr>
          <w:rFonts w:cs="Times New Roman"/>
          <w:lang w:val="fr-CA"/>
        </w:rPr>
        <w:t>’</w:t>
      </w:r>
      <w:r w:rsidRPr="00AF17C2">
        <w:rPr>
          <w:rFonts w:cs="Times New Roman"/>
          <w:lang w:val="fr-CA"/>
        </w:rPr>
        <w:t>imposition du PRRF comme régime de relations de travail (</w:t>
      </w:r>
      <w:proofErr w:type="spellStart"/>
      <w:r w:rsidRPr="00AF17C2">
        <w:rPr>
          <w:rFonts w:cs="Times New Roman"/>
          <w:i/>
          <w:lang w:val="fr-CA"/>
        </w:rPr>
        <w:t>Big</w:t>
      </w:r>
      <w:proofErr w:type="spellEnd"/>
      <w:r w:rsidR="00795B2B">
        <w:rPr>
          <w:rFonts w:cs="Times New Roman"/>
          <w:i/>
          <w:lang w:val="fr-CA"/>
        </w:rPr>
        <w:t xml:space="preserve"> </w:t>
      </w:r>
      <w:r w:rsidRPr="00AF17C2">
        <w:rPr>
          <w:rFonts w:cs="Times New Roman"/>
          <w:i/>
          <w:lang w:val="fr-CA"/>
        </w:rPr>
        <w:t>M</w:t>
      </w:r>
      <w:r w:rsidR="00795B2B">
        <w:rPr>
          <w:rFonts w:cs="Times New Roman"/>
          <w:i/>
          <w:lang w:val="fr-CA"/>
        </w:rPr>
        <w:t xml:space="preserve"> </w:t>
      </w:r>
      <w:r w:rsidRPr="00AF17C2">
        <w:rPr>
          <w:rFonts w:cs="Times New Roman"/>
          <w:i/>
          <w:lang w:val="fr-CA"/>
        </w:rPr>
        <w:t>Drug</w:t>
      </w:r>
      <w:r w:rsidR="00795B2B">
        <w:rPr>
          <w:rFonts w:cs="Times New Roman"/>
          <w:i/>
          <w:lang w:val="fr-CA"/>
        </w:rPr>
        <w:t xml:space="preserve"> </w:t>
      </w:r>
      <w:proofErr w:type="spellStart"/>
      <w:r w:rsidRPr="00AF17C2">
        <w:rPr>
          <w:rFonts w:cs="Times New Roman"/>
          <w:i/>
          <w:lang w:val="fr-CA"/>
        </w:rPr>
        <w:t>Mart</w:t>
      </w:r>
      <w:proofErr w:type="spellEnd"/>
      <w:r w:rsidRPr="00AF17C2">
        <w:rPr>
          <w:rFonts w:cs="Times New Roman"/>
          <w:lang w:val="fr-CA"/>
        </w:rPr>
        <w:t>), nous décidons également que l</w:t>
      </w:r>
      <w:r>
        <w:rPr>
          <w:rFonts w:cs="Times New Roman"/>
          <w:lang w:val="fr-CA"/>
        </w:rPr>
        <w:t>’</w:t>
      </w:r>
      <w:r w:rsidRPr="00AF17C2">
        <w:rPr>
          <w:rFonts w:cs="Times New Roman"/>
          <w:lang w:val="fr-CA"/>
        </w:rPr>
        <w:t>imposition de ce régime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en raison de ses effets. Nous examinerons maintenant si les membres de la GRC peuvent faire véritablement valoir leurs propres intérêts, au moyen du PRRF, sans ingérence de la direction de la GRC. Le dossier dont nous sommes saisis démontre que tel n</w:t>
      </w:r>
      <w:r>
        <w:rPr>
          <w:rFonts w:cs="Times New Roman"/>
          <w:lang w:val="fr-CA"/>
        </w:rPr>
        <w:t>’</w:t>
      </w:r>
      <w:r w:rsidRPr="00AF17C2">
        <w:rPr>
          <w:rFonts w:cs="Times New Roman"/>
          <w:lang w:val="fr-CA"/>
        </w:rPr>
        <w:t>est pas le cas.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Certes, la structure organisationnelle du PRRF a beaucoup évolué depuis la création en 1974 du programme qui l</w:t>
      </w:r>
      <w:r>
        <w:rPr>
          <w:rFonts w:cs="Times New Roman"/>
          <w:lang w:val="fr-CA"/>
        </w:rPr>
        <w:t>’</w:t>
      </w:r>
      <w:r w:rsidRPr="00AF17C2">
        <w:rPr>
          <w:rFonts w:cs="Times New Roman"/>
          <w:lang w:val="fr-CA"/>
        </w:rPr>
        <w:t>a précédé. Les changements en question ont été exposés en détail précédemment. Bien qu</w:t>
      </w:r>
      <w:r>
        <w:rPr>
          <w:rFonts w:cs="Times New Roman"/>
          <w:lang w:val="fr-CA"/>
        </w:rPr>
        <w:t>’</w:t>
      </w:r>
      <w:r w:rsidRPr="00AF17C2">
        <w:rPr>
          <w:rFonts w:cs="Times New Roman"/>
          <w:lang w:val="fr-CA"/>
        </w:rPr>
        <w:t>ils aient permis d</w:t>
      </w:r>
      <w:r>
        <w:rPr>
          <w:rFonts w:cs="Times New Roman"/>
          <w:lang w:val="fr-CA"/>
        </w:rPr>
        <w:t>’</w:t>
      </w:r>
      <w:r w:rsidRPr="00AF17C2">
        <w:rPr>
          <w:rFonts w:cs="Times New Roman"/>
          <w:lang w:val="fr-CA"/>
        </w:rPr>
        <w:t>élargir le pouvoir des RRF quant à la gestion du programme, ils ne respectent cependant pas le droit des membres de la GRC d</w:t>
      </w:r>
      <w:r>
        <w:rPr>
          <w:rFonts w:cs="Times New Roman"/>
          <w:lang w:val="fr-CA"/>
        </w:rPr>
        <w:t>’</w:t>
      </w:r>
      <w:r w:rsidRPr="00AF17C2">
        <w:rPr>
          <w:rFonts w:cs="Times New Roman"/>
          <w:lang w:val="fr-CA"/>
        </w:rPr>
        <w:t>adhérer à l</w:t>
      </w:r>
      <w:r>
        <w:rPr>
          <w:rFonts w:cs="Times New Roman"/>
          <w:lang w:val="fr-CA"/>
        </w:rPr>
        <w:t>’</w:t>
      </w:r>
      <w:r w:rsidRPr="00AF17C2">
        <w:rPr>
          <w:rFonts w:cs="Times New Roman"/>
          <w:lang w:val="fr-CA"/>
        </w:rPr>
        <w:t>association de leur choix et, indépendamment de la direction,</w:t>
      </w:r>
      <w:r w:rsidRPr="00AF17C2">
        <w:rPr>
          <w:rFonts w:cs="Times New Roman"/>
          <w:i/>
          <w:lang w:val="fr-CA"/>
        </w:rPr>
        <w:t xml:space="preserve"> </w:t>
      </w:r>
      <w:r w:rsidRPr="00AF17C2">
        <w:rPr>
          <w:rFonts w:cs="Times New Roman"/>
          <w:lang w:val="fr-CA"/>
        </w:rPr>
        <w:t xml:space="preserve">de faire valoir leurs intérêts.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Au niveau de la structure institutionnelle, le PRRF n</w:t>
      </w:r>
      <w:r>
        <w:rPr>
          <w:rFonts w:cs="Times New Roman"/>
          <w:lang w:val="fr-CA"/>
        </w:rPr>
        <w:t>’</w:t>
      </w:r>
      <w:r w:rsidRPr="00AF17C2">
        <w:rPr>
          <w:rFonts w:cs="Times New Roman"/>
          <w:lang w:val="fr-CA"/>
        </w:rPr>
        <w:t>est manifestement pas indépendant de la direction de la GRC. Au contraire, il se trouve carrément sous le contrôle de cette dernière. Le programme appartient à la structure de la GRC relative aux relations entre les employés et l</w:t>
      </w:r>
      <w:r>
        <w:rPr>
          <w:rFonts w:cs="Times New Roman"/>
          <w:lang w:val="fr-CA"/>
        </w:rPr>
        <w:t>’</w:t>
      </w:r>
      <w:r w:rsidRPr="00AF17C2">
        <w:rPr>
          <w:rFonts w:cs="Times New Roman"/>
          <w:lang w:val="fr-CA"/>
        </w:rPr>
        <w:t>employeur. En 1989, le gouvernement du Canada a officialisé le PRRF (alors appelé le PRDRF) en ajoutant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au </w:t>
      </w:r>
      <w:r w:rsidRPr="00AF17C2">
        <w:rPr>
          <w:rFonts w:cs="Times New Roman"/>
          <w:i/>
          <w:lang w:val="fr-CA"/>
        </w:rPr>
        <w:lastRenderedPageBreak/>
        <w:t xml:space="preserve">Règlement de la GRC </w:t>
      </w:r>
      <w:r w:rsidRPr="00F85EED">
        <w:rPr>
          <w:rFonts w:cs="Times New Roman"/>
          <w:lang w:val="fr-CA"/>
        </w:rPr>
        <w:t>(</w:t>
      </w:r>
      <w:r w:rsidRPr="00AF17C2">
        <w:rPr>
          <w:rFonts w:cs="Times New Roman"/>
          <w:lang w:val="fr-CA"/>
        </w:rPr>
        <w:t>DORS/89</w:t>
      </w:r>
      <w:r w:rsidR="00795B2B">
        <w:rPr>
          <w:rFonts w:cs="Times New Roman"/>
          <w:lang w:val="fr-CA"/>
        </w:rPr>
        <w:t>-</w:t>
      </w:r>
      <w:r w:rsidRPr="00AF17C2">
        <w:rPr>
          <w:rFonts w:cs="Times New Roman"/>
          <w:lang w:val="fr-CA"/>
        </w:rPr>
        <w:t>581). Le Résumé de l</w:t>
      </w:r>
      <w:r>
        <w:rPr>
          <w:rFonts w:cs="Times New Roman"/>
          <w:lang w:val="fr-CA"/>
        </w:rPr>
        <w:t>’</w:t>
      </w:r>
      <w:r w:rsidRPr="00AF17C2">
        <w:rPr>
          <w:rFonts w:cs="Times New Roman"/>
          <w:lang w:val="fr-CA"/>
        </w:rPr>
        <w:t>étude d</w:t>
      </w:r>
      <w:r>
        <w:rPr>
          <w:rFonts w:cs="Times New Roman"/>
          <w:lang w:val="fr-CA"/>
        </w:rPr>
        <w:t>’</w:t>
      </w:r>
      <w:r w:rsidRPr="00AF17C2">
        <w:rPr>
          <w:rFonts w:cs="Times New Roman"/>
          <w:lang w:val="fr-CA"/>
        </w:rPr>
        <w:t xml:space="preserve">impact de la réglementation qui accompagnait la modification apportée énonçait expressément que le PRDRF était </w:t>
      </w:r>
      <w:r w:rsidR="00795B2B">
        <w:rPr>
          <w:rFonts w:cs="Times New Roman"/>
          <w:lang w:val="fr-CA"/>
        </w:rPr>
        <w:t>« </w:t>
      </w:r>
      <w:r w:rsidRPr="00AF17C2">
        <w:rPr>
          <w:rFonts w:cs="Times New Roman"/>
          <w:lang w:val="fr-CA"/>
        </w:rPr>
        <w:t>coordonné et contrôlé à la Direction générale de la GRC</w:t>
      </w:r>
      <w:r w:rsidR="00795B2B">
        <w:rPr>
          <w:rFonts w:cs="Times New Roman"/>
          <w:lang w:val="fr-CA"/>
        </w:rPr>
        <w:t> »</w:t>
      </w:r>
      <w:r w:rsidRPr="00AF17C2">
        <w:rPr>
          <w:rFonts w:cs="Times New Roman"/>
          <w:lang w:val="fr-CA"/>
        </w:rPr>
        <w:t xml:space="preserve"> et qu</w:t>
      </w:r>
      <w:r>
        <w:rPr>
          <w:rFonts w:cs="Times New Roman"/>
          <w:lang w:val="fr-CA"/>
        </w:rPr>
        <w:t>’</w:t>
      </w:r>
      <w:r w:rsidRPr="00AF17C2">
        <w:rPr>
          <w:rFonts w:cs="Times New Roman"/>
          <w:lang w:val="fr-CA"/>
        </w:rPr>
        <w:t xml:space="preserve">il faisait </w:t>
      </w:r>
      <w:r w:rsidR="00795B2B">
        <w:rPr>
          <w:rFonts w:cs="Times New Roman"/>
          <w:lang w:val="fr-CA"/>
        </w:rPr>
        <w:t>« </w:t>
      </w:r>
      <w:r w:rsidRPr="00AF17C2">
        <w:rPr>
          <w:rFonts w:cs="Times New Roman"/>
          <w:lang w:val="fr-CA"/>
        </w:rPr>
        <w:t>également l</w:t>
      </w:r>
      <w:r>
        <w:rPr>
          <w:rFonts w:cs="Times New Roman"/>
          <w:lang w:val="fr-CA"/>
        </w:rPr>
        <w:t>’</w:t>
      </w:r>
      <w:r w:rsidRPr="00AF17C2">
        <w:rPr>
          <w:rFonts w:cs="Times New Roman"/>
          <w:lang w:val="fr-CA"/>
        </w:rPr>
        <w:t>objet de révisions semestrielles dans les divisions de la Gendarmerie et [que] des rapports [étaient] présentés au Commissaire par l</w:t>
      </w:r>
      <w:r>
        <w:rPr>
          <w:rFonts w:cs="Times New Roman"/>
          <w:lang w:val="fr-CA"/>
        </w:rPr>
        <w:t>’</w:t>
      </w:r>
      <w:r w:rsidRPr="00AF17C2">
        <w:rPr>
          <w:rFonts w:cs="Times New Roman"/>
          <w:lang w:val="fr-CA"/>
        </w:rPr>
        <w:t>agent des Communications internes</w:t>
      </w:r>
      <w:r w:rsidR="00795B2B">
        <w:rPr>
          <w:rFonts w:cs="Times New Roman"/>
          <w:lang w:val="fr-CA"/>
        </w:rPr>
        <w:t> »</w:t>
      </w:r>
      <w:r w:rsidRPr="00AF17C2">
        <w:rPr>
          <w:rFonts w:cs="Times New Roman"/>
          <w:lang w:val="fr-CA"/>
        </w:rPr>
        <w:t>. Bien qu</w:t>
      </w:r>
      <w:r>
        <w:rPr>
          <w:rFonts w:cs="Times New Roman"/>
          <w:lang w:val="fr-CA"/>
        </w:rPr>
        <w:t>’</w:t>
      </w:r>
      <w:r w:rsidRPr="00AF17C2">
        <w:rPr>
          <w:rFonts w:cs="Times New Roman"/>
          <w:lang w:val="fr-CA"/>
        </w:rPr>
        <w:t>il ne soit pas déterminant ni exhaustif quant à l</w:t>
      </w:r>
      <w:r>
        <w:rPr>
          <w:rFonts w:cs="Times New Roman"/>
          <w:lang w:val="fr-CA"/>
        </w:rPr>
        <w:t>’</w:t>
      </w:r>
      <w:r w:rsidRPr="00AF17C2">
        <w:rPr>
          <w:rFonts w:cs="Times New Roman"/>
          <w:lang w:val="fr-CA"/>
        </w:rPr>
        <w:t>objet ou à l</w:t>
      </w:r>
      <w:r>
        <w:rPr>
          <w:rFonts w:cs="Times New Roman"/>
          <w:lang w:val="fr-CA"/>
        </w:rPr>
        <w:t>’</w:t>
      </w:r>
      <w:r w:rsidRPr="00AF17C2">
        <w:rPr>
          <w:rFonts w:cs="Times New Roman"/>
          <w:lang w:val="fr-CA"/>
        </w:rPr>
        <w:t>interprétation du règlement, l</w:t>
      </w:r>
      <w:r>
        <w:rPr>
          <w:rFonts w:cs="Times New Roman"/>
          <w:lang w:val="fr-CA"/>
        </w:rPr>
        <w:t>’</w:t>
      </w:r>
      <w:r w:rsidRPr="00AF17C2">
        <w:rPr>
          <w:rFonts w:cs="Times New Roman"/>
          <w:lang w:val="fr-CA"/>
        </w:rPr>
        <w:t>analyse de l</w:t>
      </w:r>
      <w:r>
        <w:rPr>
          <w:rFonts w:cs="Times New Roman"/>
          <w:lang w:val="fr-CA"/>
        </w:rPr>
        <w:t>’</w:t>
      </w:r>
      <w:r w:rsidRPr="00AF17C2">
        <w:rPr>
          <w:rFonts w:cs="Times New Roman"/>
          <w:lang w:val="fr-CA"/>
        </w:rPr>
        <w:t>étude d</w:t>
      </w:r>
      <w:r>
        <w:rPr>
          <w:rFonts w:cs="Times New Roman"/>
          <w:lang w:val="fr-CA"/>
        </w:rPr>
        <w:t>’</w:t>
      </w:r>
      <w:r w:rsidRPr="00AF17C2">
        <w:rPr>
          <w:rFonts w:cs="Times New Roman"/>
          <w:lang w:val="fr-CA"/>
        </w:rPr>
        <w:t xml:space="preserve">impact de la réglementation représente un moyen utile pour comprendre son application (voir </w:t>
      </w:r>
      <w:r w:rsidR="008078FB">
        <w:rPr>
          <w:rFonts w:cs="Times New Roman"/>
          <w:i/>
          <w:lang w:val="fr-CA"/>
        </w:rPr>
        <w:t>Mines Alerte</w:t>
      </w:r>
      <w:r w:rsidRPr="00AF17C2">
        <w:rPr>
          <w:rFonts w:cs="Times New Roman"/>
          <w:i/>
          <w:lang w:val="fr-CA"/>
        </w:rPr>
        <w:t xml:space="preserve"> Canada c. Canada (Pêches et Océans)</w:t>
      </w:r>
      <w:r w:rsidRPr="00AF17C2">
        <w:rPr>
          <w:rFonts w:cs="Times New Roman"/>
          <w:lang w:val="fr-CA"/>
        </w:rPr>
        <w:t>, 2010 CSC 2, [2010] 1 R.C.S.</w:t>
      </w:r>
      <w:r w:rsidR="00795B2B">
        <w:rPr>
          <w:rFonts w:cs="Times New Roman"/>
          <w:lang w:val="fr-CA"/>
        </w:rPr>
        <w:t xml:space="preserve"> </w:t>
      </w:r>
      <w:r w:rsidRPr="00AF17C2">
        <w:rPr>
          <w:rFonts w:cs="Times New Roman"/>
          <w:lang w:val="fr-CA"/>
        </w:rPr>
        <w:t>6, par.</w:t>
      </w:r>
      <w:r w:rsidR="00795B2B">
        <w:rPr>
          <w:rFonts w:cs="Times New Roman"/>
          <w:lang w:val="fr-CA"/>
        </w:rPr>
        <w:t xml:space="preserve"> </w:t>
      </w:r>
      <w:r w:rsidRPr="00AF17C2">
        <w:rPr>
          <w:rFonts w:cs="Times New Roman"/>
          <w:lang w:val="fr-CA"/>
        </w:rPr>
        <w:t xml:space="preserve">33; </w:t>
      </w:r>
      <w:r w:rsidRPr="00AF17C2">
        <w:rPr>
          <w:rFonts w:cs="Times New Roman"/>
          <w:i/>
          <w:lang w:val="fr-CA"/>
        </w:rPr>
        <w:t xml:space="preserve">RJR </w:t>
      </w:r>
      <w:r>
        <w:rPr>
          <w:rFonts w:cs="Times New Roman"/>
          <w:i/>
          <w:lang w:val="fr-CA"/>
        </w:rPr>
        <w:t>—</w:t>
      </w:r>
      <w:r w:rsidRPr="00AF17C2">
        <w:rPr>
          <w:rFonts w:cs="Times New Roman"/>
          <w:i/>
          <w:lang w:val="fr-CA"/>
        </w:rPr>
        <w:t xml:space="preserve"> </w:t>
      </w:r>
      <w:proofErr w:type="spellStart"/>
      <w:r w:rsidRPr="00AF17C2">
        <w:rPr>
          <w:rFonts w:cs="Times New Roman"/>
          <w:i/>
          <w:lang w:val="fr-CA"/>
        </w:rPr>
        <w:t>MacDonald</w:t>
      </w:r>
      <w:proofErr w:type="spellEnd"/>
      <w:r w:rsidRPr="00AF17C2">
        <w:rPr>
          <w:rFonts w:cs="Times New Roman"/>
          <w:i/>
          <w:lang w:val="fr-CA"/>
        </w:rPr>
        <w:t xml:space="preserve"> Inc. c. Canada (Procureur général)</w:t>
      </w:r>
      <w:r w:rsidRPr="00AF17C2">
        <w:rPr>
          <w:rFonts w:cs="Times New Roman"/>
          <w:lang w:val="fr-CA"/>
        </w:rPr>
        <w:t>, [1994] 1 R.C.S.</w:t>
      </w:r>
      <w:r w:rsidR="00795B2B">
        <w:rPr>
          <w:rFonts w:cs="Times New Roman"/>
          <w:lang w:val="fr-CA"/>
        </w:rPr>
        <w:t xml:space="preserve"> </w:t>
      </w:r>
      <w:r w:rsidRPr="00AF17C2">
        <w:rPr>
          <w:rFonts w:cs="Times New Roman"/>
          <w:lang w:val="fr-CA"/>
        </w:rPr>
        <w:t>311, p.</w:t>
      </w:r>
      <w:r w:rsidR="00795B2B">
        <w:rPr>
          <w:rFonts w:cs="Times New Roman"/>
          <w:lang w:val="fr-CA"/>
        </w:rPr>
        <w:t xml:space="preserve"> </w:t>
      </w:r>
      <w:r w:rsidRPr="00AF17C2">
        <w:rPr>
          <w:rFonts w:cs="Times New Roman"/>
          <w:lang w:val="fr-CA"/>
        </w:rPr>
        <w:t>352-353).</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En outre, le rapport Brown de 2007, </w:t>
      </w:r>
      <w:r w:rsidRPr="00AF17C2">
        <w:rPr>
          <w:rFonts w:cs="Times New Roman"/>
          <w:i/>
          <w:lang w:val="fr-CA"/>
        </w:rPr>
        <w:t>Rétablir la confiance</w:t>
      </w:r>
      <w:r w:rsidR="00795B2B">
        <w:rPr>
          <w:rFonts w:cs="Times New Roman"/>
          <w:i/>
          <w:lang w:val="fr-CA"/>
        </w:rPr>
        <w:t> :</w:t>
      </w:r>
      <w:r w:rsidRPr="00AF17C2">
        <w:rPr>
          <w:rFonts w:cs="Times New Roman"/>
          <w:i/>
          <w:lang w:val="fr-CA"/>
        </w:rPr>
        <w:t xml:space="preserve"> Rapport du Groupe de travail sur la gouvernance et le changement culturel à la GRC </w:t>
      </w:r>
      <w:r w:rsidRPr="00AF17C2">
        <w:rPr>
          <w:rFonts w:cs="Times New Roman"/>
          <w:lang w:val="fr-CA"/>
        </w:rPr>
        <w:t>(2007), a souligné l</w:t>
      </w:r>
      <w:r>
        <w:rPr>
          <w:rFonts w:cs="Times New Roman"/>
          <w:lang w:val="fr-CA"/>
        </w:rPr>
        <w:t>’</w:t>
      </w:r>
      <w:r w:rsidRPr="00AF17C2">
        <w:rPr>
          <w:rFonts w:cs="Times New Roman"/>
          <w:lang w:val="fr-CA"/>
        </w:rPr>
        <w:t>absence d</w:t>
      </w:r>
      <w:r>
        <w:rPr>
          <w:rFonts w:cs="Times New Roman"/>
          <w:lang w:val="fr-CA"/>
        </w:rPr>
        <w:t>’</w:t>
      </w:r>
      <w:r w:rsidRPr="00AF17C2">
        <w:rPr>
          <w:rFonts w:cs="Times New Roman"/>
          <w:lang w:val="fr-CA"/>
        </w:rPr>
        <w:t>indépendance du PRRF. En juin de cette année</w:t>
      </w:r>
      <w:r w:rsidR="00795B2B">
        <w:rPr>
          <w:rFonts w:cs="Times New Roman"/>
          <w:lang w:val="fr-CA"/>
        </w:rPr>
        <w:t>-</w:t>
      </w:r>
      <w:r w:rsidRPr="00AF17C2">
        <w:rPr>
          <w:rFonts w:cs="Times New Roman"/>
          <w:lang w:val="fr-CA"/>
        </w:rPr>
        <w:t>là, un enquêteur indépendant s</w:t>
      </w:r>
      <w:r>
        <w:rPr>
          <w:rFonts w:cs="Times New Roman"/>
          <w:lang w:val="fr-CA"/>
        </w:rPr>
        <w:t>’</w:t>
      </w:r>
      <w:r w:rsidRPr="00AF17C2">
        <w:rPr>
          <w:rFonts w:cs="Times New Roman"/>
          <w:lang w:val="fr-CA"/>
        </w:rPr>
        <w:t>est interrogé sur la façon dont la GRC traitait les rapports sur la mauvaise gestion ou les irrégularités relevées dans l</w:t>
      </w:r>
      <w:r>
        <w:rPr>
          <w:rFonts w:cs="Times New Roman"/>
          <w:lang w:val="fr-CA"/>
        </w:rPr>
        <w:t>’</w:t>
      </w:r>
      <w:r w:rsidRPr="00AF17C2">
        <w:rPr>
          <w:rFonts w:cs="Times New Roman"/>
          <w:lang w:val="fr-CA"/>
        </w:rPr>
        <w:t>administration des régimes de retraite et d</w:t>
      </w:r>
      <w:r>
        <w:rPr>
          <w:rFonts w:cs="Times New Roman"/>
          <w:lang w:val="fr-CA"/>
        </w:rPr>
        <w:t>’</w:t>
      </w:r>
      <w:r w:rsidRPr="00AF17C2">
        <w:rPr>
          <w:rFonts w:cs="Times New Roman"/>
          <w:lang w:val="fr-CA"/>
        </w:rPr>
        <w:t>assurance</w:t>
      </w:r>
      <w:r w:rsidR="008701B1">
        <w:rPr>
          <w:rFonts w:cs="Times New Roman"/>
          <w:lang w:val="fr-CA"/>
        </w:rPr>
        <w:t>s</w:t>
      </w:r>
      <w:r w:rsidRPr="00AF17C2">
        <w:rPr>
          <w:rFonts w:cs="Times New Roman"/>
          <w:lang w:val="fr-CA"/>
        </w:rPr>
        <w:t xml:space="preserve"> de la GRC dans un rapport transmis au ministre de la Sécurité publique et au président du Conseil du Trésor</w:t>
      </w:r>
      <w:r w:rsidR="00795B2B">
        <w:rPr>
          <w:rFonts w:cs="Times New Roman"/>
          <w:lang w:val="fr-CA"/>
        </w:rPr>
        <w:t> :</w:t>
      </w:r>
      <w:r w:rsidRPr="00AF17C2">
        <w:rPr>
          <w:rFonts w:cs="Times New Roman"/>
          <w:lang w:val="fr-CA"/>
        </w:rPr>
        <w:t xml:space="preserve"> </w:t>
      </w:r>
      <w:r w:rsidRPr="00AF17C2">
        <w:rPr>
          <w:rFonts w:cs="Times New Roman"/>
          <w:i/>
          <w:lang w:val="fr-CA"/>
        </w:rPr>
        <w:t>Une question de confiance</w:t>
      </w:r>
      <w:r w:rsidR="00795B2B">
        <w:rPr>
          <w:rFonts w:cs="Times New Roman"/>
          <w:i/>
          <w:lang w:val="fr-CA"/>
        </w:rPr>
        <w:t> :</w:t>
      </w:r>
      <w:r w:rsidRPr="00AF17C2">
        <w:rPr>
          <w:rFonts w:cs="Times New Roman"/>
          <w:i/>
          <w:lang w:val="fr-CA"/>
        </w:rPr>
        <w:t xml:space="preserve"> Rapport de l</w:t>
      </w:r>
      <w:r>
        <w:rPr>
          <w:rFonts w:cs="Times New Roman"/>
          <w:i/>
          <w:lang w:val="fr-CA"/>
        </w:rPr>
        <w:t>’</w:t>
      </w:r>
      <w:r w:rsidRPr="00AF17C2">
        <w:rPr>
          <w:rFonts w:cs="Times New Roman"/>
          <w:i/>
          <w:lang w:val="fr-CA"/>
        </w:rPr>
        <w:t>enquêteur indépendant sur les allégations concernant les régimes de retraite et d</w:t>
      </w:r>
      <w:r>
        <w:rPr>
          <w:rFonts w:cs="Times New Roman"/>
          <w:i/>
          <w:lang w:val="fr-CA"/>
        </w:rPr>
        <w:t>’</w:t>
      </w:r>
      <w:r w:rsidRPr="00AF17C2">
        <w:rPr>
          <w:rFonts w:cs="Times New Roman"/>
          <w:i/>
          <w:lang w:val="fr-CA"/>
        </w:rPr>
        <w:t xml:space="preserve">assurances de la GRC </w:t>
      </w:r>
      <w:r w:rsidRPr="00AF17C2">
        <w:rPr>
          <w:rFonts w:cs="Times New Roman"/>
          <w:lang w:val="fr-CA"/>
        </w:rPr>
        <w:t>(2007). L</w:t>
      </w:r>
      <w:r>
        <w:rPr>
          <w:rFonts w:cs="Times New Roman"/>
          <w:lang w:val="fr-CA"/>
        </w:rPr>
        <w:t>’</w:t>
      </w:r>
      <w:r w:rsidRPr="00AF17C2">
        <w:rPr>
          <w:rFonts w:cs="Times New Roman"/>
          <w:lang w:val="fr-CA"/>
        </w:rPr>
        <w:t>enquêteur recommandait que le gouvernement du Canada constitue un groupe de travail chargé d</w:t>
      </w:r>
      <w:r>
        <w:rPr>
          <w:rFonts w:cs="Times New Roman"/>
          <w:lang w:val="fr-CA"/>
        </w:rPr>
        <w:t>’</w:t>
      </w:r>
      <w:r w:rsidRPr="00AF17C2">
        <w:rPr>
          <w:rFonts w:cs="Times New Roman"/>
          <w:lang w:val="fr-CA"/>
        </w:rPr>
        <w:t>examiner les enjeux relatifs à la gouvernance et à la culture de la GRC. Cette recommandation a mené au rapport Brown. Bien qu</w:t>
      </w:r>
      <w:r>
        <w:rPr>
          <w:rFonts w:cs="Times New Roman"/>
          <w:lang w:val="fr-CA"/>
        </w:rPr>
        <w:t>’</w:t>
      </w:r>
      <w:r w:rsidRPr="00AF17C2">
        <w:rPr>
          <w:rFonts w:cs="Times New Roman"/>
          <w:lang w:val="fr-CA"/>
        </w:rPr>
        <w:t>il ne se soit pas exclusivement intéressé aux relations de</w:t>
      </w:r>
      <w:r w:rsidR="008701B1">
        <w:rPr>
          <w:rFonts w:cs="Times New Roman"/>
          <w:lang w:val="fr-CA"/>
        </w:rPr>
        <w:t xml:space="preserve"> travail au </w:t>
      </w:r>
      <w:r w:rsidR="008701B1">
        <w:rPr>
          <w:rFonts w:cs="Times New Roman"/>
          <w:lang w:val="fr-CA"/>
        </w:rPr>
        <w:lastRenderedPageBreak/>
        <w:t>sein de la GRC, le G</w:t>
      </w:r>
      <w:r w:rsidRPr="00AF17C2">
        <w:rPr>
          <w:rFonts w:cs="Times New Roman"/>
          <w:lang w:val="fr-CA"/>
        </w:rPr>
        <w:t>roupe de travail a examiné les commentaires de membres et d</w:t>
      </w:r>
      <w:r>
        <w:rPr>
          <w:rFonts w:cs="Times New Roman"/>
          <w:lang w:val="fr-CA"/>
        </w:rPr>
        <w:t>’</w:t>
      </w:r>
      <w:r w:rsidRPr="00AF17C2">
        <w:rPr>
          <w:rFonts w:cs="Times New Roman"/>
          <w:lang w:val="fr-CA"/>
        </w:rPr>
        <w:t>employés au sujet du PRRF.</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Dans le rapport Brown, le Groupe de travail a rapporté les propos de certains officiers qui affirmaient ne pas savoir avec certitude ce qu</w:t>
      </w:r>
      <w:r>
        <w:rPr>
          <w:rFonts w:cs="Times New Roman"/>
          <w:lang w:val="fr-CA"/>
        </w:rPr>
        <w:t>’</w:t>
      </w:r>
      <w:r w:rsidRPr="00AF17C2">
        <w:rPr>
          <w:rFonts w:cs="Times New Roman"/>
          <w:lang w:val="fr-CA"/>
        </w:rPr>
        <w:t>il advenait de leurs observations après leur transmission aux RRF</w:t>
      </w:r>
      <w:r w:rsidR="00795B2B">
        <w:rPr>
          <w:rFonts w:cs="Times New Roman"/>
          <w:lang w:val="fr-CA"/>
        </w:rPr>
        <w:t> :</w:t>
      </w:r>
      <w:r w:rsidRPr="00AF17C2">
        <w:rPr>
          <w:rFonts w:cs="Times New Roman"/>
          <w:lang w:val="fr-CA"/>
        </w:rPr>
        <w:t xml:space="preserve"> </w:t>
      </w:r>
      <w:proofErr w:type="gramStart"/>
      <w:r w:rsidR="00795B2B">
        <w:rPr>
          <w:rFonts w:cs="Times New Roman"/>
          <w:lang w:val="fr-CA"/>
        </w:rPr>
        <w:t>« .</w:t>
      </w:r>
      <w:proofErr w:type="gramEnd"/>
      <w:r w:rsidR="00795B2B">
        <w:rPr>
          <w:rFonts w:cs="Times New Roman"/>
          <w:lang w:val="fr-CA"/>
        </w:rPr>
        <w:t xml:space="preserve"> . . </w:t>
      </w:r>
      <w:r w:rsidRPr="00AF17C2">
        <w:rPr>
          <w:rFonts w:cs="Times New Roman"/>
          <w:lang w:val="fr-CA"/>
        </w:rPr>
        <w:t>on ne sait pas si les RRF les transmettent à la direction ou si la direction a décidé de ne pas y donner suite</w:t>
      </w:r>
      <w:r w:rsidR="00795B2B">
        <w:rPr>
          <w:rFonts w:cs="Times New Roman"/>
          <w:lang w:val="fr-CA"/>
        </w:rPr>
        <w:t> »</w:t>
      </w:r>
      <w:r w:rsidRPr="00AF17C2">
        <w:rPr>
          <w:rFonts w:cs="Times New Roman"/>
          <w:lang w:val="fr-CA"/>
        </w:rPr>
        <w:t xml:space="preserve"> (rapport Brown, p.</w:t>
      </w:r>
      <w:r w:rsidR="00795B2B">
        <w:rPr>
          <w:rFonts w:cs="Times New Roman"/>
          <w:lang w:val="fr-CA"/>
        </w:rPr>
        <w:t xml:space="preserve"> </w:t>
      </w:r>
      <w:r w:rsidR="00A15F51">
        <w:rPr>
          <w:rFonts w:cs="Times New Roman"/>
          <w:lang w:val="fr-CA"/>
        </w:rPr>
        <w:t>34</w:t>
      </w:r>
      <w:r w:rsidRPr="00AF17C2">
        <w:rPr>
          <w:rFonts w:cs="Times New Roman"/>
          <w:lang w:val="fr-CA"/>
        </w:rPr>
        <w:t xml:space="preserve">). Le Groupe de travail a également noté que les RRF faisaient </w:t>
      </w:r>
      <w:r w:rsidR="00795B2B">
        <w:rPr>
          <w:rFonts w:cs="Times New Roman"/>
          <w:lang w:val="fr-CA"/>
        </w:rPr>
        <w:t>« </w:t>
      </w:r>
      <w:r w:rsidRPr="00AF17C2">
        <w:rPr>
          <w:rFonts w:cs="Times New Roman"/>
          <w:lang w:val="fr-CA"/>
        </w:rPr>
        <w:t>partie intégrante de la chaîne de commandement de la GRC</w:t>
      </w:r>
      <w:r w:rsidR="00795B2B">
        <w:rPr>
          <w:rFonts w:cs="Times New Roman"/>
          <w:lang w:val="fr-CA"/>
        </w:rPr>
        <w:t> »</w:t>
      </w:r>
      <w:r w:rsidRPr="00AF17C2">
        <w:rPr>
          <w:rFonts w:cs="Times New Roman"/>
          <w:lang w:val="fr-CA"/>
        </w:rPr>
        <w:t xml:space="preserve"> (</w:t>
      </w:r>
      <w:r w:rsidRPr="00AF17C2">
        <w:rPr>
          <w:rFonts w:cs="Times New Roman"/>
          <w:i/>
          <w:lang w:val="fr-CA"/>
        </w:rPr>
        <w:t>ibid.</w:t>
      </w:r>
      <w:r w:rsidRPr="00AF17C2">
        <w:rPr>
          <w:rFonts w:cs="Times New Roman"/>
          <w:lang w:val="fr-CA"/>
        </w:rPr>
        <w:t>) et plus précisément que la présence des RRF à titre d</w:t>
      </w:r>
      <w:r>
        <w:rPr>
          <w:rFonts w:cs="Times New Roman"/>
          <w:lang w:val="fr-CA"/>
        </w:rPr>
        <w:t>’</w:t>
      </w:r>
      <w:r w:rsidRPr="00AF17C2">
        <w:rPr>
          <w:rFonts w:cs="Times New Roman"/>
          <w:lang w:val="fr-CA"/>
        </w:rPr>
        <w:t>observateurs lors des réunions de l</w:t>
      </w:r>
      <w:r>
        <w:rPr>
          <w:rFonts w:cs="Times New Roman"/>
          <w:lang w:val="fr-CA"/>
        </w:rPr>
        <w:t>’</w:t>
      </w:r>
      <w:r w:rsidRPr="00AF17C2">
        <w:rPr>
          <w:rFonts w:cs="Times New Roman"/>
          <w:lang w:val="fr-CA"/>
        </w:rPr>
        <w:t>État</w:t>
      </w:r>
      <w:r w:rsidR="00795B2B">
        <w:rPr>
          <w:rFonts w:cs="Times New Roman"/>
          <w:lang w:val="fr-CA"/>
        </w:rPr>
        <w:t>-</w:t>
      </w:r>
      <w:r w:rsidRPr="00AF17C2">
        <w:rPr>
          <w:rFonts w:cs="Times New Roman"/>
          <w:lang w:val="fr-CA"/>
        </w:rPr>
        <w:t>major supérieur — composé du commissaire et des sous</w:t>
      </w:r>
      <w:r w:rsidR="00795B2B">
        <w:rPr>
          <w:rFonts w:cs="Times New Roman"/>
          <w:lang w:val="fr-CA"/>
        </w:rPr>
        <w:t>-</w:t>
      </w:r>
      <w:r w:rsidRPr="00AF17C2">
        <w:rPr>
          <w:rFonts w:cs="Times New Roman"/>
          <w:lang w:val="fr-CA"/>
        </w:rPr>
        <w:t>commissaires — donnait l</w:t>
      </w:r>
      <w:r>
        <w:rPr>
          <w:rFonts w:cs="Times New Roman"/>
          <w:lang w:val="fr-CA"/>
        </w:rPr>
        <w:t>’</w:t>
      </w:r>
      <w:r w:rsidRPr="00AF17C2">
        <w:rPr>
          <w:rFonts w:cs="Times New Roman"/>
          <w:lang w:val="fr-CA"/>
        </w:rPr>
        <w:t>impression que ceux</w:t>
      </w:r>
      <w:r w:rsidR="00795B2B">
        <w:rPr>
          <w:rFonts w:cs="Times New Roman"/>
          <w:lang w:val="fr-CA"/>
        </w:rPr>
        <w:t>-</w:t>
      </w:r>
      <w:r w:rsidRPr="00AF17C2">
        <w:rPr>
          <w:rFonts w:cs="Times New Roman"/>
          <w:lang w:val="fr-CA"/>
        </w:rPr>
        <w:t xml:space="preserve">ci souscrivaient aux décisions prises par la direction de la GRC. Selon les auteurs du rapport, </w:t>
      </w:r>
      <w:r w:rsidR="00795B2B">
        <w:rPr>
          <w:rFonts w:cs="Times New Roman"/>
          <w:lang w:val="fr-CA"/>
        </w:rPr>
        <w:t>« </w:t>
      </w:r>
      <w:r w:rsidRPr="00AF17C2">
        <w:rPr>
          <w:rFonts w:cs="Times New Roman"/>
          <w:lang w:val="fr-CA"/>
        </w:rPr>
        <w:t>il conviendrait de se distancier de la direction</w:t>
      </w:r>
      <w:r w:rsidR="00795B2B">
        <w:rPr>
          <w:rFonts w:cs="Times New Roman"/>
          <w:lang w:val="fr-CA"/>
        </w:rPr>
        <w:t> »</w:t>
      </w:r>
      <w:r w:rsidRPr="00AF17C2">
        <w:rPr>
          <w:rFonts w:cs="Times New Roman"/>
          <w:lang w:val="fr-CA"/>
        </w:rPr>
        <w:t xml:space="preserve"> (</w:t>
      </w:r>
      <w:r w:rsidRPr="00AF17C2">
        <w:rPr>
          <w:rFonts w:cs="Times New Roman"/>
          <w:i/>
          <w:lang w:val="fr-CA"/>
        </w:rPr>
        <w:t>ibid.</w:t>
      </w:r>
      <w:r w:rsidRPr="00AF17C2">
        <w:rPr>
          <w:rFonts w:cs="Times New Roman"/>
          <w:lang w:val="fr-CA"/>
        </w:rPr>
        <w:t xml:space="preserve">). Enfin, ces derniers ont recommandé que les RRF soient tenus de </w:t>
      </w:r>
      <w:r w:rsidR="00795B2B">
        <w:rPr>
          <w:rFonts w:cs="Times New Roman"/>
          <w:lang w:val="fr-CA"/>
        </w:rPr>
        <w:t>« </w:t>
      </w:r>
      <w:r w:rsidRPr="00AF17C2">
        <w:rPr>
          <w:rFonts w:cs="Times New Roman"/>
          <w:lang w:val="fr-CA"/>
        </w:rPr>
        <w:t>se concentrer entièrement sur les relations de travail et [qu</w:t>
      </w:r>
      <w:r>
        <w:rPr>
          <w:rFonts w:cs="Times New Roman"/>
          <w:lang w:val="fr-CA"/>
        </w:rPr>
        <w:t>’</w:t>
      </w:r>
      <w:r w:rsidRPr="00AF17C2">
        <w:rPr>
          <w:rFonts w:cs="Times New Roman"/>
          <w:lang w:val="fr-CA"/>
        </w:rPr>
        <w:t>ils soient] ainsi indépendants de la haute direction</w:t>
      </w:r>
      <w:r w:rsidR="00795B2B">
        <w:rPr>
          <w:rFonts w:cs="Times New Roman"/>
          <w:lang w:val="fr-CA"/>
        </w:rPr>
        <w:t> »</w:t>
      </w:r>
      <w:r w:rsidRPr="00AF17C2">
        <w:rPr>
          <w:rFonts w:cs="Times New Roman"/>
          <w:lang w:val="fr-CA"/>
        </w:rPr>
        <w:t xml:space="preserve"> (p.</w:t>
      </w:r>
      <w:r w:rsidR="00795B2B">
        <w:rPr>
          <w:rFonts w:cs="Times New Roman"/>
          <w:lang w:val="fr-CA"/>
        </w:rPr>
        <w:t xml:space="preserve"> </w:t>
      </w:r>
      <w:r w:rsidR="00A15F51">
        <w:rPr>
          <w:rFonts w:cs="Times New Roman"/>
          <w:lang w:val="fr-CA"/>
        </w:rPr>
        <w:t>35</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notons aussi d</w:t>
      </w:r>
      <w:r>
        <w:rPr>
          <w:rFonts w:cs="Times New Roman"/>
          <w:lang w:val="fr-CA"/>
        </w:rPr>
        <w:t>’</w:t>
      </w:r>
      <w:r w:rsidRPr="00AF17C2">
        <w:rPr>
          <w:rFonts w:cs="Times New Roman"/>
          <w:lang w:val="fr-CA"/>
        </w:rPr>
        <w:t>autres problèmes tout aussi préoccupants. Premièrement, conformément à l</w:t>
      </w:r>
      <w:r>
        <w:rPr>
          <w:rFonts w:cs="Times New Roman"/>
          <w:lang w:val="fr-CA"/>
        </w:rPr>
        <w:t>’</w:t>
      </w:r>
      <w:r w:rsidRPr="00AF17C2">
        <w:rPr>
          <w:rFonts w:cs="Times New Roman"/>
          <w:lang w:val="fr-CA"/>
        </w:rPr>
        <w:t>entente conclue entre le commissaire et le CEN du PRRF, certains aspects importants de la structure du programme sont déterminés par la direction de la GRC, notamment le nombre de RRF et le budget du programme. Ainsi, il est interdit aux membres du PRRF de communiquer avec quiconque à l</w:t>
      </w:r>
      <w:r>
        <w:rPr>
          <w:rFonts w:cs="Times New Roman"/>
          <w:lang w:val="fr-CA"/>
        </w:rPr>
        <w:t>’</w:t>
      </w:r>
      <w:r w:rsidRPr="00AF17C2">
        <w:rPr>
          <w:rFonts w:cs="Times New Roman"/>
          <w:lang w:val="fr-CA"/>
        </w:rPr>
        <w:t>extérieur de la GRC au sujet des programmes et des activités de la GRC sans l</w:t>
      </w:r>
      <w:r>
        <w:rPr>
          <w:rFonts w:cs="Times New Roman"/>
          <w:lang w:val="fr-CA"/>
        </w:rPr>
        <w:t>’</w:t>
      </w:r>
      <w:r w:rsidRPr="00AF17C2">
        <w:rPr>
          <w:rFonts w:cs="Times New Roman"/>
          <w:lang w:val="fr-CA"/>
        </w:rPr>
        <w:t>autorisation du commissaire. Une exception visant les conditions de travail et d</w:t>
      </w:r>
      <w:r>
        <w:rPr>
          <w:rFonts w:cs="Times New Roman"/>
          <w:lang w:val="fr-CA"/>
        </w:rPr>
        <w:t>’</w:t>
      </w:r>
      <w:r w:rsidRPr="00AF17C2">
        <w:rPr>
          <w:rFonts w:cs="Times New Roman"/>
          <w:lang w:val="fr-CA"/>
        </w:rPr>
        <w:t xml:space="preserve">emploi existe bien, mais son application est étroitement limitée et favorise de toute </w:t>
      </w:r>
      <w:r w:rsidRPr="00AF17C2">
        <w:rPr>
          <w:rFonts w:cs="Times New Roman"/>
          <w:lang w:val="fr-CA"/>
        </w:rPr>
        <w:lastRenderedPageBreak/>
        <w:t>évidence l</w:t>
      </w:r>
      <w:r>
        <w:rPr>
          <w:rFonts w:cs="Times New Roman"/>
          <w:lang w:val="fr-CA"/>
        </w:rPr>
        <w:t>’</w:t>
      </w:r>
      <w:r w:rsidRPr="00AF17C2">
        <w:rPr>
          <w:rFonts w:cs="Times New Roman"/>
          <w:lang w:val="fr-CA"/>
        </w:rPr>
        <w:t>opinion de la direction. De plus, le CEN doit présenter à la direction un rapport annuel sur ses activités, l</w:t>
      </w:r>
      <w:r>
        <w:rPr>
          <w:rFonts w:cs="Times New Roman"/>
          <w:lang w:val="fr-CA"/>
        </w:rPr>
        <w:t>’</w:t>
      </w:r>
      <w:r w:rsidRPr="00AF17C2">
        <w:rPr>
          <w:rFonts w:cs="Times New Roman"/>
          <w:lang w:val="fr-CA"/>
        </w:rPr>
        <w:t xml:space="preserve">application du PRRF doit être examinée régulièrement par le PRRF et la direction de la GRC et le consentement du PRRF et de la direction est requis pour modifier le programme.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Deuxièmement, le PRRF restreint délibérément la liberté des membres de défendre leur droit d</w:t>
      </w:r>
      <w:r>
        <w:rPr>
          <w:rFonts w:cs="Times New Roman"/>
          <w:lang w:val="fr-CA"/>
        </w:rPr>
        <w:t>’</w:t>
      </w:r>
      <w:r w:rsidRPr="00AF17C2">
        <w:rPr>
          <w:rFonts w:cs="Times New Roman"/>
          <w:lang w:val="fr-CA"/>
        </w:rPr>
        <w:t>être représentés par une association indépendante. Selon les politiques et les pratiques établies, les membres de la GRC qui font partie d</w:t>
      </w:r>
      <w:r>
        <w:rPr>
          <w:rFonts w:cs="Times New Roman"/>
          <w:lang w:val="fr-CA"/>
        </w:rPr>
        <w:t>’</w:t>
      </w:r>
      <w:r w:rsidRPr="00AF17C2">
        <w:rPr>
          <w:rFonts w:cs="Times New Roman"/>
          <w:lang w:val="fr-CA"/>
        </w:rPr>
        <w:t>une telle association sont exclus d</w:t>
      </w:r>
      <w:r>
        <w:rPr>
          <w:rFonts w:cs="Times New Roman"/>
          <w:lang w:val="fr-CA"/>
        </w:rPr>
        <w:t>’</w:t>
      </w:r>
      <w:r w:rsidRPr="00AF17C2">
        <w:rPr>
          <w:rFonts w:cs="Times New Roman"/>
          <w:lang w:val="fr-CA"/>
        </w:rPr>
        <w:t>une pleine participation au PRRF, et il est interdit aux RRF de promouvoir d</w:t>
      </w:r>
      <w:r>
        <w:rPr>
          <w:rFonts w:cs="Times New Roman"/>
          <w:lang w:val="fr-CA"/>
        </w:rPr>
        <w:t>’</w:t>
      </w:r>
      <w:r w:rsidRPr="00AF17C2">
        <w:rPr>
          <w:rFonts w:cs="Times New Roman"/>
          <w:lang w:val="fr-CA"/>
        </w:rPr>
        <w:t xml:space="preserve">autres modes de représentation des membres de la GRC. Ainsi, les membres </w:t>
      </w:r>
      <w:r>
        <w:rPr>
          <w:rFonts w:cs="Times New Roman"/>
          <w:lang w:val="fr-CA"/>
        </w:rPr>
        <w:t xml:space="preserve">n’ont aucune autre option que le </w:t>
      </w:r>
      <w:r w:rsidRPr="00AF17C2">
        <w:rPr>
          <w:rFonts w:cs="Times New Roman"/>
          <w:lang w:val="fr-CA"/>
        </w:rPr>
        <w:t>PRRF pour rencontrer la direction, afin de défendre leur droit à d</w:t>
      </w:r>
      <w:r>
        <w:rPr>
          <w:rFonts w:cs="Times New Roman"/>
          <w:lang w:val="fr-CA"/>
        </w:rPr>
        <w:t>’</w:t>
      </w:r>
      <w:r w:rsidRPr="00AF17C2">
        <w:rPr>
          <w:rFonts w:cs="Times New Roman"/>
          <w:lang w:val="fr-CA"/>
        </w:rPr>
        <w:t xml:space="preserve">autres formes de représentation.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Autrement dit, nous estimons que le PRRF ne constitue pas une association au vrai sens du terme ni un exercice du droit à la liberté d</w:t>
      </w:r>
      <w:r>
        <w:rPr>
          <w:rFonts w:cs="Times New Roman"/>
          <w:lang w:val="fr-CA"/>
        </w:rPr>
        <w:t>’</w:t>
      </w:r>
      <w:r w:rsidRPr="00AF17C2">
        <w:rPr>
          <w:rFonts w:cs="Times New Roman"/>
          <w:lang w:val="fr-CA"/>
        </w:rPr>
        <w:t>association. Il s</w:t>
      </w:r>
      <w:r>
        <w:rPr>
          <w:rFonts w:cs="Times New Roman"/>
          <w:lang w:val="fr-CA"/>
        </w:rPr>
        <w:t>’</w:t>
      </w:r>
      <w:r w:rsidRPr="00AF17C2">
        <w:rPr>
          <w:rFonts w:cs="Times New Roman"/>
          <w:lang w:val="fr-CA"/>
        </w:rPr>
        <w:t>agit simplement d</w:t>
      </w:r>
      <w:r>
        <w:rPr>
          <w:rFonts w:cs="Times New Roman"/>
          <w:lang w:val="fr-CA"/>
        </w:rPr>
        <w:t>’</w:t>
      </w:r>
      <w:r w:rsidRPr="00AF17C2">
        <w:rPr>
          <w:rFonts w:cs="Times New Roman"/>
          <w:lang w:val="fr-CA"/>
        </w:rPr>
        <w:t>un régime interne de relations humaines imposé aux membres de la GRC par la direction de celle</w:t>
      </w:r>
      <w:r w:rsidR="00795B2B">
        <w:rPr>
          <w:rFonts w:cs="Times New Roman"/>
          <w:lang w:val="fr-CA"/>
        </w:rPr>
        <w:t>-</w:t>
      </w:r>
      <w:r w:rsidRPr="00AF17C2">
        <w:rPr>
          <w:rFonts w:cs="Times New Roman"/>
          <w:lang w:val="fr-CA"/>
        </w:rPr>
        <w:t>ci. La liberté de choix de l</w:t>
      </w:r>
      <w:r>
        <w:rPr>
          <w:rFonts w:cs="Times New Roman"/>
          <w:lang w:val="fr-CA"/>
        </w:rPr>
        <w:t>’</w:t>
      </w:r>
      <w:r w:rsidRPr="00AF17C2">
        <w:rPr>
          <w:rFonts w:cs="Times New Roman"/>
          <w:lang w:val="fr-CA"/>
        </w:rPr>
        <w:t xml:space="preserve">employé devient donc pratiquement inexistante dans le cadre du présent régime.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Même si le procureur général du Canada plaide que l</w:t>
      </w:r>
      <w:r>
        <w:rPr>
          <w:rFonts w:cs="Times New Roman"/>
          <w:lang w:val="fr-CA"/>
        </w:rPr>
        <w:t>’</w:t>
      </w:r>
      <w:r w:rsidRPr="00AF17C2">
        <w:rPr>
          <w:rFonts w:cs="Times New Roman"/>
          <w:lang w:val="fr-CA"/>
        </w:rPr>
        <w:t>adoption du PRRF a été approuvée par les membres de toutes les divisions hors du Québec lors d</w:t>
      </w:r>
      <w:r>
        <w:rPr>
          <w:rFonts w:cs="Times New Roman"/>
          <w:lang w:val="fr-CA"/>
        </w:rPr>
        <w:t>’</w:t>
      </w:r>
      <w:r w:rsidRPr="00AF17C2">
        <w:rPr>
          <w:rFonts w:cs="Times New Roman"/>
          <w:lang w:val="fr-CA"/>
        </w:rPr>
        <w:t>un référendum tenu en 1974, ce fait n</w:t>
      </w:r>
      <w:r>
        <w:rPr>
          <w:rFonts w:cs="Times New Roman"/>
          <w:lang w:val="fr-CA"/>
        </w:rPr>
        <w:t>’</w:t>
      </w:r>
      <w:r w:rsidRPr="00AF17C2">
        <w:rPr>
          <w:rFonts w:cs="Times New Roman"/>
          <w:lang w:val="fr-CA"/>
        </w:rPr>
        <w:t>a pas de portée déterminante, et ce, pour deux raisons. D</w:t>
      </w:r>
      <w:r>
        <w:rPr>
          <w:rFonts w:cs="Times New Roman"/>
          <w:lang w:val="fr-CA"/>
        </w:rPr>
        <w:t>’</w:t>
      </w:r>
      <w:r w:rsidRPr="00AF17C2">
        <w:rPr>
          <w:rFonts w:cs="Times New Roman"/>
          <w:lang w:val="fr-CA"/>
        </w:rPr>
        <w:t>abord, le référendum en question ne donnait pas, de toute évidence, d</w:t>
      </w:r>
      <w:r>
        <w:rPr>
          <w:rFonts w:cs="Times New Roman"/>
          <w:lang w:val="fr-CA"/>
        </w:rPr>
        <w:t>’</w:t>
      </w:r>
      <w:r w:rsidRPr="00AF17C2">
        <w:rPr>
          <w:rFonts w:cs="Times New Roman"/>
          <w:lang w:val="fr-CA"/>
        </w:rPr>
        <w:t>autre choix que d</w:t>
      </w:r>
      <w:r>
        <w:rPr>
          <w:rFonts w:cs="Times New Roman"/>
          <w:lang w:val="fr-CA"/>
        </w:rPr>
        <w:t>’</w:t>
      </w:r>
      <w:r w:rsidRPr="00AF17C2">
        <w:rPr>
          <w:rFonts w:cs="Times New Roman"/>
          <w:lang w:val="fr-CA"/>
        </w:rPr>
        <w:t xml:space="preserve">accepter le PRRF ou de le refuser. Il ne permettait pas de déterminer si les membres auraient préféré être représentés par une association indépendante. </w:t>
      </w:r>
      <w:r w:rsidRPr="00AF17C2">
        <w:rPr>
          <w:rFonts w:cs="Times New Roman"/>
          <w:lang w:val="fr-CA"/>
        </w:rPr>
        <w:lastRenderedPageBreak/>
        <w:t>Ensuite, le référendum a été tenu il y a 40 ans. Or, aujourd</w:t>
      </w:r>
      <w:r>
        <w:rPr>
          <w:rFonts w:cs="Times New Roman"/>
          <w:lang w:val="fr-CA"/>
        </w:rPr>
        <w:t>’</w:t>
      </w:r>
      <w:r w:rsidRPr="00AF17C2">
        <w:rPr>
          <w:rFonts w:cs="Times New Roman"/>
          <w:lang w:val="fr-CA"/>
        </w:rPr>
        <w:t>hui, les membres de la GRC n</w:t>
      </w:r>
      <w:r>
        <w:rPr>
          <w:rFonts w:cs="Times New Roman"/>
          <w:lang w:val="fr-CA"/>
        </w:rPr>
        <w:t>’</w:t>
      </w:r>
      <w:r w:rsidRPr="00AF17C2">
        <w:rPr>
          <w:rFonts w:cs="Times New Roman"/>
          <w:lang w:val="fr-CA"/>
        </w:rPr>
        <w:t>ont pas la possibilité d</w:t>
      </w:r>
      <w:r>
        <w:rPr>
          <w:rFonts w:cs="Times New Roman"/>
          <w:lang w:val="fr-CA"/>
        </w:rPr>
        <w:t>’</w:t>
      </w:r>
      <w:r w:rsidRPr="00AF17C2">
        <w:rPr>
          <w:rFonts w:cs="Times New Roman"/>
          <w:lang w:val="fr-CA"/>
        </w:rPr>
        <w:t>exprimer leur appui à une autre forme d</w:t>
      </w:r>
      <w:r>
        <w:rPr>
          <w:rFonts w:cs="Times New Roman"/>
          <w:lang w:val="fr-CA"/>
        </w:rPr>
        <w:t>’</w:t>
      </w:r>
      <w:r w:rsidRPr="00AF17C2">
        <w:rPr>
          <w:rFonts w:cs="Times New Roman"/>
          <w:lang w:val="fr-CA"/>
        </w:rPr>
        <w:t>association. En outre, les membres ne peuvent pas se retirer du PRRF et ils ne disposent d</w:t>
      </w:r>
      <w:r>
        <w:rPr>
          <w:rFonts w:cs="Times New Roman"/>
          <w:lang w:val="fr-CA"/>
        </w:rPr>
        <w:t>’</w:t>
      </w:r>
      <w:r w:rsidRPr="00AF17C2">
        <w:rPr>
          <w:rFonts w:cs="Times New Roman"/>
          <w:lang w:val="fr-CA"/>
        </w:rPr>
        <w:t>aucun autre moyen de communiquer à la direction leurs préoccupations relatives au travail. Comme nous l</w:t>
      </w:r>
      <w:r>
        <w:rPr>
          <w:rFonts w:cs="Times New Roman"/>
          <w:lang w:val="fr-CA"/>
        </w:rPr>
        <w:t>’</w:t>
      </w:r>
      <w:r w:rsidRPr="00AF17C2">
        <w:rPr>
          <w:rFonts w:cs="Times New Roman"/>
          <w:lang w:val="fr-CA"/>
        </w:rPr>
        <w:t>avons constaté, la structure en question n</w:t>
      </w:r>
      <w:r>
        <w:rPr>
          <w:rFonts w:cs="Times New Roman"/>
          <w:lang w:val="fr-CA"/>
        </w:rPr>
        <w:t>’</w:t>
      </w:r>
      <w:r w:rsidRPr="00AF17C2">
        <w:rPr>
          <w:rFonts w:cs="Times New Roman"/>
          <w:lang w:val="fr-CA"/>
        </w:rPr>
        <w:t>est donc pas indépendante de la direction; elle forme plutôt une partie de cette dernière.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élection des RRF ne remédie pas aux vices constitutionnels du PRRF. Sur ce point, nous sommes d</w:t>
      </w:r>
      <w:r>
        <w:rPr>
          <w:rFonts w:cs="Times New Roman"/>
          <w:lang w:val="fr-CA"/>
        </w:rPr>
        <w:t>’</w:t>
      </w:r>
      <w:r w:rsidRPr="00AF17C2">
        <w:rPr>
          <w:rFonts w:cs="Times New Roman"/>
          <w:lang w:val="fr-CA"/>
        </w:rPr>
        <w:t xml:space="preserve">accord avec le juge saisi de la demande pour affirmer </w:t>
      </w:r>
      <w:r w:rsidR="008701B1">
        <w:rPr>
          <w:rFonts w:cs="Times New Roman"/>
          <w:lang w:val="fr-CA"/>
        </w:rPr>
        <w:t xml:space="preserve">qu’il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ne serait pas raisonnable d</w:t>
      </w:r>
      <w:r>
        <w:rPr>
          <w:rFonts w:cs="Times New Roman"/>
          <w:lang w:val="fr-CA"/>
        </w:rPr>
        <w:t>’</w:t>
      </w:r>
      <w:r w:rsidRPr="00AF17C2">
        <w:rPr>
          <w:rFonts w:cs="Times New Roman"/>
          <w:lang w:val="fr-CA"/>
        </w:rPr>
        <w:t>interpréter l</w:t>
      </w:r>
      <w:r>
        <w:rPr>
          <w:rFonts w:cs="Times New Roman"/>
          <w:lang w:val="fr-CA"/>
        </w:rPr>
        <w:t>’</w:t>
      </w:r>
      <w:r w:rsidRPr="00AF17C2">
        <w:rPr>
          <w:rFonts w:cs="Times New Roman"/>
          <w:lang w:val="fr-CA"/>
        </w:rPr>
        <w:t>acceptation d</w:t>
      </w:r>
      <w:r>
        <w:rPr>
          <w:rFonts w:cs="Times New Roman"/>
          <w:lang w:val="fr-CA"/>
        </w:rPr>
        <w:t>’</w:t>
      </w:r>
      <w:r w:rsidRPr="00AF17C2">
        <w:rPr>
          <w:rFonts w:cs="Times New Roman"/>
          <w:lang w:val="fr-CA"/>
        </w:rPr>
        <w:t>une structure créée par la direction aux fins des relations de travail comme une décision de ne pas négocier des relations de travail par l</w:t>
      </w:r>
      <w:r>
        <w:rPr>
          <w:rFonts w:cs="Times New Roman"/>
          <w:lang w:val="fr-CA"/>
        </w:rPr>
        <w:t>’</w:t>
      </w:r>
      <w:r w:rsidRPr="00AF17C2">
        <w:rPr>
          <w:rFonts w:cs="Times New Roman"/>
          <w:lang w:val="fr-CA"/>
        </w:rPr>
        <w:t>entremise d</w:t>
      </w:r>
      <w:r>
        <w:rPr>
          <w:rFonts w:cs="Times New Roman"/>
          <w:lang w:val="fr-CA"/>
        </w:rPr>
        <w:t>’</w:t>
      </w:r>
      <w:r w:rsidRPr="00AF17C2">
        <w:rPr>
          <w:rFonts w:cs="Times New Roman"/>
          <w:lang w:val="fr-CA"/>
        </w:rPr>
        <w:t>une association constituée par les membres</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63).</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En conclusion,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qui imposait le PRRF comme moyen unique de discussion entre les membres de la GRC et la haute direction, portait substantiellement atteinte à la liberté d</w:t>
      </w:r>
      <w:r>
        <w:rPr>
          <w:rFonts w:cs="Times New Roman"/>
          <w:lang w:val="fr-CA"/>
        </w:rPr>
        <w:t>’</w:t>
      </w:r>
      <w:r w:rsidRPr="00AF17C2">
        <w:rPr>
          <w:rFonts w:cs="Times New Roman"/>
          <w:lang w:val="fr-CA"/>
        </w:rPr>
        <w:t>association tant par son objet que par ses effets. Avant d</w:t>
      </w:r>
      <w:r>
        <w:rPr>
          <w:rFonts w:cs="Times New Roman"/>
          <w:lang w:val="fr-CA"/>
        </w:rPr>
        <w:t>’</w:t>
      </w:r>
      <w:r w:rsidRPr="00AF17C2">
        <w:rPr>
          <w:rFonts w:cs="Times New Roman"/>
          <w:lang w:val="fr-CA"/>
        </w:rPr>
        <w:t>examiner si cette atteinte pourrait être justifiée au regard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 nous nous pencherons sur la contestation connexe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w:t>
      </w:r>
    </w:p>
    <w:p w:rsidR="007B74A6" w:rsidRPr="00AF17C2" w:rsidRDefault="007B74A6" w:rsidP="009B1A09">
      <w:pPr>
        <w:pStyle w:val="Title2LevelTitre2Niveau"/>
        <w:jc w:val="both"/>
        <w:rPr>
          <w:rFonts w:cs="Times New Roman"/>
          <w:lang w:val="fr-CA"/>
        </w:rPr>
      </w:pPr>
      <w:r w:rsidRPr="00AF17C2">
        <w:rPr>
          <w:rFonts w:cs="Times New Roman"/>
          <w:lang w:val="fr-CA"/>
        </w:rPr>
        <w:t>L</w:t>
      </w:r>
      <w:r>
        <w:rPr>
          <w:rFonts w:cs="Times New Roman"/>
          <w:lang w:val="fr-CA"/>
        </w:rPr>
        <w:t>’</w:t>
      </w:r>
      <w:r w:rsidRPr="00AF17C2">
        <w:rPr>
          <w:rFonts w:cs="Times New Roman"/>
          <w:lang w:val="fr-CA"/>
        </w:rPr>
        <w:t>alinéa</w:t>
      </w:r>
      <w:r w:rsidR="00795B2B">
        <w:rPr>
          <w:rFonts w:cs="Times New Roman"/>
          <w:lang w:val="fr-CA"/>
        </w:rPr>
        <w:t xml:space="preserve"> </w:t>
      </w:r>
      <w:r w:rsidRPr="00AF17C2">
        <w:rPr>
          <w:rFonts w:cs="Times New Roman"/>
          <w:lang w:val="fr-CA"/>
        </w:rPr>
        <w:t xml:space="preserve">d)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 2(1) de la LRTFP actuelle viole</w:t>
      </w:r>
      <w:r w:rsidR="00795B2B">
        <w:rPr>
          <w:rFonts w:cs="Times New Roman"/>
          <w:lang w:val="fr-CA"/>
        </w:rPr>
        <w:t>-</w:t>
      </w:r>
      <w:r w:rsidRPr="00AF17C2">
        <w:rPr>
          <w:rFonts w:cs="Times New Roman"/>
          <w:lang w:val="fr-CA"/>
        </w:rPr>
        <w:t>t</w:t>
      </w:r>
      <w:r w:rsidR="00795B2B">
        <w:rPr>
          <w:rFonts w:cs="Times New Roman"/>
          <w:lang w:val="fr-CA"/>
        </w:rPr>
        <w:t>-</w:t>
      </w:r>
      <w:r w:rsidRPr="00AF17C2">
        <w:rPr>
          <w:rFonts w:cs="Times New Roman"/>
          <w:lang w:val="fr-CA"/>
        </w:rPr>
        <w:t>il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 de la Charte?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Les appelantes contestent l</w:t>
      </w:r>
      <w:r>
        <w:rPr>
          <w:rFonts w:cs="Times New Roman"/>
          <w:lang w:val="fr-CA"/>
        </w:rPr>
        <w:t>’</w:t>
      </w:r>
      <w:r w:rsidRPr="00AF17C2">
        <w:rPr>
          <w:rFonts w:cs="Times New Roman"/>
          <w:lang w:val="fr-CA"/>
        </w:rPr>
        <w:t xml:space="preserve">exclusion des membres de la GRC du régime de la </w:t>
      </w:r>
      <w:r w:rsidRPr="00AF17C2">
        <w:rPr>
          <w:rFonts w:cs="Times New Roman"/>
          <w:i/>
          <w:lang w:val="fr-CA"/>
        </w:rPr>
        <w:t xml:space="preserve">LRTFP </w:t>
      </w:r>
      <w:r w:rsidRPr="00AF17C2">
        <w:rPr>
          <w:rFonts w:cs="Times New Roman"/>
          <w:lang w:val="fr-CA"/>
        </w:rPr>
        <w:t>actuelle et demandent l</w:t>
      </w:r>
      <w:r>
        <w:rPr>
          <w:rFonts w:cs="Times New Roman"/>
          <w:lang w:val="fr-CA"/>
        </w:rPr>
        <w:t>’</w:t>
      </w:r>
      <w:r w:rsidRPr="00AF17C2">
        <w:rPr>
          <w:rFonts w:cs="Times New Roman"/>
          <w:lang w:val="fr-CA"/>
        </w:rPr>
        <w:t>invalidation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cette loi. La plupart des employés assujettis à la législation fédérale sont régis par le </w:t>
      </w:r>
      <w:r w:rsidRPr="00AF17C2">
        <w:rPr>
          <w:rFonts w:cs="Times New Roman"/>
          <w:i/>
          <w:lang w:val="fr-CA"/>
        </w:rPr>
        <w:t>Code canadien du travail</w:t>
      </w:r>
      <w:r w:rsidRPr="00AF17C2">
        <w:rPr>
          <w:rFonts w:cs="Times New Roman"/>
          <w:lang w:val="fr-CA"/>
        </w:rPr>
        <w:t>, L.R.C.</w:t>
      </w:r>
      <w:r w:rsidR="00795B2B">
        <w:rPr>
          <w:rFonts w:cs="Times New Roman"/>
          <w:lang w:val="fr-CA"/>
        </w:rPr>
        <w:t xml:space="preserve"> </w:t>
      </w:r>
      <w:r w:rsidRPr="00AF17C2">
        <w:rPr>
          <w:rFonts w:cs="Times New Roman"/>
          <w:lang w:val="fr-CA"/>
        </w:rPr>
        <w:t>1985, c.</w:t>
      </w:r>
      <w:r w:rsidR="00795B2B">
        <w:rPr>
          <w:rFonts w:cs="Times New Roman"/>
          <w:lang w:val="fr-CA"/>
        </w:rPr>
        <w:t xml:space="preserve"> </w:t>
      </w:r>
      <w:r w:rsidRPr="00AF17C2">
        <w:rPr>
          <w:rFonts w:cs="Times New Roman"/>
          <w:lang w:val="fr-CA"/>
        </w:rPr>
        <w:t>L</w:t>
      </w:r>
      <w:r w:rsidR="00795B2B">
        <w:rPr>
          <w:rFonts w:cs="Times New Roman"/>
          <w:lang w:val="fr-CA"/>
        </w:rPr>
        <w:t>-</w:t>
      </w:r>
      <w:r w:rsidRPr="00AF17C2">
        <w:rPr>
          <w:rFonts w:cs="Times New Roman"/>
          <w:lang w:val="fr-CA"/>
        </w:rPr>
        <w:t>2 (</w:t>
      </w:r>
      <w:r w:rsidR="00795B2B">
        <w:rPr>
          <w:rFonts w:cs="Times New Roman"/>
          <w:lang w:val="fr-CA"/>
        </w:rPr>
        <w:t>« </w:t>
      </w:r>
      <w:r w:rsidRPr="00AF17C2">
        <w:rPr>
          <w:rFonts w:cs="Times New Roman"/>
          <w:lang w:val="fr-CA"/>
        </w:rPr>
        <w:t>Code</w:t>
      </w:r>
      <w:r w:rsidR="00795B2B">
        <w:rPr>
          <w:rFonts w:cs="Times New Roman"/>
          <w:lang w:val="fr-CA"/>
        </w:rPr>
        <w:t> »</w:t>
      </w:r>
      <w:r w:rsidRPr="00AF17C2">
        <w:rPr>
          <w:rFonts w:cs="Times New Roman"/>
          <w:lang w:val="fr-CA"/>
        </w:rPr>
        <w:t>), mais le régime de négociation collective établi à la partie</w:t>
      </w:r>
      <w:r w:rsidR="00795B2B">
        <w:rPr>
          <w:rFonts w:cs="Times New Roman"/>
          <w:lang w:val="fr-CA"/>
        </w:rPr>
        <w:t xml:space="preserve"> </w:t>
      </w:r>
      <w:r w:rsidRPr="00AF17C2">
        <w:rPr>
          <w:rFonts w:cs="Times New Roman"/>
          <w:lang w:val="fr-CA"/>
        </w:rPr>
        <w:t>I du Code ne s</w:t>
      </w:r>
      <w:r>
        <w:rPr>
          <w:rFonts w:cs="Times New Roman"/>
          <w:lang w:val="fr-CA"/>
        </w:rPr>
        <w:t>’</w:t>
      </w:r>
      <w:r w:rsidRPr="00AF17C2">
        <w:rPr>
          <w:rFonts w:cs="Times New Roman"/>
          <w:lang w:val="fr-CA"/>
        </w:rPr>
        <w:t>applique pas aux employés de la Couronne, à quelques exceptions près (art.</w:t>
      </w:r>
      <w:r w:rsidR="00795B2B">
        <w:rPr>
          <w:rFonts w:cs="Times New Roman"/>
          <w:lang w:val="fr-CA"/>
        </w:rPr>
        <w:t xml:space="preserve"> </w:t>
      </w:r>
      <w:r w:rsidRPr="00AF17C2">
        <w:rPr>
          <w:rFonts w:cs="Times New Roman"/>
          <w:lang w:val="fr-CA"/>
        </w:rPr>
        <w:t>6).</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La </w:t>
      </w:r>
      <w:r w:rsidRPr="00AF17C2">
        <w:rPr>
          <w:rFonts w:cs="Times New Roman"/>
          <w:i/>
          <w:lang w:val="fr-CA"/>
        </w:rPr>
        <w:t>LRTFP</w:t>
      </w:r>
      <w:r w:rsidRPr="00AF17C2">
        <w:rPr>
          <w:rFonts w:cs="Times New Roman"/>
          <w:lang w:val="fr-CA"/>
        </w:rPr>
        <w:t xml:space="preserve"> actuelle établit, à l</w:t>
      </w:r>
      <w:r>
        <w:rPr>
          <w:rFonts w:cs="Times New Roman"/>
          <w:lang w:val="fr-CA"/>
        </w:rPr>
        <w:t>’</w:t>
      </w:r>
      <w:r w:rsidRPr="00AF17C2">
        <w:rPr>
          <w:rFonts w:cs="Times New Roman"/>
          <w:lang w:val="fr-CA"/>
        </w:rPr>
        <w:t xml:space="preserve">intention des employés </w:t>
      </w:r>
      <w:r>
        <w:rPr>
          <w:rFonts w:cs="Times New Roman"/>
          <w:lang w:val="fr-CA"/>
        </w:rPr>
        <w:t xml:space="preserve">de la fonction publique </w:t>
      </w:r>
      <w:r w:rsidRPr="00AF17C2">
        <w:rPr>
          <w:rFonts w:cs="Times New Roman"/>
          <w:lang w:val="fr-CA"/>
        </w:rPr>
        <w:t>fédéral</w:t>
      </w:r>
      <w:r>
        <w:rPr>
          <w:rFonts w:cs="Times New Roman"/>
          <w:lang w:val="fr-CA"/>
        </w:rPr>
        <w:t>e</w:t>
      </w:r>
      <w:r w:rsidRPr="00AF17C2">
        <w:rPr>
          <w:rFonts w:cs="Times New Roman"/>
          <w:lang w:val="fr-CA"/>
        </w:rPr>
        <w:t>, un cadre général à l</w:t>
      </w:r>
      <w:r>
        <w:rPr>
          <w:rFonts w:cs="Times New Roman"/>
          <w:lang w:val="fr-CA"/>
        </w:rPr>
        <w:t>’</w:t>
      </w:r>
      <w:r w:rsidRPr="00AF17C2">
        <w:rPr>
          <w:rFonts w:cs="Times New Roman"/>
          <w:lang w:val="fr-CA"/>
        </w:rPr>
        <w:t>intérieur duquel ces derniers peuvent adhérer à des organisations syndicales et participer à leurs activités</w:t>
      </w:r>
      <w:r>
        <w:rPr>
          <w:rFonts w:cs="Times New Roman"/>
          <w:lang w:val="fr-CA"/>
        </w:rPr>
        <w:t>.</w:t>
      </w:r>
      <w:r w:rsidRPr="00AF17C2">
        <w:rPr>
          <w:rFonts w:cs="Times New Roman"/>
          <w:lang w:val="fr-CA"/>
        </w:rPr>
        <w:t xml:space="preserve"> </w:t>
      </w:r>
      <w:r>
        <w:rPr>
          <w:rFonts w:cs="Times New Roman"/>
          <w:lang w:val="fr-CA"/>
        </w:rPr>
        <w:t xml:space="preserve">Ces organisations </w:t>
      </w:r>
      <w:r w:rsidRPr="00AF17C2">
        <w:rPr>
          <w:rFonts w:cs="Times New Roman"/>
          <w:lang w:val="fr-CA"/>
        </w:rPr>
        <w:t>peuvent être accréditées comme agents négociateurs et mener des négociations collectives de bonne foi. Cette loi prévoit de plus la possibilité de recourir à la médiation, à la conciliation et à l</w:t>
      </w:r>
      <w:r>
        <w:rPr>
          <w:rFonts w:cs="Times New Roman"/>
          <w:lang w:val="fr-CA"/>
        </w:rPr>
        <w:t>’</w:t>
      </w:r>
      <w:r w:rsidRPr="00AF17C2">
        <w:rPr>
          <w:rFonts w:cs="Times New Roman"/>
          <w:lang w:val="fr-CA"/>
        </w:rPr>
        <w:t>arbitrage si des problèmes surviennent au cours des négociations collectives, de même que des recours en cas de pratiques déloyales. Bien qu</w:t>
      </w:r>
      <w:r>
        <w:rPr>
          <w:rFonts w:cs="Times New Roman"/>
          <w:lang w:val="fr-CA"/>
        </w:rPr>
        <w:t>’</w:t>
      </w:r>
      <w:r w:rsidRPr="00AF17C2">
        <w:rPr>
          <w:rFonts w:cs="Times New Roman"/>
          <w:lang w:val="fr-CA"/>
        </w:rPr>
        <w:t>elle</w:t>
      </w:r>
      <w:r w:rsidR="008701B1">
        <w:rPr>
          <w:rFonts w:cs="Times New Roman"/>
          <w:lang w:val="fr-CA"/>
        </w:rPr>
        <w:t>s</w:t>
      </w:r>
      <w:r w:rsidRPr="00AF17C2">
        <w:rPr>
          <w:rFonts w:cs="Times New Roman"/>
          <w:lang w:val="fr-CA"/>
        </w:rPr>
        <w:t xml:space="preserve"> établisse</w:t>
      </w:r>
      <w:r w:rsidR="008701B1">
        <w:rPr>
          <w:rFonts w:cs="Times New Roman"/>
          <w:lang w:val="fr-CA"/>
        </w:rPr>
        <w:t>nt des</w:t>
      </w:r>
      <w:r w:rsidRPr="00AF17C2">
        <w:rPr>
          <w:rFonts w:cs="Times New Roman"/>
          <w:lang w:val="fr-CA"/>
        </w:rPr>
        <w:t xml:space="preserve"> régime</w:t>
      </w:r>
      <w:r w:rsidR="008701B1">
        <w:rPr>
          <w:rFonts w:cs="Times New Roman"/>
          <w:lang w:val="fr-CA"/>
        </w:rPr>
        <w:t>s</w:t>
      </w:r>
      <w:r w:rsidRPr="00AF17C2">
        <w:rPr>
          <w:rFonts w:cs="Times New Roman"/>
          <w:lang w:val="fr-CA"/>
        </w:rPr>
        <w:t xml:space="preserve"> très différent</w:t>
      </w:r>
      <w:r w:rsidR="008701B1">
        <w:rPr>
          <w:rFonts w:cs="Times New Roman"/>
          <w:lang w:val="fr-CA"/>
        </w:rPr>
        <w:t>s</w:t>
      </w:r>
      <w:r w:rsidRPr="00AF17C2">
        <w:rPr>
          <w:rFonts w:cs="Times New Roman"/>
          <w:lang w:val="fr-CA"/>
        </w:rPr>
        <w:t xml:space="preserve"> à bien des égards des modèles de relations du travail du secteur privé, les deux versions successives de la </w:t>
      </w:r>
      <w:r w:rsidRPr="00AF17C2">
        <w:rPr>
          <w:rFonts w:cs="Times New Roman"/>
          <w:i/>
          <w:lang w:val="fr-CA"/>
        </w:rPr>
        <w:t>LRTFP</w:t>
      </w:r>
      <w:r w:rsidRPr="00AF17C2">
        <w:rPr>
          <w:rFonts w:cs="Times New Roman"/>
          <w:lang w:val="fr-CA"/>
        </w:rPr>
        <w:t xml:space="preserve"> ont mis en œuvre des régimes généralement reconnus comme des modèles de relations de travail fondés sur la loi Wagner (C.</w:t>
      </w:r>
      <w:r w:rsidR="00795B2B">
        <w:rPr>
          <w:rFonts w:cs="Times New Roman"/>
          <w:lang w:val="fr-CA"/>
        </w:rPr>
        <w:t xml:space="preserve"> </w:t>
      </w:r>
      <w:proofErr w:type="spellStart"/>
      <w:r w:rsidRPr="00AF17C2">
        <w:rPr>
          <w:rFonts w:cs="Times New Roman"/>
          <w:lang w:val="fr-CA"/>
        </w:rPr>
        <w:t>Rootham</w:t>
      </w:r>
      <w:proofErr w:type="spellEnd"/>
      <w:r w:rsidRPr="00AF17C2">
        <w:rPr>
          <w:rFonts w:cs="Times New Roman"/>
          <w:lang w:val="fr-CA"/>
        </w:rPr>
        <w:t xml:space="preserve">, </w:t>
      </w:r>
      <w:r w:rsidRPr="00AF17C2">
        <w:rPr>
          <w:rFonts w:cs="Times New Roman"/>
          <w:i/>
          <w:lang w:val="fr-CA"/>
        </w:rPr>
        <w:t xml:space="preserve">Labour and </w:t>
      </w:r>
      <w:proofErr w:type="spellStart"/>
      <w:r w:rsidRPr="00AF17C2">
        <w:rPr>
          <w:rFonts w:cs="Times New Roman"/>
          <w:i/>
          <w:lang w:val="fr-CA"/>
        </w:rPr>
        <w:t>Employment</w:t>
      </w:r>
      <w:proofErr w:type="spellEnd"/>
      <w:r w:rsidRPr="00AF17C2">
        <w:rPr>
          <w:rFonts w:cs="Times New Roman"/>
          <w:i/>
          <w:lang w:val="fr-CA"/>
        </w:rPr>
        <w:t xml:space="preserve"> Law in the </w:t>
      </w:r>
      <w:proofErr w:type="spellStart"/>
      <w:r w:rsidRPr="00AF17C2">
        <w:rPr>
          <w:rFonts w:cs="Times New Roman"/>
          <w:i/>
          <w:lang w:val="fr-CA"/>
        </w:rPr>
        <w:t>Federal</w:t>
      </w:r>
      <w:proofErr w:type="spellEnd"/>
      <w:r w:rsidRPr="00AF17C2">
        <w:rPr>
          <w:rFonts w:cs="Times New Roman"/>
          <w:i/>
          <w:lang w:val="fr-CA"/>
        </w:rPr>
        <w:t xml:space="preserve"> Public Service</w:t>
      </w:r>
      <w:r w:rsidRPr="00AF17C2">
        <w:rPr>
          <w:rFonts w:cs="Times New Roman"/>
          <w:lang w:val="fr-CA"/>
        </w:rPr>
        <w:t xml:space="preserve"> (2007), p.</w:t>
      </w:r>
      <w:r w:rsidR="00795B2B">
        <w:rPr>
          <w:rFonts w:cs="Times New Roman"/>
          <w:lang w:val="fr-CA"/>
        </w:rPr>
        <w:t xml:space="preserve"> </w:t>
      </w:r>
      <w:r w:rsidRPr="00AF17C2">
        <w:rPr>
          <w:rFonts w:cs="Times New Roman"/>
          <w:lang w:val="fr-CA"/>
        </w:rPr>
        <w:t>19</w:t>
      </w:r>
      <w:r w:rsidR="00795B2B">
        <w:rPr>
          <w:rFonts w:cs="Times New Roman"/>
          <w:lang w:val="fr-CA"/>
        </w:rPr>
        <w:t>-</w:t>
      </w:r>
      <w:r w:rsidRPr="00AF17C2">
        <w:rPr>
          <w:rFonts w:cs="Times New Roman"/>
          <w:lang w:val="fr-CA"/>
        </w:rPr>
        <w:t xml:space="preserve">20).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alinéa</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exclut les membres de la GRC du régime établi par cette loi. Dans l</w:t>
      </w:r>
      <w:r>
        <w:rPr>
          <w:rFonts w:cs="Times New Roman"/>
          <w:lang w:val="fr-CA"/>
        </w:rPr>
        <w:t>’</w:t>
      </w:r>
      <w:r w:rsidRPr="00AF17C2">
        <w:rPr>
          <w:rFonts w:cs="Times New Roman"/>
          <w:lang w:val="fr-CA"/>
        </w:rPr>
        <w:t xml:space="preserve">arrêt </w:t>
      </w:r>
      <w:r w:rsidRPr="00AF17C2">
        <w:rPr>
          <w:rFonts w:cs="Times New Roman"/>
          <w:i/>
          <w:lang w:val="fr-CA"/>
        </w:rPr>
        <w:t>Delisle</w:t>
      </w:r>
      <w:r w:rsidRPr="00AF17C2">
        <w:rPr>
          <w:rFonts w:cs="Times New Roman"/>
          <w:lang w:val="fr-CA"/>
        </w:rPr>
        <w:t>, la Cour a jugé que l</w:t>
      </w:r>
      <w:r>
        <w:rPr>
          <w:rFonts w:cs="Times New Roman"/>
          <w:lang w:val="fr-CA"/>
        </w:rPr>
        <w:t>’</w:t>
      </w:r>
      <w:r w:rsidRPr="00AF17C2">
        <w:rPr>
          <w:rFonts w:cs="Times New Roman"/>
          <w:lang w:val="fr-CA"/>
        </w:rPr>
        <w:t xml:space="preserve">exclusion de cet organisme du régime de la première </w:t>
      </w:r>
      <w:r w:rsidRPr="00AF17C2">
        <w:rPr>
          <w:rFonts w:cs="Times New Roman"/>
          <w:i/>
          <w:lang w:val="fr-CA"/>
        </w:rPr>
        <w:t>LRTFP</w:t>
      </w:r>
      <w:r w:rsidRPr="00AF17C2">
        <w:rPr>
          <w:rFonts w:cs="Times New Roman"/>
          <w:lang w:val="fr-CA"/>
        </w:rPr>
        <w:t xml:space="preserve"> ne violait pas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Une question préliminaire se </w:t>
      </w:r>
      <w:r w:rsidRPr="00AF17C2">
        <w:rPr>
          <w:rFonts w:cs="Times New Roman"/>
          <w:lang w:val="fr-CA"/>
        </w:rPr>
        <w:lastRenderedPageBreak/>
        <w:t>pose donc</w:t>
      </w:r>
      <w:r w:rsidR="00795B2B">
        <w:rPr>
          <w:rFonts w:cs="Times New Roman"/>
          <w:lang w:val="fr-CA"/>
        </w:rPr>
        <w:t> :</w:t>
      </w:r>
      <w:r w:rsidRPr="00AF17C2">
        <w:rPr>
          <w:rFonts w:cs="Times New Roman"/>
          <w:lang w:val="fr-CA"/>
        </w:rPr>
        <w:t xml:space="preserve"> la Cour devrait</w:t>
      </w:r>
      <w:r w:rsidR="00795B2B">
        <w:rPr>
          <w:rFonts w:cs="Times New Roman"/>
          <w:lang w:val="fr-CA"/>
        </w:rPr>
        <w:t>-</w:t>
      </w:r>
      <w:r w:rsidRPr="00AF17C2">
        <w:rPr>
          <w:rFonts w:cs="Times New Roman"/>
          <w:lang w:val="fr-CA"/>
        </w:rPr>
        <w:t xml:space="preserve">elle réexaminer la décision rendue dans </w:t>
      </w:r>
      <w:r w:rsidRPr="00AF17C2">
        <w:rPr>
          <w:rFonts w:cs="Times New Roman"/>
          <w:i/>
          <w:lang w:val="fr-CA"/>
        </w:rPr>
        <w:t>Delisl</w:t>
      </w:r>
      <w:r w:rsidRPr="00270F70">
        <w:rPr>
          <w:rFonts w:cs="Times New Roman"/>
          <w:i/>
          <w:lang w:val="fr-CA"/>
        </w:rPr>
        <w:t>e</w:t>
      </w:r>
      <w:r w:rsidRPr="00AF17C2">
        <w:rPr>
          <w:rFonts w:cs="Times New Roman"/>
          <w:lang w:val="fr-CA"/>
        </w:rPr>
        <w:t>? À notre avis, elle le devrait, et ce, pour deux raisons.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Premièrement, l</w:t>
      </w:r>
      <w:r>
        <w:rPr>
          <w:rFonts w:cs="Times New Roman"/>
          <w:lang w:val="fr-CA"/>
        </w:rPr>
        <w:t>’</w:t>
      </w:r>
      <w:r w:rsidRPr="00AF17C2">
        <w:rPr>
          <w:rFonts w:cs="Times New Roman"/>
          <w:lang w:val="fr-CA"/>
        </w:rPr>
        <w:t xml:space="preserve">arrêt </w:t>
      </w:r>
      <w:r w:rsidRPr="00AF17C2">
        <w:rPr>
          <w:rFonts w:cs="Times New Roman"/>
          <w:i/>
          <w:lang w:val="fr-CA"/>
        </w:rPr>
        <w:t>Delisle</w:t>
      </w:r>
      <w:r w:rsidRPr="00AF17C2">
        <w:rPr>
          <w:rFonts w:cs="Times New Roman"/>
          <w:lang w:val="fr-CA"/>
        </w:rPr>
        <w:t xml:space="preserve"> a été rendu avant les arrêts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xml:space="preserve"> et </w:t>
      </w:r>
      <w:r w:rsidRPr="00AF17C2">
        <w:rPr>
          <w:rFonts w:cs="Times New Roman"/>
          <w:i/>
          <w:lang w:val="fr-CA"/>
        </w:rPr>
        <w:t>Fraser</w:t>
      </w:r>
      <w:r w:rsidRPr="00AF17C2">
        <w:rPr>
          <w:rFonts w:cs="Times New Roman"/>
          <w:lang w:val="fr-CA"/>
        </w:rPr>
        <w:t>, qui ont marqué un changement d</w:t>
      </w:r>
      <w:r>
        <w:rPr>
          <w:rFonts w:cs="Times New Roman"/>
          <w:lang w:val="fr-CA"/>
        </w:rPr>
        <w:t>’</w:t>
      </w:r>
      <w:r w:rsidRPr="00AF17C2">
        <w:rPr>
          <w:rFonts w:cs="Times New Roman"/>
          <w:lang w:val="fr-CA"/>
        </w:rPr>
        <w:t>orientation vers des interprétations téléologiques et généreuses dans le contexte des relations de travail. À ce moment</w:t>
      </w:r>
      <w:r w:rsidR="00795B2B">
        <w:rPr>
          <w:rFonts w:cs="Times New Roman"/>
          <w:lang w:val="fr-CA"/>
        </w:rPr>
        <w:t>-</w:t>
      </w:r>
      <w:r w:rsidRPr="00AF17C2">
        <w:rPr>
          <w:rFonts w:cs="Times New Roman"/>
          <w:lang w:val="fr-CA"/>
        </w:rPr>
        <w:t>là, il n</w:t>
      </w:r>
      <w:r>
        <w:rPr>
          <w:rFonts w:cs="Times New Roman"/>
          <w:lang w:val="fr-CA"/>
        </w:rPr>
        <w:t>’</w:t>
      </w:r>
      <w:r w:rsidRPr="00AF17C2">
        <w:rPr>
          <w:rFonts w:cs="Times New Roman"/>
          <w:lang w:val="fr-CA"/>
        </w:rPr>
        <w:t>avait pas été reconnu que le droit à un processus véritable de négociation collective était visé par la garantie prévue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Les trois séries de motifs dans </w:t>
      </w:r>
      <w:r w:rsidRPr="00AF17C2">
        <w:rPr>
          <w:rFonts w:cs="Times New Roman"/>
          <w:i/>
          <w:lang w:val="fr-CA"/>
        </w:rPr>
        <w:t>Delisle</w:t>
      </w:r>
      <w:r w:rsidRPr="00AF17C2">
        <w:rPr>
          <w:rFonts w:cs="Times New Roman"/>
          <w:lang w:val="fr-CA"/>
        </w:rPr>
        <w:t xml:space="preserve"> énoncent par ailleurs clairement que, dans cette affaire, la Cour </w:t>
      </w:r>
      <w:r w:rsidRPr="00AF17C2">
        <w:rPr>
          <w:rFonts w:cs="Times New Roman"/>
          <w:i/>
          <w:lang w:val="fr-CA"/>
        </w:rPr>
        <w:t>n</w:t>
      </w:r>
      <w:r>
        <w:rPr>
          <w:rFonts w:cs="Times New Roman"/>
          <w:lang w:val="fr-CA"/>
        </w:rPr>
        <w:t>’</w:t>
      </w:r>
      <w:r w:rsidRPr="00AF17C2">
        <w:rPr>
          <w:rFonts w:cs="Times New Roman"/>
          <w:lang w:val="fr-CA"/>
        </w:rPr>
        <w:t xml:space="preserve">était </w:t>
      </w:r>
      <w:r w:rsidRPr="00AF17C2">
        <w:rPr>
          <w:rFonts w:cs="Times New Roman"/>
          <w:i/>
          <w:lang w:val="fr-CA"/>
        </w:rPr>
        <w:t>pas</w:t>
      </w:r>
      <w:r w:rsidRPr="00AF17C2">
        <w:rPr>
          <w:rFonts w:cs="Times New Roman"/>
          <w:lang w:val="fr-CA"/>
        </w:rPr>
        <w:t xml:space="preserve"> appelée à décider si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 xml:space="preserve">exclusion prévue par la première </w:t>
      </w:r>
      <w:r w:rsidRPr="00AF17C2">
        <w:rPr>
          <w:rFonts w:cs="Times New Roman"/>
          <w:i/>
          <w:lang w:val="fr-CA"/>
        </w:rPr>
        <w:t>LRTFP</w:t>
      </w:r>
      <w:r w:rsidRPr="00AF17C2">
        <w:rPr>
          <w:rFonts w:cs="Times New Roman"/>
          <w:lang w:val="fr-CA"/>
        </w:rPr>
        <w:t xml:space="preserve"> consistait à empêcher les membres de la GRC de négocier collectivement (par.</w:t>
      </w:r>
      <w:r w:rsidR="00795B2B">
        <w:rPr>
          <w:rFonts w:cs="Times New Roman"/>
          <w:lang w:val="fr-CA"/>
        </w:rPr>
        <w:t xml:space="preserve"> </w:t>
      </w:r>
      <w:r w:rsidRPr="00AF17C2">
        <w:rPr>
          <w:rFonts w:cs="Times New Roman"/>
          <w:lang w:val="fr-CA"/>
        </w:rPr>
        <w:t>5, la juge L</w:t>
      </w:r>
      <w:r>
        <w:rPr>
          <w:rFonts w:cs="Times New Roman"/>
          <w:lang w:val="fr-CA"/>
        </w:rPr>
        <w:t>’</w:t>
      </w:r>
      <w:r w:rsidRPr="00AF17C2">
        <w:rPr>
          <w:rFonts w:cs="Times New Roman"/>
          <w:lang w:val="fr-CA"/>
        </w:rPr>
        <w:t>Heureux</w:t>
      </w:r>
      <w:r w:rsidR="00795B2B">
        <w:rPr>
          <w:rFonts w:cs="Times New Roman"/>
          <w:lang w:val="fr-CA"/>
        </w:rPr>
        <w:t>-</w:t>
      </w:r>
      <w:proofErr w:type="spellStart"/>
      <w:r w:rsidRPr="00AF17C2">
        <w:rPr>
          <w:rFonts w:cs="Times New Roman"/>
          <w:lang w:val="fr-CA"/>
        </w:rPr>
        <w:t>Dubé</w:t>
      </w:r>
      <w:proofErr w:type="spellEnd"/>
      <w:r w:rsidRPr="00AF17C2">
        <w:rPr>
          <w:rFonts w:cs="Times New Roman"/>
          <w:lang w:val="fr-CA"/>
        </w:rPr>
        <w:t>; par.</w:t>
      </w:r>
      <w:r w:rsidR="00795B2B">
        <w:rPr>
          <w:rFonts w:cs="Times New Roman"/>
          <w:lang w:val="fr-CA"/>
        </w:rPr>
        <w:t xml:space="preserve"> </w:t>
      </w:r>
      <w:r w:rsidRPr="00AF17C2">
        <w:rPr>
          <w:rFonts w:cs="Times New Roman"/>
          <w:lang w:val="fr-CA"/>
        </w:rPr>
        <w:t xml:space="preserve">20, le juge </w:t>
      </w:r>
      <w:proofErr w:type="spellStart"/>
      <w:r w:rsidRPr="00AF17C2">
        <w:rPr>
          <w:rFonts w:cs="Times New Roman"/>
          <w:lang w:val="fr-CA"/>
        </w:rPr>
        <w:t>Bastarache</w:t>
      </w:r>
      <w:proofErr w:type="spellEnd"/>
      <w:r w:rsidRPr="00AF17C2">
        <w:rPr>
          <w:rFonts w:cs="Times New Roman"/>
          <w:lang w:val="fr-CA"/>
        </w:rPr>
        <w:t>; par.</w:t>
      </w:r>
      <w:r w:rsidR="00795B2B">
        <w:rPr>
          <w:rFonts w:cs="Times New Roman"/>
          <w:lang w:val="fr-CA"/>
        </w:rPr>
        <w:t xml:space="preserve"> </w:t>
      </w:r>
      <w:r w:rsidRPr="00AF17C2">
        <w:rPr>
          <w:rFonts w:cs="Times New Roman"/>
          <w:lang w:val="fr-CA"/>
        </w:rPr>
        <w:t xml:space="preserve">51, 88 et 107, les juges Cory et </w:t>
      </w:r>
      <w:proofErr w:type="spellStart"/>
      <w:r w:rsidRPr="00AF17C2">
        <w:rPr>
          <w:rFonts w:cs="Times New Roman"/>
          <w:lang w:val="fr-CA"/>
        </w:rPr>
        <w:t>Iacobucci</w:t>
      </w:r>
      <w:proofErr w:type="spellEnd"/>
      <w:r w:rsidRPr="00AF17C2">
        <w:rPr>
          <w:rFonts w:cs="Times New Roman"/>
          <w:lang w:val="fr-CA"/>
        </w:rPr>
        <w:t>). Comme l</w:t>
      </w:r>
      <w:r>
        <w:rPr>
          <w:rFonts w:cs="Times New Roman"/>
          <w:lang w:val="fr-CA"/>
        </w:rPr>
        <w:t>’</w:t>
      </w:r>
      <w:r w:rsidRPr="00AF17C2">
        <w:rPr>
          <w:rFonts w:cs="Times New Roman"/>
          <w:lang w:val="fr-CA"/>
        </w:rPr>
        <w:t xml:space="preserve">a exposé le juge </w:t>
      </w:r>
      <w:proofErr w:type="spellStart"/>
      <w:r w:rsidRPr="00AF17C2">
        <w:rPr>
          <w:rFonts w:cs="Times New Roman"/>
          <w:lang w:val="fr-CA"/>
        </w:rPr>
        <w:t>Bastarache</w:t>
      </w:r>
      <w:proofErr w:type="spellEnd"/>
      <w:r w:rsidRPr="00AF17C2">
        <w:rPr>
          <w:rFonts w:cs="Times New Roman"/>
          <w:lang w:val="fr-CA"/>
        </w:rPr>
        <w:t xml:space="preserve">, qui écrivait pour la majorité, la question en jeu dans </w:t>
      </w:r>
      <w:r w:rsidRPr="00AF17C2">
        <w:rPr>
          <w:rFonts w:cs="Times New Roman"/>
          <w:i/>
          <w:lang w:val="fr-CA"/>
        </w:rPr>
        <w:t>Delisle</w:t>
      </w:r>
      <w:r w:rsidRPr="00AF17C2">
        <w:rPr>
          <w:rFonts w:cs="Times New Roman"/>
          <w:lang w:val="fr-CA"/>
        </w:rPr>
        <w:t xml:space="preserve"> consistait à déterminer si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 xml:space="preserve">exclusion était </w:t>
      </w:r>
      <w:r w:rsidR="00795B2B">
        <w:rPr>
          <w:rFonts w:cs="Times New Roman"/>
          <w:lang w:val="fr-CA"/>
        </w:rPr>
        <w:t>« </w:t>
      </w:r>
      <w:r w:rsidRPr="00AF17C2">
        <w:rPr>
          <w:rFonts w:cs="Times New Roman"/>
          <w:lang w:val="fr-CA"/>
        </w:rPr>
        <w:t>d</w:t>
      </w:r>
      <w:r>
        <w:rPr>
          <w:rFonts w:cs="Times New Roman"/>
          <w:lang w:val="fr-CA"/>
        </w:rPr>
        <w:t>’</w:t>
      </w:r>
      <w:r w:rsidRPr="00AF17C2">
        <w:rPr>
          <w:rFonts w:cs="Times New Roman"/>
          <w:lang w:val="fr-CA"/>
        </w:rPr>
        <w:t>empêcher les membres de la GRC de former n</w:t>
      </w:r>
      <w:r>
        <w:rPr>
          <w:rFonts w:cs="Times New Roman"/>
          <w:lang w:val="fr-CA"/>
        </w:rPr>
        <w:t>’</w:t>
      </w:r>
      <w:r w:rsidRPr="00AF17C2">
        <w:rPr>
          <w:rFonts w:cs="Times New Roman"/>
          <w:lang w:val="fr-CA"/>
        </w:rPr>
        <w:t>importe quel type d</w:t>
      </w:r>
      <w:r>
        <w:rPr>
          <w:rFonts w:cs="Times New Roman"/>
          <w:lang w:val="fr-CA"/>
        </w:rPr>
        <w:t>’</w:t>
      </w:r>
      <w:r w:rsidRPr="00AF17C2">
        <w:rPr>
          <w:rFonts w:cs="Times New Roman"/>
          <w:lang w:val="fr-CA"/>
        </w:rPr>
        <w:t>association indépendante</w:t>
      </w:r>
      <w:r w:rsidR="00795B2B">
        <w:rPr>
          <w:rFonts w:cs="Times New Roman"/>
          <w:lang w:val="fr-CA"/>
        </w:rPr>
        <w:t> »</w:t>
      </w:r>
      <w:r w:rsidRPr="00AF17C2">
        <w:rPr>
          <w:rFonts w:cs="Times New Roman"/>
          <w:lang w:val="fr-CA"/>
        </w:rPr>
        <w:t xml:space="preserve"> (par.</w:t>
      </w:r>
      <w:r w:rsidR="00795B2B">
        <w:rPr>
          <w:rFonts w:cs="Times New Roman"/>
          <w:lang w:val="fr-CA"/>
        </w:rPr>
        <w:t xml:space="preserve"> </w:t>
      </w:r>
      <w:r w:rsidRPr="00AF17C2">
        <w:rPr>
          <w:rFonts w:cs="Times New Roman"/>
          <w:lang w:val="fr-CA"/>
        </w:rPr>
        <w:t>20). La question d</w:t>
      </w:r>
      <w:r>
        <w:rPr>
          <w:rFonts w:cs="Times New Roman"/>
          <w:lang w:val="fr-CA"/>
        </w:rPr>
        <w:t>’</w:t>
      </w:r>
      <w:r w:rsidRPr="00AF17C2">
        <w:rPr>
          <w:rFonts w:cs="Times New Roman"/>
          <w:lang w:val="fr-CA"/>
        </w:rPr>
        <w:t>une entrave au droit à un processus véritable de négociation collective n</w:t>
      </w:r>
      <w:r>
        <w:rPr>
          <w:rFonts w:cs="Times New Roman"/>
          <w:lang w:val="fr-CA"/>
        </w:rPr>
        <w:t>’</w:t>
      </w:r>
      <w:r w:rsidRPr="00AF17C2">
        <w:rPr>
          <w:rFonts w:cs="Times New Roman"/>
          <w:lang w:val="fr-CA"/>
        </w:rPr>
        <w:t xml:space="preserve">a pas été posée dans </w:t>
      </w:r>
      <w:r w:rsidRPr="00AF17C2">
        <w:rPr>
          <w:rFonts w:cs="Times New Roman"/>
          <w:i/>
          <w:lang w:val="fr-CA"/>
        </w:rPr>
        <w:t>Delisle</w:t>
      </w:r>
      <w:r w:rsidRPr="00AF17C2">
        <w:rPr>
          <w:rFonts w:cs="Times New Roman"/>
          <w:lang w:val="fr-CA"/>
        </w:rPr>
        <w:t>; et on n</w:t>
      </w:r>
      <w:r>
        <w:rPr>
          <w:rFonts w:cs="Times New Roman"/>
          <w:lang w:val="fr-CA"/>
        </w:rPr>
        <w:t>’</w:t>
      </w:r>
      <w:r w:rsidRPr="00AF17C2">
        <w:rPr>
          <w:rFonts w:cs="Times New Roman"/>
          <w:lang w:val="fr-CA"/>
        </w:rPr>
        <w:t xml:space="preserve">y a donc pas répondu.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Deuxièmement, dans </w:t>
      </w:r>
      <w:r w:rsidRPr="00AF17C2">
        <w:rPr>
          <w:rFonts w:cs="Times New Roman"/>
          <w:i/>
          <w:lang w:val="fr-CA"/>
        </w:rPr>
        <w:t>Delisle</w:t>
      </w:r>
      <w:r w:rsidRPr="00AF17C2">
        <w:rPr>
          <w:rFonts w:cs="Times New Roman"/>
          <w:lang w:val="fr-CA"/>
        </w:rPr>
        <w:t>, la Cour n</w:t>
      </w:r>
      <w:r>
        <w:rPr>
          <w:rFonts w:cs="Times New Roman"/>
          <w:lang w:val="fr-CA"/>
        </w:rPr>
        <w:t>’</w:t>
      </w:r>
      <w:r w:rsidRPr="00AF17C2">
        <w:rPr>
          <w:rFonts w:cs="Times New Roman"/>
          <w:lang w:val="fr-CA"/>
        </w:rPr>
        <w:t xml:space="preserve">avait été appelée à statuer que sur un élément du régime de relations de travail des membres de la GRC — soit leur exclusion de la première </w:t>
      </w:r>
      <w:r w:rsidRPr="00AF17C2">
        <w:rPr>
          <w:rFonts w:cs="Times New Roman"/>
          <w:i/>
          <w:lang w:val="fr-CA"/>
        </w:rPr>
        <w:t>LRTFP.</w:t>
      </w:r>
      <w:r w:rsidR="00795B2B">
        <w:rPr>
          <w:rFonts w:cs="Times New Roman"/>
          <w:i/>
          <w:lang w:val="fr-CA"/>
        </w:rPr>
        <w:t xml:space="preserve"> </w:t>
      </w:r>
      <w:r w:rsidRPr="00AF17C2">
        <w:rPr>
          <w:rFonts w:cs="Times New Roman"/>
          <w:lang w:val="fr-CA"/>
        </w:rPr>
        <w:t>En l</w:t>
      </w:r>
      <w:r>
        <w:rPr>
          <w:rFonts w:cs="Times New Roman"/>
          <w:lang w:val="fr-CA"/>
        </w:rPr>
        <w:t>’</w:t>
      </w:r>
      <w:r w:rsidRPr="00AF17C2">
        <w:rPr>
          <w:rFonts w:cs="Times New Roman"/>
          <w:lang w:val="fr-CA"/>
        </w:rPr>
        <w:t>espèce, la contestation vise l</w:t>
      </w:r>
      <w:r>
        <w:rPr>
          <w:rFonts w:cs="Times New Roman"/>
          <w:lang w:val="fr-CA"/>
        </w:rPr>
        <w:t>’</w:t>
      </w:r>
      <w:r w:rsidRPr="00AF17C2">
        <w:rPr>
          <w:rFonts w:cs="Times New Roman"/>
          <w:lang w:val="fr-CA"/>
        </w:rPr>
        <w:t>ensemble du régime de relations de travail, soit l</w:t>
      </w:r>
      <w:r>
        <w:rPr>
          <w:rFonts w:cs="Times New Roman"/>
          <w:lang w:val="fr-CA"/>
        </w:rPr>
        <w:t>’</w:t>
      </w:r>
      <w:r w:rsidRPr="00AF17C2">
        <w:rPr>
          <w:rFonts w:cs="Times New Roman"/>
          <w:lang w:val="fr-CA"/>
        </w:rPr>
        <w:t xml:space="preserve">exclusion du régime de la </w:t>
      </w:r>
      <w:r w:rsidRPr="00AF17C2">
        <w:rPr>
          <w:rFonts w:cs="Times New Roman"/>
          <w:i/>
          <w:lang w:val="fr-CA"/>
        </w:rPr>
        <w:t>LRTFP</w:t>
      </w:r>
      <w:r w:rsidRPr="00AF17C2">
        <w:rPr>
          <w:rFonts w:cs="Times New Roman"/>
          <w:lang w:val="fr-CA"/>
        </w:rPr>
        <w:t xml:space="preserve"> actuelle ainsi que l</w:t>
      </w:r>
      <w:r>
        <w:rPr>
          <w:rFonts w:cs="Times New Roman"/>
          <w:lang w:val="fr-CA"/>
        </w:rPr>
        <w:t>’</w:t>
      </w:r>
      <w:r w:rsidRPr="00AF17C2">
        <w:rPr>
          <w:rFonts w:cs="Times New Roman"/>
          <w:lang w:val="fr-CA"/>
        </w:rPr>
        <w:t>imposition du régime dont nous avons conclu qu</w:t>
      </w:r>
      <w:r>
        <w:rPr>
          <w:rFonts w:cs="Times New Roman"/>
          <w:lang w:val="fr-CA"/>
        </w:rPr>
        <w:t>’</w:t>
      </w:r>
      <w:r w:rsidRPr="00AF17C2">
        <w:rPr>
          <w:rFonts w:cs="Times New Roman"/>
          <w:lang w:val="fr-CA"/>
        </w:rPr>
        <w:t xml:space="preserve">il vise à priver les membres de la GRC du droit de constituer une association indépendante capable de participer à un </w:t>
      </w:r>
      <w:r w:rsidRPr="00AF17C2">
        <w:rPr>
          <w:rFonts w:cs="Times New Roman"/>
          <w:lang w:val="fr-CA"/>
        </w:rPr>
        <w:lastRenderedPageBreak/>
        <w:t xml:space="preserve">processus véritable de négociation collective. Autrement dit, les juges majoritaires dans </w:t>
      </w:r>
      <w:r w:rsidRPr="00AF17C2">
        <w:rPr>
          <w:rFonts w:cs="Times New Roman"/>
          <w:i/>
          <w:lang w:val="fr-CA"/>
        </w:rPr>
        <w:t>Delisle</w:t>
      </w:r>
      <w:r w:rsidRPr="00AF17C2">
        <w:rPr>
          <w:rFonts w:cs="Times New Roman"/>
          <w:lang w:val="fr-CA"/>
        </w:rPr>
        <w:t xml:space="preserve"> ont conclu que l</w:t>
      </w:r>
      <w:r>
        <w:rPr>
          <w:rFonts w:cs="Times New Roman"/>
          <w:lang w:val="fr-CA"/>
        </w:rPr>
        <w:t>’</w:t>
      </w:r>
      <w:r w:rsidRPr="00AF17C2">
        <w:rPr>
          <w:rFonts w:cs="Times New Roman"/>
          <w:lang w:val="fr-CA"/>
        </w:rPr>
        <w:t>exclusion législative, prise isolément, n</w:t>
      </w:r>
      <w:r>
        <w:rPr>
          <w:rFonts w:cs="Times New Roman"/>
          <w:lang w:val="fr-CA"/>
        </w:rPr>
        <w:t>’</w:t>
      </w:r>
      <w:r w:rsidRPr="00AF17C2">
        <w:rPr>
          <w:rFonts w:cs="Times New Roman"/>
          <w:lang w:val="fr-CA"/>
        </w:rPr>
        <w:t>empêchait pas la création d</w:t>
      </w:r>
      <w:r>
        <w:rPr>
          <w:rFonts w:cs="Times New Roman"/>
          <w:lang w:val="fr-CA"/>
        </w:rPr>
        <w:t>’</w:t>
      </w:r>
      <w:r w:rsidRPr="00AF17C2">
        <w:rPr>
          <w:rFonts w:cs="Times New Roman"/>
          <w:lang w:val="fr-CA"/>
        </w:rPr>
        <w:t>une association indépendante, mais la Cour examine maintenant la totalité d</w:t>
      </w:r>
      <w:r>
        <w:rPr>
          <w:rFonts w:cs="Times New Roman"/>
          <w:lang w:val="fr-CA"/>
        </w:rPr>
        <w:t>’</w:t>
      </w:r>
      <w:r w:rsidRPr="00AF17C2">
        <w:rPr>
          <w:rFonts w:cs="Times New Roman"/>
          <w:lang w:val="fr-CA"/>
        </w:rPr>
        <w:t>un régime qui vise manifestement à empêcher des activités syndicales protégées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Il faut se garder d</w:t>
      </w:r>
      <w:r>
        <w:rPr>
          <w:rFonts w:cs="Times New Roman"/>
          <w:lang w:val="fr-CA"/>
        </w:rPr>
        <w:t>’</w:t>
      </w:r>
      <w:r w:rsidRPr="00AF17C2">
        <w:rPr>
          <w:rFonts w:cs="Times New Roman"/>
          <w:lang w:val="fr-CA"/>
        </w:rPr>
        <w:t>écarter un précédent de la Cour à la légère (</w:t>
      </w:r>
      <w:r w:rsidRPr="00AF17C2">
        <w:rPr>
          <w:rFonts w:cs="Times New Roman"/>
          <w:i/>
          <w:lang w:val="fr-CA"/>
        </w:rPr>
        <w:t>Canada c. Craig</w:t>
      </w:r>
      <w:r w:rsidRPr="00AF17C2">
        <w:rPr>
          <w:rFonts w:cs="Times New Roman"/>
          <w:lang w:val="fr-CA"/>
        </w:rPr>
        <w:t>, 2012 CSC 43, [2012] 2 R.C.S.</w:t>
      </w:r>
      <w:r w:rsidR="00795B2B">
        <w:rPr>
          <w:rFonts w:cs="Times New Roman"/>
          <w:lang w:val="fr-CA"/>
        </w:rPr>
        <w:t xml:space="preserve"> </w:t>
      </w:r>
      <w:r w:rsidRPr="00AF17C2">
        <w:rPr>
          <w:rFonts w:cs="Times New Roman"/>
          <w:lang w:val="fr-CA"/>
        </w:rPr>
        <w:t>489, par.</w:t>
      </w:r>
      <w:r w:rsidR="00795B2B">
        <w:rPr>
          <w:rFonts w:cs="Times New Roman"/>
          <w:lang w:val="fr-CA"/>
        </w:rPr>
        <w:t xml:space="preserve"> </w:t>
      </w:r>
      <w:r w:rsidRPr="00AF17C2">
        <w:rPr>
          <w:rFonts w:cs="Times New Roman"/>
          <w:lang w:val="fr-CA"/>
        </w:rPr>
        <w:t xml:space="preserve">24; </w:t>
      </w:r>
      <w:r w:rsidRPr="00AF17C2">
        <w:rPr>
          <w:rFonts w:cs="Times New Roman"/>
          <w:i/>
          <w:lang w:val="fr-CA"/>
        </w:rPr>
        <w:t>Fraser</w:t>
      </w:r>
      <w:r w:rsidRPr="00AF17C2">
        <w:rPr>
          <w:rFonts w:cs="Times New Roman"/>
          <w:lang w:val="fr-CA"/>
        </w:rPr>
        <w:t>, par.</w:t>
      </w:r>
      <w:r w:rsidR="00795B2B">
        <w:rPr>
          <w:rFonts w:cs="Times New Roman"/>
          <w:lang w:val="fr-CA"/>
        </w:rPr>
        <w:t xml:space="preserve"> </w:t>
      </w:r>
      <w:r w:rsidRPr="00AF17C2">
        <w:rPr>
          <w:rFonts w:cs="Times New Roman"/>
          <w:lang w:val="fr-CA"/>
        </w:rPr>
        <w:t xml:space="preserve">56; </w:t>
      </w:r>
      <w:r w:rsidRPr="00AF17C2">
        <w:rPr>
          <w:rFonts w:cs="Times New Roman"/>
          <w:i/>
          <w:lang w:val="fr-CA"/>
        </w:rPr>
        <w:t>Canada (Procureur général) c. Bedford</w:t>
      </w:r>
      <w:r w:rsidRPr="00AF17C2">
        <w:rPr>
          <w:rFonts w:cs="Times New Roman"/>
          <w:lang w:val="fr-CA"/>
        </w:rPr>
        <w:t>, 2013 CSC 72, [2013] 3 R.C.S.</w:t>
      </w:r>
      <w:r w:rsidR="00795B2B">
        <w:rPr>
          <w:rFonts w:cs="Times New Roman"/>
          <w:lang w:val="fr-CA"/>
        </w:rPr>
        <w:t xml:space="preserve"> </w:t>
      </w:r>
      <w:r w:rsidRPr="00AF17C2">
        <w:rPr>
          <w:rFonts w:cs="Times New Roman"/>
          <w:lang w:val="fr-CA"/>
        </w:rPr>
        <w:t>1101, par.</w:t>
      </w:r>
      <w:r w:rsidR="00795B2B">
        <w:rPr>
          <w:rFonts w:cs="Times New Roman"/>
          <w:lang w:val="fr-CA"/>
        </w:rPr>
        <w:t xml:space="preserve"> </w:t>
      </w:r>
      <w:r w:rsidRPr="00AF17C2">
        <w:rPr>
          <w:rFonts w:cs="Times New Roman"/>
          <w:lang w:val="fr-CA"/>
        </w:rPr>
        <w:t>47). Cependant, comme nous l</w:t>
      </w:r>
      <w:r>
        <w:rPr>
          <w:rFonts w:cs="Times New Roman"/>
          <w:lang w:val="fr-CA"/>
        </w:rPr>
        <w:t>’</w:t>
      </w:r>
      <w:r w:rsidRPr="00AF17C2">
        <w:rPr>
          <w:rFonts w:cs="Times New Roman"/>
          <w:lang w:val="fr-CA"/>
        </w:rPr>
        <w:t xml:space="preserve">avons expliqué, la décision rendue dans </w:t>
      </w:r>
      <w:r w:rsidRPr="00AF17C2">
        <w:rPr>
          <w:rFonts w:cs="Times New Roman"/>
          <w:i/>
          <w:lang w:val="fr-CA"/>
        </w:rPr>
        <w:t>Delisle</w:t>
      </w:r>
      <w:r w:rsidRPr="00AF17C2">
        <w:rPr>
          <w:rFonts w:cs="Times New Roman"/>
          <w:lang w:val="fr-CA"/>
        </w:rPr>
        <w:t xml:space="preserve"> a précédé le changement d</w:t>
      </w:r>
      <w:r>
        <w:rPr>
          <w:rFonts w:cs="Times New Roman"/>
          <w:lang w:val="fr-CA"/>
        </w:rPr>
        <w:t>’</w:t>
      </w:r>
      <w:r w:rsidRPr="00AF17C2">
        <w:rPr>
          <w:rFonts w:cs="Times New Roman"/>
          <w:lang w:val="fr-CA"/>
        </w:rPr>
        <w:t>orientation effectué par la Cour vers une interprétation généreuse et téléologique de l</w:t>
      </w:r>
      <w:r>
        <w:rPr>
          <w:rFonts w:cs="Times New Roman"/>
          <w:lang w:val="fr-CA"/>
        </w:rPr>
        <w:t>’</w:t>
      </w:r>
      <w:r w:rsidRPr="00AF17C2">
        <w:rPr>
          <w:rFonts w:cs="Times New Roman"/>
          <w:lang w:val="fr-CA"/>
        </w:rPr>
        <w:t>exercice du droit d</w:t>
      </w:r>
      <w:r>
        <w:rPr>
          <w:rFonts w:cs="Times New Roman"/>
          <w:lang w:val="fr-CA"/>
        </w:rPr>
        <w:t>’</w:t>
      </w:r>
      <w:r w:rsidRPr="00AF17C2">
        <w:rPr>
          <w:rFonts w:cs="Times New Roman"/>
          <w:lang w:val="fr-CA"/>
        </w:rPr>
        <w:t xml:space="preserve">association et elle portait sur une question différente de celle dont </w:t>
      </w:r>
      <w:r w:rsidR="00E94091">
        <w:rPr>
          <w:rFonts w:cs="Times New Roman"/>
          <w:lang w:val="fr-CA"/>
        </w:rPr>
        <w:t>nous sommes saisi</w:t>
      </w:r>
      <w:r w:rsidRPr="00AF17C2">
        <w:rPr>
          <w:rFonts w:cs="Times New Roman"/>
          <w:lang w:val="fr-CA"/>
        </w:rPr>
        <w:t>s en l</w:t>
      </w:r>
      <w:r>
        <w:rPr>
          <w:rFonts w:cs="Times New Roman"/>
          <w:lang w:val="fr-CA"/>
        </w:rPr>
        <w:t>’</w:t>
      </w:r>
      <w:r w:rsidRPr="00AF17C2">
        <w:rPr>
          <w:rFonts w:cs="Times New Roman"/>
          <w:lang w:val="fr-CA"/>
        </w:rPr>
        <w:t>espèce et sur des aspects plus restreints du régime de relations de travail que ceux en cause en l</w:t>
      </w:r>
      <w:r>
        <w:rPr>
          <w:rFonts w:cs="Times New Roman"/>
          <w:lang w:val="fr-CA"/>
        </w:rPr>
        <w:t>’</w:t>
      </w:r>
      <w:r w:rsidRPr="00AF17C2">
        <w:rPr>
          <w:rFonts w:cs="Times New Roman"/>
          <w:lang w:val="fr-CA"/>
        </w:rPr>
        <w:t xml:space="preserve">espèce. En conséquence, il y a lieu de revoir la décision rendue dans </w:t>
      </w:r>
      <w:r w:rsidRPr="00AF17C2">
        <w:rPr>
          <w:rFonts w:cs="Times New Roman"/>
          <w:i/>
          <w:lang w:val="fr-CA"/>
        </w:rPr>
        <w:t>Delisle</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nous proposons donc d</w:t>
      </w:r>
      <w:r>
        <w:rPr>
          <w:rFonts w:cs="Times New Roman"/>
          <w:lang w:val="fr-CA"/>
        </w:rPr>
        <w:t>’</w:t>
      </w:r>
      <w:r w:rsidRPr="00AF17C2">
        <w:rPr>
          <w:rFonts w:cs="Times New Roman"/>
          <w:lang w:val="fr-CA"/>
        </w:rPr>
        <w:t>examiner si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w:t>
      </w:r>
    </w:p>
    <w:p w:rsidR="007B74A6" w:rsidRPr="00AF17C2" w:rsidRDefault="007B74A6" w:rsidP="00795B2B">
      <w:pPr>
        <w:pStyle w:val="Title3LevelTitre3Niveau"/>
        <w:ind w:left="1077"/>
        <w:rPr>
          <w:rFonts w:cs="Times New Roman"/>
          <w:lang w:val="fr-CA"/>
        </w:rPr>
      </w:pPr>
      <w:r w:rsidRPr="00AF17C2">
        <w:rPr>
          <w:rFonts w:cs="Times New Roman"/>
          <w:lang w:val="fr-CA"/>
        </w:rPr>
        <w:t>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 xml:space="preserve">exclusion de la </w:t>
      </w:r>
      <w:r w:rsidRPr="00AF17C2">
        <w:rPr>
          <w:rFonts w:cs="Times New Roman"/>
          <w:i/>
          <w:lang w:val="fr-CA"/>
        </w:rPr>
        <w:t>LRTFP</w:t>
      </w:r>
      <w:r w:rsidRPr="00AF17C2">
        <w:rPr>
          <w:rFonts w:cs="Times New Roman"/>
          <w:lang w:val="fr-CA"/>
        </w:rPr>
        <w:t xml:space="preserve"> actuelle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exclusion légale des membres de la GRC doit être interprétée et sa constitutionnalité examinée au regard du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qui constituait le régime de relations de travail applicable aux membres de la GRC au moment de l</w:t>
      </w:r>
      <w:r>
        <w:rPr>
          <w:rFonts w:cs="Times New Roman"/>
          <w:lang w:val="fr-CA"/>
        </w:rPr>
        <w:t>’</w:t>
      </w:r>
      <w:r w:rsidRPr="00AF17C2">
        <w:rPr>
          <w:rFonts w:cs="Times New Roman"/>
          <w:lang w:val="fr-CA"/>
        </w:rPr>
        <w:t xml:space="preserve">adoption de la première </w:t>
      </w:r>
      <w:r w:rsidRPr="00AF17C2">
        <w:rPr>
          <w:rFonts w:cs="Times New Roman"/>
          <w:i/>
          <w:lang w:val="fr-CA"/>
        </w:rPr>
        <w:t>LRTFP</w:t>
      </w:r>
      <w:r w:rsidRPr="008078FB">
        <w:rPr>
          <w:rFonts w:cs="Times New Roman"/>
          <w:lang w:val="fr-CA"/>
        </w:rPr>
        <w:t>.</w:t>
      </w:r>
      <w:r w:rsidRPr="00AF17C2">
        <w:rPr>
          <w:rFonts w:cs="Times New Roman"/>
          <w:lang w:val="fr-CA"/>
        </w:rPr>
        <w:t xml:space="preserve"> L</w:t>
      </w:r>
      <w:r>
        <w:rPr>
          <w:rFonts w:cs="Times New Roman"/>
          <w:lang w:val="fr-CA"/>
        </w:rPr>
        <w:t>’</w:t>
      </w:r>
      <w:r w:rsidRPr="00AF17C2">
        <w:rPr>
          <w:rFonts w:cs="Times New Roman"/>
          <w:lang w:val="fr-CA"/>
        </w:rPr>
        <w:t xml:space="preserve">interdiction complète de mener des activités </w:t>
      </w:r>
      <w:r w:rsidRPr="00AF17C2">
        <w:rPr>
          <w:rFonts w:cs="Times New Roman"/>
          <w:lang w:val="fr-CA"/>
        </w:rPr>
        <w:lastRenderedPageBreak/>
        <w:t xml:space="preserve">associatives afin de poursuivre des objectifs relatifs </w:t>
      </w:r>
      <w:r>
        <w:rPr>
          <w:rFonts w:cs="Times New Roman"/>
          <w:lang w:val="fr-CA"/>
        </w:rPr>
        <w:t xml:space="preserve">aux </w:t>
      </w:r>
      <w:r w:rsidRPr="00AF17C2">
        <w:rPr>
          <w:rFonts w:cs="Times New Roman"/>
          <w:lang w:val="fr-CA"/>
        </w:rPr>
        <w:t>conditions de travail créée par le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viole sans l</w:t>
      </w:r>
      <w:r>
        <w:rPr>
          <w:rFonts w:cs="Times New Roman"/>
          <w:lang w:val="fr-CA"/>
        </w:rPr>
        <w:t>’</w:t>
      </w:r>
      <w:r w:rsidRPr="00AF17C2">
        <w:rPr>
          <w:rFonts w:cs="Times New Roman"/>
          <w:lang w:val="fr-CA"/>
        </w:rPr>
        <w:t>ombre d</w:t>
      </w:r>
      <w:r>
        <w:rPr>
          <w:rFonts w:cs="Times New Roman"/>
          <w:lang w:val="fr-CA"/>
        </w:rPr>
        <w:t>’</w:t>
      </w:r>
      <w:r w:rsidRPr="00AF17C2">
        <w:rPr>
          <w:rFonts w:cs="Times New Roman"/>
          <w:lang w:val="fr-CA"/>
        </w:rPr>
        <w:t>un doute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La mise en œuvre de ce régime de relations de travail a été rendue possible par l</w:t>
      </w:r>
      <w:r>
        <w:rPr>
          <w:rFonts w:cs="Times New Roman"/>
          <w:lang w:val="fr-CA"/>
        </w:rPr>
        <w:t>’</w:t>
      </w:r>
      <w:r w:rsidRPr="00AF17C2">
        <w:rPr>
          <w:rFonts w:cs="Times New Roman"/>
          <w:lang w:val="fr-CA"/>
        </w:rPr>
        <w:t>exclusion des membres de la GRC du régime de relations de travail qui s</w:t>
      </w:r>
      <w:r>
        <w:rPr>
          <w:rFonts w:cs="Times New Roman"/>
          <w:lang w:val="fr-CA"/>
        </w:rPr>
        <w:t>’</w:t>
      </w:r>
      <w:r w:rsidRPr="00AF17C2">
        <w:rPr>
          <w:rFonts w:cs="Times New Roman"/>
          <w:lang w:val="fr-CA"/>
        </w:rPr>
        <w:t>appliqu</w:t>
      </w:r>
      <w:r>
        <w:rPr>
          <w:rFonts w:cs="Times New Roman"/>
          <w:lang w:val="fr-CA"/>
        </w:rPr>
        <w:t>ait</w:t>
      </w:r>
      <w:r w:rsidRPr="00AF17C2">
        <w:rPr>
          <w:rFonts w:cs="Times New Roman"/>
          <w:lang w:val="fr-CA"/>
        </w:rPr>
        <w:t xml:space="preserve"> à la fonction publique fédérale en application de la première </w:t>
      </w:r>
      <w:r w:rsidRPr="00AF17C2">
        <w:rPr>
          <w:rFonts w:cs="Times New Roman"/>
          <w:i/>
          <w:lang w:val="fr-CA"/>
        </w:rPr>
        <w:t>LRTFP</w:t>
      </w:r>
      <w:r w:rsidRPr="009B1A09">
        <w:rPr>
          <w:rFonts w:cs="Times New Roman"/>
          <w:lang w:val="fr-CA"/>
        </w:rPr>
        <w:t>.</w:t>
      </w:r>
      <w:r w:rsidR="00795B2B">
        <w:rPr>
          <w:rFonts w:cs="Times New Roman"/>
          <w:i/>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Même s</w:t>
      </w:r>
      <w:r>
        <w:rPr>
          <w:rFonts w:cs="Times New Roman"/>
          <w:lang w:val="fr-CA"/>
        </w:rPr>
        <w:t>’</w:t>
      </w:r>
      <w:r w:rsidRPr="00AF17C2">
        <w:rPr>
          <w:rFonts w:cs="Times New Roman"/>
          <w:lang w:val="fr-CA"/>
        </w:rPr>
        <w:t>ils ont tiré leur origine de sources juridiques différentes, l</w:t>
      </w:r>
      <w:r>
        <w:rPr>
          <w:rFonts w:cs="Times New Roman"/>
          <w:lang w:val="fr-CA"/>
        </w:rPr>
        <w:t>’</w:t>
      </w:r>
      <w:r w:rsidRPr="00AF17C2">
        <w:rPr>
          <w:rFonts w:cs="Times New Roman"/>
          <w:lang w:val="fr-CA"/>
        </w:rPr>
        <w:t xml:space="preserve">exclusion prévue par la première </w:t>
      </w:r>
      <w:r w:rsidRPr="00AF17C2">
        <w:rPr>
          <w:rFonts w:cs="Times New Roman"/>
          <w:i/>
          <w:lang w:val="fr-CA"/>
        </w:rPr>
        <w:t>LRTFP</w:t>
      </w:r>
      <w:r w:rsidRPr="00AF17C2">
        <w:rPr>
          <w:rFonts w:cs="Times New Roman"/>
          <w:lang w:val="fr-CA"/>
        </w:rPr>
        <w:t xml:space="preserve"> et le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par leur effet combiné, ont constitué un régime de relations de travail conçu pour entraver le droit à la liberté d</w:t>
      </w:r>
      <w:r>
        <w:rPr>
          <w:rFonts w:cs="Times New Roman"/>
          <w:lang w:val="fr-CA"/>
        </w:rPr>
        <w:t>’</w:t>
      </w:r>
      <w:r w:rsidRPr="00AF17C2">
        <w:rPr>
          <w:rFonts w:cs="Times New Roman"/>
          <w:lang w:val="fr-CA"/>
        </w:rPr>
        <w:t>association des membres de la GRC. L</w:t>
      </w:r>
      <w:r>
        <w:rPr>
          <w:rFonts w:cs="Times New Roman"/>
          <w:lang w:val="fr-CA"/>
        </w:rPr>
        <w:t>’</w:t>
      </w:r>
      <w:r w:rsidRPr="00AF17C2">
        <w:rPr>
          <w:rFonts w:cs="Times New Roman"/>
          <w:lang w:val="fr-CA"/>
        </w:rPr>
        <w:t xml:space="preserve">exclusion prévue par la première </w:t>
      </w:r>
      <w:r w:rsidRPr="00AF17C2">
        <w:rPr>
          <w:rFonts w:cs="Times New Roman"/>
          <w:i/>
          <w:lang w:val="fr-CA"/>
        </w:rPr>
        <w:t>LRTFP</w:t>
      </w:r>
      <w:r w:rsidRPr="00AF17C2">
        <w:rPr>
          <w:rFonts w:cs="Times New Roman"/>
          <w:lang w:val="fr-CA"/>
        </w:rPr>
        <w:t xml:space="preserve"> ne peut être considérée dans l</w:t>
      </w:r>
      <w:r>
        <w:rPr>
          <w:rFonts w:cs="Times New Roman"/>
          <w:lang w:val="fr-CA"/>
        </w:rPr>
        <w:t>’</w:t>
      </w:r>
      <w:r w:rsidRPr="00AF17C2">
        <w:rPr>
          <w:rFonts w:cs="Times New Roman"/>
          <w:lang w:val="fr-CA"/>
        </w:rPr>
        <w:t>abstrait, indépendamment du décret. Ces deux volets de ce régime de relations de travail avaient un objet commun. Ils visaient tous les deux à priver les membres de la GRC de l</w:t>
      </w:r>
      <w:r>
        <w:rPr>
          <w:rFonts w:cs="Times New Roman"/>
          <w:lang w:val="fr-CA"/>
        </w:rPr>
        <w:t>’</w:t>
      </w:r>
      <w:r w:rsidRPr="00AF17C2">
        <w:rPr>
          <w:rFonts w:cs="Times New Roman"/>
          <w:lang w:val="fr-CA"/>
        </w:rPr>
        <w:t>exercice de leur droit constitutionnel à la liberté d</w:t>
      </w:r>
      <w:r>
        <w:rPr>
          <w:rFonts w:cs="Times New Roman"/>
          <w:lang w:val="fr-CA"/>
        </w:rPr>
        <w:t>’</w:t>
      </w:r>
      <w:r w:rsidRPr="00AF17C2">
        <w:rPr>
          <w:rFonts w:cs="Times New Roman"/>
          <w:lang w:val="fr-CA"/>
        </w:rPr>
        <w:t>association. À l</w:t>
      </w:r>
      <w:r>
        <w:rPr>
          <w:rFonts w:cs="Times New Roman"/>
          <w:lang w:val="fr-CA"/>
        </w:rPr>
        <w:t>’</w:t>
      </w:r>
      <w:r w:rsidRPr="00AF17C2">
        <w:rPr>
          <w:rFonts w:cs="Times New Roman"/>
          <w:lang w:val="fr-CA"/>
        </w:rPr>
        <w:t>instar du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e</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figurait au par.</w:t>
      </w:r>
      <w:r w:rsidR="00795B2B">
        <w:rPr>
          <w:rFonts w:cs="Times New Roman"/>
          <w:lang w:val="fr-CA"/>
        </w:rPr>
        <w:t xml:space="preserve"> </w:t>
      </w:r>
      <w:r w:rsidRPr="00AF17C2">
        <w:rPr>
          <w:rFonts w:cs="Times New Roman"/>
          <w:lang w:val="fr-CA"/>
        </w:rPr>
        <w:t xml:space="preserve">2(1) de la première </w:t>
      </w:r>
      <w:r w:rsidRPr="00AF17C2">
        <w:rPr>
          <w:rFonts w:cs="Times New Roman"/>
          <w:i/>
          <w:lang w:val="fr-CA"/>
        </w:rPr>
        <w:t>LRTFP</w:t>
      </w:r>
      <w:r w:rsidRPr="00AF17C2">
        <w:rPr>
          <w:rFonts w:cs="Times New Roman"/>
          <w:lang w:val="fr-CA"/>
        </w:rPr>
        <w:t>, définition maintenant reconduite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008701B1">
        <w:rPr>
          <w:rFonts w:cs="Times New Roman"/>
          <w:lang w:val="fr-CA"/>
        </w:rPr>
        <w:t xml:space="preserve"> actuelle, est vicié</w:t>
      </w:r>
      <w:r w:rsidRPr="00AF17C2">
        <w:rPr>
          <w:rFonts w:cs="Times New Roman"/>
          <w:lang w:val="fr-CA"/>
        </w:rPr>
        <w:t xml:space="preserve"> par un objet inapproprié et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Considéré dans son contexte historique,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contrevient donc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Les deux versions successives de la </w:t>
      </w:r>
      <w:r w:rsidRPr="00AF17C2">
        <w:rPr>
          <w:rFonts w:cs="Times New Roman"/>
          <w:i/>
          <w:lang w:val="fr-CA"/>
        </w:rPr>
        <w:t>LRTFP</w:t>
      </w:r>
      <w:r w:rsidRPr="00AF17C2">
        <w:rPr>
          <w:rFonts w:cs="Times New Roman"/>
          <w:lang w:val="fr-CA"/>
        </w:rPr>
        <w:t xml:space="preserve"> ont établi le cadre général applicable aux relations de travail et à la négociation collective dans l</w:t>
      </w:r>
      <w:r>
        <w:rPr>
          <w:rFonts w:cs="Times New Roman"/>
          <w:lang w:val="fr-CA"/>
        </w:rPr>
        <w:t>a fonction publique fédérale</w:t>
      </w:r>
      <w:r w:rsidRPr="00AF17C2">
        <w:rPr>
          <w:rFonts w:cs="Times New Roman"/>
          <w:lang w:val="fr-CA"/>
        </w:rPr>
        <w:t>. Une catégorie d</w:t>
      </w:r>
      <w:r>
        <w:rPr>
          <w:rFonts w:cs="Times New Roman"/>
          <w:lang w:val="fr-CA"/>
        </w:rPr>
        <w:t>’</w:t>
      </w:r>
      <w:r w:rsidRPr="00AF17C2">
        <w:rPr>
          <w:rFonts w:cs="Times New Roman"/>
          <w:lang w:val="fr-CA"/>
        </w:rPr>
        <w:t>employés, soit les membres de la GRC, est exclue de ce régime, et ce, depuis son adoption, afin de les empêcher d</w:t>
      </w:r>
      <w:r>
        <w:rPr>
          <w:rFonts w:cs="Times New Roman"/>
          <w:lang w:val="fr-CA"/>
        </w:rPr>
        <w:t>’</w:t>
      </w:r>
      <w:r w:rsidRPr="00AF17C2">
        <w:rPr>
          <w:rFonts w:cs="Times New Roman"/>
          <w:lang w:val="fr-CA"/>
        </w:rPr>
        <w:t xml:space="preserve">exercer le </w:t>
      </w:r>
      <w:r w:rsidRPr="00AF17C2">
        <w:rPr>
          <w:rFonts w:cs="Times New Roman"/>
          <w:lang w:val="fr-CA"/>
        </w:rPr>
        <w:lastRenderedPageBreak/>
        <w:t>droit à la liberté d</w:t>
      </w:r>
      <w:r>
        <w:rPr>
          <w:rFonts w:cs="Times New Roman"/>
          <w:lang w:val="fr-CA"/>
        </w:rPr>
        <w:t>’</w:t>
      </w:r>
      <w:r w:rsidRPr="00AF17C2">
        <w:rPr>
          <w:rFonts w:cs="Times New Roman"/>
          <w:lang w:val="fr-CA"/>
        </w:rPr>
        <w:t>association que leur confère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La question à trancher dans la présente affaire est donc celle de savoir si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exclusion d</w:t>
      </w:r>
      <w:r>
        <w:rPr>
          <w:rFonts w:cs="Times New Roman"/>
          <w:lang w:val="fr-CA"/>
        </w:rPr>
        <w:t>’</w:t>
      </w:r>
      <w:r w:rsidRPr="00AF17C2">
        <w:rPr>
          <w:rFonts w:cs="Times New Roman"/>
          <w:lang w:val="fr-CA"/>
        </w:rPr>
        <w:t>une catégorie particulière d</w:t>
      </w:r>
      <w:r>
        <w:rPr>
          <w:rFonts w:cs="Times New Roman"/>
          <w:lang w:val="fr-CA"/>
        </w:rPr>
        <w:t>’</w:t>
      </w:r>
      <w:r w:rsidRPr="00AF17C2">
        <w:rPr>
          <w:rFonts w:cs="Times New Roman"/>
          <w:lang w:val="fr-CA"/>
        </w:rPr>
        <w:t>employés du régime de relation</w:t>
      </w:r>
      <w:r w:rsidR="009B1A09">
        <w:rPr>
          <w:rFonts w:cs="Times New Roman"/>
          <w:lang w:val="fr-CA"/>
        </w:rPr>
        <w:t>s</w:t>
      </w:r>
      <w:r w:rsidRPr="00AF17C2">
        <w:rPr>
          <w:rFonts w:cs="Times New Roman"/>
          <w:lang w:val="fr-CA"/>
        </w:rPr>
        <w:t xml:space="preserve"> de travail contrevient de façon inacceptable aux droits constitutionnels des employés touchés. Il ne s</w:t>
      </w:r>
      <w:r>
        <w:rPr>
          <w:rFonts w:cs="Times New Roman"/>
          <w:lang w:val="fr-CA"/>
        </w:rPr>
        <w:t>’</w:t>
      </w:r>
      <w:r w:rsidRPr="00AF17C2">
        <w:rPr>
          <w:rFonts w:cs="Times New Roman"/>
          <w:lang w:val="fr-CA"/>
        </w:rPr>
        <w:t>agit pas de savoir si le législateur doit prescrire un nouveau régime de relations de travail en présence d</w:t>
      </w:r>
      <w:r>
        <w:rPr>
          <w:rFonts w:cs="Times New Roman"/>
          <w:lang w:val="fr-CA"/>
        </w:rPr>
        <w:t>’</w:t>
      </w:r>
      <w:r w:rsidRPr="00AF17C2">
        <w:rPr>
          <w:rFonts w:cs="Times New Roman"/>
          <w:lang w:val="fr-CA"/>
        </w:rPr>
        <w:t>un vide juridique.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alinéa</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exclut toute personne </w:t>
      </w:r>
      <w:r w:rsidR="00795B2B">
        <w:rPr>
          <w:rFonts w:cs="Times New Roman"/>
          <w:lang w:val="fr-CA"/>
        </w:rPr>
        <w:t>« </w:t>
      </w:r>
      <w:r w:rsidRPr="00AF17C2">
        <w:rPr>
          <w:rFonts w:cs="Times New Roman"/>
          <w:lang w:val="fr-CA"/>
        </w:rPr>
        <w:t>qui est membre ou gendarme auxiliaire de la Gendarmerie royale du Canada, ou y est employée sensiblement aux mêmes conditions que ses membres</w:t>
      </w:r>
      <w:r w:rsidR="00795B2B">
        <w:rPr>
          <w:rFonts w:cs="Times New Roman"/>
          <w:lang w:val="fr-CA"/>
        </w:rPr>
        <w:t> »</w:t>
      </w:r>
      <w:r w:rsidRPr="00AF17C2">
        <w:rPr>
          <w:rFonts w:cs="Times New Roman"/>
          <w:lang w:val="fr-CA"/>
        </w:rPr>
        <w:t>.</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Avant 1967, la notion de négociation collective n</w:t>
      </w:r>
      <w:r>
        <w:rPr>
          <w:rFonts w:cs="Times New Roman"/>
          <w:lang w:val="fr-CA"/>
        </w:rPr>
        <w:t>’</w:t>
      </w:r>
      <w:r w:rsidRPr="00AF17C2">
        <w:rPr>
          <w:rFonts w:cs="Times New Roman"/>
          <w:lang w:val="fr-CA"/>
        </w:rPr>
        <w:t xml:space="preserve">était pas connue au sein de la fonction publique fédérale en général et, bien sûr, de la GRC en particulier. Le législateur a adopté la première </w:t>
      </w:r>
      <w:r w:rsidRPr="00AF17C2">
        <w:rPr>
          <w:rFonts w:cs="Times New Roman"/>
          <w:i/>
          <w:lang w:val="fr-CA"/>
        </w:rPr>
        <w:t xml:space="preserve">LRTFP </w:t>
      </w:r>
      <w:r w:rsidRPr="00AF17C2">
        <w:rPr>
          <w:rFonts w:cs="Times New Roman"/>
          <w:lang w:val="fr-CA"/>
        </w:rPr>
        <w:t>pour mettre en œuvre un régime de négociation collective dans la fonction publique fédérale (</w:t>
      </w:r>
      <w:proofErr w:type="spellStart"/>
      <w:r w:rsidRPr="00AF17C2">
        <w:rPr>
          <w:rFonts w:cs="Times New Roman"/>
          <w:lang w:val="fr-CA"/>
        </w:rPr>
        <w:t>Rootham</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37; R.</w:t>
      </w:r>
      <w:r w:rsidR="00795B2B">
        <w:rPr>
          <w:rFonts w:cs="Times New Roman"/>
          <w:lang w:val="fr-CA"/>
        </w:rPr>
        <w:t xml:space="preserve"> </w:t>
      </w:r>
      <w:r w:rsidRPr="00AF17C2">
        <w:rPr>
          <w:rFonts w:cs="Times New Roman"/>
          <w:lang w:val="fr-CA"/>
        </w:rPr>
        <w:t xml:space="preserve">Caron, </w:t>
      </w:r>
      <w:proofErr w:type="spellStart"/>
      <w:r w:rsidRPr="00AF17C2">
        <w:rPr>
          <w:rFonts w:cs="Times New Roman"/>
          <w:i/>
          <w:lang w:val="fr-CA"/>
        </w:rPr>
        <w:t>Employment</w:t>
      </w:r>
      <w:proofErr w:type="spellEnd"/>
      <w:r w:rsidRPr="00AF17C2">
        <w:rPr>
          <w:rFonts w:cs="Times New Roman"/>
          <w:i/>
          <w:lang w:val="fr-CA"/>
        </w:rPr>
        <w:t xml:space="preserve"> in the </w:t>
      </w:r>
      <w:proofErr w:type="spellStart"/>
      <w:r w:rsidRPr="00AF17C2">
        <w:rPr>
          <w:rFonts w:cs="Times New Roman"/>
          <w:i/>
          <w:lang w:val="fr-CA"/>
        </w:rPr>
        <w:t>Federal</w:t>
      </w:r>
      <w:proofErr w:type="spellEnd"/>
      <w:r w:rsidRPr="00AF17C2">
        <w:rPr>
          <w:rFonts w:cs="Times New Roman"/>
          <w:i/>
          <w:lang w:val="fr-CA"/>
        </w:rPr>
        <w:t xml:space="preserve"> Public Service</w:t>
      </w:r>
      <w:r w:rsidRPr="00AF17C2">
        <w:rPr>
          <w:rFonts w:cs="Times New Roman"/>
          <w:lang w:val="fr-CA"/>
        </w:rPr>
        <w:t xml:space="preserve"> (feuilles mobiles), par.</w:t>
      </w:r>
      <w:r w:rsidR="00795B2B">
        <w:rPr>
          <w:rFonts w:cs="Times New Roman"/>
          <w:lang w:val="fr-CA"/>
        </w:rPr>
        <w:t xml:space="preserve"> </w:t>
      </w:r>
      <w:r w:rsidR="008701B1">
        <w:rPr>
          <w:rFonts w:cs="Times New Roman"/>
          <w:lang w:val="fr-CA"/>
        </w:rPr>
        <w:t>1:20</w:t>
      </w:r>
      <w:r w:rsidRPr="00AF17C2">
        <w:rPr>
          <w:rFonts w:cs="Times New Roman"/>
          <w:lang w:val="fr-CA"/>
        </w:rPr>
        <w:t>0; J.</w:t>
      </w:r>
      <w:r w:rsidR="00795B2B">
        <w:rPr>
          <w:rFonts w:cs="Times New Roman"/>
          <w:lang w:val="fr-CA"/>
        </w:rPr>
        <w:t xml:space="preserve"> </w:t>
      </w:r>
      <w:r w:rsidRPr="00AF17C2">
        <w:rPr>
          <w:rFonts w:cs="Times New Roman"/>
          <w:lang w:val="fr-CA"/>
        </w:rPr>
        <w:t>C.</w:t>
      </w:r>
      <w:r w:rsidR="00795B2B">
        <w:rPr>
          <w:rFonts w:cs="Times New Roman"/>
          <w:lang w:val="fr-CA"/>
        </w:rPr>
        <w:t xml:space="preserve"> </w:t>
      </w:r>
      <w:r w:rsidRPr="00AF17C2">
        <w:rPr>
          <w:rFonts w:cs="Times New Roman"/>
          <w:lang w:val="fr-CA"/>
        </w:rPr>
        <w:t>Anderson et T.</w:t>
      </w:r>
      <w:r w:rsidR="00795B2B">
        <w:rPr>
          <w:rFonts w:cs="Times New Roman"/>
          <w:lang w:val="fr-CA"/>
        </w:rPr>
        <w:t xml:space="preserve"> </w:t>
      </w:r>
      <w:r w:rsidRPr="00AF17C2">
        <w:rPr>
          <w:rFonts w:cs="Times New Roman"/>
          <w:lang w:val="fr-CA"/>
        </w:rPr>
        <w:t>A.</w:t>
      </w:r>
      <w:r w:rsidR="00795B2B">
        <w:rPr>
          <w:rFonts w:cs="Times New Roman"/>
          <w:lang w:val="fr-CA"/>
        </w:rPr>
        <w:t xml:space="preserve"> </w:t>
      </w:r>
      <w:proofErr w:type="spellStart"/>
      <w:r w:rsidRPr="00AF17C2">
        <w:rPr>
          <w:rFonts w:cs="Times New Roman"/>
          <w:lang w:val="fr-CA"/>
        </w:rPr>
        <w:t>Kochan</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 xml:space="preserve">Collective </w:t>
      </w:r>
      <w:proofErr w:type="spellStart"/>
      <w:r w:rsidRPr="00AF17C2">
        <w:rPr>
          <w:rFonts w:cs="Times New Roman"/>
          <w:lang w:val="fr-CA"/>
        </w:rPr>
        <w:t>Bargaining</w:t>
      </w:r>
      <w:proofErr w:type="spellEnd"/>
      <w:r w:rsidRPr="00AF17C2">
        <w:rPr>
          <w:rFonts w:cs="Times New Roman"/>
          <w:lang w:val="fr-CA"/>
        </w:rPr>
        <w:t xml:space="preserve"> in the Public Service of Canada</w:t>
      </w:r>
      <w:r w:rsidR="00795B2B">
        <w:rPr>
          <w:rFonts w:cs="Times New Roman"/>
          <w:lang w:val="fr-CA"/>
        </w:rPr>
        <w:t> »</w:t>
      </w:r>
      <w:r w:rsidRPr="00AF17C2">
        <w:rPr>
          <w:rFonts w:cs="Times New Roman"/>
          <w:lang w:val="fr-CA"/>
        </w:rPr>
        <w:t xml:space="preserve"> (1977), 32 </w:t>
      </w:r>
      <w:proofErr w:type="spellStart"/>
      <w:r w:rsidR="009B1A09">
        <w:rPr>
          <w:rFonts w:cs="Times New Roman"/>
          <w:i/>
          <w:lang w:val="fr-CA"/>
        </w:rPr>
        <w:t>Relat</w:t>
      </w:r>
      <w:proofErr w:type="spellEnd"/>
      <w:r w:rsidR="009B1A09">
        <w:rPr>
          <w:rFonts w:cs="Times New Roman"/>
          <w:i/>
          <w:lang w:val="fr-CA"/>
        </w:rPr>
        <w:t xml:space="preserve">. </w:t>
      </w:r>
      <w:proofErr w:type="spellStart"/>
      <w:r w:rsidR="009B1A09">
        <w:rPr>
          <w:rFonts w:cs="Times New Roman"/>
          <w:i/>
          <w:lang w:val="fr-CA"/>
        </w:rPr>
        <w:t>ind</w:t>
      </w:r>
      <w:proofErr w:type="spellEnd"/>
      <w:r w:rsidR="009B1A09">
        <w:rPr>
          <w:rFonts w:cs="Times New Roman"/>
          <w:i/>
          <w:lang w:val="fr-CA"/>
        </w:rPr>
        <w:t>.</w:t>
      </w:r>
      <w:r w:rsidR="00795B2B">
        <w:rPr>
          <w:rFonts w:cs="Times New Roman"/>
          <w:lang w:val="fr-CA"/>
        </w:rPr>
        <w:t xml:space="preserve"> </w:t>
      </w:r>
      <w:r w:rsidRPr="00AF17C2">
        <w:rPr>
          <w:rFonts w:cs="Times New Roman"/>
          <w:lang w:val="fr-CA"/>
        </w:rPr>
        <w:t>234, p.</w:t>
      </w:r>
      <w:r w:rsidR="00795B2B">
        <w:rPr>
          <w:rFonts w:cs="Times New Roman"/>
          <w:lang w:val="fr-CA"/>
        </w:rPr>
        <w:t xml:space="preserve"> </w:t>
      </w:r>
      <w:r w:rsidRPr="00AF17C2">
        <w:rPr>
          <w:rFonts w:cs="Times New Roman"/>
          <w:lang w:val="fr-CA"/>
        </w:rPr>
        <w:t xml:space="preserve">234). La loi qui lui a succédé, la </w:t>
      </w:r>
      <w:r w:rsidRPr="00AF17C2">
        <w:rPr>
          <w:rFonts w:cs="Times New Roman"/>
          <w:i/>
          <w:lang w:val="fr-CA"/>
        </w:rPr>
        <w:t>LRTFP</w:t>
      </w:r>
      <w:r w:rsidRPr="00AF17C2">
        <w:rPr>
          <w:rFonts w:cs="Times New Roman"/>
          <w:lang w:val="fr-CA"/>
        </w:rPr>
        <w:t xml:space="preserve"> actuelle, fait état d</w:t>
      </w:r>
      <w:r>
        <w:rPr>
          <w:rFonts w:cs="Times New Roman"/>
          <w:lang w:val="fr-CA"/>
        </w:rPr>
        <w:t>’</w:t>
      </w:r>
      <w:r w:rsidRPr="00AF17C2">
        <w:rPr>
          <w:rFonts w:cs="Times New Roman"/>
          <w:lang w:val="fr-CA"/>
        </w:rPr>
        <w:t>un engagement semblable à l</w:t>
      </w:r>
      <w:r>
        <w:rPr>
          <w:rFonts w:cs="Times New Roman"/>
          <w:lang w:val="fr-CA"/>
        </w:rPr>
        <w:t>’</w:t>
      </w:r>
      <w:r w:rsidRPr="00AF17C2">
        <w:rPr>
          <w:rFonts w:cs="Times New Roman"/>
          <w:lang w:val="fr-CA"/>
        </w:rPr>
        <w:t xml:space="preserve">égard de la négociation collective (voir le préambule de la </w:t>
      </w:r>
      <w:r w:rsidRPr="00AF17C2">
        <w:rPr>
          <w:rFonts w:cs="Times New Roman"/>
          <w:i/>
          <w:lang w:val="fr-CA"/>
        </w:rPr>
        <w:t xml:space="preserve">LRTFP </w:t>
      </w:r>
      <w:r w:rsidRPr="00AF17C2">
        <w:rPr>
          <w:rFonts w:cs="Times New Roman"/>
          <w:lang w:val="fr-CA"/>
        </w:rPr>
        <w:t xml:space="preserve">actuelle et le </w:t>
      </w:r>
      <w:r w:rsidRPr="00DB7901">
        <w:rPr>
          <w:rFonts w:cs="Times New Roman"/>
          <w:lang w:val="fr-CA"/>
        </w:rPr>
        <w:t>Comité consultatif sur les relations patronales</w:t>
      </w:r>
      <w:r w:rsidR="00795B2B" w:rsidRPr="00DB7901">
        <w:rPr>
          <w:rFonts w:cs="Times New Roman"/>
          <w:lang w:val="fr-CA"/>
        </w:rPr>
        <w:t>-</w:t>
      </w:r>
      <w:r w:rsidRPr="00DB7901">
        <w:rPr>
          <w:rFonts w:cs="Times New Roman"/>
          <w:lang w:val="fr-CA"/>
        </w:rPr>
        <w:t>syndicales dans la fonction publique fédérale</w:t>
      </w:r>
      <w:r w:rsidR="008701B1">
        <w:rPr>
          <w:rFonts w:cs="Times New Roman"/>
          <w:lang w:val="fr-CA"/>
        </w:rPr>
        <w:t xml:space="preserve">, </w:t>
      </w:r>
      <w:r w:rsidR="008701B1" w:rsidRPr="008701B1">
        <w:rPr>
          <w:rFonts w:cs="Times New Roman"/>
          <w:i/>
          <w:lang w:val="fr-CA"/>
        </w:rPr>
        <w:t>Travailler ensemble dans l’intérêt public</w:t>
      </w:r>
      <w:r w:rsidRPr="008701B1">
        <w:rPr>
          <w:rFonts w:cs="Times New Roman"/>
          <w:i/>
          <w:lang w:val="fr-CA"/>
        </w:rPr>
        <w:t xml:space="preserve"> </w:t>
      </w:r>
      <w:r w:rsidRPr="00AF17C2">
        <w:rPr>
          <w:rFonts w:cs="Times New Roman"/>
          <w:lang w:val="fr-CA"/>
        </w:rPr>
        <w:t>(2001), p.</w:t>
      </w:r>
      <w:r w:rsidR="00795B2B">
        <w:rPr>
          <w:rFonts w:cs="Times New Roman"/>
          <w:lang w:val="fr-CA"/>
        </w:rPr>
        <w:t xml:space="preserve"> </w:t>
      </w:r>
      <w:r w:rsidRPr="00AF17C2">
        <w:rPr>
          <w:rFonts w:cs="Times New Roman"/>
          <w:lang w:val="fr-CA"/>
        </w:rPr>
        <w:t xml:space="preserve">14).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L</w:t>
      </w:r>
      <w:r>
        <w:rPr>
          <w:rFonts w:cs="Times New Roman"/>
          <w:lang w:val="fr-CA"/>
        </w:rPr>
        <w:t>’</w:t>
      </w:r>
      <w:r w:rsidRPr="00AF17C2">
        <w:rPr>
          <w:rFonts w:cs="Times New Roman"/>
          <w:lang w:val="fr-CA"/>
        </w:rPr>
        <w:t xml:space="preserve">exclusion en 1967 des membres de la GRC du régime de la première </w:t>
      </w:r>
      <w:r w:rsidRPr="00AF17C2">
        <w:rPr>
          <w:rFonts w:cs="Times New Roman"/>
          <w:i/>
          <w:lang w:val="fr-CA"/>
        </w:rPr>
        <w:t>LRTFP</w:t>
      </w:r>
      <w:r w:rsidRPr="00AF17C2">
        <w:rPr>
          <w:rFonts w:cs="Times New Roman"/>
          <w:lang w:val="fr-CA"/>
        </w:rPr>
        <w:t xml:space="preserve"> — qui constituait le seul moyen de permettre une véritable négociation collective dans </w:t>
      </w:r>
      <w:r>
        <w:rPr>
          <w:rFonts w:cs="Times New Roman"/>
          <w:lang w:val="fr-CA"/>
        </w:rPr>
        <w:t xml:space="preserve">la fonction publique fédérale </w:t>
      </w:r>
      <w:r w:rsidRPr="00AF17C2">
        <w:rPr>
          <w:rFonts w:cs="Times New Roman"/>
          <w:lang w:val="fr-CA"/>
        </w:rPr>
        <w:t>— visait à empêcher ceux</w:t>
      </w:r>
      <w:r w:rsidR="00795B2B">
        <w:rPr>
          <w:rFonts w:cs="Times New Roman"/>
          <w:lang w:val="fr-CA"/>
        </w:rPr>
        <w:t>-</w:t>
      </w:r>
      <w:r w:rsidRPr="00AF17C2">
        <w:rPr>
          <w:rFonts w:cs="Times New Roman"/>
          <w:lang w:val="fr-CA"/>
        </w:rPr>
        <w:t>ci de négocier collectivement. Le commissaire de la GRC alors en poste l</w:t>
      </w:r>
      <w:r>
        <w:rPr>
          <w:rFonts w:cs="Times New Roman"/>
          <w:lang w:val="fr-CA"/>
        </w:rPr>
        <w:t>’</w:t>
      </w:r>
      <w:r w:rsidRPr="00AF17C2">
        <w:rPr>
          <w:rFonts w:cs="Times New Roman"/>
          <w:lang w:val="fr-CA"/>
        </w:rPr>
        <w:t>a reconnu dans une lettre envoyée au solliciteur général du Canada en 1980, dans laquelle il a affirmé</w:t>
      </w:r>
      <w:r w:rsidR="00795B2B">
        <w:rPr>
          <w:rFonts w:cs="Times New Roman"/>
          <w:lang w:val="fr-CA"/>
        </w:rPr>
        <w:t> :</w:t>
      </w:r>
      <w:r w:rsidRPr="00AF17C2">
        <w:rPr>
          <w:rFonts w:cs="Times New Roman"/>
          <w:lang w:val="fr-CA"/>
        </w:rPr>
        <w:t xml:space="preserve">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Aucune loi habilitante ne permet aux membres de négocier collectivement et nous devons en déduire que le Parlement ne voulait pas que les membres de la Gendarmerie aient ce droit</w:t>
      </w:r>
      <w:r w:rsidR="00795B2B">
        <w:rPr>
          <w:rFonts w:cs="Times New Roman"/>
          <w:lang w:val="fr-CA"/>
        </w:rPr>
        <w:t> »</w:t>
      </w:r>
      <w:r w:rsidRPr="00AF17C2">
        <w:rPr>
          <w:rFonts w:cs="Times New Roman"/>
          <w:lang w:val="fr-CA"/>
        </w:rPr>
        <w:t xml:space="preserve"> (voir </w:t>
      </w:r>
      <w:proofErr w:type="gramStart"/>
      <w:r w:rsidRPr="00AF17C2">
        <w:rPr>
          <w:rFonts w:cs="Times New Roman"/>
          <w:lang w:val="fr-CA"/>
        </w:rPr>
        <w:t>m.a.,</w:t>
      </w:r>
      <w:proofErr w:type="gramEnd"/>
      <w:r w:rsidRPr="00AF17C2">
        <w:rPr>
          <w:rFonts w:cs="Times New Roman"/>
          <w:lang w:val="fr-CA"/>
        </w:rPr>
        <w:t xml:space="preserve"> par.</w:t>
      </w:r>
      <w:r w:rsidR="00795B2B">
        <w:rPr>
          <w:rFonts w:cs="Times New Roman"/>
          <w:lang w:val="fr-CA"/>
        </w:rPr>
        <w:t xml:space="preserve"> </w:t>
      </w:r>
      <w:r w:rsidRPr="00AF17C2">
        <w:rPr>
          <w:rFonts w:cs="Times New Roman"/>
          <w:lang w:val="fr-CA"/>
        </w:rPr>
        <w:t>106).</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La loi qui a succédé à la première </w:t>
      </w:r>
      <w:r w:rsidRPr="00AF17C2">
        <w:rPr>
          <w:rFonts w:cs="Times New Roman"/>
          <w:i/>
          <w:lang w:val="fr-CA"/>
        </w:rPr>
        <w:t>LRTFP</w:t>
      </w:r>
      <w:r w:rsidRPr="00AF17C2">
        <w:rPr>
          <w:rFonts w:cs="Times New Roman"/>
          <w:lang w:val="fr-CA"/>
        </w:rPr>
        <w:t xml:space="preserve">, soit la </w:t>
      </w:r>
      <w:r w:rsidRPr="00AF17C2">
        <w:rPr>
          <w:rFonts w:cs="Times New Roman"/>
          <w:i/>
          <w:lang w:val="fr-CA"/>
        </w:rPr>
        <w:t>LRTFP</w:t>
      </w:r>
      <w:r w:rsidRPr="00AF17C2">
        <w:rPr>
          <w:rFonts w:cs="Times New Roman"/>
          <w:lang w:val="fr-CA"/>
        </w:rPr>
        <w:t xml:space="preserve"> actuelle, a réduit les catégories de fonctionnaires exclus. Les membres de la GRC restaient toutefois exclus dans les mêmes termes, et aucune autre loi ne leur a permis de participer à un processus de négociation collective (</w:t>
      </w:r>
      <w:r w:rsidRPr="00AF17C2">
        <w:rPr>
          <w:rFonts w:cs="Times New Roman"/>
          <w:i/>
          <w:lang w:val="fr-CA"/>
        </w:rPr>
        <w:t>Delisle</w:t>
      </w:r>
      <w:r w:rsidRPr="00AF17C2">
        <w:rPr>
          <w:rFonts w:cs="Times New Roman"/>
          <w:lang w:val="fr-CA"/>
        </w:rPr>
        <w:t>, par.</w:t>
      </w:r>
      <w:r w:rsidR="00795B2B">
        <w:rPr>
          <w:rFonts w:cs="Times New Roman"/>
          <w:lang w:val="fr-CA"/>
        </w:rPr>
        <w:t xml:space="preserve"> </w:t>
      </w:r>
      <w:r w:rsidRPr="00AF17C2">
        <w:rPr>
          <w:rFonts w:cs="Times New Roman"/>
          <w:lang w:val="fr-CA"/>
        </w:rPr>
        <w:t xml:space="preserve">85, les juges Cory et </w:t>
      </w:r>
      <w:proofErr w:type="spellStart"/>
      <w:r w:rsidRPr="00AF17C2">
        <w:rPr>
          <w:rFonts w:cs="Times New Roman"/>
          <w:lang w:val="fr-CA"/>
        </w:rPr>
        <w:t>Iacobucci</w:t>
      </w:r>
      <w:proofErr w:type="spellEnd"/>
      <w:r w:rsidRPr="00AF17C2">
        <w:rPr>
          <w:rFonts w:cs="Times New Roman"/>
          <w:lang w:val="fr-CA"/>
        </w:rPr>
        <w:t>, dissidents; R.</w:t>
      </w:r>
      <w:r w:rsidR="00795B2B">
        <w:rPr>
          <w:rFonts w:cs="Times New Roman"/>
          <w:lang w:val="fr-CA"/>
        </w:rPr>
        <w:t xml:space="preserve"> </w:t>
      </w:r>
      <w:proofErr w:type="spellStart"/>
      <w:r w:rsidRPr="00AF17C2">
        <w:rPr>
          <w:rFonts w:cs="Times New Roman"/>
          <w:lang w:val="fr-CA"/>
        </w:rPr>
        <w:t>MacKay</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 xml:space="preserve">The Royal Canadian </w:t>
      </w:r>
      <w:proofErr w:type="spellStart"/>
      <w:r w:rsidRPr="00AF17C2">
        <w:rPr>
          <w:rFonts w:cs="Times New Roman"/>
          <w:lang w:val="fr-CA"/>
        </w:rPr>
        <w:t>Mounted</w:t>
      </w:r>
      <w:proofErr w:type="spellEnd"/>
      <w:r w:rsidRPr="00AF17C2">
        <w:rPr>
          <w:rFonts w:cs="Times New Roman"/>
          <w:lang w:val="fr-CA"/>
        </w:rPr>
        <w:t xml:space="preserve"> Police and </w:t>
      </w:r>
      <w:proofErr w:type="spellStart"/>
      <w:r w:rsidRPr="00AF17C2">
        <w:rPr>
          <w:rFonts w:cs="Times New Roman"/>
          <w:lang w:val="fr-CA"/>
        </w:rPr>
        <w:t>Unionization</w:t>
      </w:r>
      <w:proofErr w:type="spellEnd"/>
      <w:r w:rsidR="00795B2B">
        <w:rPr>
          <w:rFonts w:cs="Times New Roman"/>
          <w:lang w:val="fr-CA"/>
        </w:rPr>
        <w:t> »</w:t>
      </w:r>
      <w:r w:rsidR="00735E11">
        <w:rPr>
          <w:rFonts w:cs="Times New Roman"/>
          <w:lang w:val="fr-CA"/>
        </w:rPr>
        <w:t xml:space="preserve">, </w:t>
      </w:r>
      <w:r w:rsidRPr="00AF17C2">
        <w:rPr>
          <w:rFonts w:cs="Times New Roman"/>
          <w:lang w:val="fr-CA"/>
        </w:rPr>
        <w:t>Direction de la recherche parlementaire, 3 septembre</w:t>
      </w:r>
      <w:r w:rsidR="00795B2B">
        <w:rPr>
          <w:rFonts w:cs="Times New Roman"/>
          <w:lang w:val="fr-CA"/>
        </w:rPr>
        <w:t xml:space="preserve"> </w:t>
      </w:r>
      <w:r w:rsidRPr="00AF17C2">
        <w:rPr>
          <w:rFonts w:cs="Times New Roman"/>
          <w:lang w:val="fr-CA"/>
        </w:rPr>
        <w:t>2003, p.</w:t>
      </w:r>
      <w:r w:rsidR="00795B2B">
        <w:rPr>
          <w:rFonts w:cs="Times New Roman"/>
          <w:lang w:val="fr-CA"/>
        </w:rPr>
        <w:t xml:space="preserve"> </w:t>
      </w:r>
      <w:r w:rsidRPr="00AF17C2">
        <w:rPr>
          <w:rFonts w:cs="Times New Roman"/>
          <w:lang w:val="fr-CA"/>
        </w:rPr>
        <w:t>20). Rien n</w:t>
      </w:r>
      <w:r>
        <w:rPr>
          <w:rFonts w:cs="Times New Roman"/>
          <w:lang w:val="fr-CA"/>
        </w:rPr>
        <w:t>’</w:t>
      </w:r>
      <w:r w:rsidRPr="00AF17C2">
        <w:rPr>
          <w:rFonts w:cs="Times New Roman"/>
          <w:lang w:val="fr-CA"/>
        </w:rPr>
        <w:t>indiquait que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exclusion initiale des membres de la GRC du régime de négociation collective avait changé (</w:t>
      </w:r>
      <w:r w:rsidRPr="00AF17C2">
        <w:rPr>
          <w:rFonts w:cs="Times New Roman"/>
          <w:i/>
          <w:lang w:val="fr-CA"/>
        </w:rPr>
        <w:t>Loi d</w:t>
      </w:r>
      <w:r>
        <w:rPr>
          <w:rFonts w:cs="Times New Roman"/>
          <w:i/>
          <w:lang w:val="fr-CA"/>
        </w:rPr>
        <w:t>’</w:t>
      </w:r>
      <w:r w:rsidRPr="00AF17C2">
        <w:rPr>
          <w:rFonts w:cs="Times New Roman"/>
          <w:i/>
          <w:lang w:val="fr-CA"/>
        </w:rPr>
        <w:t>interprétation</w:t>
      </w:r>
      <w:r w:rsidRPr="00AF17C2">
        <w:rPr>
          <w:rFonts w:cs="Times New Roman"/>
          <w:lang w:val="fr-CA"/>
        </w:rPr>
        <w:t>, L.R.C.</w:t>
      </w:r>
      <w:r w:rsidR="00795B2B">
        <w:rPr>
          <w:rFonts w:cs="Times New Roman"/>
          <w:lang w:val="fr-CA"/>
        </w:rPr>
        <w:t xml:space="preserve"> </w:t>
      </w:r>
      <w:r w:rsidRPr="00AF17C2">
        <w:rPr>
          <w:rFonts w:cs="Times New Roman"/>
          <w:lang w:val="fr-CA"/>
        </w:rPr>
        <w:t>1985, c.</w:t>
      </w:r>
      <w:r w:rsidR="00795B2B">
        <w:rPr>
          <w:rFonts w:cs="Times New Roman"/>
          <w:lang w:val="fr-CA"/>
        </w:rPr>
        <w:t xml:space="preserve"> </w:t>
      </w:r>
      <w:r w:rsidRPr="00AF17C2">
        <w:rPr>
          <w:rFonts w:cs="Times New Roman"/>
          <w:lang w:val="fr-CA"/>
        </w:rPr>
        <w:t>I</w:t>
      </w:r>
      <w:r w:rsidRPr="00AF17C2">
        <w:rPr>
          <w:rFonts w:eastAsia="MS Mincho" w:cs="Times New Roman" w:hint="eastAsia"/>
          <w:lang w:val="fr-CA"/>
        </w:rPr>
        <w:t>‑</w:t>
      </w:r>
      <w:r w:rsidRPr="00AF17C2">
        <w:rPr>
          <w:rFonts w:cs="Times New Roman"/>
          <w:lang w:val="fr-CA"/>
        </w:rPr>
        <w:t>21, al.</w:t>
      </w:r>
      <w:r w:rsidR="00795B2B">
        <w:rPr>
          <w:rFonts w:cs="Times New Roman"/>
          <w:lang w:val="fr-CA"/>
        </w:rPr>
        <w:t xml:space="preserve"> </w:t>
      </w:r>
      <w:r w:rsidRPr="00AF17C2">
        <w:rPr>
          <w:rFonts w:cs="Times New Roman"/>
          <w:lang w:val="fr-CA"/>
        </w:rPr>
        <w:t>44</w:t>
      </w:r>
      <w:r w:rsidRPr="00AF17C2">
        <w:rPr>
          <w:rFonts w:cs="Times New Roman"/>
          <w:i/>
          <w:lang w:val="fr-CA"/>
        </w:rPr>
        <w:t>f</w:t>
      </w:r>
      <w:r w:rsidRPr="00AF17C2">
        <w:rPr>
          <w:rFonts w:cs="Times New Roman"/>
          <w:lang w:val="fr-CA"/>
        </w:rPr>
        <w:t xml:space="preserve">); voir également </w:t>
      </w:r>
      <w:proofErr w:type="spellStart"/>
      <w:r w:rsidR="00DB7901">
        <w:rPr>
          <w:rFonts w:cs="Times New Roman"/>
          <w:i/>
          <w:lang w:val="fr-CA"/>
        </w:rPr>
        <w:t>Big</w:t>
      </w:r>
      <w:proofErr w:type="spellEnd"/>
      <w:r w:rsidR="00DB7901">
        <w:rPr>
          <w:rFonts w:cs="Times New Roman"/>
          <w:i/>
          <w:lang w:val="fr-CA"/>
        </w:rPr>
        <w:t xml:space="preserve"> M</w:t>
      </w:r>
      <w:r w:rsidRPr="00AF17C2">
        <w:rPr>
          <w:rFonts w:cs="Times New Roman"/>
          <w:i/>
          <w:lang w:val="fr-CA"/>
        </w:rPr>
        <w:t xml:space="preserve"> Drug </w:t>
      </w:r>
      <w:proofErr w:type="spellStart"/>
      <w:r w:rsidRPr="00AF17C2">
        <w:rPr>
          <w:rFonts w:cs="Times New Roman"/>
          <w:i/>
          <w:lang w:val="fr-CA"/>
        </w:rPr>
        <w:t>Mart</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335). En effet, l</w:t>
      </w:r>
      <w:r>
        <w:rPr>
          <w:rFonts w:cs="Times New Roman"/>
          <w:lang w:val="fr-CA"/>
        </w:rPr>
        <w:t>’</w:t>
      </w:r>
      <w:r w:rsidRPr="00AF17C2">
        <w:rPr>
          <w:rFonts w:cs="Times New Roman"/>
          <w:lang w:val="fr-CA"/>
        </w:rPr>
        <w:t xml:space="preserve">exclusion prévue par la </w:t>
      </w:r>
      <w:r w:rsidRPr="00AF17C2">
        <w:rPr>
          <w:rFonts w:cs="Times New Roman"/>
          <w:i/>
          <w:lang w:val="fr-CA"/>
        </w:rPr>
        <w:t>LRTFP</w:t>
      </w:r>
      <w:r w:rsidRPr="00AF17C2">
        <w:rPr>
          <w:rFonts w:cs="Times New Roman"/>
          <w:lang w:val="fr-CA"/>
        </w:rPr>
        <w:t xml:space="preserve"> actuelle permet d</w:t>
      </w:r>
      <w:r>
        <w:rPr>
          <w:rFonts w:cs="Times New Roman"/>
          <w:lang w:val="fr-CA"/>
        </w:rPr>
        <w:t>’</w:t>
      </w:r>
      <w:r w:rsidRPr="00AF17C2">
        <w:rPr>
          <w:rFonts w:cs="Times New Roman"/>
          <w:lang w:val="fr-CA"/>
        </w:rPr>
        <w:t>imposer le PRRF, dont nous avons conclu qu</w:t>
      </w:r>
      <w:r>
        <w:rPr>
          <w:rFonts w:cs="Times New Roman"/>
          <w:lang w:val="fr-CA"/>
        </w:rPr>
        <w:t>’</w:t>
      </w:r>
      <w:r w:rsidRPr="00AF17C2">
        <w:rPr>
          <w:rFonts w:cs="Times New Roman"/>
          <w:lang w:val="fr-CA"/>
        </w:rPr>
        <w:t>il entrave substantiellement tant par son objet que par son effet le droit des membres de la GRC à un processus véritable de négociation collective. Agissant en tandem avec le décret C.P.</w:t>
      </w:r>
      <w:r w:rsidR="00795B2B">
        <w:rPr>
          <w:rFonts w:cs="Times New Roman"/>
          <w:lang w:val="fr-CA"/>
        </w:rPr>
        <w:t xml:space="preserve"> </w:t>
      </w:r>
      <w:r w:rsidRPr="00AF17C2">
        <w:rPr>
          <w:rFonts w:cs="Times New Roman"/>
          <w:lang w:val="fr-CA"/>
        </w:rPr>
        <w:t>1918</w:t>
      </w:r>
      <w:r w:rsidR="00795B2B">
        <w:rPr>
          <w:rFonts w:cs="Times New Roman"/>
          <w:lang w:val="fr-CA"/>
        </w:rPr>
        <w:t>-</w:t>
      </w:r>
      <w:r w:rsidRPr="00AF17C2">
        <w:rPr>
          <w:rFonts w:cs="Times New Roman"/>
          <w:lang w:val="fr-CA"/>
        </w:rPr>
        <w:t>2213, l</w:t>
      </w:r>
      <w:r>
        <w:rPr>
          <w:rFonts w:cs="Times New Roman"/>
          <w:lang w:val="fr-CA"/>
        </w:rPr>
        <w:t>’</w:t>
      </w:r>
      <w:r w:rsidRPr="00AF17C2">
        <w:rPr>
          <w:rFonts w:cs="Times New Roman"/>
          <w:lang w:val="fr-CA"/>
        </w:rPr>
        <w:t xml:space="preserve">exclusion prévue par la première </w:t>
      </w:r>
      <w:r w:rsidRPr="00AF17C2">
        <w:rPr>
          <w:rFonts w:cs="Times New Roman"/>
          <w:i/>
          <w:lang w:val="fr-CA"/>
        </w:rPr>
        <w:t xml:space="preserve">LRTFP </w:t>
      </w:r>
      <w:r w:rsidRPr="00AF17C2">
        <w:rPr>
          <w:rFonts w:cs="Times New Roman"/>
          <w:lang w:val="fr-CA"/>
        </w:rPr>
        <w:t>visait de même à priver les membres de la GRC de leur droit à la liberté d</w:t>
      </w:r>
      <w:r>
        <w:rPr>
          <w:rFonts w:cs="Times New Roman"/>
          <w:lang w:val="fr-CA"/>
        </w:rPr>
        <w:t>’</w:t>
      </w:r>
      <w:r w:rsidRPr="00AF17C2">
        <w:rPr>
          <w:rFonts w:cs="Times New Roman"/>
          <w:lang w:val="fr-CA"/>
        </w:rPr>
        <w:t xml:space="preserve">association. Le simple renouvellement de cette exclusion dans la </w:t>
      </w:r>
      <w:r w:rsidRPr="00AF17C2">
        <w:rPr>
          <w:rFonts w:cs="Times New Roman"/>
          <w:i/>
          <w:lang w:val="fr-CA"/>
        </w:rPr>
        <w:t>LRTFP</w:t>
      </w:r>
      <w:r w:rsidRPr="00AF17C2">
        <w:rPr>
          <w:rFonts w:cs="Times New Roman"/>
          <w:lang w:val="fr-CA"/>
        </w:rPr>
        <w:t xml:space="preserve"> actuelle n</w:t>
      </w:r>
      <w:r>
        <w:rPr>
          <w:rFonts w:cs="Times New Roman"/>
          <w:lang w:val="fr-CA"/>
        </w:rPr>
        <w:t>’</w:t>
      </w:r>
      <w:r w:rsidRPr="00AF17C2">
        <w:rPr>
          <w:rFonts w:cs="Times New Roman"/>
          <w:lang w:val="fr-CA"/>
        </w:rPr>
        <w:t>a pas validé cet objet inacceptable sur le plan constitutionnel. L</w:t>
      </w:r>
      <w:r>
        <w:rPr>
          <w:rFonts w:cs="Times New Roman"/>
          <w:lang w:val="fr-CA"/>
        </w:rPr>
        <w:t>’</w:t>
      </w:r>
      <w:r w:rsidRPr="00AF17C2">
        <w:rPr>
          <w:rFonts w:cs="Times New Roman"/>
          <w:lang w:val="fr-CA"/>
        </w:rPr>
        <w:t xml:space="preserve">exclusion prévue dans la version actuelle </w:t>
      </w:r>
      <w:r w:rsidRPr="00AF17C2">
        <w:rPr>
          <w:rFonts w:cs="Times New Roman"/>
          <w:lang w:val="fr-CA"/>
        </w:rPr>
        <w:lastRenderedPageBreak/>
        <w:t>de cette loi n</w:t>
      </w:r>
      <w:r>
        <w:rPr>
          <w:rFonts w:cs="Times New Roman"/>
          <w:lang w:val="fr-CA"/>
        </w:rPr>
        <w:t>’</w:t>
      </w:r>
      <w:r w:rsidRPr="00AF17C2">
        <w:rPr>
          <w:rFonts w:cs="Times New Roman"/>
          <w:lang w:val="fr-CA"/>
        </w:rPr>
        <w:t>est qu</w:t>
      </w:r>
      <w:r>
        <w:rPr>
          <w:rFonts w:cs="Times New Roman"/>
          <w:lang w:val="fr-CA"/>
        </w:rPr>
        <w:t>’</w:t>
      </w:r>
      <w:r w:rsidRPr="00AF17C2">
        <w:rPr>
          <w:rFonts w:cs="Times New Roman"/>
          <w:lang w:val="fr-CA"/>
        </w:rPr>
        <w:t>un élément d</w:t>
      </w:r>
      <w:r>
        <w:rPr>
          <w:rFonts w:cs="Times New Roman"/>
          <w:lang w:val="fr-CA"/>
        </w:rPr>
        <w:t>’</w:t>
      </w:r>
      <w:r w:rsidRPr="00AF17C2">
        <w:rPr>
          <w:rFonts w:cs="Times New Roman"/>
          <w:lang w:val="fr-CA"/>
        </w:rPr>
        <w:t>un régime de relations de travail déficient sur le plan constitutionnel, et conçu pour empêcher les membres de la GRC d</w:t>
      </w:r>
      <w:r>
        <w:rPr>
          <w:rFonts w:cs="Times New Roman"/>
          <w:lang w:val="fr-CA"/>
        </w:rPr>
        <w:t>’</w:t>
      </w:r>
      <w:r w:rsidRPr="00AF17C2">
        <w:rPr>
          <w:rFonts w:cs="Times New Roman"/>
          <w:lang w:val="fr-CA"/>
        </w:rPr>
        <w:t>exercer les droits que leur garantit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Nous concluons donc que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 xml:space="preserve">exclusion prévue par la </w:t>
      </w:r>
      <w:r w:rsidRPr="00AF17C2">
        <w:rPr>
          <w:rFonts w:cs="Times New Roman"/>
          <w:i/>
          <w:lang w:val="fr-CA"/>
        </w:rPr>
        <w:t xml:space="preserve">LRTFP </w:t>
      </w:r>
      <w:r w:rsidRPr="00AF17C2">
        <w:rPr>
          <w:rFonts w:cs="Times New Roman"/>
          <w:lang w:val="fr-CA"/>
        </w:rPr>
        <w:t>actuelle viole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w:t>
      </w:r>
    </w:p>
    <w:p w:rsidR="007B74A6" w:rsidRPr="00AF17C2" w:rsidRDefault="007B74A6" w:rsidP="00795B2B">
      <w:pPr>
        <w:pStyle w:val="Title3LevelTitre3Niveau"/>
        <w:rPr>
          <w:rFonts w:cs="Times New Roman"/>
          <w:lang w:val="fr-CA"/>
        </w:rPr>
      </w:pPr>
      <w:r w:rsidRPr="00AF17C2">
        <w:rPr>
          <w:rFonts w:cs="Times New Roman"/>
          <w:lang w:val="fr-CA"/>
        </w:rPr>
        <w:t>Résumé</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concluons que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exclusion prévue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constitue une entrave substantielle à la liberté d</w:t>
      </w:r>
      <w:r>
        <w:rPr>
          <w:rFonts w:cs="Times New Roman"/>
          <w:lang w:val="fr-CA"/>
        </w:rPr>
        <w:t>’</w:t>
      </w:r>
      <w:r w:rsidRPr="00AF17C2">
        <w:rPr>
          <w:rFonts w:cs="Times New Roman"/>
          <w:lang w:val="fr-CA"/>
        </w:rPr>
        <w:t>association. À ce stade, nous estimons par ailleurs qu</w:t>
      </w:r>
      <w:r>
        <w:rPr>
          <w:rFonts w:cs="Times New Roman"/>
          <w:lang w:val="fr-CA"/>
        </w:rPr>
        <w:t>’</w:t>
      </w:r>
      <w:r w:rsidRPr="00AF17C2">
        <w:rPr>
          <w:rFonts w:cs="Times New Roman"/>
          <w:lang w:val="fr-CA"/>
        </w:rPr>
        <w:t>il n</w:t>
      </w:r>
      <w:r>
        <w:rPr>
          <w:rFonts w:cs="Times New Roman"/>
          <w:lang w:val="fr-CA"/>
        </w:rPr>
        <w:t>’</w:t>
      </w:r>
      <w:r w:rsidRPr="00AF17C2">
        <w:rPr>
          <w:rFonts w:cs="Times New Roman"/>
          <w:lang w:val="fr-CA"/>
        </w:rPr>
        <w:t>est pas nécessaire que nous nous penchions sur les effets de l</w:t>
      </w:r>
      <w:r>
        <w:rPr>
          <w:rFonts w:cs="Times New Roman"/>
          <w:lang w:val="fr-CA"/>
        </w:rPr>
        <w:t>’</w:t>
      </w:r>
      <w:r w:rsidRPr="00AF17C2">
        <w:rPr>
          <w:rFonts w:cs="Times New Roman"/>
          <w:lang w:val="fr-CA"/>
        </w:rPr>
        <w:t>exclusion prévue par cette disposition indépendamment de ceux de l</w:t>
      </w:r>
      <w:r>
        <w:rPr>
          <w:rFonts w:cs="Times New Roman"/>
          <w:lang w:val="fr-CA"/>
        </w:rPr>
        <w:t>’</w:t>
      </w:r>
      <w:r w:rsidRPr="00AF17C2">
        <w:rPr>
          <w:rFonts w:cs="Times New Roman"/>
          <w:lang w:val="fr-CA"/>
        </w:rPr>
        <w:t>imposition du PRRF comme régime de relations de travail.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 xml:space="preserve">Cette conclusion ne signifie pas que le législateur doit inclure la GRC dans le régime de la </w:t>
      </w:r>
      <w:r w:rsidRPr="00AF17C2">
        <w:rPr>
          <w:rFonts w:cs="Times New Roman"/>
          <w:i/>
          <w:lang w:val="fr-CA"/>
        </w:rPr>
        <w:t>LRTFP</w:t>
      </w:r>
      <w:r w:rsidRPr="00AF17C2">
        <w:rPr>
          <w:rFonts w:cs="Times New Roman"/>
          <w:lang w:val="fr-CA"/>
        </w:rPr>
        <w:t xml:space="preserve"> actuelle. Comme nous l</w:t>
      </w:r>
      <w:r>
        <w:rPr>
          <w:rFonts w:cs="Times New Roman"/>
          <w:lang w:val="fr-CA"/>
        </w:rPr>
        <w:t>’</w:t>
      </w:r>
      <w:r w:rsidRPr="00AF17C2">
        <w:rPr>
          <w:rFonts w:cs="Times New Roman"/>
          <w:lang w:val="fr-CA"/>
        </w:rPr>
        <w:t>avons vu,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n</w:t>
      </w:r>
      <w:r>
        <w:rPr>
          <w:rFonts w:cs="Times New Roman"/>
          <w:lang w:val="fr-CA"/>
        </w:rPr>
        <w:t>’</w:t>
      </w:r>
      <w:r w:rsidRPr="00AF17C2">
        <w:rPr>
          <w:rFonts w:cs="Times New Roman"/>
          <w:lang w:val="fr-CA"/>
        </w:rPr>
        <w:t>impose pas un modèle particulier de relations du travail. Notre conclusion quant à la constitutionnalité de l</w:t>
      </w:r>
      <w:r>
        <w:rPr>
          <w:rFonts w:cs="Times New Roman"/>
          <w:lang w:val="fr-CA"/>
        </w:rPr>
        <w:t>’</w:t>
      </w:r>
      <w:r w:rsidRPr="00AF17C2">
        <w:rPr>
          <w:rFonts w:cs="Times New Roman"/>
          <w:lang w:val="fr-CA"/>
        </w:rPr>
        <w:t xml:space="preserve">exclusion prévue par la </w:t>
      </w:r>
      <w:r w:rsidRPr="00AF17C2">
        <w:rPr>
          <w:rFonts w:cs="Times New Roman"/>
          <w:i/>
          <w:lang w:val="fr-CA"/>
        </w:rPr>
        <w:t>LRTFP</w:t>
      </w:r>
      <w:r w:rsidRPr="00AF17C2">
        <w:rPr>
          <w:rFonts w:cs="Times New Roman"/>
          <w:lang w:val="fr-CA"/>
        </w:rPr>
        <w:t xml:space="preserve"> actuelle signifie seulement que le législateur ne doit pas entraver substantiellement le droit des membres de cette organisation à un processus véritable de négociation collective, à moins que cette entrave puisse être justifiée au regard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 Par exemple, le gouvernement fédéral peut toujours examiner d</w:t>
      </w:r>
      <w:r>
        <w:rPr>
          <w:rFonts w:cs="Times New Roman"/>
          <w:lang w:val="fr-CA"/>
        </w:rPr>
        <w:t>’</w:t>
      </w:r>
      <w:r w:rsidRPr="00AF17C2">
        <w:rPr>
          <w:rFonts w:cs="Times New Roman"/>
          <w:lang w:val="fr-CA"/>
        </w:rPr>
        <w:t>autres processus de négociations collectives qui seraient plus adaptés au contexte particulier dans lequel les membres de la GRC s</w:t>
      </w:r>
      <w:r>
        <w:rPr>
          <w:rFonts w:cs="Times New Roman"/>
          <w:lang w:val="fr-CA"/>
        </w:rPr>
        <w:t>’</w:t>
      </w:r>
      <w:r w:rsidRPr="00AF17C2">
        <w:rPr>
          <w:rFonts w:cs="Times New Roman"/>
          <w:lang w:val="fr-CA"/>
        </w:rPr>
        <w:t>acquittent de leurs fonctions.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examinerons maintenant si les violations des droits protégés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découlant de l</w:t>
      </w:r>
      <w:r>
        <w:rPr>
          <w:rFonts w:cs="Times New Roman"/>
          <w:lang w:val="fr-CA"/>
        </w:rPr>
        <w:t>’</w:t>
      </w:r>
      <w:r w:rsidRPr="00AF17C2">
        <w:rPr>
          <w:rFonts w:cs="Times New Roman"/>
          <w:lang w:val="fr-CA"/>
        </w:rPr>
        <w:t>imposition par la loi du PRRF et de l</w:t>
      </w:r>
      <w:r>
        <w:rPr>
          <w:rFonts w:cs="Times New Roman"/>
          <w:lang w:val="fr-CA"/>
        </w:rPr>
        <w:t>’</w:t>
      </w:r>
      <w:r w:rsidRPr="00AF17C2">
        <w:rPr>
          <w:rFonts w:cs="Times New Roman"/>
          <w:lang w:val="fr-CA"/>
        </w:rPr>
        <w:t xml:space="preserve">exclusion </w:t>
      </w:r>
      <w:r w:rsidRPr="00AF17C2">
        <w:rPr>
          <w:rFonts w:cs="Times New Roman"/>
          <w:lang w:val="fr-CA"/>
        </w:rPr>
        <w:lastRenderedPageBreak/>
        <w:t>des membres de la GRC du champ d</w:t>
      </w:r>
      <w:r>
        <w:rPr>
          <w:rFonts w:cs="Times New Roman"/>
          <w:lang w:val="fr-CA"/>
        </w:rPr>
        <w:t>’</w:t>
      </w:r>
      <w:r w:rsidRPr="00AF17C2">
        <w:rPr>
          <w:rFonts w:cs="Times New Roman"/>
          <w:lang w:val="fr-CA"/>
        </w:rPr>
        <w:t xml:space="preserve">application de la </w:t>
      </w:r>
      <w:r w:rsidRPr="00AF17C2">
        <w:rPr>
          <w:rFonts w:cs="Times New Roman"/>
          <w:i/>
          <w:lang w:val="fr-CA"/>
        </w:rPr>
        <w:t xml:space="preserve">LRTFP </w:t>
      </w:r>
      <w:r w:rsidRPr="00AF17C2">
        <w:rPr>
          <w:rFonts w:cs="Times New Roman"/>
          <w:lang w:val="fr-CA"/>
        </w:rPr>
        <w:t>actuelle sont justifiées au regard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w:t>
      </w:r>
    </w:p>
    <w:p w:rsidR="007B74A6" w:rsidRPr="00AF17C2" w:rsidRDefault="007B74A6" w:rsidP="00795B2B">
      <w:pPr>
        <w:pStyle w:val="Title2LevelTitre2Niveau"/>
        <w:jc w:val="both"/>
        <w:rPr>
          <w:rFonts w:cs="Times New Roman"/>
          <w:lang w:val="fr-CA"/>
        </w:rPr>
      </w:pPr>
      <w:r w:rsidRPr="00AF17C2">
        <w:rPr>
          <w:rFonts w:cs="Times New Roman"/>
          <w:lang w:val="fr-CA"/>
        </w:rPr>
        <w:t>Les restrictions imposées aux droits que garantit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2d) aux membres de la GRC sont</w:t>
      </w:r>
      <w:r w:rsidR="00795B2B">
        <w:rPr>
          <w:rFonts w:cs="Times New Roman"/>
          <w:lang w:val="fr-CA"/>
        </w:rPr>
        <w:t>-</w:t>
      </w:r>
      <w:r w:rsidRPr="00AF17C2">
        <w:rPr>
          <w:rFonts w:cs="Times New Roman"/>
          <w:lang w:val="fr-CA"/>
        </w:rPr>
        <w:t>elles justifiées au regard de l</w:t>
      </w:r>
      <w:r>
        <w:rPr>
          <w:rFonts w:cs="Times New Roman"/>
          <w:lang w:val="fr-CA"/>
        </w:rPr>
        <w:t>’</w:t>
      </w:r>
      <w:r w:rsidRPr="00AF17C2">
        <w:rPr>
          <w:rFonts w:cs="Times New Roman"/>
          <w:lang w:val="fr-CA"/>
        </w:rPr>
        <w:t>article premier de la Charte?</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w:t>
      </w:r>
      <w:r>
        <w:rPr>
          <w:rFonts w:cs="Times New Roman"/>
          <w:lang w:val="fr-CA"/>
        </w:rPr>
        <w:t>’</w:t>
      </w:r>
      <w:r w:rsidRPr="00AF17C2">
        <w:rPr>
          <w:rFonts w:cs="Times New Roman"/>
          <w:lang w:val="fr-CA"/>
        </w:rPr>
        <w:t xml:space="preserve">article premier de la </w:t>
      </w:r>
      <w:r w:rsidRPr="00AF17C2">
        <w:rPr>
          <w:rFonts w:cs="Times New Roman"/>
          <w:i/>
          <w:lang w:val="fr-CA"/>
        </w:rPr>
        <w:t xml:space="preserve">Charte </w:t>
      </w:r>
      <w:r w:rsidRPr="00AF17C2">
        <w:rPr>
          <w:rFonts w:cs="Times New Roman"/>
          <w:lang w:val="fr-CA"/>
        </w:rPr>
        <w:t>permet au législateur d</w:t>
      </w:r>
      <w:r>
        <w:rPr>
          <w:rFonts w:cs="Times New Roman"/>
          <w:lang w:val="fr-CA"/>
        </w:rPr>
        <w:t>’</w:t>
      </w:r>
      <w:r w:rsidRPr="00AF17C2">
        <w:rPr>
          <w:rFonts w:cs="Times New Roman"/>
          <w:lang w:val="fr-CA"/>
        </w:rPr>
        <w:t xml:space="preserve">adopter des lois qui restreignent les droits garantis par la </w:t>
      </w:r>
      <w:r w:rsidRPr="00AF17C2">
        <w:rPr>
          <w:rFonts w:cs="Times New Roman"/>
          <w:i/>
          <w:lang w:val="fr-CA"/>
        </w:rPr>
        <w:t>Charte</w:t>
      </w:r>
      <w:r w:rsidRPr="00AF17C2">
        <w:rPr>
          <w:rFonts w:cs="Times New Roman"/>
          <w:lang w:val="fr-CA"/>
        </w:rPr>
        <w:t xml:space="preserve"> s</w:t>
      </w:r>
      <w:r>
        <w:rPr>
          <w:rFonts w:cs="Times New Roman"/>
          <w:lang w:val="fr-CA"/>
        </w:rPr>
        <w:t>’</w:t>
      </w:r>
      <w:r w:rsidRPr="00AF17C2">
        <w:rPr>
          <w:rFonts w:cs="Times New Roman"/>
          <w:lang w:val="fr-CA"/>
        </w:rPr>
        <w:t>il est établi que les limites imposées sont des limites raisonnables dont la justification peut se démontrer dans le cadre d</w:t>
      </w:r>
      <w:r>
        <w:rPr>
          <w:rFonts w:cs="Times New Roman"/>
          <w:lang w:val="fr-CA"/>
        </w:rPr>
        <w:t>’</w:t>
      </w:r>
      <w:r w:rsidRPr="00AF17C2">
        <w:rPr>
          <w:rFonts w:cs="Times New Roman"/>
          <w:lang w:val="fr-CA"/>
        </w:rPr>
        <w:t>une société libre et démocratique. Cette procédure de justification exige que l</w:t>
      </w:r>
      <w:r>
        <w:rPr>
          <w:rFonts w:cs="Times New Roman"/>
          <w:lang w:val="fr-CA"/>
        </w:rPr>
        <w:t>’</w:t>
      </w:r>
      <w:r w:rsidRPr="00AF17C2">
        <w:rPr>
          <w:rFonts w:cs="Times New Roman"/>
          <w:lang w:val="fr-CA"/>
        </w:rPr>
        <w:t>objectif de la mesure soit urgent et réel et que le moyen choisi pour l</w:t>
      </w:r>
      <w:r>
        <w:rPr>
          <w:rFonts w:cs="Times New Roman"/>
          <w:lang w:val="fr-CA"/>
        </w:rPr>
        <w:t>’</w:t>
      </w:r>
      <w:r w:rsidRPr="00AF17C2">
        <w:rPr>
          <w:rFonts w:cs="Times New Roman"/>
          <w:lang w:val="fr-CA"/>
        </w:rPr>
        <w:t>atteindre soit proportionné à cet objectif, c.</w:t>
      </w:r>
      <w:r w:rsidR="00795B2B">
        <w:rPr>
          <w:rFonts w:cs="Times New Roman"/>
          <w:lang w:val="fr-CA"/>
        </w:rPr>
        <w:t>-</w:t>
      </w:r>
      <w:r w:rsidRPr="00AF17C2">
        <w:rPr>
          <w:rFonts w:cs="Times New Roman"/>
          <w:lang w:val="fr-CA"/>
        </w:rPr>
        <w:t>à</w:t>
      </w:r>
      <w:r w:rsidR="00795B2B">
        <w:rPr>
          <w:rFonts w:cs="Times New Roman"/>
          <w:lang w:val="fr-CA"/>
        </w:rPr>
        <w:t>-</w:t>
      </w:r>
      <w:r w:rsidRPr="00AF17C2">
        <w:rPr>
          <w:rFonts w:cs="Times New Roman"/>
          <w:lang w:val="fr-CA"/>
        </w:rPr>
        <w:t>d. qu</w:t>
      </w:r>
      <w:r>
        <w:rPr>
          <w:rFonts w:cs="Times New Roman"/>
          <w:lang w:val="fr-CA"/>
        </w:rPr>
        <w:t>’</w:t>
      </w:r>
      <w:r w:rsidRPr="00AF17C2">
        <w:rPr>
          <w:rFonts w:cs="Times New Roman"/>
          <w:lang w:val="fr-CA"/>
        </w:rPr>
        <w:t>il possède un lien rationnel avec l</w:t>
      </w:r>
      <w:r>
        <w:rPr>
          <w:rFonts w:cs="Times New Roman"/>
          <w:lang w:val="fr-CA"/>
        </w:rPr>
        <w:t>’</w:t>
      </w:r>
      <w:r w:rsidRPr="00AF17C2">
        <w:rPr>
          <w:rFonts w:cs="Times New Roman"/>
          <w:lang w:val="fr-CA"/>
        </w:rPr>
        <w:t>objet de la loi, qu</w:t>
      </w:r>
      <w:r>
        <w:rPr>
          <w:rFonts w:cs="Times New Roman"/>
          <w:lang w:val="fr-CA"/>
        </w:rPr>
        <w:t>’</w:t>
      </w:r>
      <w:r w:rsidRPr="00AF17C2">
        <w:rPr>
          <w:rFonts w:cs="Times New Roman"/>
          <w:lang w:val="fr-CA"/>
        </w:rPr>
        <w:t>il porte le moins possible atteinte au droit garanti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et qu</w:t>
      </w:r>
      <w:r>
        <w:rPr>
          <w:rFonts w:cs="Times New Roman"/>
          <w:lang w:val="fr-CA"/>
        </w:rPr>
        <w:t>’</w:t>
      </w:r>
      <w:r w:rsidRPr="00AF17C2">
        <w:rPr>
          <w:rFonts w:cs="Times New Roman"/>
          <w:lang w:val="fr-CA"/>
        </w:rPr>
        <w:t>il soit proportionné sur le plan de ses effets (</w:t>
      </w:r>
      <w:r w:rsidRPr="00AF17C2">
        <w:rPr>
          <w:rFonts w:cs="Times New Roman"/>
          <w:i/>
          <w:lang w:val="fr-CA"/>
        </w:rPr>
        <w:t xml:space="preserve">R. c. </w:t>
      </w:r>
      <w:proofErr w:type="spellStart"/>
      <w:r w:rsidRPr="00AF17C2">
        <w:rPr>
          <w:rFonts w:cs="Times New Roman"/>
          <w:i/>
          <w:lang w:val="fr-CA"/>
        </w:rPr>
        <w:t>Oakes</w:t>
      </w:r>
      <w:proofErr w:type="spellEnd"/>
      <w:r w:rsidRPr="00AF17C2">
        <w:rPr>
          <w:rFonts w:cs="Times New Roman"/>
          <w:lang w:val="fr-CA"/>
        </w:rPr>
        <w:t>, [1986] 1</w:t>
      </w:r>
      <w:r w:rsidR="00795B2B">
        <w:rPr>
          <w:rFonts w:cs="Times New Roman"/>
          <w:lang w:val="fr-CA"/>
        </w:rPr>
        <w:t xml:space="preserve"> </w:t>
      </w:r>
      <w:r w:rsidRPr="00AF17C2">
        <w:rPr>
          <w:rFonts w:cs="Times New Roman"/>
          <w:lang w:val="fr-CA"/>
        </w:rPr>
        <w:t>R.C.S.</w:t>
      </w:r>
      <w:r w:rsidR="00795B2B">
        <w:rPr>
          <w:rFonts w:cs="Times New Roman"/>
          <w:lang w:val="fr-CA"/>
        </w:rPr>
        <w:t xml:space="preserve"> </w:t>
      </w:r>
      <w:r w:rsidRPr="00AF17C2">
        <w:rPr>
          <w:rFonts w:cs="Times New Roman"/>
          <w:lang w:val="fr-CA"/>
        </w:rPr>
        <w:t xml:space="preserve">103;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137</w:t>
      </w:r>
      <w:r w:rsidR="00795B2B">
        <w:rPr>
          <w:rFonts w:cs="Times New Roman"/>
          <w:lang w:val="fr-CA"/>
        </w:rPr>
        <w:t>-</w:t>
      </w:r>
      <w:r w:rsidRPr="00AF17C2">
        <w:rPr>
          <w:rFonts w:cs="Times New Roman"/>
          <w:lang w:val="fr-CA"/>
        </w:rPr>
        <w:t xml:space="preserve">139). La partie qui défend la validité de la mesure restreignant un droit protégé par la </w:t>
      </w:r>
      <w:r w:rsidRPr="00AF17C2">
        <w:rPr>
          <w:rFonts w:cs="Times New Roman"/>
          <w:i/>
          <w:lang w:val="fr-CA"/>
        </w:rPr>
        <w:t>Charte</w:t>
      </w:r>
      <w:r w:rsidRPr="00AF17C2">
        <w:rPr>
          <w:rFonts w:cs="Times New Roman"/>
          <w:lang w:val="fr-CA"/>
        </w:rPr>
        <w:t xml:space="preserve"> doit établir qu</w:t>
      </w:r>
      <w:r>
        <w:rPr>
          <w:rFonts w:cs="Times New Roman"/>
          <w:lang w:val="fr-CA"/>
        </w:rPr>
        <w:t>’</w:t>
      </w:r>
      <w:r w:rsidRPr="00AF17C2">
        <w:rPr>
          <w:rFonts w:cs="Times New Roman"/>
          <w:lang w:val="fr-CA"/>
        </w:rPr>
        <w:t>elle est justifiée, suivant la prépondérance des probabilités (</w:t>
      </w:r>
      <w:r w:rsidRPr="00AF17C2">
        <w:rPr>
          <w:rFonts w:cs="Times New Roman"/>
          <w:i/>
          <w:lang w:val="fr-CA"/>
        </w:rPr>
        <w:t>RJR</w:t>
      </w:r>
      <w:r w:rsidR="00795B2B">
        <w:rPr>
          <w:rFonts w:cs="Times New Roman"/>
          <w:i/>
          <w:lang w:val="fr-CA"/>
        </w:rPr>
        <w:t>-</w:t>
      </w:r>
      <w:proofErr w:type="spellStart"/>
      <w:r w:rsidRPr="00AF17C2">
        <w:rPr>
          <w:rFonts w:cs="Times New Roman"/>
          <w:i/>
          <w:lang w:val="fr-CA"/>
        </w:rPr>
        <w:t>MacDonald</w:t>
      </w:r>
      <w:proofErr w:type="spellEnd"/>
      <w:r w:rsidRPr="00AF17C2">
        <w:rPr>
          <w:rFonts w:cs="Times New Roman"/>
          <w:i/>
          <w:lang w:val="fr-CA"/>
        </w:rPr>
        <w:t xml:space="preserve"> Inc. c. Canada (Procureur général)</w:t>
      </w:r>
      <w:r w:rsidRPr="00AF17C2">
        <w:rPr>
          <w:rFonts w:cs="Times New Roman"/>
          <w:lang w:val="fr-CA"/>
        </w:rPr>
        <w:t>, [1995] 3 R.C.S.</w:t>
      </w:r>
      <w:r w:rsidR="00795B2B">
        <w:rPr>
          <w:rFonts w:cs="Times New Roman"/>
          <w:lang w:val="fr-CA"/>
        </w:rPr>
        <w:t xml:space="preserve"> </w:t>
      </w:r>
      <w:r w:rsidRPr="00AF17C2">
        <w:rPr>
          <w:rFonts w:cs="Times New Roman"/>
          <w:lang w:val="fr-CA"/>
        </w:rPr>
        <w:t>199, par.</w:t>
      </w:r>
      <w:r w:rsidR="00795B2B">
        <w:rPr>
          <w:rFonts w:cs="Times New Roman"/>
          <w:lang w:val="fr-CA"/>
        </w:rPr>
        <w:t xml:space="preserve"> </w:t>
      </w:r>
      <w:r w:rsidRPr="00AF17C2">
        <w:rPr>
          <w:rFonts w:cs="Times New Roman"/>
          <w:lang w:val="fr-CA"/>
        </w:rPr>
        <w:t>137</w:t>
      </w:r>
      <w:r w:rsidR="00795B2B">
        <w:rPr>
          <w:rFonts w:cs="Times New Roman"/>
          <w:lang w:val="fr-CA"/>
        </w:rPr>
        <w:t>-</w:t>
      </w:r>
      <w:r w:rsidRPr="00AF17C2">
        <w:rPr>
          <w:rFonts w:cs="Times New Roman"/>
          <w:lang w:val="fr-CA"/>
        </w:rPr>
        <w:t>138 (</w:t>
      </w:r>
      <w:r w:rsidR="00795B2B">
        <w:rPr>
          <w:rFonts w:cs="Times New Roman"/>
          <w:lang w:val="fr-CA"/>
        </w:rPr>
        <w:t>« </w:t>
      </w:r>
      <w:r>
        <w:rPr>
          <w:rFonts w:cs="Times New Roman"/>
          <w:i/>
          <w:lang w:val="fr-CA"/>
        </w:rPr>
        <w:t>RJR</w:t>
      </w:r>
      <w:r w:rsidR="00795B2B">
        <w:rPr>
          <w:rFonts w:cs="Times New Roman"/>
          <w:i/>
          <w:lang w:val="fr-CA"/>
        </w:rPr>
        <w:t>-</w:t>
      </w:r>
      <w:proofErr w:type="spellStart"/>
      <w:r w:rsidRPr="00AF17C2">
        <w:rPr>
          <w:rFonts w:cs="Times New Roman"/>
          <w:i/>
          <w:lang w:val="fr-CA"/>
        </w:rPr>
        <w:t>MacDonald</w:t>
      </w:r>
      <w:proofErr w:type="spellEnd"/>
      <w:r w:rsidRPr="00AF17C2">
        <w:rPr>
          <w:rFonts w:cs="Times New Roman"/>
          <w:i/>
          <w:lang w:val="fr-CA"/>
        </w:rPr>
        <w:t xml:space="preserve"> (1995)</w:t>
      </w:r>
      <w:r w:rsidR="00795B2B">
        <w:rPr>
          <w:rFonts w:cs="Times New Roman"/>
          <w:lang w:val="fr-CA"/>
        </w:rPr>
        <w:t> »</w:t>
      </w:r>
      <w:r w:rsidRPr="00AF17C2">
        <w:rPr>
          <w:rFonts w:cs="Times New Roman"/>
          <w:lang w:val="fr-CA"/>
        </w:rPr>
        <w:t>). Au départ, mentionnons qu</w:t>
      </w:r>
      <w:r>
        <w:rPr>
          <w:rFonts w:cs="Times New Roman"/>
          <w:lang w:val="fr-CA"/>
        </w:rPr>
        <w:t>’</w:t>
      </w:r>
      <w:r w:rsidRPr="00AF17C2">
        <w:rPr>
          <w:rFonts w:cs="Times New Roman"/>
          <w:lang w:val="fr-CA"/>
        </w:rPr>
        <w:t xml:space="preserve">une mesure qui porte atteinte à la </w:t>
      </w:r>
      <w:r w:rsidRPr="00AF17C2">
        <w:rPr>
          <w:rFonts w:cs="Times New Roman"/>
          <w:i/>
          <w:lang w:val="fr-CA"/>
        </w:rPr>
        <w:t>Charte</w:t>
      </w:r>
      <w:r w:rsidRPr="00AF17C2">
        <w:rPr>
          <w:rFonts w:cs="Times New Roman"/>
          <w:lang w:val="fr-CA"/>
        </w:rPr>
        <w:t xml:space="preserve"> et qui est prise par voie de règlement est sans aucun doute </w:t>
      </w:r>
      <w:r w:rsidR="00795B2B">
        <w:rPr>
          <w:rFonts w:cs="Times New Roman"/>
          <w:lang w:val="fr-CA"/>
        </w:rPr>
        <w:t>« </w:t>
      </w:r>
      <w:r w:rsidRPr="00AF17C2">
        <w:rPr>
          <w:rFonts w:cs="Times New Roman"/>
          <w:lang w:val="fr-CA"/>
        </w:rPr>
        <w:t>prescrite par une règle de droit</w:t>
      </w:r>
      <w:r w:rsidR="00795B2B">
        <w:rPr>
          <w:rFonts w:cs="Times New Roman"/>
          <w:lang w:val="fr-CA"/>
        </w:rPr>
        <w:t> »</w:t>
      </w:r>
      <w:r w:rsidRPr="00AF17C2">
        <w:rPr>
          <w:rFonts w:cs="Times New Roman"/>
          <w:lang w:val="fr-CA"/>
        </w:rPr>
        <w:t>, pour l</w:t>
      </w:r>
      <w:r>
        <w:rPr>
          <w:rFonts w:cs="Times New Roman"/>
          <w:lang w:val="fr-CA"/>
        </w:rPr>
        <w:t>’</w:t>
      </w:r>
      <w:r w:rsidRPr="00AF17C2">
        <w:rPr>
          <w:rFonts w:cs="Times New Roman"/>
          <w:lang w:val="fr-CA"/>
        </w:rPr>
        <w:t>application de l</w:t>
      </w:r>
      <w:r>
        <w:rPr>
          <w:rFonts w:cs="Times New Roman"/>
          <w:lang w:val="fr-CA"/>
        </w:rPr>
        <w:t>’</w:t>
      </w:r>
      <w:r w:rsidRPr="00AF17C2">
        <w:rPr>
          <w:rFonts w:cs="Times New Roman"/>
          <w:lang w:val="fr-CA"/>
        </w:rPr>
        <w:t>article premier (</w:t>
      </w:r>
      <w:proofErr w:type="spellStart"/>
      <w:r w:rsidRPr="00AF17C2">
        <w:rPr>
          <w:rFonts w:cs="Times New Roman"/>
          <w:i/>
          <w:lang w:val="fr-CA"/>
        </w:rPr>
        <w:t>Hutterian</w:t>
      </w:r>
      <w:proofErr w:type="spellEnd"/>
      <w:r w:rsidRPr="00AF17C2">
        <w:rPr>
          <w:rFonts w:cs="Times New Roman"/>
          <w:i/>
          <w:lang w:val="fr-CA"/>
        </w:rPr>
        <w:t xml:space="preserve"> </w:t>
      </w:r>
      <w:proofErr w:type="spellStart"/>
      <w:r w:rsidRPr="00AF17C2">
        <w:rPr>
          <w:rFonts w:cs="Times New Roman"/>
          <w:i/>
          <w:lang w:val="fr-CA"/>
        </w:rPr>
        <w:t>Brethren</w:t>
      </w:r>
      <w:proofErr w:type="spellEnd"/>
      <w:r w:rsidRPr="00AF17C2">
        <w:rPr>
          <w:rFonts w:cs="Times New Roman"/>
          <w:lang w:val="fr-CA"/>
        </w:rPr>
        <w:t>, par.</w:t>
      </w:r>
      <w:r w:rsidR="00795B2B">
        <w:rPr>
          <w:rFonts w:cs="Times New Roman"/>
          <w:lang w:val="fr-CA"/>
        </w:rPr>
        <w:t xml:space="preserve"> </w:t>
      </w:r>
      <w:r w:rsidRPr="00AF17C2">
        <w:rPr>
          <w:rFonts w:cs="Times New Roman"/>
          <w:lang w:val="fr-CA"/>
        </w:rPr>
        <w:t>39</w:t>
      </w:r>
      <w:r w:rsidR="00795B2B">
        <w:rPr>
          <w:rFonts w:cs="Times New Roman"/>
          <w:lang w:val="fr-CA"/>
        </w:rPr>
        <w:t>-</w:t>
      </w:r>
      <w:r w:rsidRPr="00AF17C2">
        <w:rPr>
          <w:rFonts w:cs="Times New Roman"/>
          <w:lang w:val="fr-CA"/>
        </w:rPr>
        <w:t xml:space="preserve">40).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Comme nous l</w:t>
      </w:r>
      <w:r>
        <w:rPr>
          <w:rFonts w:cs="Times New Roman"/>
          <w:lang w:val="fr-CA"/>
        </w:rPr>
        <w:t>’</w:t>
      </w:r>
      <w:r w:rsidRPr="00AF17C2">
        <w:rPr>
          <w:rFonts w:cs="Times New Roman"/>
          <w:lang w:val="fr-CA"/>
        </w:rPr>
        <w:t>avons vu précédemment,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accorde au législateur une grande latitude dans l</w:t>
      </w:r>
      <w:r>
        <w:rPr>
          <w:rFonts w:cs="Times New Roman"/>
          <w:lang w:val="fr-CA"/>
        </w:rPr>
        <w:t>’</w:t>
      </w:r>
      <w:r w:rsidRPr="00AF17C2">
        <w:rPr>
          <w:rFonts w:cs="Times New Roman"/>
          <w:lang w:val="fr-CA"/>
        </w:rPr>
        <w:t>établissement d</w:t>
      </w:r>
      <w:r>
        <w:rPr>
          <w:rFonts w:cs="Times New Roman"/>
          <w:lang w:val="fr-CA"/>
        </w:rPr>
        <w:t>’</w:t>
      </w:r>
      <w:r w:rsidRPr="00AF17C2">
        <w:rPr>
          <w:rFonts w:cs="Times New Roman"/>
          <w:lang w:val="fr-CA"/>
        </w:rPr>
        <w:t>un régime de négociation collective qui satisfait aux exigences spéciales de la GRC. En outre, l</w:t>
      </w:r>
      <w:r>
        <w:rPr>
          <w:rFonts w:cs="Times New Roman"/>
          <w:lang w:val="fr-CA"/>
        </w:rPr>
        <w:t>’</w:t>
      </w:r>
      <w:r w:rsidRPr="00AF17C2">
        <w:rPr>
          <w:rFonts w:cs="Times New Roman"/>
          <w:lang w:val="fr-CA"/>
        </w:rPr>
        <w:t>article premier accorde à celui</w:t>
      </w:r>
      <w:r w:rsidR="00795B2B">
        <w:rPr>
          <w:rFonts w:cs="Times New Roman"/>
          <w:lang w:val="fr-CA"/>
        </w:rPr>
        <w:t>-</w:t>
      </w:r>
      <w:r w:rsidRPr="00AF17C2">
        <w:rPr>
          <w:rFonts w:cs="Times New Roman"/>
          <w:lang w:val="fr-CA"/>
        </w:rPr>
        <w:t>ci une marge de manœuvre additionnelle qui lui permet d</w:t>
      </w:r>
      <w:r>
        <w:rPr>
          <w:rFonts w:cs="Times New Roman"/>
          <w:lang w:val="fr-CA"/>
        </w:rPr>
        <w:t>’</w:t>
      </w:r>
      <w:r w:rsidRPr="00AF17C2">
        <w:rPr>
          <w:rFonts w:cs="Times New Roman"/>
          <w:lang w:val="fr-CA"/>
        </w:rPr>
        <w:t xml:space="preserve">établir un régime de </w:t>
      </w:r>
      <w:r w:rsidRPr="00AF17C2">
        <w:rPr>
          <w:rFonts w:cs="Times New Roman"/>
          <w:lang w:val="fr-CA"/>
        </w:rPr>
        <w:lastRenderedPageBreak/>
        <w:t>relations de travail pour atteindre des objectifs urgents et réels, dans la mesure, toutefois, où il peut démontrer que ces objectifs sont justifiés.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Dans leurs observations écrites sur l</w:t>
      </w:r>
      <w:r>
        <w:rPr>
          <w:rFonts w:cs="Times New Roman"/>
          <w:lang w:val="fr-CA"/>
        </w:rPr>
        <w:t>’</w:t>
      </w:r>
      <w:r w:rsidRPr="00AF17C2">
        <w:rPr>
          <w:rFonts w:cs="Times New Roman"/>
          <w:lang w:val="fr-CA"/>
        </w:rPr>
        <w:t>article premier, les parties ont traité des limites imposées par l</w:t>
      </w:r>
      <w:r>
        <w:rPr>
          <w:rFonts w:cs="Times New Roman"/>
          <w:lang w:val="fr-CA"/>
        </w:rPr>
        <w:t>’</w:t>
      </w:r>
      <w:r w:rsidRPr="00AF17C2">
        <w:rPr>
          <w:rFonts w:cs="Times New Roman"/>
          <w:lang w:val="fr-CA"/>
        </w:rPr>
        <w:t>effet conjugué de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xml:space="preserve"> et de l</w:t>
      </w:r>
      <w:r>
        <w:rPr>
          <w:rFonts w:cs="Times New Roman"/>
          <w:lang w:val="fr-CA"/>
        </w:rPr>
        <w:t>’</w:t>
      </w:r>
      <w:r w:rsidRPr="00AF17C2">
        <w:rPr>
          <w:rFonts w:cs="Times New Roman"/>
          <w:lang w:val="fr-CA"/>
        </w:rPr>
        <w:t>al.</w:t>
      </w:r>
      <w:r w:rsidR="00795B2B">
        <w:rPr>
          <w:rFonts w:cs="Times New Roman"/>
          <w:lang w:val="fr-CA"/>
        </w:rPr>
        <w:t xml:space="preserve"> </w:t>
      </w:r>
      <w:r w:rsidRPr="001A3F10">
        <w:rPr>
          <w:rFonts w:cs="Times New Roman"/>
          <w:i/>
          <w:lang w:val="fr-CA"/>
        </w:rPr>
        <w:t>d</w:t>
      </w:r>
      <w:r>
        <w:rPr>
          <w:rFonts w:cs="Times New Roman"/>
          <w:lang w:val="fr-CA"/>
        </w:rPr>
        <w:t xml:space="preserve">) de la définition de </w:t>
      </w:r>
      <w:r w:rsidR="00795B2B">
        <w:rPr>
          <w:rFonts w:cs="Times New Roman"/>
          <w:lang w:val="fr-CA"/>
        </w:rPr>
        <w:t>« </w:t>
      </w:r>
      <w:r>
        <w:rPr>
          <w:rFonts w:cs="Times New Roman"/>
          <w:lang w:val="fr-CA"/>
        </w:rPr>
        <w:t>fonctionnaire</w:t>
      </w:r>
      <w:r w:rsidR="00795B2B">
        <w:rPr>
          <w:rFonts w:cs="Times New Roman"/>
          <w:lang w:val="fr-CA"/>
        </w:rPr>
        <w:t> »</w:t>
      </w:r>
      <w:r>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w:t>
      </w:r>
      <w:r w:rsidRPr="00DB7901">
        <w:rPr>
          <w:rFonts w:cs="Times New Roman"/>
          <w:lang w:val="fr-CA"/>
        </w:rPr>
        <w:t>.</w:t>
      </w:r>
      <w:r w:rsidRPr="00AF17C2">
        <w:rPr>
          <w:rFonts w:cs="Times New Roman"/>
          <w:lang w:val="fr-CA"/>
        </w:rPr>
        <w:t xml:space="preserve"> Nous ferons de même. </w:t>
      </w:r>
    </w:p>
    <w:p w:rsidR="007B74A6" w:rsidRPr="00AF17C2" w:rsidRDefault="007B74A6" w:rsidP="00795B2B">
      <w:pPr>
        <w:pStyle w:val="Title3LevelTitre3Niveau"/>
        <w:ind w:left="1077"/>
        <w:rPr>
          <w:rFonts w:cs="Times New Roman"/>
          <w:lang w:val="fr-CA"/>
        </w:rPr>
      </w:pPr>
      <w:r w:rsidRPr="00AF17C2">
        <w:rPr>
          <w:rFonts w:cs="Times New Roman"/>
          <w:lang w:val="fr-CA"/>
        </w:rPr>
        <w:t>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imposition du PRRF est</w:t>
      </w:r>
      <w:r w:rsidR="00795B2B">
        <w:rPr>
          <w:rFonts w:cs="Times New Roman"/>
          <w:lang w:val="fr-CA"/>
        </w:rPr>
        <w:t>-</w:t>
      </w:r>
      <w:r w:rsidRPr="00AF17C2">
        <w:rPr>
          <w:rFonts w:cs="Times New Roman"/>
          <w:lang w:val="fr-CA"/>
        </w:rPr>
        <w:t>il urgent et réel?</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À cette étape, la question est de savoir si l</w:t>
      </w:r>
      <w:r>
        <w:rPr>
          <w:rFonts w:cs="Times New Roman"/>
          <w:lang w:val="fr-CA"/>
        </w:rPr>
        <w:t>’</w:t>
      </w:r>
      <w:r w:rsidRPr="00AF17C2">
        <w:rPr>
          <w:rFonts w:cs="Times New Roman"/>
          <w:lang w:val="fr-CA"/>
        </w:rPr>
        <w:t>objet de la mesure attentatoire est suffisamment important pour justifier en principe une restriction des droits et libertés garantis par la Constitution (</w:t>
      </w:r>
      <w:r w:rsidRPr="00AF17C2">
        <w:rPr>
          <w:rFonts w:cs="Times New Roman"/>
          <w:i/>
          <w:lang w:val="fr-CA"/>
        </w:rPr>
        <w:t>RJR</w:t>
      </w:r>
      <w:r w:rsidR="00795B2B">
        <w:rPr>
          <w:rFonts w:cs="Times New Roman"/>
          <w:i/>
          <w:lang w:val="fr-CA"/>
        </w:rPr>
        <w:t>-</w:t>
      </w:r>
      <w:proofErr w:type="spellStart"/>
      <w:r w:rsidRPr="00AF17C2">
        <w:rPr>
          <w:rFonts w:cs="Times New Roman"/>
          <w:i/>
          <w:lang w:val="fr-CA"/>
        </w:rPr>
        <w:t>MacDonald</w:t>
      </w:r>
      <w:proofErr w:type="spellEnd"/>
      <w:r w:rsidRPr="00AF17C2">
        <w:rPr>
          <w:rFonts w:cs="Times New Roman"/>
          <w:i/>
          <w:lang w:val="fr-CA"/>
        </w:rPr>
        <w:t xml:space="preserve"> (1995)</w:t>
      </w:r>
      <w:r w:rsidRPr="00AF17C2">
        <w:rPr>
          <w:rFonts w:cs="Times New Roman"/>
          <w:lang w:val="fr-CA"/>
        </w:rPr>
        <w:t>, par.</w:t>
      </w:r>
      <w:r w:rsidR="00795B2B">
        <w:rPr>
          <w:rFonts w:cs="Times New Roman"/>
          <w:lang w:val="fr-CA"/>
        </w:rPr>
        <w:t xml:space="preserve"> </w:t>
      </w:r>
      <w:r w:rsidRPr="00AF17C2">
        <w:rPr>
          <w:rFonts w:cs="Times New Roman"/>
          <w:lang w:val="fr-CA"/>
        </w:rPr>
        <w:t>143). Le procureur général du Canada soutient que</w:t>
      </w:r>
      <w:r w:rsidR="007462F4">
        <w:rPr>
          <w:rFonts w:cs="Times New Roman"/>
          <w:lang w:val="fr-CA"/>
        </w:rPr>
        <w:t xml:space="preserve"> l’exclusion des</w:t>
      </w:r>
      <w:r w:rsidRPr="00AF17C2">
        <w:rPr>
          <w:rFonts w:cs="Times New Roman"/>
          <w:lang w:val="fr-CA"/>
        </w:rPr>
        <w:t xml:space="preserve"> membres de la GRC du régime de la </w:t>
      </w:r>
      <w:r w:rsidRPr="00AF17C2">
        <w:rPr>
          <w:rFonts w:cs="Times New Roman"/>
          <w:i/>
          <w:lang w:val="fr-CA"/>
        </w:rPr>
        <w:t>LRTFP</w:t>
      </w:r>
      <w:r w:rsidRPr="00AF17C2">
        <w:rPr>
          <w:rFonts w:cs="Times New Roman"/>
          <w:lang w:val="fr-CA"/>
        </w:rPr>
        <w:t xml:space="preserve"> actuelle et </w:t>
      </w:r>
      <w:r w:rsidR="007462F4">
        <w:rPr>
          <w:rFonts w:cs="Times New Roman"/>
          <w:lang w:val="fr-CA"/>
        </w:rPr>
        <w:t xml:space="preserve">l’adoption </w:t>
      </w:r>
      <w:r w:rsidRPr="00AF17C2">
        <w:rPr>
          <w:rFonts w:cs="Times New Roman"/>
          <w:lang w:val="fr-CA"/>
        </w:rPr>
        <w:t xml:space="preserve">du </w:t>
      </w:r>
      <w:r w:rsidRPr="00AF17C2">
        <w:rPr>
          <w:rFonts w:cs="Times New Roman"/>
          <w:i/>
          <w:lang w:val="fr-CA"/>
        </w:rPr>
        <w:t>Règlement de la GRC</w:t>
      </w:r>
      <w:r w:rsidRPr="00AF17C2">
        <w:rPr>
          <w:rFonts w:cs="Times New Roman"/>
          <w:lang w:val="fr-CA"/>
        </w:rPr>
        <w:t xml:space="preserve"> </w:t>
      </w:r>
      <w:r w:rsidR="00C323B3">
        <w:rPr>
          <w:rFonts w:cs="Times New Roman"/>
          <w:lang w:val="fr-CA"/>
        </w:rPr>
        <w:t>visai</w:t>
      </w:r>
      <w:r w:rsidR="00D04A06">
        <w:rPr>
          <w:rFonts w:cs="Times New Roman"/>
          <w:lang w:val="fr-CA"/>
        </w:rPr>
        <w:t>en</w:t>
      </w:r>
      <w:r w:rsidR="007462F4">
        <w:rPr>
          <w:rFonts w:cs="Times New Roman"/>
          <w:lang w:val="fr-CA"/>
        </w:rPr>
        <w:t>t à</w:t>
      </w:r>
      <w:r w:rsidRPr="00AF17C2">
        <w:rPr>
          <w:rFonts w:cs="Times New Roman"/>
          <w:lang w:val="fr-CA"/>
        </w:rPr>
        <w:t xml:space="preserve"> préserver et </w:t>
      </w:r>
      <w:r w:rsidR="007462F4">
        <w:rPr>
          <w:rFonts w:cs="Times New Roman"/>
          <w:lang w:val="fr-CA"/>
        </w:rPr>
        <w:t xml:space="preserve">à </w:t>
      </w:r>
      <w:r w:rsidRPr="00AF17C2">
        <w:rPr>
          <w:rFonts w:cs="Times New Roman"/>
          <w:lang w:val="fr-CA"/>
        </w:rPr>
        <w:t>renforcer la confiance du public à l</w:t>
      </w:r>
      <w:r>
        <w:rPr>
          <w:rFonts w:cs="Times New Roman"/>
          <w:lang w:val="fr-CA"/>
        </w:rPr>
        <w:t>’</w:t>
      </w:r>
      <w:r w:rsidRPr="00AF17C2">
        <w:rPr>
          <w:rFonts w:cs="Times New Roman"/>
          <w:lang w:val="fr-CA"/>
        </w:rPr>
        <w:t>égard de la neutralité, de la stabilité et de la fiabilité de la GRC à titre de force policière indépendante et objective. Nous concluons que la nécessité de mettre en place une force policière indépendante et objective constitue un objectif urgent et réel au titre de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 xml:space="preserve">. </w:t>
      </w:r>
    </w:p>
    <w:p w:rsidR="007B74A6" w:rsidRPr="00AF17C2" w:rsidRDefault="007B74A6" w:rsidP="00795B2B">
      <w:pPr>
        <w:pStyle w:val="Title3LevelTitre3Niveau"/>
        <w:ind w:left="1077"/>
        <w:rPr>
          <w:rFonts w:cs="Times New Roman"/>
          <w:lang w:val="fr-CA"/>
        </w:rPr>
      </w:pPr>
      <w:r w:rsidRPr="00AF17C2">
        <w:rPr>
          <w:rFonts w:cs="Times New Roman"/>
          <w:lang w:val="fr-CA"/>
        </w:rPr>
        <w:t>Le moyen choisi pour atteindre l</w:t>
      </w:r>
      <w:r>
        <w:rPr>
          <w:rFonts w:cs="Times New Roman"/>
          <w:lang w:val="fr-CA"/>
        </w:rPr>
        <w:t>’</w:t>
      </w:r>
      <w:r w:rsidRPr="00AF17C2">
        <w:rPr>
          <w:rFonts w:cs="Times New Roman"/>
          <w:lang w:val="fr-CA"/>
        </w:rPr>
        <w:t>objectif est</w:t>
      </w:r>
      <w:r w:rsidR="00795B2B">
        <w:rPr>
          <w:rFonts w:cs="Times New Roman"/>
          <w:lang w:val="fr-CA"/>
        </w:rPr>
        <w:t>-</w:t>
      </w:r>
      <w:r w:rsidRPr="00AF17C2">
        <w:rPr>
          <w:rFonts w:cs="Times New Roman"/>
          <w:lang w:val="fr-CA"/>
        </w:rPr>
        <w:t xml:space="preserve">il proportionné? </w:t>
      </w:r>
    </w:p>
    <w:p w:rsidR="007B74A6" w:rsidRPr="00DB7901" w:rsidRDefault="007B74A6" w:rsidP="00795B2B">
      <w:pPr>
        <w:pStyle w:val="Title4LevelTitre4Niveau"/>
        <w:tabs>
          <w:tab w:val="left" w:pos="1080"/>
        </w:tabs>
        <w:ind w:left="1078" w:hanging="539"/>
        <w:rPr>
          <w:rFonts w:cs="Times New Roman"/>
          <w:i/>
          <w:u w:val="none"/>
          <w:lang w:val="fr-CA"/>
        </w:rPr>
      </w:pPr>
      <w:r w:rsidRPr="00DB7901">
        <w:rPr>
          <w:rFonts w:cs="Times New Roman"/>
          <w:i/>
          <w:u w:val="none"/>
          <w:lang w:val="fr-CA"/>
        </w:rPr>
        <w:t xml:space="preserve">Le lien rationnel </w:t>
      </w:r>
    </w:p>
    <w:p w:rsidR="007B74A6" w:rsidRPr="00AF17C2" w:rsidRDefault="007B74A6" w:rsidP="00795B2B">
      <w:pPr>
        <w:pStyle w:val="ParaNoNdepar-AltN"/>
        <w:rPr>
          <w:rFonts w:cs="Times New Roman"/>
          <w:lang w:val="fr-CA"/>
        </w:rPr>
      </w:pPr>
      <w:r w:rsidRPr="00AF17C2">
        <w:rPr>
          <w:rFonts w:cs="Times New Roman"/>
          <w:lang w:val="fr-CA"/>
        </w:rPr>
        <w:t>Le gouvernement doit démontrer qu</w:t>
      </w:r>
      <w:r>
        <w:rPr>
          <w:rFonts w:cs="Times New Roman"/>
          <w:lang w:val="fr-CA"/>
        </w:rPr>
        <w:t>’</w:t>
      </w:r>
      <w:r w:rsidRPr="00AF17C2">
        <w:rPr>
          <w:rFonts w:cs="Times New Roman"/>
          <w:lang w:val="fr-CA"/>
        </w:rPr>
        <w:t xml:space="preserve">il existe un lien rationnel entre la mesure attentatoire et son objectif. Ce critère </w:t>
      </w:r>
      <w:r w:rsidR="00795B2B">
        <w:rPr>
          <w:rFonts w:cs="Times New Roman"/>
          <w:lang w:val="fr-CA"/>
        </w:rPr>
        <w:t>« </w:t>
      </w:r>
      <w:r w:rsidRPr="00AF17C2">
        <w:rPr>
          <w:rFonts w:cs="Times New Roman"/>
          <w:lang w:val="fr-CA"/>
        </w:rPr>
        <w:t>n</w:t>
      </w:r>
      <w:r>
        <w:rPr>
          <w:rFonts w:cs="Times New Roman"/>
          <w:lang w:val="fr-CA"/>
        </w:rPr>
        <w:t>’</w:t>
      </w:r>
      <w:r w:rsidRPr="00AF17C2">
        <w:rPr>
          <w:rFonts w:cs="Times New Roman"/>
          <w:lang w:val="fr-CA"/>
        </w:rPr>
        <w:t>est pas particulièrement exigeant</w:t>
      </w:r>
      <w:r w:rsidR="00795B2B">
        <w:rPr>
          <w:rFonts w:cs="Times New Roman"/>
          <w:lang w:val="fr-CA"/>
        </w:rPr>
        <w:t> »</w:t>
      </w:r>
      <w:r w:rsidRPr="00AF17C2">
        <w:rPr>
          <w:rFonts w:cs="Times New Roman"/>
          <w:lang w:val="fr-CA"/>
        </w:rPr>
        <w:t xml:space="preserve"> </w:t>
      </w:r>
      <w:r w:rsidRPr="00AF17C2">
        <w:rPr>
          <w:rFonts w:cs="Times New Roman"/>
          <w:lang w:val="fr-CA"/>
        </w:rPr>
        <w:lastRenderedPageBreak/>
        <w:t>(</w:t>
      </w:r>
      <w:proofErr w:type="spellStart"/>
      <w:r w:rsidRPr="00AF17C2">
        <w:rPr>
          <w:rFonts w:cs="Times New Roman"/>
          <w:i/>
          <w:lang w:val="fr-CA"/>
        </w:rPr>
        <w:t>Little</w:t>
      </w:r>
      <w:proofErr w:type="spellEnd"/>
      <w:r w:rsidRPr="00AF17C2">
        <w:rPr>
          <w:rFonts w:cs="Times New Roman"/>
          <w:i/>
          <w:lang w:val="fr-CA"/>
        </w:rPr>
        <w:t xml:space="preserve"> </w:t>
      </w:r>
      <w:proofErr w:type="spellStart"/>
      <w:r w:rsidRPr="00AF17C2">
        <w:rPr>
          <w:rFonts w:cs="Times New Roman"/>
          <w:i/>
          <w:lang w:val="fr-CA"/>
        </w:rPr>
        <w:t>Sisters</w:t>
      </w:r>
      <w:proofErr w:type="spellEnd"/>
      <w:r w:rsidRPr="00AF17C2">
        <w:rPr>
          <w:rFonts w:cs="Times New Roman"/>
          <w:i/>
          <w:lang w:val="fr-CA"/>
        </w:rPr>
        <w:t xml:space="preserve"> Book and Art Emporium c. Canada (Ministre de la Justice)</w:t>
      </w:r>
      <w:r w:rsidRPr="00AF17C2">
        <w:rPr>
          <w:rFonts w:cs="Times New Roman"/>
          <w:lang w:val="fr-CA"/>
        </w:rPr>
        <w:t>, 2000 CSC 69, [2000] 2 R.C.S.</w:t>
      </w:r>
      <w:r w:rsidR="00795B2B">
        <w:rPr>
          <w:rFonts w:cs="Times New Roman"/>
          <w:lang w:val="fr-CA"/>
        </w:rPr>
        <w:t xml:space="preserve"> </w:t>
      </w:r>
      <w:r w:rsidRPr="00AF17C2">
        <w:rPr>
          <w:rFonts w:cs="Times New Roman"/>
          <w:lang w:val="fr-CA"/>
        </w:rPr>
        <w:t>1120, par.</w:t>
      </w:r>
      <w:r w:rsidR="00795B2B">
        <w:rPr>
          <w:rFonts w:cs="Times New Roman"/>
          <w:lang w:val="fr-CA"/>
        </w:rPr>
        <w:t xml:space="preserve"> </w:t>
      </w:r>
      <w:r w:rsidRPr="00AF17C2">
        <w:rPr>
          <w:rFonts w:cs="Times New Roman"/>
          <w:lang w:val="fr-CA"/>
        </w:rPr>
        <w:t xml:space="preserve">228;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148). Il n</w:t>
      </w:r>
      <w:r>
        <w:rPr>
          <w:rFonts w:cs="Times New Roman"/>
          <w:lang w:val="fr-CA"/>
        </w:rPr>
        <w:t>’</w:t>
      </w:r>
      <w:r w:rsidRPr="00AF17C2">
        <w:rPr>
          <w:rFonts w:cs="Times New Roman"/>
          <w:lang w:val="fr-CA"/>
        </w:rPr>
        <w:t>est pas nécessaire d</w:t>
      </w:r>
      <w:r>
        <w:rPr>
          <w:rFonts w:cs="Times New Roman"/>
          <w:lang w:val="fr-CA"/>
        </w:rPr>
        <w:t>’</w:t>
      </w:r>
      <w:r w:rsidRPr="00AF17C2">
        <w:rPr>
          <w:rFonts w:cs="Times New Roman"/>
          <w:lang w:val="fr-CA"/>
        </w:rPr>
        <w:t xml:space="preserve">établir que la mesure permettra </w:t>
      </w:r>
      <w:r w:rsidRPr="00AF17C2">
        <w:rPr>
          <w:rFonts w:cs="Times New Roman"/>
          <w:i/>
          <w:lang w:val="fr-CA"/>
        </w:rPr>
        <w:t>inévitablement</w:t>
      </w:r>
      <w:r w:rsidRPr="00AF17C2">
        <w:rPr>
          <w:rFonts w:cs="Times New Roman"/>
          <w:lang w:val="fr-CA"/>
        </w:rPr>
        <w:t xml:space="preserve"> d</w:t>
      </w:r>
      <w:r>
        <w:rPr>
          <w:rFonts w:cs="Times New Roman"/>
          <w:lang w:val="fr-CA"/>
        </w:rPr>
        <w:t>’</w:t>
      </w:r>
      <w:r w:rsidRPr="00AF17C2">
        <w:rPr>
          <w:rFonts w:cs="Times New Roman"/>
          <w:lang w:val="fr-CA"/>
        </w:rPr>
        <w:t>atteindre l</w:t>
      </w:r>
      <w:r>
        <w:rPr>
          <w:rFonts w:cs="Times New Roman"/>
          <w:lang w:val="fr-CA"/>
        </w:rPr>
        <w:t>’</w:t>
      </w:r>
      <w:r w:rsidRPr="00AF17C2">
        <w:rPr>
          <w:rFonts w:cs="Times New Roman"/>
          <w:lang w:val="fr-CA"/>
        </w:rPr>
        <w:t>objectif visé par le gouvernement. Une inférence raisonnable que les moyens adoptés par ce dernier aideront à réaliser l</w:t>
      </w:r>
      <w:r>
        <w:rPr>
          <w:rFonts w:cs="Times New Roman"/>
          <w:lang w:val="fr-CA"/>
        </w:rPr>
        <w:t>’</w:t>
      </w:r>
      <w:r w:rsidRPr="00AF17C2">
        <w:rPr>
          <w:rFonts w:cs="Times New Roman"/>
          <w:lang w:val="fr-CA"/>
        </w:rPr>
        <w:t>objectif en question suffit (</w:t>
      </w:r>
      <w:r w:rsidRPr="00AF17C2">
        <w:rPr>
          <w:rFonts w:cs="Times New Roman"/>
          <w:i/>
          <w:lang w:val="fr-CA"/>
        </w:rPr>
        <w:t>Canada (Procureur général) c. JTI</w:t>
      </w:r>
      <w:r w:rsidR="00795B2B">
        <w:rPr>
          <w:rFonts w:cs="Times New Roman"/>
          <w:i/>
          <w:lang w:val="fr-CA"/>
        </w:rPr>
        <w:t>-</w:t>
      </w:r>
      <w:r w:rsidRPr="00AF17C2">
        <w:rPr>
          <w:rFonts w:cs="Times New Roman"/>
          <w:i/>
          <w:lang w:val="fr-CA"/>
        </w:rPr>
        <w:t>Macdonald Corp.</w:t>
      </w:r>
      <w:r w:rsidRPr="00AF17C2">
        <w:rPr>
          <w:rFonts w:cs="Times New Roman"/>
          <w:lang w:val="fr-CA"/>
        </w:rPr>
        <w:t>, 2007 CSC 30, [2007] 2 R.C.S.</w:t>
      </w:r>
      <w:r w:rsidR="00795B2B">
        <w:rPr>
          <w:rFonts w:cs="Times New Roman"/>
          <w:lang w:val="fr-CA"/>
        </w:rPr>
        <w:t xml:space="preserve"> </w:t>
      </w:r>
      <w:r w:rsidRPr="00AF17C2">
        <w:rPr>
          <w:rFonts w:cs="Times New Roman"/>
          <w:lang w:val="fr-CA"/>
        </w:rPr>
        <w:t>610, par.</w:t>
      </w:r>
      <w:r w:rsidR="00795B2B">
        <w:rPr>
          <w:rFonts w:cs="Times New Roman"/>
          <w:lang w:val="fr-CA"/>
        </w:rPr>
        <w:t xml:space="preserve"> </w:t>
      </w:r>
      <w:r w:rsidRPr="00AF17C2">
        <w:rPr>
          <w:rFonts w:cs="Times New Roman"/>
          <w:lang w:val="fr-CA"/>
        </w:rPr>
        <w:t xml:space="preserve">40; </w:t>
      </w:r>
      <w:proofErr w:type="spellStart"/>
      <w:r w:rsidRPr="00AF17C2">
        <w:rPr>
          <w:rFonts w:cs="Times New Roman"/>
          <w:i/>
          <w:lang w:val="fr-CA"/>
        </w:rPr>
        <w:t>Health</w:t>
      </w:r>
      <w:proofErr w:type="spellEnd"/>
      <w:r w:rsidRPr="00AF17C2">
        <w:rPr>
          <w:rFonts w:cs="Times New Roman"/>
          <w:i/>
          <w:lang w:val="fr-CA"/>
        </w:rPr>
        <w:t xml:space="preserve"> Services</w:t>
      </w:r>
      <w:r w:rsidRPr="00AF17C2">
        <w:rPr>
          <w:rFonts w:cs="Times New Roman"/>
          <w:lang w:val="fr-CA"/>
        </w:rPr>
        <w:t>, par.</w:t>
      </w:r>
      <w:r w:rsidR="00795B2B">
        <w:rPr>
          <w:rFonts w:cs="Times New Roman"/>
          <w:lang w:val="fr-CA"/>
        </w:rPr>
        <w:t xml:space="preserve"> </w:t>
      </w:r>
      <w:r w:rsidRPr="00AF17C2">
        <w:rPr>
          <w:rFonts w:cs="Times New Roman"/>
          <w:lang w:val="fr-CA"/>
        </w:rPr>
        <w:t>149). L</w:t>
      </w:r>
      <w:r>
        <w:rPr>
          <w:rFonts w:cs="Times New Roman"/>
          <w:lang w:val="fr-CA"/>
        </w:rPr>
        <w:t>’</w:t>
      </w:r>
      <w:r w:rsidRPr="00AF17C2">
        <w:rPr>
          <w:rFonts w:cs="Times New Roman"/>
          <w:lang w:val="fr-CA"/>
        </w:rPr>
        <w:t>examen doit porter sur le lien causal.</w:t>
      </w:r>
    </w:p>
    <w:p w:rsidR="007B74A6" w:rsidRPr="00AF17C2" w:rsidRDefault="007B74A6" w:rsidP="00795B2B">
      <w:pPr>
        <w:pStyle w:val="ParaNoNdepar-AltN"/>
        <w:rPr>
          <w:rFonts w:cs="Times New Roman"/>
          <w:lang w:val="fr-CA"/>
        </w:rPr>
      </w:pPr>
      <w:r w:rsidRPr="00AF17C2">
        <w:rPr>
          <w:rFonts w:cs="Times New Roman"/>
          <w:lang w:val="fr-CA"/>
        </w:rPr>
        <w:t>Les revendications de nature philosophique, politique et sociale ne se prêtent pas toujours à une preuve empirique (</w:t>
      </w:r>
      <w:r w:rsidRPr="00AF17C2">
        <w:rPr>
          <w:rFonts w:cs="Times New Roman"/>
          <w:i/>
          <w:lang w:val="fr-CA"/>
        </w:rPr>
        <w:t>Harper c. Canada (Procureur général)</w:t>
      </w:r>
      <w:r w:rsidRPr="00AF17C2">
        <w:rPr>
          <w:rFonts w:cs="Times New Roman"/>
          <w:lang w:val="fr-CA"/>
        </w:rPr>
        <w:t>, 2004 CSC 33, [2004] 1 R.C.S.</w:t>
      </w:r>
      <w:r w:rsidR="00795B2B">
        <w:rPr>
          <w:rFonts w:cs="Times New Roman"/>
          <w:lang w:val="fr-CA"/>
        </w:rPr>
        <w:t xml:space="preserve"> </w:t>
      </w:r>
      <w:r w:rsidRPr="00AF17C2">
        <w:rPr>
          <w:rFonts w:cs="Times New Roman"/>
          <w:lang w:val="fr-CA"/>
        </w:rPr>
        <w:t>827, par.</w:t>
      </w:r>
      <w:r w:rsidR="00795B2B">
        <w:rPr>
          <w:rFonts w:cs="Times New Roman"/>
          <w:lang w:val="fr-CA"/>
        </w:rPr>
        <w:t xml:space="preserve"> </w:t>
      </w:r>
      <w:r w:rsidRPr="00AF17C2">
        <w:rPr>
          <w:rFonts w:cs="Times New Roman"/>
          <w:lang w:val="fr-CA"/>
        </w:rPr>
        <w:t xml:space="preserve">104; </w:t>
      </w:r>
      <w:r w:rsidRPr="00AF17C2">
        <w:rPr>
          <w:rFonts w:cs="Times New Roman"/>
          <w:i/>
          <w:lang w:val="fr-CA"/>
        </w:rPr>
        <w:t>Sauvé</w:t>
      </w:r>
      <w:r w:rsidRPr="00AF17C2">
        <w:rPr>
          <w:rFonts w:cs="Times New Roman"/>
          <w:lang w:val="fr-CA"/>
        </w:rPr>
        <w:t>, par.</w:t>
      </w:r>
      <w:r w:rsidR="00795B2B">
        <w:rPr>
          <w:rFonts w:cs="Times New Roman"/>
          <w:lang w:val="fr-CA"/>
        </w:rPr>
        <w:t xml:space="preserve"> </w:t>
      </w:r>
      <w:r w:rsidRPr="00AF17C2">
        <w:rPr>
          <w:rFonts w:cs="Times New Roman"/>
          <w:lang w:val="fr-CA"/>
        </w:rPr>
        <w:t>18). Les tribunaux n</w:t>
      </w:r>
      <w:r>
        <w:rPr>
          <w:rFonts w:cs="Times New Roman"/>
          <w:lang w:val="fr-CA"/>
        </w:rPr>
        <w:t>’</w:t>
      </w:r>
      <w:r w:rsidRPr="00AF17C2">
        <w:rPr>
          <w:rFonts w:cs="Times New Roman"/>
          <w:lang w:val="fr-CA"/>
        </w:rPr>
        <w:t>ont donc pas toujours insisté sur la nécessité d</w:t>
      </w:r>
      <w:r>
        <w:rPr>
          <w:rFonts w:cs="Times New Roman"/>
          <w:lang w:val="fr-CA"/>
        </w:rPr>
        <w:t>’</w:t>
      </w:r>
      <w:r w:rsidRPr="00AF17C2">
        <w:rPr>
          <w:rFonts w:cs="Times New Roman"/>
          <w:lang w:val="fr-CA"/>
        </w:rPr>
        <w:t>une preuve directe de lien entre la mesure attentatoire et l</w:t>
      </w:r>
      <w:r>
        <w:rPr>
          <w:rFonts w:cs="Times New Roman"/>
          <w:lang w:val="fr-CA"/>
        </w:rPr>
        <w:t>’</w:t>
      </w:r>
      <w:r w:rsidRPr="00AF17C2">
        <w:rPr>
          <w:rFonts w:cs="Times New Roman"/>
          <w:lang w:val="fr-CA"/>
        </w:rPr>
        <w:t>objet de la loi, et ont accepté des conclusions fondées sur la logique et la raison (</w:t>
      </w:r>
      <w:r w:rsidRPr="00AF17C2">
        <w:rPr>
          <w:rFonts w:cs="Times New Roman"/>
          <w:i/>
          <w:lang w:val="fr-CA"/>
        </w:rPr>
        <w:t>RJR</w:t>
      </w:r>
      <w:r w:rsidR="00795B2B">
        <w:rPr>
          <w:rFonts w:cs="Times New Roman"/>
          <w:i/>
          <w:lang w:val="fr-CA"/>
        </w:rPr>
        <w:t>-</w:t>
      </w:r>
      <w:proofErr w:type="spellStart"/>
      <w:r w:rsidRPr="00AF17C2">
        <w:rPr>
          <w:rFonts w:cs="Times New Roman"/>
          <w:i/>
          <w:lang w:val="fr-CA"/>
        </w:rPr>
        <w:t>MacDonald</w:t>
      </w:r>
      <w:proofErr w:type="spellEnd"/>
      <w:r w:rsidRPr="00AF17C2">
        <w:rPr>
          <w:rFonts w:cs="Times New Roman"/>
          <w:i/>
          <w:lang w:val="fr-CA"/>
        </w:rPr>
        <w:t xml:space="preserve"> (1995)</w:t>
      </w:r>
      <w:r w:rsidRPr="00AF17C2">
        <w:rPr>
          <w:rFonts w:cs="Times New Roman"/>
          <w:lang w:val="fr-CA"/>
        </w:rPr>
        <w:t>, par.</w:t>
      </w:r>
      <w:r w:rsidR="00795B2B">
        <w:rPr>
          <w:rFonts w:cs="Times New Roman"/>
          <w:lang w:val="fr-CA"/>
        </w:rPr>
        <w:t xml:space="preserve"> </w:t>
      </w:r>
      <w:r w:rsidRPr="00AF17C2">
        <w:rPr>
          <w:rFonts w:cs="Times New Roman"/>
          <w:lang w:val="fr-CA"/>
        </w:rPr>
        <w:t xml:space="preserve">154; </w:t>
      </w:r>
      <w:r w:rsidRPr="00AF17C2">
        <w:rPr>
          <w:rFonts w:cs="Times New Roman"/>
          <w:i/>
          <w:lang w:val="fr-CA"/>
        </w:rPr>
        <w:t>Ross c. Conseil scolaire du district n</w:t>
      </w:r>
      <w:r w:rsidRPr="00AF17C2">
        <w:rPr>
          <w:rFonts w:cs="Times New Roman"/>
          <w:i/>
          <w:vertAlign w:val="superscript"/>
          <w:lang w:val="fr-CA"/>
        </w:rPr>
        <w:t>o</w:t>
      </w:r>
      <w:r w:rsidR="00795B2B">
        <w:rPr>
          <w:rFonts w:cs="Times New Roman"/>
          <w:i/>
          <w:lang w:val="fr-CA"/>
        </w:rPr>
        <w:t xml:space="preserve"> </w:t>
      </w:r>
      <w:r w:rsidRPr="00AF17C2">
        <w:rPr>
          <w:rFonts w:cs="Times New Roman"/>
          <w:i/>
          <w:lang w:val="fr-CA"/>
        </w:rPr>
        <w:t>15 du Nouveau</w:t>
      </w:r>
      <w:r w:rsidR="00795B2B">
        <w:rPr>
          <w:rFonts w:cs="Times New Roman"/>
          <w:i/>
          <w:lang w:val="fr-CA"/>
        </w:rPr>
        <w:t>-</w:t>
      </w:r>
      <w:r w:rsidRPr="00AF17C2">
        <w:rPr>
          <w:rFonts w:cs="Times New Roman"/>
          <w:i/>
          <w:lang w:val="fr-CA"/>
        </w:rPr>
        <w:t>Brunswick</w:t>
      </w:r>
      <w:r w:rsidRPr="00AF17C2">
        <w:rPr>
          <w:rFonts w:cs="Times New Roman"/>
          <w:lang w:val="fr-CA"/>
        </w:rPr>
        <w:t>, [1996] 1 R.C.S.</w:t>
      </w:r>
      <w:r w:rsidR="00795B2B">
        <w:rPr>
          <w:rFonts w:cs="Times New Roman"/>
          <w:lang w:val="fr-CA"/>
        </w:rPr>
        <w:t xml:space="preserve"> </w:t>
      </w:r>
      <w:r w:rsidRPr="00AF17C2">
        <w:rPr>
          <w:rFonts w:cs="Times New Roman"/>
          <w:lang w:val="fr-CA"/>
        </w:rPr>
        <w:t>825, par.</w:t>
      </w:r>
      <w:r w:rsidR="00795B2B">
        <w:rPr>
          <w:rFonts w:cs="Times New Roman"/>
          <w:lang w:val="fr-CA"/>
        </w:rPr>
        <w:t xml:space="preserve"> </w:t>
      </w:r>
      <w:r w:rsidRPr="00AF17C2">
        <w:rPr>
          <w:rFonts w:cs="Times New Roman"/>
          <w:lang w:val="fr-CA"/>
        </w:rPr>
        <w:t>101). Toutefois, cela ne libère pas le gouvernement de son obligation d</w:t>
      </w:r>
      <w:r>
        <w:rPr>
          <w:rFonts w:cs="Times New Roman"/>
          <w:lang w:val="fr-CA"/>
        </w:rPr>
        <w:t>’</w:t>
      </w:r>
      <w:r w:rsidRPr="00AF17C2">
        <w:rPr>
          <w:rFonts w:cs="Times New Roman"/>
          <w:lang w:val="fr-CA"/>
        </w:rPr>
        <w:t>établir qu</w:t>
      </w:r>
      <w:r>
        <w:rPr>
          <w:rFonts w:cs="Times New Roman"/>
          <w:lang w:val="fr-CA"/>
        </w:rPr>
        <w:t>’</w:t>
      </w:r>
      <w:r w:rsidRPr="00AF17C2">
        <w:rPr>
          <w:rFonts w:cs="Times New Roman"/>
          <w:lang w:val="fr-CA"/>
        </w:rPr>
        <w:t>il était à tout le moins raisonnable de conclure à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 lien causal entre l</w:t>
      </w:r>
      <w:r>
        <w:rPr>
          <w:rFonts w:cs="Times New Roman"/>
          <w:lang w:val="fr-CA"/>
        </w:rPr>
        <w:t>’</w:t>
      </w:r>
      <w:r w:rsidRPr="00AF17C2">
        <w:rPr>
          <w:rFonts w:cs="Times New Roman"/>
          <w:lang w:val="fr-CA"/>
        </w:rPr>
        <w:t xml:space="preserve">exclusion prévue par la </w:t>
      </w:r>
      <w:r w:rsidRPr="00AF17C2">
        <w:rPr>
          <w:rFonts w:cs="Times New Roman"/>
          <w:i/>
          <w:lang w:val="fr-CA"/>
        </w:rPr>
        <w:t>LRTFP</w:t>
      </w:r>
      <w:r w:rsidRPr="00AF17C2">
        <w:rPr>
          <w:rFonts w:cs="Times New Roman"/>
          <w:lang w:val="fr-CA"/>
        </w:rPr>
        <w:t xml:space="preserve"> actuelle et l</w:t>
      </w:r>
      <w:r>
        <w:rPr>
          <w:rFonts w:cs="Times New Roman"/>
          <w:lang w:val="fr-CA"/>
        </w:rPr>
        <w:t>’</w:t>
      </w:r>
      <w:r w:rsidRPr="00AF17C2">
        <w:rPr>
          <w:rFonts w:cs="Times New Roman"/>
          <w:lang w:val="fr-CA"/>
        </w:rPr>
        <w:t>imposition du PRRF et l</w:t>
      </w:r>
      <w:r>
        <w:rPr>
          <w:rFonts w:cs="Times New Roman"/>
          <w:lang w:val="fr-CA"/>
        </w:rPr>
        <w:t>’</w:t>
      </w:r>
      <w:r w:rsidRPr="00AF17C2">
        <w:rPr>
          <w:rFonts w:cs="Times New Roman"/>
          <w:lang w:val="fr-CA"/>
        </w:rPr>
        <w:t>objectif de la préservation de la neutralité, de la stabilité et de la fiabilité au sein de la GRC. Comme l</w:t>
      </w:r>
      <w:r>
        <w:rPr>
          <w:rFonts w:cs="Times New Roman"/>
          <w:lang w:val="fr-CA"/>
        </w:rPr>
        <w:t>’</w:t>
      </w:r>
      <w:r w:rsidRPr="00AF17C2">
        <w:rPr>
          <w:rFonts w:cs="Times New Roman"/>
          <w:lang w:val="fr-CA"/>
        </w:rPr>
        <w:t xml:space="preserve">écrivait la juge </w:t>
      </w:r>
      <w:proofErr w:type="spellStart"/>
      <w:r w:rsidRPr="00AF17C2">
        <w:rPr>
          <w:rFonts w:cs="Times New Roman"/>
          <w:lang w:val="fr-CA"/>
        </w:rPr>
        <w:t>McLachlin</w:t>
      </w:r>
      <w:proofErr w:type="spellEnd"/>
      <w:r w:rsidRPr="00AF17C2">
        <w:rPr>
          <w:rFonts w:cs="Times New Roman"/>
          <w:lang w:val="fr-CA"/>
        </w:rPr>
        <w:t xml:space="preserve"> (maintenant Juge en chef) dans </w:t>
      </w:r>
      <w:r w:rsidRPr="00AF17C2">
        <w:rPr>
          <w:rFonts w:cs="Times New Roman"/>
          <w:i/>
          <w:lang w:val="fr-CA"/>
        </w:rPr>
        <w:t>RJR</w:t>
      </w:r>
      <w:r w:rsidR="00795B2B">
        <w:rPr>
          <w:rFonts w:cs="Times New Roman"/>
          <w:i/>
          <w:lang w:val="fr-CA"/>
        </w:rPr>
        <w:t>-</w:t>
      </w:r>
      <w:proofErr w:type="spellStart"/>
      <w:r w:rsidRPr="00AF17C2">
        <w:rPr>
          <w:rFonts w:cs="Times New Roman"/>
          <w:i/>
          <w:lang w:val="fr-CA"/>
        </w:rPr>
        <w:t>MacDonald</w:t>
      </w:r>
      <w:proofErr w:type="spellEnd"/>
      <w:r w:rsidRPr="00AF17C2">
        <w:rPr>
          <w:rFonts w:cs="Times New Roman"/>
          <w:i/>
          <w:lang w:val="fr-CA"/>
        </w:rPr>
        <w:t xml:space="preserve"> (1995)</w:t>
      </w:r>
      <w:r w:rsidRPr="00AF17C2">
        <w:rPr>
          <w:rFonts w:cs="Times New Roman"/>
          <w:lang w:val="fr-CA"/>
        </w:rPr>
        <w:t>, au par.</w:t>
      </w:r>
      <w:r w:rsidR="00795B2B">
        <w:rPr>
          <w:rFonts w:cs="Times New Roman"/>
          <w:lang w:val="fr-CA"/>
        </w:rPr>
        <w:t xml:space="preserve"> </w:t>
      </w:r>
      <w:r w:rsidRPr="00AF17C2">
        <w:rPr>
          <w:rFonts w:cs="Times New Roman"/>
          <w:lang w:val="fr-CA"/>
        </w:rPr>
        <w:t>129</w:t>
      </w:r>
      <w:r w:rsidR="00795B2B">
        <w:rPr>
          <w:rFonts w:cs="Times New Roman"/>
          <w:lang w:val="fr-CA"/>
        </w:rPr>
        <w:t> :</w:t>
      </w:r>
    </w:p>
    <w:p w:rsidR="007B74A6" w:rsidRPr="00AF17C2" w:rsidRDefault="00DB7901" w:rsidP="00795B2B">
      <w:pPr>
        <w:pStyle w:val="Citation-AltC"/>
        <w:ind w:hanging="1166"/>
        <w:rPr>
          <w:lang w:val="fr-CA"/>
        </w:rPr>
      </w:pPr>
      <w:r>
        <w:rPr>
          <w:lang w:val="fr-CA"/>
        </w:rPr>
        <w:tab/>
      </w:r>
      <w:r w:rsidR="007B74A6" w:rsidRPr="00AF17C2">
        <w:rPr>
          <w:lang w:val="fr-CA"/>
        </w:rPr>
        <w:t>Bien qu</w:t>
      </w:r>
      <w:r w:rsidR="007B74A6">
        <w:rPr>
          <w:lang w:val="fr-CA"/>
        </w:rPr>
        <w:t>’</w:t>
      </w:r>
      <w:r w:rsidR="007B74A6" w:rsidRPr="00AF17C2">
        <w:rPr>
          <w:lang w:val="fr-CA"/>
        </w:rPr>
        <w:t xml:space="preserve">ils doivent demeurer conscients du contexte </w:t>
      </w:r>
      <w:proofErr w:type="spellStart"/>
      <w:r w:rsidR="007B74A6" w:rsidRPr="00AF17C2">
        <w:rPr>
          <w:lang w:val="fr-CA"/>
        </w:rPr>
        <w:t>socio</w:t>
      </w:r>
      <w:r>
        <w:rPr>
          <w:lang w:val="fr-CA"/>
        </w:rPr>
        <w:t>-</w:t>
      </w:r>
      <w:r w:rsidR="007B74A6" w:rsidRPr="00AF17C2">
        <w:rPr>
          <w:lang w:val="fr-CA"/>
        </w:rPr>
        <w:t>politique</w:t>
      </w:r>
      <w:proofErr w:type="spellEnd"/>
      <w:r w:rsidR="007B74A6" w:rsidRPr="00AF17C2">
        <w:rPr>
          <w:lang w:val="fr-CA"/>
        </w:rPr>
        <w:t xml:space="preserve"> de la loi attaquée et reconnaître les difficultés qui y sont propres en matière de preuve, les tribunaux doivent néanmoins insister pour que, avant qu</w:t>
      </w:r>
      <w:r w:rsidR="007B74A6">
        <w:rPr>
          <w:lang w:val="fr-CA"/>
        </w:rPr>
        <w:t>’</w:t>
      </w:r>
      <w:r w:rsidR="007B74A6" w:rsidRPr="00AF17C2">
        <w:rPr>
          <w:lang w:val="fr-CA"/>
        </w:rPr>
        <w:t>il ne supprime un droit protégé par la Constitution, l</w:t>
      </w:r>
      <w:r w:rsidR="007B74A6">
        <w:rPr>
          <w:lang w:val="fr-CA"/>
        </w:rPr>
        <w:t>’</w:t>
      </w:r>
      <w:r w:rsidR="007B74A6" w:rsidRPr="00AF17C2">
        <w:rPr>
          <w:lang w:val="fr-CA"/>
        </w:rPr>
        <w:t>État fasse une démonstration raisonnée du bien visé par la loi par rapport à la gravité de la violation. Les tribunaux doivent respecter cette démarche fondamentale pour que les droits garantis par notre Constitution soient opérants.</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lastRenderedPageBreak/>
        <w:t>Le procureur général du Canada soutient que la création d</w:t>
      </w:r>
      <w:r>
        <w:rPr>
          <w:rFonts w:cs="Times New Roman"/>
          <w:lang w:val="fr-CA"/>
        </w:rPr>
        <w:t>’</w:t>
      </w:r>
      <w:r w:rsidRPr="00AF17C2">
        <w:rPr>
          <w:rFonts w:cs="Times New Roman"/>
          <w:lang w:val="fr-CA"/>
        </w:rPr>
        <w:t>un régime de relations de travail distinct, exempt de négociations collectives et de syndicalisme, a un lien rationnel avec l</w:t>
      </w:r>
      <w:r>
        <w:rPr>
          <w:rFonts w:cs="Times New Roman"/>
          <w:lang w:val="fr-CA"/>
        </w:rPr>
        <w:t>’</w:t>
      </w:r>
      <w:r w:rsidRPr="00AF17C2">
        <w:rPr>
          <w:rFonts w:cs="Times New Roman"/>
          <w:lang w:val="fr-CA"/>
        </w:rPr>
        <w:t>objectif d</w:t>
      </w:r>
      <w:r>
        <w:rPr>
          <w:rFonts w:cs="Times New Roman"/>
          <w:lang w:val="fr-CA"/>
        </w:rPr>
        <w:t>’</w:t>
      </w:r>
      <w:r w:rsidRPr="00AF17C2">
        <w:rPr>
          <w:rFonts w:cs="Times New Roman"/>
          <w:lang w:val="fr-CA"/>
        </w:rPr>
        <w:t>assurer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une force policière stable, fiable et neutre. À notre avis, le procureur général n</w:t>
      </w:r>
      <w:r>
        <w:rPr>
          <w:rFonts w:cs="Times New Roman"/>
          <w:lang w:val="fr-CA"/>
        </w:rPr>
        <w:t>’</w:t>
      </w:r>
      <w:r w:rsidRPr="00AF17C2">
        <w:rPr>
          <w:rFonts w:cs="Times New Roman"/>
          <w:lang w:val="fr-CA"/>
        </w:rPr>
        <w:t>a pas établi qu</w:t>
      </w:r>
      <w:r>
        <w:rPr>
          <w:rFonts w:cs="Times New Roman"/>
          <w:lang w:val="fr-CA"/>
        </w:rPr>
        <w:t>’</w:t>
      </w:r>
      <w:r w:rsidRPr="00AF17C2">
        <w:rPr>
          <w:rFonts w:cs="Times New Roman"/>
          <w:lang w:val="fr-CA"/>
        </w:rPr>
        <w:t>il s</w:t>
      </w:r>
      <w:r>
        <w:rPr>
          <w:rFonts w:cs="Times New Roman"/>
          <w:lang w:val="fr-CA"/>
        </w:rPr>
        <w:t>’</w:t>
      </w:r>
      <w:r w:rsidRPr="00AF17C2">
        <w:rPr>
          <w:rFonts w:cs="Times New Roman"/>
          <w:lang w:val="fr-CA"/>
        </w:rPr>
        <w:t>agit là d</w:t>
      </w:r>
      <w:r>
        <w:rPr>
          <w:rFonts w:cs="Times New Roman"/>
          <w:lang w:val="fr-CA"/>
        </w:rPr>
        <w:t>’</w:t>
      </w:r>
      <w:r w:rsidRPr="00AF17C2">
        <w:rPr>
          <w:rFonts w:cs="Times New Roman"/>
          <w:lang w:val="fr-CA"/>
        </w:rPr>
        <w:t xml:space="preserve">une inférence raisonnable.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w:t>
      </w:r>
      <w:r>
        <w:rPr>
          <w:rFonts w:cs="Times New Roman"/>
          <w:lang w:val="fr-CA"/>
        </w:rPr>
        <w:t>’</w:t>
      </w:r>
      <w:r w:rsidRPr="00AF17C2">
        <w:rPr>
          <w:rFonts w:cs="Times New Roman"/>
          <w:lang w:val="fr-CA"/>
        </w:rPr>
        <w:t>une part, il est difficile de comprendre pourquoi l</w:t>
      </w:r>
      <w:r>
        <w:rPr>
          <w:rFonts w:cs="Times New Roman"/>
          <w:lang w:val="fr-CA"/>
        </w:rPr>
        <w:t>’</w:t>
      </w:r>
      <w:r w:rsidRPr="00AF17C2">
        <w:rPr>
          <w:rFonts w:cs="Times New Roman"/>
          <w:lang w:val="fr-CA"/>
        </w:rPr>
        <w:t>exclusion d</w:t>
      </w:r>
      <w:r>
        <w:rPr>
          <w:rFonts w:cs="Times New Roman"/>
          <w:lang w:val="fr-CA"/>
        </w:rPr>
        <w:t>’</w:t>
      </w:r>
      <w:r w:rsidRPr="00AF17C2">
        <w:rPr>
          <w:rFonts w:cs="Times New Roman"/>
          <w:lang w:val="fr-CA"/>
        </w:rPr>
        <w:t>un groupe d</w:t>
      </w:r>
      <w:r>
        <w:rPr>
          <w:rFonts w:cs="Times New Roman"/>
          <w:lang w:val="fr-CA"/>
        </w:rPr>
        <w:t>’</w:t>
      </w:r>
      <w:r w:rsidRPr="00AF17C2">
        <w:rPr>
          <w:rFonts w:cs="Times New Roman"/>
          <w:lang w:val="fr-CA"/>
        </w:rPr>
        <w:t>un processus de négociation collective protégé par la loi peut assurer sa neutralité, sa stabilité ou même sa fiabilité. L</w:t>
      </w:r>
      <w:r>
        <w:rPr>
          <w:rFonts w:cs="Times New Roman"/>
          <w:lang w:val="fr-CA"/>
        </w:rPr>
        <w:t>’</w:t>
      </w:r>
      <w:r w:rsidRPr="00AF17C2">
        <w:rPr>
          <w:rFonts w:cs="Times New Roman"/>
          <w:lang w:val="fr-CA"/>
        </w:rPr>
        <w:t>exclusion des membres de la GRC du régime de négociation collective de la fonction publique fédérale, lors de son adoption en 1967, a eu pour effet de favoriser plutôt que d</w:t>
      </w:r>
      <w:r>
        <w:rPr>
          <w:rFonts w:cs="Times New Roman"/>
          <w:lang w:val="fr-CA"/>
        </w:rPr>
        <w:t>’</w:t>
      </w:r>
      <w:r w:rsidRPr="00AF17C2">
        <w:rPr>
          <w:rFonts w:cs="Times New Roman"/>
          <w:lang w:val="fr-CA"/>
        </w:rPr>
        <w:t>atténuer le mécontentement et l</w:t>
      </w:r>
      <w:r>
        <w:rPr>
          <w:rFonts w:cs="Times New Roman"/>
          <w:lang w:val="fr-CA"/>
        </w:rPr>
        <w:t>’</w:t>
      </w:r>
      <w:r w:rsidRPr="00AF17C2">
        <w:rPr>
          <w:rFonts w:cs="Times New Roman"/>
          <w:lang w:val="fr-CA"/>
        </w:rPr>
        <w:t>agitation qui régnaient au sein de cette organisation. D</w:t>
      </w:r>
      <w:r>
        <w:rPr>
          <w:rFonts w:cs="Times New Roman"/>
          <w:lang w:val="fr-CA"/>
        </w:rPr>
        <w:t>’</w:t>
      </w:r>
      <w:r w:rsidRPr="00AF17C2">
        <w:rPr>
          <w:rFonts w:cs="Times New Roman"/>
          <w:lang w:val="fr-CA"/>
        </w:rPr>
        <w:t>ailleurs, cette agitation a finalement mené à la création du PRRF, qui a été adopté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après que les membres de la GRC eurent commencé à porter à l</w:t>
      </w:r>
      <w:r>
        <w:rPr>
          <w:rFonts w:cs="Times New Roman"/>
          <w:lang w:val="fr-CA"/>
        </w:rPr>
        <w:t>’</w:t>
      </w:r>
      <w:r w:rsidRPr="00AF17C2">
        <w:rPr>
          <w:rFonts w:cs="Times New Roman"/>
          <w:lang w:val="fr-CA"/>
        </w:rPr>
        <w:t>attention des médias leurs griefs en matière d</w:t>
      </w:r>
      <w:r>
        <w:rPr>
          <w:rFonts w:cs="Times New Roman"/>
          <w:lang w:val="fr-CA"/>
        </w:rPr>
        <w:t>’</w:t>
      </w:r>
      <w:r w:rsidRPr="00AF17C2">
        <w:rPr>
          <w:rFonts w:cs="Times New Roman"/>
          <w:lang w:val="fr-CA"/>
        </w:rPr>
        <w:t>emploi et à se plaindre publiquement de l</w:t>
      </w:r>
      <w:r>
        <w:rPr>
          <w:rFonts w:cs="Times New Roman"/>
          <w:lang w:val="fr-CA"/>
        </w:rPr>
        <w:t>’</w:t>
      </w:r>
      <w:r w:rsidRPr="00AF17C2">
        <w:rPr>
          <w:rFonts w:cs="Times New Roman"/>
          <w:lang w:val="fr-CA"/>
        </w:rPr>
        <w:t>absence de mécanismes pour les régler</w:t>
      </w:r>
      <w:r w:rsidR="00795B2B">
        <w:rPr>
          <w:rFonts w:cs="Times New Roman"/>
          <w:lang w:val="fr-CA"/>
        </w:rPr>
        <w:t> »</w:t>
      </w:r>
      <w:r w:rsidRPr="00AF17C2">
        <w:rPr>
          <w:rFonts w:cs="Times New Roman"/>
          <w:lang w:val="fr-CA"/>
        </w:rPr>
        <w:t xml:space="preserve"> (Hardy et </w:t>
      </w:r>
      <w:proofErr w:type="spellStart"/>
      <w:r w:rsidRPr="00AF17C2">
        <w:rPr>
          <w:rFonts w:cs="Times New Roman"/>
          <w:lang w:val="fr-CA"/>
        </w:rPr>
        <w:t>Ponak</w:t>
      </w:r>
      <w:proofErr w:type="spellEnd"/>
      <w:r w:rsidRPr="00AF17C2">
        <w:rPr>
          <w:rFonts w:cs="Times New Roman"/>
          <w:lang w:val="fr-CA"/>
        </w:rPr>
        <w:t>, p.</w:t>
      </w:r>
      <w:r w:rsidR="00795B2B">
        <w:rPr>
          <w:rFonts w:cs="Times New Roman"/>
          <w:lang w:val="fr-CA"/>
        </w:rPr>
        <w:t xml:space="preserve"> </w:t>
      </w:r>
      <w:r w:rsidRPr="00AF17C2">
        <w:rPr>
          <w:rFonts w:cs="Times New Roman"/>
          <w:lang w:val="fr-CA"/>
        </w:rPr>
        <w:t xml:space="preserve">89).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w:t>
      </w:r>
      <w:r>
        <w:rPr>
          <w:rFonts w:cs="Times New Roman"/>
          <w:lang w:val="fr-CA"/>
        </w:rPr>
        <w:t>’</w:t>
      </w:r>
      <w:r w:rsidRPr="00AF17C2">
        <w:rPr>
          <w:rFonts w:cs="Times New Roman"/>
          <w:lang w:val="fr-CA"/>
        </w:rPr>
        <w:t>autre part, il n</w:t>
      </w:r>
      <w:r>
        <w:rPr>
          <w:rFonts w:cs="Times New Roman"/>
          <w:lang w:val="fr-CA"/>
        </w:rPr>
        <w:t>’</w:t>
      </w:r>
      <w:r w:rsidRPr="00AF17C2">
        <w:rPr>
          <w:rFonts w:cs="Times New Roman"/>
          <w:lang w:val="fr-CA"/>
        </w:rPr>
        <w:t>est pas établi que l</w:t>
      </w:r>
      <w:r>
        <w:rPr>
          <w:rFonts w:cs="Times New Roman"/>
          <w:lang w:val="fr-CA"/>
        </w:rPr>
        <w:t>’</w:t>
      </w:r>
      <w:r w:rsidRPr="00AF17C2">
        <w:rPr>
          <w:rFonts w:cs="Times New Roman"/>
          <w:lang w:val="fr-CA"/>
        </w:rPr>
        <w:t>autorisation d</w:t>
      </w:r>
      <w:r>
        <w:rPr>
          <w:rFonts w:cs="Times New Roman"/>
          <w:lang w:val="fr-CA"/>
        </w:rPr>
        <w:t>’</w:t>
      </w:r>
      <w:r w:rsidRPr="00AF17C2">
        <w:rPr>
          <w:rFonts w:cs="Times New Roman"/>
          <w:lang w:val="fr-CA"/>
        </w:rPr>
        <w:t>un véritable régime de négociation collective pour les membres de la GRC perturbera la stabilité de cette force policière ou influencera la perception du public quant à sa neutralité. Le gouvernement n</w:t>
      </w:r>
      <w:r>
        <w:rPr>
          <w:rFonts w:cs="Times New Roman"/>
          <w:lang w:val="fr-CA"/>
        </w:rPr>
        <w:t>’</w:t>
      </w:r>
      <w:r w:rsidRPr="00AF17C2">
        <w:rPr>
          <w:rFonts w:cs="Times New Roman"/>
          <w:lang w:val="fr-CA"/>
        </w:rPr>
        <w:t>a produit aucun élément de preuve convaincant à cet égard. La recherche empirique tend plutôt à indiquer le contraire, tout comme l</w:t>
      </w:r>
      <w:r>
        <w:rPr>
          <w:rFonts w:cs="Times New Roman"/>
          <w:lang w:val="fr-CA"/>
        </w:rPr>
        <w:t>’</w:t>
      </w:r>
      <w:r w:rsidRPr="00AF17C2">
        <w:rPr>
          <w:rFonts w:cs="Times New Roman"/>
          <w:lang w:val="fr-CA"/>
        </w:rPr>
        <w:t>expérience des provinces avec les forces</w:t>
      </w:r>
      <w:r w:rsidR="00042C91">
        <w:rPr>
          <w:rFonts w:cs="Times New Roman"/>
          <w:lang w:val="fr-CA"/>
        </w:rPr>
        <w:t xml:space="preserve"> policières syndiquées (voir, par</w:t>
      </w:r>
      <w:r w:rsidR="00795B2B">
        <w:rPr>
          <w:rFonts w:cs="Times New Roman"/>
          <w:lang w:val="fr-CA"/>
        </w:rPr>
        <w:t xml:space="preserve"> </w:t>
      </w:r>
      <w:r w:rsidRPr="00AF17C2">
        <w:rPr>
          <w:rFonts w:cs="Times New Roman"/>
          <w:lang w:val="fr-CA"/>
        </w:rPr>
        <w:t>ex., D.</w:t>
      </w:r>
      <w:r w:rsidR="00795B2B">
        <w:rPr>
          <w:rFonts w:cs="Times New Roman"/>
          <w:lang w:val="fr-CA"/>
        </w:rPr>
        <w:t xml:space="preserve"> </w:t>
      </w:r>
      <w:proofErr w:type="spellStart"/>
      <w:r w:rsidRPr="00AF17C2">
        <w:rPr>
          <w:rFonts w:cs="Times New Roman"/>
          <w:lang w:val="fr-CA"/>
        </w:rPr>
        <w:t>Forcese</w:t>
      </w:r>
      <w:proofErr w:type="spellEnd"/>
      <w:r w:rsidRPr="00AF17C2">
        <w:rPr>
          <w:rFonts w:cs="Times New Roman"/>
          <w:lang w:val="fr-CA"/>
        </w:rPr>
        <w:t xml:space="preserve">, </w:t>
      </w:r>
      <w:r w:rsidR="00795B2B">
        <w:rPr>
          <w:rFonts w:cs="Times New Roman"/>
          <w:lang w:val="fr-CA"/>
        </w:rPr>
        <w:t>« </w:t>
      </w:r>
      <w:r w:rsidRPr="00AF17C2">
        <w:rPr>
          <w:rFonts w:cs="Times New Roman"/>
          <w:lang w:val="fr-CA"/>
        </w:rPr>
        <w:t>Le syndicalisme policier</w:t>
      </w:r>
      <w:r w:rsidR="00795B2B">
        <w:rPr>
          <w:rFonts w:cs="Times New Roman"/>
          <w:lang w:val="fr-CA"/>
        </w:rPr>
        <w:t> :</w:t>
      </w:r>
      <w:r w:rsidRPr="00AF17C2">
        <w:rPr>
          <w:rFonts w:cs="Times New Roman"/>
          <w:lang w:val="fr-CA"/>
        </w:rPr>
        <w:t xml:space="preserve"> relations de travail dans les forces policières canadiennes</w:t>
      </w:r>
      <w:r w:rsidR="00795B2B">
        <w:rPr>
          <w:rFonts w:cs="Times New Roman"/>
          <w:lang w:val="fr-CA"/>
        </w:rPr>
        <w:t> »</w:t>
      </w:r>
      <w:r w:rsidRPr="00AF17C2">
        <w:rPr>
          <w:rFonts w:cs="Times New Roman"/>
          <w:lang w:val="fr-CA"/>
        </w:rPr>
        <w:t xml:space="preserve"> (1980)</w:t>
      </w:r>
      <w:r w:rsidR="00DB7901">
        <w:rPr>
          <w:rFonts w:cs="Times New Roman"/>
          <w:lang w:val="fr-CA"/>
        </w:rPr>
        <w:t>,</w:t>
      </w:r>
      <w:r w:rsidRPr="00AF17C2">
        <w:rPr>
          <w:rFonts w:cs="Times New Roman"/>
          <w:lang w:val="fr-CA"/>
        </w:rPr>
        <w:t xml:space="preserve"> 4 </w:t>
      </w:r>
      <w:r w:rsidRPr="00AF17C2">
        <w:rPr>
          <w:rFonts w:cs="Times New Roman"/>
          <w:i/>
          <w:lang w:val="fr-CA"/>
        </w:rPr>
        <w:t>Journal du Collège canadien de police</w:t>
      </w:r>
      <w:r w:rsidR="00795B2B">
        <w:rPr>
          <w:rFonts w:cs="Times New Roman"/>
          <w:i/>
          <w:lang w:val="fr-CA"/>
        </w:rPr>
        <w:t xml:space="preserve"> </w:t>
      </w:r>
      <w:r w:rsidR="00DB7901">
        <w:rPr>
          <w:rFonts w:cs="Times New Roman"/>
          <w:lang w:val="fr-CA"/>
        </w:rPr>
        <w:t>85</w:t>
      </w:r>
      <w:r w:rsidR="00795B2B">
        <w:rPr>
          <w:rFonts w:cs="Times New Roman"/>
          <w:lang w:val="fr-CA"/>
        </w:rPr>
        <w:t> :</w:t>
      </w:r>
      <w:r w:rsidRPr="00AF17C2">
        <w:rPr>
          <w:rFonts w:cs="Times New Roman"/>
          <w:lang w:val="fr-CA"/>
        </w:rPr>
        <w:t xml:space="preserve"> </w:t>
      </w:r>
      <w:r w:rsidR="00795B2B">
        <w:rPr>
          <w:rFonts w:cs="Times New Roman"/>
          <w:lang w:val="fr-CA"/>
        </w:rPr>
        <w:t>« </w:t>
      </w:r>
      <w:r w:rsidRPr="00AF17C2">
        <w:rPr>
          <w:rFonts w:cs="Times New Roman"/>
          <w:lang w:val="fr-CA"/>
        </w:rPr>
        <w:t xml:space="preserve">Les policiers syndiqués ne </w:t>
      </w:r>
      <w:r w:rsidRPr="00AF17C2">
        <w:rPr>
          <w:rFonts w:cs="Times New Roman"/>
          <w:lang w:val="fr-CA"/>
        </w:rPr>
        <w:lastRenderedPageBreak/>
        <w:t>sont pas fondamentalement des agitateurs</w:t>
      </w:r>
      <w:r w:rsidR="00795B2B">
        <w:rPr>
          <w:rFonts w:cs="Times New Roman"/>
          <w:lang w:val="fr-CA"/>
        </w:rPr>
        <w:t> »</w:t>
      </w:r>
      <w:r>
        <w:rPr>
          <w:rFonts w:cs="Times New Roman"/>
          <w:lang w:val="fr-CA"/>
        </w:rPr>
        <w:t xml:space="preserve"> </w:t>
      </w:r>
      <w:r w:rsidRPr="00AF17C2">
        <w:rPr>
          <w:rFonts w:cs="Times New Roman"/>
          <w:lang w:val="fr-CA"/>
        </w:rPr>
        <w:t>(p.</w:t>
      </w:r>
      <w:r w:rsidR="00795B2B">
        <w:rPr>
          <w:rFonts w:cs="Times New Roman"/>
          <w:lang w:val="fr-CA"/>
        </w:rPr>
        <w:t xml:space="preserve"> </w:t>
      </w:r>
      <w:r w:rsidR="00DB7901">
        <w:rPr>
          <w:rFonts w:cs="Times New Roman"/>
          <w:lang w:val="fr-CA"/>
        </w:rPr>
        <w:t>13</w:t>
      </w:r>
      <w:r w:rsidRPr="00AF17C2">
        <w:rPr>
          <w:rFonts w:cs="Times New Roman"/>
          <w:lang w:val="fr-CA"/>
        </w:rPr>
        <w:t>0))</w:t>
      </w:r>
      <w:r w:rsidR="00042C91">
        <w:rPr>
          <w:rFonts w:cs="Times New Roman"/>
          <w:lang w:val="fr-CA"/>
        </w:rPr>
        <w:t>.</w:t>
      </w:r>
      <w:r w:rsidRPr="00AF17C2">
        <w:rPr>
          <w:rFonts w:cs="Times New Roman"/>
          <w:lang w:val="fr-CA"/>
        </w:rPr>
        <w:t xml:space="preserve"> En fait, selon la preuve, le respect de la liberté d</w:t>
      </w:r>
      <w:r>
        <w:rPr>
          <w:rFonts w:cs="Times New Roman"/>
          <w:lang w:val="fr-CA"/>
        </w:rPr>
        <w:t>’</w:t>
      </w:r>
      <w:r w:rsidRPr="00AF17C2">
        <w:rPr>
          <w:rFonts w:cs="Times New Roman"/>
          <w:lang w:val="fr-CA"/>
        </w:rPr>
        <w:t>association peut même assurer plutôt que compromettre l</w:t>
      </w:r>
      <w:r>
        <w:rPr>
          <w:rFonts w:cs="Times New Roman"/>
          <w:lang w:val="fr-CA"/>
        </w:rPr>
        <w:t>’</w:t>
      </w:r>
      <w:r w:rsidRPr="00AF17C2">
        <w:rPr>
          <w:rFonts w:cs="Times New Roman"/>
          <w:lang w:val="fr-CA"/>
        </w:rPr>
        <w:t>existence de bonnes relations de travail et ainsi en renforcer la stabilité.</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Nous concluons donc que le gouvernement n</w:t>
      </w:r>
      <w:r>
        <w:rPr>
          <w:rFonts w:cs="Times New Roman"/>
          <w:lang w:val="fr-CA"/>
        </w:rPr>
        <w:t>’</w:t>
      </w:r>
      <w:r w:rsidRPr="00AF17C2">
        <w:rPr>
          <w:rFonts w:cs="Times New Roman"/>
          <w:lang w:val="fr-CA"/>
        </w:rPr>
        <w:t>a pas réussi à établir l</w:t>
      </w:r>
      <w:r>
        <w:rPr>
          <w:rFonts w:cs="Times New Roman"/>
          <w:lang w:val="fr-CA"/>
        </w:rPr>
        <w:t>’</w:t>
      </w:r>
      <w:r w:rsidRPr="00AF17C2">
        <w:rPr>
          <w:rFonts w:cs="Times New Roman"/>
          <w:lang w:val="fr-CA"/>
        </w:rPr>
        <w:t>existence d</w:t>
      </w:r>
      <w:r>
        <w:rPr>
          <w:rFonts w:cs="Times New Roman"/>
          <w:lang w:val="fr-CA"/>
        </w:rPr>
        <w:t>’</w:t>
      </w:r>
      <w:r w:rsidRPr="00AF17C2">
        <w:rPr>
          <w:rFonts w:cs="Times New Roman"/>
          <w:lang w:val="fr-CA"/>
        </w:rPr>
        <w:t>un lien rationnel entre le fait de priver les membres de la GRC du droit à une véritable négociation collective que leur garantit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et le maintien d</w:t>
      </w:r>
      <w:r>
        <w:rPr>
          <w:rFonts w:cs="Times New Roman"/>
          <w:lang w:val="fr-CA"/>
        </w:rPr>
        <w:t>’</w:t>
      </w:r>
      <w:r w:rsidRPr="00AF17C2">
        <w:rPr>
          <w:rFonts w:cs="Times New Roman"/>
          <w:lang w:val="fr-CA"/>
        </w:rPr>
        <w:t>une force policière neutre, stable et fiable. Bien que cette conclusion suffise pour mettre fin à l</w:t>
      </w:r>
      <w:r>
        <w:rPr>
          <w:rFonts w:cs="Times New Roman"/>
          <w:lang w:val="fr-CA"/>
        </w:rPr>
        <w:t>’</w:t>
      </w:r>
      <w:r w:rsidRPr="00AF17C2">
        <w:rPr>
          <w:rFonts w:cs="Times New Roman"/>
          <w:lang w:val="fr-CA"/>
        </w:rPr>
        <w:t>analyse fondée sur l</w:t>
      </w:r>
      <w:r>
        <w:rPr>
          <w:rFonts w:cs="Times New Roman"/>
          <w:lang w:val="fr-CA"/>
        </w:rPr>
        <w:t>’</w:t>
      </w:r>
      <w:r w:rsidRPr="00AF17C2">
        <w:rPr>
          <w:rFonts w:cs="Times New Roman"/>
          <w:lang w:val="fr-CA"/>
        </w:rPr>
        <w:t>article premier, nous examinerons tout de même l</w:t>
      </w:r>
      <w:r>
        <w:rPr>
          <w:rFonts w:cs="Times New Roman"/>
          <w:lang w:val="fr-CA"/>
        </w:rPr>
        <w:t>’</w:t>
      </w:r>
      <w:r w:rsidRPr="00AF17C2">
        <w:rPr>
          <w:rFonts w:cs="Times New Roman"/>
          <w:lang w:val="fr-CA"/>
        </w:rPr>
        <w:t xml:space="preserve">exigence selon laquelle la limite imposée doit constituer une atteinte minimale. </w:t>
      </w:r>
    </w:p>
    <w:p w:rsidR="007B74A6" w:rsidRPr="006B1191" w:rsidRDefault="007B74A6" w:rsidP="00795B2B">
      <w:pPr>
        <w:pStyle w:val="Title4LevelTitre4Niveau"/>
        <w:tabs>
          <w:tab w:val="left" w:pos="1080"/>
        </w:tabs>
        <w:ind w:left="1078" w:hanging="539"/>
        <w:rPr>
          <w:rFonts w:cs="Times New Roman"/>
          <w:i/>
          <w:u w:val="none"/>
          <w:lang w:val="fr-CA"/>
        </w:rPr>
      </w:pPr>
      <w:r w:rsidRPr="006B1191">
        <w:rPr>
          <w:rFonts w:cs="Times New Roman"/>
          <w:i/>
          <w:u w:val="none"/>
          <w:lang w:val="fr-CA"/>
        </w:rPr>
        <w:t xml:space="preserve">L’atteinte minimale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Il faut maintenant se demander si la mesure porte le moins possible atteinte au droit garanti par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tout en permettant au gouvernement de réaliser son objectif. Certes, le gouvernement n</w:t>
      </w:r>
      <w:r>
        <w:rPr>
          <w:rFonts w:cs="Times New Roman"/>
          <w:lang w:val="fr-CA"/>
        </w:rPr>
        <w:t>’</w:t>
      </w:r>
      <w:r w:rsidRPr="00AF17C2">
        <w:rPr>
          <w:rFonts w:cs="Times New Roman"/>
          <w:lang w:val="fr-CA"/>
        </w:rPr>
        <w:t>est pas tenu de recourir au moyen le moins attentatoire possible pour réaliser son objectif, mais celui qu</w:t>
      </w:r>
      <w:r>
        <w:rPr>
          <w:rFonts w:cs="Times New Roman"/>
          <w:lang w:val="fr-CA"/>
        </w:rPr>
        <w:t>’</w:t>
      </w:r>
      <w:r w:rsidRPr="00AF17C2">
        <w:rPr>
          <w:rFonts w:cs="Times New Roman"/>
          <w:lang w:val="fr-CA"/>
        </w:rPr>
        <w:t>il choisit doit se situer à l</w:t>
      </w:r>
      <w:r>
        <w:rPr>
          <w:rFonts w:cs="Times New Roman"/>
          <w:lang w:val="fr-CA"/>
        </w:rPr>
        <w:t>’</w:t>
      </w:r>
      <w:r w:rsidRPr="00AF17C2">
        <w:rPr>
          <w:rFonts w:cs="Times New Roman"/>
          <w:lang w:val="fr-CA"/>
        </w:rPr>
        <w:t>intérieur d</w:t>
      </w:r>
      <w:r>
        <w:rPr>
          <w:rFonts w:cs="Times New Roman"/>
          <w:lang w:val="fr-CA"/>
        </w:rPr>
        <w:t>’</w:t>
      </w:r>
      <w:r w:rsidRPr="00AF17C2">
        <w:rPr>
          <w:rFonts w:cs="Times New Roman"/>
          <w:lang w:val="fr-CA"/>
        </w:rPr>
        <w:t>une gamme de mesures alternatives raisonnables</w:t>
      </w:r>
      <w:r w:rsidR="00795B2B">
        <w:rPr>
          <w:rFonts w:cs="Times New Roman"/>
          <w:lang w:val="fr-CA"/>
        </w:rPr>
        <w:t> :</w:t>
      </w:r>
      <w:r w:rsidRPr="00AF17C2">
        <w:rPr>
          <w:rFonts w:cs="Times New Roman"/>
          <w:lang w:val="fr-CA"/>
        </w:rPr>
        <w:t xml:space="preserve"> </w:t>
      </w:r>
    </w:p>
    <w:p w:rsidR="007B74A6" w:rsidRPr="00AF17C2" w:rsidRDefault="006B1191" w:rsidP="00795B2B">
      <w:pPr>
        <w:pStyle w:val="Citation-AltC"/>
        <w:spacing w:after="240"/>
        <w:ind w:left="1168" w:hanging="1168"/>
        <w:contextualSpacing w:val="0"/>
        <w:rPr>
          <w:lang w:val="fr-CA"/>
        </w:rPr>
      </w:pPr>
      <w:r>
        <w:rPr>
          <w:lang w:val="fr-CA"/>
        </w:rPr>
        <w:tab/>
      </w:r>
      <w:r w:rsidR="007B74A6" w:rsidRPr="00AF17C2">
        <w:rPr>
          <w:lang w:val="fr-CA"/>
        </w:rPr>
        <w:t xml:space="preserve">La restriction doit être </w:t>
      </w:r>
      <w:r w:rsidR="00795B2B">
        <w:rPr>
          <w:lang w:val="fr-CA"/>
        </w:rPr>
        <w:t>« </w:t>
      </w:r>
      <w:r w:rsidR="007B74A6" w:rsidRPr="00AF17C2">
        <w:rPr>
          <w:lang w:val="fr-CA"/>
        </w:rPr>
        <w:t>minimale</w:t>
      </w:r>
      <w:r w:rsidR="00795B2B">
        <w:rPr>
          <w:lang w:val="fr-CA"/>
        </w:rPr>
        <w:t> »</w:t>
      </w:r>
      <w:r w:rsidR="007B74A6" w:rsidRPr="00AF17C2">
        <w:rPr>
          <w:lang w:val="fr-CA"/>
        </w:rPr>
        <w:t>, c</w:t>
      </w:r>
      <w:r w:rsidR="007B74A6">
        <w:rPr>
          <w:lang w:val="fr-CA"/>
        </w:rPr>
        <w:t>’</w:t>
      </w:r>
      <w:r w:rsidR="007B74A6" w:rsidRPr="00AF17C2">
        <w:rPr>
          <w:lang w:val="fr-CA"/>
        </w:rPr>
        <w:t>est</w:t>
      </w:r>
      <w:r w:rsidR="00795B2B">
        <w:rPr>
          <w:lang w:val="fr-CA"/>
        </w:rPr>
        <w:t>-</w:t>
      </w:r>
      <w:r w:rsidR="007B74A6" w:rsidRPr="00AF17C2">
        <w:rPr>
          <w:lang w:val="fr-CA"/>
        </w:rPr>
        <w:t>à</w:t>
      </w:r>
      <w:r w:rsidR="00795B2B">
        <w:rPr>
          <w:lang w:val="fr-CA"/>
        </w:rPr>
        <w:t>-</w:t>
      </w:r>
      <w:r w:rsidR="007B74A6" w:rsidRPr="00AF17C2">
        <w:rPr>
          <w:lang w:val="fr-CA"/>
        </w:rPr>
        <w:t>dire que la loi doit être soigneusement adaptée de façon à ce que l</w:t>
      </w:r>
      <w:r w:rsidR="007B74A6">
        <w:rPr>
          <w:lang w:val="fr-CA"/>
        </w:rPr>
        <w:t>’</w:t>
      </w:r>
      <w:r w:rsidR="007B74A6" w:rsidRPr="00AF17C2">
        <w:rPr>
          <w:lang w:val="fr-CA"/>
        </w:rPr>
        <w:t>atteinte aux droits ne dépasse pas ce qui est nécessaire. Le processus d</w:t>
      </w:r>
      <w:r w:rsidR="007B74A6">
        <w:rPr>
          <w:lang w:val="fr-CA"/>
        </w:rPr>
        <w:t>’</w:t>
      </w:r>
      <w:r w:rsidR="007B74A6" w:rsidRPr="00AF17C2">
        <w:rPr>
          <w:lang w:val="fr-CA"/>
        </w:rPr>
        <w:t>adaptation est rarement parfait et les tribunaux doivent accorder une certaine latitude au législateur. Si la loi se situe à l</w:t>
      </w:r>
      <w:r w:rsidR="007B74A6">
        <w:rPr>
          <w:lang w:val="fr-CA"/>
        </w:rPr>
        <w:t>’</w:t>
      </w:r>
      <w:r w:rsidR="007B74A6" w:rsidRPr="00AF17C2">
        <w:rPr>
          <w:lang w:val="fr-CA"/>
        </w:rPr>
        <w:t>intérieur d</w:t>
      </w:r>
      <w:r w:rsidR="007B74A6">
        <w:rPr>
          <w:lang w:val="fr-CA"/>
        </w:rPr>
        <w:t>’</w:t>
      </w:r>
      <w:r w:rsidR="007B74A6" w:rsidRPr="00AF17C2">
        <w:rPr>
          <w:lang w:val="fr-CA"/>
        </w:rPr>
        <w:t>une gamme de mesures raisonnables, les tribunaux ne concluront pas qu</w:t>
      </w:r>
      <w:r w:rsidR="007B74A6">
        <w:rPr>
          <w:lang w:val="fr-CA"/>
        </w:rPr>
        <w:t>’</w:t>
      </w:r>
      <w:r w:rsidR="007B74A6" w:rsidRPr="00AF17C2">
        <w:rPr>
          <w:lang w:val="fr-CA"/>
        </w:rPr>
        <w:t>elle a une portée trop générale simplement parce qu</w:t>
      </w:r>
      <w:r w:rsidR="007B74A6">
        <w:rPr>
          <w:lang w:val="fr-CA"/>
        </w:rPr>
        <w:t>’</w:t>
      </w:r>
      <w:r w:rsidR="007B74A6" w:rsidRPr="00AF17C2">
        <w:rPr>
          <w:lang w:val="fr-CA"/>
        </w:rPr>
        <w:t>ils peuvent envisager une solution de rechange qui pourrait être mieux adaptée à l</w:t>
      </w:r>
      <w:r w:rsidR="007B74A6">
        <w:rPr>
          <w:lang w:val="fr-CA"/>
        </w:rPr>
        <w:t>’</w:t>
      </w:r>
      <w:r w:rsidR="007B74A6" w:rsidRPr="00AF17C2">
        <w:rPr>
          <w:lang w:val="fr-CA"/>
        </w:rPr>
        <w:t>objectif et à la violation [</w:t>
      </w:r>
      <w:r w:rsidR="00795B2B">
        <w:rPr>
          <w:lang w:val="fr-CA"/>
        </w:rPr>
        <w:t>. . .</w:t>
      </w:r>
      <w:r w:rsidR="007B74A6" w:rsidRPr="00AF17C2">
        <w:rPr>
          <w:lang w:val="fr-CA"/>
        </w:rPr>
        <w:t>] Par contre, si le gouvernement omet d</w:t>
      </w:r>
      <w:r w:rsidR="007B74A6">
        <w:rPr>
          <w:lang w:val="fr-CA"/>
        </w:rPr>
        <w:t>’</w:t>
      </w:r>
      <w:r w:rsidR="007B74A6" w:rsidRPr="00AF17C2">
        <w:rPr>
          <w:lang w:val="fr-CA"/>
        </w:rPr>
        <w:t>expliquer pourquoi il n</w:t>
      </w:r>
      <w:r w:rsidR="007B74A6">
        <w:rPr>
          <w:lang w:val="fr-CA"/>
        </w:rPr>
        <w:t>’</w:t>
      </w:r>
      <w:r w:rsidR="007B74A6" w:rsidRPr="00AF17C2">
        <w:rPr>
          <w:lang w:val="fr-CA"/>
        </w:rPr>
        <w:t>a pas choisi une mesure beaucoup moins attentatoire et tout aussi efficace, la loi peut être déclarée non valide.</w:t>
      </w:r>
      <w:r>
        <w:rPr>
          <w:lang w:val="fr-CA"/>
        </w:rPr>
        <w:t xml:space="preserve">  </w:t>
      </w:r>
      <w:r w:rsidR="007B74A6" w:rsidRPr="00AF17C2">
        <w:rPr>
          <w:lang w:val="fr-CA"/>
        </w:rPr>
        <w:t>[Renvois omis.]</w:t>
      </w:r>
    </w:p>
    <w:p w:rsidR="007B74A6" w:rsidRPr="00AF17C2" w:rsidRDefault="007B74A6" w:rsidP="006B1191">
      <w:pPr>
        <w:pStyle w:val="Citation-AltC"/>
        <w:ind w:left="0"/>
        <w:rPr>
          <w:lang w:val="fr-CA"/>
        </w:rPr>
      </w:pPr>
      <w:r w:rsidRPr="00AF17C2">
        <w:rPr>
          <w:lang w:val="fr-CA"/>
        </w:rPr>
        <w:lastRenderedPageBreak/>
        <w:t>(</w:t>
      </w:r>
      <w:r w:rsidRPr="00AF17C2">
        <w:rPr>
          <w:i/>
          <w:lang w:val="fr-CA"/>
        </w:rPr>
        <w:t>RJR</w:t>
      </w:r>
      <w:r w:rsidR="00795B2B">
        <w:rPr>
          <w:i/>
          <w:lang w:val="fr-CA"/>
        </w:rPr>
        <w:t>-</w:t>
      </w:r>
      <w:proofErr w:type="spellStart"/>
      <w:r w:rsidRPr="00AF17C2">
        <w:rPr>
          <w:i/>
          <w:lang w:val="fr-CA"/>
        </w:rPr>
        <w:t>MacDonald</w:t>
      </w:r>
      <w:proofErr w:type="spellEnd"/>
      <w:r w:rsidRPr="00AF17C2">
        <w:rPr>
          <w:i/>
          <w:lang w:val="fr-CA"/>
        </w:rPr>
        <w:t xml:space="preserve"> (1995)</w:t>
      </w:r>
      <w:r w:rsidRPr="00AF17C2">
        <w:rPr>
          <w:lang w:val="fr-CA"/>
        </w:rPr>
        <w:t>, par.</w:t>
      </w:r>
      <w:r w:rsidR="00795B2B">
        <w:rPr>
          <w:lang w:val="fr-CA"/>
        </w:rPr>
        <w:t xml:space="preserve"> </w:t>
      </w:r>
      <w:r w:rsidRPr="00AF17C2">
        <w:rPr>
          <w:lang w:val="fr-CA"/>
        </w:rPr>
        <w:t xml:space="preserve">160; voir aussi </w:t>
      </w:r>
      <w:proofErr w:type="spellStart"/>
      <w:r w:rsidRPr="00AF17C2">
        <w:rPr>
          <w:i/>
          <w:lang w:val="fr-CA"/>
        </w:rPr>
        <w:t>Hutterian</w:t>
      </w:r>
      <w:proofErr w:type="spellEnd"/>
      <w:r w:rsidRPr="00AF17C2">
        <w:rPr>
          <w:i/>
          <w:lang w:val="fr-CA"/>
        </w:rPr>
        <w:t xml:space="preserve"> </w:t>
      </w:r>
      <w:proofErr w:type="spellStart"/>
      <w:r w:rsidRPr="00AF17C2">
        <w:rPr>
          <w:i/>
          <w:lang w:val="fr-CA"/>
        </w:rPr>
        <w:t>Brethren</w:t>
      </w:r>
      <w:proofErr w:type="spellEnd"/>
      <w:r w:rsidRPr="00AF17C2">
        <w:rPr>
          <w:lang w:val="fr-CA"/>
        </w:rPr>
        <w:t>,</w:t>
      </w:r>
      <w:r w:rsidRPr="00AF17C2">
        <w:rPr>
          <w:i/>
          <w:lang w:val="fr-CA"/>
        </w:rPr>
        <w:t xml:space="preserve"> </w:t>
      </w:r>
      <w:r w:rsidRPr="00AF17C2">
        <w:rPr>
          <w:lang w:val="fr-CA"/>
        </w:rPr>
        <w:t>par.</w:t>
      </w:r>
      <w:r w:rsidR="00795B2B">
        <w:rPr>
          <w:lang w:val="fr-CA"/>
        </w:rPr>
        <w:t xml:space="preserve"> </w:t>
      </w:r>
      <w:r w:rsidRPr="00AF17C2">
        <w:rPr>
          <w:lang w:val="fr-CA"/>
        </w:rPr>
        <w:t>53</w:t>
      </w:r>
      <w:r w:rsidR="00795B2B">
        <w:rPr>
          <w:lang w:val="fr-CA"/>
        </w:rPr>
        <w:t>-</w:t>
      </w:r>
      <w:r w:rsidRPr="00AF17C2">
        <w:rPr>
          <w:lang w:val="fr-CA"/>
        </w:rPr>
        <w:t xml:space="preserve">55; </w:t>
      </w:r>
      <w:proofErr w:type="spellStart"/>
      <w:r w:rsidRPr="00AF17C2">
        <w:rPr>
          <w:i/>
          <w:lang w:val="fr-CA"/>
        </w:rPr>
        <w:t>Health</w:t>
      </w:r>
      <w:proofErr w:type="spellEnd"/>
      <w:r w:rsidRPr="00AF17C2">
        <w:rPr>
          <w:i/>
          <w:lang w:val="fr-CA"/>
        </w:rPr>
        <w:t xml:space="preserve"> Services</w:t>
      </w:r>
      <w:r w:rsidRPr="00AF17C2">
        <w:rPr>
          <w:lang w:val="fr-CA"/>
        </w:rPr>
        <w:t>,</w:t>
      </w:r>
      <w:r w:rsidRPr="00AF17C2">
        <w:rPr>
          <w:i/>
          <w:lang w:val="fr-CA"/>
        </w:rPr>
        <w:t xml:space="preserve"> </w:t>
      </w:r>
      <w:r w:rsidRPr="00AF17C2">
        <w:rPr>
          <w:lang w:val="fr-CA"/>
        </w:rPr>
        <w:t>par.</w:t>
      </w:r>
      <w:r w:rsidR="00795B2B">
        <w:rPr>
          <w:lang w:val="fr-CA"/>
        </w:rPr>
        <w:t xml:space="preserve"> </w:t>
      </w:r>
      <w:r w:rsidRPr="00AF17C2">
        <w:rPr>
          <w:lang w:val="fr-CA"/>
        </w:rPr>
        <w:t>150.)</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Les appelantes soutiennent que (1)</w:t>
      </w:r>
      <w:r w:rsidR="00795B2B">
        <w:rPr>
          <w:rFonts w:cs="Times New Roman"/>
          <w:lang w:val="fr-CA"/>
        </w:rPr>
        <w:t xml:space="preserve"> </w:t>
      </w:r>
      <w:r w:rsidRPr="00AF17C2">
        <w:rPr>
          <w:rFonts w:cs="Times New Roman"/>
          <w:lang w:val="fr-CA"/>
        </w:rPr>
        <w:t>d</w:t>
      </w:r>
      <w:r>
        <w:rPr>
          <w:rFonts w:cs="Times New Roman"/>
          <w:lang w:val="fr-CA"/>
        </w:rPr>
        <w:t>’</w:t>
      </w:r>
      <w:r w:rsidRPr="00AF17C2">
        <w:rPr>
          <w:rFonts w:cs="Times New Roman"/>
          <w:lang w:val="fr-CA"/>
        </w:rPr>
        <w:t>autres forces policières canadiennes ont accès à des régimes véritables de négociation collective sans que soient perturbées leur neutralité, leur stabilité ou leur fiabilité, et que (2)</w:t>
      </w:r>
      <w:r w:rsidR="00795B2B">
        <w:rPr>
          <w:rFonts w:cs="Times New Roman"/>
          <w:lang w:val="fr-CA"/>
        </w:rPr>
        <w:t xml:space="preserve"> </w:t>
      </w:r>
      <w:r w:rsidRPr="00AF17C2">
        <w:rPr>
          <w:rFonts w:cs="Times New Roman"/>
          <w:lang w:val="fr-CA"/>
        </w:rPr>
        <w:t>le gouvernement n</w:t>
      </w:r>
      <w:r>
        <w:rPr>
          <w:rFonts w:cs="Times New Roman"/>
          <w:lang w:val="fr-CA"/>
        </w:rPr>
        <w:t>’</w:t>
      </w:r>
      <w:r w:rsidRPr="00AF17C2">
        <w:rPr>
          <w:rFonts w:cs="Times New Roman"/>
          <w:lang w:val="fr-CA"/>
        </w:rPr>
        <w:t>a pas établi que la GRC différait de ces forces policières d</w:t>
      </w:r>
      <w:r>
        <w:rPr>
          <w:rFonts w:cs="Times New Roman"/>
          <w:lang w:val="fr-CA"/>
        </w:rPr>
        <w:t>’</w:t>
      </w:r>
      <w:r w:rsidRPr="00AF17C2">
        <w:rPr>
          <w:rFonts w:cs="Times New Roman"/>
          <w:lang w:val="fr-CA"/>
        </w:rPr>
        <w:t>une façon qui fasse en sorte que la négociation collective perturberait davantage sa neutralité, sa stabilité ou sa fiabilité. Le fait de priver les membres de la GRC d</w:t>
      </w:r>
      <w:r>
        <w:rPr>
          <w:rFonts w:cs="Times New Roman"/>
          <w:lang w:val="fr-CA"/>
        </w:rPr>
        <w:t>’</w:t>
      </w:r>
      <w:r w:rsidRPr="00AF17C2">
        <w:rPr>
          <w:rFonts w:cs="Times New Roman"/>
          <w:lang w:val="fr-CA"/>
        </w:rPr>
        <w:t xml:space="preserve">un processus véritable de négociation collective est donc, à leur avis, plus restrictif que ce qui est nécessaire pour assurer la neutralité, la stabilité et la fiabilité de cette force policière.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La GRC [</w:t>
      </w:r>
      <w:r w:rsidRPr="00AF17C2">
        <w:rPr>
          <w:rFonts w:cs="Times New Roman"/>
          <w:smallCaps/>
          <w:lang w:val="fr-CA"/>
        </w:rPr>
        <w:t>traduction</w:t>
      </w:r>
      <w:r w:rsidRPr="00AF17C2">
        <w:rPr>
          <w:rFonts w:cs="Times New Roman"/>
          <w:lang w:val="fr-CA"/>
        </w:rPr>
        <w:t xml:space="preserve">] </w:t>
      </w:r>
      <w:r w:rsidR="00795B2B">
        <w:rPr>
          <w:rFonts w:cs="Times New Roman"/>
          <w:lang w:val="fr-CA"/>
        </w:rPr>
        <w:t>« </w:t>
      </w:r>
      <w:r w:rsidRPr="00AF17C2">
        <w:rPr>
          <w:rFonts w:cs="Times New Roman"/>
          <w:lang w:val="fr-CA"/>
        </w:rPr>
        <w:t>est la seule force policière au Canada n</w:t>
      </w:r>
      <w:r>
        <w:rPr>
          <w:rFonts w:cs="Times New Roman"/>
          <w:lang w:val="fr-CA"/>
        </w:rPr>
        <w:t>’</w:t>
      </w:r>
      <w:r w:rsidRPr="00AF17C2">
        <w:rPr>
          <w:rFonts w:cs="Times New Roman"/>
          <w:lang w:val="fr-CA"/>
        </w:rPr>
        <w:t>ayant pas de convention collective qui régit les conditions de travail de ses agents</w:t>
      </w:r>
      <w:r w:rsidR="00795B2B">
        <w:rPr>
          <w:rFonts w:cs="Times New Roman"/>
          <w:lang w:val="fr-CA"/>
        </w:rPr>
        <w:t> »</w:t>
      </w:r>
      <w:r w:rsidRPr="00AF17C2">
        <w:rPr>
          <w:rFonts w:cs="Times New Roman"/>
          <w:lang w:val="fr-CA"/>
        </w:rPr>
        <w:t xml:space="preserve"> (motifs du juge saisi de la demande, par.</w:t>
      </w:r>
      <w:r w:rsidR="00795B2B">
        <w:rPr>
          <w:rFonts w:cs="Times New Roman"/>
          <w:lang w:val="fr-CA"/>
        </w:rPr>
        <w:t xml:space="preserve"> </w:t>
      </w:r>
      <w:r w:rsidRPr="00AF17C2">
        <w:rPr>
          <w:rFonts w:cs="Times New Roman"/>
          <w:lang w:val="fr-CA"/>
        </w:rPr>
        <w:t>96). Tous les autres policiers du pays bénéficient d</w:t>
      </w:r>
      <w:r>
        <w:rPr>
          <w:rFonts w:cs="Times New Roman"/>
          <w:lang w:val="fr-CA"/>
        </w:rPr>
        <w:t>’</w:t>
      </w:r>
      <w:r w:rsidRPr="00AF17C2">
        <w:rPr>
          <w:rFonts w:cs="Times New Roman"/>
          <w:lang w:val="fr-CA"/>
        </w:rPr>
        <w:t>un régime de négociation collective qui leur accorde des protections fondamentales en matière de négociation. Les corps policiers provinciaux de l</w:t>
      </w:r>
      <w:r>
        <w:rPr>
          <w:rFonts w:cs="Times New Roman"/>
          <w:lang w:val="fr-CA"/>
        </w:rPr>
        <w:t>’</w:t>
      </w:r>
      <w:r w:rsidRPr="00AF17C2">
        <w:rPr>
          <w:rFonts w:cs="Times New Roman"/>
          <w:lang w:val="fr-CA"/>
        </w:rPr>
        <w:t>Ontario, du Québec et de Terre</w:t>
      </w:r>
      <w:r w:rsidR="00795B2B">
        <w:rPr>
          <w:rFonts w:cs="Times New Roman"/>
          <w:lang w:val="fr-CA"/>
        </w:rPr>
        <w:t>-</w:t>
      </w:r>
      <w:r w:rsidRPr="00AF17C2">
        <w:rPr>
          <w:rFonts w:cs="Times New Roman"/>
          <w:lang w:val="fr-CA"/>
        </w:rPr>
        <w:t>Neuve</w:t>
      </w:r>
      <w:r w:rsidR="00795B2B">
        <w:rPr>
          <w:rFonts w:cs="Times New Roman"/>
          <w:lang w:val="fr-CA"/>
        </w:rPr>
        <w:t>-</w:t>
      </w:r>
      <w:r w:rsidRPr="00AF17C2">
        <w:rPr>
          <w:rFonts w:cs="Times New Roman"/>
          <w:lang w:val="fr-CA"/>
        </w:rPr>
        <w:t>et</w:t>
      </w:r>
      <w:r w:rsidR="00795B2B">
        <w:rPr>
          <w:rFonts w:cs="Times New Roman"/>
          <w:lang w:val="fr-CA"/>
        </w:rPr>
        <w:t>-</w:t>
      </w:r>
      <w:r w:rsidRPr="00AF17C2">
        <w:rPr>
          <w:rFonts w:cs="Times New Roman"/>
          <w:lang w:val="fr-CA"/>
        </w:rPr>
        <w:t>Labrador sont régis par leurs propres lois, qui prévoient entre autres l</w:t>
      </w:r>
      <w:r>
        <w:rPr>
          <w:rFonts w:cs="Times New Roman"/>
          <w:lang w:val="fr-CA"/>
        </w:rPr>
        <w:t>’</w:t>
      </w:r>
      <w:r w:rsidRPr="00AF17C2">
        <w:rPr>
          <w:rFonts w:cs="Times New Roman"/>
          <w:lang w:val="fr-CA"/>
        </w:rPr>
        <w:t>établissement d</w:t>
      </w:r>
      <w:r>
        <w:rPr>
          <w:rFonts w:cs="Times New Roman"/>
          <w:lang w:val="fr-CA"/>
        </w:rPr>
        <w:t>’</w:t>
      </w:r>
      <w:r w:rsidRPr="00AF17C2">
        <w:rPr>
          <w:rFonts w:cs="Times New Roman"/>
          <w:lang w:val="fr-CA"/>
        </w:rPr>
        <w:t>associations d</w:t>
      </w:r>
      <w:r>
        <w:rPr>
          <w:rFonts w:cs="Times New Roman"/>
          <w:lang w:val="fr-CA"/>
        </w:rPr>
        <w:t>’</w:t>
      </w:r>
      <w:r w:rsidRPr="00AF17C2">
        <w:rPr>
          <w:rFonts w:cs="Times New Roman"/>
          <w:lang w:val="fr-CA"/>
        </w:rPr>
        <w:t>employés, la négociation de conventions collectives entre la direction et les associations d</w:t>
      </w:r>
      <w:r>
        <w:rPr>
          <w:rFonts w:cs="Times New Roman"/>
          <w:lang w:val="fr-CA"/>
        </w:rPr>
        <w:t>’</w:t>
      </w:r>
      <w:r w:rsidRPr="00AF17C2">
        <w:rPr>
          <w:rFonts w:cs="Times New Roman"/>
          <w:lang w:val="fr-CA"/>
        </w:rPr>
        <w:t>employés, des procédures de règlement des griefs, la conciliation et l</w:t>
      </w:r>
      <w:r>
        <w:rPr>
          <w:rFonts w:cs="Times New Roman"/>
          <w:lang w:val="fr-CA"/>
        </w:rPr>
        <w:t>’</w:t>
      </w:r>
      <w:r w:rsidRPr="00AF17C2">
        <w:rPr>
          <w:rFonts w:cs="Times New Roman"/>
          <w:lang w:val="fr-CA"/>
        </w:rPr>
        <w:t>arbitrage (</w:t>
      </w:r>
      <w:r w:rsidRPr="00AF17C2">
        <w:rPr>
          <w:rFonts w:cs="Times New Roman"/>
          <w:i/>
          <w:lang w:val="fr-CA"/>
        </w:rPr>
        <w:t>Loi de 2006 sur la négociation collective relative à la Police provinciale de l</w:t>
      </w:r>
      <w:r>
        <w:rPr>
          <w:rFonts w:cs="Times New Roman"/>
          <w:i/>
          <w:lang w:val="fr-CA"/>
        </w:rPr>
        <w:t>’</w:t>
      </w:r>
      <w:r w:rsidRPr="00AF17C2">
        <w:rPr>
          <w:rFonts w:cs="Times New Roman"/>
          <w:i/>
          <w:lang w:val="fr-CA"/>
        </w:rPr>
        <w:t>Ontario</w:t>
      </w:r>
      <w:r w:rsidRPr="00AF17C2">
        <w:rPr>
          <w:rFonts w:cs="Times New Roman"/>
          <w:lang w:val="fr-CA"/>
        </w:rPr>
        <w:t>, L.O.</w:t>
      </w:r>
      <w:r w:rsidR="00795B2B">
        <w:rPr>
          <w:rFonts w:cs="Times New Roman"/>
          <w:lang w:val="fr-CA"/>
        </w:rPr>
        <w:t xml:space="preserve"> </w:t>
      </w:r>
      <w:r w:rsidRPr="00AF17C2">
        <w:rPr>
          <w:rFonts w:cs="Times New Roman"/>
          <w:lang w:val="fr-CA"/>
        </w:rPr>
        <w:t>2006, c.</w:t>
      </w:r>
      <w:r w:rsidR="00795B2B">
        <w:rPr>
          <w:rFonts w:cs="Times New Roman"/>
          <w:lang w:val="fr-CA"/>
        </w:rPr>
        <w:t xml:space="preserve"> </w:t>
      </w:r>
      <w:r w:rsidRPr="00AF17C2">
        <w:rPr>
          <w:rFonts w:cs="Times New Roman"/>
          <w:lang w:val="fr-CA"/>
        </w:rPr>
        <w:t xml:space="preserve">35, </w:t>
      </w:r>
      <w:proofErr w:type="spellStart"/>
      <w:r w:rsidRPr="00AF17C2">
        <w:rPr>
          <w:rFonts w:cs="Times New Roman"/>
          <w:lang w:val="fr-CA"/>
        </w:rPr>
        <w:t>ann</w:t>
      </w:r>
      <w:proofErr w:type="spellEnd"/>
      <w:r w:rsidRPr="00AF17C2">
        <w:rPr>
          <w:rFonts w:cs="Times New Roman"/>
          <w:lang w:val="fr-CA"/>
        </w:rPr>
        <w:t xml:space="preserve">. B; </w:t>
      </w:r>
      <w:r w:rsidRPr="00AF17C2">
        <w:rPr>
          <w:rFonts w:cs="Times New Roman"/>
          <w:i/>
          <w:lang w:val="fr-CA"/>
        </w:rPr>
        <w:t>Loi sur le régime syndical applicable à la Sûreté du Québec</w:t>
      </w:r>
      <w:r w:rsidRPr="00AF17C2">
        <w:rPr>
          <w:rFonts w:cs="Times New Roman"/>
          <w:lang w:val="fr-CA"/>
        </w:rPr>
        <w:t>, RLRQ</w:t>
      </w:r>
      <w:r w:rsidR="006B1191">
        <w:rPr>
          <w:rFonts w:cs="Times New Roman"/>
          <w:lang w:val="fr-CA"/>
        </w:rPr>
        <w:t>,</w:t>
      </w:r>
      <w:r w:rsidRPr="00AF17C2">
        <w:rPr>
          <w:rFonts w:cs="Times New Roman"/>
          <w:lang w:val="fr-CA"/>
        </w:rPr>
        <w:t xml:space="preserve"> c.</w:t>
      </w:r>
      <w:r w:rsidR="00795B2B">
        <w:rPr>
          <w:rFonts w:cs="Times New Roman"/>
          <w:lang w:val="fr-CA"/>
        </w:rPr>
        <w:t xml:space="preserve"> </w:t>
      </w:r>
      <w:r w:rsidRPr="00AF17C2">
        <w:rPr>
          <w:rFonts w:cs="Times New Roman"/>
          <w:lang w:val="fr-CA"/>
        </w:rPr>
        <w:t>R</w:t>
      </w:r>
      <w:r w:rsidRPr="00AF17C2">
        <w:rPr>
          <w:rFonts w:eastAsia="MS Mincho" w:cs="Times New Roman" w:hint="eastAsia"/>
          <w:lang w:val="fr-CA"/>
        </w:rPr>
        <w:t>‑</w:t>
      </w:r>
      <w:r w:rsidR="00042C91">
        <w:rPr>
          <w:rFonts w:eastAsia="MS Mincho" w:cs="Times New Roman"/>
          <w:lang w:val="fr-CA"/>
        </w:rPr>
        <w:t>14</w:t>
      </w:r>
      <w:r w:rsidRPr="00AF17C2">
        <w:rPr>
          <w:rFonts w:cs="Times New Roman"/>
          <w:lang w:val="fr-CA"/>
        </w:rPr>
        <w:t xml:space="preserve">; </w:t>
      </w:r>
      <w:r w:rsidRPr="00AF17C2">
        <w:rPr>
          <w:rFonts w:cs="Times New Roman"/>
          <w:i/>
          <w:lang w:val="fr-CA"/>
        </w:rPr>
        <w:t xml:space="preserve">Royal Newfoundland </w:t>
      </w:r>
      <w:proofErr w:type="spellStart"/>
      <w:r w:rsidRPr="00AF17C2">
        <w:rPr>
          <w:rFonts w:cs="Times New Roman"/>
          <w:i/>
          <w:lang w:val="fr-CA"/>
        </w:rPr>
        <w:t>Constabulary</w:t>
      </w:r>
      <w:proofErr w:type="spellEnd"/>
      <w:r w:rsidRPr="00AF17C2">
        <w:rPr>
          <w:rFonts w:cs="Times New Roman"/>
          <w:i/>
          <w:lang w:val="fr-CA"/>
        </w:rPr>
        <w:t xml:space="preserve"> </w:t>
      </w:r>
      <w:proofErr w:type="spellStart"/>
      <w:r w:rsidRPr="00AF17C2">
        <w:rPr>
          <w:rFonts w:cs="Times New Roman"/>
          <w:i/>
          <w:lang w:val="fr-CA"/>
        </w:rPr>
        <w:t>Act</w:t>
      </w:r>
      <w:proofErr w:type="spellEnd"/>
      <w:r w:rsidRPr="00AF17C2">
        <w:rPr>
          <w:rFonts w:cs="Times New Roman"/>
          <w:i/>
          <w:lang w:val="fr-CA"/>
        </w:rPr>
        <w:t>, 1992</w:t>
      </w:r>
      <w:r w:rsidRPr="00AF17C2">
        <w:rPr>
          <w:rFonts w:cs="Times New Roman"/>
          <w:lang w:val="fr-CA"/>
        </w:rPr>
        <w:t>, S.N.L.</w:t>
      </w:r>
      <w:r w:rsidR="00795B2B">
        <w:rPr>
          <w:rFonts w:cs="Times New Roman"/>
          <w:lang w:val="fr-CA"/>
        </w:rPr>
        <w:t xml:space="preserve"> </w:t>
      </w:r>
      <w:r w:rsidRPr="00AF17C2">
        <w:rPr>
          <w:rFonts w:cs="Times New Roman"/>
          <w:lang w:val="fr-CA"/>
        </w:rPr>
        <w:t>1992, c.</w:t>
      </w:r>
      <w:r w:rsidR="00795B2B">
        <w:rPr>
          <w:rFonts w:cs="Times New Roman"/>
          <w:lang w:val="fr-CA"/>
        </w:rPr>
        <w:t xml:space="preserve"> </w:t>
      </w:r>
      <w:r w:rsidRPr="00AF17C2">
        <w:rPr>
          <w:rFonts w:cs="Times New Roman"/>
          <w:lang w:val="fr-CA"/>
        </w:rPr>
        <w:t>R</w:t>
      </w:r>
      <w:r w:rsidR="00A24AD1">
        <w:rPr>
          <w:rFonts w:eastAsia="MS Mincho" w:cs="Times New Roman"/>
          <w:lang w:val="fr-CA"/>
        </w:rPr>
        <w:t>-</w:t>
      </w:r>
      <w:r w:rsidRPr="00AF17C2">
        <w:rPr>
          <w:rFonts w:cs="Times New Roman"/>
          <w:lang w:val="fr-CA"/>
        </w:rPr>
        <w:t>17</w:t>
      </w:r>
      <w:r w:rsidR="00042C91">
        <w:rPr>
          <w:rFonts w:cs="Times New Roman"/>
          <w:lang w:val="fr-CA"/>
        </w:rPr>
        <w:t>)</w:t>
      </w:r>
      <w:r w:rsidRPr="00AF17C2">
        <w:rPr>
          <w:rFonts w:cs="Times New Roman"/>
          <w:lang w:val="fr-CA"/>
        </w:rPr>
        <w:t>. Dans les autres provinces, les policiers sont protégés par les lois générales en matière de relations du travail, dont certaines dispositions s</w:t>
      </w:r>
      <w:r>
        <w:rPr>
          <w:rFonts w:cs="Times New Roman"/>
          <w:lang w:val="fr-CA"/>
        </w:rPr>
        <w:t>’</w:t>
      </w:r>
      <w:r w:rsidRPr="00AF17C2">
        <w:rPr>
          <w:rFonts w:cs="Times New Roman"/>
          <w:lang w:val="fr-CA"/>
        </w:rPr>
        <w:t xml:space="preserve">appliquent à eux. Par exemple, en Saskatchewan, </w:t>
      </w:r>
      <w:r w:rsidRPr="00AF17C2">
        <w:rPr>
          <w:rFonts w:cs="Times New Roman"/>
          <w:lang w:val="fr-CA"/>
        </w:rPr>
        <w:lastRenderedPageBreak/>
        <w:t>la conciliation et l</w:t>
      </w:r>
      <w:r>
        <w:rPr>
          <w:rFonts w:cs="Times New Roman"/>
          <w:lang w:val="fr-CA"/>
        </w:rPr>
        <w:t>’</w:t>
      </w:r>
      <w:r w:rsidRPr="00AF17C2">
        <w:rPr>
          <w:rFonts w:cs="Times New Roman"/>
          <w:lang w:val="fr-CA"/>
        </w:rPr>
        <w:t>arbitrage sont des moyens de résoudre les conflits de travail, et les grèves et les lock</w:t>
      </w:r>
      <w:r w:rsidR="00795B2B">
        <w:rPr>
          <w:rFonts w:cs="Times New Roman"/>
          <w:lang w:val="fr-CA"/>
        </w:rPr>
        <w:t>-</w:t>
      </w:r>
      <w:r w:rsidRPr="00AF17C2">
        <w:rPr>
          <w:rFonts w:cs="Times New Roman"/>
          <w:lang w:val="fr-CA"/>
        </w:rPr>
        <w:t>out font l</w:t>
      </w:r>
      <w:r>
        <w:rPr>
          <w:rFonts w:cs="Times New Roman"/>
          <w:lang w:val="fr-CA"/>
        </w:rPr>
        <w:t>’</w:t>
      </w:r>
      <w:r w:rsidRPr="00AF17C2">
        <w:rPr>
          <w:rFonts w:cs="Times New Roman"/>
          <w:lang w:val="fr-CA"/>
        </w:rPr>
        <w:t xml:space="preserve">objet de restrictions, conformément à </w:t>
      </w:r>
      <w:r w:rsidR="006B1191" w:rsidRPr="006B1191">
        <w:rPr>
          <w:rFonts w:cs="Times New Roman"/>
          <w:i/>
          <w:lang w:val="fr-CA"/>
        </w:rPr>
        <w:t xml:space="preserve">The </w:t>
      </w:r>
      <w:r w:rsidRPr="00AF17C2">
        <w:rPr>
          <w:rFonts w:cs="Times New Roman"/>
          <w:i/>
          <w:lang w:val="fr-CA"/>
        </w:rPr>
        <w:t xml:space="preserve">Police </w:t>
      </w:r>
      <w:proofErr w:type="spellStart"/>
      <w:r w:rsidRPr="00AF17C2">
        <w:rPr>
          <w:rFonts w:cs="Times New Roman"/>
          <w:i/>
          <w:lang w:val="fr-CA"/>
        </w:rPr>
        <w:t>Act</w:t>
      </w:r>
      <w:proofErr w:type="spellEnd"/>
      <w:r w:rsidRPr="00AF17C2">
        <w:rPr>
          <w:rFonts w:cs="Times New Roman"/>
          <w:i/>
          <w:lang w:val="fr-CA"/>
        </w:rPr>
        <w:t>, 1990</w:t>
      </w:r>
      <w:r w:rsidRPr="00AF17C2">
        <w:rPr>
          <w:rFonts w:cs="Times New Roman"/>
          <w:lang w:val="fr-CA"/>
        </w:rPr>
        <w:t>, S.S. 1990</w:t>
      </w:r>
      <w:r w:rsidR="00795B2B">
        <w:rPr>
          <w:rFonts w:cs="Times New Roman"/>
          <w:lang w:val="fr-CA"/>
        </w:rPr>
        <w:t>-</w:t>
      </w:r>
      <w:r w:rsidRPr="00AF17C2">
        <w:rPr>
          <w:rFonts w:cs="Times New Roman"/>
          <w:lang w:val="fr-CA"/>
        </w:rPr>
        <w:t>91, c.</w:t>
      </w:r>
      <w:r w:rsidR="00795B2B">
        <w:rPr>
          <w:rFonts w:cs="Times New Roman"/>
          <w:lang w:val="fr-CA"/>
        </w:rPr>
        <w:t xml:space="preserve"> </w:t>
      </w:r>
      <w:r w:rsidRPr="00AF17C2">
        <w:rPr>
          <w:rFonts w:cs="Times New Roman"/>
          <w:lang w:val="fr-CA"/>
        </w:rPr>
        <w:t>P</w:t>
      </w:r>
      <w:r w:rsidR="00795B2B">
        <w:rPr>
          <w:rFonts w:cs="Times New Roman"/>
          <w:lang w:val="fr-CA"/>
        </w:rPr>
        <w:t>-</w:t>
      </w:r>
      <w:r w:rsidRPr="00AF17C2">
        <w:rPr>
          <w:rFonts w:cs="Times New Roman"/>
          <w:lang w:val="fr-CA"/>
        </w:rPr>
        <w:t>15.01, art.</w:t>
      </w:r>
      <w:r w:rsidR="00795B2B">
        <w:rPr>
          <w:rFonts w:cs="Times New Roman"/>
          <w:lang w:val="fr-CA"/>
        </w:rPr>
        <w:t xml:space="preserve"> </w:t>
      </w:r>
      <w:r w:rsidRPr="00AF17C2">
        <w:rPr>
          <w:rFonts w:cs="Times New Roman"/>
          <w:lang w:val="fr-CA"/>
        </w:rPr>
        <w:t xml:space="preserve">83 à 86.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À moins qu</w:t>
      </w:r>
      <w:r>
        <w:rPr>
          <w:rFonts w:cs="Times New Roman"/>
          <w:lang w:val="fr-CA"/>
        </w:rPr>
        <w:t>’</w:t>
      </w:r>
      <w:r w:rsidRPr="00AF17C2">
        <w:rPr>
          <w:rFonts w:cs="Times New Roman"/>
          <w:lang w:val="fr-CA"/>
        </w:rPr>
        <w:t>on établisse que la GRC est substantiellement différente des forces policières provinciales, son exclusion totale d</w:t>
      </w:r>
      <w:r>
        <w:rPr>
          <w:rFonts w:cs="Times New Roman"/>
          <w:lang w:val="fr-CA"/>
        </w:rPr>
        <w:t>’</w:t>
      </w:r>
      <w:r w:rsidRPr="00AF17C2">
        <w:rPr>
          <w:rFonts w:cs="Times New Roman"/>
          <w:lang w:val="fr-CA"/>
        </w:rPr>
        <w:t>un régime véritable de négociation collective ne peut clairement pas constituer une atteinte minimale. Une différence substantielle n</w:t>
      </w:r>
      <w:r>
        <w:rPr>
          <w:rFonts w:cs="Times New Roman"/>
          <w:lang w:val="fr-CA"/>
        </w:rPr>
        <w:t>’</w:t>
      </w:r>
      <w:r w:rsidRPr="00AF17C2">
        <w:rPr>
          <w:rFonts w:cs="Times New Roman"/>
          <w:lang w:val="fr-CA"/>
        </w:rPr>
        <w:t xml:space="preserve">a pas été établie. De plus, dans des régimes comme celui de la </w:t>
      </w:r>
      <w:r w:rsidRPr="00AF17C2">
        <w:rPr>
          <w:rFonts w:cs="Times New Roman"/>
          <w:i/>
          <w:lang w:val="fr-CA"/>
        </w:rPr>
        <w:t>LRTFP</w:t>
      </w:r>
      <w:r w:rsidRPr="00AF17C2">
        <w:rPr>
          <w:rFonts w:cs="Times New Roman"/>
          <w:lang w:val="fr-CA"/>
        </w:rPr>
        <w:t xml:space="preserve"> actuelle, les préoccupations quant à l</w:t>
      </w:r>
      <w:r>
        <w:rPr>
          <w:rFonts w:cs="Times New Roman"/>
          <w:lang w:val="fr-CA"/>
        </w:rPr>
        <w:t>’</w:t>
      </w:r>
      <w:r w:rsidRPr="00AF17C2">
        <w:rPr>
          <w:rFonts w:cs="Times New Roman"/>
          <w:lang w:val="fr-CA"/>
        </w:rPr>
        <w:t xml:space="preserve">indépendance des membres de la </w:t>
      </w:r>
      <w:r w:rsidR="00042C91">
        <w:rPr>
          <w:rFonts w:cs="Times New Roman"/>
          <w:lang w:val="fr-CA"/>
        </w:rPr>
        <w:t xml:space="preserve">Gendarmerie </w:t>
      </w:r>
      <w:r w:rsidRPr="00AF17C2">
        <w:rPr>
          <w:rFonts w:cs="Times New Roman"/>
          <w:lang w:val="fr-CA"/>
        </w:rPr>
        <w:t>pourraient facilement être examinées au moment de déterminer l</w:t>
      </w:r>
      <w:r>
        <w:rPr>
          <w:rFonts w:cs="Times New Roman"/>
          <w:lang w:val="fr-CA"/>
        </w:rPr>
        <w:t>’</w:t>
      </w:r>
      <w:r w:rsidRPr="00AF17C2">
        <w:rPr>
          <w:rFonts w:cs="Times New Roman"/>
          <w:lang w:val="fr-CA"/>
        </w:rPr>
        <w:t>étendue de l</w:t>
      </w:r>
      <w:r>
        <w:rPr>
          <w:rFonts w:cs="Times New Roman"/>
          <w:lang w:val="fr-CA"/>
        </w:rPr>
        <w:t>’</w:t>
      </w:r>
      <w:r w:rsidRPr="00AF17C2">
        <w:rPr>
          <w:rFonts w:cs="Times New Roman"/>
          <w:lang w:val="fr-CA"/>
        </w:rPr>
        <w:t>unité de négociation — sans qu</w:t>
      </w:r>
      <w:r>
        <w:rPr>
          <w:rFonts w:cs="Times New Roman"/>
          <w:lang w:val="fr-CA"/>
        </w:rPr>
        <w:t>’</w:t>
      </w:r>
      <w:r w:rsidRPr="00AF17C2">
        <w:rPr>
          <w:rFonts w:cs="Times New Roman"/>
          <w:lang w:val="fr-CA"/>
        </w:rPr>
        <w:t>une exclusion totale ne soit nécessaire. Par exemple,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4 du </w:t>
      </w:r>
      <w:r w:rsidRPr="00AF17C2">
        <w:rPr>
          <w:rFonts w:cs="Times New Roman"/>
          <w:i/>
          <w:lang w:val="fr-CA"/>
        </w:rPr>
        <w:t>Code du travail</w:t>
      </w:r>
      <w:r w:rsidRPr="00AF17C2">
        <w:rPr>
          <w:rFonts w:cs="Times New Roman"/>
          <w:lang w:val="fr-CA"/>
        </w:rPr>
        <w:t>,</w:t>
      </w:r>
      <w:r w:rsidRPr="00AF17C2">
        <w:rPr>
          <w:rFonts w:cs="Times New Roman"/>
          <w:i/>
          <w:lang w:val="fr-CA"/>
        </w:rPr>
        <w:t xml:space="preserve"> </w:t>
      </w:r>
      <w:r w:rsidRPr="00AF17C2">
        <w:rPr>
          <w:rFonts w:cs="Times New Roman"/>
          <w:lang w:val="fr-CA"/>
        </w:rPr>
        <w:t>RLRQ</w:t>
      </w:r>
      <w:r w:rsidR="006B1191">
        <w:rPr>
          <w:rFonts w:cs="Times New Roman"/>
          <w:lang w:val="fr-CA"/>
        </w:rPr>
        <w:t>,</w:t>
      </w:r>
      <w:r w:rsidRPr="00AF17C2">
        <w:rPr>
          <w:rFonts w:cs="Times New Roman"/>
          <w:lang w:val="fr-CA"/>
        </w:rPr>
        <w:t xml:space="preserve"> c.</w:t>
      </w:r>
      <w:r w:rsidR="00795B2B">
        <w:rPr>
          <w:rFonts w:cs="Times New Roman"/>
          <w:lang w:val="fr-CA"/>
        </w:rPr>
        <w:t xml:space="preserve"> </w:t>
      </w:r>
      <w:r w:rsidRPr="00AF17C2">
        <w:rPr>
          <w:rFonts w:cs="Times New Roman"/>
          <w:lang w:val="fr-CA"/>
        </w:rPr>
        <w:t>C</w:t>
      </w:r>
      <w:r w:rsidRPr="00AF17C2">
        <w:rPr>
          <w:rFonts w:eastAsia="MS Mincho" w:cs="Times New Roman" w:hint="eastAsia"/>
          <w:lang w:val="fr-CA"/>
        </w:rPr>
        <w:t>‑</w:t>
      </w:r>
      <w:r w:rsidRPr="00AF17C2">
        <w:rPr>
          <w:rFonts w:cs="Times New Roman"/>
          <w:lang w:val="fr-CA"/>
        </w:rPr>
        <w:t>27, impose des restrictions en matière d</w:t>
      </w:r>
      <w:r>
        <w:rPr>
          <w:rFonts w:cs="Times New Roman"/>
          <w:lang w:val="fr-CA"/>
        </w:rPr>
        <w:t>’</w:t>
      </w:r>
      <w:r w:rsidRPr="00AF17C2">
        <w:rPr>
          <w:rFonts w:cs="Times New Roman"/>
          <w:lang w:val="fr-CA"/>
        </w:rPr>
        <w:t>appartenance et d</w:t>
      </w:r>
      <w:r>
        <w:rPr>
          <w:rFonts w:cs="Times New Roman"/>
          <w:lang w:val="fr-CA"/>
        </w:rPr>
        <w:t>’</w:t>
      </w:r>
      <w:r w:rsidRPr="00AF17C2">
        <w:rPr>
          <w:rFonts w:cs="Times New Roman"/>
          <w:lang w:val="fr-CA"/>
        </w:rPr>
        <w:t>affiliation aux associations de policiers municipaux.</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procureur général du Canada a présenté un seul argument pour étayer l</w:t>
      </w:r>
      <w:r>
        <w:rPr>
          <w:rFonts w:cs="Times New Roman"/>
          <w:lang w:val="fr-CA"/>
        </w:rPr>
        <w:t>’</w:t>
      </w:r>
      <w:r w:rsidRPr="00AF17C2">
        <w:rPr>
          <w:rFonts w:cs="Times New Roman"/>
          <w:lang w:val="fr-CA"/>
        </w:rPr>
        <w:t>opinion selon laquelle les caractéristiques particulières de la GRC justifient d</w:t>
      </w:r>
      <w:r>
        <w:rPr>
          <w:rFonts w:cs="Times New Roman"/>
          <w:lang w:val="fr-CA"/>
        </w:rPr>
        <w:t>’</w:t>
      </w:r>
      <w:r w:rsidRPr="00AF17C2">
        <w:rPr>
          <w:rFonts w:cs="Times New Roman"/>
          <w:lang w:val="fr-CA"/>
        </w:rPr>
        <w:t>exclure ses membres de l</w:t>
      </w:r>
      <w:r>
        <w:rPr>
          <w:rFonts w:cs="Times New Roman"/>
          <w:lang w:val="fr-CA"/>
        </w:rPr>
        <w:t>’</w:t>
      </w:r>
      <w:r w:rsidRPr="00AF17C2">
        <w:rPr>
          <w:rFonts w:cs="Times New Roman"/>
          <w:lang w:val="fr-CA"/>
        </w:rPr>
        <w:t xml:space="preserve">application de la </w:t>
      </w:r>
      <w:r w:rsidRPr="00AF17C2">
        <w:rPr>
          <w:rFonts w:cs="Times New Roman"/>
          <w:i/>
          <w:lang w:val="fr-CA"/>
        </w:rPr>
        <w:t>LRTFP</w:t>
      </w:r>
      <w:r w:rsidRPr="00AF17C2">
        <w:rPr>
          <w:rFonts w:cs="Times New Roman"/>
          <w:lang w:val="fr-CA"/>
        </w:rPr>
        <w:t xml:space="preserve"> actuelle et de leur imposer le PRRF. Selon l</w:t>
      </w:r>
      <w:r>
        <w:rPr>
          <w:rFonts w:cs="Times New Roman"/>
          <w:lang w:val="fr-CA"/>
        </w:rPr>
        <w:t>’</w:t>
      </w:r>
      <w:r w:rsidRPr="00AF17C2">
        <w:rPr>
          <w:rFonts w:cs="Times New Roman"/>
          <w:lang w:val="fr-CA"/>
        </w:rPr>
        <w:t>intimé, dans l</w:t>
      </w:r>
      <w:r>
        <w:rPr>
          <w:rFonts w:cs="Times New Roman"/>
          <w:lang w:val="fr-CA"/>
        </w:rPr>
        <w:t>’</w:t>
      </w:r>
      <w:r w:rsidRPr="00AF17C2">
        <w:rPr>
          <w:rFonts w:cs="Times New Roman"/>
          <w:lang w:val="fr-CA"/>
        </w:rPr>
        <w:t>éventualité d</w:t>
      </w:r>
      <w:r>
        <w:rPr>
          <w:rFonts w:cs="Times New Roman"/>
          <w:lang w:val="fr-CA"/>
        </w:rPr>
        <w:t>’</w:t>
      </w:r>
      <w:r w:rsidRPr="00AF17C2">
        <w:rPr>
          <w:rFonts w:cs="Times New Roman"/>
          <w:lang w:val="fr-CA"/>
        </w:rPr>
        <w:t>une grève illégale ou de tout autre moyen de pression important déclenché par un autre corps de police, ou par tout autre groupe œuvrant dans le secteur de la sécurité, comme les gardiens de prison, il appartiendrait en fin de compte à la GRC d</w:t>
      </w:r>
      <w:r>
        <w:rPr>
          <w:rFonts w:cs="Times New Roman"/>
          <w:lang w:val="fr-CA"/>
        </w:rPr>
        <w:t>’</w:t>
      </w:r>
      <w:r w:rsidRPr="00AF17C2">
        <w:rPr>
          <w:rFonts w:cs="Times New Roman"/>
          <w:lang w:val="fr-CA"/>
        </w:rPr>
        <w:t>assurer les services de police nécessaires au public touché par ces événements. Bien que son mandat diffère de celui des autres forces policières, rien ne prouve que le fait d</w:t>
      </w:r>
      <w:r>
        <w:rPr>
          <w:rFonts w:cs="Times New Roman"/>
          <w:lang w:val="fr-CA"/>
        </w:rPr>
        <w:t>’</w:t>
      </w:r>
      <w:r w:rsidRPr="00AF17C2">
        <w:rPr>
          <w:rFonts w:cs="Times New Roman"/>
          <w:lang w:val="fr-CA"/>
        </w:rPr>
        <w:t>accorder à la GRC un régime de relations de travail semblable à celui dont bénéficient d</w:t>
      </w:r>
      <w:r>
        <w:rPr>
          <w:rFonts w:cs="Times New Roman"/>
          <w:lang w:val="fr-CA"/>
        </w:rPr>
        <w:t>’</w:t>
      </w:r>
      <w:r w:rsidRPr="00AF17C2">
        <w:rPr>
          <w:rFonts w:cs="Times New Roman"/>
          <w:lang w:val="fr-CA"/>
        </w:rPr>
        <w:t xml:space="preserve">autres forces policières </w:t>
      </w:r>
      <w:proofErr w:type="gramStart"/>
      <w:r w:rsidRPr="00AF17C2">
        <w:rPr>
          <w:rFonts w:cs="Times New Roman"/>
          <w:lang w:val="fr-CA"/>
        </w:rPr>
        <w:t>aurait</w:t>
      </w:r>
      <w:proofErr w:type="gramEnd"/>
      <w:r w:rsidRPr="00AF17C2">
        <w:rPr>
          <w:rFonts w:cs="Times New Roman"/>
          <w:lang w:val="fr-CA"/>
        </w:rPr>
        <w:t xml:space="preserve"> pour effet </w:t>
      </w:r>
      <w:r w:rsidRPr="00AF17C2">
        <w:rPr>
          <w:rFonts w:cs="Times New Roman"/>
          <w:lang w:val="fr-CA"/>
        </w:rPr>
        <w:lastRenderedPageBreak/>
        <w:t>d</w:t>
      </w:r>
      <w:r>
        <w:rPr>
          <w:rFonts w:cs="Times New Roman"/>
          <w:lang w:val="fr-CA"/>
        </w:rPr>
        <w:t>’</w:t>
      </w:r>
      <w:r w:rsidRPr="00AF17C2">
        <w:rPr>
          <w:rFonts w:cs="Times New Roman"/>
          <w:lang w:val="fr-CA"/>
        </w:rPr>
        <w:t>empêcher cet organisme de s</w:t>
      </w:r>
      <w:r>
        <w:rPr>
          <w:rFonts w:cs="Times New Roman"/>
          <w:lang w:val="fr-CA"/>
        </w:rPr>
        <w:t>’</w:t>
      </w:r>
      <w:r w:rsidRPr="00AF17C2">
        <w:rPr>
          <w:rFonts w:cs="Times New Roman"/>
          <w:lang w:val="fr-CA"/>
        </w:rPr>
        <w:t>acquitter de son mandat. Là encore, aucune différence substantielle n</w:t>
      </w:r>
      <w:r>
        <w:rPr>
          <w:rFonts w:cs="Times New Roman"/>
          <w:lang w:val="fr-CA"/>
        </w:rPr>
        <w:t>’</w:t>
      </w:r>
      <w:r w:rsidRPr="00AF17C2">
        <w:rPr>
          <w:rFonts w:cs="Times New Roman"/>
          <w:lang w:val="fr-CA"/>
        </w:rPr>
        <w:t xml:space="preserve">a été établie au sujet des relations de travail à la GRC. </w:t>
      </w:r>
    </w:p>
    <w:p w:rsidR="007B74A6" w:rsidRPr="00AF17C2" w:rsidRDefault="007B74A6" w:rsidP="00795B2B">
      <w:pPr>
        <w:pStyle w:val="Title2LevelTitre2Niveau"/>
        <w:rPr>
          <w:rFonts w:cs="Times New Roman"/>
          <w:lang w:val="fr-CA"/>
        </w:rPr>
      </w:pPr>
      <w:r w:rsidRPr="00AF17C2">
        <w:rPr>
          <w:rFonts w:cs="Times New Roman"/>
          <w:lang w:val="fr-CA"/>
        </w:rPr>
        <w:t>Réparation</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Dans le régime législatif contesté, l</w:t>
      </w:r>
      <w:r>
        <w:rPr>
          <w:rFonts w:cs="Times New Roman"/>
          <w:lang w:val="fr-CA"/>
        </w:rPr>
        <w:t>’</w:t>
      </w:r>
      <w:r w:rsidRPr="00AF17C2">
        <w:rPr>
          <w:rFonts w:cs="Times New Roman"/>
          <w:lang w:val="fr-CA"/>
        </w:rPr>
        <w:t>imposition du PRRF</w:t>
      </w:r>
      <w:r w:rsidRPr="00AF17C2">
        <w:rPr>
          <w:rFonts w:cs="Times New Roman"/>
          <w:i/>
          <w:lang w:val="fr-CA"/>
        </w:rPr>
        <w:t xml:space="preserve"> </w:t>
      </w:r>
      <w:r w:rsidRPr="00AF17C2">
        <w:rPr>
          <w:rFonts w:cs="Times New Roman"/>
          <w:lang w:val="fr-CA"/>
        </w:rPr>
        <w:t>et l</w:t>
      </w:r>
      <w:r>
        <w:rPr>
          <w:rFonts w:cs="Times New Roman"/>
          <w:lang w:val="fr-CA"/>
        </w:rPr>
        <w:t>’</w:t>
      </w:r>
      <w:r w:rsidRPr="00AF17C2">
        <w:rPr>
          <w:rFonts w:cs="Times New Roman"/>
          <w:lang w:val="fr-CA"/>
        </w:rPr>
        <w:t>exclusion prévue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 xml:space="preserve">LRTFP </w:t>
      </w:r>
      <w:r w:rsidRPr="00AF17C2">
        <w:rPr>
          <w:rFonts w:cs="Times New Roman"/>
          <w:lang w:val="fr-CA"/>
        </w:rPr>
        <w:t>actuelle privent les membres de la GRC du droit à un processus véritable de négociation collective. En outre, si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ne protège pas le droit à un processus </w:t>
      </w:r>
      <w:r w:rsidRPr="00AF17C2">
        <w:rPr>
          <w:rFonts w:cs="Times New Roman"/>
          <w:i/>
          <w:lang w:val="fr-CA"/>
        </w:rPr>
        <w:t>particulier</w:t>
      </w:r>
      <w:r w:rsidRPr="00AF17C2">
        <w:rPr>
          <w:rFonts w:cs="Times New Roman"/>
          <w:lang w:val="fr-CA"/>
        </w:rPr>
        <w:t xml:space="preserve"> de négociation collective, il garantit bel et bien le droit à un processus </w:t>
      </w:r>
      <w:r w:rsidRPr="00AF17C2">
        <w:rPr>
          <w:rFonts w:cs="Times New Roman"/>
          <w:i/>
          <w:lang w:val="fr-CA"/>
        </w:rPr>
        <w:t>véritable</w:t>
      </w:r>
      <w:r w:rsidRPr="00AF17C2">
        <w:rPr>
          <w:rFonts w:cs="Times New Roman"/>
          <w:lang w:val="fr-CA"/>
        </w:rPr>
        <w:t xml:space="preserve"> de négociation. Après avoir statué que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 xml:space="preserve">Règlement de la GRC </w:t>
      </w:r>
      <w:r w:rsidRPr="00AF17C2">
        <w:rPr>
          <w:rFonts w:cs="Times New Roman"/>
          <w:lang w:val="fr-CA"/>
        </w:rPr>
        <w:t>et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portent atteinte à la liberté que garantit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xml:space="preserve">) de la </w:t>
      </w:r>
      <w:r w:rsidRPr="00AF17C2">
        <w:rPr>
          <w:rFonts w:cs="Times New Roman"/>
          <w:i/>
          <w:lang w:val="fr-CA"/>
        </w:rPr>
        <w:t>Charte</w:t>
      </w:r>
      <w:r w:rsidRPr="00AF17C2">
        <w:rPr>
          <w:rFonts w:cs="Times New Roman"/>
          <w:lang w:val="fr-CA"/>
        </w:rPr>
        <w:t xml:space="preserve"> aux membres de la GRC et ne peuvent se justifier au regard de l</w:t>
      </w:r>
      <w:r>
        <w:rPr>
          <w:rFonts w:cs="Times New Roman"/>
          <w:lang w:val="fr-CA"/>
        </w:rPr>
        <w:t>’</w:t>
      </w:r>
      <w:r w:rsidRPr="00AF17C2">
        <w:rPr>
          <w:rFonts w:cs="Times New Roman"/>
          <w:lang w:val="fr-CA"/>
        </w:rPr>
        <w:t>article premier, nous concluons que la réparation appropriée consiste à invalider l</w:t>
      </w:r>
      <w:r>
        <w:rPr>
          <w:rFonts w:cs="Times New Roman"/>
          <w:lang w:val="fr-CA"/>
        </w:rPr>
        <w:t xml:space="preserve">a </w:t>
      </w:r>
      <w:r w:rsidRPr="00AF17C2">
        <w:rPr>
          <w:rFonts w:cs="Times New Roman"/>
          <w:lang w:val="fr-CA"/>
        </w:rPr>
        <w:t xml:space="preserve">disposition attentatoire de la </w:t>
      </w:r>
      <w:r w:rsidRPr="00AF17C2">
        <w:rPr>
          <w:rFonts w:cs="Times New Roman"/>
          <w:i/>
          <w:lang w:val="fr-CA"/>
        </w:rPr>
        <w:t>LRTFP</w:t>
      </w:r>
      <w:r w:rsidRPr="00AF17C2">
        <w:rPr>
          <w:rFonts w:cs="Times New Roman"/>
          <w:lang w:val="fr-CA"/>
        </w:rPr>
        <w:t xml:space="preserve"> </w:t>
      </w:r>
      <w:r w:rsidR="00042C91">
        <w:rPr>
          <w:rFonts w:cs="Times New Roman"/>
          <w:lang w:val="fr-CA"/>
        </w:rPr>
        <w:t xml:space="preserve">actuelle </w:t>
      </w:r>
      <w:r w:rsidRPr="00AF17C2">
        <w:rPr>
          <w:rFonts w:cs="Times New Roman"/>
          <w:lang w:val="fr-CA"/>
        </w:rPr>
        <w:t>en application de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52 de la </w:t>
      </w:r>
      <w:r w:rsidRPr="00AF17C2">
        <w:rPr>
          <w:rFonts w:cs="Times New Roman"/>
          <w:i/>
          <w:lang w:val="fr-CA"/>
        </w:rPr>
        <w:t>Loi constitutionnelle de 1982</w:t>
      </w:r>
      <w:r w:rsidRPr="00AF17C2">
        <w:rPr>
          <w:rFonts w:cs="Times New Roman"/>
          <w:lang w:val="fr-CA"/>
        </w:rPr>
        <w:t>. N</w:t>
      </w:r>
      <w:r>
        <w:rPr>
          <w:rFonts w:cs="Times New Roman"/>
          <w:lang w:val="fr-CA"/>
        </w:rPr>
        <w:t>’</w:t>
      </w:r>
      <w:r w:rsidRPr="00AF17C2">
        <w:rPr>
          <w:rFonts w:cs="Times New Roman"/>
          <w:lang w:val="fr-CA"/>
        </w:rPr>
        <w:t>eût été son abrogation, nous invaliderions également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xml:space="preserve">. </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Le procureur général du Canada plaide que cette conclusion irait à l</w:t>
      </w:r>
      <w:r>
        <w:rPr>
          <w:rFonts w:cs="Times New Roman"/>
          <w:lang w:val="fr-CA"/>
        </w:rPr>
        <w:t>’</w:t>
      </w:r>
      <w:r w:rsidRPr="00AF17C2">
        <w:rPr>
          <w:rFonts w:cs="Times New Roman"/>
          <w:lang w:val="fr-CA"/>
        </w:rPr>
        <w:t>encontre de la proposition, à laquelle nous souscrivons, selon laquelle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ne garantit pas le droit à un processus de relations de travail particulier. Il argumente en outre que l</w:t>
      </w:r>
      <w:r>
        <w:rPr>
          <w:rFonts w:cs="Times New Roman"/>
          <w:lang w:val="fr-CA"/>
        </w:rPr>
        <w:t>’</w:t>
      </w:r>
      <w:r w:rsidRPr="00AF17C2">
        <w:rPr>
          <w:rFonts w:cs="Times New Roman"/>
          <w:lang w:val="fr-CA"/>
        </w:rPr>
        <w:t xml:space="preserve">annulation de la disposition attentatoire de la </w:t>
      </w:r>
      <w:r w:rsidRPr="00AF17C2">
        <w:rPr>
          <w:rFonts w:cs="Times New Roman"/>
          <w:i/>
          <w:lang w:val="fr-CA"/>
        </w:rPr>
        <w:t>LRTFP</w:t>
      </w:r>
      <w:r w:rsidRPr="00AF17C2">
        <w:rPr>
          <w:rFonts w:cs="Times New Roman"/>
          <w:lang w:val="fr-CA"/>
        </w:rPr>
        <w:t xml:space="preserve"> actuelle aurait pour effet de constitutionnaliser le processus de relations de travail établi par cette loi.</w:t>
      </w:r>
    </w:p>
    <w:p w:rsidR="007B74A6" w:rsidRPr="00AF17C2" w:rsidRDefault="007B74A6" w:rsidP="00795B2B">
      <w:pPr>
        <w:pStyle w:val="ParaNoNdepar-AltN"/>
        <w:tabs>
          <w:tab w:val="clear" w:pos="1152"/>
          <w:tab w:val="left" w:pos="1166"/>
        </w:tabs>
        <w:rPr>
          <w:rFonts w:cs="Times New Roman"/>
          <w:lang w:val="fr-CA"/>
        </w:rPr>
      </w:pPr>
      <w:r w:rsidRPr="00AF17C2">
        <w:rPr>
          <w:rFonts w:cs="Times New Roman"/>
          <w:lang w:val="fr-CA"/>
        </w:rPr>
        <w:t>Cet argument procède d</w:t>
      </w:r>
      <w:r>
        <w:rPr>
          <w:rFonts w:cs="Times New Roman"/>
          <w:lang w:val="fr-CA"/>
        </w:rPr>
        <w:t>’</w:t>
      </w:r>
      <w:r w:rsidRPr="00AF17C2">
        <w:rPr>
          <w:rFonts w:cs="Times New Roman"/>
          <w:lang w:val="fr-CA"/>
        </w:rPr>
        <w:t xml:space="preserve">une mauvaise interprétation de notre conclusion. Nous ne concluons pas que le processus prévu par la </w:t>
      </w:r>
      <w:r w:rsidRPr="00AF17C2">
        <w:rPr>
          <w:rFonts w:cs="Times New Roman"/>
          <w:i/>
          <w:lang w:val="fr-CA"/>
        </w:rPr>
        <w:t>LRTFP</w:t>
      </w:r>
      <w:r w:rsidRPr="00AF17C2">
        <w:rPr>
          <w:rFonts w:cs="Times New Roman"/>
          <w:lang w:val="fr-CA"/>
        </w:rPr>
        <w:t xml:space="preserve"> actuelle est </w:t>
      </w:r>
      <w:r w:rsidRPr="00AF17C2">
        <w:rPr>
          <w:rFonts w:cs="Times New Roman"/>
          <w:lang w:val="fr-CA"/>
        </w:rPr>
        <w:lastRenderedPageBreak/>
        <w:t>constitutionnalisé, mais plutôt que le régime de relations de travail existant et l</w:t>
      </w:r>
      <w:r>
        <w:rPr>
          <w:rFonts w:cs="Times New Roman"/>
          <w:lang w:val="fr-CA"/>
        </w:rPr>
        <w:t>’</w:t>
      </w:r>
      <w:r w:rsidRPr="00AF17C2">
        <w:rPr>
          <w:rFonts w:cs="Times New Roman"/>
          <w:lang w:val="fr-CA"/>
        </w:rPr>
        <w:t>objet de l</w:t>
      </w:r>
      <w:r>
        <w:rPr>
          <w:rFonts w:cs="Times New Roman"/>
          <w:lang w:val="fr-CA"/>
        </w:rPr>
        <w:t>’</w:t>
      </w:r>
      <w:r w:rsidRPr="00AF17C2">
        <w:rPr>
          <w:rFonts w:cs="Times New Roman"/>
          <w:lang w:val="fr-CA"/>
        </w:rPr>
        <w:t xml:space="preserve">exclusion prévue par cette loi sont incompatibles avec la </w:t>
      </w:r>
      <w:r w:rsidRPr="00AF17C2">
        <w:rPr>
          <w:rFonts w:cs="Times New Roman"/>
          <w:i/>
          <w:lang w:val="fr-CA"/>
        </w:rPr>
        <w:t>Charte</w:t>
      </w:r>
      <w:r w:rsidRPr="00AF17C2">
        <w:rPr>
          <w:rFonts w:cs="Times New Roman"/>
          <w:lang w:val="fr-CA"/>
        </w:rPr>
        <w:t xml:space="preserve"> et doivent être annulés en application de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52 de la </w:t>
      </w:r>
      <w:r w:rsidRPr="00AF17C2">
        <w:rPr>
          <w:rFonts w:cs="Times New Roman"/>
          <w:i/>
          <w:lang w:val="fr-CA"/>
        </w:rPr>
        <w:t>Loi constitutionnelle de 1982</w:t>
      </w:r>
      <w:r w:rsidRPr="00AF17C2">
        <w:rPr>
          <w:rFonts w:cs="Times New Roman"/>
          <w:lang w:val="fr-CA"/>
        </w:rPr>
        <w:t>. Cette conclusion ne requiert pas l</w:t>
      </w:r>
      <w:r>
        <w:rPr>
          <w:rFonts w:cs="Times New Roman"/>
          <w:lang w:val="fr-CA"/>
        </w:rPr>
        <w:t>’</w:t>
      </w:r>
      <w:r w:rsidRPr="00AF17C2">
        <w:rPr>
          <w:rFonts w:cs="Times New Roman"/>
          <w:lang w:val="fr-CA"/>
        </w:rPr>
        <w:t>adoption d</w:t>
      </w:r>
      <w:r>
        <w:rPr>
          <w:rFonts w:cs="Times New Roman"/>
          <w:lang w:val="fr-CA"/>
        </w:rPr>
        <w:t>’</w:t>
      </w:r>
      <w:r w:rsidRPr="00AF17C2">
        <w:rPr>
          <w:rFonts w:cs="Times New Roman"/>
          <w:lang w:val="fr-CA"/>
        </w:rPr>
        <w:t>un régime de relations de travail en particulier ni n</w:t>
      </w:r>
      <w:r>
        <w:rPr>
          <w:rFonts w:cs="Times New Roman"/>
          <w:lang w:val="fr-CA"/>
        </w:rPr>
        <w:t>’</w:t>
      </w:r>
      <w:r w:rsidRPr="00AF17C2">
        <w:rPr>
          <w:rFonts w:cs="Times New Roman"/>
          <w:lang w:val="fr-CA"/>
        </w:rPr>
        <w:t>empêche le gouvernement fédéral d</w:t>
      </w:r>
      <w:r>
        <w:rPr>
          <w:rFonts w:cs="Times New Roman"/>
          <w:lang w:val="fr-CA"/>
        </w:rPr>
        <w:t>’</w:t>
      </w:r>
      <w:r w:rsidRPr="00AF17C2">
        <w:rPr>
          <w:rFonts w:cs="Times New Roman"/>
          <w:lang w:val="fr-CA"/>
        </w:rPr>
        <w:t xml:space="preserve">adopter un modèle autre que celui prévu par la </w:t>
      </w:r>
      <w:r w:rsidRPr="00AF17C2">
        <w:rPr>
          <w:rFonts w:cs="Times New Roman"/>
          <w:i/>
          <w:lang w:val="fr-CA"/>
        </w:rPr>
        <w:t>LRTFP</w:t>
      </w:r>
      <w:r w:rsidRPr="00AF17C2">
        <w:rPr>
          <w:rFonts w:cs="Times New Roman"/>
          <w:lang w:val="fr-CA"/>
        </w:rPr>
        <w:t xml:space="preserve"> actuelle pour régir les relations de travail au sein de la GRC. En effet, s</w:t>
      </w:r>
      <w:r>
        <w:rPr>
          <w:rFonts w:cs="Times New Roman"/>
          <w:lang w:val="fr-CA"/>
        </w:rPr>
        <w:t>’</w:t>
      </w:r>
      <w:r w:rsidRPr="00AF17C2">
        <w:rPr>
          <w:rFonts w:cs="Times New Roman"/>
          <w:lang w:val="fr-CA"/>
        </w:rPr>
        <w:t>il le juge à propos, le législateur demeure libre d</w:t>
      </w:r>
      <w:r>
        <w:rPr>
          <w:rFonts w:cs="Times New Roman"/>
          <w:lang w:val="fr-CA"/>
        </w:rPr>
        <w:t>’</w:t>
      </w:r>
      <w:r w:rsidRPr="00AF17C2">
        <w:rPr>
          <w:rFonts w:cs="Times New Roman"/>
          <w:lang w:val="fr-CA"/>
        </w:rPr>
        <w:t>adopter tout modèle qu</w:t>
      </w:r>
      <w:r>
        <w:rPr>
          <w:rFonts w:cs="Times New Roman"/>
          <w:lang w:val="fr-CA"/>
        </w:rPr>
        <w:t>’</w:t>
      </w:r>
      <w:r w:rsidRPr="00AF17C2">
        <w:rPr>
          <w:rFonts w:cs="Times New Roman"/>
          <w:lang w:val="fr-CA"/>
        </w:rPr>
        <w:t xml:space="preserve">il estime </w:t>
      </w:r>
      <w:proofErr w:type="gramStart"/>
      <w:r w:rsidRPr="00AF17C2">
        <w:rPr>
          <w:rFonts w:cs="Times New Roman"/>
          <w:lang w:val="fr-CA"/>
        </w:rPr>
        <w:t>indiqué</w:t>
      </w:r>
      <w:proofErr w:type="gramEnd"/>
      <w:r w:rsidRPr="00AF17C2">
        <w:rPr>
          <w:rFonts w:cs="Times New Roman"/>
          <w:lang w:val="fr-CA"/>
        </w:rPr>
        <w:t xml:space="preserve"> pour régir les relations de travail des employés de cette organisation, dans le respect des limites constitutionnelles imposées par la garantie prévue à l</w:t>
      </w:r>
      <w:r>
        <w:rPr>
          <w:rFonts w:cs="Times New Roman"/>
          <w:lang w:val="fr-CA"/>
        </w:rPr>
        <w:t>’</w:t>
      </w:r>
      <w:r w:rsidRPr="00AF17C2">
        <w:rPr>
          <w:rFonts w:cs="Times New Roman"/>
          <w:lang w:val="fr-CA"/>
        </w:rPr>
        <w:t>al.</w:t>
      </w:r>
      <w:r w:rsidR="00795B2B">
        <w:rPr>
          <w:rFonts w:cs="Times New Roman"/>
          <w:lang w:val="fr-CA"/>
        </w:rPr>
        <w:t xml:space="preserve"> </w:t>
      </w:r>
      <w:r w:rsidRPr="00AF17C2">
        <w:rPr>
          <w:rFonts w:cs="Times New Roman"/>
          <w:lang w:val="fr-CA"/>
        </w:rPr>
        <w:t>2</w:t>
      </w:r>
      <w:r w:rsidRPr="00AF17C2">
        <w:rPr>
          <w:rFonts w:cs="Times New Roman"/>
          <w:i/>
          <w:lang w:val="fr-CA"/>
        </w:rPr>
        <w:t>d</w:t>
      </w:r>
      <w:r w:rsidRPr="00AF17C2">
        <w:rPr>
          <w:rFonts w:cs="Times New Roman"/>
          <w:lang w:val="fr-CA"/>
        </w:rPr>
        <w:t>) et par l</w:t>
      </w:r>
      <w:r>
        <w:rPr>
          <w:rFonts w:cs="Times New Roman"/>
          <w:lang w:val="fr-CA"/>
        </w:rPr>
        <w:t>’</w:t>
      </w:r>
      <w:r w:rsidRPr="00AF17C2">
        <w:rPr>
          <w:rFonts w:cs="Times New Roman"/>
          <w:lang w:val="fr-CA"/>
        </w:rPr>
        <w:t xml:space="preserve">article premier de la </w:t>
      </w:r>
      <w:r w:rsidRPr="00AF17C2">
        <w:rPr>
          <w:rFonts w:cs="Times New Roman"/>
          <w:i/>
          <w:lang w:val="fr-CA"/>
        </w:rPr>
        <w:t>Charte</w:t>
      </w:r>
      <w:r w:rsidRPr="00AF17C2">
        <w:rPr>
          <w:rFonts w:cs="Times New Roman"/>
          <w:lang w:val="fr-CA"/>
        </w:rPr>
        <w:t>.</w:t>
      </w:r>
    </w:p>
    <w:p w:rsidR="007B74A6" w:rsidRPr="00AF17C2" w:rsidRDefault="007B74A6" w:rsidP="00795B2B">
      <w:pPr>
        <w:pStyle w:val="Title1LevelTitre1Niveau-AltL"/>
        <w:ind w:left="578" w:hanging="578"/>
        <w:rPr>
          <w:rFonts w:cs="Times New Roman"/>
          <w:lang w:val="fr-CA"/>
        </w:rPr>
      </w:pPr>
      <w:r w:rsidRPr="00AF17C2">
        <w:rPr>
          <w:rFonts w:cs="Times New Roman"/>
          <w:lang w:val="fr-CA"/>
        </w:rPr>
        <w:t>Conclusion</w:t>
      </w:r>
    </w:p>
    <w:p w:rsidR="007B74A6" w:rsidRPr="00AF17C2" w:rsidRDefault="007B74A6" w:rsidP="00795B2B">
      <w:pPr>
        <w:pStyle w:val="ParaNoNdepar-AltN"/>
        <w:rPr>
          <w:rFonts w:cs="Times New Roman"/>
          <w:lang w:val="fr-CA"/>
        </w:rPr>
      </w:pPr>
      <w:r w:rsidRPr="00AF17C2">
        <w:rPr>
          <w:rFonts w:cs="Times New Roman"/>
          <w:lang w:val="fr-CA"/>
        </w:rPr>
        <w:t>Nous sommes d</w:t>
      </w:r>
      <w:r>
        <w:rPr>
          <w:rFonts w:cs="Times New Roman"/>
          <w:lang w:val="fr-CA"/>
        </w:rPr>
        <w:t>’</w:t>
      </w:r>
      <w:r w:rsidRPr="00AF17C2">
        <w:rPr>
          <w:rFonts w:cs="Times New Roman"/>
          <w:lang w:val="fr-CA"/>
        </w:rPr>
        <w:t>avis d</w:t>
      </w:r>
      <w:r>
        <w:rPr>
          <w:rFonts w:cs="Times New Roman"/>
          <w:lang w:val="fr-CA"/>
        </w:rPr>
        <w:t>’</w:t>
      </w:r>
      <w:r w:rsidRPr="00AF17C2">
        <w:rPr>
          <w:rFonts w:cs="Times New Roman"/>
          <w:lang w:val="fr-CA"/>
        </w:rPr>
        <w:t>accueillir le pourvoi, avec dépens en faveur des appelantes devant toutes les cours, et de répondre ainsi aux questions constitutionnelles</w:t>
      </w:r>
      <w:r w:rsidR="00795B2B">
        <w:rPr>
          <w:rFonts w:cs="Times New Roman"/>
          <w:lang w:val="fr-CA"/>
        </w:rPr>
        <w:t> :</w:t>
      </w:r>
    </w:p>
    <w:p w:rsidR="007B74A6" w:rsidRPr="00AF17C2" w:rsidRDefault="007B74A6" w:rsidP="00AB0501">
      <w:pPr>
        <w:pStyle w:val="Citation-AltC"/>
        <w:tabs>
          <w:tab w:val="left" w:pos="1620"/>
        </w:tabs>
        <w:ind w:left="1612" w:hanging="446"/>
        <w:contextualSpacing w:val="0"/>
        <w:rPr>
          <w:lang w:val="fr-CA"/>
        </w:rPr>
      </w:pPr>
      <w:r w:rsidRPr="00AF17C2">
        <w:rPr>
          <w:lang w:val="fr-CA"/>
        </w:rPr>
        <w:t>1.</w:t>
      </w:r>
      <w:r w:rsidRPr="00AF17C2">
        <w:rPr>
          <w:lang w:val="fr-CA"/>
        </w:rPr>
        <w:tab/>
        <w:t>L</w:t>
      </w:r>
      <w:r>
        <w:rPr>
          <w:lang w:val="fr-CA"/>
        </w:rPr>
        <w:t>’</w:t>
      </w:r>
      <w:r w:rsidRPr="00AF17C2">
        <w:rPr>
          <w:lang w:val="fr-CA"/>
        </w:rPr>
        <w:t>article</w:t>
      </w:r>
      <w:r w:rsidR="00795B2B">
        <w:rPr>
          <w:lang w:val="fr-CA"/>
        </w:rPr>
        <w:t xml:space="preserve"> </w:t>
      </w:r>
      <w:r w:rsidRPr="00AF17C2">
        <w:rPr>
          <w:lang w:val="fr-CA"/>
        </w:rPr>
        <w:t xml:space="preserve">96 du </w:t>
      </w:r>
      <w:r w:rsidRPr="00AF17C2">
        <w:rPr>
          <w:i/>
          <w:lang w:val="fr-CA"/>
        </w:rPr>
        <w:t>Règlement de la Gendarmerie royale du Canada</w:t>
      </w:r>
      <w:r w:rsidRPr="00AF17C2">
        <w:rPr>
          <w:lang w:val="fr-CA"/>
        </w:rPr>
        <w:t xml:space="preserve"> </w:t>
      </w:r>
      <w:r w:rsidRPr="004C4ED4">
        <w:rPr>
          <w:i/>
          <w:lang w:val="fr-CA"/>
        </w:rPr>
        <w:t>(1988)</w:t>
      </w:r>
      <w:r w:rsidRPr="00AF17C2">
        <w:rPr>
          <w:lang w:val="fr-CA"/>
        </w:rPr>
        <w:t>, DORS/88</w:t>
      </w:r>
      <w:r w:rsidR="00795B2B">
        <w:rPr>
          <w:lang w:val="fr-CA"/>
        </w:rPr>
        <w:t>-</w:t>
      </w:r>
      <w:r w:rsidRPr="00AF17C2">
        <w:rPr>
          <w:lang w:val="fr-CA"/>
        </w:rPr>
        <w:t>361, viole</w:t>
      </w:r>
      <w:r w:rsidR="00795B2B">
        <w:rPr>
          <w:lang w:val="fr-CA"/>
        </w:rPr>
        <w:t>-</w:t>
      </w:r>
      <w:r w:rsidRPr="00AF17C2">
        <w:rPr>
          <w:lang w:val="fr-CA"/>
        </w:rPr>
        <w:t>t</w:t>
      </w:r>
      <w:r w:rsidR="00795B2B">
        <w:rPr>
          <w:lang w:val="fr-CA"/>
        </w:rPr>
        <w:t>-</w:t>
      </w:r>
      <w:r w:rsidRPr="00AF17C2">
        <w:rPr>
          <w:lang w:val="fr-CA"/>
        </w:rPr>
        <w:t>il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xml:space="preserve">) de la </w:t>
      </w:r>
      <w:r w:rsidRPr="00AF17C2">
        <w:rPr>
          <w:i/>
          <w:lang w:val="fr-CA"/>
        </w:rPr>
        <w:t>Charte canadienne des droits et libertés</w:t>
      </w:r>
      <w:r w:rsidRPr="00AF17C2">
        <w:rPr>
          <w:lang w:val="fr-CA"/>
        </w:rPr>
        <w:t>?</w:t>
      </w:r>
    </w:p>
    <w:p w:rsidR="007B74A6" w:rsidRPr="00AF17C2" w:rsidRDefault="007B74A6" w:rsidP="00AB0501">
      <w:pPr>
        <w:pStyle w:val="Citation-AltC"/>
        <w:tabs>
          <w:tab w:val="left" w:pos="1560"/>
        </w:tabs>
        <w:spacing w:before="480" w:after="480" w:line="480" w:lineRule="auto"/>
        <w:ind w:left="0"/>
        <w:contextualSpacing w:val="0"/>
        <w:rPr>
          <w:lang w:val="fr-CA"/>
        </w:rPr>
      </w:pPr>
      <w:r w:rsidRPr="00AF17C2">
        <w:rPr>
          <w:lang w:val="fr-CA"/>
        </w:rPr>
        <w:t>Oui.</w:t>
      </w:r>
    </w:p>
    <w:p w:rsidR="007B74A6" w:rsidRPr="00AF17C2" w:rsidRDefault="007B74A6" w:rsidP="00AB0501">
      <w:pPr>
        <w:pStyle w:val="Citation-AltC"/>
        <w:tabs>
          <w:tab w:val="left" w:pos="1620"/>
        </w:tabs>
        <w:ind w:left="1612" w:hanging="446"/>
        <w:contextualSpacing w:val="0"/>
        <w:rPr>
          <w:lang w:val="fr-CA"/>
        </w:rPr>
      </w:pPr>
      <w:r w:rsidRPr="00AF17C2">
        <w:rPr>
          <w:lang w:val="fr-CA"/>
        </w:rPr>
        <w:t>2.</w:t>
      </w:r>
      <w:r w:rsidRPr="00AF17C2">
        <w:rPr>
          <w:lang w:val="fr-CA"/>
        </w:rPr>
        <w:tab/>
        <w:t>Dans l</w:t>
      </w:r>
      <w:r>
        <w:rPr>
          <w:lang w:val="fr-CA"/>
        </w:rPr>
        <w:t>’</w:t>
      </w:r>
      <w:r w:rsidRPr="00AF17C2">
        <w:rPr>
          <w:lang w:val="fr-CA"/>
        </w:rPr>
        <w:t>affirmative, s</w:t>
      </w:r>
      <w:r>
        <w:rPr>
          <w:lang w:val="fr-CA"/>
        </w:rPr>
        <w:t>’</w:t>
      </w:r>
      <w:r w:rsidRPr="00AF17C2">
        <w:rPr>
          <w:lang w:val="fr-CA"/>
        </w:rPr>
        <w:t>agit</w:t>
      </w:r>
      <w:r w:rsidR="00795B2B">
        <w:rPr>
          <w:lang w:val="fr-CA"/>
        </w:rPr>
        <w:t>-</w:t>
      </w:r>
      <w:r w:rsidRPr="00AF17C2">
        <w:rPr>
          <w:lang w:val="fr-CA"/>
        </w:rPr>
        <w:t>il d</w:t>
      </w:r>
      <w:r>
        <w:rPr>
          <w:lang w:val="fr-CA"/>
        </w:rPr>
        <w:t>’</w:t>
      </w:r>
      <w:r w:rsidRPr="00AF17C2">
        <w:rPr>
          <w:lang w:val="fr-CA"/>
        </w:rPr>
        <w:t>une violation constituant une limite raisonnable, établie par une règle de droit et dont la justification peut se démontrer dans le cadre d</w:t>
      </w:r>
      <w:r>
        <w:rPr>
          <w:lang w:val="fr-CA"/>
        </w:rPr>
        <w:t>’</w:t>
      </w:r>
      <w:r w:rsidRPr="00AF17C2">
        <w:rPr>
          <w:lang w:val="fr-CA"/>
        </w:rPr>
        <w:t>une société libre et démocratique conformément à l</w:t>
      </w:r>
      <w:r>
        <w:rPr>
          <w:lang w:val="fr-CA"/>
        </w:rPr>
        <w:t>’</w:t>
      </w:r>
      <w:r w:rsidRPr="00AF17C2">
        <w:rPr>
          <w:lang w:val="fr-CA"/>
        </w:rPr>
        <w:t xml:space="preserve">article premier de la </w:t>
      </w:r>
      <w:r w:rsidRPr="00AF17C2">
        <w:rPr>
          <w:i/>
          <w:lang w:val="fr-CA"/>
        </w:rPr>
        <w:t>Charte canadienne des droits et libertés</w:t>
      </w:r>
      <w:r w:rsidRPr="00AF17C2">
        <w:rPr>
          <w:lang w:val="fr-CA"/>
        </w:rPr>
        <w:t>?</w:t>
      </w:r>
    </w:p>
    <w:p w:rsidR="007B74A6" w:rsidRPr="00AF17C2" w:rsidRDefault="007B74A6" w:rsidP="008078FB">
      <w:pPr>
        <w:pStyle w:val="Citation-AltC"/>
        <w:tabs>
          <w:tab w:val="left" w:pos="1560"/>
        </w:tabs>
        <w:spacing w:before="480" w:after="480" w:line="480" w:lineRule="auto"/>
        <w:ind w:left="0"/>
        <w:contextualSpacing w:val="0"/>
        <w:rPr>
          <w:lang w:val="fr-CA"/>
        </w:rPr>
      </w:pPr>
      <w:r w:rsidRPr="00AF17C2">
        <w:rPr>
          <w:lang w:val="fr-CA"/>
        </w:rPr>
        <w:lastRenderedPageBreak/>
        <w:t>Non.</w:t>
      </w:r>
    </w:p>
    <w:p w:rsidR="007B74A6" w:rsidRPr="00AF17C2" w:rsidRDefault="007B74A6" w:rsidP="00AB0501">
      <w:pPr>
        <w:pStyle w:val="Citation-AltC"/>
        <w:tabs>
          <w:tab w:val="left" w:pos="1620"/>
        </w:tabs>
        <w:ind w:left="1612" w:hanging="446"/>
        <w:contextualSpacing w:val="0"/>
        <w:rPr>
          <w:lang w:val="fr-CA"/>
        </w:rPr>
      </w:pPr>
      <w:r w:rsidRPr="00AF17C2">
        <w:rPr>
          <w:lang w:val="fr-CA"/>
        </w:rPr>
        <w:t>3.</w:t>
      </w:r>
      <w:r w:rsidRPr="00AF17C2">
        <w:rPr>
          <w:lang w:val="fr-CA"/>
        </w:rPr>
        <w:tab/>
        <w:t>L</w:t>
      </w:r>
      <w:r>
        <w:rPr>
          <w:lang w:val="fr-CA"/>
        </w:rPr>
        <w:t>’</w:t>
      </w:r>
      <w:r w:rsidRPr="00AF17C2">
        <w:rPr>
          <w:lang w:val="fr-CA"/>
        </w:rPr>
        <w:t>alinéa</w:t>
      </w:r>
      <w:r w:rsidR="00795B2B">
        <w:rPr>
          <w:lang w:val="fr-CA"/>
        </w:rPr>
        <w:t xml:space="preserve"> </w:t>
      </w:r>
      <w:r w:rsidRPr="00AF17C2">
        <w:rPr>
          <w:i/>
          <w:lang w:val="fr-CA"/>
        </w:rPr>
        <w:t>d</w:t>
      </w:r>
      <w:r w:rsidRPr="00AF17C2">
        <w:rPr>
          <w:lang w:val="fr-CA"/>
        </w:rPr>
        <w:t xml:space="preserve">) de la définition de </w:t>
      </w:r>
      <w:r w:rsidR="00795B2B">
        <w:rPr>
          <w:lang w:val="fr-CA"/>
        </w:rPr>
        <w:t>« </w:t>
      </w:r>
      <w:r w:rsidRPr="00AF17C2">
        <w:rPr>
          <w:lang w:val="fr-CA"/>
        </w:rPr>
        <w:t>fonctionnaire</w:t>
      </w:r>
      <w:r w:rsidR="00795B2B">
        <w:rPr>
          <w:lang w:val="fr-CA"/>
        </w:rPr>
        <w:t> »</w:t>
      </w:r>
      <w:r w:rsidRPr="00AF17C2">
        <w:rPr>
          <w:lang w:val="fr-CA"/>
        </w:rPr>
        <w:t xml:space="preserve"> au par.</w:t>
      </w:r>
      <w:r w:rsidR="00795B2B">
        <w:rPr>
          <w:lang w:val="fr-CA"/>
        </w:rPr>
        <w:t xml:space="preserve"> </w:t>
      </w:r>
      <w:r w:rsidRPr="00AF17C2">
        <w:rPr>
          <w:lang w:val="fr-CA"/>
        </w:rPr>
        <w:t xml:space="preserve">2(1) de la </w:t>
      </w:r>
      <w:r w:rsidRPr="00AF17C2">
        <w:rPr>
          <w:i/>
          <w:lang w:val="fr-CA"/>
        </w:rPr>
        <w:t>Loi sur les relations de travail dans la fonction publique</w:t>
      </w:r>
      <w:r w:rsidRPr="00AF17C2">
        <w:rPr>
          <w:lang w:val="fr-CA"/>
        </w:rPr>
        <w:t>, L.C.</w:t>
      </w:r>
      <w:r w:rsidR="00795B2B">
        <w:rPr>
          <w:lang w:val="fr-CA"/>
        </w:rPr>
        <w:t xml:space="preserve"> </w:t>
      </w:r>
      <w:r w:rsidRPr="00AF17C2">
        <w:rPr>
          <w:lang w:val="fr-CA"/>
        </w:rPr>
        <w:t>2003, c.</w:t>
      </w:r>
      <w:r w:rsidR="00795B2B">
        <w:rPr>
          <w:lang w:val="fr-CA"/>
        </w:rPr>
        <w:t xml:space="preserve"> </w:t>
      </w:r>
      <w:r w:rsidRPr="00AF17C2">
        <w:rPr>
          <w:lang w:val="fr-CA"/>
        </w:rPr>
        <w:t>22, viole</w:t>
      </w:r>
      <w:r w:rsidR="00795B2B">
        <w:rPr>
          <w:lang w:val="fr-CA"/>
        </w:rPr>
        <w:t>-</w:t>
      </w:r>
      <w:r w:rsidRPr="00AF17C2">
        <w:rPr>
          <w:lang w:val="fr-CA"/>
        </w:rPr>
        <w:t>t</w:t>
      </w:r>
      <w:r w:rsidR="00795B2B">
        <w:rPr>
          <w:lang w:val="fr-CA"/>
        </w:rPr>
        <w:t>-</w:t>
      </w:r>
      <w:r w:rsidRPr="00AF17C2">
        <w:rPr>
          <w:lang w:val="fr-CA"/>
        </w:rPr>
        <w:t>il l</w:t>
      </w:r>
      <w:r>
        <w:rPr>
          <w:lang w:val="fr-CA"/>
        </w:rPr>
        <w:t>’</w:t>
      </w:r>
      <w:r w:rsidRPr="00AF17C2">
        <w:rPr>
          <w:lang w:val="fr-CA"/>
        </w:rPr>
        <w:t>al.</w:t>
      </w:r>
      <w:r w:rsidR="00795B2B">
        <w:rPr>
          <w:lang w:val="fr-CA"/>
        </w:rPr>
        <w:t xml:space="preserve"> </w:t>
      </w:r>
      <w:r w:rsidRPr="00AF17C2">
        <w:rPr>
          <w:lang w:val="fr-CA"/>
        </w:rPr>
        <w:t>2</w:t>
      </w:r>
      <w:r w:rsidRPr="00AF17C2">
        <w:rPr>
          <w:i/>
          <w:lang w:val="fr-CA"/>
        </w:rPr>
        <w:t>d</w:t>
      </w:r>
      <w:r w:rsidRPr="00AF17C2">
        <w:rPr>
          <w:lang w:val="fr-CA"/>
        </w:rPr>
        <w:t xml:space="preserve">) de la </w:t>
      </w:r>
      <w:r w:rsidRPr="00AF17C2">
        <w:rPr>
          <w:i/>
          <w:lang w:val="fr-CA"/>
        </w:rPr>
        <w:t>Charte canadienne des droits et libertés</w:t>
      </w:r>
      <w:r w:rsidRPr="00AF17C2">
        <w:rPr>
          <w:lang w:val="fr-CA"/>
        </w:rPr>
        <w:t xml:space="preserve">? </w:t>
      </w:r>
    </w:p>
    <w:p w:rsidR="007B74A6" w:rsidRPr="00AF17C2" w:rsidRDefault="007B74A6" w:rsidP="00AB0501">
      <w:pPr>
        <w:pStyle w:val="Citation-AltC"/>
        <w:tabs>
          <w:tab w:val="left" w:pos="1560"/>
        </w:tabs>
        <w:spacing w:before="480" w:after="480" w:line="480" w:lineRule="auto"/>
        <w:ind w:left="0"/>
        <w:contextualSpacing w:val="0"/>
        <w:rPr>
          <w:lang w:val="fr-CA"/>
        </w:rPr>
      </w:pPr>
      <w:r w:rsidRPr="00AF17C2">
        <w:rPr>
          <w:lang w:val="fr-CA"/>
        </w:rPr>
        <w:t>Oui.</w:t>
      </w:r>
    </w:p>
    <w:p w:rsidR="007B74A6" w:rsidRPr="00AF17C2" w:rsidRDefault="007B74A6" w:rsidP="00AB0501">
      <w:pPr>
        <w:pStyle w:val="Citation-AltC"/>
        <w:tabs>
          <w:tab w:val="left" w:pos="1620"/>
        </w:tabs>
        <w:ind w:left="1612" w:hanging="446"/>
        <w:contextualSpacing w:val="0"/>
        <w:rPr>
          <w:lang w:val="fr-CA"/>
        </w:rPr>
      </w:pPr>
      <w:r w:rsidRPr="00AF17C2">
        <w:rPr>
          <w:lang w:val="fr-CA"/>
        </w:rPr>
        <w:t>4.</w:t>
      </w:r>
      <w:r w:rsidRPr="00AF17C2">
        <w:rPr>
          <w:lang w:val="fr-CA"/>
        </w:rPr>
        <w:tab/>
        <w:t>Dans l</w:t>
      </w:r>
      <w:r>
        <w:rPr>
          <w:lang w:val="fr-CA"/>
        </w:rPr>
        <w:t>’</w:t>
      </w:r>
      <w:r w:rsidRPr="00AF17C2">
        <w:rPr>
          <w:lang w:val="fr-CA"/>
        </w:rPr>
        <w:t>affirmative, s</w:t>
      </w:r>
      <w:r>
        <w:rPr>
          <w:lang w:val="fr-CA"/>
        </w:rPr>
        <w:t>’</w:t>
      </w:r>
      <w:r w:rsidRPr="00AF17C2">
        <w:rPr>
          <w:lang w:val="fr-CA"/>
        </w:rPr>
        <w:t>agit</w:t>
      </w:r>
      <w:r w:rsidR="00795B2B">
        <w:rPr>
          <w:lang w:val="fr-CA"/>
        </w:rPr>
        <w:t>-</w:t>
      </w:r>
      <w:r w:rsidRPr="00AF17C2">
        <w:rPr>
          <w:lang w:val="fr-CA"/>
        </w:rPr>
        <w:t>il d</w:t>
      </w:r>
      <w:r>
        <w:rPr>
          <w:lang w:val="fr-CA"/>
        </w:rPr>
        <w:t>’</w:t>
      </w:r>
      <w:r w:rsidRPr="00AF17C2">
        <w:rPr>
          <w:lang w:val="fr-CA"/>
        </w:rPr>
        <w:t>une violation constituant une limite raisonnable, établie par une règle de droit et dont la justification peut se démontrer dans le cadre d</w:t>
      </w:r>
      <w:r>
        <w:rPr>
          <w:lang w:val="fr-CA"/>
        </w:rPr>
        <w:t>’</w:t>
      </w:r>
      <w:r w:rsidRPr="00AF17C2">
        <w:rPr>
          <w:lang w:val="fr-CA"/>
        </w:rPr>
        <w:t>une société libre et démocratique conformément à l</w:t>
      </w:r>
      <w:r>
        <w:rPr>
          <w:lang w:val="fr-CA"/>
        </w:rPr>
        <w:t>’</w:t>
      </w:r>
      <w:r w:rsidRPr="00AF17C2">
        <w:rPr>
          <w:lang w:val="fr-CA"/>
        </w:rPr>
        <w:t xml:space="preserve">article premier de la </w:t>
      </w:r>
      <w:r w:rsidRPr="00AF17C2">
        <w:rPr>
          <w:i/>
          <w:lang w:val="fr-CA"/>
        </w:rPr>
        <w:t>Charte canadienne des droits et libertés</w:t>
      </w:r>
      <w:r w:rsidRPr="00AF17C2">
        <w:rPr>
          <w:lang w:val="fr-CA"/>
        </w:rPr>
        <w:t>?</w:t>
      </w:r>
    </w:p>
    <w:p w:rsidR="007B74A6" w:rsidRPr="00AF17C2" w:rsidRDefault="007B74A6" w:rsidP="00AB0501">
      <w:pPr>
        <w:pStyle w:val="Citation-AltC"/>
        <w:tabs>
          <w:tab w:val="left" w:pos="1560"/>
        </w:tabs>
        <w:spacing w:before="480" w:after="480" w:line="480" w:lineRule="auto"/>
        <w:ind w:left="0"/>
        <w:contextualSpacing w:val="0"/>
        <w:rPr>
          <w:lang w:val="fr-CA"/>
        </w:rPr>
      </w:pPr>
      <w:r w:rsidRPr="00AF17C2">
        <w:rPr>
          <w:lang w:val="fr-CA"/>
        </w:rPr>
        <w:t>Non.</w:t>
      </w:r>
    </w:p>
    <w:p w:rsidR="007B74A6" w:rsidRPr="00AF17C2" w:rsidRDefault="007B74A6" w:rsidP="00795B2B">
      <w:pPr>
        <w:pStyle w:val="ParaNoNdepar-AltN"/>
        <w:rPr>
          <w:rFonts w:cs="Times New Roman"/>
          <w:lang w:val="fr-CA"/>
        </w:rPr>
      </w:pPr>
      <w:r w:rsidRPr="00AF17C2">
        <w:rPr>
          <w:rFonts w:cs="Times New Roman"/>
          <w:lang w:val="fr-CA"/>
        </w:rPr>
        <w:t>N</w:t>
      </w:r>
      <w:r>
        <w:rPr>
          <w:rFonts w:cs="Times New Roman"/>
          <w:lang w:val="fr-CA"/>
        </w:rPr>
        <w:t>’</w:t>
      </w:r>
      <w:r w:rsidRPr="00AF17C2">
        <w:rPr>
          <w:rFonts w:cs="Times New Roman"/>
          <w:lang w:val="fr-CA"/>
        </w:rPr>
        <w:t>eût été son abrogation,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96 du </w:t>
      </w:r>
      <w:r w:rsidRPr="00AF17C2">
        <w:rPr>
          <w:rFonts w:cs="Times New Roman"/>
          <w:i/>
          <w:lang w:val="fr-CA"/>
        </w:rPr>
        <w:t>Règlement de la GRC</w:t>
      </w:r>
      <w:r w:rsidRPr="00AF17C2">
        <w:rPr>
          <w:rFonts w:cs="Times New Roman"/>
          <w:lang w:val="fr-CA"/>
        </w:rPr>
        <w:t xml:space="preserve"> aurait été déclaré inopérant. L</w:t>
      </w:r>
      <w:r>
        <w:rPr>
          <w:rFonts w:cs="Times New Roman"/>
          <w:lang w:val="fr-CA"/>
        </w:rPr>
        <w:t>’</w:t>
      </w:r>
      <w:r w:rsidRPr="00AF17C2">
        <w:rPr>
          <w:rFonts w:cs="Times New Roman"/>
          <w:lang w:val="fr-CA"/>
        </w:rPr>
        <w:t>alinéa</w:t>
      </w:r>
      <w:r w:rsidR="00795B2B">
        <w:rPr>
          <w:rFonts w:cs="Times New Roman"/>
          <w:lang w:val="fr-CA"/>
        </w:rPr>
        <w:t xml:space="preserve"> </w:t>
      </w:r>
      <w:r w:rsidRPr="00AF17C2">
        <w:rPr>
          <w:rFonts w:cs="Times New Roman"/>
          <w:i/>
          <w:lang w:val="fr-CA"/>
        </w:rPr>
        <w:t>d</w:t>
      </w:r>
      <w:r w:rsidRPr="00AF17C2">
        <w:rPr>
          <w:rFonts w:cs="Times New Roman"/>
          <w:lang w:val="fr-CA"/>
        </w:rPr>
        <w:t xml:space="preserve">) de la définition de </w:t>
      </w:r>
      <w:r w:rsidR="00795B2B">
        <w:rPr>
          <w:rFonts w:cs="Times New Roman"/>
          <w:lang w:val="fr-CA"/>
        </w:rPr>
        <w:t>« </w:t>
      </w:r>
      <w:r w:rsidRPr="00AF17C2">
        <w:rPr>
          <w:rFonts w:cs="Times New Roman"/>
          <w:lang w:val="fr-CA"/>
        </w:rPr>
        <w:t>fonctionnaire</w:t>
      </w:r>
      <w:r w:rsidR="00795B2B">
        <w:rPr>
          <w:rFonts w:cs="Times New Roman"/>
          <w:lang w:val="fr-CA"/>
        </w:rPr>
        <w:t> »</w:t>
      </w:r>
      <w:r w:rsidRPr="00AF17C2">
        <w:rPr>
          <w:rFonts w:cs="Times New Roman"/>
          <w:lang w:val="fr-CA"/>
        </w:rPr>
        <w:t xml:space="preserve"> qui figure au par.</w:t>
      </w:r>
      <w:r w:rsidR="00795B2B">
        <w:rPr>
          <w:rFonts w:cs="Times New Roman"/>
          <w:lang w:val="fr-CA"/>
        </w:rPr>
        <w:t xml:space="preserve"> </w:t>
      </w:r>
      <w:r w:rsidRPr="00AF17C2">
        <w:rPr>
          <w:rFonts w:cs="Times New Roman"/>
          <w:lang w:val="fr-CA"/>
        </w:rPr>
        <w:t xml:space="preserve">2(1) de la </w:t>
      </w:r>
      <w:r w:rsidRPr="00AF17C2">
        <w:rPr>
          <w:rFonts w:cs="Times New Roman"/>
          <w:i/>
          <w:lang w:val="fr-CA"/>
        </w:rPr>
        <w:t>LRTFP</w:t>
      </w:r>
      <w:r w:rsidRPr="00AF17C2">
        <w:rPr>
          <w:rFonts w:cs="Times New Roman"/>
          <w:lang w:val="fr-CA"/>
        </w:rPr>
        <w:t xml:space="preserve"> actuelle est inopérant en application de l</w:t>
      </w:r>
      <w:r>
        <w:rPr>
          <w:rFonts w:cs="Times New Roman"/>
          <w:lang w:val="fr-CA"/>
        </w:rPr>
        <w:t>’</w:t>
      </w:r>
      <w:r w:rsidRPr="00AF17C2">
        <w:rPr>
          <w:rFonts w:cs="Times New Roman"/>
          <w:lang w:val="fr-CA"/>
        </w:rPr>
        <w:t>art.</w:t>
      </w:r>
      <w:r w:rsidR="00795B2B">
        <w:rPr>
          <w:rFonts w:cs="Times New Roman"/>
          <w:lang w:val="fr-CA"/>
        </w:rPr>
        <w:t xml:space="preserve"> </w:t>
      </w:r>
      <w:r w:rsidRPr="00AF17C2">
        <w:rPr>
          <w:rFonts w:cs="Times New Roman"/>
          <w:lang w:val="fr-CA"/>
        </w:rPr>
        <w:t xml:space="preserve">52 de la </w:t>
      </w:r>
      <w:r w:rsidRPr="00AF17C2">
        <w:rPr>
          <w:rFonts w:cs="Times New Roman"/>
          <w:i/>
          <w:lang w:val="fr-CA"/>
        </w:rPr>
        <w:t>Loi constitutionnelle de 1982</w:t>
      </w:r>
      <w:r w:rsidRPr="00AF17C2">
        <w:rPr>
          <w:rFonts w:cs="Times New Roman"/>
          <w:lang w:val="fr-CA"/>
        </w:rPr>
        <w:t>. Nous suspendons la prise d</w:t>
      </w:r>
      <w:r>
        <w:rPr>
          <w:rFonts w:cs="Times New Roman"/>
          <w:lang w:val="fr-CA"/>
        </w:rPr>
        <w:t>’</w:t>
      </w:r>
      <w:r w:rsidRPr="00AF17C2">
        <w:rPr>
          <w:rFonts w:cs="Times New Roman"/>
          <w:lang w:val="fr-CA"/>
        </w:rPr>
        <w:t>effet de la déclaration d</w:t>
      </w:r>
      <w:r>
        <w:rPr>
          <w:rFonts w:cs="Times New Roman"/>
          <w:lang w:val="fr-CA"/>
        </w:rPr>
        <w:t>’</w:t>
      </w:r>
      <w:r w:rsidRPr="00AF17C2">
        <w:rPr>
          <w:rFonts w:cs="Times New Roman"/>
          <w:lang w:val="fr-CA"/>
        </w:rPr>
        <w:t>invalidité pour 12</w:t>
      </w:r>
      <w:r w:rsidR="00795B2B">
        <w:rPr>
          <w:rFonts w:cs="Times New Roman"/>
          <w:lang w:val="fr-CA"/>
        </w:rPr>
        <w:t xml:space="preserve"> </w:t>
      </w:r>
      <w:r w:rsidRPr="00AF17C2">
        <w:rPr>
          <w:rFonts w:cs="Times New Roman"/>
          <w:lang w:val="fr-CA"/>
        </w:rPr>
        <w:t>mois.</w:t>
      </w:r>
    </w:p>
    <w:p w:rsidR="00E4309F" w:rsidRPr="00E4309F" w:rsidRDefault="00E4309F" w:rsidP="00795B2B">
      <w:pPr>
        <w:pStyle w:val="JudgeJuge"/>
        <w:spacing w:before="240"/>
        <w:rPr>
          <w:smallCaps w:val="0"/>
          <w:lang w:val="fr-CA"/>
        </w:rPr>
      </w:pPr>
      <w:r>
        <w:rPr>
          <w:lang w:val="fr-CA"/>
        </w:rPr>
        <w:tab/>
      </w:r>
      <w:r w:rsidRPr="00E4309F">
        <w:rPr>
          <w:smallCaps w:val="0"/>
          <w:lang w:val="fr-CA"/>
        </w:rPr>
        <w:t>Versi</w:t>
      </w:r>
      <w:r>
        <w:rPr>
          <w:smallCaps w:val="0"/>
          <w:lang w:val="fr-CA"/>
        </w:rPr>
        <w:t>on française des motifs rendus par</w:t>
      </w:r>
    </w:p>
    <w:p w:rsidR="007B74A6" w:rsidRPr="00832F07" w:rsidRDefault="007B74A6" w:rsidP="00795B2B">
      <w:pPr>
        <w:pStyle w:val="JudgeJuge"/>
        <w:spacing w:before="240"/>
        <w:rPr>
          <w:lang w:val="fr-CA"/>
        </w:rPr>
      </w:pPr>
      <w:r w:rsidRPr="00832F07">
        <w:rPr>
          <w:lang w:val="fr-CA"/>
        </w:rPr>
        <w:tab/>
        <w:t xml:space="preserve">Le juge </w:t>
      </w:r>
      <w:proofErr w:type="spellStart"/>
      <w:r w:rsidRPr="00832F07">
        <w:rPr>
          <w:lang w:val="fr-CA"/>
        </w:rPr>
        <w:t>Rothstein</w:t>
      </w:r>
      <w:proofErr w:type="spellEnd"/>
      <w:r w:rsidR="00993182">
        <w:rPr>
          <w:lang w:val="fr-CA"/>
        </w:rPr>
        <w:t xml:space="preserve"> </w:t>
      </w:r>
      <w:r w:rsidR="00993182" w:rsidRPr="00993182">
        <w:rPr>
          <w:smallCaps w:val="0"/>
          <w:lang w:val="fr-CA"/>
        </w:rPr>
        <w:t>(dissident)</w:t>
      </w:r>
      <w:r w:rsidRPr="00832F07">
        <w:rPr>
          <w:lang w:val="fr-CA"/>
        </w:rPr>
        <w:t xml:space="preserve">  — </w:t>
      </w:r>
    </w:p>
    <w:p w:rsidR="007B74A6" w:rsidRPr="00795B2B" w:rsidRDefault="007B74A6" w:rsidP="00795B2B">
      <w:pPr>
        <w:pStyle w:val="Title1LevelTitre1Niveau-AltL"/>
        <w:numPr>
          <w:ilvl w:val="0"/>
          <w:numId w:val="39"/>
        </w:numPr>
        <w:spacing w:before="0"/>
        <w:rPr>
          <w:rFonts w:cs="Times New Roman"/>
          <w:lang w:val="fr-CA"/>
        </w:rPr>
      </w:pPr>
      <w:r w:rsidRPr="00795B2B">
        <w:rPr>
          <w:rFonts w:cs="Times New Roman"/>
          <w:lang w:val="fr-CA"/>
        </w:rPr>
        <w:t>Introduction</w:t>
      </w:r>
    </w:p>
    <w:p w:rsidR="007B74A6" w:rsidRPr="00832F07" w:rsidRDefault="007B74A6" w:rsidP="00795B2B">
      <w:pPr>
        <w:pStyle w:val="ParaNoNdepar-AltN"/>
        <w:rPr>
          <w:rFonts w:cs="Times New Roman"/>
          <w:lang w:val="fr-CA"/>
        </w:rPr>
      </w:pPr>
      <w:r w:rsidRPr="00832F07">
        <w:rPr>
          <w:rFonts w:cs="Times New Roman"/>
          <w:lang w:val="fr-CA"/>
        </w:rPr>
        <w:lastRenderedPageBreak/>
        <w:t>Dans une démocratie constitutionnelle, le pouvoir judiciaire se prononce sur la constitutionnalité des lois adoptées par le législateur. Les décisions de la Cour ne sont toutefois pas susceptibles de contrôle. Elles lient le pouvoir législatif, à moins que celui</w:t>
      </w:r>
      <w:r w:rsidR="00795B2B">
        <w:rPr>
          <w:rFonts w:cs="Times New Roman"/>
          <w:lang w:val="fr-CA"/>
        </w:rPr>
        <w:t>-</w:t>
      </w:r>
      <w:r w:rsidRPr="00832F07">
        <w:rPr>
          <w:rFonts w:cs="Times New Roman"/>
          <w:lang w:val="fr-CA"/>
        </w:rPr>
        <w:t>ci n’invoque l’art.</w:t>
      </w:r>
      <w:r w:rsidR="00795B2B">
        <w:rPr>
          <w:rFonts w:cs="Times New Roman"/>
          <w:lang w:val="fr-CA"/>
        </w:rPr>
        <w:t xml:space="preserve"> </w:t>
      </w:r>
      <w:r w:rsidRPr="00832F07">
        <w:rPr>
          <w:rFonts w:cs="Times New Roman"/>
          <w:lang w:val="fr-CA"/>
        </w:rPr>
        <w:t xml:space="preserve">33 de la </w:t>
      </w:r>
      <w:r w:rsidRPr="00832F07">
        <w:rPr>
          <w:rFonts w:cs="Times New Roman"/>
          <w:i/>
          <w:iCs/>
          <w:lang w:val="fr-CA"/>
        </w:rPr>
        <w:t>Charte</w:t>
      </w:r>
      <w:r w:rsidRPr="00832F07">
        <w:rPr>
          <w:rFonts w:cs="Times New Roman"/>
          <w:iCs/>
          <w:lang w:val="fr-CA"/>
        </w:rPr>
        <w:t xml:space="preserve"> </w:t>
      </w:r>
      <w:r w:rsidRPr="00832F07">
        <w:rPr>
          <w:rFonts w:cs="Times New Roman"/>
          <w:i/>
          <w:iCs/>
          <w:lang w:val="fr-CA"/>
        </w:rPr>
        <w:t xml:space="preserve">canadienne des droits et libertés </w:t>
      </w:r>
      <w:r w:rsidRPr="00832F07">
        <w:rPr>
          <w:rFonts w:cs="Times New Roman"/>
          <w:iCs/>
          <w:lang w:val="fr-CA"/>
        </w:rPr>
        <w:t xml:space="preserve">— une disposition rarement invoquée — pour </w:t>
      </w:r>
      <w:r w:rsidRPr="00832F07">
        <w:rPr>
          <w:rFonts w:cs="Times New Roman"/>
          <w:lang w:val="fr-CA"/>
        </w:rPr>
        <w:t>que la loi ait effet indépendamment des atteintes portées à certains droits constitutionnels. Cela signifie que les décisions de la Cour qui tranchent des questions de nature constitutionnelle ont le pouvoir de figer les choses dans le temps et de restreindre la capacité du législateur de changer ultérieurement la teneur des lois, même si la conjoncture et des impératifs politiques pourraient suggérer ou exiger un changement d’orientation.</w:t>
      </w:r>
    </w:p>
    <w:p w:rsidR="007B74A6" w:rsidRPr="00832F07" w:rsidRDefault="007B74A6" w:rsidP="00795B2B">
      <w:pPr>
        <w:pStyle w:val="ParaNoNdepar-AltN"/>
        <w:rPr>
          <w:rFonts w:cs="Times New Roman"/>
          <w:lang w:val="fr-CA"/>
        </w:rPr>
      </w:pPr>
      <w:r w:rsidRPr="00832F07">
        <w:rPr>
          <w:rFonts w:cs="Times New Roman"/>
          <w:lang w:val="fr-CA"/>
        </w:rPr>
        <w:t>Il est donc essentiel que les pouvoirs judiciaires et législatifs respectent leur</w:t>
      </w:r>
      <w:r w:rsidR="00993182">
        <w:rPr>
          <w:rFonts w:cs="Times New Roman"/>
          <w:lang w:val="fr-CA"/>
        </w:rPr>
        <w:t>s</w:t>
      </w:r>
      <w:r w:rsidRPr="00832F07">
        <w:rPr>
          <w:rFonts w:cs="Times New Roman"/>
          <w:lang w:val="fr-CA"/>
        </w:rPr>
        <w:t xml:space="preserve"> rôle et attributions respectifs. Ainsi, le pouvoir législatif doit respecter les décisions des tribunaux et s’y conformer et les tribunaux doivent, à leur tour, respecter le rôle des assemblées législatives démocratiquement élues et leurs choix de principe. Les organes du pouvoir judiciaire doivent se garder d’exercer les vastes pouvoirs que leur confère la Constitution pour rendre des décisions qui ne sont pas solidement ancrées dans le texte, le contexte et l’objet du droit constitutionnel canadien. Bien que la méthode d’interprétation téléologique de la </w:t>
      </w:r>
      <w:r w:rsidRPr="00832F07">
        <w:rPr>
          <w:rFonts w:cs="Times New Roman"/>
          <w:i/>
          <w:iCs/>
          <w:lang w:val="fr-CA"/>
        </w:rPr>
        <w:t xml:space="preserve">Charte </w:t>
      </w:r>
      <w:r w:rsidRPr="00832F07">
        <w:rPr>
          <w:rFonts w:cs="Times New Roman"/>
          <w:lang w:val="fr-CA"/>
        </w:rPr>
        <w:t xml:space="preserve">soit celle qu’appliquent les tribunaux depuis longtemps, il importe, pour reprendre la formule employée par le juge Dickson (plus tard Juge en chef) dans l’arrêt </w:t>
      </w:r>
      <w:r w:rsidRPr="00832F07">
        <w:rPr>
          <w:rFonts w:cs="Times New Roman"/>
          <w:i/>
          <w:iCs/>
          <w:lang w:val="fr-CA"/>
        </w:rPr>
        <w:t xml:space="preserve">R. c. </w:t>
      </w:r>
      <w:proofErr w:type="spellStart"/>
      <w:r w:rsidRPr="00832F07">
        <w:rPr>
          <w:rFonts w:cs="Times New Roman"/>
          <w:i/>
          <w:iCs/>
          <w:lang w:val="fr-CA"/>
        </w:rPr>
        <w:t>Big</w:t>
      </w:r>
      <w:proofErr w:type="spellEnd"/>
      <w:r w:rsidRPr="00832F07">
        <w:rPr>
          <w:rFonts w:cs="Times New Roman"/>
          <w:i/>
          <w:iCs/>
          <w:lang w:val="fr-CA"/>
        </w:rPr>
        <w:t xml:space="preserve"> M Drug </w:t>
      </w:r>
      <w:proofErr w:type="spellStart"/>
      <w:r w:rsidRPr="00832F07">
        <w:rPr>
          <w:rFonts w:cs="Times New Roman"/>
          <w:i/>
          <w:iCs/>
          <w:lang w:val="fr-CA"/>
        </w:rPr>
        <w:t>Mart</w:t>
      </w:r>
      <w:proofErr w:type="spellEnd"/>
      <w:r w:rsidRPr="00832F07">
        <w:rPr>
          <w:rFonts w:cs="Times New Roman"/>
          <w:i/>
          <w:iCs/>
          <w:lang w:val="fr-CA"/>
        </w:rPr>
        <w:t xml:space="preserve"> Ltd.</w:t>
      </w:r>
      <w:r w:rsidRPr="00832F07">
        <w:rPr>
          <w:rFonts w:cs="Times New Roman"/>
          <w:lang w:val="fr-CA"/>
        </w:rPr>
        <w:t>, [1985] 1 R.C.S. 295, p.</w:t>
      </w:r>
      <w:r w:rsidR="00795B2B">
        <w:rPr>
          <w:rFonts w:cs="Times New Roman"/>
          <w:lang w:val="fr-CA"/>
        </w:rPr>
        <w:t xml:space="preserve"> </w:t>
      </w:r>
      <w:r w:rsidRPr="00832F07">
        <w:rPr>
          <w:rFonts w:cs="Times New Roman"/>
          <w:lang w:val="fr-CA"/>
        </w:rPr>
        <w:t>344</w:t>
      </w:r>
      <w:r w:rsidR="00795B2B">
        <w:rPr>
          <w:rFonts w:cs="Times New Roman"/>
          <w:lang w:val="fr-CA"/>
        </w:rPr>
        <w:t> :</w:t>
      </w:r>
      <w:r w:rsidRPr="00832F07">
        <w:rPr>
          <w:rFonts w:cs="Times New Roman"/>
          <w:lang w:val="fr-CA"/>
        </w:rPr>
        <w:t xml:space="preserve"> </w:t>
      </w:r>
      <w:r w:rsidR="00795B2B">
        <w:rPr>
          <w:rFonts w:cs="Times New Roman"/>
          <w:lang w:val="fr-CA"/>
        </w:rPr>
        <w:t>« </w:t>
      </w:r>
      <w:r w:rsidRPr="00832F07">
        <w:rPr>
          <w:rFonts w:cs="Times New Roman"/>
          <w:lang w:val="fr-CA"/>
        </w:rPr>
        <w:t>de ne pas aller au</w:t>
      </w:r>
      <w:r w:rsidR="00795B2B">
        <w:rPr>
          <w:rFonts w:cs="Times New Roman"/>
          <w:lang w:val="fr-CA"/>
        </w:rPr>
        <w:t>-</w:t>
      </w:r>
      <w:r w:rsidRPr="00832F07">
        <w:rPr>
          <w:rFonts w:cs="Times New Roman"/>
          <w:lang w:val="fr-CA"/>
        </w:rPr>
        <w:t>delà de l’objet véritable du droit ou de la liberté en question</w:t>
      </w:r>
      <w:r w:rsidR="00795B2B">
        <w:rPr>
          <w:rFonts w:cs="Times New Roman"/>
          <w:lang w:val="fr-CA"/>
        </w:rPr>
        <w:t> »</w:t>
      </w:r>
      <w:r w:rsidRPr="00832F07">
        <w:rPr>
          <w:rFonts w:cs="Times New Roman"/>
          <w:lang w:val="fr-CA"/>
        </w:rPr>
        <w:t>.</w:t>
      </w:r>
      <w:r w:rsidRPr="00832F07">
        <w:rPr>
          <w:rFonts w:cs="Times New Roman"/>
          <w:sz w:val="20"/>
          <w:szCs w:val="20"/>
          <w:lang w:val="fr-CA"/>
        </w:rPr>
        <w:t xml:space="preserve"> </w:t>
      </w:r>
      <w:r w:rsidRPr="00832F07">
        <w:rPr>
          <w:rFonts w:cs="Times New Roman"/>
          <w:lang w:val="fr-CA"/>
        </w:rPr>
        <w:t xml:space="preserve">Voir également </w:t>
      </w:r>
      <w:proofErr w:type="spellStart"/>
      <w:r w:rsidRPr="00832F07">
        <w:rPr>
          <w:rFonts w:cs="Times New Roman"/>
          <w:i/>
          <w:iCs/>
          <w:lang w:val="fr-CA"/>
        </w:rPr>
        <w:t>Divito</w:t>
      </w:r>
      <w:proofErr w:type="spellEnd"/>
      <w:r w:rsidRPr="00832F07">
        <w:rPr>
          <w:rFonts w:cs="Times New Roman"/>
          <w:i/>
          <w:iCs/>
          <w:lang w:val="fr-CA"/>
        </w:rPr>
        <w:t xml:space="preserve"> c. Canada (Sécurité publique et Protection civile)</w:t>
      </w:r>
      <w:r w:rsidRPr="00832F07">
        <w:rPr>
          <w:rFonts w:cs="Times New Roman"/>
          <w:lang w:val="fr-CA"/>
        </w:rPr>
        <w:t>,</w:t>
      </w:r>
      <w:r w:rsidRPr="00832F07">
        <w:rPr>
          <w:rFonts w:cs="Times New Roman"/>
          <w:i/>
          <w:iCs/>
          <w:lang w:val="fr-CA"/>
        </w:rPr>
        <w:t xml:space="preserve"> </w:t>
      </w:r>
      <w:r w:rsidRPr="00832F07">
        <w:rPr>
          <w:rFonts w:cs="Times New Roman"/>
          <w:lang w:val="fr-CA"/>
        </w:rPr>
        <w:t>2013 CSC 47, [2013] 3 R.C.S. 157, par.</w:t>
      </w:r>
      <w:r w:rsidR="00795B2B">
        <w:rPr>
          <w:rFonts w:cs="Times New Roman"/>
          <w:lang w:val="fr-CA"/>
        </w:rPr>
        <w:t xml:space="preserve"> </w:t>
      </w:r>
      <w:r w:rsidRPr="00832F07">
        <w:rPr>
          <w:rFonts w:cs="Times New Roman"/>
          <w:lang w:val="fr-CA"/>
        </w:rPr>
        <w:t xml:space="preserve">19, la juge Abella. </w:t>
      </w:r>
    </w:p>
    <w:p w:rsidR="007B74A6" w:rsidRPr="00832F07" w:rsidRDefault="007B74A6" w:rsidP="00795B2B">
      <w:pPr>
        <w:pStyle w:val="ParaNoNdepar-AltN"/>
        <w:rPr>
          <w:rFonts w:cs="Times New Roman"/>
          <w:lang w:val="fr-CA"/>
        </w:rPr>
      </w:pPr>
      <w:r w:rsidRPr="00832F07">
        <w:rPr>
          <w:rFonts w:cs="Times New Roman"/>
          <w:lang w:val="fr-CA"/>
        </w:rPr>
        <w:lastRenderedPageBreak/>
        <w:t>Les tribunaux doivent être particulièrement prudents lorsqu’ils abordent des questions ayant trait à des politiques socio</w:t>
      </w:r>
      <w:r w:rsidR="00795B2B">
        <w:rPr>
          <w:rFonts w:cs="Times New Roman"/>
          <w:lang w:val="fr-CA"/>
        </w:rPr>
        <w:t>-</w:t>
      </w:r>
      <w:r w:rsidRPr="00832F07">
        <w:rPr>
          <w:rFonts w:cs="Times New Roman"/>
          <w:lang w:val="fr-CA"/>
        </w:rPr>
        <w:t xml:space="preserve">économiques. Tout comme l’État et le législateur doivent respecter la compétence des tribunaux en tant qu’organes judiciaires, les tribunaux doivent comprendre qu’ils ne sont pas les autorités les mieux placées pour prendre des décisions quant aux choix de politiques sociales ou économiques qui conviennent le mieux. L’évaluation et la mise en œuvre des politiques sociales et économiques exigent de la souplesse et des ajustements minutieux. Les tribunaux ne devraient donc pas élargir la portée des droits garantis par la </w:t>
      </w:r>
      <w:r w:rsidRPr="00832F07">
        <w:rPr>
          <w:rFonts w:cs="Times New Roman"/>
          <w:i/>
          <w:iCs/>
          <w:lang w:val="fr-CA"/>
        </w:rPr>
        <w:t xml:space="preserve">Charte </w:t>
      </w:r>
      <w:r w:rsidRPr="00832F07">
        <w:rPr>
          <w:rFonts w:cs="Times New Roman"/>
          <w:lang w:val="fr-CA"/>
        </w:rPr>
        <w:t xml:space="preserve">de telle sorte qu’ils empêchent les gouvernements de s’adapter à de nouvelles données ou encore à l’évolution de la société ou de la conjoncture économique. </w:t>
      </w:r>
    </w:p>
    <w:p w:rsidR="007B74A6" w:rsidRPr="00832F07" w:rsidRDefault="007B74A6" w:rsidP="00795B2B">
      <w:pPr>
        <w:pStyle w:val="ParaNoNdepar-AltN"/>
        <w:rPr>
          <w:rFonts w:cs="Times New Roman"/>
          <w:lang w:val="fr-CA"/>
        </w:rPr>
      </w:pPr>
      <w:r w:rsidRPr="00832F07">
        <w:rPr>
          <w:rFonts w:cs="Times New Roman"/>
          <w:lang w:val="fr-CA"/>
        </w:rPr>
        <w:t xml:space="preserve">Soit dit en tout respect, en l’espèce, les juges majoritaires se sont écartés de ces principes fondamentaux du droit constitutionnel. Je me vois donc contraint d’exprimer ma dissidence. Les tribunaux doivent respecter le fait que des préoccupations comme le souci d’atteindre </w:t>
      </w:r>
      <w:r w:rsidR="00795B2B">
        <w:rPr>
          <w:rFonts w:cs="Times New Roman"/>
          <w:lang w:val="fr-CA"/>
        </w:rPr>
        <w:t>« </w:t>
      </w:r>
      <w:r w:rsidRPr="00832F07">
        <w:rPr>
          <w:rFonts w:cs="Times New Roman"/>
          <w:lang w:val="fr-CA"/>
        </w:rPr>
        <w:t>l’équilibre [</w:t>
      </w:r>
      <w:r w:rsidR="00795B2B">
        <w:rPr>
          <w:rFonts w:cs="Times New Roman"/>
          <w:lang w:val="fr-CA"/>
        </w:rPr>
        <w:t>. . .</w:t>
      </w:r>
      <w:r w:rsidRPr="00832F07">
        <w:rPr>
          <w:rFonts w:cs="Times New Roman"/>
          <w:lang w:val="fr-CA"/>
        </w:rPr>
        <w:t>] entre les employés et l’employeur</w:t>
      </w:r>
      <w:r w:rsidR="00795B2B">
        <w:rPr>
          <w:rFonts w:cs="Times New Roman"/>
          <w:lang w:val="fr-CA"/>
        </w:rPr>
        <w:t> »</w:t>
      </w:r>
      <w:r w:rsidRPr="00832F07">
        <w:rPr>
          <w:rFonts w:cs="Times New Roman"/>
          <w:lang w:val="fr-CA"/>
        </w:rPr>
        <w:t xml:space="preserve"> et d’assurer un juste </w:t>
      </w:r>
      <w:r w:rsidR="00795B2B">
        <w:rPr>
          <w:rFonts w:cs="Times New Roman"/>
          <w:lang w:val="fr-CA"/>
        </w:rPr>
        <w:t>« </w:t>
      </w:r>
      <w:r w:rsidRPr="00832F07">
        <w:rPr>
          <w:rFonts w:cs="Times New Roman"/>
          <w:lang w:val="fr-CA"/>
        </w:rPr>
        <w:t>rapport de forces</w:t>
      </w:r>
      <w:r w:rsidR="00795B2B">
        <w:rPr>
          <w:rFonts w:cs="Times New Roman"/>
          <w:lang w:val="fr-CA"/>
        </w:rPr>
        <w:t> »</w:t>
      </w:r>
      <w:r w:rsidRPr="00832F07">
        <w:rPr>
          <w:rFonts w:cs="Times New Roman"/>
          <w:lang w:val="fr-CA"/>
        </w:rPr>
        <w:t xml:space="preserve"> dans les relations de travail (</w:t>
      </w:r>
      <w:r w:rsidR="00993182">
        <w:rPr>
          <w:rFonts w:cs="Times New Roman"/>
          <w:lang w:val="fr-CA"/>
        </w:rPr>
        <w:t xml:space="preserve">voir </w:t>
      </w:r>
      <w:r w:rsidRPr="00832F07">
        <w:rPr>
          <w:rFonts w:cs="Times New Roman"/>
          <w:lang w:val="fr-CA"/>
        </w:rPr>
        <w:t>motifs des juges majoritaires, par.</w:t>
      </w:r>
      <w:r w:rsidR="00795B2B">
        <w:rPr>
          <w:rFonts w:cs="Times New Roman"/>
          <w:lang w:val="fr-CA"/>
        </w:rPr>
        <w:t xml:space="preserve"> </w:t>
      </w:r>
      <w:r w:rsidRPr="00832F07">
        <w:rPr>
          <w:rFonts w:cs="Times New Roman"/>
          <w:lang w:val="fr-CA"/>
        </w:rPr>
        <w:t>72 et 82) sont des préoccupations qui relèvent, non pas des tribunaux, mais du rôle et de la compétence des gouvernements et du législateur.</w:t>
      </w:r>
    </w:p>
    <w:p w:rsidR="007B74A6" w:rsidRPr="00832F07" w:rsidRDefault="007B74A6" w:rsidP="00795B2B">
      <w:pPr>
        <w:pStyle w:val="ParaNoNdepar-AltN"/>
        <w:rPr>
          <w:rFonts w:cs="Times New Roman"/>
          <w:lang w:val="fr-CA"/>
        </w:rPr>
      </w:pPr>
      <w:r w:rsidRPr="00832F07">
        <w:rPr>
          <w:rFonts w:cs="Times New Roman"/>
          <w:lang w:val="fr-CA"/>
        </w:rPr>
        <w:t>Le législateur a adopté une loi créant, pour la Gendarmerie royale du Canada (</w:t>
      </w:r>
      <w:r w:rsidR="00795B2B">
        <w:rPr>
          <w:rFonts w:cs="Times New Roman"/>
          <w:lang w:val="fr-CA"/>
        </w:rPr>
        <w:t>« </w:t>
      </w:r>
      <w:r w:rsidRPr="00832F07">
        <w:rPr>
          <w:rFonts w:cs="Times New Roman"/>
          <w:lang w:val="fr-CA"/>
        </w:rPr>
        <w:t>GRC</w:t>
      </w:r>
      <w:r w:rsidR="00795B2B">
        <w:rPr>
          <w:rFonts w:cs="Times New Roman"/>
          <w:lang w:val="fr-CA"/>
        </w:rPr>
        <w:t> »</w:t>
      </w:r>
      <w:r w:rsidRPr="00832F07">
        <w:rPr>
          <w:rFonts w:cs="Times New Roman"/>
          <w:lang w:val="fr-CA"/>
        </w:rPr>
        <w:t>), un régime de relations de travail non contradictoire</w:t>
      </w:r>
      <w:r w:rsidR="00795B2B">
        <w:rPr>
          <w:rFonts w:cs="Times New Roman"/>
          <w:lang w:val="fr-CA"/>
        </w:rPr>
        <w:t> :</w:t>
      </w:r>
      <w:r w:rsidRPr="00832F07">
        <w:rPr>
          <w:rFonts w:cs="Times New Roman"/>
          <w:lang w:val="fr-CA"/>
        </w:rPr>
        <w:t xml:space="preserve"> le Programme de représentants des relations fonctionnelles (</w:t>
      </w:r>
      <w:r w:rsidR="00795B2B">
        <w:rPr>
          <w:rFonts w:cs="Times New Roman"/>
          <w:lang w:val="fr-CA"/>
        </w:rPr>
        <w:t>« </w:t>
      </w:r>
      <w:r w:rsidRPr="00832F07">
        <w:rPr>
          <w:rFonts w:cs="Times New Roman"/>
          <w:lang w:val="fr-CA"/>
        </w:rPr>
        <w:t>PRRF</w:t>
      </w:r>
      <w:r w:rsidR="00795B2B">
        <w:rPr>
          <w:rFonts w:cs="Times New Roman"/>
          <w:lang w:val="fr-CA"/>
        </w:rPr>
        <w:t> »</w:t>
      </w:r>
      <w:r w:rsidRPr="00832F07">
        <w:rPr>
          <w:rFonts w:cs="Times New Roman"/>
          <w:lang w:val="fr-CA"/>
        </w:rPr>
        <w:t xml:space="preserve">). Ce dernier concilie des intérêts stratégiques qui s’opposent dans le contexte d’un corps policier </w:t>
      </w:r>
      <w:r w:rsidRPr="00832F07">
        <w:rPr>
          <w:rFonts w:cs="Times New Roman"/>
          <w:lang w:val="fr-CA"/>
        </w:rPr>
        <w:lastRenderedPageBreak/>
        <w:t>nation</w:t>
      </w:r>
      <w:r>
        <w:rPr>
          <w:rFonts w:cs="Times New Roman"/>
          <w:lang w:val="fr-CA"/>
        </w:rPr>
        <w:t xml:space="preserve">al. </w:t>
      </w:r>
      <w:r w:rsidRPr="00832F07">
        <w:rPr>
          <w:rFonts w:cs="Times New Roman"/>
          <w:lang w:val="fr-CA"/>
        </w:rPr>
        <w:t>Les membres de la GRC élisent démocratiquement leurs représentants des relations fonctionnelles (</w:t>
      </w:r>
      <w:r w:rsidR="00795B2B">
        <w:rPr>
          <w:rFonts w:cs="Times New Roman"/>
          <w:lang w:val="fr-CA"/>
        </w:rPr>
        <w:t>« </w:t>
      </w:r>
      <w:r w:rsidRPr="00832F07">
        <w:rPr>
          <w:rFonts w:cs="Times New Roman"/>
          <w:lang w:val="fr-CA"/>
        </w:rPr>
        <w:t>RRF</w:t>
      </w:r>
      <w:r w:rsidR="00795B2B">
        <w:rPr>
          <w:rFonts w:cs="Times New Roman"/>
          <w:lang w:val="fr-CA"/>
        </w:rPr>
        <w:t> »</w:t>
      </w:r>
      <w:r w:rsidRPr="00832F07">
        <w:rPr>
          <w:rFonts w:cs="Times New Roman"/>
          <w:lang w:val="fr-CA"/>
        </w:rPr>
        <w:t>) pour que ceux</w:t>
      </w:r>
      <w:r w:rsidR="00795B2B">
        <w:rPr>
          <w:rFonts w:cs="Times New Roman"/>
          <w:lang w:val="fr-CA"/>
        </w:rPr>
        <w:t>-</w:t>
      </w:r>
      <w:r w:rsidRPr="00832F07">
        <w:rPr>
          <w:rFonts w:cs="Times New Roman"/>
          <w:lang w:val="fr-CA"/>
        </w:rPr>
        <w:t xml:space="preserve">ci défendent leurs intérêts directement auprès de la direction. Les membres peuvent également informer leur RRF de leurs préoccupations relatives au travail par l’intermédiaire d’associations d’employés indépendantes, comme les associations appelantes. Suivant la preuve, grâce à la protection que la Constitution accorde à la liberté d’association, les RRF </w:t>
      </w:r>
      <w:r>
        <w:rPr>
          <w:rFonts w:cs="Times New Roman"/>
          <w:lang w:val="fr-CA"/>
        </w:rPr>
        <w:t xml:space="preserve">formulent </w:t>
      </w:r>
      <w:r w:rsidRPr="00832F07">
        <w:rPr>
          <w:rStyle w:val="highlight"/>
          <w:rFonts w:cs="Times New Roman"/>
          <w:lang w:val="fr-CA"/>
        </w:rPr>
        <w:t xml:space="preserve">des revendications collectives au nom des membres de la GRC et </w:t>
      </w:r>
      <w:r>
        <w:rPr>
          <w:rStyle w:val="highlight"/>
          <w:rFonts w:cs="Times New Roman"/>
          <w:lang w:val="fr-CA"/>
        </w:rPr>
        <w:t xml:space="preserve">la direction les </w:t>
      </w:r>
      <w:r w:rsidRPr="00832F07">
        <w:rPr>
          <w:rStyle w:val="highlight"/>
          <w:rFonts w:cs="Times New Roman"/>
          <w:lang w:val="fr-CA"/>
        </w:rPr>
        <w:t>consid</w:t>
      </w:r>
      <w:r>
        <w:rPr>
          <w:rStyle w:val="highlight"/>
          <w:rFonts w:cs="Times New Roman"/>
          <w:lang w:val="fr-CA"/>
        </w:rPr>
        <w:t>è</w:t>
      </w:r>
      <w:r w:rsidRPr="00832F07">
        <w:rPr>
          <w:rStyle w:val="highlight"/>
          <w:rFonts w:cs="Times New Roman"/>
          <w:lang w:val="fr-CA"/>
        </w:rPr>
        <w:t>r</w:t>
      </w:r>
      <w:r>
        <w:rPr>
          <w:rStyle w:val="highlight"/>
          <w:rFonts w:cs="Times New Roman"/>
          <w:lang w:val="fr-CA"/>
        </w:rPr>
        <w:t xml:space="preserve">e </w:t>
      </w:r>
      <w:r w:rsidRPr="00832F07">
        <w:rPr>
          <w:rStyle w:val="highlight"/>
          <w:rFonts w:cs="Times New Roman"/>
          <w:lang w:val="fr-CA"/>
        </w:rPr>
        <w:t>de bonne foi</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Ce modèle de relations de travail permet aux membres de la GRC d’exercer la liberté d’association que leur garantit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Le fait que le PRRF n’imite pas le modèle contradictoire de relations de travail de type Wagner qui prédomine dans la plupart des lois du travail au Canada ne tire pas à conséquence sur le plan constitutionnel</w:t>
      </w:r>
      <w:r>
        <w:rPr>
          <w:rFonts w:cs="Times New Roman"/>
          <w:lang w:val="fr-CA"/>
        </w:rPr>
        <w:t xml:space="preserve"> </w:t>
      </w:r>
      <w:r w:rsidRPr="00832F07">
        <w:rPr>
          <w:rFonts w:cs="Times New Roman"/>
          <w:lang w:val="fr-CA"/>
        </w:rPr>
        <w:t>(</w:t>
      </w:r>
      <w:r w:rsidRPr="00832F07">
        <w:rPr>
          <w:rFonts w:cs="Times New Roman"/>
          <w:i/>
          <w:lang w:val="fr-CA"/>
        </w:rPr>
        <w:t xml:space="preserve">Ontario (Procureur général) c. </w:t>
      </w:r>
      <w:r w:rsidRPr="00832F07">
        <w:rPr>
          <w:rFonts w:cs="Times New Roman"/>
          <w:i/>
          <w:iCs/>
          <w:lang w:val="fr-CA"/>
        </w:rPr>
        <w:t>Fraser</w:t>
      </w:r>
      <w:r w:rsidRPr="00832F07">
        <w:rPr>
          <w:rFonts w:cs="Times New Roman"/>
          <w:lang w:val="fr-CA"/>
        </w:rPr>
        <w:t>, 2011 CSC 20, [2011] 2 R.C.S. 3</w:t>
      </w:r>
      <w:r w:rsidRPr="00832F07">
        <w:rPr>
          <w:rFonts w:cs="Times New Roman"/>
          <w:iCs/>
          <w:lang w:val="fr-CA"/>
        </w:rPr>
        <w:t>, par.</w:t>
      </w:r>
      <w:r w:rsidR="00795B2B">
        <w:rPr>
          <w:rFonts w:cs="Times New Roman"/>
          <w:iCs/>
          <w:lang w:val="fr-CA"/>
        </w:rPr>
        <w:t xml:space="preserve"> </w:t>
      </w:r>
      <w:r w:rsidRPr="00832F07">
        <w:rPr>
          <w:rFonts w:cs="Times New Roman"/>
          <w:iCs/>
          <w:lang w:val="fr-CA"/>
        </w:rPr>
        <w:t>44</w:t>
      </w:r>
      <w:r w:rsidR="00795B2B">
        <w:rPr>
          <w:rFonts w:cs="Times New Roman"/>
          <w:iCs/>
          <w:lang w:val="fr-CA"/>
        </w:rPr>
        <w:t>-</w:t>
      </w:r>
      <w:r w:rsidRPr="00832F07">
        <w:rPr>
          <w:rFonts w:cs="Times New Roman"/>
          <w:iCs/>
          <w:lang w:val="fr-CA"/>
        </w:rPr>
        <w:t xml:space="preserve">47). Dans cette décision, les juges </w:t>
      </w:r>
      <w:r w:rsidRPr="00832F07">
        <w:rPr>
          <w:rFonts w:cs="Times New Roman"/>
          <w:lang w:val="fr-CA"/>
        </w:rPr>
        <w:t xml:space="preserve">majoritaires ont écarté l’argument selon lequel l’arrêt </w:t>
      </w:r>
      <w:proofErr w:type="spellStart"/>
      <w:r w:rsidRPr="00832F07">
        <w:rPr>
          <w:rFonts w:cs="Times New Roman"/>
          <w:i/>
          <w:iCs/>
          <w:lang w:val="fr-CA"/>
        </w:rPr>
        <w:t>Health</w:t>
      </w:r>
      <w:proofErr w:type="spellEnd"/>
      <w:r w:rsidRPr="00832F07">
        <w:rPr>
          <w:rFonts w:cs="Times New Roman"/>
          <w:i/>
          <w:iCs/>
          <w:lang w:val="fr-CA"/>
        </w:rPr>
        <w:t xml:space="preserve"> Services and Support — </w:t>
      </w:r>
      <w:proofErr w:type="spellStart"/>
      <w:r w:rsidRPr="00832F07">
        <w:rPr>
          <w:rFonts w:cs="Times New Roman"/>
          <w:i/>
          <w:iCs/>
          <w:lang w:val="fr-CA"/>
        </w:rPr>
        <w:t>Facilities</w:t>
      </w:r>
      <w:proofErr w:type="spellEnd"/>
      <w:r w:rsidRPr="00832F07">
        <w:rPr>
          <w:rFonts w:cs="Times New Roman"/>
          <w:i/>
          <w:iCs/>
          <w:lang w:val="fr-CA"/>
        </w:rPr>
        <w:t xml:space="preserve"> </w:t>
      </w:r>
      <w:proofErr w:type="spellStart"/>
      <w:r w:rsidRPr="00832F07">
        <w:rPr>
          <w:rFonts w:cs="Times New Roman"/>
          <w:i/>
          <w:iCs/>
          <w:lang w:val="fr-CA"/>
        </w:rPr>
        <w:t>Subsector</w:t>
      </w:r>
      <w:proofErr w:type="spellEnd"/>
      <w:r w:rsidRPr="00832F07">
        <w:rPr>
          <w:rFonts w:cs="Times New Roman"/>
          <w:i/>
          <w:iCs/>
          <w:lang w:val="fr-CA"/>
        </w:rPr>
        <w:t xml:space="preserve"> </w:t>
      </w:r>
      <w:proofErr w:type="spellStart"/>
      <w:r w:rsidRPr="00832F07">
        <w:rPr>
          <w:rFonts w:cs="Times New Roman"/>
          <w:i/>
          <w:iCs/>
          <w:lang w:val="fr-CA"/>
        </w:rPr>
        <w:t>Bargaining</w:t>
      </w:r>
      <w:proofErr w:type="spellEnd"/>
      <w:r w:rsidRPr="00832F07">
        <w:rPr>
          <w:rFonts w:cs="Times New Roman"/>
          <w:i/>
          <w:iCs/>
          <w:lang w:val="fr-CA"/>
        </w:rPr>
        <w:t xml:space="preserve"> </w:t>
      </w:r>
      <w:proofErr w:type="spellStart"/>
      <w:r w:rsidRPr="00832F07">
        <w:rPr>
          <w:rFonts w:cs="Times New Roman"/>
          <w:i/>
          <w:iCs/>
          <w:lang w:val="fr-CA"/>
        </w:rPr>
        <w:t>Assn</w:t>
      </w:r>
      <w:proofErr w:type="spellEnd"/>
      <w:r w:rsidRPr="00832F07">
        <w:rPr>
          <w:rFonts w:cs="Times New Roman"/>
          <w:i/>
          <w:iCs/>
          <w:lang w:val="fr-CA"/>
        </w:rPr>
        <w:t>. c. Colombie</w:t>
      </w:r>
      <w:r w:rsidR="00795B2B">
        <w:rPr>
          <w:rFonts w:cs="Times New Roman"/>
          <w:i/>
          <w:iCs/>
          <w:lang w:val="fr-CA"/>
        </w:rPr>
        <w:t>-</w:t>
      </w:r>
      <w:r w:rsidRPr="00832F07">
        <w:rPr>
          <w:rFonts w:cs="Times New Roman"/>
          <w:i/>
          <w:iCs/>
          <w:lang w:val="fr-CA"/>
        </w:rPr>
        <w:t>Britannique</w:t>
      </w:r>
      <w:r w:rsidRPr="00832F07">
        <w:rPr>
          <w:rFonts w:cs="Times New Roman"/>
          <w:iCs/>
          <w:lang w:val="fr-CA"/>
        </w:rPr>
        <w:t>, 2007 CSC 27, [2007]</w:t>
      </w:r>
      <w:r w:rsidR="00795B2B">
        <w:rPr>
          <w:rFonts w:cs="Times New Roman"/>
          <w:iCs/>
          <w:lang w:val="fr-CA"/>
        </w:rPr>
        <w:t xml:space="preserve"> </w:t>
      </w:r>
      <w:r w:rsidRPr="00832F07">
        <w:rPr>
          <w:rFonts w:cs="Times New Roman"/>
          <w:iCs/>
          <w:lang w:val="fr-CA"/>
        </w:rPr>
        <w:t>2 R.C.S. 391,</w:t>
      </w:r>
      <w:r w:rsidRPr="00832F07">
        <w:rPr>
          <w:rFonts w:cs="Times New Roman"/>
          <w:lang w:val="fr-CA"/>
        </w:rPr>
        <w:t xml:space="preserve"> </w:t>
      </w:r>
      <w:r w:rsidR="00795B2B">
        <w:rPr>
          <w:rFonts w:cs="Times New Roman"/>
          <w:lang w:val="fr-CA"/>
        </w:rPr>
        <w:t>« </w:t>
      </w:r>
      <w:r w:rsidRPr="00832F07">
        <w:rPr>
          <w:rFonts w:cs="Times New Roman"/>
          <w:lang w:val="fr-CA"/>
        </w:rPr>
        <w:t>constitutionnalise en vérité le modèle Wagner de négociation collective</w:t>
      </w:r>
      <w:r w:rsidR="00795B2B">
        <w:rPr>
          <w:rFonts w:cs="Times New Roman"/>
          <w:lang w:val="fr-CA"/>
        </w:rPr>
        <w:t> »</w:t>
      </w:r>
      <w:r w:rsidRPr="00832F07">
        <w:rPr>
          <w:rFonts w:cs="Times New Roman"/>
          <w:lang w:val="fr-CA"/>
        </w:rPr>
        <w:t xml:space="preserve"> et ont précisé que cet arrêt</w:t>
      </w:r>
      <w:r w:rsidRPr="00832F07">
        <w:rPr>
          <w:rFonts w:cs="Times New Roman"/>
          <w:i/>
          <w:iCs/>
          <w:lang w:val="fr-CA"/>
        </w:rPr>
        <w:t xml:space="preserve"> </w:t>
      </w:r>
      <w:r w:rsidRPr="00832F07">
        <w:rPr>
          <w:rFonts w:cs="Times New Roman"/>
          <w:iCs/>
          <w:lang w:val="fr-CA"/>
        </w:rPr>
        <w:t>avait statué</w:t>
      </w:r>
      <w:r w:rsidRPr="00832F07">
        <w:rPr>
          <w:rFonts w:cs="Times New Roman"/>
          <w:lang w:val="fr-CA"/>
        </w:rPr>
        <w:t xml:space="preserve"> </w:t>
      </w:r>
      <w:r w:rsidR="00795B2B">
        <w:rPr>
          <w:rFonts w:cs="Times New Roman"/>
          <w:lang w:val="fr-CA"/>
        </w:rPr>
        <w:t>« </w:t>
      </w:r>
      <w:r w:rsidRPr="00832F07">
        <w:rPr>
          <w:rFonts w:cs="Times New Roman"/>
          <w:lang w:val="fr-CA"/>
        </w:rPr>
        <w:t>sans équivoque que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ne garantit ni l’application d’un modèle particulier de négociation collective, ni l’obtention d’</w:t>
      </w:r>
      <w:r>
        <w:rPr>
          <w:rFonts w:cs="Times New Roman"/>
          <w:lang w:val="fr-CA"/>
        </w:rPr>
        <w:t>un résultat donné</w:t>
      </w:r>
      <w:r w:rsidR="00795B2B">
        <w:rPr>
          <w:rFonts w:cs="Times New Roman"/>
          <w:lang w:val="fr-CA"/>
        </w:rPr>
        <w:t> »</w:t>
      </w:r>
      <w:r>
        <w:rPr>
          <w:rFonts w:cs="Times New Roman"/>
          <w:lang w:val="fr-CA"/>
        </w:rPr>
        <w:t xml:space="preserve"> </w:t>
      </w:r>
      <w:r w:rsidRPr="00832F07">
        <w:rPr>
          <w:rFonts w:cs="Times New Roman"/>
          <w:lang w:val="fr-CA"/>
        </w:rPr>
        <w:t>(par</w:t>
      </w:r>
      <w:r w:rsidR="00E4309F">
        <w:rPr>
          <w:rFonts w:cs="Times New Roman"/>
          <w:lang w:val="fr-CA"/>
        </w:rPr>
        <w:t>.</w:t>
      </w:r>
      <w:r w:rsidR="00795B2B">
        <w:rPr>
          <w:rFonts w:cs="Times New Roman"/>
          <w:lang w:val="fr-CA"/>
        </w:rPr>
        <w:t xml:space="preserve"> </w:t>
      </w:r>
      <w:r w:rsidRPr="00832F07">
        <w:rPr>
          <w:rFonts w:cs="Times New Roman"/>
          <w:lang w:val="fr-CA"/>
        </w:rPr>
        <w:t>44</w:t>
      </w:r>
      <w:r w:rsidR="00795B2B">
        <w:rPr>
          <w:rFonts w:cs="Times New Roman"/>
          <w:lang w:val="fr-CA"/>
        </w:rPr>
        <w:t>-</w:t>
      </w:r>
      <w:r w:rsidRPr="00832F07">
        <w:rPr>
          <w:rFonts w:cs="Times New Roman"/>
          <w:lang w:val="fr-CA"/>
        </w:rPr>
        <w:t xml:space="preserve">45;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w:t>
      </w:r>
      <w:r w:rsidRPr="00832F07">
        <w:rPr>
          <w:rFonts w:cs="Times New Roman"/>
          <w:i/>
          <w:iCs/>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91). </w:t>
      </w:r>
    </w:p>
    <w:p w:rsidR="007B74A6" w:rsidRPr="00832F07" w:rsidRDefault="007B74A6" w:rsidP="00795B2B">
      <w:pPr>
        <w:pStyle w:val="ParaNoNdepar-AltN"/>
        <w:rPr>
          <w:rFonts w:cs="Times New Roman"/>
          <w:lang w:val="fr-CA"/>
        </w:rPr>
      </w:pPr>
      <w:r w:rsidRPr="00832F07">
        <w:rPr>
          <w:rFonts w:cs="Times New Roman"/>
          <w:iCs/>
          <w:lang w:val="fr-CA"/>
        </w:rPr>
        <w:t xml:space="preserve">Les juges </w:t>
      </w:r>
      <w:r w:rsidRPr="00832F07">
        <w:rPr>
          <w:rFonts w:cs="Times New Roman"/>
          <w:lang w:val="fr-CA"/>
        </w:rPr>
        <w:t xml:space="preserve">majoritaires </w:t>
      </w:r>
      <w:r w:rsidRPr="00832F07">
        <w:rPr>
          <w:rFonts w:cs="Times New Roman"/>
          <w:bCs/>
          <w:lang w:val="fr-CA"/>
        </w:rPr>
        <w:t>répudient maintenant l’interprétation récente que la Cour a donnée à l’al.</w:t>
      </w:r>
      <w:r w:rsidR="00795B2B">
        <w:rPr>
          <w:rFonts w:cs="Times New Roman"/>
          <w:bCs/>
          <w:lang w:val="fr-CA"/>
        </w:rPr>
        <w:t xml:space="preserve"> </w:t>
      </w:r>
      <w:r w:rsidRPr="00832F07">
        <w:rPr>
          <w:rFonts w:cs="Times New Roman"/>
          <w:bCs/>
          <w:lang w:val="fr-CA"/>
        </w:rPr>
        <w:t>2</w:t>
      </w:r>
      <w:r w:rsidRPr="00832F07">
        <w:rPr>
          <w:rFonts w:cs="Times New Roman"/>
          <w:bCs/>
          <w:i/>
          <w:iCs/>
          <w:lang w:val="fr-CA"/>
        </w:rPr>
        <w:t>d</w:t>
      </w:r>
      <w:r w:rsidRPr="00832F07">
        <w:rPr>
          <w:rFonts w:cs="Times New Roman"/>
          <w:bCs/>
          <w:lang w:val="fr-CA"/>
        </w:rPr>
        <w:t xml:space="preserve">) de la </w:t>
      </w:r>
      <w:r w:rsidRPr="00832F07">
        <w:rPr>
          <w:rFonts w:cs="Times New Roman"/>
          <w:bCs/>
          <w:i/>
          <w:iCs/>
          <w:lang w:val="fr-CA"/>
        </w:rPr>
        <w:t xml:space="preserve">Charte </w:t>
      </w:r>
      <w:r w:rsidRPr="00832F07">
        <w:rPr>
          <w:rFonts w:cs="Times New Roman"/>
          <w:bCs/>
          <w:lang w:val="fr-CA"/>
        </w:rPr>
        <w:t xml:space="preserve">dans les arrêts tant </w:t>
      </w:r>
      <w:r w:rsidRPr="00832F07">
        <w:rPr>
          <w:rFonts w:cs="Times New Roman"/>
          <w:bCs/>
          <w:i/>
          <w:iCs/>
          <w:lang w:val="fr-CA"/>
        </w:rPr>
        <w:t>Fraser</w:t>
      </w:r>
      <w:r w:rsidRPr="00832F07">
        <w:rPr>
          <w:rFonts w:cs="Times New Roman"/>
          <w:bCs/>
          <w:lang w:val="fr-CA"/>
        </w:rPr>
        <w:t xml:space="preserve"> que </w:t>
      </w:r>
      <w:proofErr w:type="spellStart"/>
      <w:r w:rsidRPr="00832F07">
        <w:rPr>
          <w:rFonts w:cs="Times New Roman"/>
          <w:bCs/>
          <w:i/>
          <w:iCs/>
          <w:lang w:val="fr-CA"/>
        </w:rPr>
        <w:t>Health</w:t>
      </w:r>
      <w:proofErr w:type="spellEnd"/>
      <w:r w:rsidRPr="00832F07">
        <w:rPr>
          <w:rFonts w:cs="Times New Roman"/>
          <w:bCs/>
          <w:i/>
          <w:iCs/>
          <w:lang w:val="fr-CA"/>
        </w:rPr>
        <w:t xml:space="preserve"> Services</w:t>
      </w:r>
      <w:r w:rsidRPr="00832F07">
        <w:rPr>
          <w:rFonts w:cs="Times New Roman"/>
          <w:bCs/>
          <w:lang w:val="fr-CA"/>
        </w:rPr>
        <w:t xml:space="preserve"> et </w:t>
      </w:r>
      <w:r w:rsidRPr="00832F07">
        <w:rPr>
          <w:rFonts w:cs="Times New Roman"/>
          <w:lang w:val="fr-CA"/>
        </w:rPr>
        <w:t xml:space="preserve">imposent en réalité un modèle unique en matière de négociation collective. Je ne </w:t>
      </w:r>
      <w:r w:rsidRPr="00832F07">
        <w:rPr>
          <w:rFonts w:cs="Times New Roman"/>
          <w:lang w:val="fr-CA"/>
        </w:rPr>
        <w:lastRenderedPageBreak/>
        <w:t>puis souscrire à cette démarche. L’évolution des relations de travail au Canada inspirera sûrement aux divers législateurs et gouvernements des modifications aux lois et règlements pour faire face à des changements de circonstances et pour tenir compte de l’expérience accumulée. La Cour ne devrait donc pas interpréter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manière à bloquer les réformes futures ou les progrès dans ce domaine. D’ailleurs, comme la Cour l’a reconnu dans </w:t>
      </w:r>
      <w:proofErr w:type="spellStart"/>
      <w:r w:rsidRPr="00832F07">
        <w:rPr>
          <w:rFonts w:cs="Times New Roman"/>
          <w:i/>
          <w:iCs/>
          <w:lang w:val="fr-CA"/>
        </w:rPr>
        <w:t>Health</w:t>
      </w:r>
      <w:proofErr w:type="spellEnd"/>
      <w:r w:rsidRPr="00832F07">
        <w:rPr>
          <w:rFonts w:cs="Times New Roman"/>
          <w:i/>
          <w:iCs/>
          <w:lang w:val="fr-CA"/>
        </w:rPr>
        <w:t xml:space="preserve"> Services</w:t>
      </w:r>
      <w:r w:rsidR="00795B2B">
        <w:rPr>
          <w:rFonts w:cs="Times New Roman"/>
          <w:i/>
          <w:iCs/>
          <w:lang w:val="fr-CA"/>
        </w:rPr>
        <w:t> </w:t>
      </w:r>
      <w:r w:rsidR="00795B2B" w:rsidRPr="00E4309F">
        <w:rPr>
          <w:rFonts w:cs="Times New Roman"/>
          <w:iCs/>
          <w:lang w:val="fr-CA"/>
        </w:rPr>
        <w:t>:</w:t>
      </w:r>
      <w:r w:rsidRPr="00E4309F">
        <w:rPr>
          <w:rFonts w:cs="Times New Roman"/>
          <w:lang w:val="fr-CA"/>
        </w:rPr>
        <w:t xml:space="preserve"> </w:t>
      </w:r>
    </w:p>
    <w:p w:rsidR="007B74A6" w:rsidRPr="00832F07" w:rsidRDefault="007B74A6" w:rsidP="00795B2B">
      <w:pPr>
        <w:pStyle w:val="Citation-AltC"/>
        <w:ind w:hanging="1166"/>
        <w:contextualSpacing w:val="0"/>
        <w:rPr>
          <w:lang w:val="fr-CA"/>
        </w:rPr>
      </w:pPr>
      <w:r w:rsidRPr="00832F07">
        <w:rPr>
          <w:lang w:val="fr-CA"/>
        </w:rPr>
        <w:tab/>
      </w:r>
      <w:r w:rsidR="00795B2B">
        <w:rPr>
          <w:lang w:val="fr-CA"/>
        </w:rPr>
        <w:t>. . .</w:t>
      </w:r>
      <w:r w:rsidRPr="00832F07">
        <w:rPr>
          <w:lang w:val="fr-CA"/>
        </w:rPr>
        <w:t xml:space="preserve"> on ne saurait prédire avec certitude si le modèle actuel des relations de travail sera celui qui s’imposera dans 50 ou même 20</w:t>
      </w:r>
      <w:r w:rsidR="00795B2B">
        <w:rPr>
          <w:lang w:val="fr-CA"/>
        </w:rPr>
        <w:t xml:space="preserve"> </w:t>
      </w:r>
      <w:r w:rsidRPr="00832F07">
        <w:rPr>
          <w:lang w:val="fr-CA"/>
        </w:rPr>
        <w:t>ans ([P.</w:t>
      </w:r>
      <w:r w:rsidR="00795B2B">
        <w:rPr>
          <w:lang w:val="fr-CA"/>
        </w:rPr>
        <w:t xml:space="preserve"> </w:t>
      </w:r>
      <w:r w:rsidRPr="00832F07">
        <w:rPr>
          <w:lang w:val="fr-CA"/>
        </w:rPr>
        <w:t xml:space="preserve">A. Gall,] </w:t>
      </w:r>
      <w:r w:rsidR="00795B2B">
        <w:rPr>
          <w:lang w:val="fr-CA"/>
        </w:rPr>
        <w:t>« </w:t>
      </w:r>
      <w:proofErr w:type="spellStart"/>
      <w:r w:rsidRPr="00832F07">
        <w:rPr>
          <w:lang w:val="fr-CA"/>
        </w:rPr>
        <w:t>Freedom</w:t>
      </w:r>
      <w:proofErr w:type="spellEnd"/>
      <w:r w:rsidRPr="00832F07">
        <w:rPr>
          <w:lang w:val="fr-CA"/>
        </w:rPr>
        <w:t xml:space="preserve"> of Association and Trade Unions</w:t>
      </w:r>
      <w:r w:rsidR="00795B2B">
        <w:rPr>
          <w:lang w:val="fr-CA"/>
        </w:rPr>
        <w:t> :</w:t>
      </w:r>
      <w:r w:rsidRPr="00832F07">
        <w:rPr>
          <w:lang w:val="fr-CA"/>
        </w:rPr>
        <w:t xml:space="preserve"> A Double</w:t>
      </w:r>
      <w:r w:rsidR="00795B2B">
        <w:rPr>
          <w:lang w:val="fr-CA"/>
        </w:rPr>
        <w:t>-</w:t>
      </w:r>
      <w:proofErr w:type="spellStart"/>
      <w:r w:rsidRPr="00832F07">
        <w:rPr>
          <w:lang w:val="fr-CA"/>
        </w:rPr>
        <w:t>Edged</w:t>
      </w:r>
      <w:proofErr w:type="spellEnd"/>
      <w:r w:rsidRPr="00832F07">
        <w:rPr>
          <w:lang w:val="fr-CA"/>
        </w:rPr>
        <w:t xml:space="preserve"> </w:t>
      </w:r>
      <w:proofErr w:type="spellStart"/>
      <w:r w:rsidRPr="00832F07">
        <w:rPr>
          <w:lang w:val="fr-CA"/>
        </w:rPr>
        <w:t>Constitutional</w:t>
      </w:r>
      <w:proofErr w:type="spellEnd"/>
      <w:r w:rsidRPr="00832F07">
        <w:rPr>
          <w:lang w:val="fr-CA"/>
        </w:rPr>
        <w:t xml:space="preserve"> </w:t>
      </w:r>
      <w:proofErr w:type="spellStart"/>
      <w:r w:rsidRPr="00832F07">
        <w:rPr>
          <w:lang w:val="fr-CA"/>
        </w:rPr>
        <w:t>Sword</w:t>
      </w:r>
      <w:proofErr w:type="spellEnd"/>
      <w:r w:rsidR="00795B2B">
        <w:rPr>
          <w:lang w:val="fr-CA"/>
        </w:rPr>
        <w:t> »</w:t>
      </w:r>
      <w:r w:rsidRPr="00832F07">
        <w:rPr>
          <w:lang w:val="fr-CA"/>
        </w:rPr>
        <w:t>, dans J.</w:t>
      </w:r>
      <w:r w:rsidR="00795B2B">
        <w:rPr>
          <w:lang w:val="fr-CA"/>
        </w:rPr>
        <w:t xml:space="preserve"> </w:t>
      </w:r>
      <w:r w:rsidRPr="00832F07">
        <w:rPr>
          <w:lang w:val="fr-CA"/>
        </w:rPr>
        <w:t>M.</w:t>
      </w:r>
      <w:r w:rsidR="00795B2B">
        <w:rPr>
          <w:lang w:val="fr-CA"/>
        </w:rPr>
        <w:t xml:space="preserve"> </w:t>
      </w:r>
      <w:proofErr w:type="spellStart"/>
      <w:r w:rsidRPr="00832F07">
        <w:rPr>
          <w:lang w:val="fr-CA"/>
        </w:rPr>
        <w:t>Weiler</w:t>
      </w:r>
      <w:proofErr w:type="spellEnd"/>
      <w:r w:rsidRPr="00832F07">
        <w:rPr>
          <w:lang w:val="fr-CA"/>
        </w:rPr>
        <w:t xml:space="preserve"> et R.</w:t>
      </w:r>
      <w:r w:rsidR="00795B2B">
        <w:rPr>
          <w:lang w:val="fr-CA"/>
        </w:rPr>
        <w:t xml:space="preserve"> </w:t>
      </w:r>
      <w:r w:rsidRPr="00832F07">
        <w:rPr>
          <w:lang w:val="fr-CA"/>
        </w:rPr>
        <w:t>M.</w:t>
      </w:r>
      <w:r w:rsidR="00795B2B">
        <w:rPr>
          <w:lang w:val="fr-CA"/>
        </w:rPr>
        <w:t xml:space="preserve"> </w:t>
      </w:r>
      <w:r w:rsidRPr="00832F07">
        <w:rPr>
          <w:lang w:val="fr-CA"/>
        </w:rPr>
        <w:t xml:space="preserve">Elliot, </w:t>
      </w:r>
      <w:proofErr w:type="spellStart"/>
      <w:proofErr w:type="gramStart"/>
      <w:r w:rsidRPr="00832F07">
        <w:rPr>
          <w:lang w:val="fr-CA"/>
        </w:rPr>
        <w:t>dir</w:t>
      </w:r>
      <w:proofErr w:type="spellEnd"/>
      <w:r w:rsidRPr="00832F07">
        <w:rPr>
          <w:lang w:val="fr-CA"/>
        </w:rPr>
        <w:t>.</w:t>
      </w:r>
      <w:r w:rsidRPr="00832F07">
        <w:rPr>
          <w:iCs/>
          <w:lang w:val="fr-CA"/>
        </w:rPr>
        <w:t>,</w:t>
      </w:r>
      <w:proofErr w:type="gramEnd"/>
      <w:r w:rsidRPr="00832F07">
        <w:rPr>
          <w:i/>
          <w:iCs/>
          <w:lang w:val="fr-CA"/>
        </w:rPr>
        <w:t xml:space="preserve"> </w:t>
      </w:r>
      <w:proofErr w:type="spellStart"/>
      <w:r w:rsidRPr="00832F07">
        <w:rPr>
          <w:i/>
          <w:iCs/>
          <w:lang w:val="fr-CA"/>
        </w:rPr>
        <w:t>Litigating</w:t>
      </w:r>
      <w:proofErr w:type="spellEnd"/>
      <w:r w:rsidRPr="00832F07">
        <w:rPr>
          <w:i/>
          <w:iCs/>
          <w:lang w:val="fr-CA"/>
        </w:rPr>
        <w:t xml:space="preserve"> the Values of a Nation</w:t>
      </w:r>
      <w:r w:rsidR="00E4309F">
        <w:rPr>
          <w:i/>
          <w:iCs/>
          <w:lang w:val="fr-CA"/>
        </w:rPr>
        <w:t xml:space="preserve"> </w:t>
      </w:r>
      <w:r w:rsidRPr="00832F07">
        <w:rPr>
          <w:i/>
          <w:iCs/>
          <w:lang w:val="fr-CA"/>
        </w:rPr>
        <w:t xml:space="preserve">:  The Canadian Charter of </w:t>
      </w:r>
      <w:proofErr w:type="spellStart"/>
      <w:r w:rsidRPr="00832F07">
        <w:rPr>
          <w:i/>
          <w:iCs/>
          <w:lang w:val="fr-CA"/>
        </w:rPr>
        <w:t>Rights</w:t>
      </w:r>
      <w:proofErr w:type="spellEnd"/>
      <w:r w:rsidRPr="00832F07">
        <w:rPr>
          <w:i/>
          <w:iCs/>
          <w:lang w:val="fr-CA"/>
        </w:rPr>
        <w:t xml:space="preserve"> and </w:t>
      </w:r>
      <w:proofErr w:type="spellStart"/>
      <w:r w:rsidRPr="00832F07">
        <w:rPr>
          <w:i/>
          <w:iCs/>
          <w:lang w:val="fr-CA"/>
        </w:rPr>
        <w:t>Freedoms</w:t>
      </w:r>
      <w:proofErr w:type="spellEnd"/>
      <w:r w:rsidRPr="00832F07">
        <w:rPr>
          <w:i/>
          <w:iCs/>
          <w:lang w:val="fr-CA"/>
        </w:rPr>
        <w:t xml:space="preserve"> </w:t>
      </w:r>
      <w:r w:rsidRPr="00832F07">
        <w:rPr>
          <w:lang w:val="fr-CA"/>
        </w:rPr>
        <w:t>(1986), 245, p.</w:t>
      </w:r>
      <w:r w:rsidR="00795B2B">
        <w:rPr>
          <w:lang w:val="fr-CA"/>
        </w:rPr>
        <w:t xml:space="preserve"> </w:t>
      </w:r>
      <w:r w:rsidRPr="00832F07">
        <w:rPr>
          <w:lang w:val="fr-CA"/>
        </w:rPr>
        <w:t>248). [</w:t>
      </w:r>
      <w:proofErr w:type="gramStart"/>
      <w:r w:rsidRPr="00832F07">
        <w:rPr>
          <w:lang w:val="fr-CA"/>
        </w:rPr>
        <w:t>par</w:t>
      </w:r>
      <w:proofErr w:type="gramEnd"/>
      <w:r w:rsidRPr="00832F07">
        <w:rPr>
          <w:lang w:val="fr-CA"/>
        </w:rPr>
        <w:t>.</w:t>
      </w:r>
      <w:r w:rsidR="00795B2B">
        <w:rPr>
          <w:lang w:val="fr-CA"/>
        </w:rPr>
        <w:t xml:space="preserve"> </w:t>
      </w:r>
      <w:r w:rsidRPr="00832F07">
        <w:rPr>
          <w:lang w:val="fr-CA"/>
        </w:rPr>
        <w:t>91]</w:t>
      </w:r>
    </w:p>
    <w:p w:rsidR="007B74A6" w:rsidRPr="00832F07" w:rsidRDefault="007B74A6" w:rsidP="00795B2B">
      <w:pPr>
        <w:pStyle w:val="ParaNoNdepar-AltN"/>
        <w:rPr>
          <w:rFonts w:cs="Times New Roman"/>
          <w:lang w:val="fr-CA"/>
        </w:rPr>
      </w:pPr>
      <w:r w:rsidRPr="00832F07">
        <w:rPr>
          <w:rFonts w:cs="Times New Roman"/>
          <w:lang w:val="fr-CA"/>
        </w:rPr>
        <w:t xml:space="preserve">De plus, toujours dans l’arrêt </w:t>
      </w:r>
      <w:r w:rsidRPr="00832F07">
        <w:rPr>
          <w:rFonts w:cs="Times New Roman"/>
          <w:i/>
          <w:iCs/>
          <w:lang w:val="fr-CA"/>
        </w:rPr>
        <w:t>Fraser</w:t>
      </w:r>
      <w:r w:rsidRPr="00832F07">
        <w:rPr>
          <w:rFonts w:cs="Times New Roman"/>
          <w:lang w:val="fr-CA"/>
        </w:rPr>
        <w:t xml:space="preserve">, </w:t>
      </w:r>
      <w:r w:rsidRPr="00832F07">
        <w:rPr>
          <w:rFonts w:cs="Times New Roman"/>
          <w:iCs/>
          <w:lang w:val="fr-CA"/>
        </w:rPr>
        <w:t xml:space="preserve">les juges </w:t>
      </w:r>
      <w:r w:rsidRPr="00832F07">
        <w:rPr>
          <w:rFonts w:cs="Times New Roman"/>
          <w:lang w:val="fr-CA"/>
        </w:rPr>
        <w:t>majoritaires ont formulé comme suit le critère de la constitutionnalité au regard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dans le contexte des relations de travail</w:t>
      </w:r>
      <w:r w:rsidR="00795B2B">
        <w:rPr>
          <w:rFonts w:cs="Times New Roman"/>
          <w:lang w:val="fr-CA"/>
        </w:rPr>
        <w:t> :</w:t>
      </w:r>
      <w:r w:rsidRPr="00832F07">
        <w:rPr>
          <w:rFonts w:cs="Times New Roman"/>
          <w:lang w:val="fr-CA"/>
        </w:rPr>
        <w:t xml:space="preserve"> il s’agit de savoir si la mesure prise par le gouvernement </w:t>
      </w:r>
      <w:r w:rsidR="00795B2B">
        <w:rPr>
          <w:rFonts w:cs="Times New Roman"/>
          <w:lang w:val="fr-CA"/>
        </w:rPr>
        <w:t>« </w:t>
      </w:r>
      <w:r w:rsidRPr="00832F07">
        <w:rPr>
          <w:rFonts w:cs="Times New Roman"/>
          <w:lang w:val="fr-CA"/>
        </w:rPr>
        <w:t>rend de fait impossible l’association véritable en vue de réaliser des objectifs liés au travail</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98). Or, moins de quatre ans après le prononcé de cet arrêt, </w:t>
      </w:r>
      <w:r w:rsidRPr="00832F07">
        <w:rPr>
          <w:rFonts w:cs="Times New Roman"/>
          <w:iCs/>
          <w:lang w:val="fr-CA"/>
        </w:rPr>
        <w:t xml:space="preserve">les juges </w:t>
      </w:r>
      <w:r w:rsidRPr="00832F07">
        <w:rPr>
          <w:rFonts w:cs="Times New Roman"/>
          <w:lang w:val="fr-CA"/>
        </w:rPr>
        <w:t xml:space="preserve">majoritaires abandonnent ce critère parce qu’il ne justifie pas la conclusion à laquelle ils souhaitent en arriver. </w:t>
      </w:r>
    </w:p>
    <w:p w:rsidR="007B74A6" w:rsidRPr="00832F07" w:rsidRDefault="007B74A6" w:rsidP="00795B2B">
      <w:pPr>
        <w:pStyle w:val="ParaNoNdepar-AltN"/>
        <w:rPr>
          <w:rFonts w:cs="Times New Roman"/>
          <w:lang w:val="fr-CA"/>
        </w:rPr>
      </w:pPr>
      <w:r w:rsidRPr="00832F07">
        <w:rPr>
          <w:rFonts w:cs="Times New Roman"/>
          <w:lang w:val="fr-CA"/>
        </w:rPr>
        <w:t>Soit dit en tout respect, je ne suis pas d’accord pour répudier de la sorte les décisions qui tranchent des questi</w:t>
      </w:r>
      <w:r w:rsidR="00993182">
        <w:rPr>
          <w:rFonts w:cs="Times New Roman"/>
          <w:lang w:val="fr-CA"/>
        </w:rPr>
        <w:t>ons de nature constitutionnelle</w:t>
      </w:r>
      <w:r w:rsidRPr="00832F07">
        <w:rPr>
          <w:rFonts w:cs="Times New Roman"/>
          <w:lang w:val="fr-CA"/>
        </w:rPr>
        <w:t>. Comme la Cour l’a expliqué, une fois qu’elles ont été rendues, les décisions de ce type ne devraient être modifiées ou infirmées qu’à de strictes et rigoureuses conditions (</w:t>
      </w:r>
      <w:r w:rsidRPr="00832F07">
        <w:rPr>
          <w:rFonts w:cs="Times New Roman"/>
          <w:i/>
          <w:iCs/>
          <w:lang w:val="fr-CA"/>
        </w:rPr>
        <w:t>Fraser</w:t>
      </w:r>
      <w:r w:rsidRPr="00832F07">
        <w:rPr>
          <w:rFonts w:cs="Times New Roman"/>
          <w:iCs/>
          <w:lang w:val="fr-CA"/>
        </w:rPr>
        <w:t>,</w:t>
      </w:r>
      <w:r w:rsidRPr="00832F07">
        <w:rPr>
          <w:rFonts w:cs="Times New Roman"/>
          <w:lang w:val="fr-CA"/>
        </w:rPr>
        <w:t xml:space="preserve"> par.</w:t>
      </w:r>
      <w:r w:rsidR="00795B2B">
        <w:rPr>
          <w:rFonts w:cs="Times New Roman"/>
          <w:lang w:val="fr-CA"/>
        </w:rPr>
        <w:t xml:space="preserve"> </w:t>
      </w:r>
      <w:r w:rsidRPr="00832F07">
        <w:rPr>
          <w:rFonts w:cs="Times New Roman"/>
          <w:lang w:val="fr-CA"/>
        </w:rPr>
        <w:t>57). En effet, dans cet arrêt, la Cour a servi un sévère avertissement</w:t>
      </w:r>
      <w:r w:rsidR="00795B2B">
        <w:rPr>
          <w:rFonts w:cs="Times New Roman"/>
          <w:lang w:val="fr-CA"/>
        </w:rPr>
        <w:t> :</w:t>
      </w:r>
      <w:r w:rsidRPr="00832F07">
        <w:rPr>
          <w:rFonts w:cs="Times New Roman"/>
          <w:lang w:val="fr-CA"/>
        </w:rPr>
        <w:t xml:space="preserve"> </w:t>
      </w:r>
      <w:r w:rsidR="00795B2B">
        <w:rPr>
          <w:rFonts w:cs="Times New Roman"/>
          <w:lang w:val="fr-CA"/>
        </w:rPr>
        <w:t>« </w:t>
      </w:r>
      <w:r w:rsidRPr="00832F07">
        <w:rPr>
          <w:rFonts w:cs="Times New Roman"/>
          <w:lang w:val="fr-CA"/>
        </w:rPr>
        <w:t xml:space="preserve">On ne saurait trop insister sur la gravité du renversement de deux arrêts récents de la Cour qui </w:t>
      </w:r>
      <w:r w:rsidRPr="00832F07">
        <w:rPr>
          <w:rFonts w:cs="Times New Roman"/>
          <w:lang w:val="fr-CA"/>
        </w:rPr>
        <w:lastRenderedPageBreak/>
        <w:t>expriment l’avis réfléchi de majorités claires</w:t>
      </w:r>
      <w:r w:rsidR="00795B2B">
        <w:rPr>
          <w:rFonts w:cs="Times New Roman"/>
          <w:lang w:val="fr-CA"/>
        </w:rPr>
        <w:t> »</w:t>
      </w:r>
      <w:r w:rsidRPr="00832F07">
        <w:rPr>
          <w:rFonts w:cs="Times New Roman"/>
          <w:lang w:val="fr-CA"/>
        </w:rPr>
        <w:t xml:space="preserve"> (</w:t>
      </w:r>
      <w:r w:rsidRPr="00832F07">
        <w:rPr>
          <w:rFonts w:cs="Times New Roman"/>
          <w:i/>
          <w:lang w:val="fr-CA"/>
        </w:rPr>
        <w:t>ibid.</w:t>
      </w:r>
      <w:r w:rsidRPr="00832F07">
        <w:rPr>
          <w:rFonts w:cs="Times New Roman"/>
          <w:lang w:val="fr-CA"/>
        </w:rPr>
        <w:t xml:space="preserve">). Or, c’est précisément ce que font </w:t>
      </w:r>
      <w:r w:rsidRPr="00832F07">
        <w:rPr>
          <w:rFonts w:cs="Times New Roman"/>
          <w:iCs/>
          <w:lang w:val="fr-CA"/>
        </w:rPr>
        <w:t xml:space="preserve">les juges </w:t>
      </w:r>
      <w:r w:rsidRPr="00832F07">
        <w:rPr>
          <w:rFonts w:cs="Times New Roman"/>
          <w:lang w:val="fr-CA"/>
        </w:rPr>
        <w:t>majoritaires dans le cas qui nous occupe.</w:t>
      </w:r>
    </w:p>
    <w:p w:rsidR="007B74A6" w:rsidRPr="00832F07" w:rsidRDefault="007B74A6" w:rsidP="00795B2B">
      <w:pPr>
        <w:pStyle w:val="Title1LevelTitre1Niveau-AltL"/>
        <w:numPr>
          <w:ilvl w:val="0"/>
          <w:numId w:val="36"/>
        </w:numPr>
        <w:spacing w:before="0"/>
        <w:rPr>
          <w:rFonts w:cs="Times New Roman"/>
          <w:lang w:val="fr-CA"/>
        </w:rPr>
      </w:pPr>
      <w:r w:rsidRPr="00832F07">
        <w:rPr>
          <w:rFonts w:cs="Times New Roman"/>
          <w:lang w:val="fr-CA"/>
        </w:rPr>
        <w:t>Les faits et l’historique judiciaire</w:t>
      </w:r>
    </w:p>
    <w:p w:rsidR="007B74A6" w:rsidRPr="00832F07" w:rsidRDefault="007B74A6" w:rsidP="00795B2B">
      <w:pPr>
        <w:pStyle w:val="ParaNoNdepar-AltN"/>
        <w:rPr>
          <w:rFonts w:cs="Times New Roman"/>
          <w:lang w:val="fr-CA"/>
        </w:rPr>
      </w:pPr>
      <w:r w:rsidRPr="00832F07">
        <w:rPr>
          <w:rFonts w:cs="Times New Roman"/>
          <w:lang w:val="fr-CA"/>
        </w:rPr>
        <w:t>J’accepte, dans l’ensemble, le résumé que font les juges majoritaires des faits de l’espèce et des décisions des juridictions inférieures. Je signalerai dans l’analyse qui suit les points avec lesquels je suis en désaccord.</w:t>
      </w:r>
    </w:p>
    <w:p w:rsidR="007B74A6" w:rsidRPr="00832F07" w:rsidRDefault="007B74A6" w:rsidP="00795B2B">
      <w:pPr>
        <w:pStyle w:val="Title1LevelTitre1Niveau-AltL"/>
        <w:numPr>
          <w:ilvl w:val="0"/>
          <w:numId w:val="36"/>
        </w:numPr>
        <w:spacing w:before="0"/>
        <w:rPr>
          <w:rFonts w:cs="Times New Roman"/>
          <w:lang w:val="fr-CA"/>
        </w:rPr>
      </w:pPr>
      <w:r w:rsidRPr="00832F07">
        <w:rPr>
          <w:rFonts w:cs="Times New Roman"/>
          <w:lang w:val="fr-CA"/>
        </w:rPr>
        <w:t>Analyse</w:t>
      </w:r>
    </w:p>
    <w:p w:rsidR="007B74A6" w:rsidRPr="00832F07" w:rsidRDefault="007B74A6" w:rsidP="00795B2B">
      <w:pPr>
        <w:pStyle w:val="Title2LevelTitre2Niveau"/>
        <w:numPr>
          <w:ilvl w:val="1"/>
          <w:numId w:val="36"/>
        </w:numPr>
        <w:spacing w:before="0"/>
        <w:jc w:val="both"/>
        <w:rPr>
          <w:rFonts w:cs="Times New Roman"/>
          <w:lang w:val="fr-CA"/>
        </w:rPr>
      </w:pPr>
      <w:r w:rsidRPr="00832F07">
        <w:rPr>
          <w:rFonts w:cs="Times New Roman"/>
          <w:lang w:val="fr-CA"/>
        </w:rPr>
        <w:t>Liberté d’association</w:t>
      </w:r>
    </w:p>
    <w:p w:rsidR="007B74A6" w:rsidRPr="00832F07" w:rsidRDefault="007B74A6" w:rsidP="00795B2B">
      <w:pPr>
        <w:pStyle w:val="ParaNoNdepar-AltN"/>
        <w:rPr>
          <w:rFonts w:cs="Times New Roman"/>
          <w:lang w:val="fr-CA"/>
        </w:rPr>
      </w:pPr>
      <w:r w:rsidRPr="00832F07">
        <w:rPr>
          <w:rFonts w:cs="Times New Roman"/>
          <w:lang w:val="fr-CA"/>
        </w:rPr>
        <w:t>La Cour a fréquemment été appelée à se prononcer sur la portée de la liberté d’association garantie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Cette liberté protège essentiellement le droit des individus de </w:t>
      </w:r>
      <w:r w:rsidR="00795B2B">
        <w:rPr>
          <w:rFonts w:cs="Times New Roman"/>
          <w:lang w:val="fr-CA"/>
        </w:rPr>
        <w:t>« </w:t>
      </w:r>
      <w:r w:rsidRPr="00832F07">
        <w:rPr>
          <w:rFonts w:cs="Times New Roman"/>
          <w:lang w:val="fr-CA"/>
        </w:rPr>
        <w:t>s’associer avec d’autres en vue de réaliser des objectifs communs</w:t>
      </w:r>
      <w:r w:rsidR="00795B2B">
        <w:rPr>
          <w:rFonts w:cs="Times New Roman"/>
          <w:lang w:val="fr-CA"/>
        </w:rPr>
        <w:t> »</w:t>
      </w:r>
      <w:r>
        <w:rPr>
          <w:rFonts w:cs="Times New Roman"/>
          <w:lang w:val="fr-CA"/>
        </w:rPr>
        <w:t xml:space="preserve"> (</w:t>
      </w:r>
      <w:r w:rsidRPr="00832F07">
        <w:rPr>
          <w:rFonts w:cs="Times New Roman"/>
          <w:i/>
          <w:iCs/>
          <w:lang w:val="fr-CA"/>
        </w:rPr>
        <w:t>Fraser</w:t>
      </w:r>
      <w:r w:rsidRPr="00832F07">
        <w:rPr>
          <w:rFonts w:cs="Times New Roman"/>
          <w:iCs/>
          <w:lang w:val="fr-CA"/>
        </w:rPr>
        <w:t>,</w:t>
      </w:r>
      <w:r w:rsidRPr="00832F07">
        <w:rPr>
          <w:rFonts w:cs="Times New Roman"/>
          <w:i/>
          <w:iCs/>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25). Toutefois, la façon dont cette proposition générale s’applique dans le contexte des relations de travail est très controversée. Dans la décision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rendue en 2007, la Cour a rompu avec sa jurisprudence antérieure et conclu que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englobait un droit à la négociation collective qui </w:t>
      </w:r>
      <w:r w:rsidR="00795B2B">
        <w:rPr>
          <w:rFonts w:cs="Times New Roman"/>
          <w:lang w:val="fr-CA"/>
        </w:rPr>
        <w:t>« </w:t>
      </w:r>
      <w:r w:rsidRPr="00832F07">
        <w:rPr>
          <w:rFonts w:cs="Times New Roman"/>
          <w:lang w:val="fr-CA"/>
        </w:rPr>
        <w:t>implique que l’employeur et les employés se rencontrent et négocient de bonne foi en vue de réaliser leur objectif commun d’accommodement par des moyens pacifiques et productifs</w:t>
      </w:r>
      <w:r w:rsidR="00795B2B">
        <w:rPr>
          <w:rFonts w:cs="Times New Roman"/>
          <w:lang w:val="fr-CA"/>
        </w:rPr>
        <w:t> »</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90). Une majorité des juges de la Cour a confirmé cette conclusion en 2011 dans l’arrêt </w:t>
      </w:r>
      <w:r w:rsidRPr="00832F07">
        <w:rPr>
          <w:rFonts w:cs="Times New Roman"/>
          <w:i/>
          <w:iCs/>
          <w:lang w:val="fr-CA"/>
        </w:rPr>
        <w:t>Fraser</w:t>
      </w:r>
      <w:r w:rsidRPr="00832F07">
        <w:rPr>
          <w:rFonts w:cs="Times New Roman"/>
          <w:lang w:val="fr-CA"/>
        </w:rPr>
        <w:t>.</w:t>
      </w:r>
    </w:p>
    <w:p w:rsidR="007B74A6" w:rsidRPr="00832F07" w:rsidRDefault="007B74A6" w:rsidP="00795B2B">
      <w:pPr>
        <w:pStyle w:val="ParaNoNdepar-AltN"/>
        <w:rPr>
          <w:rFonts w:cs="Times New Roman"/>
          <w:lang w:val="fr-CA"/>
        </w:rPr>
      </w:pPr>
      <w:r w:rsidRPr="00832F07">
        <w:rPr>
          <w:rFonts w:cs="Times New Roman"/>
          <w:lang w:val="fr-CA"/>
        </w:rPr>
        <w:lastRenderedPageBreak/>
        <w:t xml:space="preserve">Depuis les arrêts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et </w:t>
      </w:r>
      <w:r w:rsidRPr="00832F07">
        <w:rPr>
          <w:rFonts w:cs="Times New Roman"/>
          <w:i/>
          <w:iCs/>
          <w:lang w:val="fr-CA"/>
        </w:rPr>
        <w:t>Fraser</w:t>
      </w:r>
      <w:r w:rsidRPr="00832F07">
        <w:rPr>
          <w:rFonts w:cs="Times New Roman"/>
          <w:lang w:val="fr-CA"/>
        </w:rPr>
        <w:t>, les employés ont un droit reconnu par la Constitution de présenter des revendications collectives dont leur employeur doit tenir compte de bonne foi. Le test permettant de conclure à une violation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dans le contexte des relations de travail est </w:t>
      </w:r>
      <w:r w:rsidR="00795B2B">
        <w:rPr>
          <w:rFonts w:cs="Times New Roman"/>
          <w:lang w:val="fr-CA"/>
        </w:rPr>
        <w:t>« </w:t>
      </w:r>
      <w:r w:rsidRPr="00832F07">
        <w:rPr>
          <w:rFonts w:cs="Times New Roman"/>
          <w:lang w:val="fr-CA"/>
        </w:rPr>
        <w:t>[celui] de savoir si la loi ou la mesure gouvernementale contestée rend impossible l’action collective visant la réalisation d’objectifs liés au travail</w:t>
      </w:r>
      <w:r w:rsidR="00795B2B">
        <w:rPr>
          <w:rFonts w:cs="Times New Roman"/>
          <w:lang w:val="fr-CA"/>
        </w:rPr>
        <w:t> »</w:t>
      </w:r>
      <w:r>
        <w:rPr>
          <w:rFonts w:cs="Times New Roman"/>
          <w:lang w:val="fr-CA"/>
        </w:rPr>
        <w:t xml:space="preserve"> </w:t>
      </w:r>
      <w:r w:rsidRPr="00832F07">
        <w:rPr>
          <w:rFonts w:cs="Times New Roman"/>
          <w:lang w:val="fr-CA"/>
        </w:rPr>
        <w:t>(</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 xml:space="preserve">46). La négociation collective est protégée, mais uniquement </w:t>
      </w:r>
      <w:r w:rsidR="00795B2B">
        <w:rPr>
          <w:rFonts w:cs="Times New Roman"/>
          <w:lang w:val="fr-CA"/>
        </w:rPr>
        <w:t>« </w:t>
      </w:r>
      <w:r w:rsidRPr="00832F07">
        <w:rPr>
          <w:rFonts w:cs="Times New Roman"/>
          <w:lang w:val="fr-CA"/>
        </w:rPr>
        <w:t>dans le sens d’un droit minimal strict à des échanges de bonne foi</w:t>
      </w:r>
      <w:r w:rsidR="00795B2B">
        <w:rPr>
          <w:rFonts w:cs="Times New Roman"/>
          <w:lang w:val="fr-CA"/>
        </w:rPr>
        <w:t> »</w:t>
      </w:r>
      <w:r>
        <w:rPr>
          <w:rFonts w:cs="Times New Roman"/>
          <w:lang w:val="fr-CA"/>
        </w:rPr>
        <w:t xml:space="preserve"> </w:t>
      </w:r>
      <w:r w:rsidRPr="00832F07">
        <w:rPr>
          <w:rFonts w:cs="Times New Roman"/>
          <w:lang w:val="fr-CA"/>
        </w:rPr>
        <w:t>(</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90; voir aussi le par.</w:t>
      </w:r>
      <w:r w:rsidR="00795B2B">
        <w:rPr>
          <w:rFonts w:cs="Times New Roman"/>
          <w:lang w:val="fr-CA"/>
        </w:rPr>
        <w:t xml:space="preserve"> </w:t>
      </w:r>
      <w:r w:rsidRPr="00832F07">
        <w:rPr>
          <w:rFonts w:cs="Times New Roman"/>
          <w:lang w:val="fr-CA"/>
        </w:rPr>
        <w:t xml:space="preserve">42). </w:t>
      </w:r>
    </w:p>
    <w:p w:rsidR="007B74A6" w:rsidRPr="00832F07" w:rsidRDefault="007B74A6" w:rsidP="00795B2B">
      <w:pPr>
        <w:pStyle w:val="ParaNoNdepar-AltN"/>
        <w:rPr>
          <w:rFonts w:cs="Times New Roman"/>
          <w:lang w:val="fr-CA"/>
        </w:rPr>
      </w:pPr>
      <w:r w:rsidRPr="00832F07">
        <w:rPr>
          <w:rFonts w:cs="Times New Roman"/>
          <w:lang w:val="fr-CA"/>
        </w:rPr>
        <w:t xml:space="preserve">Or, moins de quatre ans après le prononcé de l’arrêt </w:t>
      </w:r>
      <w:r w:rsidRPr="00832F07">
        <w:rPr>
          <w:rFonts w:cs="Times New Roman"/>
          <w:i/>
          <w:iCs/>
          <w:lang w:val="fr-CA"/>
        </w:rPr>
        <w:t>Fraser</w:t>
      </w:r>
      <w:r w:rsidRPr="00832F07">
        <w:rPr>
          <w:rFonts w:cs="Times New Roman"/>
          <w:lang w:val="fr-CA"/>
        </w:rPr>
        <w:t xml:space="preserve">, les juges majoritaires élargissent en l’espèce la portée de la liberté d’association en exigeant beaucoup plus que des négociations de bonne foi. </w:t>
      </w:r>
      <w:r w:rsidRPr="00832F07">
        <w:rPr>
          <w:rFonts w:cs="Times New Roman"/>
          <w:bCs/>
          <w:lang w:val="fr-CA"/>
        </w:rPr>
        <w:t>Ils estiment que la seule façon d’assurer une véritable négociation collective est de prévoir un processus qui</w:t>
      </w:r>
      <w:r w:rsidRPr="00832F07">
        <w:rPr>
          <w:rFonts w:cs="Times New Roman"/>
          <w:b/>
          <w:bCs/>
          <w:lang w:val="fr-CA"/>
        </w:rPr>
        <w:t xml:space="preserve"> </w:t>
      </w:r>
      <w:r w:rsidR="00795B2B">
        <w:rPr>
          <w:rFonts w:cs="Times New Roman"/>
          <w:lang w:val="fr-CA"/>
        </w:rPr>
        <w:t>« </w:t>
      </w:r>
      <w:r w:rsidRPr="00832F07">
        <w:rPr>
          <w:rFonts w:cs="Times New Roman"/>
          <w:lang w:val="fr-CA"/>
        </w:rPr>
        <w:t>offre aux employés une liberté de choix et une indépendance suffisantes pour leur permettre de décider de leurs intérêts collectifs et de les défendre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5). Les juges majoritaires abandonnent également le critère de l’impossibilité effective de mener une véritable négociation collective. Ils concluent plutôt qu’il y a violation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lorsqu’on est en présence d’</w:t>
      </w:r>
      <w:r w:rsidR="00795B2B">
        <w:rPr>
          <w:rFonts w:cs="Times New Roman"/>
          <w:lang w:val="fr-CA"/>
        </w:rPr>
        <w:t>« </w:t>
      </w:r>
      <w:r w:rsidR="00E4309F">
        <w:rPr>
          <w:rFonts w:cs="Times New Roman"/>
          <w:lang w:val="fr-CA"/>
        </w:rPr>
        <w:t>[</w:t>
      </w:r>
      <w:r w:rsidRPr="00832F07">
        <w:rPr>
          <w:rFonts w:cs="Times New Roman"/>
          <w:lang w:val="fr-CA"/>
        </w:rPr>
        <w:t>un</w:t>
      </w:r>
      <w:r w:rsidR="00E4309F">
        <w:rPr>
          <w:rFonts w:cs="Times New Roman"/>
          <w:lang w:val="fr-CA"/>
        </w:rPr>
        <w:t>]</w:t>
      </w:r>
      <w:r w:rsidRPr="00832F07">
        <w:rPr>
          <w:rFonts w:cs="Times New Roman"/>
          <w:lang w:val="fr-CA"/>
        </w:rPr>
        <w:t xml:space="preserve"> mécanisme qui </w:t>
      </w:r>
      <w:r w:rsidRPr="00832F07">
        <w:rPr>
          <w:rFonts w:cs="Times New Roman"/>
          <w:u w:val="single"/>
          <w:lang w:val="fr-CA"/>
        </w:rPr>
        <w:t>porte substantiellement atteinte</w:t>
      </w:r>
      <w:r w:rsidRPr="00832F07">
        <w:rPr>
          <w:rFonts w:cs="Times New Roman"/>
          <w:lang w:val="fr-CA"/>
        </w:rPr>
        <w:t xml:space="preserve"> à un processus véritable de négociation collective en réduisant le pouvoir de négociation des employés</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71 (je souligne)).</w:t>
      </w:r>
    </w:p>
    <w:p w:rsidR="007B74A6" w:rsidRPr="00832F07" w:rsidRDefault="007B74A6" w:rsidP="00795B2B">
      <w:pPr>
        <w:pStyle w:val="ParaNoNdepar-AltN"/>
        <w:rPr>
          <w:rFonts w:cs="Times New Roman"/>
          <w:lang w:val="fr-CA"/>
        </w:rPr>
      </w:pPr>
      <w:r w:rsidRPr="00832F07">
        <w:rPr>
          <w:rFonts w:cs="Times New Roman"/>
          <w:lang w:val="fr-CA"/>
        </w:rPr>
        <w:t>En faisant ainsi le choix d’une norme moins exigeante pour conclure à une violation du droit protégé par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les juges majoritaires confèrent à l’expression </w:t>
      </w:r>
      <w:r w:rsidR="00795B2B">
        <w:rPr>
          <w:rFonts w:cs="Times New Roman"/>
          <w:lang w:val="fr-CA"/>
        </w:rPr>
        <w:t>« </w:t>
      </w:r>
      <w:r w:rsidRPr="00832F07">
        <w:rPr>
          <w:rFonts w:cs="Times New Roman"/>
          <w:lang w:val="fr-CA"/>
        </w:rPr>
        <w:t>liberté d’association</w:t>
      </w:r>
      <w:r w:rsidR="00795B2B">
        <w:rPr>
          <w:rFonts w:cs="Times New Roman"/>
          <w:lang w:val="fr-CA"/>
        </w:rPr>
        <w:t> »</w:t>
      </w:r>
      <w:r w:rsidRPr="00832F07">
        <w:rPr>
          <w:rFonts w:cs="Times New Roman"/>
          <w:lang w:val="fr-CA"/>
        </w:rPr>
        <w:t xml:space="preserve"> un sens qui dépasse de beaucoup celui qu’on reconnaît normalement à ces mots et qui déborde largement le cadre du concept </w:t>
      </w:r>
      <w:r w:rsidRPr="00832F07">
        <w:rPr>
          <w:rFonts w:cs="Times New Roman"/>
          <w:lang w:val="fr-CA"/>
        </w:rPr>
        <w:lastRenderedPageBreak/>
        <w:t>d’</w:t>
      </w:r>
      <w:r w:rsidR="00795B2B">
        <w:rPr>
          <w:rFonts w:cs="Times New Roman"/>
          <w:lang w:val="fr-CA"/>
        </w:rPr>
        <w:t>« </w:t>
      </w:r>
      <w:r w:rsidRPr="00832F07">
        <w:rPr>
          <w:rFonts w:cs="Times New Roman"/>
          <w:lang w:val="fr-CA"/>
        </w:rPr>
        <w:t>association</w:t>
      </w:r>
      <w:r w:rsidR="00795B2B">
        <w:rPr>
          <w:rFonts w:cs="Times New Roman"/>
          <w:lang w:val="fr-CA"/>
        </w:rPr>
        <w:t> »</w:t>
      </w:r>
      <w:r w:rsidRPr="00832F07">
        <w:rPr>
          <w:rFonts w:cs="Times New Roman"/>
          <w:lang w:val="fr-CA"/>
        </w:rPr>
        <w:t xml:space="preserve"> reconnu par la jurisprudence. Les arrêts </w:t>
      </w:r>
      <w:proofErr w:type="spellStart"/>
      <w:r w:rsidRPr="00832F07">
        <w:rPr>
          <w:rFonts w:cs="Times New Roman"/>
          <w:i/>
          <w:iCs/>
          <w:lang w:val="fr-CA"/>
        </w:rPr>
        <w:t>Health</w:t>
      </w:r>
      <w:proofErr w:type="spellEnd"/>
      <w:r w:rsidRPr="00832F07">
        <w:rPr>
          <w:rFonts w:cs="Times New Roman"/>
          <w:i/>
          <w:iCs/>
          <w:lang w:val="fr-CA"/>
        </w:rPr>
        <w:t xml:space="preserve"> Services </w:t>
      </w:r>
      <w:r w:rsidRPr="00832F07">
        <w:rPr>
          <w:rFonts w:cs="Times New Roman"/>
          <w:iCs/>
          <w:lang w:val="fr-CA"/>
        </w:rPr>
        <w:t xml:space="preserve">et </w:t>
      </w:r>
      <w:r w:rsidRPr="00832F07">
        <w:rPr>
          <w:rFonts w:cs="Times New Roman"/>
          <w:i/>
          <w:iCs/>
          <w:lang w:val="fr-CA"/>
        </w:rPr>
        <w:t>Fraser</w:t>
      </w:r>
      <w:r w:rsidRPr="00832F07">
        <w:rPr>
          <w:rFonts w:cs="Times New Roman"/>
          <w:lang w:val="fr-CA"/>
        </w:rPr>
        <w:t xml:space="preserve"> prévoient que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protège le droit de s’associer en vue de présenter des revendications collectives à l’employeur et de les voir prises en considération de bonne foi par ce dernier. La caractéristique essentielle d’un régime de relations de travail qui permet aux employés d’exercer leur droit constitutionnel de formuler véritablement des revendications collectives quant à leurs objectifs relatifs au travail est la représentativité</w:t>
      </w:r>
      <w:r w:rsidR="00795B2B">
        <w:rPr>
          <w:rFonts w:cs="Times New Roman"/>
          <w:lang w:val="fr-CA"/>
        </w:rPr>
        <w:t> :</w:t>
      </w:r>
      <w:r w:rsidRPr="00832F07">
        <w:rPr>
          <w:rFonts w:cs="Times New Roman"/>
          <w:lang w:val="fr-CA"/>
        </w:rPr>
        <w:t xml:space="preserve"> le porte</w:t>
      </w:r>
      <w:r w:rsidR="00795B2B">
        <w:rPr>
          <w:rFonts w:cs="Times New Roman"/>
          <w:lang w:val="fr-CA"/>
        </w:rPr>
        <w:t>-</w:t>
      </w:r>
      <w:r w:rsidRPr="00832F07">
        <w:rPr>
          <w:rFonts w:cs="Times New Roman"/>
          <w:lang w:val="fr-CA"/>
        </w:rPr>
        <w:t>parole des employés doit défendre leurs intérêts et, ultimement, leur rendre des comptes. La représentativité est l’impératif constitutionnel auquel il faut satisfaire, sans plus, pour s’assurer que les droits prévus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sont protégés dans le contexte de la négociation collective. Ce n’est que si elle porte atteinte au droit des employés de faire défendre leurs droits honnêtement et équitablement qu’une loi sera considérée comme suspecte sur le plan constitutionnel, ce qui n’est pas le cas en l’espèce. </w:t>
      </w:r>
    </w:p>
    <w:p w:rsidR="007B74A6" w:rsidRPr="00832F07" w:rsidRDefault="007B74A6" w:rsidP="00795B2B">
      <w:pPr>
        <w:pStyle w:val="ParaNoNdepar-AltN"/>
        <w:rPr>
          <w:rFonts w:cs="Times New Roman"/>
          <w:lang w:val="fr-CA"/>
        </w:rPr>
      </w:pPr>
      <w:r w:rsidRPr="00832F07">
        <w:rPr>
          <w:rFonts w:cs="Times New Roman"/>
          <w:lang w:val="fr-CA"/>
        </w:rPr>
        <w:t>À première vue, le type de droit visé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n’impose pas d’obligations à autrui. Or, la liberté d’association est désormais interprétée comme imposant des obligations à des tiers</w:t>
      </w:r>
      <w:r w:rsidR="00795B2B">
        <w:rPr>
          <w:rFonts w:cs="Times New Roman"/>
          <w:lang w:val="fr-CA"/>
        </w:rPr>
        <w:t> :</w:t>
      </w:r>
      <w:r w:rsidRPr="00832F07">
        <w:rPr>
          <w:rFonts w:cs="Times New Roman"/>
          <w:lang w:val="fr-CA"/>
        </w:rPr>
        <w:t xml:space="preserve"> en effet, dans les arrêts </w:t>
      </w:r>
      <w:proofErr w:type="spellStart"/>
      <w:r w:rsidRPr="00832F07">
        <w:rPr>
          <w:rFonts w:cs="Times New Roman"/>
          <w:i/>
          <w:iCs/>
          <w:lang w:val="fr-CA"/>
        </w:rPr>
        <w:t>Health</w:t>
      </w:r>
      <w:proofErr w:type="spellEnd"/>
      <w:r w:rsidRPr="00832F07">
        <w:rPr>
          <w:rFonts w:cs="Times New Roman"/>
          <w:i/>
          <w:iCs/>
          <w:lang w:val="fr-CA"/>
        </w:rPr>
        <w:t xml:space="preserve"> Services </w:t>
      </w:r>
      <w:r w:rsidRPr="00832F07">
        <w:rPr>
          <w:rFonts w:cs="Times New Roman"/>
          <w:lang w:val="fr-CA"/>
        </w:rPr>
        <w:t xml:space="preserve">et </w:t>
      </w:r>
      <w:r w:rsidRPr="00832F07">
        <w:rPr>
          <w:rFonts w:cs="Times New Roman"/>
          <w:i/>
          <w:iCs/>
          <w:lang w:val="fr-CA"/>
        </w:rPr>
        <w:t>Fraser</w:t>
      </w:r>
      <w:r w:rsidRPr="00832F07">
        <w:rPr>
          <w:rFonts w:cs="Times New Roman"/>
          <w:iCs/>
          <w:lang w:val="fr-CA"/>
        </w:rPr>
        <w:t xml:space="preserve">, la Cour a jugé que les </w:t>
      </w:r>
      <w:r w:rsidRPr="00832F07">
        <w:rPr>
          <w:rFonts w:cs="Times New Roman"/>
          <w:lang w:val="fr-CA"/>
        </w:rPr>
        <w:t xml:space="preserve">employeurs sont tenus de mener des négociations collectives de bonne foi. Les tribunaux doivent néanmoins être particulièrement prudents lorsqu’ils envisagent d’élargir la portée d’un droit constitutionnel qui imposerait une obligation constitutionnelle à un tiers. L’élargissement de la portée de tels droits, si elle est avantageuse pour certains, se fait aux dépens de la liberté d’autres personnes. Il s’agit d’un compromis exigeant une réflexion sérieuse, surtout qu’une telle décision retire au législateur certains pouvoirs grâce auxquels il peut </w:t>
      </w:r>
      <w:r w:rsidRPr="00832F07">
        <w:rPr>
          <w:rFonts w:cs="Times New Roman"/>
          <w:lang w:val="fr-CA"/>
        </w:rPr>
        <w:lastRenderedPageBreak/>
        <w:t xml:space="preserve">rétablir l’équilibre entre les parties dans le cadre du processus habituel d’élaboration des lois. </w:t>
      </w:r>
    </w:p>
    <w:p w:rsidR="007B74A6" w:rsidRPr="00832F07" w:rsidRDefault="007B74A6" w:rsidP="00795B2B">
      <w:pPr>
        <w:pStyle w:val="ParaNoNdepar-AltN"/>
        <w:rPr>
          <w:rFonts w:cs="Times New Roman"/>
          <w:lang w:val="fr-CA"/>
        </w:rPr>
      </w:pPr>
      <w:r w:rsidRPr="00832F07">
        <w:rPr>
          <w:rFonts w:cs="Times New Roman"/>
          <w:lang w:val="fr-CA"/>
        </w:rPr>
        <w:t xml:space="preserve">L’interprétation d’un droit protégé par la </w:t>
      </w:r>
      <w:r w:rsidRPr="00832F07">
        <w:rPr>
          <w:rFonts w:cs="Times New Roman"/>
          <w:i/>
          <w:iCs/>
          <w:lang w:val="fr-CA"/>
        </w:rPr>
        <w:t>Charte</w:t>
      </w:r>
      <w:r w:rsidRPr="00832F07">
        <w:rPr>
          <w:rFonts w:cs="Times New Roman"/>
          <w:lang w:val="fr-CA"/>
        </w:rPr>
        <w:t xml:space="preserve"> doit reposer sur des principes et ne doit pas être dissociée du texte de la disposition au point de s’écarter du fondement du droit. En reconnaissant, dans </w:t>
      </w:r>
      <w:proofErr w:type="spellStart"/>
      <w:r w:rsidRPr="00832F07">
        <w:rPr>
          <w:rFonts w:cs="Times New Roman"/>
          <w:i/>
          <w:lang w:val="fr-CA"/>
        </w:rPr>
        <w:t>Health</w:t>
      </w:r>
      <w:proofErr w:type="spellEnd"/>
      <w:r w:rsidRPr="00832F07">
        <w:rPr>
          <w:rFonts w:cs="Times New Roman"/>
          <w:i/>
          <w:lang w:val="fr-CA"/>
        </w:rPr>
        <w:t xml:space="preserve"> Services</w:t>
      </w:r>
      <w:r w:rsidRPr="00832F07">
        <w:rPr>
          <w:rFonts w:cs="Times New Roman"/>
          <w:lang w:val="fr-CA"/>
        </w:rPr>
        <w:t xml:space="preserve"> et dans </w:t>
      </w:r>
      <w:r w:rsidRPr="00832F07">
        <w:rPr>
          <w:rFonts w:cs="Times New Roman"/>
          <w:i/>
          <w:lang w:val="fr-CA"/>
        </w:rPr>
        <w:t>Fraser</w:t>
      </w:r>
      <w:r w:rsidRPr="00832F07">
        <w:rPr>
          <w:rFonts w:cs="Times New Roman"/>
          <w:lang w:val="fr-CA"/>
        </w:rPr>
        <w:t>, l’existence d’un droit dérivé à la négociation collective fondé sur l’objectif visé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la Cour a élargi la portée des droits constitutionnels au</w:t>
      </w:r>
      <w:r w:rsidR="00795B2B">
        <w:rPr>
          <w:rFonts w:cs="Times New Roman"/>
          <w:lang w:val="fr-CA"/>
        </w:rPr>
        <w:t>-</w:t>
      </w:r>
      <w:r w:rsidRPr="00832F07">
        <w:rPr>
          <w:rFonts w:cs="Times New Roman"/>
          <w:lang w:val="fr-CA"/>
        </w:rPr>
        <w:t>delà de ce qui avait déjà été reconnu. Rajouter maintenant à cette fondation fragile un élément aussi ténu — un droit dérivé d’un droit dérivé — ne fait que contribuer à créer une structure bancale et indéfendable.</w:t>
      </w:r>
    </w:p>
    <w:p w:rsidR="007B74A6" w:rsidRPr="00832F07" w:rsidRDefault="007B74A6" w:rsidP="00795B2B">
      <w:pPr>
        <w:pStyle w:val="ParaNoNdepar-AltN"/>
        <w:rPr>
          <w:rFonts w:cs="Times New Roman"/>
          <w:lang w:val="fr-CA"/>
        </w:rPr>
      </w:pPr>
      <w:r w:rsidRPr="00832F07">
        <w:rPr>
          <w:rFonts w:cs="Times New Roman"/>
          <w:lang w:val="fr-CA"/>
        </w:rPr>
        <w:t>Les termes choisis par les juges majoritaires dans la présente affaire confèrent des droits plus étendus aux employés et restreignent encore davantage la marge de manœuvre du gouvernement que ce que le sens ordinaire ou une interprétation généreuse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pourraient logiquement justifier et ils confèrent des droits qui vont plus loin que ceux qui ont été reconnus dans le cas des al.</w:t>
      </w:r>
      <w:r w:rsidR="00795B2B">
        <w:rPr>
          <w:rFonts w:cs="Times New Roman"/>
          <w:lang w:val="fr-CA"/>
        </w:rPr>
        <w:t xml:space="preserve"> </w:t>
      </w:r>
      <w:r w:rsidRPr="00832F07">
        <w:rPr>
          <w:rFonts w:cs="Times New Roman"/>
          <w:lang w:val="fr-CA"/>
        </w:rPr>
        <w:t>2</w:t>
      </w:r>
      <w:r w:rsidRPr="00832F07">
        <w:rPr>
          <w:rFonts w:cs="Times New Roman"/>
          <w:i/>
          <w:iCs/>
          <w:lang w:val="fr-CA"/>
        </w:rPr>
        <w:t>a</w:t>
      </w:r>
      <w:r w:rsidRPr="00832F07">
        <w:rPr>
          <w:rFonts w:cs="Times New Roman"/>
          <w:lang w:val="fr-CA"/>
        </w:rPr>
        <w:t xml:space="preserve">), </w:t>
      </w:r>
      <w:r w:rsidRPr="00832F07">
        <w:rPr>
          <w:rFonts w:cs="Times New Roman"/>
          <w:i/>
          <w:iCs/>
          <w:lang w:val="fr-CA"/>
        </w:rPr>
        <w:t>b</w:t>
      </w:r>
      <w:r w:rsidRPr="00832F07">
        <w:rPr>
          <w:rFonts w:cs="Times New Roman"/>
          <w:lang w:val="fr-CA"/>
        </w:rPr>
        <w:t xml:space="preserve">) et </w:t>
      </w:r>
      <w:r w:rsidRPr="00832F07">
        <w:rPr>
          <w:rFonts w:cs="Times New Roman"/>
          <w:i/>
          <w:iCs/>
          <w:lang w:val="fr-CA"/>
        </w:rPr>
        <w:t>c</w:t>
      </w:r>
      <w:r w:rsidRPr="00832F07">
        <w:rPr>
          <w:rFonts w:cs="Times New Roman"/>
          <w:lang w:val="fr-CA"/>
        </w:rPr>
        <w:t xml:space="preserve">) de la </w:t>
      </w:r>
      <w:r w:rsidRPr="00832F07">
        <w:rPr>
          <w:rFonts w:cs="Times New Roman"/>
          <w:i/>
          <w:iCs/>
          <w:lang w:val="fr-CA"/>
        </w:rPr>
        <w:t>Charte</w:t>
      </w:r>
      <w:r w:rsidRPr="00832F07">
        <w:rPr>
          <w:rFonts w:cs="Times New Roman"/>
          <w:lang w:val="fr-CA"/>
        </w:rPr>
        <w:t>. Rien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n’autorise de s’écarter ainsi de ces autres interprétations. </w:t>
      </w:r>
    </w:p>
    <w:p w:rsidR="007B74A6" w:rsidRPr="00832F07" w:rsidRDefault="007B74A6" w:rsidP="00795B2B">
      <w:pPr>
        <w:pStyle w:val="Title2LevelTitre2Niveau"/>
        <w:numPr>
          <w:ilvl w:val="1"/>
          <w:numId w:val="36"/>
        </w:numPr>
        <w:spacing w:before="0"/>
        <w:jc w:val="both"/>
        <w:rPr>
          <w:rFonts w:cs="Times New Roman"/>
          <w:lang w:val="fr-CA"/>
        </w:rPr>
      </w:pPr>
      <w:r w:rsidRPr="00832F07">
        <w:rPr>
          <w:rFonts w:cs="Times New Roman"/>
          <w:lang w:val="fr-CA"/>
        </w:rPr>
        <w:t>Un processus véritable de négociation collective</w:t>
      </w:r>
    </w:p>
    <w:p w:rsidR="007B74A6" w:rsidRPr="00832F07" w:rsidRDefault="007B74A6" w:rsidP="00795B2B">
      <w:pPr>
        <w:pStyle w:val="ParaNoNdepar-AltN"/>
        <w:rPr>
          <w:rFonts w:cs="Times New Roman"/>
          <w:lang w:val="fr-CA"/>
        </w:rPr>
      </w:pPr>
      <w:r w:rsidRPr="00832F07">
        <w:rPr>
          <w:rFonts w:cs="Times New Roman"/>
          <w:lang w:val="fr-CA"/>
        </w:rPr>
        <w:t>Ce que les juges majoritaires proposent comme processus véritable de négociation collective répondant aux conditions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exige maintenant davantage que le fait que </w:t>
      </w:r>
      <w:r w:rsidR="00795B2B">
        <w:rPr>
          <w:rFonts w:cs="Times New Roman"/>
          <w:lang w:val="fr-CA"/>
        </w:rPr>
        <w:t>« </w:t>
      </w:r>
      <w:r w:rsidRPr="00832F07">
        <w:rPr>
          <w:rFonts w:cs="Times New Roman"/>
          <w:lang w:val="fr-CA"/>
        </w:rPr>
        <w:t>les parties se rencontrent et qu’elles engagent un véritable dialogue</w:t>
      </w:r>
      <w:r w:rsidR="00795B2B">
        <w:rPr>
          <w:rFonts w:cs="Times New Roman"/>
          <w:lang w:val="fr-CA"/>
        </w:rPr>
        <w:t> »</w:t>
      </w:r>
      <w:r>
        <w:rPr>
          <w:rFonts w:cs="Times New Roman"/>
          <w:lang w:val="fr-CA"/>
        </w:rPr>
        <w:t xml:space="preserve"> </w:t>
      </w:r>
      <w:r w:rsidRPr="00832F07">
        <w:rPr>
          <w:rFonts w:cs="Times New Roman"/>
          <w:lang w:val="fr-CA"/>
        </w:rPr>
        <w:t>(</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 xml:space="preserve">41; voir aussi </w:t>
      </w:r>
      <w:proofErr w:type="spellStart"/>
      <w:r w:rsidRPr="00832F07">
        <w:rPr>
          <w:rFonts w:cs="Times New Roman"/>
          <w:i/>
          <w:lang w:val="fr-CA"/>
        </w:rPr>
        <w:t>Health</w:t>
      </w:r>
      <w:proofErr w:type="spellEnd"/>
      <w:r w:rsidRPr="00832F07">
        <w:rPr>
          <w:rFonts w:cs="Times New Roman"/>
          <w:i/>
          <w:lang w:val="fr-CA"/>
        </w:rPr>
        <w:t xml:space="preserve"> Services</w:t>
      </w:r>
      <w:r w:rsidRPr="00832F07">
        <w:rPr>
          <w:rFonts w:cs="Times New Roman"/>
          <w:lang w:val="fr-CA"/>
        </w:rPr>
        <w:t>, par.</w:t>
      </w:r>
      <w:r w:rsidR="00795B2B">
        <w:rPr>
          <w:rFonts w:cs="Times New Roman"/>
          <w:lang w:val="fr-CA"/>
        </w:rPr>
        <w:t xml:space="preserve"> </w:t>
      </w:r>
      <w:r w:rsidRPr="00832F07">
        <w:rPr>
          <w:rFonts w:cs="Times New Roman"/>
          <w:lang w:val="fr-CA"/>
        </w:rPr>
        <w:t xml:space="preserve">101). En </w:t>
      </w:r>
      <w:r w:rsidRPr="00832F07">
        <w:rPr>
          <w:rFonts w:cs="Times New Roman"/>
          <w:lang w:val="fr-CA"/>
        </w:rPr>
        <w:lastRenderedPageBreak/>
        <w:t xml:space="preserve">effet, ils affirment désormais que, pour assurer un processus véritable de négociation collective, la seule façon de faire consiste à adopter un processus qui offre aux employés </w:t>
      </w:r>
      <w:r w:rsidR="00795B2B">
        <w:rPr>
          <w:rFonts w:cs="Times New Roman"/>
          <w:lang w:val="fr-CA"/>
        </w:rPr>
        <w:t>« </w:t>
      </w:r>
      <w:r w:rsidRPr="00832F07">
        <w:rPr>
          <w:rFonts w:cs="Times New Roman"/>
          <w:lang w:val="fr-CA"/>
        </w:rPr>
        <w:t>une liberté de choix et une indépendance suffisantes pour leur permettre de décider de leurs intérêts collectifs et de les défendre</w:t>
      </w:r>
      <w:r w:rsidR="00795B2B">
        <w:rPr>
          <w:rFonts w:cs="Times New Roman"/>
          <w:lang w:val="fr-CA"/>
        </w:rPr>
        <w:t> »</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Je ne conteste pas que des personnes peuvent généralement former des associations de leur choix ou y adhérer et faire en sorte que ces organisations soient indépendantes d’autres entités. Toutefois, les arrêts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et </w:t>
      </w:r>
      <w:r w:rsidRPr="00832F07">
        <w:rPr>
          <w:rFonts w:cs="Times New Roman"/>
          <w:i/>
          <w:iCs/>
          <w:lang w:val="fr-CA"/>
        </w:rPr>
        <w:t>Fraser</w:t>
      </w:r>
      <w:r w:rsidRPr="00832F07">
        <w:rPr>
          <w:rFonts w:cs="Times New Roman"/>
          <w:lang w:val="fr-CA"/>
        </w:rPr>
        <w:t xml:space="preserve"> interprétaient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dans un contexte particulier, soit celui d’une association en vue d’entamer de véritables négociations collectives. Ni le choix de l’organisation qui représente les employés aux fins de la négociation collective ni son indépendance face à la direction ne sont des éléments nécessaires pour assurer la tenue d’une véritable négociation collective. </w:t>
      </w:r>
    </w:p>
    <w:p w:rsidR="007B74A6" w:rsidRPr="00832F07" w:rsidRDefault="007B74A6" w:rsidP="00795B2B">
      <w:pPr>
        <w:pStyle w:val="ParaNoNdepar-AltN"/>
        <w:rPr>
          <w:rFonts w:cs="Times New Roman"/>
          <w:lang w:val="fr-CA"/>
        </w:rPr>
      </w:pPr>
      <w:r w:rsidRPr="00832F07">
        <w:rPr>
          <w:rFonts w:cs="Times New Roman"/>
          <w:lang w:val="fr-CA"/>
        </w:rPr>
        <w:t>La liberté de choix et l’indépendance sont des aspects cruciaux des relations de travail structurées selon le modèle Wagner. Comme je l’expliquerai plus loin, en considérant que la liberté de choix et l’indépendance constituent des impératifs constitutionnels à la tenue de véritables négociations collectives, les juges majoritaires imposent un modèle de relation</w:t>
      </w:r>
      <w:r w:rsidR="00E4309F">
        <w:rPr>
          <w:rFonts w:cs="Times New Roman"/>
          <w:lang w:val="fr-CA"/>
        </w:rPr>
        <w:t>s</w:t>
      </w:r>
      <w:r w:rsidRPr="00832F07">
        <w:rPr>
          <w:rFonts w:cs="Times New Roman"/>
          <w:lang w:val="fr-CA"/>
        </w:rPr>
        <w:t xml:space="preserve"> de travail contradictoire et ils écartent d’autres modèles qui peuvent être aussi efficaces sinon plus pour contribuer à la tenue de telles négociations. </w:t>
      </w:r>
    </w:p>
    <w:p w:rsidR="007B74A6" w:rsidRPr="00832F07" w:rsidRDefault="007B74A6" w:rsidP="00795B2B">
      <w:pPr>
        <w:pStyle w:val="Title3LevelTitre3Niveau"/>
        <w:numPr>
          <w:ilvl w:val="2"/>
          <w:numId w:val="36"/>
        </w:numPr>
        <w:spacing w:before="0"/>
        <w:ind w:left="1094" w:hanging="547"/>
        <w:jc w:val="both"/>
        <w:rPr>
          <w:rFonts w:cs="Times New Roman"/>
          <w:lang w:val="fr-CA"/>
        </w:rPr>
      </w:pPr>
      <w:r w:rsidRPr="00832F07">
        <w:rPr>
          <w:rFonts w:cs="Times New Roman"/>
          <w:lang w:val="fr-CA"/>
        </w:rPr>
        <w:t>La liberté de choix</w:t>
      </w:r>
    </w:p>
    <w:p w:rsidR="007B74A6" w:rsidRPr="00832F07" w:rsidRDefault="007B74A6" w:rsidP="00795B2B">
      <w:pPr>
        <w:pStyle w:val="ParaNoNdepar-AltN"/>
        <w:rPr>
          <w:rFonts w:cs="Times New Roman"/>
          <w:lang w:val="fr-CA"/>
        </w:rPr>
      </w:pPr>
      <w:r w:rsidRPr="00832F07">
        <w:rPr>
          <w:rFonts w:cs="Times New Roman"/>
          <w:lang w:val="fr-CA"/>
        </w:rPr>
        <w:t xml:space="preserve">Chacun a le droit, conféré par la Constitution, de former l’association licite de son choix ou d’y adhérer, et rien au dossier qui nous a été soumis ne permet </w:t>
      </w:r>
      <w:r w:rsidRPr="00832F07">
        <w:rPr>
          <w:rFonts w:cs="Times New Roman"/>
          <w:lang w:val="fr-CA"/>
        </w:rPr>
        <w:lastRenderedPageBreak/>
        <w:t>de penser que ce droit a été violé. Les membres de la GRC sont libres de se joindre aux appelantes ou à d’autres associations d’employés pour favoriser leur épanouissement, leur autonomie et</w:t>
      </w:r>
      <w:r w:rsidR="00993182">
        <w:rPr>
          <w:rFonts w:cs="Times New Roman"/>
          <w:lang w:val="fr-CA"/>
        </w:rPr>
        <w:t xml:space="preserve"> leur accomplissement personnel</w:t>
      </w:r>
      <w:r w:rsidRPr="00832F07">
        <w:rPr>
          <w:rFonts w:cs="Times New Roman"/>
          <w:lang w:val="fr-CA"/>
        </w:rPr>
        <w:t>. Par l’entremise de ces organisations, ils peuvent faire du lobbying et participer à des activités éducatives ou sociales ou à d’autres activités connexes. Ces associations peuvent également chercher à promouvoir les intérêts professionnels des membres de la GRC en communiquant avec les RRF au nom de leurs membres.</w:t>
      </w:r>
    </w:p>
    <w:p w:rsidR="007B74A6" w:rsidRPr="00832F07" w:rsidRDefault="007B74A6" w:rsidP="00795B2B">
      <w:pPr>
        <w:pStyle w:val="ParaNoNdepar-AltN"/>
        <w:rPr>
          <w:rFonts w:cs="Times New Roman"/>
          <w:lang w:val="fr-CA"/>
        </w:rPr>
      </w:pPr>
      <w:r w:rsidRPr="00832F07">
        <w:rPr>
          <w:rFonts w:cs="Times New Roman"/>
          <w:lang w:val="fr-CA"/>
        </w:rPr>
        <w:t>Toutefois, les appelantes et les juges majoritaires dans le présent pourvoi proposent d’étendre la portée de la liberté d’association, au</w:t>
      </w:r>
      <w:r w:rsidR="00795B2B">
        <w:rPr>
          <w:rFonts w:cs="Times New Roman"/>
          <w:lang w:val="fr-CA"/>
        </w:rPr>
        <w:t>-</w:t>
      </w:r>
      <w:r w:rsidRPr="00832F07">
        <w:rPr>
          <w:rFonts w:cs="Times New Roman"/>
          <w:lang w:val="fr-CA"/>
        </w:rPr>
        <w:t>delà du droit des employés de former une association de leur choix et d’y adhérer, de manière à ce qu’elle englobe le droit de choisir l’association qui représentera leurs intérêts lors des négociations collectives et avec laquelle l’employeur devra négocier. Cependant, s’ils reconnaissent que le modèle Wagner adopté dans des milieux de travail partout au Canada limite la liberté de choix, les juges majoritaires ne suggèrent pas que la liberté d’association protège le droit d’</w:t>
      </w:r>
      <w:r w:rsidRPr="00832F07">
        <w:rPr>
          <w:rFonts w:cs="Times New Roman"/>
          <w:i/>
          <w:lang w:val="fr-CA"/>
        </w:rPr>
        <w:t>un individu</w:t>
      </w:r>
      <w:r w:rsidRPr="00832F07">
        <w:rPr>
          <w:rFonts w:cs="Times New Roman"/>
          <w:lang w:val="fr-CA"/>
        </w:rPr>
        <w:t xml:space="preserve"> de choisir l’association à laquelle il souhaite appartenir. Ils limitent plutôt le droit constitutionnel en matière de négociation collective à la capacité reconnue aux employés, en bloc, </w:t>
      </w:r>
      <w:r w:rsidR="00795B2B">
        <w:rPr>
          <w:rFonts w:cs="Times New Roman"/>
          <w:lang w:val="fr-CA"/>
        </w:rPr>
        <w:t>« </w:t>
      </w:r>
      <w:r w:rsidRPr="00832F07">
        <w:rPr>
          <w:rFonts w:cs="Times New Roman"/>
          <w:lang w:val="fr-CA"/>
        </w:rPr>
        <w:t>de former des associations et de négocier par l’entremise d’une association qu’ils ont choisie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110).</w:t>
      </w:r>
    </w:p>
    <w:p w:rsidR="007B74A6" w:rsidRPr="00832F07" w:rsidRDefault="007B74A6" w:rsidP="00795B2B">
      <w:pPr>
        <w:pStyle w:val="ParaNoNdepar-AltN"/>
        <w:rPr>
          <w:rFonts w:cs="Times New Roman"/>
          <w:lang w:val="fr-CA"/>
        </w:rPr>
      </w:pPr>
      <w:r w:rsidRPr="00832F07">
        <w:rPr>
          <w:rFonts w:cs="Times New Roman"/>
          <w:lang w:val="fr-CA"/>
        </w:rPr>
        <w:t xml:space="preserve">Les juges majoritaires reconnaissent aussi que même le droit du groupe de négocier par l’entremise d’une association de son choix ne sera pas toujours protégé. Ainsi, selon eux, le modèle faisant appel à un agent négociateur désigné comme celui que prévoit la </w:t>
      </w:r>
      <w:r w:rsidRPr="00832F07">
        <w:rPr>
          <w:rFonts w:cs="Times New Roman"/>
          <w:i/>
          <w:lang w:val="fr-CA"/>
        </w:rPr>
        <w:t xml:space="preserve">Loi de 2014 sur la négociation collective dans les conseils </w:t>
      </w:r>
      <w:r w:rsidRPr="00832F07">
        <w:rPr>
          <w:rFonts w:cs="Times New Roman"/>
          <w:i/>
          <w:lang w:val="fr-CA"/>
        </w:rPr>
        <w:lastRenderedPageBreak/>
        <w:t>scolaires</w:t>
      </w:r>
      <w:r w:rsidRPr="00832F07">
        <w:rPr>
          <w:rFonts w:cs="Times New Roman"/>
          <w:sz w:val="29"/>
          <w:szCs w:val="29"/>
          <w:lang w:val="fr-FR"/>
        </w:rPr>
        <w:t xml:space="preserve"> </w:t>
      </w:r>
      <w:r w:rsidRPr="00832F07">
        <w:rPr>
          <w:rFonts w:cs="Times New Roman"/>
          <w:lang w:val="fr-CA"/>
        </w:rPr>
        <w:t>de l’Ontario, L.O. 2014, c.</w:t>
      </w:r>
      <w:r w:rsidR="00795B2B">
        <w:rPr>
          <w:rFonts w:cs="Times New Roman"/>
          <w:lang w:val="fr-CA"/>
        </w:rPr>
        <w:t xml:space="preserve"> </w:t>
      </w:r>
      <w:r w:rsidRPr="00832F07">
        <w:rPr>
          <w:rFonts w:cs="Times New Roman"/>
          <w:lang w:val="fr-CA"/>
        </w:rPr>
        <w:t xml:space="preserve">5 </w:t>
      </w:r>
      <w:r w:rsidR="00795B2B">
        <w:rPr>
          <w:rFonts w:cs="Times New Roman"/>
          <w:lang w:val="fr-CA"/>
        </w:rPr>
        <w:t>« </w:t>
      </w:r>
      <w:r w:rsidRPr="00832F07">
        <w:rPr>
          <w:rFonts w:cs="Times New Roman"/>
          <w:lang w:val="fr-CA"/>
        </w:rPr>
        <w:t>pourrait être acceptable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95), et ce, même si ce modèle ne permet pas au groupe d’employés de choisir son association. </w:t>
      </w:r>
      <w:r w:rsidR="00993182">
        <w:rPr>
          <w:rFonts w:cs="Times New Roman"/>
          <w:lang w:val="fr-CA"/>
        </w:rPr>
        <w:t xml:space="preserve">L’agent négociateur du groupe est désigné. </w:t>
      </w:r>
      <w:r w:rsidRPr="00832F07">
        <w:rPr>
          <w:rFonts w:cs="Times New Roman"/>
          <w:lang w:val="fr-CA"/>
        </w:rPr>
        <w:t xml:space="preserve">Pour légitimer la restriction qu’ils apportent ainsi à la liberté de choix, les juges majoritaires reformulent leur critère comme un vague droit constitutionnel à la </w:t>
      </w:r>
      <w:r w:rsidR="00795B2B">
        <w:rPr>
          <w:rFonts w:cs="Times New Roman"/>
          <w:lang w:val="fr-CA"/>
        </w:rPr>
        <w:t>« </w:t>
      </w:r>
      <w:r w:rsidRPr="00832F07">
        <w:rPr>
          <w:rFonts w:cs="Times New Roman"/>
          <w:lang w:val="fr-CA"/>
        </w:rPr>
        <w:t>liberté de choix [</w:t>
      </w:r>
      <w:r w:rsidR="00795B2B">
        <w:rPr>
          <w:rFonts w:cs="Times New Roman"/>
          <w:lang w:val="fr-CA"/>
        </w:rPr>
        <w:t>. . .</w:t>
      </w:r>
      <w:r w:rsidRPr="00832F07">
        <w:rPr>
          <w:rFonts w:cs="Times New Roman"/>
          <w:lang w:val="fr-CA"/>
        </w:rPr>
        <w:t>] qui permet aux employés de participer véritablement au choix [de leurs] objectifs collectifs</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83). </w:t>
      </w:r>
    </w:p>
    <w:p w:rsidR="007B74A6" w:rsidRPr="00832F07" w:rsidRDefault="007B74A6" w:rsidP="00795B2B">
      <w:pPr>
        <w:pStyle w:val="ParaNoNdepar-AltN"/>
        <w:rPr>
          <w:rFonts w:cs="Times New Roman"/>
          <w:lang w:val="fr-CA"/>
        </w:rPr>
      </w:pPr>
      <w:r w:rsidRPr="00832F07">
        <w:rPr>
          <w:rFonts w:cs="Times New Roman"/>
          <w:lang w:val="fr-CA"/>
        </w:rPr>
        <w:t xml:space="preserve">Or, en toute logique, cette participation réelle quant au choix des objectifs collectifs ne dépend pas du représentant choisi, mais bien de la possibilité d’exercer le droit de choisir les priorités qui doivent être défendues au nom des employés. Suivant les juges majoritaires, la capacité des employés </w:t>
      </w:r>
      <w:r w:rsidR="00795B2B">
        <w:rPr>
          <w:rFonts w:cs="Times New Roman"/>
          <w:lang w:val="fr-CA"/>
        </w:rPr>
        <w:t>« </w:t>
      </w:r>
      <w:r w:rsidRPr="00832F07">
        <w:rPr>
          <w:rFonts w:cs="Times New Roman"/>
          <w:lang w:val="fr-CA"/>
        </w:rPr>
        <w:t>d’établir et de modifier les objectifs collectifs relatifs au travail</w:t>
      </w:r>
      <w:r w:rsidR="00795B2B">
        <w:rPr>
          <w:rFonts w:cs="Times New Roman"/>
          <w:lang w:val="fr-CA"/>
        </w:rPr>
        <w:t> »</w:t>
      </w:r>
      <w:r w:rsidRPr="00832F07">
        <w:rPr>
          <w:rFonts w:cs="Times New Roman"/>
          <w:lang w:val="fr-CA"/>
        </w:rPr>
        <w:t xml:space="preserve"> est une des caractéristiques de la liberté de choix des employés (par.</w:t>
      </w:r>
      <w:r w:rsidR="00795B2B">
        <w:rPr>
          <w:rFonts w:cs="Times New Roman"/>
          <w:lang w:val="fr-CA"/>
        </w:rPr>
        <w:t xml:space="preserve"> </w:t>
      </w:r>
      <w:r w:rsidRPr="00832F07">
        <w:rPr>
          <w:rFonts w:cs="Times New Roman"/>
          <w:lang w:val="fr-CA"/>
        </w:rPr>
        <w:t>86). La possibilité de faire défendre son point de vue afin de définir les objectifs de son milieu de travail est cependant bien plus qu’une caractéristique</w:t>
      </w:r>
      <w:r w:rsidR="00795B2B">
        <w:rPr>
          <w:rFonts w:cs="Times New Roman"/>
          <w:lang w:val="fr-CA"/>
        </w:rPr>
        <w:t> :</w:t>
      </w:r>
      <w:r w:rsidRPr="00832F07">
        <w:rPr>
          <w:rFonts w:cs="Times New Roman"/>
          <w:lang w:val="fr-CA"/>
        </w:rPr>
        <w:t xml:space="preserve"> il s’agit de l’élément clé d’une véritable négociation collective. Ce que les juges majoritaires évoquent dans leur reformulation du critère applicable est le droit d’être bien représenté par un porte</w:t>
      </w:r>
      <w:r w:rsidR="00795B2B">
        <w:rPr>
          <w:rFonts w:cs="Times New Roman"/>
          <w:lang w:val="fr-CA"/>
        </w:rPr>
        <w:t>-</w:t>
      </w:r>
      <w:r w:rsidRPr="00832F07">
        <w:rPr>
          <w:rFonts w:cs="Times New Roman"/>
          <w:lang w:val="fr-CA"/>
        </w:rPr>
        <w:t>parole et non le droit de choisir ce représentant.</w:t>
      </w:r>
    </w:p>
    <w:p w:rsidR="007B74A6" w:rsidRPr="00832F07" w:rsidRDefault="007B74A6" w:rsidP="00795B2B">
      <w:pPr>
        <w:pStyle w:val="ParaNoNdepar-AltN"/>
        <w:rPr>
          <w:rFonts w:cs="Times New Roman"/>
          <w:lang w:val="fr-CA"/>
        </w:rPr>
      </w:pPr>
      <w:r w:rsidRPr="00832F07">
        <w:rPr>
          <w:rFonts w:cs="Times New Roman"/>
          <w:lang w:val="fr-CA"/>
        </w:rPr>
        <w:t xml:space="preserve">Dans le contexte des relations de travail, la </w:t>
      </w:r>
      <w:r w:rsidR="00795B2B">
        <w:rPr>
          <w:rFonts w:cs="Times New Roman"/>
          <w:lang w:val="fr-CA"/>
        </w:rPr>
        <w:t>« </w:t>
      </w:r>
      <w:r w:rsidRPr="00832F07">
        <w:rPr>
          <w:rFonts w:cs="Times New Roman"/>
          <w:lang w:val="fr-CA"/>
        </w:rPr>
        <w:t>liberté de choix</w:t>
      </w:r>
      <w:r w:rsidR="00795B2B">
        <w:rPr>
          <w:rFonts w:cs="Times New Roman"/>
          <w:lang w:val="fr-CA"/>
        </w:rPr>
        <w:t> »</w:t>
      </w:r>
      <w:r w:rsidRPr="00832F07">
        <w:rPr>
          <w:rFonts w:cs="Times New Roman"/>
          <w:lang w:val="fr-CA"/>
        </w:rPr>
        <w:t xml:space="preserve"> ne convient pas comme critère pour fonder la protection constitutionnelle du droit de négocier collectivement. En effet, il existe, un peu partout au Canada, des régimes inspirés du modèle Wagner qui prévoient un mécanisme par lequel une seule association chargée de représenter les employés est désignée pour négocier avec l’employeur, et ce, en application du principe du monopole syndical conféré par le </w:t>
      </w:r>
      <w:r w:rsidRPr="00832F07">
        <w:rPr>
          <w:rFonts w:cs="Times New Roman"/>
          <w:lang w:val="fr-CA"/>
        </w:rPr>
        <w:lastRenderedPageBreak/>
        <w:t xml:space="preserve">vote majoritaire. Suivant ce principe, l’employeur doit reconnaître un seul agent négociateur choisi par une majorité d’employés pour qu’il défende leurs intérêts au sein d’une industrie, d’un secteur ou d’une entreprise donnés. Il est toutefois possible que le représentant que préfère une importante minorité d’employés ne soit pas celui qui est finalement choisi. Dans le contexte de l’application de ce modèle, leur liberté d’association se verra donc limitée non seulement quant au choix de leur représentant, mais également quant à leur capacité de créer une association rivale ou </w:t>
      </w:r>
      <w:r w:rsidR="00254E65">
        <w:rPr>
          <w:rFonts w:cs="Times New Roman"/>
          <w:lang w:val="fr-CA"/>
        </w:rPr>
        <w:t xml:space="preserve">à </w:t>
      </w:r>
      <w:r w:rsidRPr="00832F07">
        <w:rPr>
          <w:rFonts w:cs="Times New Roman"/>
          <w:lang w:val="fr-CA"/>
        </w:rPr>
        <w:t>y adhérer pour négocier avec la direction. La liberté de choix est également restreinte pour les employés régis par la formule Rand, qui n’ont pas le choix de payer des cotisations syndicales et de refuser d’être représentés par l’agent négociateur. Cette contrainte sur le plan du choix a été reconnue comme une limite valide à la liberté d’association des employés, puisque le fait de permettre un choix d’associations illimité affaiblirait le pouvoir de négociation collective des employés et rendrait impossible la négociation de bonne foi pour les employeurs</w:t>
      </w:r>
      <w:r>
        <w:rPr>
          <w:rFonts w:cs="Times New Roman"/>
          <w:lang w:val="fr-CA"/>
        </w:rPr>
        <w:t xml:space="preserve"> </w:t>
      </w:r>
      <w:r w:rsidRPr="00832F07">
        <w:rPr>
          <w:rFonts w:cs="Times New Roman"/>
          <w:lang w:val="fr-CA"/>
        </w:rPr>
        <w:t xml:space="preserve">(voir </w:t>
      </w:r>
      <w:r w:rsidRPr="00832F07">
        <w:rPr>
          <w:rFonts w:cs="Times New Roman"/>
          <w:i/>
          <w:iCs/>
          <w:lang w:val="fr-CA"/>
        </w:rPr>
        <w:t xml:space="preserve">Lavigne c. </w:t>
      </w:r>
      <w:r w:rsidRPr="00832F07">
        <w:rPr>
          <w:rFonts w:cs="Times New Roman"/>
          <w:i/>
          <w:spacing w:val="-3"/>
          <w:lang w:val="fr-CA"/>
        </w:rPr>
        <w:t>Syndicat des employés de la fonction publique de l’Ontario</w:t>
      </w:r>
      <w:r w:rsidRPr="00832F07">
        <w:rPr>
          <w:rFonts w:cs="Times New Roman"/>
          <w:lang w:val="fr-CA"/>
        </w:rPr>
        <w:t xml:space="preserve">, [1991] 2 R.C.S. 211; </w:t>
      </w:r>
      <w:r w:rsidRPr="00832F07">
        <w:rPr>
          <w:rFonts w:cs="Times New Roman"/>
          <w:i/>
          <w:iCs/>
          <w:lang w:val="fr-CA"/>
        </w:rPr>
        <w:t xml:space="preserve">R. c. </w:t>
      </w:r>
      <w:proofErr w:type="spellStart"/>
      <w:r w:rsidRPr="00832F07">
        <w:rPr>
          <w:rFonts w:cs="Times New Roman"/>
          <w:i/>
          <w:iCs/>
          <w:lang w:val="fr-CA"/>
        </w:rPr>
        <w:t>Advance</w:t>
      </w:r>
      <w:proofErr w:type="spellEnd"/>
      <w:r w:rsidRPr="00832F07">
        <w:rPr>
          <w:rFonts w:cs="Times New Roman"/>
          <w:i/>
          <w:iCs/>
          <w:lang w:val="fr-CA"/>
        </w:rPr>
        <w:t xml:space="preserve"> </w:t>
      </w:r>
      <w:proofErr w:type="spellStart"/>
      <w:r w:rsidRPr="00832F07">
        <w:rPr>
          <w:rFonts w:cs="Times New Roman"/>
          <w:i/>
          <w:iCs/>
          <w:lang w:val="fr-CA"/>
        </w:rPr>
        <w:t>Cutting</w:t>
      </w:r>
      <w:proofErr w:type="spellEnd"/>
      <w:r w:rsidRPr="00832F07">
        <w:rPr>
          <w:rFonts w:cs="Times New Roman"/>
          <w:i/>
          <w:iCs/>
          <w:lang w:val="fr-CA"/>
        </w:rPr>
        <w:t xml:space="preserve"> &amp; </w:t>
      </w:r>
      <w:proofErr w:type="spellStart"/>
      <w:r w:rsidRPr="00832F07">
        <w:rPr>
          <w:rFonts w:cs="Times New Roman"/>
          <w:i/>
          <w:iCs/>
          <w:lang w:val="fr-CA"/>
        </w:rPr>
        <w:t>Coring</w:t>
      </w:r>
      <w:proofErr w:type="spellEnd"/>
      <w:r w:rsidRPr="00832F07">
        <w:rPr>
          <w:rFonts w:cs="Times New Roman"/>
          <w:i/>
          <w:iCs/>
          <w:lang w:val="fr-CA"/>
        </w:rPr>
        <w:t xml:space="preserve"> Ltd.</w:t>
      </w:r>
      <w:r w:rsidRPr="00832F07">
        <w:rPr>
          <w:rFonts w:cs="Times New Roman"/>
          <w:lang w:val="fr-CA"/>
        </w:rPr>
        <w:t>, 2001 CSC 70, [2001] 3 R.C.S. 209</w:t>
      </w:r>
      <w:r>
        <w:rPr>
          <w:rFonts w:cs="Times New Roman"/>
          <w:lang w:val="fr-CA"/>
        </w:rPr>
        <w:t>)</w:t>
      </w:r>
      <w:r w:rsidRPr="00832F07">
        <w:rPr>
          <w:rFonts w:cs="Times New Roman"/>
          <w:lang w:val="fr-CA"/>
        </w:rPr>
        <w:t>.</w:t>
      </w:r>
    </w:p>
    <w:p w:rsidR="007B74A6" w:rsidRPr="00832F07" w:rsidRDefault="007B74A6" w:rsidP="00795B2B">
      <w:pPr>
        <w:pStyle w:val="ParaNoNdepar-AltN"/>
        <w:rPr>
          <w:rFonts w:cs="Times New Roman"/>
          <w:lang w:val="fr-CA"/>
        </w:rPr>
      </w:pPr>
      <w:r w:rsidRPr="00832F07">
        <w:rPr>
          <w:rFonts w:cs="Times New Roman"/>
          <w:lang w:val="fr-CA"/>
        </w:rPr>
        <w:t xml:space="preserve">Les juges majoritaires définissent la </w:t>
      </w:r>
      <w:r w:rsidR="00795B2B">
        <w:rPr>
          <w:rFonts w:cs="Times New Roman"/>
          <w:lang w:val="fr-CA"/>
        </w:rPr>
        <w:t>« </w:t>
      </w:r>
      <w:r w:rsidRPr="00832F07">
        <w:rPr>
          <w:rFonts w:cs="Times New Roman"/>
          <w:lang w:val="fr-CA"/>
        </w:rPr>
        <w:t>liberté de choix</w:t>
      </w:r>
      <w:r w:rsidR="00795B2B">
        <w:rPr>
          <w:rFonts w:cs="Times New Roman"/>
          <w:lang w:val="fr-CA"/>
        </w:rPr>
        <w:t> »</w:t>
      </w:r>
      <w:r w:rsidRPr="00832F07">
        <w:rPr>
          <w:rFonts w:cs="Times New Roman"/>
          <w:lang w:val="fr-CA"/>
        </w:rPr>
        <w:t xml:space="preserve"> en fonction de quatre caractéristiques</w:t>
      </w:r>
      <w:r w:rsidR="00795B2B">
        <w:rPr>
          <w:rFonts w:cs="Times New Roman"/>
          <w:lang w:val="fr-CA"/>
        </w:rPr>
        <w:t> :</w:t>
      </w:r>
      <w:r w:rsidRPr="00832F07">
        <w:rPr>
          <w:rFonts w:cs="Times New Roman"/>
          <w:lang w:val="fr-CA"/>
        </w:rPr>
        <w:t xml:space="preserve"> </w:t>
      </w:r>
      <w:r w:rsidR="00795B2B">
        <w:rPr>
          <w:rFonts w:cs="Times New Roman"/>
          <w:lang w:val="fr-CA"/>
        </w:rPr>
        <w:t>« </w:t>
      </w:r>
      <w:r w:rsidRPr="00832F07">
        <w:rPr>
          <w:rFonts w:cs="Times New Roman"/>
          <w:lang w:val="fr-CA"/>
        </w:rPr>
        <w:t>la capacité de constituer de nouvelles associations et d’y adhérer, celle de changer de représentants, d’établir et de modifier les objectifs collectifs relatifs au travail et celle de dissoudre les associations existantes</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86). Ils affirment qu’un modèle faisant appel à un agent négociateur désigné</w:t>
      </w:r>
      <w:r w:rsidR="001D7C84">
        <w:rPr>
          <w:rFonts w:cs="Times New Roman"/>
          <w:lang w:val="fr-CA"/>
        </w:rPr>
        <w:t>,</w:t>
      </w:r>
      <w:r w:rsidRPr="00832F07">
        <w:rPr>
          <w:rFonts w:cs="Times New Roman"/>
          <w:lang w:val="fr-CA"/>
        </w:rPr>
        <w:t xml:space="preserve"> comme celui prévu par la </w:t>
      </w:r>
      <w:r w:rsidRPr="00832F07">
        <w:rPr>
          <w:rFonts w:cs="Times New Roman"/>
          <w:i/>
          <w:lang w:val="fr-CA"/>
        </w:rPr>
        <w:t>Loi</w:t>
      </w:r>
      <w:r w:rsidR="00E4309F">
        <w:rPr>
          <w:rFonts w:cs="Times New Roman"/>
          <w:i/>
          <w:lang w:val="fr-CA"/>
        </w:rPr>
        <w:t xml:space="preserve"> de 2014</w:t>
      </w:r>
      <w:r w:rsidRPr="00832F07">
        <w:rPr>
          <w:rFonts w:cs="Times New Roman"/>
          <w:i/>
          <w:lang w:val="fr-CA"/>
        </w:rPr>
        <w:t xml:space="preserve"> sur la négociation collective dans les conseils scolaires</w:t>
      </w:r>
      <w:r w:rsidRPr="00832F07">
        <w:rPr>
          <w:rFonts w:cs="Times New Roman"/>
          <w:sz w:val="29"/>
          <w:szCs w:val="29"/>
          <w:lang w:val="fr-FR"/>
        </w:rPr>
        <w:t xml:space="preserve"> </w:t>
      </w:r>
      <w:r w:rsidRPr="00832F07">
        <w:rPr>
          <w:rFonts w:cs="Times New Roman"/>
          <w:lang w:val="fr-CA"/>
        </w:rPr>
        <w:t xml:space="preserve">de l’Ontario, permet aux employés de conserver </w:t>
      </w:r>
      <w:r w:rsidR="00795B2B">
        <w:rPr>
          <w:rFonts w:cs="Times New Roman"/>
          <w:lang w:val="fr-CA"/>
        </w:rPr>
        <w:t>« </w:t>
      </w:r>
      <w:r w:rsidRPr="00832F07">
        <w:rPr>
          <w:rFonts w:cs="Times New Roman"/>
          <w:lang w:val="fr-CA"/>
        </w:rPr>
        <w:t>la liberté de choisir les objectifs relatifs à leurs</w:t>
      </w:r>
      <w:r>
        <w:rPr>
          <w:rFonts w:cs="Times New Roman"/>
          <w:lang w:val="fr-CA"/>
        </w:rPr>
        <w:t xml:space="preserve"> </w:t>
      </w:r>
      <w:r w:rsidRPr="00832F07">
        <w:rPr>
          <w:rFonts w:cs="Times New Roman"/>
          <w:lang w:val="fr-CA"/>
        </w:rPr>
        <w:t xml:space="preserve">conditions de travail et une indépendance à l’égard de l’employeur qui </w:t>
      </w:r>
      <w:r w:rsidRPr="00832F07">
        <w:rPr>
          <w:rFonts w:cs="Times New Roman"/>
          <w:lang w:val="fr-CA"/>
        </w:rPr>
        <w:lastRenderedPageBreak/>
        <w:t>suffisent à assurer la tenue d’une véritable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95). Ce modèle ne respecte toutefois pas trois des soi</w:t>
      </w:r>
      <w:r w:rsidR="00795B2B">
        <w:rPr>
          <w:rFonts w:cs="Times New Roman"/>
          <w:lang w:val="fr-CA"/>
        </w:rPr>
        <w:t>-</w:t>
      </w:r>
      <w:r w:rsidRPr="00832F07">
        <w:rPr>
          <w:rFonts w:cs="Times New Roman"/>
          <w:lang w:val="fr-CA"/>
        </w:rPr>
        <w:t>disant caractéristiques de la liberté de choix</w:t>
      </w:r>
      <w:r w:rsidR="00795B2B">
        <w:rPr>
          <w:rFonts w:cs="Times New Roman"/>
          <w:lang w:val="fr-CA"/>
        </w:rPr>
        <w:t> :</w:t>
      </w:r>
      <w:r w:rsidRPr="00832F07">
        <w:rPr>
          <w:rFonts w:cs="Times New Roman"/>
          <w:lang w:val="fr-CA"/>
        </w:rPr>
        <w:t xml:space="preserve"> les enseignants ontariens ne peuvent pas constituer de nouvelles associations ni y adhérer pour négocier avec leurs employeurs, ils ne peuvent pas changer les agents né</w:t>
      </w:r>
      <w:r w:rsidR="001D7C84">
        <w:rPr>
          <w:rFonts w:cs="Times New Roman"/>
          <w:lang w:val="fr-CA"/>
        </w:rPr>
        <w:t xml:space="preserve">gociateurs qui les représentent, ceux-ci étant </w:t>
      </w:r>
      <w:r w:rsidRPr="00832F07">
        <w:rPr>
          <w:rFonts w:cs="Times New Roman"/>
          <w:lang w:val="fr-CA"/>
        </w:rPr>
        <w:t xml:space="preserve">imposés par la loi, et ils ne peuvent déloger ces derniers. La caractéristique que possède toutefois ce modèle est ce que j’appelle la </w:t>
      </w:r>
      <w:r w:rsidR="00795B2B">
        <w:rPr>
          <w:rFonts w:cs="Times New Roman"/>
          <w:lang w:val="fr-CA"/>
        </w:rPr>
        <w:t>« </w:t>
      </w:r>
      <w:r w:rsidRPr="00832F07">
        <w:rPr>
          <w:rFonts w:cs="Times New Roman"/>
          <w:lang w:val="fr-CA"/>
        </w:rPr>
        <w:t>représentativité</w:t>
      </w:r>
      <w:r w:rsidR="00795B2B">
        <w:rPr>
          <w:rFonts w:cs="Times New Roman"/>
          <w:lang w:val="fr-CA"/>
        </w:rPr>
        <w:t> »</w:t>
      </w:r>
      <w:r w:rsidRPr="00832F07">
        <w:rPr>
          <w:rFonts w:cs="Times New Roman"/>
          <w:lang w:val="fr-CA"/>
        </w:rPr>
        <w:t>, soit la capacité d’établir et de modifier les objectifs collectifs relatifs au travail (c’est</w:t>
      </w:r>
      <w:r w:rsidR="00795B2B">
        <w:rPr>
          <w:rFonts w:cs="Times New Roman"/>
          <w:lang w:val="fr-CA"/>
        </w:rPr>
        <w:t>-</w:t>
      </w:r>
      <w:r w:rsidRPr="00832F07">
        <w:rPr>
          <w:rFonts w:cs="Times New Roman"/>
          <w:lang w:val="fr-CA"/>
        </w:rPr>
        <w:t>à</w:t>
      </w:r>
      <w:r w:rsidR="00795B2B">
        <w:rPr>
          <w:rFonts w:cs="Times New Roman"/>
          <w:lang w:val="fr-CA"/>
        </w:rPr>
        <w:t>-</w:t>
      </w:r>
      <w:r w:rsidRPr="00832F07">
        <w:rPr>
          <w:rFonts w:cs="Times New Roman"/>
          <w:lang w:val="fr-CA"/>
        </w:rPr>
        <w:t>dire la capacité des enseignants de faire défendre leurs intérêts). Cela suggère que la norme constitutionnelle prévue à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est vraisemblablement respectée. L’acceptation, par les juges majoritaires, du modèle créé par la </w:t>
      </w:r>
      <w:r w:rsidRPr="00832F07">
        <w:rPr>
          <w:rFonts w:cs="Times New Roman"/>
          <w:i/>
          <w:lang w:val="fr-CA"/>
        </w:rPr>
        <w:t>Loi</w:t>
      </w:r>
      <w:r w:rsidR="00E4309F">
        <w:rPr>
          <w:rFonts w:cs="Times New Roman"/>
          <w:i/>
          <w:lang w:val="fr-CA"/>
        </w:rPr>
        <w:t xml:space="preserve"> de 2014</w:t>
      </w:r>
      <w:r w:rsidRPr="00832F07">
        <w:rPr>
          <w:rFonts w:cs="Times New Roman"/>
          <w:i/>
          <w:lang w:val="fr-CA"/>
        </w:rPr>
        <w:t xml:space="preserve"> sur la négociation collective dans les conseils scolaires</w:t>
      </w:r>
      <w:r w:rsidRPr="00832F07">
        <w:rPr>
          <w:rFonts w:cs="Times New Roman"/>
          <w:sz w:val="29"/>
          <w:szCs w:val="29"/>
          <w:lang w:val="fr-FR"/>
        </w:rPr>
        <w:t xml:space="preserve"> </w:t>
      </w:r>
      <w:r w:rsidRPr="00832F07">
        <w:rPr>
          <w:rFonts w:cs="Times New Roman"/>
          <w:lang w:val="fr-CA"/>
        </w:rPr>
        <w:t>de l’Ontario mine leur argument selon lequel la liberté de choix constitue un élément essentiel de la liberté d’association.</w:t>
      </w:r>
    </w:p>
    <w:p w:rsidR="007B74A6" w:rsidRPr="00832F07" w:rsidRDefault="007B74A6" w:rsidP="00795B2B">
      <w:pPr>
        <w:pStyle w:val="ParaNoNdepar-AltN"/>
        <w:rPr>
          <w:rFonts w:cs="Times New Roman"/>
          <w:lang w:val="fr-CA"/>
        </w:rPr>
      </w:pPr>
      <w:r w:rsidRPr="00832F07">
        <w:rPr>
          <w:rFonts w:cs="Times New Roman"/>
          <w:lang w:val="fr-CA"/>
        </w:rPr>
        <w:t>Même le modèle Wagner ne compte pas exclusivement sur la liberté de choix et sur l’indépendance pour assurer la protection des droits des employés. Les dispositions législatives et la jurisprudence applicable reconnaissent l’importance capitale de la représentativité en prévoyant plusieurs mécanismes de protection des droits des employés qui n’ont rien à voir avec la liberté de choix ou l’indépendance comme tels.</w:t>
      </w:r>
    </w:p>
    <w:p w:rsidR="007B74A6" w:rsidRPr="00832F07" w:rsidRDefault="007B74A6" w:rsidP="00795B2B">
      <w:pPr>
        <w:pStyle w:val="ParaNoNdepar-AltN"/>
        <w:rPr>
          <w:rFonts w:cs="Times New Roman"/>
          <w:lang w:val="fr-CA"/>
        </w:rPr>
      </w:pPr>
      <w:r w:rsidRPr="00832F07">
        <w:rPr>
          <w:rFonts w:cs="Times New Roman"/>
          <w:lang w:val="fr-CA"/>
        </w:rPr>
        <w:t xml:space="preserve">Suivant le modèle Wagner de relations de travail, l’association désignée comme agent négociateur exclusif ne peut faire preuve de discrimination dans l’accomplissement de ses obligations envers les employés qu’elle représente ni chercher à parvenir à ses propres fins. La loi et la jurisprudence ont évolué de manière </w:t>
      </w:r>
      <w:r w:rsidRPr="00832F07">
        <w:rPr>
          <w:rFonts w:cs="Times New Roman"/>
          <w:lang w:val="fr-CA"/>
        </w:rPr>
        <w:lastRenderedPageBreak/>
        <w:t xml:space="preserve">à protéger les employés des abus de pouvoir de la part des agents négociateurs uniques en les obligeant à représenter l’ensemble des employés, même ceux qui choisissent de ne pas devenir </w:t>
      </w:r>
      <w:r w:rsidR="00795B2B">
        <w:rPr>
          <w:rFonts w:cs="Times New Roman"/>
          <w:lang w:val="fr-CA"/>
        </w:rPr>
        <w:t>« </w:t>
      </w:r>
      <w:r w:rsidRPr="00832F07">
        <w:rPr>
          <w:rFonts w:cs="Times New Roman"/>
          <w:lang w:val="fr-CA"/>
        </w:rPr>
        <w:t>membres</w:t>
      </w:r>
      <w:r w:rsidR="00795B2B">
        <w:rPr>
          <w:rFonts w:cs="Times New Roman"/>
          <w:lang w:val="fr-CA"/>
        </w:rPr>
        <w:t> »</w:t>
      </w:r>
      <w:r w:rsidRPr="00832F07">
        <w:rPr>
          <w:rFonts w:cs="Times New Roman"/>
          <w:lang w:val="fr-CA"/>
        </w:rPr>
        <w:t xml:space="preserve"> de l’association en question</w:t>
      </w:r>
      <w:r w:rsidR="00795B2B">
        <w:rPr>
          <w:rFonts w:cs="Times New Roman"/>
          <w:lang w:val="fr-CA"/>
        </w:rPr>
        <w:t xml:space="preserve"> : </w:t>
      </w:r>
      <w:r w:rsidRPr="00832F07">
        <w:rPr>
          <w:rFonts w:cs="Times New Roman"/>
          <w:lang w:val="fr-CA"/>
        </w:rPr>
        <w:t xml:space="preserve">voir l’analyse de cette question dans les arrêts </w:t>
      </w:r>
      <w:r w:rsidRPr="00832F07">
        <w:rPr>
          <w:rFonts w:cs="Times New Roman"/>
          <w:i/>
          <w:iCs/>
          <w:lang w:val="fr-CA"/>
        </w:rPr>
        <w:t>Guilde de la marine marchande du Canada c. Gagnon</w:t>
      </w:r>
      <w:r w:rsidRPr="00832F07">
        <w:rPr>
          <w:rFonts w:cs="Times New Roman"/>
          <w:lang w:val="fr-CA"/>
        </w:rPr>
        <w:t>, [1984] 1 R.C.S. 509, p.</w:t>
      </w:r>
      <w:r w:rsidR="00795B2B">
        <w:rPr>
          <w:rFonts w:cs="Times New Roman"/>
          <w:lang w:val="fr-CA"/>
        </w:rPr>
        <w:t xml:space="preserve"> </w:t>
      </w:r>
      <w:r w:rsidRPr="00832F07">
        <w:rPr>
          <w:rFonts w:cs="Times New Roman"/>
          <w:lang w:val="fr-CA"/>
        </w:rPr>
        <w:t>518</w:t>
      </w:r>
      <w:r w:rsidR="00795B2B">
        <w:rPr>
          <w:rFonts w:cs="Times New Roman"/>
          <w:lang w:val="fr-CA"/>
        </w:rPr>
        <w:t>-</w:t>
      </w:r>
      <w:r w:rsidRPr="00832F07">
        <w:rPr>
          <w:rFonts w:cs="Times New Roman"/>
          <w:lang w:val="fr-CA"/>
        </w:rPr>
        <w:t>520</w:t>
      </w:r>
      <w:r w:rsidR="001D7C84">
        <w:rPr>
          <w:rFonts w:cs="Times New Roman"/>
          <w:lang w:val="fr-CA"/>
        </w:rPr>
        <w:t>,</w:t>
      </w:r>
      <w:r w:rsidRPr="00832F07">
        <w:rPr>
          <w:rFonts w:cs="Times New Roman"/>
          <w:lang w:val="fr-CA"/>
        </w:rPr>
        <w:t xml:space="preserve"> et </w:t>
      </w:r>
      <w:r w:rsidRPr="00832F07">
        <w:rPr>
          <w:rFonts w:cs="Times New Roman"/>
          <w:i/>
          <w:iCs/>
          <w:lang w:val="fr-CA"/>
        </w:rPr>
        <w:t>Gendron c. Syndicat des approvisionnements et services de l’Alliance de la Fonction publique du Canada, section locale 50057</w:t>
      </w:r>
      <w:r w:rsidRPr="00832F07">
        <w:rPr>
          <w:rFonts w:cs="Times New Roman"/>
          <w:lang w:val="fr-CA"/>
        </w:rPr>
        <w:t>, [1990] 1</w:t>
      </w:r>
      <w:r w:rsidR="00795B2B">
        <w:rPr>
          <w:rFonts w:cs="Times New Roman"/>
          <w:lang w:val="fr-CA"/>
        </w:rPr>
        <w:t xml:space="preserve"> </w:t>
      </w:r>
      <w:r w:rsidRPr="00832F07">
        <w:rPr>
          <w:rFonts w:cs="Times New Roman"/>
          <w:lang w:val="fr-CA"/>
        </w:rPr>
        <w:t>R.C.S.</w:t>
      </w:r>
      <w:r w:rsidR="00795B2B">
        <w:rPr>
          <w:rFonts w:cs="Times New Roman"/>
          <w:lang w:val="fr-CA"/>
        </w:rPr>
        <w:t xml:space="preserve"> </w:t>
      </w:r>
      <w:r w:rsidRPr="00832F07">
        <w:rPr>
          <w:rFonts w:cs="Times New Roman"/>
          <w:lang w:val="fr-CA"/>
        </w:rPr>
        <w:t>1298, p.</w:t>
      </w:r>
      <w:r w:rsidR="00795B2B">
        <w:rPr>
          <w:rFonts w:cs="Times New Roman"/>
          <w:lang w:val="fr-CA"/>
        </w:rPr>
        <w:t xml:space="preserve"> </w:t>
      </w:r>
      <w:r w:rsidRPr="00832F07">
        <w:rPr>
          <w:rFonts w:cs="Times New Roman"/>
          <w:lang w:val="fr-CA"/>
        </w:rPr>
        <w:t>1309</w:t>
      </w:r>
      <w:r w:rsidR="00795B2B">
        <w:rPr>
          <w:rFonts w:cs="Times New Roman"/>
          <w:lang w:val="fr-CA"/>
        </w:rPr>
        <w:t>-</w:t>
      </w:r>
      <w:r w:rsidRPr="00832F07">
        <w:rPr>
          <w:rFonts w:cs="Times New Roman"/>
          <w:lang w:val="fr-CA"/>
        </w:rPr>
        <w:t xml:space="preserve">1315. C’est la jurisprudence et la loi qui assurent que l’agent négociateur représente les intérêts de ses commettants, peu importe le travail qu’il entreprend en leur nom, et ce, que les employés individuellement l’aient ou non choisi.  </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De même, un modèle faisant appel à un agent négociateur désigné comme celui prévu par la </w:t>
      </w:r>
      <w:r w:rsidRPr="00832F07">
        <w:rPr>
          <w:rFonts w:cs="Times New Roman"/>
          <w:i/>
          <w:lang w:val="fr-CA"/>
        </w:rPr>
        <w:t xml:space="preserve">Loi </w:t>
      </w:r>
      <w:r w:rsidR="00E4309F">
        <w:rPr>
          <w:rFonts w:cs="Times New Roman"/>
          <w:i/>
          <w:lang w:val="fr-CA"/>
        </w:rPr>
        <w:t xml:space="preserve">de 2014 </w:t>
      </w:r>
      <w:r w:rsidRPr="00832F07">
        <w:rPr>
          <w:rFonts w:cs="Times New Roman"/>
          <w:i/>
          <w:lang w:val="fr-CA"/>
        </w:rPr>
        <w:t>sur la négociation collective dans les conseils scolaires</w:t>
      </w:r>
      <w:r w:rsidRPr="00832F07">
        <w:rPr>
          <w:rFonts w:cs="Times New Roman"/>
          <w:sz w:val="29"/>
          <w:szCs w:val="29"/>
          <w:lang w:val="fr-FR"/>
        </w:rPr>
        <w:t xml:space="preserve"> </w:t>
      </w:r>
      <w:r w:rsidRPr="00832F07">
        <w:rPr>
          <w:rFonts w:cs="Times New Roman"/>
          <w:lang w:val="fr-CA"/>
        </w:rPr>
        <w:t xml:space="preserve">de l’Ontario ne permet une véritable négociation collective que lorsqu’il incorpore des garanties légales assurant que l’agent négociateur en question représente les intérêts de l’ensemble des employés et leur rende des comptes. </w:t>
      </w:r>
    </w:p>
    <w:p w:rsidR="007B74A6" w:rsidRPr="00832F07" w:rsidRDefault="007B74A6" w:rsidP="00795B2B">
      <w:pPr>
        <w:pStyle w:val="ParaNoNdepar-AltN"/>
        <w:adjustRightInd w:val="0"/>
        <w:textAlignment w:val="baseline"/>
        <w:rPr>
          <w:rFonts w:cs="Times New Roman"/>
          <w:lang w:val="fr-CA"/>
        </w:rPr>
      </w:pPr>
      <w:r w:rsidRPr="00832F07">
        <w:rPr>
          <w:rFonts w:cs="Times New Roman"/>
          <w:lang w:val="fr-CA"/>
        </w:rPr>
        <w:t xml:space="preserve">Les juges majoritaires affirment que les notions de liberté de choix et d’indépendance, d’une part, et celle de représentativité, d’autre part, </w:t>
      </w:r>
      <w:r w:rsidR="00795B2B">
        <w:rPr>
          <w:rFonts w:cs="Times New Roman"/>
          <w:lang w:val="fr-CA"/>
        </w:rPr>
        <w:t>« </w:t>
      </w:r>
      <w:r w:rsidRPr="00832F07">
        <w:rPr>
          <w:rFonts w:cs="Times New Roman"/>
          <w:lang w:val="fr-CA"/>
        </w:rPr>
        <w:t>se</w:t>
      </w:r>
      <w:r w:rsidR="00795B2B">
        <w:rPr>
          <w:rFonts w:cs="Times New Roman"/>
          <w:lang w:val="fr-CA"/>
        </w:rPr>
        <w:t xml:space="preserve"> </w:t>
      </w:r>
      <w:r w:rsidRPr="00832F07">
        <w:rPr>
          <w:rFonts w:cs="Times New Roman"/>
          <w:lang w:val="fr-CA"/>
        </w:rPr>
        <w:t>chevauchent considérablement</w:t>
      </w:r>
      <w:r w:rsidR="00795B2B">
        <w:rPr>
          <w:rFonts w:cs="Times New Roman"/>
          <w:lang w:val="fr-CA"/>
        </w:rPr>
        <w:t> »</w:t>
      </w:r>
      <w:r w:rsidRPr="00832F07">
        <w:rPr>
          <w:rFonts w:cs="Times New Roman"/>
          <w:lang w:val="fr-CA"/>
        </w:rPr>
        <w:t xml:space="preserve"> et que la différence entre ces concepts est </w:t>
      </w:r>
      <w:r w:rsidR="00795B2B">
        <w:rPr>
          <w:rFonts w:cs="Times New Roman"/>
          <w:lang w:val="fr-CA"/>
        </w:rPr>
        <w:t>« </w:t>
      </w:r>
      <w:r w:rsidRPr="00832F07">
        <w:rPr>
          <w:rFonts w:cs="Times New Roman"/>
          <w:lang w:val="fr-CA"/>
        </w:rPr>
        <w:t>davantage sémantique que réel[le]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101 et 103). Soit dit en tout respect, un tel embrouillement de concepts distincts ne fait que créer de la confusion et de l’ambiguïté. La liberté de choix et l’indépendance peuvent être des moyens d’assurer la représentativité, mais il existe d’autres mécanismes pour le faire, tels que les garanties légales dont nous avons déjà parlé. </w:t>
      </w:r>
    </w:p>
    <w:p w:rsidR="007B74A6" w:rsidRPr="00832F07" w:rsidRDefault="007B74A6" w:rsidP="00795B2B">
      <w:pPr>
        <w:pStyle w:val="ParaNoNdepar-AltN"/>
        <w:tabs>
          <w:tab w:val="num" w:pos="2232"/>
        </w:tabs>
        <w:adjustRightInd w:val="0"/>
        <w:textAlignment w:val="baseline"/>
        <w:rPr>
          <w:rFonts w:cs="Times New Roman"/>
          <w:lang w:val="fr-CA"/>
        </w:rPr>
      </w:pPr>
      <w:r w:rsidRPr="00832F07">
        <w:rPr>
          <w:rFonts w:cs="Times New Roman"/>
          <w:lang w:val="fr-CA"/>
        </w:rPr>
        <w:lastRenderedPageBreak/>
        <w:t xml:space="preserve">Un modèle de négociation désigné par la loi, comme dans le cas du modèle imposé par la </w:t>
      </w:r>
      <w:r w:rsidRPr="00832F07">
        <w:rPr>
          <w:rFonts w:cs="Times New Roman"/>
          <w:i/>
          <w:lang w:val="fr-CA"/>
        </w:rPr>
        <w:t xml:space="preserve">Loi </w:t>
      </w:r>
      <w:r w:rsidR="00E4309F">
        <w:rPr>
          <w:rFonts w:cs="Times New Roman"/>
          <w:i/>
          <w:lang w:val="fr-CA"/>
        </w:rPr>
        <w:t xml:space="preserve">de 2014 </w:t>
      </w:r>
      <w:r w:rsidRPr="00832F07">
        <w:rPr>
          <w:rFonts w:cs="Times New Roman"/>
          <w:i/>
          <w:lang w:val="fr-CA"/>
        </w:rPr>
        <w:t>sur la négociation collective dans les conseils scolaires</w:t>
      </w:r>
      <w:r w:rsidRPr="00832F07">
        <w:rPr>
          <w:rFonts w:cs="Times New Roman"/>
          <w:sz w:val="29"/>
          <w:szCs w:val="29"/>
          <w:lang w:val="fr-FR"/>
        </w:rPr>
        <w:t xml:space="preserve"> </w:t>
      </w:r>
      <w:r w:rsidRPr="00832F07">
        <w:rPr>
          <w:rFonts w:cs="Times New Roman"/>
          <w:lang w:val="fr-CA"/>
        </w:rPr>
        <w:t>de l’Ontario</w:t>
      </w:r>
      <w:r w:rsidRPr="00832F07">
        <w:rPr>
          <w:rFonts w:cs="Times New Roman"/>
          <w:iCs/>
          <w:lang w:val="fr-CA"/>
        </w:rPr>
        <w:t>,</w:t>
      </w:r>
      <w:r w:rsidRPr="00832F07">
        <w:rPr>
          <w:rFonts w:cs="Times New Roman"/>
          <w:i/>
          <w:iCs/>
          <w:lang w:val="fr-CA"/>
        </w:rPr>
        <w:t xml:space="preserve"> </w:t>
      </w:r>
      <w:r w:rsidRPr="00832F07">
        <w:rPr>
          <w:rFonts w:cs="Times New Roman"/>
          <w:iCs/>
          <w:lang w:val="fr-CA"/>
        </w:rPr>
        <w:t xml:space="preserve">peut garantir que </w:t>
      </w:r>
      <w:r w:rsidRPr="00832F07">
        <w:rPr>
          <w:rFonts w:cs="Times New Roman"/>
          <w:lang w:val="fr-CA"/>
        </w:rPr>
        <w:t>les intérêts des employés seront efficacement défendus auprès de la direction même lorsqu’ils ne choisissent pas leurs représentants individuels ou le système dans le cadre duquel cette représentation s’effectue. L’alinéa</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lang w:val="fr-CA"/>
        </w:rPr>
        <w:t>Charte</w:t>
      </w:r>
      <w:r w:rsidRPr="00832F07">
        <w:rPr>
          <w:rFonts w:cs="Times New Roman"/>
          <w:lang w:val="fr-CA"/>
        </w:rPr>
        <w:t xml:space="preserve"> exige que les agents négociateurs représentent les intérêts et les préoccupations relatifs au milieu de travail des employés, c’est ce que j’appelle la représentativité. La méthode utilisée pour assurer cette représentation n’est pas prescrite par la Constitution.</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Imposer la liberté de choix et l’indépendance en tant qu’impératifs constitutionnels empêche de recourir à toute une panoplie d’autres méthodes de négociations collectives axées sur la collaboration qui pourraient être conçues pour satisfaire aux besoins de contextes donnés auxquels le modèle Wagner de relations de travail ne serait pas adapté. </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Dans le cas qui nous occupe, le contexte d’un corps policier national a conduit à l’adoption d’un modèle de relations de travail créé par la loi et axé sur la collaboration. Suivant ce modèle, les membres de la GRC choisissent démocratiquement leurs représentants qui, du fait de la loi, sont tenus de défendre les intérêts des employés. Ils peuvent d’ailleurs être remplacés s’ils manquent à ce devoir. </w:t>
      </w:r>
    </w:p>
    <w:p w:rsidR="007B74A6" w:rsidRPr="00832F07" w:rsidRDefault="007B74A6" w:rsidP="00795B2B">
      <w:pPr>
        <w:pStyle w:val="ParaNoNdepar-AltN"/>
        <w:rPr>
          <w:rFonts w:cs="Times New Roman"/>
          <w:lang w:val="fr-CA"/>
        </w:rPr>
      </w:pPr>
      <w:r w:rsidRPr="00832F07">
        <w:rPr>
          <w:rFonts w:cs="Times New Roman"/>
          <w:lang w:val="fr-CA"/>
        </w:rPr>
        <w:t xml:space="preserve">Ce qui protège les intérêts des employés dans le contexte du modèle Wagner, un modèle faisant appel à un agent négociateur désigné comme celui que </w:t>
      </w:r>
      <w:r w:rsidRPr="00832F07">
        <w:rPr>
          <w:rFonts w:cs="Times New Roman"/>
          <w:lang w:val="fr-CA"/>
        </w:rPr>
        <w:lastRenderedPageBreak/>
        <w:t xml:space="preserve">l’on trouve dans la </w:t>
      </w:r>
      <w:r w:rsidRPr="00832F07">
        <w:rPr>
          <w:rFonts w:cs="Times New Roman"/>
          <w:i/>
          <w:lang w:val="fr-CA"/>
        </w:rPr>
        <w:t xml:space="preserve">Loi </w:t>
      </w:r>
      <w:r w:rsidR="00E4309F">
        <w:rPr>
          <w:rFonts w:cs="Times New Roman"/>
          <w:i/>
          <w:lang w:val="fr-CA"/>
        </w:rPr>
        <w:t xml:space="preserve">de 2014 </w:t>
      </w:r>
      <w:r w:rsidRPr="00832F07">
        <w:rPr>
          <w:rFonts w:cs="Times New Roman"/>
          <w:i/>
          <w:lang w:val="fr-CA"/>
        </w:rPr>
        <w:t>sur la négociation collective dans les conseils scolaires</w:t>
      </w:r>
      <w:r w:rsidRPr="00832F07">
        <w:rPr>
          <w:rFonts w:cs="Times New Roman"/>
          <w:sz w:val="29"/>
          <w:szCs w:val="29"/>
          <w:lang w:val="fr-FR"/>
        </w:rPr>
        <w:t xml:space="preserve"> </w:t>
      </w:r>
      <w:r w:rsidRPr="00832F07">
        <w:rPr>
          <w:rFonts w:cs="Times New Roman"/>
          <w:lang w:val="fr-CA"/>
        </w:rPr>
        <w:t xml:space="preserve">de l’Ontario ou le PRRF de la GRC, c’est l’obligation qu’ont les représentants d’agir honnêtement et équitablement en faisant valoir le point de vue des employés qu’ils représentent, ainsi que la mise en place d’un mécanisme permettant de destituer ces représentants s’ils ne respectent pas cette obligation. </w:t>
      </w:r>
    </w:p>
    <w:p w:rsidR="007B74A6" w:rsidRPr="00832F07" w:rsidRDefault="007B74A6" w:rsidP="00795B2B">
      <w:pPr>
        <w:pStyle w:val="ParaNoNdepar-AltN"/>
        <w:rPr>
          <w:rFonts w:cs="Times New Roman"/>
          <w:lang w:val="fr-CA"/>
        </w:rPr>
      </w:pPr>
      <w:r w:rsidRPr="00832F07">
        <w:rPr>
          <w:rFonts w:cs="Times New Roman"/>
          <w:lang w:val="fr-CA"/>
        </w:rPr>
        <w:t>Ni le choix du cadre associatif (</w:t>
      </w:r>
      <w:r w:rsidRPr="00832F07">
        <w:rPr>
          <w:rFonts w:cs="Times New Roman"/>
          <w:i/>
          <w:iCs/>
          <w:lang w:val="fr-CA"/>
        </w:rPr>
        <w:t>Delisle c. Canada (Sous</w:t>
      </w:r>
      <w:r w:rsidR="00795B2B">
        <w:rPr>
          <w:rFonts w:cs="Times New Roman"/>
          <w:i/>
          <w:iCs/>
          <w:lang w:val="fr-CA"/>
        </w:rPr>
        <w:t>-</w:t>
      </w:r>
      <w:r w:rsidRPr="00832F07">
        <w:rPr>
          <w:rFonts w:cs="Times New Roman"/>
          <w:i/>
          <w:iCs/>
          <w:lang w:val="fr-CA"/>
        </w:rPr>
        <w:t>procureur général)</w:t>
      </w:r>
      <w:r w:rsidRPr="00832F07">
        <w:rPr>
          <w:rFonts w:cs="Times New Roman"/>
          <w:lang w:val="fr-CA"/>
        </w:rPr>
        <w:t>, [1999] 2 R.C.S.</w:t>
      </w:r>
      <w:r w:rsidR="00795B2B">
        <w:rPr>
          <w:rFonts w:cs="Times New Roman"/>
          <w:lang w:val="fr-CA"/>
        </w:rPr>
        <w:t xml:space="preserve"> </w:t>
      </w:r>
      <w:r w:rsidRPr="00832F07">
        <w:rPr>
          <w:rFonts w:cs="Times New Roman"/>
          <w:lang w:val="fr-CA"/>
        </w:rPr>
        <w:t>989, par.</w:t>
      </w:r>
      <w:r w:rsidR="00795B2B">
        <w:rPr>
          <w:rFonts w:cs="Times New Roman"/>
          <w:lang w:val="fr-CA"/>
        </w:rPr>
        <w:t xml:space="preserve"> </w:t>
      </w:r>
      <w:r w:rsidRPr="00832F07">
        <w:rPr>
          <w:rFonts w:cs="Times New Roman"/>
          <w:lang w:val="fr-CA"/>
        </w:rPr>
        <w:t>33), ni la sélection d’un agent de négociation donné ne constituent des éléments nécessaires de la liberté d’association. Comme les employés ont</w:t>
      </w:r>
      <w:r w:rsidR="00E4363C">
        <w:rPr>
          <w:rFonts w:cs="Times New Roman"/>
          <w:lang w:val="fr-CA"/>
        </w:rPr>
        <w:t xml:space="preserve"> droit à</w:t>
      </w:r>
      <w:r w:rsidRPr="00832F07">
        <w:rPr>
          <w:rFonts w:cs="Times New Roman"/>
          <w:lang w:val="fr-CA"/>
        </w:rPr>
        <w:t xml:space="preserve"> </w:t>
      </w:r>
      <w:r w:rsidR="00795B2B">
        <w:rPr>
          <w:rFonts w:cs="Times New Roman"/>
          <w:lang w:val="fr-CA"/>
        </w:rPr>
        <w:t>« </w:t>
      </w:r>
      <w:r w:rsidR="00E4363C">
        <w:rPr>
          <w:rFonts w:cs="Times New Roman"/>
          <w:lang w:val="fr-CA"/>
        </w:rPr>
        <w:t xml:space="preserve">un processus véritable leur permettant de réaliser des </w:t>
      </w:r>
      <w:r w:rsidR="00E4309F">
        <w:rPr>
          <w:rFonts w:cs="Times New Roman"/>
          <w:lang w:val="fr-CA"/>
        </w:rPr>
        <w:t>objectifs liés au travail</w:t>
      </w:r>
      <w:r w:rsidR="00795B2B">
        <w:rPr>
          <w:rFonts w:cs="Times New Roman"/>
          <w:lang w:val="fr-CA"/>
        </w:rPr>
        <w:t> »</w:t>
      </w:r>
      <w:r w:rsidRPr="00832F07">
        <w:rPr>
          <w:rFonts w:cs="Times New Roman"/>
          <w:lang w:val="fr-CA"/>
        </w:rPr>
        <w:t xml:space="preserve"> (</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117), il faut plutôt que le porte</w:t>
      </w:r>
      <w:r w:rsidR="00795B2B">
        <w:rPr>
          <w:rFonts w:cs="Times New Roman"/>
          <w:lang w:val="fr-CA"/>
        </w:rPr>
        <w:t>-</w:t>
      </w:r>
      <w:r w:rsidRPr="00832F07">
        <w:rPr>
          <w:rFonts w:cs="Times New Roman"/>
          <w:lang w:val="fr-CA"/>
        </w:rPr>
        <w:t>parole qui s’adresse à leur employeur en leur nom à tous représente leurs intérêts. À condition que le porte</w:t>
      </w:r>
      <w:r w:rsidR="00795B2B">
        <w:rPr>
          <w:rFonts w:cs="Times New Roman"/>
          <w:lang w:val="fr-CA"/>
        </w:rPr>
        <w:t>-</w:t>
      </w:r>
      <w:r w:rsidRPr="00832F07">
        <w:rPr>
          <w:rFonts w:cs="Times New Roman"/>
          <w:lang w:val="fr-CA"/>
        </w:rPr>
        <w:t>parole par l’entremise duquel les employés font des représentations auprès de leur employeur ait l’obligation de représenter les intérêts de l’ensemble des employés et qu’il existe un moyen d’obliger ce porte</w:t>
      </w:r>
      <w:r w:rsidR="00795B2B">
        <w:rPr>
          <w:rFonts w:cs="Times New Roman"/>
          <w:lang w:val="fr-CA"/>
        </w:rPr>
        <w:t>-</w:t>
      </w:r>
      <w:r w:rsidRPr="00832F07">
        <w:rPr>
          <w:rFonts w:cs="Times New Roman"/>
          <w:lang w:val="fr-CA"/>
        </w:rPr>
        <w:t xml:space="preserve">parole à rendre des comptes, le </w:t>
      </w:r>
      <w:r w:rsidR="00795B2B">
        <w:rPr>
          <w:rFonts w:cs="Times New Roman"/>
          <w:lang w:val="fr-CA"/>
        </w:rPr>
        <w:t>« </w:t>
      </w:r>
      <w:r w:rsidRPr="00832F07">
        <w:rPr>
          <w:rFonts w:cs="Times New Roman"/>
          <w:lang w:val="fr-CA"/>
        </w:rPr>
        <w:t>droit constitutionnel [des travailleurs] de formuler des revendications collectives et de les voir prises en considération de bonne foi</w:t>
      </w:r>
      <w:r w:rsidR="00795B2B">
        <w:rPr>
          <w:rFonts w:cs="Times New Roman"/>
          <w:lang w:val="fr-CA"/>
        </w:rPr>
        <w:t> »</w:t>
      </w:r>
      <w:r w:rsidRPr="00832F07">
        <w:rPr>
          <w:rFonts w:cs="Times New Roman"/>
          <w:lang w:val="fr-CA"/>
        </w:rPr>
        <w:t xml:space="preserve"> est respecté (</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 xml:space="preserve">51). C’est la représentativité qu’exige l’arrêt </w:t>
      </w:r>
      <w:r w:rsidRPr="00832F07">
        <w:rPr>
          <w:rFonts w:cs="Times New Roman"/>
          <w:i/>
          <w:lang w:val="fr-CA"/>
        </w:rPr>
        <w:t xml:space="preserve">Fraser </w:t>
      </w:r>
      <w:r w:rsidRPr="00832F07">
        <w:rPr>
          <w:rFonts w:cs="Times New Roman"/>
          <w:lang w:val="fr-CA"/>
        </w:rPr>
        <w:t xml:space="preserve">et rien ne justifie d’imposer des contraintes constitutionnelles inutiles comme les juges majoritaires tentent de le faire dans le présent pourvoi. </w:t>
      </w:r>
    </w:p>
    <w:p w:rsidR="007B74A6" w:rsidRPr="00832F07" w:rsidRDefault="007B74A6" w:rsidP="00795B2B">
      <w:pPr>
        <w:pStyle w:val="Title3LevelTitre3Niveau"/>
        <w:numPr>
          <w:ilvl w:val="2"/>
          <w:numId w:val="36"/>
        </w:numPr>
        <w:spacing w:before="0"/>
        <w:ind w:left="1094" w:hanging="547"/>
        <w:jc w:val="both"/>
        <w:rPr>
          <w:rFonts w:cs="Times New Roman"/>
          <w:lang w:val="fr-CA"/>
        </w:rPr>
      </w:pPr>
      <w:r w:rsidRPr="00832F07">
        <w:rPr>
          <w:rFonts w:cs="Times New Roman"/>
          <w:lang w:val="fr-CA"/>
        </w:rPr>
        <w:t>Indépendance de l’association</w:t>
      </w:r>
    </w:p>
    <w:p w:rsidR="007B74A6" w:rsidRPr="00832F07" w:rsidRDefault="007B74A6" w:rsidP="00795B2B">
      <w:pPr>
        <w:pStyle w:val="ParaNoNdepar-AltN"/>
        <w:rPr>
          <w:rFonts w:cs="Times New Roman"/>
          <w:lang w:val="fr-CA"/>
        </w:rPr>
      </w:pPr>
      <w:r w:rsidRPr="00832F07">
        <w:rPr>
          <w:rFonts w:cs="Times New Roman"/>
          <w:lang w:val="fr-CA"/>
        </w:rPr>
        <w:t xml:space="preserve">Selon les juges majoritaires, la Constitution exige que l’association d’employés soit indépendante de la direction. Ils admettent toutefois que cette indépendance peut ne pas être absolue. Selon leur raisonnement, l’indépendance </w:t>
      </w:r>
      <w:r w:rsidRPr="00832F07">
        <w:rPr>
          <w:rFonts w:cs="Times New Roman"/>
          <w:lang w:val="fr-CA"/>
        </w:rPr>
        <w:lastRenderedPageBreak/>
        <w:t xml:space="preserve">suffisante est celle qu’assure une </w:t>
      </w:r>
      <w:r w:rsidR="00795B2B">
        <w:rPr>
          <w:rFonts w:cs="Times New Roman"/>
          <w:lang w:val="fr-CA"/>
        </w:rPr>
        <w:t>« </w:t>
      </w:r>
      <w:r w:rsidRPr="00832F07">
        <w:rPr>
          <w:rFonts w:cs="Times New Roman"/>
          <w:lang w:val="fr-CA"/>
        </w:rPr>
        <w:t>correspondance entre les activités de l’association et les intérêts de ses membres</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83). </w:t>
      </w:r>
    </w:p>
    <w:p w:rsidR="007B74A6" w:rsidRPr="00832F07" w:rsidRDefault="007B74A6" w:rsidP="00795B2B">
      <w:pPr>
        <w:pStyle w:val="ParaNoNdepar-AltN"/>
        <w:rPr>
          <w:rFonts w:cs="Times New Roman"/>
          <w:lang w:val="fr-CA"/>
        </w:rPr>
      </w:pPr>
      <w:r w:rsidRPr="00832F07">
        <w:rPr>
          <w:rFonts w:cs="Times New Roman"/>
          <w:lang w:val="fr-CA"/>
        </w:rPr>
        <w:t xml:space="preserve">J’estime, soit dit en tout respect, que la vraie question ne soit pas celle de savoir si une association ou un processus prescrit par la loi est indépendant, en ce sens qu’il ou elle dissocie les employés de la direction, mais plutôt celle de savoir si cette association ou ce processus empêche des employés, comme les membres de la GRC, de s’associer en vue de réaliser leurs objectifs collectifs relatifs au travail. Je le répète, la pierre angulaire, c’est la représentativité. </w:t>
      </w:r>
    </w:p>
    <w:p w:rsidR="007B74A6" w:rsidRPr="00832F07" w:rsidRDefault="007B74A6" w:rsidP="00795B2B">
      <w:pPr>
        <w:pStyle w:val="ParaNoNdepar-AltN"/>
        <w:rPr>
          <w:rFonts w:cs="Times New Roman"/>
          <w:lang w:val="fr-CA"/>
        </w:rPr>
      </w:pPr>
      <w:r w:rsidRPr="00832F07">
        <w:rPr>
          <w:rFonts w:cs="Times New Roman"/>
          <w:lang w:val="fr-CA"/>
        </w:rPr>
        <w:t>L’obligation qu’une association d’employés soit indépendante de l’employeur tire son origine de la loi Wagner (</w:t>
      </w:r>
      <w:r w:rsidRPr="00832F07">
        <w:rPr>
          <w:rFonts w:cs="Times New Roman"/>
          <w:i/>
          <w:lang w:val="fr-CA"/>
        </w:rPr>
        <w:t xml:space="preserve">National Labor Relations </w:t>
      </w:r>
      <w:proofErr w:type="spellStart"/>
      <w:r w:rsidRPr="00832F07">
        <w:rPr>
          <w:rFonts w:cs="Times New Roman"/>
          <w:i/>
          <w:lang w:val="fr-CA"/>
        </w:rPr>
        <w:t>Act</w:t>
      </w:r>
      <w:proofErr w:type="spellEnd"/>
      <w:r w:rsidRPr="00832F07">
        <w:rPr>
          <w:rFonts w:cs="Times New Roman"/>
          <w:lang w:val="fr-CA"/>
        </w:rPr>
        <w:t>, 49 Stat.</w:t>
      </w:r>
      <w:r w:rsidR="00795B2B">
        <w:rPr>
          <w:rFonts w:cs="Times New Roman"/>
          <w:lang w:val="fr-CA"/>
        </w:rPr>
        <w:t xml:space="preserve"> </w:t>
      </w:r>
      <w:r w:rsidRPr="00832F07">
        <w:rPr>
          <w:rFonts w:cs="Times New Roman"/>
          <w:lang w:val="fr-CA"/>
        </w:rPr>
        <w:t xml:space="preserve">449 (1935)) — elle n’existait pas avant elle. En relatant l’historique des relations de travail au Canada dans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les juges majoritaires de la Cour ont reconnu que c’est cette loi qui a </w:t>
      </w:r>
      <w:r w:rsidR="00E4363C">
        <w:rPr>
          <w:rFonts w:cs="Times New Roman"/>
          <w:lang w:val="fr-CA"/>
        </w:rPr>
        <w:t>« </w:t>
      </w:r>
      <w:r w:rsidRPr="00832F07">
        <w:rPr>
          <w:rFonts w:cs="Times New Roman"/>
          <w:lang w:val="fr-CA"/>
        </w:rPr>
        <w:t xml:space="preserve">expressément reconnu aux employés le droit d’appartenir au syndicat de leur choix, sans coercition ni ingérence de la part de l’employeur, et [qui] </w:t>
      </w:r>
      <w:proofErr w:type="spellStart"/>
      <w:r w:rsidRPr="00832F07">
        <w:rPr>
          <w:rFonts w:cs="Times New Roman"/>
          <w:lang w:val="fr-CA"/>
        </w:rPr>
        <w:t>oblig</w:t>
      </w:r>
      <w:proofErr w:type="spellEnd"/>
      <w:r w:rsidRPr="00832F07">
        <w:rPr>
          <w:rFonts w:cs="Times New Roman"/>
          <w:lang w:val="fr-CA"/>
        </w:rPr>
        <w:t>[e] l’employeur à négocier de bonne foi avec les syndicats des travailleurs</w:t>
      </w:r>
      <w:r w:rsidR="00795B2B">
        <w:rPr>
          <w:rFonts w:cs="Times New Roman"/>
          <w:lang w:val="fr-CA"/>
        </w:rPr>
        <w:t> »</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56).</w:t>
      </w:r>
      <w:r w:rsidRPr="00832F07">
        <w:rPr>
          <w:rFonts w:cs="Times New Roman"/>
          <w:i/>
          <w:iCs/>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Dans les années qui ont précédé l’adoption de la loi Wagner, les </w:t>
      </w:r>
      <w:r w:rsidR="00795B2B">
        <w:rPr>
          <w:rFonts w:cs="Times New Roman"/>
          <w:lang w:val="fr-CA"/>
        </w:rPr>
        <w:t>« </w:t>
      </w:r>
      <w:r w:rsidRPr="00832F07">
        <w:rPr>
          <w:rFonts w:cs="Times New Roman"/>
          <w:lang w:val="fr-CA"/>
        </w:rPr>
        <w:t>syndicats de boutique</w:t>
      </w:r>
      <w:r w:rsidR="00795B2B">
        <w:rPr>
          <w:rFonts w:cs="Times New Roman"/>
          <w:lang w:val="fr-CA"/>
        </w:rPr>
        <w:t> »</w:t>
      </w:r>
      <w:r w:rsidRPr="00832F07">
        <w:rPr>
          <w:rFonts w:cs="Times New Roman"/>
          <w:lang w:val="fr-CA"/>
        </w:rPr>
        <w:t xml:space="preserve"> — c’est</w:t>
      </w:r>
      <w:r w:rsidR="00795B2B">
        <w:rPr>
          <w:rFonts w:cs="Times New Roman"/>
          <w:lang w:val="fr-CA"/>
        </w:rPr>
        <w:t>-</w:t>
      </w:r>
      <w:r w:rsidRPr="00832F07">
        <w:rPr>
          <w:rFonts w:cs="Times New Roman"/>
          <w:lang w:val="fr-CA"/>
        </w:rPr>
        <w:t>à</w:t>
      </w:r>
      <w:r w:rsidR="00795B2B">
        <w:rPr>
          <w:rFonts w:cs="Times New Roman"/>
          <w:lang w:val="fr-CA"/>
        </w:rPr>
        <w:t>-</w:t>
      </w:r>
      <w:r w:rsidRPr="00832F07">
        <w:rPr>
          <w:rFonts w:cs="Times New Roman"/>
          <w:lang w:val="fr-CA"/>
        </w:rPr>
        <w:t>dire les associations d’employés se caractérisant par un certain degré d’influence de l’employeur — étaient monnaie courante tant aux États</w:t>
      </w:r>
      <w:r w:rsidR="00795B2B">
        <w:rPr>
          <w:rFonts w:cs="Times New Roman"/>
          <w:lang w:val="fr-CA"/>
        </w:rPr>
        <w:t>-</w:t>
      </w:r>
      <w:r w:rsidRPr="00832F07">
        <w:rPr>
          <w:rFonts w:cs="Times New Roman"/>
          <w:lang w:val="fr-CA"/>
        </w:rPr>
        <w:t>Unis qu’au Canada (voir L.</w:t>
      </w:r>
      <w:r w:rsidR="00795B2B">
        <w:rPr>
          <w:rFonts w:cs="Times New Roman"/>
          <w:lang w:val="fr-CA"/>
        </w:rPr>
        <w:t xml:space="preserve"> </w:t>
      </w:r>
      <w:r w:rsidRPr="00832F07">
        <w:rPr>
          <w:rFonts w:cs="Times New Roman"/>
          <w:lang w:val="fr-CA"/>
        </w:rPr>
        <w:t>S.</w:t>
      </w:r>
      <w:r w:rsidR="00795B2B">
        <w:rPr>
          <w:rFonts w:cs="Times New Roman"/>
          <w:lang w:val="fr-CA"/>
        </w:rPr>
        <w:t xml:space="preserve"> </w:t>
      </w:r>
      <w:proofErr w:type="spellStart"/>
      <w:r w:rsidRPr="00832F07">
        <w:rPr>
          <w:rFonts w:cs="Times New Roman"/>
          <w:lang w:val="fr-CA"/>
        </w:rPr>
        <w:t>MacDowell</w:t>
      </w:r>
      <w:proofErr w:type="spellEnd"/>
      <w:r w:rsidRPr="00832F07">
        <w:rPr>
          <w:rFonts w:cs="Times New Roman"/>
          <w:lang w:val="fr-CA"/>
        </w:rPr>
        <w:t xml:space="preserve">, </w:t>
      </w:r>
      <w:r w:rsidR="00795B2B">
        <w:rPr>
          <w:rFonts w:cs="Times New Roman"/>
          <w:lang w:val="fr-CA"/>
        </w:rPr>
        <w:t>« </w:t>
      </w:r>
      <w:proofErr w:type="spellStart"/>
      <w:r w:rsidRPr="00832F07">
        <w:rPr>
          <w:rFonts w:cs="Times New Roman"/>
          <w:lang w:val="fr-CA"/>
        </w:rPr>
        <w:t>Company</w:t>
      </w:r>
      <w:proofErr w:type="spellEnd"/>
      <w:r w:rsidRPr="00832F07">
        <w:rPr>
          <w:rFonts w:cs="Times New Roman"/>
          <w:lang w:val="fr-CA"/>
        </w:rPr>
        <w:t xml:space="preserve"> </w:t>
      </w:r>
      <w:proofErr w:type="spellStart"/>
      <w:r w:rsidRPr="00832F07">
        <w:rPr>
          <w:rFonts w:cs="Times New Roman"/>
          <w:lang w:val="fr-CA"/>
        </w:rPr>
        <w:t>Unionism</w:t>
      </w:r>
      <w:proofErr w:type="spellEnd"/>
      <w:r w:rsidRPr="00832F07">
        <w:rPr>
          <w:rFonts w:cs="Times New Roman"/>
          <w:lang w:val="fr-CA"/>
        </w:rPr>
        <w:t xml:space="preserve"> in Canada, 1915</w:t>
      </w:r>
      <w:r w:rsidR="00795B2B">
        <w:rPr>
          <w:rFonts w:cs="Times New Roman"/>
          <w:lang w:val="fr-CA"/>
        </w:rPr>
        <w:t>-</w:t>
      </w:r>
      <w:r w:rsidRPr="00832F07">
        <w:rPr>
          <w:rFonts w:cs="Times New Roman"/>
          <w:lang w:val="fr-CA"/>
        </w:rPr>
        <w:t>1948</w:t>
      </w:r>
      <w:r w:rsidR="00795B2B">
        <w:rPr>
          <w:rFonts w:cs="Times New Roman"/>
          <w:lang w:val="fr-CA"/>
        </w:rPr>
        <w:t> »</w:t>
      </w:r>
      <w:r w:rsidRPr="00832F07">
        <w:rPr>
          <w:rFonts w:cs="Times New Roman"/>
          <w:lang w:val="fr-CA"/>
        </w:rPr>
        <w:t>, dans B.</w:t>
      </w:r>
      <w:r w:rsidR="00795B2B">
        <w:rPr>
          <w:rFonts w:cs="Times New Roman"/>
          <w:lang w:val="fr-CA"/>
        </w:rPr>
        <w:t xml:space="preserve"> </w:t>
      </w:r>
      <w:r w:rsidRPr="00832F07">
        <w:rPr>
          <w:rFonts w:cs="Times New Roman"/>
          <w:lang w:val="fr-CA"/>
        </w:rPr>
        <w:t>E.</w:t>
      </w:r>
      <w:r w:rsidR="00795B2B">
        <w:rPr>
          <w:rFonts w:cs="Times New Roman"/>
          <w:lang w:val="fr-CA"/>
        </w:rPr>
        <w:t xml:space="preserve"> </w:t>
      </w:r>
      <w:r w:rsidRPr="00832F07">
        <w:rPr>
          <w:rFonts w:cs="Times New Roman"/>
          <w:lang w:val="fr-CA"/>
        </w:rPr>
        <w:t>Kaufman et D.</w:t>
      </w:r>
      <w:r w:rsidR="00795B2B">
        <w:rPr>
          <w:rFonts w:cs="Times New Roman"/>
          <w:lang w:val="fr-CA"/>
        </w:rPr>
        <w:t xml:space="preserve"> </w:t>
      </w:r>
      <w:r w:rsidRPr="00832F07">
        <w:rPr>
          <w:rFonts w:cs="Times New Roman"/>
          <w:lang w:val="fr-CA"/>
        </w:rPr>
        <w:t>G.</w:t>
      </w:r>
      <w:r w:rsidR="00795B2B">
        <w:rPr>
          <w:rFonts w:cs="Times New Roman"/>
          <w:lang w:val="fr-CA"/>
        </w:rPr>
        <w:t xml:space="preserve"> </w:t>
      </w:r>
      <w:r w:rsidRPr="00832F07">
        <w:rPr>
          <w:rFonts w:cs="Times New Roman"/>
          <w:lang w:val="fr-CA"/>
        </w:rPr>
        <w:t xml:space="preserve">Taras, </w:t>
      </w:r>
      <w:proofErr w:type="spellStart"/>
      <w:proofErr w:type="gramStart"/>
      <w:r w:rsidRPr="00832F07">
        <w:rPr>
          <w:rFonts w:cs="Times New Roman"/>
          <w:lang w:val="fr-CA"/>
        </w:rPr>
        <w:t>dir</w:t>
      </w:r>
      <w:proofErr w:type="spellEnd"/>
      <w:r w:rsidRPr="00832F07">
        <w:rPr>
          <w:rFonts w:cs="Times New Roman"/>
          <w:lang w:val="fr-CA"/>
        </w:rPr>
        <w:t>.,</w:t>
      </w:r>
      <w:proofErr w:type="gramEnd"/>
      <w:r w:rsidRPr="00832F07">
        <w:rPr>
          <w:rFonts w:cs="Times New Roman"/>
          <w:lang w:val="fr-CA"/>
        </w:rPr>
        <w:t xml:space="preserve"> </w:t>
      </w:r>
      <w:proofErr w:type="spellStart"/>
      <w:r w:rsidRPr="00832F07">
        <w:rPr>
          <w:rFonts w:cs="Times New Roman"/>
          <w:i/>
          <w:iCs/>
          <w:lang w:val="fr-CA"/>
        </w:rPr>
        <w:t>Nonunion</w:t>
      </w:r>
      <w:proofErr w:type="spellEnd"/>
      <w:r w:rsidRPr="00832F07">
        <w:rPr>
          <w:rFonts w:cs="Times New Roman"/>
          <w:i/>
          <w:iCs/>
          <w:lang w:val="fr-CA"/>
        </w:rPr>
        <w:t xml:space="preserve"> </w:t>
      </w:r>
      <w:proofErr w:type="spellStart"/>
      <w:r w:rsidRPr="00832F07">
        <w:rPr>
          <w:rFonts w:cs="Times New Roman"/>
          <w:i/>
          <w:iCs/>
          <w:lang w:val="fr-CA"/>
        </w:rPr>
        <w:t>Employee</w:t>
      </w:r>
      <w:proofErr w:type="spellEnd"/>
      <w:r w:rsidRPr="00832F07">
        <w:rPr>
          <w:rFonts w:cs="Times New Roman"/>
          <w:i/>
          <w:iCs/>
          <w:lang w:val="fr-CA"/>
        </w:rPr>
        <w:t xml:space="preserve"> </w:t>
      </w:r>
      <w:proofErr w:type="spellStart"/>
      <w:r w:rsidRPr="00832F07">
        <w:rPr>
          <w:rFonts w:cs="Times New Roman"/>
          <w:i/>
          <w:iCs/>
          <w:lang w:val="fr-CA"/>
        </w:rPr>
        <w:t>Representation</w:t>
      </w:r>
      <w:proofErr w:type="spellEnd"/>
      <w:r w:rsidR="00795B2B">
        <w:rPr>
          <w:rFonts w:cs="Times New Roman"/>
          <w:i/>
          <w:iCs/>
          <w:lang w:val="fr-CA"/>
        </w:rPr>
        <w:t> :</w:t>
      </w:r>
      <w:r w:rsidRPr="00832F07">
        <w:rPr>
          <w:rFonts w:cs="Times New Roman"/>
          <w:i/>
          <w:iCs/>
          <w:lang w:val="fr-CA"/>
        </w:rPr>
        <w:t xml:space="preserve"> </w:t>
      </w:r>
      <w:proofErr w:type="spellStart"/>
      <w:r w:rsidRPr="00832F07">
        <w:rPr>
          <w:rFonts w:cs="Times New Roman"/>
          <w:i/>
          <w:iCs/>
          <w:lang w:val="fr-CA"/>
        </w:rPr>
        <w:t>History</w:t>
      </w:r>
      <w:proofErr w:type="spellEnd"/>
      <w:r w:rsidRPr="00832F07">
        <w:rPr>
          <w:rFonts w:cs="Times New Roman"/>
          <w:i/>
          <w:iCs/>
          <w:lang w:val="fr-CA"/>
        </w:rPr>
        <w:t xml:space="preserve">, </w:t>
      </w:r>
      <w:proofErr w:type="spellStart"/>
      <w:r w:rsidRPr="00832F07">
        <w:rPr>
          <w:rFonts w:cs="Times New Roman"/>
          <w:i/>
          <w:iCs/>
          <w:lang w:val="fr-CA"/>
        </w:rPr>
        <w:t>Contemporary</w:t>
      </w:r>
      <w:proofErr w:type="spellEnd"/>
      <w:r w:rsidRPr="00832F07">
        <w:rPr>
          <w:rFonts w:cs="Times New Roman"/>
          <w:i/>
          <w:iCs/>
          <w:lang w:val="fr-CA"/>
        </w:rPr>
        <w:t xml:space="preserve"> Practice, and Policy </w:t>
      </w:r>
      <w:r w:rsidRPr="00832F07">
        <w:rPr>
          <w:rFonts w:cs="Times New Roman"/>
          <w:lang w:val="fr-CA"/>
        </w:rPr>
        <w:t>(2000), 96, p.</w:t>
      </w:r>
      <w:r w:rsidR="00795B2B">
        <w:rPr>
          <w:rFonts w:cs="Times New Roman"/>
          <w:lang w:val="fr-CA"/>
        </w:rPr>
        <w:t xml:space="preserve"> </w:t>
      </w:r>
      <w:r w:rsidRPr="00832F07">
        <w:rPr>
          <w:rFonts w:cs="Times New Roman"/>
          <w:lang w:val="fr-CA"/>
        </w:rPr>
        <w:t xml:space="preserve">97). </w:t>
      </w:r>
      <w:r w:rsidRPr="00832F07">
        <w:rPr>
          <w:rFonts w:cs="Times New Roman"/>
          <w:lang w:val="fr-CA"/>
        </w:rPr>
        <w:lastRenderedPageBreak/>
        <w:t>Même si certains syndicats de ce type étaient forcés par les employeurs à contrecarrer la représentation légitime des travailleurs, d’autres formes de représentation non syndicale visaient à favoriser activement la représentation des travailleurs (voir D.</w:t>
      </w:r>
      <w:r w:rsidR="00795B2B">
        <w:rPr>
          <w:rFonts w:cs="Times New Roman"/>
          <w:lang w:val="fr-CA"/>
        </w:rPr>
        <w:t xml:space="preserve"> </w:t>
      </w:r>
      <w:r w:rsidRPr="00832F07">
        <w:rPr>
          <w:rFonts w:cs="Times New Roman"/>
          <w:lang w:val="fr-CA"/>
        </w:rPr>
        <w:t>G.</w:t>
      </w:r>
      <w:r w:rsidR="00795B2B">
        <w:rPr>
          <w:rFonts w:cs="Times New Roman"/>
          <w:lang w:val="fr-CA"/>
        </w:rPr>
        <w:t xml:space="preserve"> </w:t>
      </w:r>
      <w:r w:rsidRPr="00832F07">
        <w:rPr>
          <w:rFonts w:cs="Times New Roman"/>
          <w:lang w:val="fr-CA"/>
        </w:rPr>
        <w:t xml:space="preserve">Taras, </w:t>
      </w:r>
      <w:r w:rsidR="00795B2B">
        <w:rPr>
          <w:rFonts w:cs="Times New Roman"/>
          <w:lang w:val="fr-CA"/>
        </w:rPr>
        <w:t>« </w:t>
      </w:r>
      <w:proofErr w:type="spellStart"/>
      <w:r w:rsidRPr="00832F07">
        <w:rPr>
          <w:rFonts w:cs="Times New Roman"/>
          <w:lang w:val="fr-CA"/>
        </w:rPr>
        <w:t>Why</w:t>
      </w:r>
      <w:proofErr w:type="spellEnd"/>
      <w:r w:rsidRPr="00832F07">
        <w:rPr>
          <w:rFonts w:cs="Times New Roman"/>
          <w:lang w:val="fr-CA"/>
        </w:rPr>
        <w:t xml:space="preserve"> </w:t>
      </w:r>
      <w:proofErr w:type="spellStart"/>
      <w:r w:rsidRPr="00832F07">
        <w:rPr>
          <w:rFonts w:cs="Times New Roman"/>
          <w:lang w:val="fr-CA"/>
        </w:rPr>
        <w:t>Nonunion</w:t>
      </w:r>
      <w:proofErr w:type="spellEnd"/>
      <w:r w:rsidRPr="00832F07">
        <w:rPr>
          <w:rFonts w:cs="Times New Roman"/>
          <w:lang w:val="fr-CA"/>
        </w:rPr>
        <w:t xml:space="preserve"> </w:t>
      </w:r>
      <w:proofErr w:type="spellStart"/>
      <w:r w:rsidRPr="00832F07">
        <w:rPr>
          <w:rFonts w:cs="Times New Roman"/>
          <w:lang w:val="fr-CA"/>
        </w:rPr>
        <w:t>Representation</w:t>
      </w:r>
      <w:proofErr w:type="spellEnd"/>
      <w:r w:rsidRPr="00832F07">
        <w:rPr>
          <w:rFonts w:cs="Times New Roman"/>
          <w:lang w:val="fr-CA"/>
        </w:rPr>
        <w:t xml:space="preserve"> Is </w:t>
      </w:r>
      <w:proofErr w:type="spellStart"/>
      <w:r w:rsidRPr="00832F07">
        <w:rPr>
          <w:rFonts w:cs="Times New Roman"/>
          <w:lang w:val="fr-CA"/>
        </w:rPr>
        <w:t>Legal</w:t>
      </w:r>
      <w:proofErr w:type="spellEnd"/>
      <w:r w:rsidRPr="00832F07">
        <w:rPr>
          <w:rFonts w:cs="Times New Roman"/>
          <w:lang w:val="fr-CA"/>
        </w:rPr>
        <w:t xml:space="preserve"> in Canada</w:t>
      </w:r>
      <w:r w:rsidR="00795B2B">
        <w:rPr>
          <w:rFonts w:cs="Times New Roman"/>
          <w:lang w:val="fr-CA"/>
        </w:rPr>
        <w:t> »</w:t>
      </w:r>
      <w:r w:rsidRPr="00832F07">
        <w:rPr>
          <w:rFonts w:cs="Times New Roman"/>
          <w:lang w:val="fr-CA"/>
        </w:rPr>
        <w:t xml:space="preserve"> (1997), 52 </w:t>
      </w:r>
      <w:proofErr w:type="spellStart"/>
      <w:r w:rsidR="00593AFC">
        <w:rPr>
          <w:rFonts w:cs="Times New Roman"/>
          <w:i/>
          <w:iCs/>
          <w:lang w:val="fr-CA"/>
        </w:rPr>
        <w:t>Relat</w:t>
      </w:r>
      <w:proofErr w:type="spellEnd"/>
      <w:r w:rsidR="00593AFC">
        <w:rPr>
          <w:rFonts w:cs="Times New Roman"/>
          <w:i/>
          <w:iCs/>
          <w:lang w:val="fr-CA"/>
        </w:rPr>
        <w:t xml:space="preserve">. </w:t>
      </w:r>
      <w:proofErr w:type="spellStart"/>
      <w:r w:rsidR="00593AFC">
        <w:rPr>
          <w:rFonts w:cs="Times New Roman"/>
          <w:i/>
          <w:iCs/>
          <w:lang w:val="fr-CA"/>
        </w:rPr>
        <w:t>ind</w:t>
      </w:r>
      <w:proofErr w:type="spellEnd"/>
      <w:r w:rsidR="00593AFC">
        <w:rPr>
          <w:rFonts w:cs="Times New Roman"/>
          <w:i/>
          <w:iCs/>
          <w:lang w:val="fr-CA"/>
        </w:rPr>
        <w:t>.</w:t>
      </w:r>
      <w:r w:rsidRPr="00832F07">
        <w:rPr>
          <w:rFonts w:cs="Times New Roman"/>
          <w:i/>
          <w:iCs/>
          <w:lang w:val="fr-CA"/>
        </w:rPr>
        <w:t xml:space="preserve"> </w:t>
      </w:r>
      <w:r w:rsidRPr="00832F07">
        <w:rPr>
          <w:rFonts w:cs="Times New Roman"/>
          <w:lang w:val="fr-CA"/>
        </w:rPr>
        <w:t xml:space="preserve">763). </w:t>
      </w:r>
    </w:p>
    <w:p w:rsidR="007B74A6" w:rsidRPr="00832F07" w:rsidRDefault="007B74A6" w:rsidP="00795B2B">
      <w:pPr>
        <w:pStyle w:val="ParaNoNdepar-AltN"/>
        <w:rPr>
          <w:rFonts w:cs="Times New Roman"/>
          <w:lang w:val="fr-CA"/>
        </w:rPr>
      </w:pPr>
      <w:r w:rsidRPr="00832F07">
        <w:rPr>
          <w:rFonts w:cs="Times New Roman"/>
          <w:lang w:val="fr-CA"/>
        </w:rPr>
        <w:t>En 1935, le sénateur Robert Wagner a soumis au Sénat américain le projet de loi qui allait devenir ce qui est depuis connu comme étant la loi Wagner. Cette loi a eu pour effet d’abolir les syndicats de boutique (B.</w:t>
      </w:r>
      <w:r w:rsidR="00795B2B">
        <w:rPr>
          <w:rFonts w:cs="Times New Roman"/>
          <w:lang w:val="fr-CA"/>
        </w:rPr>
        <w:t xml:space="preserve"> </w:t>
      </w:r>
      <w:r w:rsidRPr="00832F07">
        <w:rPr>
          <w:rFonts w:cs="Times New Roman"/>
          <w:lang w:val="fr-CA"/>
        </w:rPr>
        <w:t>E.</w:t>
      </w:r>
      <w:r w:rsidR="00795B2B">
        <w:rPr>
          <w:rFonts w:cs="Times New Roman"/>
          <w:lang w:val="fr-CA"/>
        </w:rPr>
        <w:t xml:space="preserve"> </w:t>
      </w:r>
      <w:r w:rsidRPr="00832F07">
        <w:rPr>
          <w:rFonts w:cs="Times New Roman"/>
          <w:lang w:val="fr-CA"/>
        </w:rPr>
        <w:t xml:space="preserve">Kaufman, </w:t>
      </w:r>
      <w:r w:rsidR="00795B2B">
        <w:rPr>
          <w:rFonts w:cs="Times New Roman"/>
          <w:lang w:val="fr-CA"/>
        </w:rPr>
        <w:t>« </w:t>
      </w:r>
      <w:proofErr w:type="spellStart"/>
      <w:r w:rsidRPr="00832F07">
        <w:rPr>
          <w:rFonts w:cs="Times New Roman"/>
          <w:lang w:val="fr-CA"/>
        </w:rPr>
        <w:t>Accomplishments</w:t>
      </w:r>
      <w:proofErr w:type="spellEnd"/>
      <w:r w:rsidRPr="00832F07">
        <w:rPr>
          <w:rFonts w:cs="Times New Roman"/>
          <w:lang w:val="fr-CA"/>
        </w:rPr>
        <w:t xml:space="preserve"> and </w:t>
      </w:r>
      <w:proofErr w:type="spellStart"/>
      <w:r w:rsidRPr="00832F07">
        <w:rPr>
          <w:rFonts w:cs="Times New Roman"/>
          <w:lang w:val="fr-CA"/>
        </w:rPr>
        <w:t>Shortcomings</w:t>
      </w:r>
      <w:proofErr w:type="spellEnd"/>
      <w:r w:rsidRPr="00832F07">
        <w:rPr>
          <w:rFonts w:cs="Times New Roman"/>
          <w:lang w:val="fr-CA"/>
        </w:rPr>
        <w:t xml:space="preserve"> of </w:t>
      </w:r>
      <w:proofErr w:type="spellStart"/>
      <w:r w:rsidRPr="00832F07">
        <w:rPr>
          <w:rFonts w:cs="Times New Roman"/>
          <w:lang w:val="fr-CA"/>
        </w:rPr>
        <w:t>Nonunion</w:t>
      </w:r>
      <w:proofErr w:type="spellEnd"/>
      <w:r w:rsidRPr="00832F07">
        <w:rPr>
          <w:rFonts w:cs="Times New Roman"/>
          <w:lang w:val="fr-CA"/>
        </w:rPr>
        <w:t xml:space="preserve"> </w:t>
      </w:r>
      <w:proofErr w:type="spellStart"/>
      <w:r w:rsidRPr="00832F07">
        <w:rPr>
          <w:rFonts w:cs="Times New Roman"/>
          <w:lang w:val="fr-CA"/>
        </w:rPr>
        <w:t>Employee</w:t>
      </w:r>
      <w:proofErr w:type="spellEnd"/>
      <w:r w:rsidRPr="00832F07">
        <w:rPr>
          <w:rFonts w:cs="Times New Roman"/>
          <w:lang w:val="fr-CA"/>
        </w:rPr>
        <w:t xml:space="preserve"> </w:t>
      </w:r>
      <w:proofErr w:type="spellStart"/>
      <w:r w:rsidRPr="00832F07">
        <w:rPr>
          <w:rFonts w:cs="Times New Roman"/>
          <w:lang w:val="fr-CA"/>
        </w:rPr>
        <w:t>Representation</w:t>
      </w:r>
      <w:proofErr w:type="spellEnd"/>
      <w:r w:rsidRPr="00832F07">
        <w:rPr>
          <w:rFonts w:cs="Times New Roman"/>
          <w:lang w:val="fr-CA"/>
        </w:rPr>
        <w:t xml:space="preserve"> in the </w:t>
      </w:r>
      <w:proofErr w:type="spellStart"/>
      <w:r w:rsidRPr="00832F07">
        <w:rPr>
          <w:rFonts w:cs="Times New Roman"/>
          <w:lang w:val="fr-CA"/>
        </w:rPr>
        <w:t>Pre</w:t>
      </w:r>
      <w:proofErr w:type="spellEnd"/>
      <w:r w:rsidR="00795B2B">
        <w:rPr>
          <w:rFonts w:cs="Times New Roman"/>
          <w:lang w:val="fr-CA"/>
        </w:rPr>
        <w:t>-</w:t>
      </w:r>
      <w:r w:rsidRPr="00832F07">
        <w:rPr>
          <w:rFonts w:cs="Times New Roman"/>
          <w:lang w:val="fr-CA"/>
        </w:rPr>
        <w:t xml:space="preserve">Wagner </w:t>
      </w:r>
      <w:proofErr w:type="spellStart"/>
      <w:r w:rsidRPr="00832F07">
        <w:rPr>
          <w:rFonts w:cs="Times New Roman"/>
          <w:lang w:val="fr-CA"/>
        </w:rPr>
        <w:t>Act</w:t>
      </w:r>
      <w:proofErr w:type="spellEnd"/>
      <w:r w:rsidRPr="00832F07">
        <w:rPr>
          <w:rFonts w:cs="Times New Roman"/>
          <w:lang w:val="fr-CA"/>
        </w:rPr>
        <w:t xml:space="preserve"> </w:t>
      </w:r>
      <w:proofErr w:type="spellStart"/>
      <w:r w:rsidRPr="00832F07">
        <w:rPr>
          <w:rFonts w:cs="Times New Roman"/>
          <w:lang w:val="fr-CA"/>
        </w:rPr>
        <w:t>Years</w:t>
      </w:r>
      <w:proofErr w:type="spellEnd"/>
      <w:r w:rsidR="00795B2B">
        <w:rPr>
          <w:rFonts w:cs="Times New Roman"/>
          <w:lang w:val="fr-CA"/>
        </w:rPr>
        <w:t> :</w:t>
      </w:r>
      <w:r w:rsidRPr="00832F07">
        <w:rPr>
          <w:rFonts w:cs="Times New Roman"/>
          <w:lang w:val="fr-CA"/>
        </w:rPr>
        <w:t xml:space="preserve"> A </w:t>
      </w:r>
      <w:proofErr w:type="spellStart"/>
      <w:r w:rsidRPr="00832F07">
        <w:rPr>
          <w:rFonts w:cs="Times New Roman"/>
          <w:lang w:val="fr-CA"/>
        </w:rPr>
        <w:t>Reassessment</w:t>
      </w:r>
      <w:proofErr w:type="spellEnd"/>
      <w:r w:rsidR="00795B2B">
        <w:rPr>
          <w:rFonts w:cs="Times New Roman"/>
          <w:lang w:val="fr-CA"/>
        </w:rPr>
        <w:t> »</w:t>
      </w:r>
      <w:r w:rsidRPr="00832F07">
        <w:rPr>
          <w:rFonts w:cs="Times New Roman"/>
          <w:lang w:val="fr-CA"/>
        </w:rPr>
        <w:t>, dans Kaufman et Taras, 21, p.</w:t>
      </w:r>
      <w:r w:rsidR="00795B2B">
        <w:rPr>
          <w:rFonts w:cs="Times New Roman"/>
          <w:lang w:val="fr-CA"/>
        </w:rPr>
        <w:t xml:space="preserve"> </w:t>
      </w:r>
      <w:r w:rsidRPr="00832F07">
        <w:rPr>
          <w:rFonts w:cs="Times New Roman"/>
          <w:lang w:val="fr-CA"/>
        </w:rPr>
        <w:t xml:space="preserve">26). </w:t>
      </w:r>
    </w:p>
    <w:p w:rsidR="007B74A6" w:rsidRPr="00832F07" w:rsidRDefault="007B74A6" w:rsidP="00795B2B">
      <w:pPr>
        <w:pStyle w:val="ParaNoNdepar-AltN"/>
        <w:rPr>
          <w:rFonts w:cs="Times New Roman"/>
          <w:lang w:val="fr-CA"/>
        </w:rPr>
      </w:pPr>
      <w:r w:rsidRPr="00832F07">
        <w:rPr>
          <w:rFonts w:cs="Times New Roman"/>
          <w:lang w:val="fr-CA"/>
        </w:rPr>
        <w:t>Le Canada a adopté sa propre version de la loi Wagner en 1944</w:t>
      </w:r>
      <w:r w:rsidR="00795B2B">
        <w:rPr>
          <w:rFonts w:cs="Times New Roman"/>
          <w:lang w:val="fr-CA"/>
        </w:rPr>
        <w:t> :</w:t>
      </w:r>
      <w:r w:rsidRPr="00832F07">
        <w:rPr>
          <w:rFonts w:cs="Times New Roman"/>
          <w:lang w:val="fr-CA"/>
        </w:rPr>
        <w:t xml:space="preserve"> le </w:t>
      </w:r>
      <w:r w:rsidRPr="00832F07">
        <w:rPr>
          <w:rFonts w:cs="Times New Roman"/>
          <w:i/>
          <w:iCs/>
          <w:lang w:val="fr-CA"/>
        </w:rPr>
        <w:t>Règlement des Relations ouvrières en temps de guerre</w:t>
      </w:r>
      <w:r w:rsidRPr="00832F07">
        <w:rPr>
          <w:rFonts w:cs="Times New Roman"/>
          <w:iCs/>
          <w:lang w:val="fr-CA"/>
        </w:rPr>
        <w:t>,</w:t>
      </w:r>
      <w:r w:rsidRPr="00832F07">
        <w:rPr>
          <w:rFonts w:cs="Times New Roman"/>
          <w:lang w:val="fr-CA"/>
        </w:rPr>
        <w:t xml:space="preserve"> C.P.</w:t>
      </w:r>
      <w:r w:rsidR="00795B2B">
        <w:rPr>
          <w:rFonts w:cs="Times New Roman"/>
          <w:lang w:val="fr-CA"/>
        </w:rPr>
        <w:t xml:space="preserve"> </w:t>
      </w:r>
      <w:r w:rsidRPr="00832F07">
        <w:rPr>
          <w:rFonts w:cs="Times New Roman"/>
          <w:lang w:val="fr-CA"/>
        </w:rPr>
        <w:t xml:space="preserve">1003. Ce décret, pris en application de la </w:t>
      </w:r>
      <w:r w:rsidRPr="00832F07">
        <w:rPr>
          <w:rFonts w:cs="Times New Roman"/>
          <w:i/>
          <w:lang w:val="fr-CA"/>
        </w:rPr>
        <w:t>Loi</w:t>
      </w:r>
      <w:r w:rsidRPr="00832F07">
        <w:rPr>
          <w:rFonts w:cs="Times New Roman"/>
          <w:lang w:val="fr-CA"/>
        </w:rPr>
        <w:t xml:space="preserve"> </w:t>
      </w:r>
      <w:r w:rsidR="00593AFC">
        <w:rPr>
          <w:rFonts w:cs="Times New Roman"/>
          <w:i/>
          <w:iCs/>
          <w:lang w:val="fr-CA"/>
        </w:rPr>
        <w:t xml:space="preserve">des </w:t>
      </w:r>
      <w:r w:rsidRPr="00832F07">
        <w:rPr>
          <w:rFonts w:cs="Times New Roman"/>
          <w:i/>
          <w:iCs/>
          <w:lang w:val="fr-CA"/>
        </w:rPr>
        <w:t>mesures de guerre</w:t>
      </w:r>
      <w:r w:rsidRPr="00832F07">
        <w:rPr>
          <w:rFonts w:cs="Times New Roman"/>
          <w:iCs/>
          <w:lang w:val="fr-CA"/>
        </w:rPr>
        <w:t>, S.R.C. 1927, c.</w:t>
      </w:r>
      <w:r w:rsidR="00795B2B">
        <w:rPr>
          <w:rFonts w:cs="Times New Roman"/>
          <w:iCs/>
          <w:lang w:val="fr-CA"/>
        </w:rPr>
        <w:t xml:space="preserve"> </w:t>
      </w:r>
      <w:r w:rsidRPr="00832F07">
        <w:rPr>
          <w:rFonts w:cs="Times New Roman"/>
          <w:iCs/>
          <w:lang w:val="fr-CA"/>
        </w:rPr>
        <w:t>206,</w:t>
      </w:r>
      <w:r w:rsidRPr="00832F07">
        <w:rPr>
          <w:rFonts w:cs="Times New Roman"/>
          <w:lang w:val="fr-CA"/>
        </w:rPr>
        <w:t xml:space="preserve"> incorporait le principe wagnérien suivant lequel les associations d’employés doivent être indépendantes de l’employeur. À la fin de la guerre, le modèle Wagner a été repris au Canada par la </w:t>
      </w:r>
      <w:r w:rsidRPr="00832F07">
        <w:rPr>
          <w:rFonts w:cs="Times New Roman"/>
          <w:i/>
          <w:iCs/>
          <w:lang w:val="fr-CA"/>
        </w:rPr>
        <w:t>Loi sur les relations industrielles et sur les enquêtes visant les différends du travail</w:t>
      </w:r>
      <w:r w:rsidRPr="00832F07">
        <w:rPr>
          <w:rFonts w:cs="Times New Roman"/>
          <w:iCs/>
          <w:lang w:val="fr-CA"/>
        </w:rPr>
        <w:t>, S.C. 1948, c.</w:t>
      </w:r>
      <w:r w:rsidR="00795B2B">
        <w:rPr>
          <w:rFonts w:cs="Times New Roman"/>
          <w:iCs/>
          <w:lang w:val="fr-CA"/>
        </w:rPr>
        <w:t xml:space="preserve"> </w:t>
      </w:r>
      <w:r w:rsidRPr="00832F07">
        <w:rPr>
          <w:rFonts w:cs="Times New Roman"/>
          <w:iCs/>
          <w:lang w:val="fr-CA"/>
        </w:rPr>
        <w:t>54,</w:t>
      </w:r>
      <w:r w:rsidRPr="00832F07">
        <w:rPr>
          <w:rFonts w:cs="Times New Roman"/>
          <w:i/>
          <w:iCs/>
          <w:lang w:val="fr-CA"/>
        </w:rPr>
        <w:t xml:space="preserve"> </w:t>
      </w:r>
      <w:r w:rsidRPr="00832F07">
        <w:rPr>
          <w:rFonts w:cs="Times New Roman"/>
          <w:lang w:val="fr-CA"/>
        </w:rPr>
        <w:t>ainsi que</w:t>
      </w:r>
      <w:r w:rsidRPr="00832F07">
        <w:rPr>
          <w:rFonts w:cs="Times New Roman"/>
          <w:i/>
          <w:iCs/>
          <w:lang w:val="fr-CA"/>
        </w:rPr>
        <w:t xml:space="preserve"> </w:t>
      </w:r>
      <w:r w:rsidRPr="00832F07">
        <w:rPr>
          <w:rFonts w:cs="Times New Roman"/>
          <w:lang w:val="fr-CA"/>
        </w:rPr>
        <w:t>dans d’autres lois semblables édictées par la plupart des provinces (R.</w:t>
      </w:r>
      <w:r w:rsidR="00795B2B">
        <w:rPr>
          <w:rFonts w:cs="Times New Roman"/>
          <w:lang w:val="fr-CA"/>
        </w:rPr>
        <w:t xml:space="preserve"> </w:t>
      </w:r>
      <w:r w:rsidRPr="00832F07">
        <w:rPr>
          <w:rFonts w:cs="Times New Roman"/>
          <w:lang w:val="fr-CA"/>
        </w:rPr>
        <w:t>J.</w:t>
      </w:r>
      <w:r w:rsidR="00795B2B">
        <w:rPr>
          <w:rFonts w:cs="Times New Roman"/>
          <w:lang w:val="fr-CA"/>
        </w:rPr>
        <w:t xml:space="preserve"> </w:t>
      </w:r>
      <w:r w:rsidRPr="00832F07">
        <w:rPr>
          <w:rFonts w:cs="Times New Roman"/>
          <w:lang w:val="fr-CA"/>
        </w:rPr>
        <w:t xml:space="preserve">Adams, </w:t>
      </w:r>
      <w:r w:rsidR="00795B2B">
        <w:rPr>
          <w:rFonts w:cs="Times New Roman"/>
          <w:lang w:val="fr-CA"/>
        </w:rPr>
        <w:t>« </w:t>
      </w:r>
      <w:r w:rsidRPr="00832F07">
        <w:rPr>
          <w:rFonts w:cs="Times New Roman"/>
          <w:lang w:val="fr-CA"/>
        </w:rPr>
        <w:t xml:space="preserve">A </w:t>
      </w:r>
      <w:proofErr w:type="spellStart"/>
      <w:r w:rsidRPr="00832F07">
        <w:rPr>
          <w:rFonts w:cs="Times New Roman"/>
          <w:lang w:val="fr-CA"/>
        </w:rPr>
        <w:t>Pernicious</w:t>
      </w:r>
      <w:proofErr w:type="spellEnd"/>
      <w:r w:rsidRPr="00832F07">
        <w:rPr>
          <w:rFonts w:cs="Times New Roman"/>
          <w:lang w:val="fr-CA"/>
        </w:rPr>
        <w:t xml:space="preserve"> </w:t>
      </w:r>
      <w:proofErr w:type="spellStart"/>
      <w:r w:rsidRPr="00832F07">
        <w:rPr>
          <w:rFonts w:cs="Times New Roman"/>
          <w:lang w:val="fr-CA"/>
        </w:rPr>
        <w:t>Euphoria</w:t>
      </w:r>
      <w:proofErr w:type="spellEnd"/>
      <w:r w:rsidR="00795B2B">
        <w:rPr>
          <w:rFonts w:cs="Times New Roman"/>
          <w:lang w:val="fr-CA"/>
        </w:rPr>
        <w:t> :</w:t>
      </w:r>
      <w:r w:rsidRPr="00832F07">
        <w:rPr>
          <w:rFonts w:cs="Times New Roman"/>
          <w:lang w:val="fr-CA"/>
        </w:rPr>
        <w:t xml:space="preserve"> 50</w:t>
      </w:r>
      <w:r w:rsidR="00795B2B">
        <w:rPr>
          <w:rFonts w:cs="Times New Roman"/>
          <w:lang w:val="fr-CA"/>
        </w:rPr>
        <w:t xml:space="preserve"> </w:t>
      </w:r>
      <w:proofErr w:type="spellStart"/>
      <w:r w:rsidRPr="00832F07">
        <w:rPr>
          <w:rFonts w:cs="Times New Roman"/>
          <w:lang w:val="fr-CA"/>
        </w:rPr>
        <w:t>Years</w:t>
      </w:r>
      <w:proofErr w:type="spellEnd"/>
      <w:r w:rsidRPr="00832F07">
        <w:rPr>
          <w:rFonts w:cs="Times New Roman"/>
          <w:lang w:val="fr-CA"/>
        </w:rPr>
        <w:t xml:space="preserve"> of </w:t>
      </w:r>
      <w:proofErr w:type="spellStart"/>
      <w:r w:rsidRPr="00832F07">
        <w:rPr>
          <w:rFonts w:cs="Times New Roman"/>
          <w:lang w:val="fr-CA"/>
        </w:rPr>
        <w:t>Wagnerism</w:t>
      </w:r>
      <w:proofErr w:type="spellEnd"/>
      <w:r w:rsidRPr="00832F07">
        <w:rPr>
          <w:rFonts w:cs="Times New Roman"/>
          <w:lang w:val="fr-CA"/>
        </w:rPr>
        <w:t xml:space="preserve"> in Canada</w:t>
      </w:r>
      <w:r w:rsidR="00795B2B">
        <w:rPr>
          <w:rFonts w:cs="Times New Roman"/>
          <w:lang w:val="fr-CA"/>
        </w:rPr>
        <w:t> »</w:t>
      </w:r>
      <w:r w:rsidRPr="00832F07">
        <w:rPr>
          <w:rFonts w:cs="Times New Roman"/>
          <w:lang w:val="fr-CA"/>
        </w:rPr>
        <w:t xml:space="preserve"> (1995)</w:t>
      </w:r>
      <w:r>
        <w:rPr>
          <w:rFonts w:cs="Times New Roman"/>
          <w:lang w:val="fr-CA"/>
        </w:rPr>
        <w:t>,</w:t>
      </w:r>
      <w:r w:rsidRPr="00832F07">
        <w:rPr>
          <w:rFonts w:cs="Times New Roman"/>
          <w:lang w:val="fr-CA"/>
        </w:rPr>
        <w:t xml:space="preserve"> 3 </w:t>
      </w:r>
      <w:r w:rsidRPr="00832F07">
        <w:rPr>
          <w:rFonts w:cs="Times New Roman"/>
          <w:i/>
          <w:lang w:val="fr-CA"/>
        </w:rPr>
        <w:t>C.L.E.L.J.</w:t>
      </w:r>
      <w:r w:rsidRPr="00832F07">
        <w:rPr>
          <w:rFonts w:cs="Times New Roman"/>
          <w:lang w:val="fr-CA"/>
        </w:rPr>
        <w:t xml:space="preserve"> 321, p.</w:t>
      </w:r>
      <w:r w:rsidR="00795B2B">
        <w:rPr>
          <w:rFonts w:cs="Times New Roman"/>
          <w:lang w:val="fr-CA"/>
        </w:rPr>
        <w:t xml:space="preserve"> </w:t>
      </w:r>
      <w:r w:rsidRPr="00832F07">
        <w:rPr>
          <w:rFonts w:cs="Times New Roman"/>
          <w:lang w:val="fr-CA"/>
        </w:rPr>
        <w:t xml:space="preserve">328). </w:t>
      </w:r>
    </w:p>
    <w:p w:rsidR="007B74A6" w:rsidRPr="00832F07" w:rsidRDefault="007B74A6" w:rsidP="00795B2B">
      <w:pPr>
        <w:pStyle w:val="ParaNoNdepar-AltN"/>
        <w:rPr>
          <w:rFonts w:cs="Times New Roman"/>
          <w:lang w:val="fr-CA"/>
        </w:rPr>
      </w:pPr>
      <w:r w:rsidRPr="00832F07">
        <w:rPr>
          <w:rFonts w:cs="Times New Roman"/>
          <w:lang w:val="fr-CA"/>
        </w:rPr>
        <w:t>Ainsi, la loi Wagner</w:t>
      </w:r>
      <w:r w:rsidRPr="00832F07">
        <w:rPr>
          <w:rFonts w:cs="Times New Roman"/>
          <w:i/>
          <w:iCs/>
          <w:lang w:val="fr-CA"/>
        </w:rPr>
        <w:t xml:space="preserve"> </w:t>
      </w:r>
      <w:r w:rsidRPr="00832F07">
        <w:rPr>
          <w:rFonts w:cs="Times New Roman"/>
          <w:lang w:val="fr-CA"/>
        </w:rPr>
        <w:t xml:space="preserve">a délibérément introduit le concept selon lequel les syndicats devraient être indépendants de l’employeur pour tout ce qui concerne la négociation collective. La législation canadienne en matière du travail, qui s’est </w:t>
      </w:r>
      <w:r w:rsidRPr="00832F07">
        <w:rPr>
          <w:rFonts w:cs="Times New Roman"/>
          <w:lang w:val="fr-CA"/>
        </w:rPr>
        <w:lastRenderedPageBreak/>
        <w:t xml:space="preserve">largement inspirée de cette loi, a également intégré ce principe d’indépendance qui est devenu plus populaire dans ce contexte historique particulier. Il ne constitue toutefois pas pour autant un élément inhérent à la négociation collective. </w:t>
      </w:r>
    </w:p>
    <w:p w:rsidR="007B74A6" w:rsidRPr="00832F07" w:rsidRDefault="007B74A6" w:rsidP="00795B2B">
      <w:pPr>
        <w:pStyle w:val="ParaNoNdepar-AltN"/>
        <w:rPr>
          <w:rFonts w:cs="Times New Roman"/>
          <w:lang w:val="fr-CA"/>
        </w:rPr>
      </w:pPr>
      <w:r w:rsidRPr="00832F07">
        <w:rPr>
          <w:rFonts w:cs="Times New Roman"/>
          <w:lang w:val="fr-CA"/>
        </w:rPr>
        <w:t>Cela dit, même si l’indépendance était un élément essentiel de toute véritable négociation collective, le PRRF satisfait à deux des caractéristiques d’indépendance retenues par les juges majoritaires</w:t>
      </w:r>
      <w:r w:rsidR="00795B2B">
        <w:rPr>
          <w:rFonts w:cs="Times New Roman"/>
          <w:lang w:val="fr-CA"/>
        </w:rPr>
        <w:t> :</w:t>
      </w:r>
      <w:r w:rsidRPr="00832F07">
        <w:rPr>
          <w:rFonts w:cs="Times New Roman"/>
          <w:lang w:val="fr-CA"/>
        </w:rPr>
        <w:t xml:space="preserve"> la liberté de choisir les représentants des employés et celle de contrôler la gestion financière et les activités de l’association. En effet, les membres de la GRC choisissent démocratiquement les RRF qui soumettront à l’examen de la direction leurs objectifs relatifs au travail et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ont le pouvoir de remplacer les RRF qui ne défendent pas les intérêts des employés. De plus, le PRRF administre son propre budget. Certes, les membres de la GRC ne peuvent changer leur représentant (le PRRF) sans le consentement de la direction et du gouvernement. Il leur est toutefois loisible de changer leurs RRF s’ils estiment que leurs objectifs en matière de travail ne sont pas adéquatement défendus par le PRRF. Les enseignants ontariens ne peuvent pas non plus changer d’agent négociateur sans approbation législative. Si la loi régissant les négociations collectives des enseignants ontariens satisfait aux exigences constitutionnelles des juges majoritaires, le PRRF doit lui aussi y satisfaire.</w:t>
      </w:r>
    </w:p>
    <w:p w:rsidR="007B74A6" w:rsidRPr="00832F07" w:rsidRDefault="007B74A6" w:rsidP="00795B2B">
      <w:pPr>
        <w:pStyle w:val="ParaNoNdepar-AltN"/>
        <w:rPr>
          <w:rFonts w:cs="Times New Roman"/>
          <w:lang w:val="fr-CA"/>
        </w:rPr>
      </w:pPr>
      <w:r w:rsidRPr="00832F07">
        <w:rPr>
          <w:rFonts w:cs="Times New Roman"/>
          <w:lang w:val="fr-CA"/>
        </w:rPr>
        <w:t>Les juges majoritaires déclarent qu’</w:t>
      </w:r>
      <w:r w:rsidR="00795B2B">
        <w:rPr>
          <w:rFonts w:cs="Times New Roman"/>
          <w:lang w:val="fr-CA"/>
        </w:rPr>
        <w:t>« </w:t>
      </w:r>
      <w:r w:rsidRPr="00832F07">
        <w:rPr>
          <w:rFonts w:cs="Times New Roman"/>
          <w:lang w:val="fr-CA"/>
        </w:rPr>
        <w:t>un manque d’indépendance signifie que les employés ne sont peut</w:t>
      </w:r>
      <w:r w:rsidR="00795B2B">
        <w:rPr>
          <w:rFonts w:cs="Times New Roman"/>
          <w:lang w:val="fr-CA"/>
        </w:rPr>
        <w:t>-</w:t>
      </w:r>
      <w:r w:rsidRPr="00832F07">
        <w:rPr>
          <w:rFonts w:cs="Times New Roman"/>
          <w:lang w:val="fr-CA"/>
        </w:rPr>
        <w:t>être pas en mesure de faire valoir leurs propres intérêts, mais qu’ils doivent choisir parmi ceux que l’employeur les autorise à défendre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89). De même, les appelantes suggèrent que des représentants des employés qui travaillent dans le cadre d’un modèle de relations de travail fondé sur la collaboration </w:t>
      </w:r>
      <w:r w:rsidRPr="00832F07">
        <w:rPr>
          <w:rFonts w:cs="Times New Roman"/>
          <w:lang w:val="fr-CA"/>
        </w:rPr>
        <w:lastRenderedPageBreak/>
        <w:t xml:space="preserve">entre la direction et les employés ne peuvent représenter correctement les intérêts des employés. Selon elles, les employés qui dépendent de la direction pour leurs hausses salariales, leurs évaluations de rendement et leurs promotions hésiteront à défendre les intérêts des employés que la direction pourrait ne pas voir sous un jour favorable.  </w:t>
      </w:r>
    </w:p>
    <w:p w:rsidR="007B74A6" w:rsidRPr="00832F07" w:rsidRDefault="007B74A6" w:rsidP="00795B2B">
      <w:pPr>
        <w:pStyle w:val="ParaNoNdepar-AltN"/>
        <w:rPr>
          <w:rFonts w:cs="Times New Roman"/>
          <w:lang w:val="fr-CA"/>
        </w:rPr>
      </w:pPr>
      <w:r w:rsidRPr="00832F07">
        <w:rPr>
          <w:rFonts w:cs="Times New Roman"/>
          <w:lang w:val="fr-CA"/>
        </w:rPr>
        <w:t xml:space="preserve">Tant les juges majoritaires que les appelantes négligent toutefois la représentativité. Le représentant se doit de bien défendre les intérêts de tous les employés. Celui qui restreint le cadre de son mandat en fonction de ce que lui permet la direction ou qui fait passer ses intérêts professionnels avant ceux de l’ensemble des employés devra répondre de ses gestes. Dès lors que les employés disposent de recours pour s’assurer que leur point de vue est relayé à la direction et que leurs représentants travaillent dans leur intérêt, le processus de relations de travail n’est pas dominé par la direction et les employés disposent de moyens leur permettant de travailler en vue de réaliser leurs objectifs collectifs relatifs au travail. </w:t>
      </w:r>
    </w:p>
    <w:p w:rsidR="007B74A6" w:rsidRPr="00832F07" w:rsidRDefault="007B74A6" w:rsidP="00795B2B">
      <w:pPr>
        <w:pStyle w:val="ParaNoNdepar-AltN"/>
        <w:rPr>
          <w:rFonts w:cs="Times New Roman"/>
          <w:lang w:val="fr-CA"/>
        </w:rPr>
      </w:pPr>
      <w:r w:rsidRPr="00832F07">
        <w:rPr>
          <w:rFonts w:cs="Times New Roman"/>
          <w:lang w:val="fr-CA"/>
        </w:rPr>
        <w:t xml:space="preserve">En conséquence, le modèle Wagner est loin d’être le seul moyen qui permet d’assurer une véritable négociation collective; d’autres régimes pourraient être aussi efficaces sinon plus. Il n’appartient pas à la Cour d’empêcher des réformes législatives en cristallisant certaines caractéristiques essentielles d’un régime particulier et en les intégrant à la garantie fondamentale de la liberté d’association prévue par la </w:t>
      </w:r>
      <w:r w:rsidRPr="00832F07">
        <w:rPr>
          <w:rFonts w:cs="Times New Roman"/>
          <w:i/>
          <w:lang w:val="fr-CA"/>
        </w:rPr>
        <w:t>Charte</w:t>
      </w:r>
      <w:r w:rsidRPr="00832F07">
        <w:rPr>
          <w:rFonts w:cs="Times New Roman"/>
          <w:lang w:val="fr-CA"/>
        </w:rPr>
        <w:t xml:space="preserve">. </w:t>
      </w:r>
    </w:p>
    <w:p w:rsidR="007B74A6" w:rsidRPr="00832F07" w:rsidRDefault="007B74A6" w:rsidP="00795B2B">
      <w:pPr>
        <w:pStyle w:val="Title2LevelTitre2Niveau"/>
        <w:numPr>
          <w:ilvl w:val="1"/>
          <w:numId w:val="36"/>
        </w:numPr>
        <w:spacing w:before="0"/>
        <w:jc w:val="both"/>
        <w:rPr>
          <w:rFonts w:cs="Times New Roman"/>
          <w:lang w:val="fr-CA"/>
        </w:rPr>
      </w:pPr>
      <w:r w:rsidRPr="00832F07">
        <w:rPr>
          <w:rFonts w:cs="Times New Roman"/>
          <w:lang w:val="fr-CA"/>
        </w:rPr>
        <w:t>Caractère contradictoire</w:t>
      </w:r>
    </w:p>
    <w:p w:rsidR="007B74A6" w:rsidRPr="00832F07" w:rsidRDefault="007B74A6" w:rsidP="00795B2B">
      <w:pPr>
        <w:pStyle w:val="ParaNoNdepar-AltN"/>
        <w:rPr>
          <w:rFonts w:cs="Times New Roman"/>
          <w:lang w:val="fr-CA"/>
        </w:rPr>
      </w:pPr>
      <w:r w:rsidRPr="00832F07">
        <w:rPr>
          <w:rFonts w:cs="Times New Roman"/>
          <w:lang w:val="fr-CA"/>
        </w:rPr>
        <w:t xml:space="preserve">En exigeant l’indépendance et en la définissant comme ils le font, les juges majoritaires constitutionnalisent les relations de travail contradictoires, un trait </w:t>
      </w:r>
      <w:r w:rsidRPr="00832F07">
        <w:rPr>
          <w:rFonts w:cs="Times New Roman"/>
          <w:lang w:val="fr-CA"/>
        </w:rPr>
        <w:lastRenderedPageBreak/>
        <w:t xml:space="preserve">caractéristique du modèle Wagner. Comme </w:t>
      </w:r>
      <w:r w:rsidR="00BB5C81">
        <w:rPr>
          <w:rFonts w:cs="Times New Roman"/>
          <w:lang w:val="fr-CA"/>
        </w:rPr>
        <w:t>je l’ai</w:t>
      </w:r>
      <w:r w:rsidRPr="00832F07">
        <w:rPr>
          <w:rFonts w:cs="Times New Roman"/>
          <w:lang w:val="fr-CA"/>
        </w:rPr>
        <w:t xml:space="preserve"> déjà expliqué,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protège actuellement le processus par lequel les employés peuvent formuler des revendications et s’assurer que l’employeur les examine de bonne foi. Rien dans ce processus n’oblige les employés à formuler leurs observations par l’intermédiaire d’un porte</w:t>
      </w:r>
      <w:r w:rsidR="00795B2B">
        <w:rPr>
          <w:rFonts w:cs="Times New Roman"/>
          <w:lang w:val="fr-CA"/>
        </w:rPr>
        <w:t>-</w:t>
      </w:r>
      <w:r w:rsidRPr="00832F07">
        <w:rPr>
          <w:rFonts w:cs="Times New Roman"/>
          <w:lang w:val="fr-CA"/>
        </w:rPr>
        <w:t xml:space="preserve">parole qui mise sur l’affrontement plutôt que de recourir à un modèle axé sur la collaboration. </w:t>
      </w:r>
    </w:p>
    <w:p w:rsidR="007B74A6" w:rsidRPr="00832F07" w:rsidRDefault="007B74A6" w:rsidP="00795B2B">
      <w:pPr>
        <w:pStyle w:val="ParaNoNdepar-AltN"/>
        <w:rPr>
          <w:rFonts w:cs="Times New Roman"/>
          <w:lang w:val="fr-CA"/>
        </w:rPr>
      </w:pPr>
      <w:r w:rsidRPr="00832F07">
        <w:rPr>
          <w:rFonts w:cs="Times New Roman"/>
          <w:lang w:val="fr-CA"/>
        </w:rPr>
        <w:t>Les recherches indiquent que l’antagonisme produit des résultats moins avantageux pour les employés que les systèmes faisant appel à une collaboration entre les travailleurs et la direction</w:t>
      </w:r>
      <w:r>
        <w:rPr>
          <w:rFonts w:cs="Times New Roman"/>
          <w:lang w:val="fr-CA"/>
        </w:rPr>
        <w:t xml:space="preserve"> </w:t>
      </w:r>
      <w:r w:rsidRPr="00832F07">
        <w:rPr>
          <w:rFonts w:cs="Times New Roman"/>
          <w:lang w:val="fr-CA"/>
        </w:rPr>
        <w:t>(voir R.</w:t>
      </w:r>
      <w:r w:rsidR="00795B2B">
        <w:rPr>
          <w:rFonts w:cs="Times New Roman"/>
          <w:lang w:val="fr-CA"/>
        </w:rPr>
        <w:t xml:space="preserve"> </w:t>
      </w:r>
      <w:r w:rsidRPr="00832F07">
        <w:rPr>
          <w:rFonts w:cs="Times New Roman"/>
          <w:lang w:val="fr-CA"/>
        </w:rPr>
        <w:t>J.</w:t>
      </w:r>
      <w:r w:rsidR="00795B2B">
        <w:rPr>
          <w:rFonts w:cs="Times New Roman"/>
          <w:lang w:val="fr-CA"/>
        </w:rPr>
        <w:t xml:space="preserve"> </w:t>
      </w:r>
      <w:r w:rsidRPr="00832F07">
        <w:rPr>
          <w:rFonts w:cs="Times New Roman"/>
          <w:lang w:val="fr-CA"/>
        </w:rPr>
        <w:t xml:space="preserve">Adams, </w:t>
      </w:r>
      <w:r w:rsidR="00795B2B">
        <w:rPr>
          <w:rFonts w:cs="Times New Roman"/>
          <w:lang w:val="fr-CA"/>
        </w:rPr>
        <w:t>« </w:t>
      </w:r>
      <w:r w:rsidRPr="00832F07">
        <w:rPr>
          <w:rFonts w:cs="Times New Roman"/>
          <w:lang w:val="fr-CA"/>
        </w:rPr>
        <w:t xml:space="preserve">Public </w:t>
      </w:r>
      <w:proofErr w:type="spellStart"/>
      <w:r w:rsidRPr="00832F07">
        <w:rPr>
          <w:rFonts w:cs="Times New Roman"/>
          <w:lang w:val="fr-CA"/>
        </w:rPr>
        <w:t>Employment</w:t>
      </w:r>
      <w:proofErr w:type="spellEnd"/>
      <w:r w:rsidRPr="00832F07">
        <w:rPr>
          <w:rFonts w:cs="Times New Roman"/>
          <w:lang w:val="fr-CA"/>
        </w:rPr>
        <w:t xml:space="preserve"> Relations</w:t>
      </w:r>
      <w:r w:rsidR="00795B2B">
        <w:rPr>
          <w:rFonts w:cs="Times New Roman"/>
          <w:lang w:val="fr-CA"/>
        </w:rPr>
        <w:t> :</w:t>
      </w:r>
      <w:r w:rsidRPr="00832F07">
        <w:rPr>
          <w:rFonts w:cs="Times New Roman"/>
          <w:lang w:val="fr-CA"/>
        </w:rPr>
        <w:t xml:space="preserve"> Canadian </w:t>
      </w:r>
      <w:proofErr w:type="spellStart"/>
      <w:r w:rsidRPr="00832F07">
        <w:rPr>
          <w:rFonts w:cs="Times New Roman"/>
          <w:lang w:val="fr-CA"/>
        </w:rPr>
        <w:t>Developments</w:t>
      </w:r>
      <w:proofErr w:type="spellEnd"/>
      <w:r w:rsidRPr="00832F07">
        <w:rPr>
          <w:rFonts w:cs="Times New Roman"/>
          <w:lang w:val="fr-CA"/>
        </w:rPr>
        <w:t xml:space="preserve"> in Perspective</w:t>
      </w:r>
      <w:r w:rsidR="00795B2B">
        <w:rPr>
          <w:rFonts w:cs="Times New Roman"/>
          <w:lang w:val="fr-CA"/>
        </w:rPr>
        <w:t> »</w:t>
      </w:r>
      <w:r w:rsidRPr="00832F07">
        <w:rPr>
          <w:rFonts w:cs="Times New Roman"/>
          <w:lang w:val="fr-CA"/>
        </w:rPr>
        <w:t xml:space="preserve"> dans G.</w:t>
      </w:r>
      <w:r w:rsidR="00795B2B">
        <w:rPr>
          <w:rFonts w:cs="Times New Roman"/>
          <w:lang w:val="fr-CA"/>
        </w:rPr>
        <w:t xml:space="preserve"> </w:t>
      </w:r>
      <w:proofErr w:type="spellStart"/>
      <w:r w:rsidRPr="00832F07">
        <w:rPr>
          <w:rFonts w:cs="Times New Roman"/>
          <w:lang w:val="fr-CA"/>
        </w:rPr>
        <w:t>Swimmer</w:t>
      </w:r>
      <w:proofErr w:type="spellEnd"/>
      <w:r w:rsidRPr="00832F07">
        <w:rPr>
          <w:rFonts w:cs="Times New Roman"/>
          <w:lang w:val="fr-CA"/>
        </w:rPr>
        <w:t xml:space="preserve">, </w:t>
      </w:r>
      <w:proofErr w:type="spellStart"/>
      <w:proofErr w:type="gramStart"/>
      <w:r w:rsidRPr="00832F07">
        <w:rPr>
          <w:rFonts w:cs="Times New Roman"/>
          <w:lang w:val="fr-CA"/>
        </w:rPr>
        <w:t>dir</w:t>
      </w:r>
      <w:proofErr w:type="spellEnd"/>
      <w:r w:rsidRPr="00832F07">
        <w:rPr>
          <w:rFonts w:cs="Times New Roman"/>
          <w:lang w:val="fr-CA"/>
        </w:rPr>
        <w:t>.,</w:t>
      </w:r>
      <w:proofErr w:type="gramEnd"/>
      <w:r w:rsidRPr="00832F07">
        <w:rPr>
          <w:rFonts w:cs="Times New Roman"/>
          <w:lang w:val="fr-CA"/>
        </w:rPr>
        <w:t xml:space="preserve"> </w:t>
      </w:r>
      <w:r w:rsidRPr="00832F07">
        <w:rPr>
          <w:rFonts w:cs="Times New Roman"/>
          <w:i/>
          <w:iCs/>
          <w:lang w:val="fr-CA"/>
        </w:rPr>
        <w:t>Public</w:t>
      </w:r>
      <w:r w:rsidR="00795B2B">
        <w:rPr>
          <w:rFonts w:cs="Times New Roman"/>
          <w:i/>
          <w:iCs/>
          <w:lang w:val="fr-CA"/>
        </w:rPr>
        <w:t>-</w:t>
      </w:r>
      <w:proofErr w:type="spellStart"/>
      <w:r w:rsidRPr="00832F07">
        <w:rPr>
          <w:rFonts w:cs="Times New Roman"/>
          <w:i/>
          <w:iCs/>
          <w:lang w:val="fr-CA"/>
        </w:rPr>
        <w:t>Sector</w:t>
      </w:r>
      <w:proofErr w:type="spellEnd"/>
      <w:r w:rsidRPr="00832F07">
        <w:rPr>
          <w:rFonts w:cs="Times New Roman"/>
          <w:i/>
          <w:iCs/>
          <w:lang w:val="fr-CA"/>
        </w:rPr>
        <w:t xml:space="preserve"> Labour Relations in an </w:t>
      </w:r>
      <w:proofErr w:type="spellStart"/>
      <w:r w:rsidRPr="00832F07">
        <w:rPr>
          <w:rFonts w:cs="Times New Roman"/>
          <w:i/>
          <w:iCs/>
          <w:lang w:val="fr-CA"/>
        </w:rPr>
        <w:t>Era</w:t>
      </w:r>
      <w:proofErr w:type="spellEnd"/>
      <w:r w:rsidRPr="00832F07">
        <w:rPr>
          <w:rFonts w:cs="Times New Roman"/>
          <w:i/>
          <w:iCs/>
          <w:lang w:val="fr-CA"/>
        </w:rPr>
        <w:t xml:space="preserve"> of </w:t>
      </w:r>
      <w:proofErr w:type="spellStart"/>
      <w:r w:rsidRPr="00832F07">
        <w:rPr>
          <w:rFonts w:cs="Times New Roman"/>
          <w:i/>
          <w:iCs/>
          <w:lang w:val="fr-CA"/>
        </w:rPr>
        <w:t>Restraint</w:t>
      </w:r>
      <w:proofErr w:type="spellEnd"/>
      <w:r w:rsidRPr="00832F07">
        <w:rPr>
          <w:rFonts w:cs="Times New Roman"/>
          <w:i/>
          <w:iCs/>
          <w:lang w:val="fr-CA"/>
        </w:rPr>
        <w:t xml:space="preserve"> and </w:t>
      </w:r>
      <w:proofErr w:type="spellStart"/>
      <w:r w:rsidRPr="00832F07">
        <w:rPr>
          <w:rFonts w:cs="Times New Roman"/>
          <w:i/>
          <w:iCs/>
          <w:lang w:val="fr-CA"/>
        </w:rPr>
        <w:t>Restructuring</w:t>
      </w:r>
      <w:proofErr w:type="spellEnd"/>
      <w:r w:rsidRPr="00832F07">
        <w:rPr>
          <w:rFonts w:cs="Times New Roman"/>
          <w:lang w:val="fr-CA"/>
        </w:rPr>
        <w:t xml:space="preserve"> (2001)</w:t>
      </w:r>
      <w:r w:rsidR="00BB5C81">
        <w:rPr>
          <w:rFonts w:cs="Times New Roman"/>
          <w:lang w:val="fr-CA"/>
        </w:rPr>
        <w:t>,</w:t>
      </w:r>
      <w:r w:rsidRPr="00832F07">
        <w:rPr>
          <w:rFonts w:cs="Times New Roman"/>
          <w:lang w:val="fr-CA"/>
        </w:rPr>
        <w:t xml:space="preserve"> 212, p.</w:t>
      </w:r>
      <w:r w:rsidR="00795B2B">
        <w:rPr>
          <w:rFonts w:cs="Times New Roman"/>
          <w:lang w:val="fr-CA"/>
        </w:rPr>
        <w:t xml:space="preserve"> </w:t>
      </w:r>
      <w:r w:rsidRPr="00832F07">
        <w:rPr>
          <w:rFonts w:cs="Times New Roman"/>
          <w:lang w:val="fr-CA"/>
        </w:rPr>
        <w:t>221). Les critiques reprochent au modèle Wagner des relations de travail son caractère intrinsèquement contradictoire en faisant valoir qu’il est incompatible avec les systèmes modernes de</w:t>
      </w:r>
      <w:r w:rsidR="00BB5C81">
        <w:rPr>
          <w:rFonts w:cs="Times New Roman"/>
          <w:lang w:val="fr-CA"/>
        </w:rPr>
        <w:t xml:space="preserve"> [</w:t>
      </w:r>
      <w:r w:rsidR="00BB5C81" w:rsidRPr="00BB5C81">
        <w:rPr>
          <w:rFonts w:cs="Times New Roman"/>
          <w:smallCaps/>
          <w:lang w:val="fr-CA"/>
        </w:rPr>
        <w:t>traduction</w:t>
      </w:r>
      <w:r w:rsidR="00BB5C81">
        <w:rPr>
          <w:rFonts w:cs="Times New Roman"/>
          <w:lang w:val="fr-CA"/>
        </w:rPr>
        <w:t>]</w:t>
      </w:r>
      <w:r w:rsidRPr="00832F07">
        <w:rPr>
          <w:rFonts w:cs="Times New Roman"/>
          <w:lang w:val="fr-CA"/>
        </w:rPr>
        <w:t xml:space="preserve"> </w:t>
      </w:r>
      <w:r w:rsidR="00795B2B">
        <w:rPr>
          <w:rFonts w:cs="Times New Roman"/>
          <w:lang w:val="fr-CA"/>
        </w:rPr>
        <w:t>« </w:t>
      </w:r>
      <w:r w:rsidRPr="00832F07">
        <w:rPr>
          <w:rFonts w:cs="Times New Roman"/>
          <w:lang w:val="fr-CA"/>
        </w:rPr>
        <w:t>milieux de travail à haut rendement</w:t>
      </w:r>
      <w:r w:rsidR="00795B2B">
        <w:rPr>
          <w:rFonts w:cs="Times New Roman"/>
          <w:lang w:val="fr-CA"/>
        </w:rPr>
        <w:t> »</w:t>
      </w:r>
      <w:r w:rsidRPr="00832F07">
        <w:rPr>
          <w:rFonts w:cs="Times New Roman"/>
          <w:lang w:val="fr-CA"/>
        </w:rPr>
        <w:t>; ils font également observer qu’il est possible d’associer le fait que le modèle Wagner encourage les conflits aux niveaux plus faibles de rendement obtenus</w:t>
      </w:r>
      <w:r>
        <w:rPr>
          <w:rFonts w:cs="Times New Roman"/>
          <w:lang w:val="fr-CA"/>
        </w:rPr>
        <w:t xml:space="preserve"> </w:t>
      </w:r>
      <w:r w:rsidRPr="00832F07">
        <w:rPr>
          <w:rFonts w:cs="Times New Roman"/>
          <w:lang w:val="fr-CA"/>
        </w:rPr>
        <w:t xml:space="preserve">(Adams, </w:t>
      </w:r>
      <w:r w:rsidR="00795B2B">
        <w:rPr>
          <w:rFonts w:cs="Times New Roman"/>
          <w:lang w:val="fr-CA"/>
        </w:rPr>
        <w:t>« </w:t>
      </w:r>
      <w:r w:rsidRPr="00832F07">
        <w:rPr>
          <w:rFonts w:cs="Times New Roman"/>
          <w:lang w:val="fr-CA"/>
        </w:rPr>
        <w:t xml:space="preserve">A </w:t>
      </w:r>
      <w:proofErr w:type="spellStart"/>
      <w:r w:rsidRPr="00832F07">
        <w:rPr>
          <w:rFonts w:cs="Times New Roman"/>
          <w:lang w:val="fr-CA"/>
        </w:rPr>
        <w:t>Pernicious</w:t>
      </w:r>
      <w:proofErr w:type="spellEnd"/>
      <w:r w:rsidRPr="00832F07">
        <w:rPr>
          <w:rFonts w:cs="Times New Roman"/>
          <w:lang w:val="fr-CA"/>
        </w:rPr>
        <w:t xml:space="preserve"> </w:t>
      </w:r>
      <w:proofErr w:type="spellStart"/>
      <w:r w:rsidRPr="00832F07">
        <w:rPr>
          <w:rFonts w:cs="Times New Roman"/>
          <w:lang w:val="fr-CA"/>
        </w:rPr>
        <w:t>Euphoria</w:t>
      </w:r>
      <w:proofErr w:type="spellEnd"/>
      <w:r w:rsidR="00795B2B">
        <w:rPr>
          <w:rFonts w:cs="Times New Roman"/>
          <w:lang w:val="fr-CA"/>
        </w:rPr>
        <w:t> »</w:t>
      </w:r>
      <w:r w:rsidRPr="00832F07">
        <w:rPr>
          <w:rFonts w:cs="Times New Roman"/>
          <w:lang w:val="fr-CA"/>
        </w:rPr>
        <w:t>, p.</w:t>
      </w:r>
      <w:r w:rsidR="00795B2B">
        <w:rPr>
          <w:rFonts w:cs="Times New Roman"/>
          <w:lang w:val="fr-CA"/>
        </w:rPr>
        <w:t xml:space="preserve"> </w:t>
      </w:r>
      <w:r w:rsidRPr="00832F07">
        <w:rPr>
          <w:rFonts w:cs="Times New Roman"/>
          <w:lang w:val="fr-CA"/>
        </w:rPr>
        <w:t>344</w:t>
      </w:r>
      <w:r w:rsidR="00795B2B">
        <w:rPr>
          <w:rFonts w:cs="Times New Roman"/>
          <w:lang w:val="fr-CA"/>
        </w:rPr>
        <w:t>-</w:t>
      </w:r>
      <w:r w:rsidRPr="00832F07">
        <w:rPr>
          <w:rFonts w:cs="Times New Roman"/>
          <w:lang w:val="fr-CA"/>
        </w:rPr>
        <w:t>345). En outre, l’auteur Roy J.</w:t>
      </w:r>
      <w:r w:rsidR="00795B2B">
        <w:rPr>
          <w:rFonts w:cs="Times New Roman"/>
          <w:lang w:val="fr-CA"/>
        </w:rPr>
        <w:t xml:space="preserve"> </w:t>
      </w:r>
      <w:r w:rsidRPr="00832F07">
        <w:rPr>
          <w:rFonts w:cs="Times New Roman"/>
          <w:lang w:val="fr-CA"/>
        </w:rPr>
        <w:t>Adams a signalé les conséquences néfastes du modèle Wagner, dont le fait qu’il incite la direction à exclure les employés de la prise de décisions</w:t>
      </w:r>
      <w:r>
        <w:rPr>
          <w:rFonts w:cs="Times New Roman"/>
          <w:lang w:val="fr-CA"/>
        </w:rPr>
        <w:t xml:space="preserve"> (</w:t>
      </w:r>
      <w:r w:rsidRPr="00832F07">
        <w:rPr>
          <w:rFonts w:cs="Times New Roman"/>
          <w:i/>
          <w:lang w:val="fr-CA"/>
        </w:rPr>
        <w:t>ibid.</w:t>
      </w:r>
      <w:r w:rsidRPr="00832F07">
        <w:rPr>
          <w:rFonts w:cs="Times New Roman"/>
          <w:lang w:val="fr-CA"/>
        </w:rPr>
        <w:t>, p.</w:t>
      </w:r>
      <w:r w:rsidR="00795B2B">
        <w:rPr>
          <w:rFonts w:cs="Times New Roman"/>
          <w:lang w:val="fr-CA"/>
        </w:rPr>
        <w:t xml:space="preserve"> </w:t>
      </w:r>
      <w:r w:rsidRPr="00832F07">
        <w:rPr>
          <w:rFonts w:cs="Times New Roman"/>
          <w:lang w:val="fr-CA"/>
        </w:rPr>
        <w:t>342</w:t>
      </w:r>
      <w:r w:rsidR="00795B2B">
        <w:rPr>
          <w:rFonts w:cs="Times New Roman"/>
          <w:lang w:val="fr-CA"/>
        </w:rPr>
        <w:t>-</w:t>
      </w:r>
      <w:r w:rsidRPr="00832F07">
        <w:rPr>
          <w:rFonts w:cs="Times New Roman"/>
          <w:lang w:val="fr-CA"/>
        </w:rPr>
        <w:t xml:space="preserve">345). </w:t>
      </w:r>
    </w:p>
    <w:p w:rsidR="007B74A6" w:rsidRPr="00832F07" w:rsidRDefault="007B74A6" w:rsidP="00795B2B">
      <w:pPr>
        <w:pStyle w:val="ParaNoNdepar-AltN"/>
        <w:rPr>
          <w:rFonts w:cs="Times New Roman"/>
          <w:lang w:val="fr-CA"/>
        </w:rPr>
      </w:pPr>
      <w:r w:rsidRPr="00832F07">
        <w:rPr>
          <w:rFonts w:cs="Times New Roman"/>
          <w:lang w:val="fr-CA"/>
        </w:rPr>
        <w:t xml:space="preserve">C’est une erreur de considérer le modèle contradictoire comme essentiel à la tenue de véritables négociations collectives. Lorsque des discussions entre les employés et la direction permettent la prise en compte des préoccupations des employés lors des planifications futures, une forme de négociation axée sur la </w:t>
      </w:r>
      <w:r w:rsidRPr="00832F07">
        <w:rPr>
          <w:rFonts w:cs="Times New Roman"/>
          <w:lang w:val="fr-CA"/>
        </w:rPr>
        <w:lastRenderedPageBreak/>
        <w:t xml:space="preserve">collaboration peut davantage favoriser l’atteinte des objectifs en milieu de travail qu’une négociation contradictoire qui intervient après la planification et après que les décisions ont été prises par la direction et que les parties ont durci leur position. </w:t>
      </w:r>
    </w:p>
    <w:p w:rsidR="007B74A6" w:rsidRPr="00832F07" w:rsidRDefault="007B74A6" w:rsidP="00795B2B">
      <w:pPr>
        <w:pStyle w:val="ParaNoNdepar-AltN"/>
        <w:rPr>
          <w:rFonts w:cs="Times New Roman"/>
          <w:lang w:val="fr-CA"/>
        </w:rPr>
      </w:pPr>
      <w:r w:rsidRPr="00832F07">
        <w:rPr>
          <w:rFonts w:cs="Times New Roman"/>
          <w:lang w:val="fr-CA"/>
        </w:rPr>
        <w:t xml:space="preserve">Aucun modèle de relations de travail n’est parfait. C’est la raison pour laquelle les gouvernements doivent faire preuve de souplesse lorsqu’ils choisissent celui qui convient à une situation donnée et c’est la raison pour laquelle ils doivent tenir compte de l’évolution de la situation. Les juges majoritaires prennent acte du </w:t>
      </w:r>
      <w:r w:rsidR="00795B2B">
        <w:rPr>
          <w:rFonts w:cs="Times New Roman"/>
          <w:lang w:val="fr-CA"/>
        </w:rPr>
        <w:t>« </w:t>
      </w:r>
      <w:r w:rsidRPr="00832F07">
        <w:rPr>
          <w:rFonts w:cs="Times New Roman"/>
          <w:lang w:val="fr-CA"/>
        </w:rPr>
        <w:t>débat actuel sur l’opportunité de différentes formes de représentation et de collaboration en milieu de travail et sur leur coexistence</w:t>
      </w:r>
      <w:r w:rsidR="00795B2B">
        <w:rPr>
          <w:rFonts w:cs="Times New Roman"/>
          <w:lang w:val="fr-CA"/>
        </w:rPr>
        <w:t> »</w:t>
      </w:r>
      <w:r w:rsidRPr="00832F07">
        <w:rPr>
          <w:rFonts w:cs="Times New Roman"/>
          <w:lang w:val="fr-CA"/>
        </w:rPr>
        <w:t xml:space="preserve"> et du fait qu’il </w:t>
      </w:r>
      <w:r w:rsidR="00795B2B">
        <w:rPr>
          <w:rFonts w:cs="Times New Roman"/>
          <w:lang w:val="fr-CA"/>
        </w:rPr>
        <w:t>« </w:t>
      </w:r>
      <w:r w:rsidRPr="00832F07">
        <w:rPr>
          <w:rFonts w:cs="Times New Roman"/>
          <w:lang w:val="fr-CA"/>
        </w:rPr>
        <w:t>ne s’agit pas de trouver le régime “idéal” de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96-97). Ils reconnaissent également que </w:t>
      </w:r>
      <w:r w:rsidR="00795B2B">
        <w:rPr>
          <w:rFonts w:cs="Times New Roman"/>
          <w:lang w:val="fr-CA"/>
        </w:rPr>
        <w:t>« </w:t>
      </w:r>
      <w:r w:rsidRPr="00832F07">
        <w:rPr>
          <w:rFonts w:cs="Times New Roman"/>
          <w:lang w:val="fr-CA"/>
        </w:rPr>
        <w:t xml:space="preserve">rien dans la </w:t>
      </w:r>
      <w:r w:rsidRPr="00832F07">
        <w:rPr>
          <w:rFonts w:cs="Times New Roman"/>
          <w:i/>
          <w:lang w:val="fr-CA"/>
        </w:rPr>
        <w:t xml:space="preserve">Charte </w:t>
      </w:r>
      <w:r w:rsidRPr="00832F07">
        <w:rPr>
          <w:rFonts w:cs="Times New Roman"/>
          <w:lang w:val="fr-CA"/>
        </w:rPr>
        <w:t>n’empêche une association d’employés de s’engager librement avec l’employeur dans un type de négociation différent, moins contradictoire et davantage axé sur la collaboration</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97). Je suis d’accord pour dire que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n’a pas été interprété de manière à imposer un type de cadre de relations de travail donné, du moins jusqu’à maintenant. </w:t>
      </w:r>
    </w:p>
    <w:p w:rsidR="007B74A6" w:rsidRPr="00832F07" w:rsidRDefault="007B74A6" w:rsidP="00795B2B">
      <w:pPr>
        <w:pStyle w:val="ParaNoNdepar-AltN"/>
        <w:rPr>
          <w:rFonts w:cs="Times New Roman"/>
          <w:lang w:val="fr-CA"/>
        </w:rPr>
      </w:pPr>
      <w:r w:rsidRPr="00832F07">
        <w:rPr>
          <w:rFonts w:cs="Times New Roman"/>
          <w:lang w:val="fr-CA"/>
        </w:rPr>
        <w:t>En faisant de l’indépendance d’une association d’employés une condition nécessaire pour satisfaire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les juges majoritaires s’assurent que ce sont des modèles axés sur la confrontation plutôt que sur la collaboration qui seront inévitablement mis en place. Dire que les parties pourront encore collaborer est irréaliste dès lors que la Cour aura consacré la nécessité d’adopter un système inspiré du modèle Wagner, un système qui conduit forcément à la confrontation et au durcissement des positions. Dans un tel contexte, l’agent négociateur qui adopterait une approche collaborative pour négocier avec l’employeur prêterait le flanc aux </w:t>
      </w:r>
      <w:r w:rsidRPr="00832F07">
        <w:rPr>
          <w:rFonts w:cs="Times New Roman"/>
          <w:lang w:val="fr-CA"/>
        </w:rPr>
        <w:lastRenderedPageBreak/>
        <w:t>mêmes critiques que celles formulées par les appelantes en l’espèce</w:t>
      </w:r>
      <w:r w:rsidR="00795B2B">
        <w:rPr>
          <w:rFonts w:cs="Times New Roman"/>
          <w:lang w:val="fr-CA"/>
        </w:rPr>
        <w:t> :</w:t>
      </w:r>
      <w:r w:rsidRPr="00832F07">
        <w:rPr>
          <w:rFonts w:cs="Times New Roman"/>
          <w:lang w:val="fr-CA"/>
        </w:rPr>
        <w:t xml:space="preserve"> il se ferait reprocher d’avoir pris fait et cause pour la direction, de ne pas s’identifier aux objectifs des employés quant à leurs conditions de travail et de ne pas défendre leurs intérêts à l’abri de l’influence ou de l’ingérence de la direction. Inévitablement, les agents négociateurs devront adopter un style de négociation axé sur la confrontation plutôt que sur la collaboration, non seulement pour justifier leur existence, mais pour tenir à distance des agents négociateurs rivaux plus agressifs. Du</w:t>
      </w:r>
      <w:r w:rsidR="00795B2B">
        <w:rPr>
          <w:rFonts w:cs="Times New Roman"/>
          <w:lang w:val="fr-CA"/>
        </w:rPr>
        <w:t xml:space="preserve"> </w:t>
      </w:r>
      <w:r w:rsidRPr="00832F07">
        <w:rPr>
          <w:rFonts w:cs="Times New Roman"/>
          <w:lang w:val="fr-CA"/>
        </w:rPr>
        <w:t>coup, l’écart entre les positions de négociation de la direction et des employés se creusera encore plus, ce qui rendra les négociations et la recherche d’une solution plus difficiles.</w:t>
      </w:r>
    </w:p>
    <w:p w:rsidR="007B74A6" w:rsidRPr="00832F07" w:rsidRDefault="007B74A6" w:rsidP="00795B2B">
      <w:pPr>
        <w:pStyle w:val="ParaNoNdepar-AltN"/>
        <w:rPr>
          <w:rFonts w:cs="Times New Roman"/>
          <w:lang w:val="fr-CA"/>
        </w:rPr>
      </w:pPr>
      <w:r w:rsidRPr="00832F07">
        <w:rPr>
          <w:rFonts w:cs="Times New Roman"/>
          <w:lang w:val="fr-CA"/>
        </w:rPr>
        <w:t>La façon dont les juges majoritaires conçoivent la notion de véritable négociation collective laisse implicitement entendre que la direction est l’ennemi des employés et que la seule façon pour ces derniers d’améliorer leur sort consiste à recourir à la confrontation et à l’affrontement. Toutefois, un modèle axé sur la collaboration qui offre la possibilité aux employés de participer à l’étape de la planification stratégique de la prise de décision et d’influencer celle</w:t>
      </w:r>
      <w:r w:rsidR="00795B2B">
        <w:rPr>
          <w:rFonts w:cs="Times New Roman"/>
          <w:lang w:val="fr-CA"/>
        </w:rPr>
        <w:t>-</w:t>
      </w:r>
      <w:r w:rsidRPr="00832F07">
        <w:rPr>
          <w:rFonts w:cs="Times New Roman"/>
          <w:lang w:val="fr-CA"/>
        </w:rPr>
        <w:t xml:space="preserve">ci est susceptible d’améliorer et non de miner le contrôle des employés sur leurs conditions de travail. De fait, les modèles axés sur la collaboration s’accordent avec la conclusion des juges majoritaires dans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suivant laquelle le droit des employés à la négociation collective </w:t>
      </w:r>
      <w:r w:rsidR="00795B2B">
        <w:rPr>
          <w:rFonts w:cs="Times New Roman"/>
          <w:lang w:val="fr-CA"/>
        </w:rPr>
        <w:t>« </w:t>
      </w:r>
      <w:r w:rsidRPr="00832F07">
        <w:rPr>
          <w:rFonts w:cs="Times New Roman"/>
          <w:lang w:val="fr-CA"/>
        </w:rPr>
        <w:t xml:space="preserve">implique que l’employeur et les employés se rencontrent et négocient de bonne foi en vue de réaliser leur </w:t>
      </w:r>
      <w:r w:rsidRPr="00832F07">
        <w:rPr>
          <w:rFonts w:cs="Times New Roman"/>
          <w:u w:val="single"/>
          <w:lang w:val="fr-CA"/>
        </w:rPr>
        <w:t>objectif commun</w:t>
      </w:r>
      <w:r w:rsidRPr="00832F07">
        <w:rPr>
          <w:rFonts w:cs="Times New Roman"/>
          <w:lang w:val="fr-CA"/>
        </w:rPr>
        <w:t xml:space="preserve"> d’accommodement par des moyens pacifiques et productifs</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90 (je souligne)).</w:t>
      </w:r>
    </w:p>
    <w:p w:rsidR="007B74A6" w:rsidRPr="00832F07" w:rsidRDefault="007B74A6" w:rsidP="00795B2B">
      <w:pPr>
        <w:pStyle w:val="ParaNoNdepar-AltN"/>
        <w:rPr>
          <w:rFonts w:cs="Times New Roman"/>
          <w:lang w:val="fr-CA"/>
        </w:rPr>
      </w:pPr>
      <w:proofErr w:type="gramStart"/>
      <w:r w:rsidRPr="00832F07">
        <w:rPr>
          <w:rFonts w:cs="Times New Roman"/>
          <w:lang w:val="fr-CA"/>
        </w:rPr>
        <w:t>Conclure</w:t>
      </w:r>
      <w:proofErr w:type="gramEnd"/>
      <w:r w:rsidRPr="00832F07">
        <w:rPr>
          <w:rFonts w:cs="Times New Roman"/>
          <w:lang w:val="fr-CA"/>
        </w:rPr>
        <w:t xml:space="preserve"> que le droit dérivé à la négociation collective conféré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iCs/>
          <w:lang w:val="fr-CA"/>
        </w:rPr>
        <w:t>,</w:t>
      </w:r>
      <w:r w:rsidRPr="00832F07">
        <w:rPr>
          <w:rFonts w:cs="Times New Roman"/>
          <w:i/>
          <w:iCs/>
          <w:lang w:val="fr-CA"/>
        </w:rPr>
        <w:t xml:space="preserve"> </w:t>
      </w:r>
      <w:r w:rsidRPr="00832F07">
        <w:rPr>
          <w:rFonts w:cs="Times New Roman"/>
          <w:lang w:val="fr-CA"/>
        </w:rPr>
        <w:t>qui a été</w:t>
      </w:r>
      <w:r w:rsidRPr="00832F07">
        <w:rPr>
          <w:rFonts w:cs="Times New Roman"/>
          <w:i/>
          <w:iCs/>
          <w:lang w:val="fr-CA"/>
        </w:rPr>
        <w:t xml:space="preserve"> </w:t>
      </w:r>
      <w:r w:rsidRPr="00832F07">
        <w:rPr>
          <w:rFonts w:cs="Times New Roman"/>
          <w:lang w:val="fr-CA"/>
        </w:rPr>
        <w:t xml:space="preserve">reconnu dans </w:t>
      </w:r>
      <w:r w:rsidRPr="00832F07">
        <w:rPr>
          <w:rFonts w:cs="Times New Roman"/>
          <w:i/>
          <w:iCs/>
          <w:lang w:val="fr-CA"/>
        </w:rPr>
        <w:t>Fraser</w:t>
      </w:r>
      <w:r w:rsidRPr="00832F07">
        <w:rPr>
          <w:rFonts w:cs="Times New Roman"/>
          <w:iCs/>
          <w:lang w:val="fr-CA"/>
        </w:rPr>
        <w:t>,</w:t>
      </w:r>
      <w:r w:rsidRPr="00832F07">
        <w:rPr>
          <w:rFonts w:cs="Times New Roman"/>
          <w:lang w:val="fr-CA"/>
        </w:rPr>
        <w:t xml:space="preserve"> exige que les associations créées en </w:t>
      </w:r>
      <w:r w:rsidRPr="00832F07">
        <w:rPr>
          <w:rFonts w:cs="Times New Roman"/>
          <w:lang w:val="fr-CA"/>
        </w:rPr>
        <w:lastRenderedPageBreak/>
        <w:t xml:space="preserve">milieu de travail soient structurellement indépendantes de l’employeur revient à constitutionnaliser un modèle de relations de travail axé sur la confrontation et à exclure tout modèle axé sur la collaboration. Inscrire un modèle de relations de travail contradictoire en tant que droit reconnu par la </w:t>
      </w:r>
      <w:r w:rsidRPr="00832F07">
        <w:rPr>
          <w:rFonts w:cs="Times New Roman"/>
          <w:i/>
          <w:iCs/>
          <w:lang w:val="fr-CA"/>
        </w:rPr>
        <w:t>Charte</w:t>
      </w:r>
      <w:r w:rsidRPr="00832F07">
        <w:rPr>
          <w:rFonts w:cs="Times New Roman"/>
          <w:lang w:val="fr-CA"/>
        </w:rPr>
        <w:t xml:space="preserve"> revient à répudier les conclusions tirées antérieurement par la Cour </w:t>
      </w:r>
      <w:r w:rsidRPr="00832F07">
        <w:rPr>
          <w:rFonts w:cs="Times New Roman"/>
          <w:iCs/>
          <w:lang w:val="fr-CA"/>
        </w:rPr>
        <w:t>selon lesquelles l’al.</w:t>
      </w:r>
      <w:r w:rsidR="00795B2B">
        <w:rPr>
          <w:rFonts w:cs="Times New Roman"/>
          <w:iCs/>
          <w:lang w:val="fr-CA"/>
        </w:rPr>
        <w:t xml:space="preserve"> </w:t>
      </w:r>
      <w:r w:rsidRPr="00832F07">
        <w:rPr>
          <w:rFonts w:cs="Times New Roman"/>
          <w:iCs/>
          <w:lang w:val="fr-CA"/>
        </w:rPr>
        <w:t>2</w:t>
      </w:r>
      <w:r w:rsidRPr="00832F07">
        <w:rPr>
          <w:rFonts w:cs="Times New Roman"/>
          <w:i/>
          <w:iCs/>
          <w:lang w:val="fr-CA"/>
        </w:rPr>
        <w:t>d</w:t>
      </w:r>
      <w:r w:rsidRPr="00832F07">
        <w:rPr>
          <w:rFonts w:cs="Times New Roman"/>
          <w:iCs/>
          <w:lang w:val="fr-CA"/>
        </w:rPr>
        <w:t xml:space="preserve">) ne </w:t>
      </w:r>
      <w:r w:rsidRPr="00832F07">
        <w:rPr>
          <w:rFonts w:cs="Times New Roman"/>
          <w:lang w:val="fr-CA"/>
        </w:rPr>
        <w:t>garantit ni l’application d’un modèle particulier de négociation collective, ni l’obtention d’un résultat donné</w:t>
      </w:r>
      <w:r>
        <w:rPr>
          <w:rFonts w:cs="Times New Roman"/>
          <w:lang w:val="fr-CA"/>
        </w:rPr>
        <w:t xml:space="preserve"> (</w:t>
      </w:r>
      <w:r w:rsidRPr="00832F07">
        <w:rPr>
          <w:rFonts w:cs="Times New Roman"/>
          <w:i/>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 xml:space="preserve">45; </w:t>
      </w:r>
      <w:proofErr w:type="spellStart"/>
      <w:r w:rsidRPr="00832F07">
        <w:rPr>
          <w:rFonts w:cs="Times New Roman"/>
          <w:i/>
          <w:lang w:val="fr-CA"/>
        </w:rPr>
        <w:t>Health</w:t>
      </w:r>
      <w:proofErr w:type="spellEnd"/>
      <w:r w:rsidRPr="00832F07">
        <w:rPr>
          <w:rFonts w:cs="Times New Roman"/>
          <w:i/>
          <w:lang w:val="fr-CA"/>
        </w:rPr>
        <w:t xml:space="preserve"> Services</w:t>
      </w:r>
      <w:r w:rsidRPr="00832F07">
        <w:rPr>
          <w:rFonts w:cs="Times New Roman"/>
          <w:lang w:val="fr-CA"/>
        </w:rPr>
        <w:t>, par.</w:t>
      </w:r>
      <w:r w:rsidR="00795B2B">
        <w:rPr>
          <w:rFonts w:cs="Times New Roman"/>
          <w:lang w:val="fr-CA"/>
        </w:rPr>
        <w:t xml:space="preserve"> </w:t>
      </w:r>
      <w:r w:rsidRPr="00832F07">
        <w:rPr>
          <w:rFonts w:cs="Times New Roman"/>
          <w:lang w:val="fr-CA"/>
        </w:rPr>
        <w:t xml:space="preserve">91). Les juges majoritaires dans </w:t>
      </w:r>
      <w:r w:rsidRPr="00832F07">
        <w:rPr>
          <w:rFonts w:cs="Times New Roman"/>
          <w:i/>
          <w:lang w:val="fr-CA"/>
        </w:rPr>
        <w:t>Fraser</w:t>
      </w:r>
      <w:r w:rsidRPr="00832F07">
        <w:rPr>
          <w:rFonts w:cs="Times New Roman"/>
          <w:lang w:val="fr-CA"/>
        </w:rPr>
        <w:t xml:space="preserve"> ont également fait observer que </w:t>
      </w:r>
      <w:r w:rsidR="00795B2B">
        <w:rPr>
          <w:rFonts w:cs="Times New Roman"/>
          <w:lang w:val="fr-CA"/>
        </w:rPr>
        <w:t>« </w:t>
      </w:r>
      <w:r w:rsidRPr="00832F07">
        <w:rPr>
          <w:rFonts w:cs="Times New Roman"/>
          <w:lang w:val="fr-CA"/>
        </w:rPr>
        <w:t>la logique qui sous</w:t>
      </w:r>
      <w:r w:rsidR="00795B2B">
        <w:rPr>
          <w:rFonts w:cs="Times New Roman"/>
          <w:lang w:val="fr-CA"/>
        </w:rPr>
        <w:t>-</w:t>
      </w:r>
      <w:r w:rsidRPr="00832F07">
        <w:rPr>
          <w:rFonts w:cs="Times New Roman"/>
          <w:lang w:val="fr-CA"/>
        </w:rPr>
        <w:t xml:space="preserve">tend les arrêts </w:t>
      </w:r>
      <w:proofErr w:type="spellStart"/>
      <w:r w:rsidRPr="00832F07">
        <w:rPr>
          <w:rFonts w:cs="Times New Roman"/>
          <w:i/>
          <w:iCs/>
          <w:lang w:val="fr-CA"/>
        </w:rPr>
        <w:t>Dunmore</w:t>
      </w:r>
      <w:proofErr w:type="spellEnd"/>
      <w:r w:rsidRPr="00832F07">
        <w:rPr>
          <w:rFonts w:cs="Times New Roman"/>
          <w:lang w:val="fr-CA"/>
        </w:rPr>
        <w:t xml:space="preserve"> et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n’admet pas l’idée que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protège un type particulier de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46). Or, moins de quatre ans après le prononcé de cet arrêt, les juges majoritaires désavouent non seulement la trilogie en matière de droit du travail (</w:t>
      </w:r>
      <w:r w:rsidRPr="00832F07">
        <w:rPr>
          <w:rFonts w:cs="Times New Roman"/>
          <w:i/>
          <w:lang w:val="fr-CA"/>
        </w:rPr>
        <w:t xml:space="preserve">Renvoi relatif à la Public Service </w:t>
      </w:r>
      <w:proofErr w:type="spellStart"/>
      <w:r w:rsidRPr="00832F07">
        <w:rPr>
          <w:rFonts w:cs="Times New Roman"/>
          <w:i/>
          <w:lang w:val="fr-CA"/>
        </w:rPr>
        <w:t>Employee</w:t>
      </w:r>
      <w:proofErr w:type="spellEnd"/>
      <w:r w:rsidRPr="00832F07">
        <w:rPr>
          <w:rFonts w:cs="Times New Roman"/>
          <w:i/>
          <w:lang w:val="fr-CA"/>
        </w:rPr>
        <w:t xml:space="preserve"> Relations </w:t>
      </w:r>
      <w:proofErr w:type="spellStart"/>
      <w:r w:rsidRPr="00832F07">
        <w:rPr>
          <w:rFonts w:cs="Times New Roman"/>
          <w:i/>
          <w:lang w:val="fr-CA"/>
        </w:rPr>
        <w:t>Act</w:t>
      </w:r>
      <w:proofErr w:type="spellEnd"/>
      <w:r w:rsidRPr="00832F07">
        <w:rPr>
          <w:rFonts w:cs="Times New Roman"/>
          <w:i/>
          <w:lang w:val="fr-CA"/>
        </w:rPr>
        <w:t xml:space="preserve"> (</w:t>
      </w:r>
      <w:proofErr w:type="spellStart"/>
      <w:r w:rsidRPr="00832F07">
        <w:rPr>
          <w:rFonts w:cs="Times New Roman"/>
          <w:i/>
          <w:lang w:val="fr-CA"/>
        </w:rPr>
        <w:t>Alb</w:t>
      </w:r>
      <w:proofErr w:type="spellEnd"/>
      <w:r w:rsidRPr="00832F07">
        <w:rPr>
          <w:rFonts w:cs="Times New Roman"/>
          <w:i/>
          <w:lang w:val="fr-CA"/>
        </w:rPr>
        <w:t>.)</w:t>
      </w:r>
      <w:r w:rsidRPr="00832F07">
        <w:rPr>
          <w:rFonts w:cs="Times New Roman"/>
          <w:lang w:val="fr-CA"/>
        </w:rPr>
        <w:t xml:space="preserve">, [1987] 1 R.C.S. 313; </w:t>
      </w:r>
      <w:r w:rsidRPr="00832F07">
        <w:rPr>
          <w:rFonts w:cs="Times New Roman"/>
          <w:i/>
          <w:lang w:val="fr-CA"/>
        </w:rPr>
        <w:t>AFPC c. Canada</w:t>
      </w:r>
      <w:r w:rsidRPr="00832F07">
        <w:rPr>
          <w:rFonts w:cs="Times New Roman"/>
          <w:lang w:val="fr-CA"/>
        </w:rPr>
        <w:t xml:space="preserve">, [1987] 1 R.C.S. 424; et </w:t>
      </w:r>
      <w:r w:rsidRPr="00832F07">
        <w:rPr>
          <w:rFonts w:cs="Times New Roman"/>
          <w:i/>
          <w:lang w:val="fr-CA"/>
        </w:rPr>
        <w:t>SDGMR c. Saskatchewan</w:t>
      </w:r>
      <w:r w:rsidRPr="00832F07">
        <w:rPr>
          <w:rFonts w:cs="Times New Roman"/>
          <w:lang w:val="fr-CA"/>
        </w:rPr>
        <w:t xml:space="preserve">, [1987] 1 R.C.S. 460), </w:t>
      </w:r>
      <w:proofErr w:type="spellStart"/>
      <w:r w:rsidRPr="00832F07">
        <w:rPr>
          <w:rFonts w:cs="Times New Roman"/>
          <w:i/>
          <w:lang w:val="fr-CA"/>
        </w:rPr>
        <w:t>Dunmore</w:t>
      </w:r>
      <w:proofErr w:type="spellEnd"/>
      <w:r w:rsidRPr="00832F07">
        <w:rPr>
          <w:rFonts w:cs="Times New Roman"/>
          <w:i/>
          <w:lang w:val="fr-CA"/>
        </w:rPr>
        <w:t xml:space="preserve"> c. Ontario (Procureur général)</w:t>
      </w:r>
      <w:r w:rsidRPr="00832F07">
        <w:rPr>
          <w:rFonts w:cs="Times New Roman"/>
          <w:lang w:val="fr-CA"/>
        </w:rPr>
        <w:t xml:space="preserve">, 2001 CSC 94, [2001] 3 R.C.S. 1016, et </w:t>
      </w:r>
      <w:r w:rsidRPr="00832F07">
        <w:rPr>
          <w:rFonts w:cs="Times New Roman"/>
          <w:i/>
          <w:iCs/>
          <w:lang w:val="fr-CA"/>
        </w:rPr>
        <w:t>Delisle</w:t>
      </w:r>
      <w:r w:rsidRPr="00832F07">
        <w:rPr>
          <w:rFonts w:cs="Times New Roman"/>
          <w:lang w:val="fr-CA"/>
        </w:rPr>
        <w:t xml:space="preserve">, mais ils répudient également les arrêts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et </w:t>
      </w:r>
      <w:r w:rsidRPr="00832F07">
        <w:rPr>
          <w:rFonts w:cs="Times New Roman"/>
          <w:i/>
          <w:iCs/>
          <w:lang w:val="fr-CA"/>
        </w:rPr>
        <w:t>Fraser</w:t>
      </w:r>
      <w:r w:rsidRPr="00832F07">
        <w:rPr>
          <w:rFonts w:cs="Times New Roman"/>
          <w:lang w:val="fr-CA"/>
        </w:rPr>
        <w:t xml:space="preserve"> pour pouvoir parvenir au résultat qu’ils recherchent dans le cas qui nous occupe. Ce faisant, les juges majoritaires ignorent la mise en garde formulée dans </w:t>
      </w:r>
      <w:r w:rsidRPr="00832F07">
        <w:rPr>
          <w:rFonts w:cs="Times New Roman"/>
          <w:i/>
          <w:iCs/>
          <w:lang w:val="fr-CA"/>
        </w:rPr>
        <w:t>Fraser</w:t>
      </w:r>
      <w:r w:rsidR="00795B2B">
        <w:rPr>
          <w:rFonts w:cs="Times New Roman"/>
          <w:i/>
          <w:iCs/>
          <w:lang w:val="fr-CA"/>
        </w:rPr>
        <w:t> </w:t>
      </w:r>
      <w:r w:rsidR="00795B2B" w:rsidRPr="00BB5C81">
        <w:rPr>
          <w:rFonts w:cs="Times New Roman"/>
          <w:iCs/>
          <w:lang w:val="fr-CA"/>
        </w:rPr>
        <w:t>:</w:t>
      </w:r>
    </w:p>
    <w:p w:rsidR="007B74A6" w:rsidRPr="00832F07" w:rsidRDefault="007B74A6" w:rsidP="00795B2B">
      <w:pPr>
        <w:pStyle w:val="Citation-AltC"/>
        <w:ind w:hanging="1166"/>
        <w:contextualSpacing w:val="0"/>
        <w:rPr>
          <w:lang w:val="fr-CA"/>
        </w:rPr>
      </w:pPr>
      <w:r w:rsidRPr="00832F07">
        <w:rPr>
          <w:lang w:val="fr-CA"/>
        </w:rPr>
        <w:tab/>
      </w:r>
      <w:r w:rsidRPr="00832F07">
        <w:rPr>
          <w:lang w:val="fr-CA"/>
        </w:rPr>
        <w:tab/>
        <w:t xml:space="preserve">On ne saurait trop insister sur la gravité du renversement de deux arrêts récents de la Cour qui expriment l’avis réfléchi de majorités claires. Leur caractère récent milite d’autant plus contre leur abandon. </w:t>
      </w:r>
      <w:proofErr w:type="spellStart"/>
      <w:r w:rsidRPr="00832F07">
        <w:rPr>
          <w:i/>
          <w:iCs/>
          <w:lang w:val="fr-CA"/>
        </w:rPr>
        <w:t>Health</w:t>
      </w:r>
      <w:proofErr w:type="spellEnd"/>
      <w:r w:rsidRPr="00832F07">
        <w:rPr>
          <w:i/>
          <w:iCs/>
          <w:lang w:val="fr-CA"/>
        </w:rPr>
        <w:t xml:space="preserve"> Services</w:t>
      </w:r>
      <w:r w:rsidRPr="00832F07">
        <w:rPr>
          <w:lang w:val="fr-CA"/>
        </w:rPr>
        <w:t xml:space="preserve"> a été prononcé il y a seulement quatre ans, et lorsque le présent pourvoi a été entendu, seulement deux ans s’étaient écoulés. [</w:t>
      </w:r>
      <w:proofErr w:type="gramStart"/>
      <w:r w:rsidRPr="00832F07">
        <w:rPr>
          <w:lang w:val="fr-CA"/>
        </w:rPr>
        <w:t>par</w:t>
      </w:r>
      <w:proofErr w:type="gramEnd"/>
      <w:r w:rsidRPr="00832F07">
        <w:rPr>
          <w:lang w:val="fr-CA"/>
        </w:rPr>
        <w:t>.</w:t>
      </w:r>
      <w:r w:rsidR="00795B2B">
        <w:rPr>
          <w:lang w:val="fr-CA"/>
        </w:rPr>
        <w:t xml:space="preserve"> </w:t>
      </w:r>
      <w:r w:rsidRPr="00832F07">
        <w:rPr>
          <w:lang w:val="fr-CA"/>
        </w:rPr>
        <w:t>57]</w:t>
      </w:r>
    </w:p>
    <w:p w:rsidR="007B74A6" w:rsidRPr="00832F07" w:rsidRDefault="007B74A6" w:rsidP="00795B2B">
      <w:pPr>
        <w:pStyle w:val="ParaNoNdepar-AltN"/>
        <w:rPr>
          <w:rFonts w:cs="Times New Roman"/>
          <w:lang w:val="fr-CA"/>
        </w:rPr>
      </w:pPr>
      <w:r w:rsidRPr="00832F07">
        <w:rPr>
          <w:rFonts w:cs="Times New Roman"/>
          <w:lang w:val="fr-CA"/>
        </w:rPr>
        <w:t xml:space="preserve">Ainsi que la Cour l’a récemment fait observer dans l’arrêt </w:t>
      </w:r>
      <w:r w:rsidRPr="00832F07">
        <w:rPr>
          <w:rFonts w:cs="Times New Roman"/>
          <w:i/>
          <w:lang w:val="fr-CA"/>
        </w:rPr>
        <w:t>Canada (Procureur général)</w:t>
      </w:r>
      <w:r w:rsidRPr="00832F07">
        <w:rPr>
          <w:rFonts w:cs="Times New Roman"/>
          <w:lang w:val="fr-CA"/>
        </w:rPr>
        <w:t xml:space="preserve"> </w:t>
      </w:r>
      <w:r w:rsidRPr="00832F07">
        <w:rPr>
          <w:rFonts w:cs="Times New Roman"/>
          <w:i/>
          <w:lang w:val="fr-CA"/>
        </w:rPr>
        <w:t>c.</w:t>
      </w:r>
      <w:r w:rsidRPr="00832F07">
        <w:rPr>
          <w:rFonts w:cs="Times New Roman"/>
          <w:lang w:val="fr-CA"/>
        </w:rPr>
        <w:t xml:space="preserve"> </w:t>
      </w:r>
      <w:r w:rsidRPr="00832F07">
        <w:rPr>
          <w:rFonts w:cs="Times New Roman"/>
          <w:i/>
          <w:iCs/>
          <w:lang w:val="fr-CA"/>
        </w:rPr>
        <w:t>Bedford</w:t>
      </w:r>
      <w:r w:rsidRPr="00832F07">
        <w:rPr>
          <w:rFonts w:cs="Times New Roman"/>
          <w:lang w:val="fr-CA"/>
        </w:rPr>
        <w:t>, 2013 CSC 72, [2013] 3 R.C.S. 1101</w:t>
      </w:r>
      <w:r w:rsidR="00795B2B">
        <w:rPr>
          <w:rFonts w:cs="Times New Roman"/>
          <w:lang w:val="fr-CA"/>
        </w:rPr>
        <w:t> :</w:t>
      </w:r>
      <w:r w:rsidRPr="00832F07">
        <w:rPr>
          <w:rFonts w:cs="Times New Roman"/>
          <w:lang w:val="fr-CA"/>
        </w:rPr>
        <w:t xml:space="preserve"> </w:t>
      </w:r>
      <w:r w:rsidR="00795B2B">
        <w:rPr>
          <w:rFonts w:cs="Times New Roman"/>
          <w:lang w:val="fr-CA"/>
        </w:rPr>
        <w:t>« </w:t>
      </w:r>
      <w:r w:rsidRPr="00832F07">
        <w:rPr>
          <w:rFonts w:cs="Times New Roman"/>
          <w:lang w:val="fr-CA"/>
        </w:rPr>
        <w:t xml:space="preserve">La notion de </w:t>
      </w:r>
      <w:r w:rsidRPr="00832F07">
        <w:rPr>
          <w:rFonts w:cs="Times New Roman"/>
          <w:lang w:val="fr-CA"/>
        </w:rPr>
        <w:lastRenderedPageBreak/>
        <w:t xml:space="preserve">certitude du droit exige que les tribunaux suivent et appliquent les précédents qui font autorité. C’est d’ailleurs l’assise fondamentale de la </w:t>
      </w:r>
      <w:proofErr w:type="spellStart"/>
      <w:r w:rsidRPr="00832F07">
        <w:rPr>
          <w:rFonts w:cs="Times New Roman"/>
          <w:lang w:val="fr-CA"/>
        </w:rPr>
        <w:t>common</w:t>
      </w:r>
      <w:proofErr w:type="spellEnd"/>
      <w:r w:rsidRPr="00832F07">
        <w:rPr>
          <w:rFonts w:cs="Times New Roman"/>
          <w:lang w:val="fr-CA"/>
        </w:rPr>
        <w:t xml:space="preserve"> </w:t>
      </w:r>
      <w:proofErr w:type="spellStart"/>
      <w:r w:rsidRPr="00832F07">
        <w:rPr>
          <w:rFonts w:cs="Times New Roman"/>
          <w:lang w:val="fr-CA"/>
        </w:rPr>
        <w:t>law</w:t>
      </w:r>
      <w:proofErr w:type="spellEnd"/>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38). La certitude du droit est essentielle</w:t>
      </w:r>
      <w:r w:rsidR="00795B2B">
        <w:rPr>
          <w:rFonts w:cs="Times New Roman"/>
          <w:lang w:val="fr-CA"/>
        </w:rPr>
        <w:t> :</w:t>
      </w:r>
      <w:r w:rsidRPr="00832F07">
        <w:rPr>
          <w:rFonts w:cs="Times New Roman"/>
          <w:lang w:val="fr-CA"/>
        </w:rPr>
        <w:t xml:space="preserve"> elle permet aux Canadiens de savoir à quoi s’attendre des tribunaux, de leurs gouvernements et les uns des autres. Si la Cour peut bel et bien rompre avec sa jurisprudence antérieure dans certaines circonstances, l’importance et la valeur de la notion de certitude exigent qu’elle ne le fasse que rarement et qu’après avoir attentivement et expressément examiné la situation pour s’assurer que sa décision est justifiée et que les conséquences de cette dérogation au principe habituel de la règle du </w:t>
      </w:r>
      <w:proofErr w:type="spellStart"/>
      <w:r w:rsidRPr="00832F07">
        <w:rPr>
          <w:rFonts w:cs="Times New Roman"/>
          <w:i/>
          <w:iCs/>
          <w:lang w:val="fr-CA"/>
        </w:rPr>
        <w:t>stare</w:t>
      </w:r>
      <w:proofErr w:type="spellEnd"/>
      <w:r w:rsidR="00795B2B">
        <w:rPr>
          <w:rFonts w:cs="Times New Roman"/>
          <w:i/>
          <w:iCs/>
          <w:lang w:val="fr-CA"/>
        </w:rPr>
        <w:t xml:space="preserve"> </w:t>
      </w:r>
      <w:proofErr w:type="spellStart"/>
      <w:r w:rsidRPr="00832F07">
        <w:rPr>
          <w:rFonts w:cs="Times New Roman"/>
          <w:i/>
          <w:iCs/>
          <w:lang w:val="fr-CA"/>
        </w:rPr>
        <w:t>decisis</w:t>
      </w:r>
      <w:proofErr w:type="spellEnd"/>
      <w:r w:rsidRPr="00832F07">
        <w:rPr>
          <w:rFonts w:cs="Times New Roman"/>
          <w:lang w:val="fr-CA"/>
        </w:rPr>
        <w:t xml:space="preserve"> ont été attentivement et pleinement soupesées. Les juges majoritaires ne l’ont pas fait en l’espèce et leur décision de rompre avec la jurisprudence antérieure ne satisfait pas à cette norme exigeante.</w:t>
      </w:r>
    </w:p>
    <w:p w:rsidR="007B74A6" w:rsidRPr="00832F07" w:rsidRDefault="007B74A6" w:rsidP="00795B2B">
      <w:pPr>
        <w:pStyle w:val="Title2LevelTitre2Niveau"/>
        <w:numPr>
          <w:ilvl w:val="1"/>
          <w:numId w:val="36"/>
        </w:numPr>
        <w:spacing w:before="0"/>
        <w:jc w:val="both"/>
        <w:rPr>
          <w:rFonts w:cs="Times New Roman"/>
          <w:lang w:val="fr-CA"/>
        </w:rPr>
      </w:pPr>
      <w:r w:rsidRPr="00832F07">
        <w:rPr>
          <w:rFonts w:cs="Times New Roman"/>
          <w:lang w:val="fr-CA"/>
        </w:rPr>
        <w:t>Est</w:t>
      </w:r>
      <w:r w:rsidR="00795B2B">
        <w:rPr>
          <w:rFonts w:cs="Times New Roman"/>
          <w:lang w:val="fr-CA"/>
        </w:rPr>
        <w:t>-</w:t>
      </w:r>
      <w:r w:rsidRPr="00832F07">
        <w:rPr>
          <w:rFonts w:cs="Times New Roman"/>
          <w:lang w:val="fr-CA"/>
        </w:rPr>
        <w:t>il effectivement impossible de réaliser les objectifs des membres relatifs au travail?</w:t>
      </w:r>
    </w:p>
    <w:p w:rsidR="007B74A6" w:rsidRPr="00832F07" w:rsidRDefault="007B74A6" w:rsidP="00795B2B">
      <w:pPr>
        <w:pStyle w:val="ParaNoNdepar-AltN"/>
        <w:rPr>
          <w:rFonts w:cs="Times New Roman"/>
          <w:lang w:val="fr-CA"/>
        </w:rPr>
      </w:pPr>
      <w:r w:rsidRPr="00832F07">
        <w:rPr>
          <w:rFonts w:cs="Times New Roman"/>
          <w:lang w:val="fr-CA"/>
        </w:rPr>
        <w:t xml:space="preserve">Dans l’arrêt </w:t>
      </w:r>
      <w:r w:rsidRPr="00832F07">
        <w:rPr>
          <w:rFonts w:cs="Times New Roman"/>
          <w:i/>
          <w:iCs/>
          <w:lang w:val="fr-CA"/>
        </w:rPr>
        <w:t>Fraser</w:t>
      </w:r>
      <w:r w:rsidRPr="00832F07">
        <w:rPr>
          <w:rFonts w:cs="Times New Roman"/>
          <w:lang w:val="fr-CA"/>
        </w:rPr>
        <w:t>,</w:t>
      </w:r>
      <w:r w:rsidRPr="00832F07">
        <w:rPr>
          <w:rFonts w:cs="Times New Roman"/>
          <w:i/>
          <w:iCs/>
          <w:lang w:val="fr-CA"/>
        </w:rPr>
        <w:t xml:space="preserve"> </w:t>
      </w:r>
      <w:r w:rsidRPr="00832F07">
        <w:rPr>
          <w:rFonts w:cs="Times New Roman"/>
          <w:lang w:val="fr-CA"/>
        </w:rPr>
        <w:t>le test permettant de conclure à une violation de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a été défini comme suit</w:t>
      </w:r>
      <w:r w:rsidR="00795B2B">
        <w:rPr>
          <w:rFonts w:cs="Times New Roman"/>
          <w:lang w:val="fr-CA"/>
        </w:rPr>
        <w:t> :</w:t>
      </w:r>
      <w:r w:rsidRPr="00832F07">
        <w:rPr>
          <w:rFonts w:cs="Times New Roman"/>
          <w:lang w:val="fr-CA"/>
        </w:rPr>
        <w:t xml:space="preserve"> la loi ou la mesure adoptée par l’État rend</w:t>
      </w:r>
      <w:r w:rsidR="00795B2B">
        <w:rPr>
          <w:rFonts w:cs="Times New Roman"/>
          <w:lang w:val="fr-CA"/>
        </w:rPr>
        <w:t>-</w:t>
      </w:r>
      <w:r w:rsidRPr="00832F07">
        <w:rPr>
          <w:rFonts w:cs="Times New Roman"/>
          <w:lang w:val="fr-CA"/>
        </w:rPr>
        <w:t>elle</w:t>
      </w:r>
      <w:r w:rsidRPr="00832F07">
        <w:rPr>
          <w:rFonts w:cs="Times New Roman"/>
          <w:i/>
          <w:lang w:val="fr-CA"/>
        </w:rPr>
        <w:t xml:space="preserve"> effectivement impossible </w:t>
      </w:r>
      <w:r w:rsidRPr="00832F07">
        <w:rPr>
          <w:rFonts w:cs="Times New Roman"/>
          <w:lang w:val="fr-CA"/>
        </w:rPr>
        <w:t>l’association véritable d’employés en vue de présenter des observations à l’employeur et de les voir prises en compte de bonne foi par lui? (par.</w:t>
      </w:r>
      <w:r w:rsidR="00795B2B">
        <w:rPr>
          <w:rFonts w:cs="Times New Roman"/>
          <w:lang w:val="fr-CA"/>
        </w:rPr>
        <w:t xml:space="preserve"> </w:t>
      </w:r>
      <w:r w:rsidRPr="00832F07">
        <w:rPr>
          <w:rFonts w:cs="Times New Roman"/>
          <w:lang w:val="fr-CA"/>
        </w:rPr>
        <w:t>98)</w:t>
      </w:r>
      <w:r>
        <w:rPr>
          <w:rFonts w:cs="Times New Roman"/>
          <w:lang w:val="fr-CA"/>
        </w:rPr>
        <w:t>.</w:t>
      </w:r>
      <w:r w:rsidRPr="00832F07">
        <w:rPr>
          <w:rFonts w:cs="Times New Roman"/>
          <w:lang w:val="fr-CA"/>
        </w:rPr>
        <w:t xml:space="preserve"> On ne peut ignorer la décision des juges majoritaires dans cet arrêt</w:t>
      </w:r>
      <w:r w:rsidR="00795B2B">
        <w:rPr>
          <w:rFonts w:cs="Times New Roman"/>
          <w:lang w:val="fr-CA"/>
        </w:rPr>
        <w:t> :</w:t>
      </w:r>
      <w:r w:rsidRPr="00832F07">
        <w:rPr>
          <w:rFonts w:cs="Times New Roman"/>
          <w:lang w:val="fr-CA"/>
        </w:rPr>
        <w:t xml:space="preserve"> ils mentionnent le critère de l’impossibilité — </w:t>
      </w:r>
      <w:r>
        <w:rPr>
          <w:rFonts w:cs="Times New Roman"/>
          <w:lang w:val="fr-CA"/>
        </w:rPr>
        <w:t>substa</w:t>
      </w:r>
      <w:r w:rsidRPr="00832F07">
        <w:rPr>
          <w:rFonts w:cs="Times New Roman"/>
          <w:lang w:val="fr-CA"/>
        </w:rPr>
        <w:t xml:space="preserve">ntielle ou effective — </w:t>
      </w:r>
      <w:r w:rsidRPr="00832F07">
        <w:rPr>
          <w:rFonts w:cs="Times New Roman"/>
          <w:i/>
          <w:lang w:val="fr-CA"/>
        </w:rPr>
        <w:t xml:space="preserve">à pas moins de </w:t>
      </w:r>
      <w:r w:rsidR="00764AAE">
        <w:rPr>
          <w:rFonts w:cs="Times New Roman"/>
          <w:i/>
          <w:lang w:val="fr-CA"/>
        </w:rPr>
        <w:t>12</w:t>
      </w:r>
      <w:r w:rsidRPr="00832F07">
        <w:rPr>
          <w:rFonts w:cs="Times New Roman"/>
          <w:i/>
          <w:lang w:val="fr-CA"/>
        </w:rPr>
        <w:t xml:space="preserve"> reprises</w:t>
      </w:r>
      <w:r w:rsidRPr="00832F07">
        <w:rPr>
          <w:rFonts w:cs="Times New Roman"/>
          <w:lang w:val="fr-CA"/>
        </w:rPr>
        <w:t xml:space="preserve">, en en retraçant les origines aux arrêts </w:t>
      </w:r>
      <w:proofErr w:type="spellStart"/>
      <w:r w:rsidRPr="00832F07">
        <w:rPr>
          <w:rFonts w:cs="Times New Roman"/>
          <w:i/>
          <w:iCs/>
          <w:lang w:val="fr-CA"/>
        </w:rPr>
        <w:t>Dunmore</w:t>
      </w:r>
      <w:proofErr w:type="spellEnd"/>
      <w:r w:rsidRPr="00832F07">
        <w:rPr>
          <w:rFonts w:cs="Times New Roman"/>
          <w:i/>
          <w:iCs/>
          <w:lang w:val="fr-CA"/>
        </w:rPr>
        <w:t xml:space="preserve"> </w:t>
      </w:r>
      <w:r w:rsidRPr="00832F07">
        <w:rPr>
          <w:rFonts w:cs="Times New Roman"/>
          <w:lang w:val="fr-CA"/>
        </w:rPr>
        <w:t xml:space="preserve">et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xml:space="preserve"> et en appliquant ensuite ce critère à l’affaire dont ils sont saisis</w:t>
      </w:r>
      <w:r>
        <w:rPr>
          <w:rFonts w:cs="Times New Roman"/>
          <w:lang w:val="fr-CA"/>
        </w:rPr>
        <w:t xml:space="preserve"> (</w:t>
      </w:r>
      <w:r w:rsidRPr="00832F07">
        <w:rPr>
          <w:rFonts w:cs="Times New Roman"/>
          <w:lang w:val="fr-CA"/>
        </w:rPr>
        <w:t xml:space="preserve">voir </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31</w:t>
      </w:r>
      <w:r w:rsidR="00795B2B">
        <w:rPr>
          <w:rFonts w:cs="Times New Roman"/>
          <w:lang w:val="fr-CA"/>
        </w:rPr>
        <w:t>-</w:t>
      </w:r>
      <w:r w:rsidRPr="00832F07">
        <w:rPr>
          <w:rFonts w:cs="Times New Roman"/>
          <w:lang w:val="fr-CA"/>
        </w:rPr>
        <w:t>34, 38, 42, 46</w:t>
      </w:r>
      <w:r w:rsidR="00795B2B">
        <w:rPr>
          <w:rFonts w:cs="Times New Roman"/>
          <w:lang w:val="fr-CA"/>
        </w:rPr>
        <w:t>-</w:t>
      </w:r>
      <w:r w:rsidRPr="00832F07">
        <w:rPr>
          <w:rFonts w:cs="Times New Roman"/>
          <w:lang w:val="fr-CA"/>
        </w:rPr>
        <w:t xml:space="preserve">48, 62 et 98). Même si la Cour déclare de façon catégorique dans l’arrêt </w:t>
      </w:r>
      <w:r w:rsidRPr="00832F07">
        <w:rPr>
          <w:rFonts w:cs="Times New Roman"/>
          <w:i/>
          <w:iCs/>
          <w:lang w:val="fr-CA"/>
        </w:rPr>
        <w:t>Fraser</w:t>
      </w:r>
      <w:r w:rsidRPr="00832F07">
        <w:rPr>
          <w:rFonts w:cs="Times New Roman"/>
          <w:lang w:val="fr-CA"/>
        </w:rPr>
        <w:t xml:space="preserve"> que </w:t>
      </w:r>
      <w:r w:rsidR="00795B2B">
        <w:rPr>
          <w:rFonts w:cs="Times New Roman"/>
          <w:lang w:val="fr-CA"/>
        </w:rPr>
        <w:t>« </w:t>
      </w:r>
      <w:r w:rsidRPr="00832F07">
        <w:rPr>
          <w:rFonts w:cs="Times New Roman"/>
          <w:lang w:val="fr-CA"/>
        </w:rPr>
        <w:t xml:space="preserve">[l]a question demeure celle de savoir si la loi ou la mesure gouvernementale contestée rend </w:t>
      </w:r>
      <w:r w:rsidRPr="00832F07">
        <w:rPr>
          <w:rFonts w:cs="Times New Roman"/>
          <w:u w:val="single"/>
          <w:lang w:val="fr-CA"/>
        </w:rPr>
        <w:t>impossible</w:t>
      </w:r>
      <w:r w:rsidRPr="00832F07">
        <w:rPr>
          <w:rFonts w:cs="Times New Roman"/>
          <w:lang w:val="fr-CA"/>
        </w:rPr>
        <w:t xml:space="preserve"> l’action collective visant la réalisation </w:t>
      </w:r>
      <w:r w:rsidRPr="00832F07">
        <w:rPr>
          <w:rFonts w:cs="Times New Roman"/>
          <w:lang w:val="fr-CA"/>
        </w:rPr>
        <w:lastRenderedPageBreak/>
        <w:t>d’objectifs liés au travail</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46 (je souligne)), moins de quatre</w:t>
      </w:r>
      <w:r w:rsidR="00795B2B">
        <w:rPr>
          <w:rFonts w:cs="Times New Roman"/>
          <w:lang w:val="fr-CA"/>
        </w:rPr>
        <w:t xml:space="preserve"> </w:t>
      </w:r>
      <w:r w:rsidRPr="00832F07">
        <w:rPr>
          <w:rFonts w:cs="Times New Roman"/>
          <w:lang w:val="fr-CA"/>
        </w:rPr>
        <w:t xml:space="preserve">ans plus tard, mes collègues affirment maintenant que </w:t>
      </w:r>
      <w:r w:rsidR="00795B2B">
        <w:rPr>
          <w:rFonts w:cs="Times New Roman"/>
          <w:lang w:val="fr-CA"/>
        </w:rPr>
        <w:t>« </w:t>
      </w:r>
      <w:r w:rsidRPr="00832F07">
        <w:rPr>
          <w:rFonts w:cs="Times New Roman"/>
          <w:lang w:val="fr-CA"/>
        </w:rPr>
        <w:t xml:space="preserve">les juges majoritaires dans </w:t>
      </w:r>
      <w:r w:rsidRPr="00832F07">
        <w:rPr>
          <w:rFonts w:cs="Times New Roman"/>
          <w:i/>
          <w:lang w:val="fr-CA"/>
        </w:rPr>
        <w:t>Fraser</w:t>
      </w:r>
      <w:r w:rsidRPr="00832F07">
        <w:rPr>
          <w:rFonts w:cs="Times New Roman"/>
          <w:lang w:val="fr-CA"/>
        </w:rPr>
        <w:t xml:space="preserve"> ont adopté le </w:t>
      </w:r>
      <w:r w:rsidRPr="00832F07">
        <w:rPr>
          <w:rFonts w:cs="Times New Roman"/>
          <w:i/>
          <w:lang w:val="fr-CA"/>
        </w:rPr>
        <w:t>test juridique</w:t>
      </w:r>
      <w:r w:rsidRPr="00832F07">
        <w:rPr>
          <w:rFonts w:cs="Times New Roman"/>
          <w:lang w:val="fr-CA"/>
        </w:rPr>
        <w:t xml:space="preserve"> de </w:t>
      </w:r>
      <w:r w:rsidRPr="00832F07">
        <w:rPr>
          <w:rFonts w:cs="Times New Roman"/>
          <w:u w:val="single"/>
          <w:lang w:val="fr-CA"/>
        </w:rPr>
        <w:t>l’entrave substantielle</w:t>
      </w:r>
      <w:r w:rsidRPr="00832F07">
        <w:rPr>
          <w:rFonts w:cs="Times New Roman"/>
          <w:lang w:val="fr-CA"/>
        </w:rPr>
        <w:t xml:space="preserve"> pour conclure à une atteinte au droit d’association</w:t>
      </w:r>
      <w:r w:rsidR="00795B2B">
        <w:rPr>
          <w:rFonts w:cs="Times New Roman"/>
          <w:lang w:val="fr-CA"/>
        </w:rPr>
        <w:t> »</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75 (je souligne)). Soit dit en tout respect, je suis d’avis qu’en répudiant un test admis aussi récemment et en refusant de reconnaître qu’ils s’en écartent, les juges majoritaires discréditent la légitimité de leur démarche dans le présent pourvoi. </w:t>
      </w:r>
    </w:p>
    <w:p w:rsidR="007B74A6" w:rsidRPr="00832F07" w:rsidRDefault="007B74A6" w:rsidP="00795B2B">
      <w:pPr>
        <w:pStyle w:val="ParaNoNdepar-AltN"/>
        <w:rPr>
          <w:rFonts w:cs="Times New Roman"/>
          <w:lang w:val="fr-CA"/>
        </w:rPr>
      </w:pPr>
      <w:r w:rsidRPr="00832F07">
        <w:rPr>
          <w:rFonts w:cs="Times New Roman"/>
          <w:lang w:val="fr-CA"/>
        </w:rPr>
        <w:t xml:space="preserve">Les juges majoritaires tentent de justifier leur décision de s’écarter de la norme établie dans </w:t>
      </w:r>
      <w:r w:rsidRPr="00832F07">
        <w:rPr>
          <w:rFonts w:cs="Times New Roman"/>
          <w:i/>
          <w:iCs/>
          <w:lang w:val="fr-CA"/>
        </w:rPr>
        <w:t>Fraser</w:t>
      </w:r>
      <w:r w:rsidRPr="00832F07">
        <w:rPr>
          <w:rFonts w:cs="Times New Roman"/>
          <w:lang w:val="fr-CA"/>
        </w:rPr>
        <w:t xml:space="preserve"> en faisant valoir que, dans cet arrêt, la Cour a recouru au concept de </w:t>
      </w:r>
      <w:r w:rsidR="00795B2B">
        <w:rPr>
          <w:rFonts w:cs="Times New Roman"/>
          <w:lang w:val="fr-CA"/>
        </w:rPr>
        <w:t>« </w:t>
      </w:r>
      <w:r w:rsidRPr="00832F07">
        <w:rPr>
          <w:rFonts w:cs="Times New Roman"/>
          <w:lang w:val="fr-CA"/>
        </w:rPr>
        <w:t>l’impossibilité effective</w:t>
      </w:r>
      <w:r w:rsidR="00795B2B">
        <w:rPr>
          <w:rFonts w:cs="Times New Roman"/>
          <w:lang w:val="fr-CA"/>
        </w:rPr>
        <w:t> »</w:t>
      </w:r>
      <w:r w:rsidRPr="00832F07">
        <w:rPr>
          <w:rFonts w:cs="Times New Roman"/>
          <w:lang w:val="fr-CA"/>
        </w:rPr>
        <w:t xml:space="preserve"> pour décrire les effets d’un régime législatif, alors que c’est le test de </w:t>
      </w:r>
      <w:r w:rsidR="00795B2B">
        <w:rPr>
          <w:rFonts w:cs="Times New Roman"/>
          <w:lang w:val="fr-CA"/>
        </w:rPr>
        <w:t>« </w:t>
      </w:r>
      <w:r w:rsidRPr="00832F07">
        <w:rPr>
          <w:rFonts w:cs="Times New Roman"/>
          <w:lang w:val="fr-CA"/>
        </w:rPr>
        <w:t>l’entrave substantielle</w:t>
      </w:r>
      <w:r w:rsidR="00795B2B">
        <w:rPr>
          <w:rFonts w:cs="Times New Roman"/>
          <w:lang w:val="fr-CA"/>
        </w:rPr>
        <w:t> »</w:t>
      </w:r>
      <w:r w:rsidRPr="00832F07">
        <w:rPr>
          <w:rFonts w:cs="Times New Roman"/>
          <w:lang w:val="fr-CA"/>
        </w:rPr>
        <w:t xml:space="preserve"> qui a été retenu comme test juridique pour juger de l’atteinte ou non au droit protégé par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Malencontreusement pour mes collègues, au par.</w:t>
      </w:r>
      <w:r w:rsidR="00795B2B">
        <w:rPr>
          <w:rFonts w:cs="Times New Roman"/>
          <w:lang w:val="fr-CA"/>
        </w:rPr>
        <w:t xml:space="preserve"> </w:t>
      </w:r>
      <w:r w:rsidRPr="00832F07">
        <w:rPr>
          <w:rFonts w:cs="Times New Roman"/>
          <w:lang w:val="fr-CA"/>
        </w:rPr>
        <w:t xml:space="preserve">46 de l’arrêt </w:t>
      </w:r>
      <w:r w:rsidRPr="00832F07">
        <w:rPr>
          <w:rFonts w:cs="Times New Roman"/>
          <w:i/>
          <w:iCs/>
          <w:lang w:val="fr-CA"/>
        </w:rPr>
        <w:t>Fraser</w:t>
      </w:r>
      <w:r w:rsidRPr="00832F07">
        <w:rPr>
          <w:rFonts w:cs="Times New Roman"/>
          <w:lang w:val="fr-CA"/>
        </w:rPr>
        <w:t>, les juges majoritaires déclarent sans équivoque que</w:t>
      </w:r>
      <w:r w:rsidR="00795B2B">
        <w:rPr>
          <w:rFonts w:cs="Times New Roman"/>
          <w:lang w:val="fr-CA"/>
        </w:rPr>
        <w:t> :</w:t>
      </w:r>
      <w:r w:rsidRPr="00832F07">
        <w:rPr>
          <w:rFonts w:cs="Times New Roman"/>
          <w:lang w:val="fr-CA"/>
        </w:rPr>
        <w:t xml:space="preserve"> </w:t>
      </w:r>
      <w:r w:rsidR="00795B2B">
        <w:rPr>
          <w:rFonts w:cs="Times New Roman"/>
          <w:lang w:val="fr-CA"/>
        </w:rPr>
        <w:t>« </w:t>
      </w:r>
      <w:r w:rsidRPr="00BB5C81">
        <w:rPr>
          <w:rFonts w:cs="Times New Roman"/>
          <w:u w:val="single"/>
          <w:lang w:val="fr-CA"/>
        </w:rPr>
        <w:t>[l]</w:t>
      </w:r>
      <w:r w:rsidRPr="00832F07">
        <w:rPr>
          <w:rFonts w:cs="Times New Roman"/>
          <w:u w:val="single"/>
          <w:lang w:val="fr-CA"/>
        </w:rPr>
        <w:t>a question demeure</w:t>
      </w:r>
      <w:r w:rsidRPr="00832F07">
        <w:rPr>
          <w:rFonts w:cs="Times New Roman"/>
          <w:lang w:val="fr-CA"/>
        </w:rPr>
        <w:t xml:space="preserve"> celle de savoir si la loi ou la mesure gouvernementale contestée </w:t>
      </w:r>
      <w:r w:rsidRPr="00832F07">
        <w:rPr>
          <w:rFonts w:cs="Times New Roman"/>
          <w:u w:val="single"/>
          <w:lang w:val="fr-CA"/>
        </w:rPr>
        <w:t>rend impossible</w:t>
      </w:r>
      <w:r w:rsidRPr="00832F07">
        <w:rPr>
          <w:rFonts w:cs="Times New Roman"/>
          <w:lang w:val="fr-CA"/>
        </w:rPr>
        <w:t xml:space="preserve"> l’action collective visant la réalisation d’objectifs liés au travail</w:t>
      </w:r>
      <w:r w:rsidR="00795B2B">
        <w:rPr>
          <w:rFonts w:cs="Times New Roman"/>
          <w:lang w:val="fr-CA"/>
        </w:rPr>
        <w:t> »</w:t>
      </w:r>
      <w:r w:rsidRPr="00832F07">
        <w:rPr>
          <w:rFonts w:cs="Times New Roman"/>
          <w:lang w:val="fr-CA"/>
        </w:rPr>
        <w:t xml:space="preserve"> (je souligne).</w:t>
      </w:r>
    </w:p>
    <w:p w:rsidR="007B74A6" w:rsidRPr="00832F07" w:rsidRDefault="007B74A6" w:rsidP="00795B2B">
      <w:pPr>
        <w:pStyle w:val="ParaNoNdepar-AltN"/>
        <w:rPr>
          <w:rFonts w:cs="Times New Roman"/>
          <w:lang w:val="fr-CA"/>
        </w:rPr>
      </w:pPr>
      <w:r w:rsidRPr="00832F07">
        <w:rPr>
          <w:rFonts w:cs="Times New Roman"/>
          <w:lang w:val="fr-CA"/>
        </w:rPr>
        <w:t xml:space="preserve">Les juges majoritaires écartent maintenant du revers de la main une formulation pourtant limpide en faisant valoir qu’elle </w:t>
      </w:r>
      <w:r w:rsidR="00795B2B">
        <w:rPr>
          <w:rFonts w:cs="Times New Roman"/>
          <w:lang w:val="fr-CA"/>
        </w:rPr>
        <w:t>« </w:t>
      </w:r>
      <w:proofErr w:type="spellStart"/>
      <w:r w:rsidRPr="00832F07">
        <w:rPr>
          <w:rFonts w:cs="Times New Roman"/>
          <w:lang w:val="fr-CA"/>
        </w:rPr>
        <w:t>compliqu</w:t>
      </w:r>
      <w:proofErr w:type="spellEnd"/>
      <w:r w:rsidR="00BB5C81">
        <w:rPr>
          <w:rFonts w:cs="Times New Roman"/>
          <w:lang w:val="fr-CA"/>
        </w:rPr>
        <w:t>[</w:t>
      </w:r>
      <w:r w:rsidRPr="00832F07">
        <w:rPr>
          <w:rFonts w:cs="Times New Roman"/>
          <w:lang w:val="fr-CA"/>
        </w:rPr>
        <w:t>e</w:t>
      </w:r>
      <w:r w:rsidR="00BB5C81">
        <w:rPr>
          <w:rFonts w:cs="Times New Roman"/>
          <w:lang w:val="fr-CA"/>
        </w:rPr>
        <w:t xml:space="preserve">] </w:t>
      </w:r>
      <w:r w:rsidRPr="00832F07">
        <w:rPr>
          <w:rFonts w:cs="Times New Roman"/>
          <w:lang w:val="fr-CA"/>
        </w:rPr>
        <w:t>inutilement</w:t>
      </w:r>
      <w:r w:rsidR="00795B2B">
        <w:rPr>
          <w:rFonts w:cs="Times New Roman"/>
          <w:lang w:val="fr-CA"/>
        </w:rPr>
        <w:t> »</w:t>
      </w:r>
      <w:r w:rsidRPr="00832F07">
        <w:rPr>
          <w:rFonts w:cs="Times New Roman"/>
          <w:lang w:val="fr-CA"/>
        </w:rPr>
        <w:t xml:space="preserve"> l’analyse (par.</w:t>
      </w:r>
      <w:r w:rsidR="00795B2B">
        <w:rPr>
          <w:rFonts w:cs="Times New Roman"/>
          <w:lang w:val="fr-CA"/>
        </w:rPr>
        <w:t xml:space="preserve"> </w:t>
      </w:r>
      <w:r w:rsidRPr="00832F07">
        <w:rPr>
          <w:rFonts w:cs="Times New Roman"/>
          <w:lang w:val="fr-CA"/>
        </w:rPr>
        <w:t xml:space="preserve">77), alors que la véritable complication réside plutôt dans le fait que la formulation de l’arrêt </w:t>
      </w:r>
      <w:r w:rsidRPr="00832F07">
        <w:rPr>
          <w:rFonts w:cs="Times New Roman"/>
          <w:i/>
          <w:lang w:val="fr-CA"/>
        </w:rPr>
        <w:t>Fraser</w:t>
      </w:r>
      <w:r w:rsidRPr="00832F07">
        <w:rPr>
          <w:rFonts w:cs="Times New Roman"/>
          <w:lang w:val="fr-CA"/>
        </w:rPr>
        <w:t xml:space="preserve"> n’appuie pas la norme révisée qu’ils appliquent à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Il ne fait aucun doute que, dans </w:t>
      </w:r>
      <w:r w:rsidRPr="00832F07">
        <w:rPr>
          <w:rFonts w:cs="Times New Roman"/>
          <w:i/>
          <w:iCs/>
          <w:lang w:val="fr-CA"/>
        </w:rPr>
        <w:t>Fraser</w:t>
      </w:r>
      <w:r w:rsidRPr="00832F07">
        <w:rPr>
          <w:rFonts w:cs="Times New Roman"/>
          <w:lang w:val="fr-CA"/>
        </w:rPr>
        <w:t xml:space="preserve">, les juges majoritaires ont fixé un seuil exigeant pour pouvoir conclure à la violation du droit dérivé à la négociation collective. Un régime de relations de travail qui permet aux représentants des </w:t>
      </w:r>
      <w:r w:rsidRPr="00832F07">
        <w:rPr>
          <w:rFonts w:cs="Times New Roman"/>
          <w:lang w:val="fr-CA"/>
        </w:rPr>
        <w:lastRenderedPageBreak/>
        <w:t>employés de défendre les intérêts de ces derniers auprès de l’employeur qui doit, à son tour, examiner et analyser ces représentations de bonne foi, n’atteint pas ce seuil minimal et ne contrevient donc pas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w:t>
      </w:r>
    </w:p>
    <w:p w:rsidR="007B74A6" w:rsidRPr="00832F07" w:rsidRDefault="007B74A6" w:rsidP="00795B2B">
      <w:pPr>
        <w:pStyle w:val="ParaNoNdepar-AltN"/>
        <w:rPr>
          <w:rFonts w:cs="Times New Roman"/>
          <w:lang w:val="fr-CA"/>
        </w:rPr>
      </w:pPr>
      <w:r w:rsidRPr="00832F07">
        <w:rPr>
          <w:rFonts w:cs="Times New Roman"/>
          <w:lang w:val="fr-CA"/>
        </w:rPr>
        <w:t>Les juges majoritaires abaissent toutefois maintenant ce seuil en adoptant le test de l’entrave substantielle lorsqu’ils écrivent qu’</w:t>
      </w:r>
      <w:r w:rsidR="00795B2B">
        <w:rPr>
          <w:rFonts w:cs="Times New Roman"/>
          <w:lang w:val="fr-CA"/>
        </w:rPr>
        <w:t>« </w:t>
      </w:r>
      <w:r w:rsidRPr="00832F07">
        <w:rPr>
          <w:rFonts w:cs="Times New Roman"/>
          <w:lang w:val="fr-CA"/>
        </w:rPr>
        <w:t>il faut essentiellement déterminer si les mesures en question perturbent l’équilibre des rapports de force entre les employés et l’employeur que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vise à établir, de telle sorte qu’elles interfèrent de façon substantielle avec un processus véritable de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72). J’estime, en toute déférence, que les nombreuses allusions des juges majoritaires à l’équilibre masquent l’effet véritable de leur décision, soit d’imposer un modèle contradictoire au processus complexe des négociations collectives.</w:t>
      </w:r>
    </w:p>
    <w:p w:rsidR="007B74A6" w:rsidRPr="00832F07" w:rsidRDefault="007B74A6" w:rsidP="00795B2B">
      <w:pPr>
        <w:pStyle w:val="ParaNoNdepar-AltN"/>
        <w:rPr>
          <w:rFonts w:cs="Times New Roman"/>
          <w:lang w:val="fr-CA"/>
        </w:rPr>
      </w:pPr>
      <w:r w:rsidRPr="00832F07">
        <w:rPr>
          <w:rFonts w:cs="Times New Roman"/>
          <w:lang w:val="fr-CA"/>
        </w:rPr>
        <w:t xml:space="preserve">Même si le test de l’impossibilité effective a été formulé à répétition dans </w:t>
      </w:r>
      <w:r w:rsidRPr="00832F07">
        <w:rPr>
          <w:rFonts w:cs="Times New Roman"/>
          <w:i/>
          <w:iCs/>
          <w:lang w:val="fr-CA"/>
        </w:rPr>
        <w:t>Fraser</w:t>
      </w:r>
      <w:r w:rsidRPr="00832F07">
        <w:rPr>
          <w:rFonts w:cs="Times New Roman"/>
          <w:lang w:val="fr-CA"/>
        </w:rPr>
        <w:t>, les juges majoritaires se rabattent maintenant sur un test moins rigoureux pour parvenir au résultat qu’ils désirent. Ils concluent que le PRRF entrave de façon substantielle la capacité des membres de la GRC de s’associer pour réaliser leurs objectifs collectifs relatifs au travail parce que ce modèle axé sur la collaboration ne permet pas d’atteindre l’équilibre employeur</w:t>
      </w:r>
      <w:r w:rsidR="00795B2B">
        <w:rPr>
          <w:rFonts w:cs="Times New Roman"/>
          <w:lang w:val="fr-CA"/>
        </w:rPr>
        <w:t>-</w:t>
      </w:r>
      <w:r w:rsidRPr="00832F07">
        <w:rPr>
          <w:rFonts w:cs="Times New Roman"/>
          <w:lang w:val="fr-CA"/>
        </w:rPr>
        <w:t>employé exigé désormais selon eux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L’équité et la notion de certitude exigent que, lorsque la jurisprudence est déjà fixée, les tribunaux </w:t>
      </w:r>
      <w:r w:rsidR="00BB5C81">
        <w:rPr>
          <w:rFonts w:cs="Times New Roman"/>
          <w:lang w:val="fr-CA"/>
        </w:rPr>
        <w:t>l’appliquent</w:t>
      </w:r>
      <w:r w:rsidRPr="00832F07">
        <w:rPr>
          <w:rFonts w:cs="Times New Roman"/>
          <w:lang w:val="fr-CA"/>
        </w:rPr>
        <w:t xml:space="preserve"> pour arrêter la solution dans l’affaire dont ils sont saisis. Ils ne peuvent pas déterminer à l’avance le résultat souhaité pour chercher ensuite une nouvelle interprétation juridique permettant d’obtenir ce résultat. </w:t>
      </w:r>
    </w:p>
    <w:p w:rsidR="007B74A6" w:rsidRPr="00832F07" w:rsidRDefault="007B74A6" w:rsidP="00795B2B">
      <w:pPr>
        <w:pStyle w:val="Title2LevelTitre2Niveau"/>
        <w:numPr>
          <w:ilvl w:val="1"/>
          <w:numId w:val="36"/>
        </w:numPr>
        <w:spacing w:before="0"/>
        <w:ind w:left="578" w:hanging="578"/>
        <w:jc w:val="both"/>
        <w:rPr>
          <w:rFonts w:cs="Times New Roman"/>
          <w:lang w:val="fr-CA"/>
        </w:rPr>
      </w:pPr>
      <w:r w:rsidRPr="00832F07">
        <w:rPr>
          <w:rFonts w:cs="Times New Roman"/>
          <w:lang w:val="fr-CA"/>
        </w:rPr>
        <w:lastRenderedPageBreak/>
        <w:t>Application aux faits de la présente affaire</w:t>
      </w:r>
    </w:p>
    <w:p w:rsidR="007B74A6" w:rsidRPr="00832F07" w:rsidRDefault="007B74A6" w:rsidP="00795B2B">
      <w:pPr>
        <w:pStyle w:val="Title3LevelTitre3Niveau"/>
        <w:numPr>
          <w:ilvl w:val="2"/>
          <w:numId w:val="36"/>
        </w:numPr>
        <w:spacing w:before="0"/>
        <w:jc w:val="both"/>
        <w:rPr>
          <w:rFonts w:cs="Times New Roman"/>
          <w:lang w:val="fr-CA"/>
        </w:rPr>
      </w:pPr>
      <w:r w:rsidRPr="00832F07">
        <w:rPr>
          <w:rFonts w:cs="Times New Roman"/>
          <w:lang w:val="fr-CA"/>
        </w:rPr>
        <w:t>L’imposition du PRRF</w:t>
      </w:r>
      <w:r w:rsidRPr="00832F07">
        <w:rPr>
          <w:rFonts w:cs="Times New Roman"/>
          <w:i/>
          <w:iCs/>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Les juges majoritaires concluent que, tant par son objet que par ses effets, l’imposition du PRRF porte atteinte au droit protégé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parce que les membres de la GRC </w:t>
      </w:r>
      <w:r w:rsidR="00795B2B">
        <w:rPr>
          <w:rFonts w:cs="Times New Roman"/>
          <w:lang w:val="fr-CA"/>
        </w:rPr>
        <w:t>« </w:t>
      </w:r>
      <w:r w:rsidRPr="00832F07">
        <w:rPr>
          <w:rFonts w:cs="Times New Roman"/>
          <w:lang w:val="fr-CA"/>
        </w:rPr>
        <w:t>se trouvent représentés par un organisme qu’ils n’ont pas choisi et qu’ils ne contrôlent pas</w:t>
      </w:r>
      <w:r w:rsidR="00795B2B">
        <w:rPr>
          <w:rFonts w:cs="Times New Roman"/>
          <w:lang w:val="fr-CA"/>
        </w:rPr>
        <w:t> »</w:t>
      </w:r>
      <w:r w:rsidRPr="00832F07">
        <w:rPr>
          <w:rFonts w:cs="Times New Roman"/>
          <w:lang w:val="fr-CA"/>
        </w:rPr>
        <w:t xml:space="preserve">, que le PRRF est dépourvu d’indépendance à l’égard de la direction, et que </w:t>
      </w:r>
      <w:r w:rsidR="00795B2B">
        <w:rPr>
          <w:rFonts w:cs="Times New Roman"/>
          <w:lang w:val="fr-CA"/>
        </w:rPr>
        <w:t>« </w:t>
      </w:r>
      <w:r w:rsidRPr="00832F07">
        <w:rPr>
          <w:rFonts w:cs="Times New Roman"/>
          <w:lang w:val="fr-CA"/>
        </w:rPr>
        <w:t>[l]es employés se trouvent dans une position désavantageuse et vulnérable parce que le programme n’établit pas, entre eux et l’employeur, l’équilibre essentiel à la tenue d’une véritable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106). Soit dit en tout respect, je ne suis pas d’accord. La norme qu’il convient d’appliquer pour examiner le PRRF est celle de savoir si le processus mis en place rend effectivement impossible la tenue d’une véritable négociation collective. Il y a une telle négociation lorsque l’association d’employés représente les intérêts de ces derniers. Or, les RRF sont en mesure de représenter équitablement les intérêts des employés auprès de la direction, et l’employeur, à son tour, tient compte de bonne foi des revendications qui lui sont faites. Qu’on applique le test de l’impossibilité effective prévu par l’arrêt </w:t>
      </w:r>
      <w:r w:rsidRPr="00832F07">
        <w:rPr>
          <w:rFonts w:cs="Times New Roman"/>
          <w:i/>
          <w:iCs/>
          <w:lang w:val="fr-CA"/>
        </w:rPr>
        <w:t xml:space="preserve">Fraser </w:t>
      </w:r>
      <w:r w:rsidRPr="00832F07">
        <w:rPr>
          <w:rFonts w:cs="Times New Roman"/>
          <w:lang w:val="fr-CA"/>
        </w:rPr>
        <w:t>ou même le nouveau test de l’entrave substantielle proposé par les juges majoritaires, il est évident que le PRRF ne porte pas atteinte au droit protégé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w:t>
      </w:r>
    </w:p>
    <w:p w:rsidR="007B74A6" w:rsidRPr="00BB5C81" w:rsidRDefault="007B74A6" w:rsidP="00795B2B">
      <w:pPr>
        <w:pStyle w:val="Title4LevelTitre4Niveau"/>
        <w:numPr>
          <w:ilvl w:val="0"/>
          <w:numId w:val="0"/>
        </w:numPr>
        <w:tabs>
          <w:tab w:val="left" w:pos="900"/>
        </w:tabs>
        <w:ind w:left="547"/>
        <w:rPr>
          <w:rFonts w:cs="Times New Roman"/>
          <w:u w:val="none"/>
          <w:lang w:val="fr-CA"/>
        </w:rPr>
      </w:pPr>
      <w:r w:rsidRPr="00BB5C81">
        <w:rPr>
          <w:rFonts w:cs="Times New Roman"/>
          <w:u w:val="none"/>
          <w:lang w:val="fr-CA"/>
        </w:rPr>
        <w:t>a)</w:t>
      </w:r>
      <w:r w:rsidRPr="00BB5C81">
        <w:rPr>
          <w:rFonts w:cs="Times New Roman"/>
          <w:u w:val="none"/>
          <w:lang w:val="fr-CA"/>
        </w:rPr>
        <w:tab/>
      </w:r>
      <w:r w:rsidRPr="00BB5C81">
        <w:rPr>
          <w:rFonts w:cs="Times New Roman"/>
          <w:i/>
          <w:u w:val="none"/>
          <w:lang w:val="fr-CA"/>
        </w:rPr>
        <w:t>Représentativité</w:t>
      </w:r>
      <w:r w:rsidRPr="00BB5C81">
        <w:rPr>
          <w:rFonts w:cs="Times New Roman"/>
          <w:u w:val="none"/>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Certes, les membres de la GRC n’ont pas choisi leur cadre associatif pour les besoins de la négociation. Ce n’est toutefois pas la question cruciale. La Cour doit </w:t>
      </w:r>
      <w:r w:rsidRPr="00832F07">
        <w:rPr>
          <w:rFonts w:cs="Times New Roman"/>
          <w:lang w:val="fr-CA"/>
        </w:rPr>
        <w:lastRenderedPageBreak/>
        <w:t>plutôt se demander si la structure de relations de travail qui était prescrite par l’art.</w:t>
      </w:r>
      <w:r w:rsidR="00795B2B">
        <w:rPr>
          <w:rFonts w:cs="Times New Roman"/>
          <w:lang w:val="fr-CA"/>
        </w:rPr>
        <w:t xml:space="preserve"> </w:t>
      </w:r>
      <w:r w:rsidRPr="00832F07">
        <w:rPr>
          <w:rFonts w:cs="Times New Roman"/>
          <w:lang w:val="fr-CA"/>
        </w:rPr>
        <w:t xml:space="preserve">96 du </w:t>
      </w:r>
      <w:r w:rsidRPr="00832F07">
        <w:rPr>
          <w:rFonts w:cs="Times New Roman"/>
          <w:i/>
          <w:lang w:val="fr-CA"/>
        </w:rPr>
        <w:t xml:space="preserve">Règlement de </w:t>
      </w:r>
      <w:r w:rsidR="00BB5C81">
        <w:rPr>
          <w:rFonts w:cs="Times New Roman"/>
          <w:i/>
          <w:lang w:val="fr-CA"/>
        </w:rPr>
        <w:t>la Gendarmerie royale du Canada</w:t>
      </w:r>
      <w:r w:rsidRPr="00832F07">
        <w:rPr>
          <w:rFonts w:cs="Times New Roman"/>
          <w:i/>
          <w:lang w:val="fr-CA"/>
        </w:rPr>
        <w:t xml:space="preserve"> </w:t>
      </w:r>
      <w:r w:rsidR="00BB5C81">
        <w:rPr>
          <w:rFonts w:cs="Times New Roman"/>
          <w:i/>
          <w:lang w:val="fr-CA"/>
        </w:rPr>
        <w:t>(</w:t>
      </w:r>
      <w:r w:rsidRPr="00832F07">
        <w:rPr>
          <w:rFonts w:cs="Times New Roman"/>
          <w:i/>
          <w:lang w:val="fr-CA"/>
        </w:rPr>
        <w:t>1988</w:t>
      </w:r>
      <w:r w:rsidR="00BB5C81">
        <w:rPr>
          <w:rFonts w:cs="Times New Roman"/>
          <w:i/>
          <w:lang w:val="fr-CA"/>
        </w:rPr>
        <w:t>)</w:t>
      </w:r>
      <w:r w:rsidRPr="00832F07">
        <w:rPr>
          <w:rFonts w:cs="Times New Roman"/>
          <w:lang w:val="fr-CA"/>
        </w:rPr>
        <w:t>, DORS/88-361</w:t>
      </w:r>
      <w:r w:rsidRPr="00832F07">
        <w:rPr>
          <w:rFonts w:cs="Times New Roman"/>
          <w:i/>
          <w:lang w:val="fr-CA"/>
        </w:rPr>
        <w:t xml:space="preserve"> </w:t>
      </w:r>
      <w:r w:rsidRPr="00832F07">
        <w:rPr>
          <w:rFonts w:cs="Times New Roman"/>
          <w:lang w:val="fr-CA"/>
        </w:rPr>
        <w:t xml:space="preserve">(abrogé </w:t>
      </w:r>
      <w:r w:rsidR="00E4363C">
        <w:rPr>
          <w:rFonts w:cs="Times New Roman"/>
          <w:lang w:val="fr-CA"/>
        </w:rPr>
        <w:t>et</w:t>
      </w:r>
      <w:r w:rsidRPr="00832F07">
        <w:rPr>
          <w:rFonts w:cs="Times New Roman"/>
          <w:lang w:val="fr-CA"/>
        </w:rPr>
        <w:t xml:space="preserve"> remplacé par DORS/2014-281) permet aux membres de la GRC d’avoir confiance en leurs porte</w:t>
      </w:r>
      <w:r w:rsidR="00795B2B">
        <w:rPr>
          <w:rFonts w:cs="Times New Roman"/>
          <w:lang w:val="fr-CA"/>
        </w:rPr>
        <w:t>-</w:t>
      </w:r>
      <w:r w:rsidRPr="00832F07">
        <w:rPr>
          <w:rFonts w:cs="Times New Roman"/>
          <w:lang w:val="fr-CA"/>
        </w:rPr>
        <w:t xml:space="preserve">parole et crée l’obligation pour ces derniers de défendre les intérêts de l’ensemble des employés et de </w:t>
      </w:r>
      <w:r w:rsidR="00941D76">
        <w:rPr>
          <w:rFonts w:cs="Times New Roman"/>
          <w:lang w:val="fr-CA"/>
        </w:rPr>
        <w:t xml:space="preserve">leur </w:t>
      </w:r>
      <w:r w:rsidRPr="00832F07">
        <w:rPr>
          <w:rFonts w:cs="Times New Roman"/>
          <w:lang w:val="fr-CA"/>
        </w:rPr>
        <w:t>rendre des comptes. La direction a ensuite l’obligation constitutionnelle de tenir compte de bonne foi des observations présentées au nom des membres de la GRC</w:t>
      </w:r>
      <w:r>
        <w:rPr>
          <w:rFonts w:cs="Times New Roman"/>
          <w:lang w:val="fr-CA"/>
        </w:rPr>
        <w:t xml:space="preserve"> (</w:t>
      </w:r>
      <w:r w:rsidR="00BB5C81">
        <w:rPr>
          <w:rFonts w:cs="Times New Roman"/>
          <w:lang w:val="fr-CA"/>
        </w:rPr>
        <w:t xml:space="preserve">voir </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99).</w:t>
      </w:r>
    </w:p>
    <w:p w:rsidR="007B74A6" w:rsidRPr="00832F07" w:rsidRDefault="007B74A6" w:rsidP="00795B2B">
      <w:pPr>
        <w:pStyle w:val="ParaNoNdepar-AltN"/>
        <w:rPr>
          <w:rFonts w:cs="Times New Roman"/>
          <w:lang w:val="fr-CA"/>
        </w:rPr>
      </w:pPr>
      <w:r w:rsidRPr="00832F07">
        <w:rPr>
          <w:rFonts w:cs="Times New Roman"/>
          <w:lang w:val="fr-CA"/>
        </w:rPr>
        <w:t xml:space="preserve">Le PRRF doit assurer la représentation des </w:t>
      </w:r>
      <w:r w:rsidR="00795B2B">
        <w:rPr>
          <w:rFonts w:cs="Times New Roman"/>
          <w:lang w:val="fr-CA"/>
        </w:rPr>
        <w:t>« </w:t>
      </w:r>
      <w:r w:rsidRPr="00832F07">
        <w:rPr>
          <w:rFonts w:cs="Times New Roman"/>
          <w:lang w:val="fr-CA"/>
        </w:rPr>
        <w:t xml:space="preserve">intérêts de </w:t>
      </w:r>
      <w:r w:rsidRPr="00832F07">
        <w:rPr>
          <w:rFonts w:cs="Times New Roman"/>
          <w:u w:val="single"/>
          <w:lang w:val="fr-CA"/>
        </w:rPr>
        <w:t>tous les membres</w:t>
      </w:r>
      <w:r w:rsidRPr="00832F07">
        <w:rPr>
          <w:rFonts w:cs="Times New Roman"/>
          <w:lang w:val="fr-CA"/>
        </w:rPr>
        <w:t xml:space="preserve"> de la Gendarmerie royale du Canada</w:t>
      </w:r>
      <w:r w:rsidR="00795B2B">
        <w:rPr>
          <w:rFonts w:cs="Times New Roman"/>
          <w:lang w:val="fr-CA"/>
        </w:rPr>
        <w:t>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 xml:space="preserve">1 (je souligne)) et doivent </w:t>
      </w:r>
      <w:r w:rsidR="00795B2B">
        <w:rPr>
          <w:rFonts w:cs="Times New Roman"/>
          <w:lang w:val="fr-CA"/>
        </w:rPr>
        <w:t>« </w:t>
      </w:r>
      <w:r w:rsidRPr="00832F07">
        <w:rPr>
          <w:rFonts w:cs="Times New Roman"/>
          <w:lang w:val="fr-CA"/>
        </w:rPr>
        <w:t>faciliter [</w:t>
      </w:r>
      <w:r w:rsidR="00795B2B">
        <w:rPr>
          <w:rFonts w:cs="Times New Roman"/>
          <w:lang w:val="fr-CA"/>
        </w:rPr>
        <w:t>. . .</w:t>
      </w:r>
      <w:r w:rsidRPr="00832F07">
        <w:rPr>
          <w:rFonts w:cs="Times New Roman"/>
          <w:lang w:val="fr-CA"/>
        </w:rPr>
        <w:t>] [la] participation [des membres de la GRC] à l’élaboration et à la mise en application des politiques et des programmes de la Gendarmerie</w:t>
      </w:r>
      <w:r w:rsidR="00795B2B">
        <w:rPr>
          <w:rFonts w:cs="Times New Roman"/>
          <w:lang w:val="fr-CA"/>
        </w:rPr>
        <w:t>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2; voir également l’Entente entre le commissaire et le PRRF, art.</w:t>
      </w:r>
      <w:r w:rsidR="00795B2B">
        <w:rPr>
          <w:rFonts w:cs="Times New Roman"/>
          <w:lang w:val="fr-CA"/>
        </w:rPr>
        <w:t xml:space="preserve"> </w:t>
      </w:r>
      <w:r w:rsidRPr="00832F07">
        <w:rPr>
          <w:rFonts w:cs="Times New Roman"/>
          <w:lang w:val="fr-CA"/>
        </w:rPr>
        <w:t xml:space="preserve">1). Les membres de la GRC d’une division ou d’une zone désignée choisissent leur RRF et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de cette région (Statuts du PRRF, art.</w:t>
      </w:r>
      <w:r w:rsidR="00795B2B">
        <w:rPr>
          <w:rFonts w:cs="Times New Roman"/>
          <w:lang w:val="fr-CA"/>
        </w:rPr>
        <w:t xml:space="preserve"> </w:t>
      </w:r>
      <w:r w:rsidRPr="00832F07">
        <w:rPr>
          <w:rFonts w:cs="Times New Roman"/>
          <w:lang w:val="fr-CA"/>
        </w:rPr>
        <w:t>4 et 16; Entente entre le commissaire et le PRRF, art.</w:t>
      </w:r>
      <w:r w:rsidR="00795B2B">
        <w:rPr>
          <w:rFonts w:cs="Times New Roman"/>
          <w:lang w:val="fr-CA"/>
        </w:rPr>
        <w:t xml:space="preserve"> </w:t>
      </w:r>
      <w:r w:rsidRPr="00832F07">
        <w:rPr>
          <w:rFonts w:cs="Times New Roman"/>
          <w:lang w:val="fr-CA"/>
        </w:rPr>
        <w:t xml:space="preserve">3), et tout membre de la GRC qui n’est pas en conflit d’intérêts peut se porter candidat. Les RRF sont élus pour un mandat de deux ans. Ils doivent </w:t>
      </w:r>
      <w:r w:rsidR="00795B2B">
        <w:rPr>
          <w:rFonts w:cs="Times New Roman"/>
          <w:lang w:val="fr-CA"/>
        </w:rPr>
        <w:t>« </w:t>
      </w:r>
      <w:r w:rsidRPr="00832F07">
        <w:rPr>
          <w:rFonts w:cs="Times New Roman"/>
          <w:lang w:val="fr-CA"/>
        </w:rPr>
        <w:t>[c]</w:t>
      </w:r>
      <w:proofErr w:type="spellStart"/>
      <w:r w:rsidRPr="00832F07">
        <w:rPr>
          <w:rFonts w:cs="Times New Roman"/>
          <w:lang w:val="fr-CA"/>
        </w:rPr>
        <w:t>onsulter</w:t>
      </w:r>
      <w:proofErr w:type="spellEnd"/>
      <w:r w:rsidRPr="00832F07">
        <w:rPr>
          <w:rFonts w:cs="Times New Roman"/>
          <w:lang w:val="fr-CA"/>
        </w:rPr>
        <w:t xml:space="preserve"> les membres, leurs représentants ou les deux sur les questions ayant ou pouvant avoir une incidence sur eux</w:t>
      </w:r>
      <w:r w:rsidR="00795B2B">
        <w:rPr>
          <w:rFonts w:cs="Times New Roman"/>
          <w:lang w:val="fr-CA"/>
        </w:rPr>
        <w:t>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13(C</w:t>
      </w:r>
      <w:proofErr w:type="gramStart"/>
      <w:r w:rsidRPr="00832F07">
        <w:rPr>
          <w:rFonts w:cs="Times New Roman"/>
          <w:lang w:val="fr-CA"/>
        </w:rPr>
        <w:t>)(</w:t>
      </w:r>
      <w:proofErr w:type="gramEnd"/>
      <w:r w:rsidRPr="00832F07">
        <w:rPr>
          <w:rFonts w:cs="Times New Roman"/>
          <w:lang w:val="fr-CA"/>
        </w:rPr>
        <w:t xml:space="preserve">3)), tandis que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doivent </w:t>
      </w:r>
      <w:r w:rsidR="00795B2B">
        <w:rPr>
          <w:rFonts w:cs="Times New Roman"/>
          <w:lang w:val="fr-CA"/>
        </w:rPr>
        <w:t>« </w:t>
      </w:r>
      <w:r w:rsidRPr="00832F07">
        <w:rPr>
          <w:rFonts w:cs="Times New Roman"/>
          <w:lang w:val="fr-CA"/>
        </w:rPr>
        <w:t>[é]</w:t>
      </w:r>
      <w:proofErr w:type="spellStart"/>
      <w:r w:rsidRPr="00832F07">
        <w:rPr>
          <w:rFonts w:cs="Times New Roman"/>
          <w:lang w:val="fr-CA"/>
        </w:rPr>
        <w:t>tablir</w:t>
      </w:r>
      <w:proofErr w:type="spellEnd"/>
      <w:r w:rsidRPr="00832F07">
        <w:rPr>
          <w:rFonts w:cs="Times New Roman"/>
          <w:lang w:val="fr-CA"/>
        </w:rPr>
        <w:t xml:space="preserve"> et maintenir de saines relations de travail et une communication ouverte avec les membres, les superviseurs et le chef de secteur</w:t>
      </w:r>
      <w:r w:rsidR="00795B2B">
        <w:rPr>
          <w:rFonts w:cs="Times New Roman"/>
          <w:lang w:val="fr-CA"/>
        </w:rPr>
        <w:t>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 xml:space="preserve">14(B)(1)). Le programme est conçu pour, notamment, </w:t>
      </w:r>
      <w:r w:rsidR="00795B2B">
        <w:rPr>
          <w:rFonts w:cs="Times New Roman"/>
          <w:lang w:val="fr-CA"/>
        </w:rPr>
        <w:t>« </w:t>
      </w:r>
      <w:proofErr w:type="spellStart"/>
      <w:proofErr w:type="gramStart"/>
      <w:r w:rsidRPr="00832F07">
        <w:rPr>
          <w:rFonts w:cs="Times New Roman"/>
          <w:lang w:val="fr-CA"/>
        </w:rPr>
        <w:t>facilit</w:t>
      </w:r>
      <w:proofErr w:type="spellEnd"/>
      <w:r w:rsidRPr="00832F07">
        <w:rPr>
          <w:rFonts w:cs="Times New Roman"/>
          <w:lang w:val="fr-CA"/>
        </w:rPr>
        <w:t>[</w:t>
      </w:r>
      <w:proofErr w:type="gramEnd"/>
      <w:r w:rsidRPr="00832F07">
        <w:rPr>
          <w:rFonts w:cs="Times New Roman"/>
          <w:lang w:val="fr-CA"/>
        </w:rPr>
        <w:t>er] la représentation et la participation efficaces à tous les niveaux appropriés</w:t>
      </w:r>
      <w:r w:rsidR="00795B2B">
        <w:rPr>
          <w:rFonts w:cs="Times New Roman"/>
          <w:lang w:val="fr-CA"/>
        </w:rPr>
        <w:t xml:space="preserve">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 xml:space="preserve">3(D)). Tous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d’une division, d’une zone ou d’un secteur désigné peuvent unanimement déclarer qu’ils </w:t>
      </w:r>
      <w:r w:rsidRPr="00832F07">
        <w:rPr>
          <w:rFonts w:cs="Times New Roman"/>
          <w:lang w:val="fr-CA"/>
        </w:rPr>
        <w:lastRenderedPageBreak/>
        <w:t xml:space="preserve">retirent leur confiance à un RRF et le destituer de son poste. On peut donc obliger les RRF à rendre des comptes pour s’assurer qu’ils défendent bel et bien les intérêts des employés. </w:t>
      </w:r>
    </w:p>
    <w:p w:rsidR="007B74A6" w:rsidRPr="00832F07" w:rsidRDefault="007B74A6" w:rsidP="00795B2B">
      <w:pPr>
        <w:pStyle w:val="ParaNoNdepar-AltN"/>
        <w:rPr>
          <w:rFonts w:cs="Times New Roman"/>
          <w:lang w:val="fr-CA"/>
        </w:rPr>
      </w:pPr>
      <w:r w:rsidRPr="00832F07">
        <w:rPr>
          <w:rFonts w:cs="Times New Roman"/>
          <w:lang w:val="fr-CA"/>
        </w:rPr>
        <w:t xml:space="preserve">Les membres de la GRC peuvent aussi constituer les associations indépendantes de travailleurs de leur choix, comme les organisations appelantes et le Fonds de recours juridique </w:t>
      </w:r>
      <w:r>
        <w:rPr>
          <w:rFonts w:cs="Times New Roman"/>
          <w:lang w:val="fr-CA"/>
        </w:rPr>
        <w:t>des membres de la Gendarmerie</w:t>
      </w:r>
      <w:r w:rsidR="00941D76">
        <w:rPr>
          <w:rFonts w:cs="Times New Roman"/>
          <w:lang w:val="fr-CA"/>
        </w:rPr>
        <w:t>,</w:t>
      </w:r>
      <w:r>
        <w:rPr>
          <w:rFonts w:cs="Times New Roman"/>
          <w:lang w:val="fr-CA"/>
        </w:rPr>
        <w:t xml:space="preserve"> </w:t>
      </w:r>
      <w:r w:rsidRPr="00832F07">
        <w:rPr>
          <w:rFonts w:cs="Times New Roman"/>
          <w:lang w:val="fr-CA"/>
        </w:rPr>
        <w:t>et y adhérer</w:t>
      </w:r>
      <w:r>
        <w:rPr>
          <w:rFonts w:cs="Times New Roman"/>
          <w:lang w:val="fr-CA"/>
        </w:rPr>
        <w:t xml:space="preserve"> (</w:t>
      </w:r>
      <w:r w:rsidRPr="00832F07">
        <w:rPr>
          <w:rFonts w:cs="Times New Roman"/>
          <w:lang w:val="fr-CA"/>
        </w:rPr>
        <w:t xml:space="preserve">voir </w:t>
      </w:r>
      <w:r w:rsidRPr="00832F07">
        <w:rPr>
          <w:rFonts w:cs="Times New Roman"/>
          <w:i/>
          <w:iCs/>
          <w:lang w:val="fr-CA"/>
        </w:rPr>
        <w:t>Delisle</w:t>
      </w:r>
      <w:r w:rsidRPr="00832F07">
        <w:rPr>
          <w:rFonts w:cs="Times New Roman"/>
          <w:lang w:val="fr-CA"/>
        </w:rPr>
        <w:t>,</w:t>
      </w:r>
      <w:r w:rsidRPr="00832F07">
        <w:rPr>
          <w:rFonts w:cs="Times New Roman"/>
          <w:i/>
          <w:iCs/>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31). Ces associations peuvent soumettre aux RRF et aux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les préoccupations de leurs membres au sujet de problèmes relatifs au travail. Les Statuts du PRRF précisent que les RRF ont l’obligation de défendre les intérêts de leurs membres, ce qui comprend l’obligation de </w:t>
      </w:r>
      <w:r w:rsidR="00795B2B">
        <w:rPr>
          <w:rFonts w:cs="Times New Roman"/>
          <w:lang w:val="fr-CA"/>
        </w:rPr>
        <w:t>« </w:t>
      </w:r>
      <w:r w:rsidRPr="00832F07">
        <w:rPr>
          <w:rFonts w:cs="Times New Roman"/>
          <w:lang w:val="fr-CA"/>
        </w:rPr>
        <w:t>[c]</w:t>
      </w:r>
      <w:proofErr w:type="spellStart"/>
      <w:r w:rsidRPr="00832F07">
        <w:rPr>
          <w:rFonts w:cs="Times New Roman"/>
          <w:lang w:val="fr-CA"/>
        </w:rPr>
        <w:t>onsulter</w:t>
      </w:r>
      <w:proofErr w:type="spellEnd"/>
      <w:r w:rsidRPr="00832F07">
        <w:rPr>
          <w:rFonts w:cs="Times New Roman"/>
          <w:lang w:val="fr-CA"/>
        </w:rPr>
        <w:t xml:space="preserve"> les membres, leurs représentants ou les deux sur les question</w:t>
      </w:r>
      <w:r w:rsidR="00941D76">
        <w:rPr>
          <w:rFonts w:cs="Times New Roman"/>
          <w:lang w:val="fr-CA"/>
        </w:rPr>
        <w:t>s</w:t>
      </w:r>
      <w:r w:rsidRPr="00832F07">
        <w:rPr>
          <w:rFonts w:cs="Times New Roman"/>
          <w:lang w:val="fr-CA"/>
        </w:rPr>
        <w:t xml:space="preserve"> ayant ou pouvant avoir une incidence sur eux et faisant l’objet de discussions en comité ou en Caucus, ou dans le cadre d’études ou d’examens</w:t>
      </w:r>
      <w:r w:rsidR="00795B2B">
        <w:rPr>
          <w:rFonts w:cs="Times New Roman"/>
          <w:lang w:val="fr-CA"/>
        </w:rPr>
        <w:t> »</w:t>
      </w:r>
      <w:r w:rsidRPr="00832F07">
        <w:rPr>
          <w:rFonts w:cs="Times New Roman"/>
          <w:lang w:val="fr-CA"/>
        </w:rPr>
        <w:t xml:space="preserve"> (art.</w:t>
      </w:r>
      <w:r w:rsidR="00795B2B">
        <w:rPr>
          <w:rFonts w:cs="Times New Roman"/>
          <w:lang w:val="fr-CA"/>
        </w:rPr>
        <w:t xml:space="preserve"> </w:t>
      </w:r>
      <w:r w:rsidRPr="00832F07">
        <w:rPr>
          <w:rFonts w:cs="Times New Roman"/>
          <w:lang w:val="fr-CA"/>
        </w:rPr>
        <w:t>13(C</w:t>
      </w:r>
      <w:proofErr w:type="gramStart"/>
      <w:r w:rsidRPr="00832F07">
        <w:rPr>
          <w:rFonts w:cs="Times New Roman"/>
          <w:lang w:val="fr-CA"/>
        </w:rPr>
        <w:t>)(</w:t>
      </w:r>
      <w:proofErr w:type="gramEnd"/>
      <w:r w:rsidRPr="00832F07">
        <w:rPr>
          <w:rFonts w:cs="Times New Roman"/>
          <w:lang w:val="fr-CA"/>
        </w:rPr>
        <w:t xml:space="preserve">3)).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sont également chargés de faire le lien entre les RRF et les membres de la GRC et doivent </w:t>
      </w:r>
      <w:r w:rsidR="00795B2B">
        <w:rPr>
          <w:rFonts w:cs="Times New Roman"/>
          <w:lang w:val="fr-CA"/>
        </w:rPr>
        <w:t>« </w:t>
      </w:r>
      <w:r w:rsidRPr="00832F07">
        <w:rPr>
          <w:rFonts w:cs="Times New Roman"/>
          <w:lang w:val="fr-CA"/>
        </w:rPr>
        <w:t>aviser les RRF et la direction des préoccupations et des problèmes nouveaux devant être abordés à leur niveau</w:t>
      </w:r>
      <w:r w:rsidR="00795B2B">
        <w:rPr>
          <w:rFonts w:cs="Times New Roman"/>
          <w:lang w:val="fr-CA"/>
        </w:rPr>
        <w:t> »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14(B</w:t>
      </w:r>
      <w:proofErr w:type="gramStart"/>
      <w:r w:rsidRPr="00832F07">
        <w:rPr>
          <w:rFonts w:cs="Times New Roman"/>
          <w:lang w:val="fr-CA"/>
        </w:rPr>
        <w:t>)(</w:t>
      </w:r>
      <w:proofErr w:type="gramEnd"/>
      <w:r w:rsidRPr="00832F07">
        <w:rPr>
          <w:rFonts w:cs="Times New Roman"/>
          <w:lang w:val="fr-CA"/>
        </w:rPr>
        <w:t xml:space="preserve">2). </w:t>
      </w:r>
    </w:p>
    <w:p w:rsidR="007B74A6" w:rsidRPr="00832F07" w:rsidRDefault="007B74A6" w:rsidP="00795B2B">
      <w:pPr>
        <w:pStyle w:val="ParaNoNdepar-AltN"/>
        <w:rPr>
          <w:rFonts w:cs="Times New Roman"/>
          <w:lang w:val="fr-CA"/>
        </w:rPr>
      </w:pPr>
      <w:r w:rsidRPr="00832F07">
        <w:rPr>
          <w:rFonts w:cs="Times New Roman"/>
          <w:lang w:val="fr-CA"/>
        </w:rPr>
        <w:t xml:space="preserve">Les appelantes ont présenté certains éléments de preuve suivant lesquels les RRF ne collaborent pas toujours avec les associations d’employés indépendantes. Cela ne rend pas pour autant le système inconstitutionnel, dans la mesure où les RRF représentent les intérêts de l’ensemble des employés et peuvent être tenus de rendre des comptes. En outre, s’il advenait que certains RRF ne représentaient pas pleinement les intérêts des membres, il serait possible de remédier à la situation sans </w:t>
      </w:r>
      <w:r w:rsidRPr="00832F07">
        <w:rPr>
          <w:rFonts w:cs="Times New Roman"/>
          <w:lang w:val="fr-CA"/>
        </w:rPr>
        <w:lastRenderedPageBreak/>
        <w:t xml:space="preserve">abolir tout le modèle de relations de travail et certainement sans déclarer le régime inconstitutionnel. </w:t>
      </w:r>
    </w:p>
    <w:p w:rsidR="007B74A6" w:rsidRPr="00832F07" w:rsidRDefault="007B74A6" w:rsidP="00795B2B">
      <w:pPr>
        <w:pStyle w:val="ParaNoNdepar-AltN"/>
        <w:rPr>
          <w:rFonts w:cs="Times New Roman"/>
          <w:lang w:val="fr-CA"/>
        </w:rPr>
      </w:pPr>
      <w:r w:rsidRPr="00832F07">
        <w:rPr>
          <w:rFonts w:cs="Times New Roman"/>
          <w:lang w:val="fr-CA"/>
        </w:rPr>
        <w:t>Le PRRF actuel est loin de ce que visait le sénateur américain Wagner lorsqu’il a proposé son projet de loi original sur le droit du travail</w:t>
      </w:r>
      <w:r w:rsidR="00795B2B">
        <w:rPr>
          <w:rFonts w:cs="Times New Roman"/>
          <w:lang w:val="fr-CA"/>
        </w:rPr>
        <w:t> :</w:t>
      </w:r>
      <w:r w:rsidRPr="00832F07">
        <w:rPr>
          <w:rFonts w:cs="Times New Roman"/>
          <w:lang w:val="fr-CA"/>
        </w:rPr>
        <w:t xml:space="preserve"> [</w:t>
      </w:r>
      <w:r w:rsidRPr="00832F07">
        <w:rPr>
          <w:rFonts w:cs="Times New Roman"/>
          <w:smallCaps/>
          <w:lang w:val="fr-CA"/>
        </w:rPr>
        <w:t>traduction</w:t>
      </w:r>
      <w:r w:rsidRPr="00832F07">
        <w:rPr>
          <w:rFonts w:cs="Times New Roman"/>
          <w:lang w:val="fr-CA"/>
        </w:rPr>
        <w:t>]</w:t>
      </w:r>
      <w:r w:rsidR="00795B2B">
        <w:rPr>
          <w:rFonts w:cs="Times New Roman"/>
          <w:lang w:val="fr-CA"/>
        </w:rPr>
        <w:t xml:space="preserve"> « . . . </w:t>
      </w:r>
      <w:r w:rsidRPr="00832F07">
        <w:rPr>
          <w:rFonts w:cs="Times New Roman"/>
          <w:lang w:val="fr-CA"/>
        </w:rPr>
        <w:t>le syndicat de façade ou de pacotille dominé par l’employeur qui ne peut changer ses règles et ses règlements sans le consentement de ce dernier et dont l’existence même dépend des caprices de l’employeur</w:t>
      </w:r>
      <w:r w:rsidR="00795B2B">
        <w:rPr>
          <w:rFonts w:cs="Times New Roman"/>
          <w:lang w:val="fr-CA"/>
        </w:rPr>
        <w:t> »</w:t>
      </w:r>
      <w:r>
        <w:rPr>
          <w:rFonts w:cs="Times New Roman"/>
          <w:lang w:val="fr-CA"/>
        </w:rPr>
        <w:t xml:space="preserve"> (</w:t>
      </w:r>
      <w:r w:rsidRPr="00832F07">
        <w:rPr>
          <w:rFonts w:cs="Times New Roman"/>
          <w:lang w:val="fr-CA"/>
        </w:rPr>
        <w:t>exposé explicatif du sénateur Wagner du 21</w:t>
      </w:r>
      <w:r w:rsidR="00795B2B">
        <w:rPr>
          <w:rFonts w:cs="Times New Roman"/>
          <w:lang w:val="fr-CA"/>
        </w:rPr>
        <w:t xml:space="preserve"> </w:t>
      </w:r>
      <w:r w:rsidRPr="00832F07">
        <w:rPr>
          <w:rFonts w:cs="Times New Roman"/>
          <w:lang w:val="fr-CA"/>
        </w:rPr>
        <w:t xml:space="preserve">février 1935 devant le Sénat lors de la présentation du projet de loi de 1958 (79 </w:t>
      </w:r>
      <w:proofErr w:type="spellStart"/>
      <w:r w:rsidRPr="00832F07">
        <w:rPr>
          <w:rFonts w:cs="Times New Roman"/>
          <w:lang w:val="fr-CA"/>
        </w:rPr>
        <w:t>Cong</w:t>
      </w:r>
      <w:proofErr w:type="spellEnd"/>
      <w:r w:rsidRPr="00832F07">
        <w:rPr>
          <w:rFonts w:cs="Times New Roman"/>
          <w:lang w:val="fr-CA"/>
        </w:rPr>
        <w:t>. Rec. 2368, p.</w:t>
      </w:r>
      <w:r w:rsidR="00795B2B">
        <w:rPr>
          <w:rFonts w:cs="Times New Roman"/>
          <w:lang w:val="fr-CA"/>
        </w:rPr>
        <w:t xml:space="preserve"> </w:t>
      </w:r>
      <w:r w:rsidRPr="00832F07">
        <w:rPr>
          <w:rFonts w:cs="Times New Roman"/>
          <w:lang w:val="fr-CA"/>
        </w:rPr>
        <w:t xml:space="preserve">2372), dans </w:t>
      </w:r>
      <w:proofErr w:type="spellStart"/>
      <w:r w:rsidRPr="00832F07">
        <w:rPr>
          <w:rFonts w:cs="Times New Roman"/>
          <w:i/>
          <w:iCs/>
          <w:lang w:val="fr-CA"/>
        </w:rPr>
        <w:t>Legislative</w:t>
      </w:r>
      <w:proofErr w:type="spellEnd"/>
      <w:r w:rsidRPr="00832F07">
        <w:rPr>
          <w:rFonts w:cs="Times New Roman"/>
          <w:i/>
          <w:iCs/>
          <w:lang w:val="fr-CA"/>
        </w:rPr>
        <w:t xml:space="preserve"> </w:t>
      </w:r>
      <w:proofErr w:type="spellStart"/>
      <w:r w:rsidRPr="00832F07">
        <w:rPr>
          <w:rFonts w:cs="Times New Roman"/>
          <w:i/>
          <w:iCs/>
          <w:lang w:val="fr-CA"/>
        </w:rPr>
        <w:t>History</w:t>
      </w:r>
      <w:proofErr w:type="spellEnd"/>
      <w:r w:rsidRPr="00832F07">
        <w:rPr>
          <w:rFonts w:cs="Times New Roman"/>
          <w:i/>
          <w:iCs/>
          <w:lang w:val="fr-CA"/>
        </w:rPr>
        <w:t xml:space="preserve"> of the National Labor Relations </w:t>
      </w:r>
      <w:proofErr w:type="spellStart"/>
      <w:r w:rsidRPr="00832F07">
        <w:rPr>
          <w:rFonts w:cs="Times New Roman"/>
          <w:i/>
          <w:iCs/>
          <w:lang w:val="fr-CA"/>
        </w:rPr>
        <w:t>Act</w:t>
      </w:r>
      <w:proofErr w:type="spellEnd"/>
      <w:r w:rsidR="00941D76">
        <w:rPr>
          <w:rFonts w:cs="Times New Roman"/>
          <w:i/>
          <w:iCs/>
          <w:lang w:val="fr-CA"/>
        </w:rPr>
        <w:t>,</w:t>
      </w:r>
      <w:r w:rsidRPr="00832F07">
        <w:rPr>
          <w:rFonts w:cs="Times New Roman"/>
          <w:i/>
          <w:iCs/>
          <w:lang w:val="fr-CA"/>
        </w:rPr>
        <w:t xml:space="preserve"> 1935</w:t>
      </w:r>
      <w:r w:rsidRPr="00832F07">
        <w:rPr>
          <w:rFonts w:cs="Times New Roman"/>
          <w:lang w:val="fr-CA"/>
        </w:rPr>
        <w:t>, vol.</w:t>
      </w:r>
      <w:r w:rsidR="00795B2B">
        <w:rPr>
          <w:rFonts w:cs="Times New Roman"/>
          <w:lang w:val="fr-CA"/>
        </w:rPr>
        <w:t xml:space="preserve"> </w:t>
      </w:r>
      <w:r w:rsidRPr="00832F07">
        <w:rPr>
          <w:rFonts w:cs="Times New Roman"/>
          <w:lang w:val="fr-CA"/>
        </w:rPr>
        <w:t>1 (1949), p.</w:t>
      </w:r>
      <w:r w:rsidR="00795B2B">
        <w:rPr>
          <w:rFonts w:cs="Times New Roman"/>
          <w:lang w:val="fr-CA"/>
        </w:rPr>
        <w:t xml:space="preserve"> </w:t>
      </w:r>
      <w:r w:rsidR="00941D76">
        <w:rPr>
          <w:rFonts w:cs="Times New Roman"/>
          <w:lang w:val="fr-CA"/>
        </w:rPr>
        <w:t>1</w:t>
      </w:r>
      <w:r w:rsidRPr="00832F07">
        <w:rPr>
          <w:rFonts w:cs="Times New Roman"/>
          <w:lang w:val="fr-CA"/>
        </w:rPr>
        <w:t xml:space="preserve">313.  </w:t>
      </w:r>
    </w:p>
    <w:p w:rsidR="007B74A6" w:rsidRPr="00832F07" w:rsidRDefault="007B74A6" w:rsidP="00795B2B">
      <w:pPr>
        <w:pStyle w:val="ParaNoNdepar-AltN"/>
        <w:rPr>
          <w:rFonts w:cs="Times New Roman"/>
          <w:lang w:val="fr-CA"/>
        </w:rPr>
      </w:pPr>
      <w:r w:rsidRPr="00832F07">
        <w:rPr>
          <w:rFonts w:cs="Times New Roman"/>
          <w:lang w:val="fr-CA"/>
        </w:rPr>
        <w:t xml:space="preserve">À la suite de l’arrêt </w:t>
      </w:r>
      <w:r w:rsidRPr="00832F07">
        <w:rPr>
          <w:rFonts w:cs="Times New Roman"/>
          <w:i/>
          <w:iCs/>
          <w:lang w:val="fr-CA"/>
        </w:rPr>
        <w:t xml:space="preserve">Delisle </w:t>
      </w:r>
      <w:r w:rsidRPr="00832F07">
        <w:rPr>
          <w:rFonts w:cs="Times New Roman"/>
          <w:lang w:val="fr-CA"/>
        </w:rPr>
        <w:t xml:space="preserve">de la Cour, plusieurs changements ont été apportés au PRRF qui, comme l’a reconnu le juge de première instance, en ont amélioré l’autonomie. L’agent des programmes des relations de travail, qui était choisi par le commissaire de la GRC, a été remplacé par un directeur de programme qui est choisi, lui, par le Caucus national du PRRF et qui doit rendre des comptes à ce dernier. En 2003, les Consignes du commissaire qui régissaient le PRRF ont été remplacées par les Statuts du PRRF et par l’Entente entre le commissaire et le PRRF adoptés l’année précédente. De plus, les RRF peuvent désormais contester devant les tribunaux les agissements de la direction de la GRC dans le contexte des relations de travail. Le pourvoi connexe </w:t>
      </w:r>
      <w:r w:rsidRPr="00832F07">
        <w:rPr>
          <w:rFonts w:cs="Times New Roman"/>
          <w:i/>
          <w:iCs/>
          <w:lang w:val="fr-CA"/>
        </w:rPr>
        <w:t>Meredith c. Canada (Procureur général)</w:t>
      </w:r>
      <w:r w:rsidRPr="00832F07">
        <w:rPr>
          <w:rFonts w:cs="Times New Roman"/>
          <w:iCs/>
          <w:lang w:val="fr-CA"/>
        </w:rPr>
        <w:t>, 2015</w:t>
      </w:r>
      <w:r w:rsidR="00795B2B">
        <w:rPr>
          <w:rFonts w:cs="Times New Roman"/>
          <w:iCs/>
          <w:lang w:val="fr-CA"/>
        </w:rPr>
        <w:t xml:space="preserve"> </w:t>
      </w:r>
      <w:r w:rsidRPr="00832F07">
        <w:rPr>
          <w:rFonts w:cs="Times New Roman"/>
          <w:iCs/>
          <w:lang w:val="fr-CA"/>
        </w:rPr>
        <w:t>CSC</w:t>
      </w:r>
      <w:r w:rsidR="00795B2B">
        <w:rPr>
          <w:rFonts w:cs="Times New Roman"/>
          <w:iCs/>
          <w:lang w:val="fr-CA"/>
        </w:rPr>
        <w:t xml:space="preserve"> </w:t>
      </w:r>
      <w:r w:rsidRPr="00832F07">
        <w:rPr>
          <w:rFonts w:cs="Times New Roman"/>
          <w:iCs/>
          <w:lang w:val="fr-CA"/>
        </w:rPr>
        <w:t xml:space="preserve">2, </w:t>
      </w:r>
      <w:r w:rsidR="00941D76">
        <w:rPr>
          <w:rFonts w:cs="Times New Roman"/>
          <w:iCs/>
          <w:lang w:val="fr-CA"/>
        </w:rPr>
        <w:t xml:space="preserve">[2015] 1 R.C.S. </w:t>
      </w:r>
      <w:r w:rsidR="00544334">
        <w:rPr>
          <w:rFonts w:cs="Times New Roman"/>
          <w:iCs/>
          <w:lang w:val="fr-CA"/>
        </w:rPr>
        <w:t>125</w:t>
      </w:r>
      <w:r w:rsidR="00941D76">
        <w:rPr>
          <w:rFonts w:cs="Times New Roman"/>
          <w:iCs/>
          <w:lang w:val="fr-CA"/>
        </w:rPr>
        <w:t xml:space="preserve">, </w:t>
      </w:r>
      <w:r w:rsidRPr="00832F07">
        <w:rPr>
          <w:rFonts w:cs="Times New Roman"/>
          <w:iCs/>
          <w:lang w:val="fr-CA"/>
        </w:rPr>
        <w:t>est une illustration de ce nouveau pouvoir</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lastRenderedPageBreak/>
        <w:t xml:space="preserve">Si la direction ou le gouvernement tentait maintenant de dépouiller de façon injustifiable les membres de la GRC de leurs droits d’être représentés, l’obligation de négocier de bonne foi ne serait pas respectée. Dans ces conditions, les membres de la GRC pourraient s’adresser aux tribunaux pour faire respecter le droit à une véritable négociation collective que leur reconnaît la </w:t>
      </w:r>
      <w:r w:rsidRPr="00832F07">
        <w:rPr>
          <w:rFonts w:cs="Times New Roman"/>
          <w:i/>
          <w:iCs/>
          <w:lang w:val="fr-CA"/>
        </w:rPr>
        <w:t>Charte</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Les appelantes soulignent que les membres de l’exécutif ou les dirigeants des associations d’employés comme les organisations appelantes ont été empêchés de se porter candidats à des postes de RRF. Selon elles, on peut en conclure que la direction a entravé leur liberté d’association. Or, suivant la preuve, c’est le Caucus national du PRRF qui s’occupe de cette règle et non la direction. Et rien n’empêche les autres membres des associations appelantes de se porter candidats à des postes de représentants. Les associations d’employés comme les appelantes sont essentiellement des rivales du PRRF. Si un modèle Wagner était en vigueur dans le cas de la GRC, une seule des appelantes pourrait réussir à être retenue comme agent négociateur. Des restrictions semblables s’appliqueraient aux postes de dirigeants dans le cas d’associations d’employés indépendantes rivales. Les restrictions de cette nature visent légitimement à empêcher des conflits d’intérêts dans les obligations et les engagements souscrits pour des associations concurrentes. Elles n’indiquent pas une ingérence de l’employeur dans le PRRF. </w:t>
      </w:r>
    </w:p>
    <w:p w:rsidR="007B74A6" w:rsidRPr="00832F07" w:rsidRDefault="007B74A6" w:rsidP="00795B2B">
      <w:pPr>
        <w:pStyle w:val="ParaNoNdepar-AltN"/>
        <w:rPr>
          <w:rFonts w:cs="Times New Roman"/>
          <w:lang w:val="fr-CA"/>
        </w:rPr>
      </w:pPr>
      <w:r w:rsidRPr="00832F07">
        <w:rPr>
          <w:rFonts w:cs="Times New Roman"/>
          <w:lang w:val="fr-CA"/>
        </w:rPr>
        <w:t xml:space="preserve">Lors des débats, les appelantes ont expliqué craindre que les contraintes financières imposées au PRRF ne limitent l’efficacité de la représentation. Elles ont toutefois admis que rien ne permettait de penser que des contraintes budgétaires avaient empêché jusqu’ici le PRRF de représenter ses membres. Il se peut qu’un </w:t>
      </w:r>
      <w:r w:rsidRPr="00832F07">
        <w:rPr>
          <w:rFonts w:cs="Times New Roman"/>
          <w:lang w:val="fr-CA"/>
        </w:rPr>
        <w:lastRenderedPageBreak/>
        <w:t xml:space="preserve">employeur gouvernemental ne puisse offrir un budget illimité pour son modèle de relations de travail axé sur la collaboration. Cela dit, comme les appelantes le savent bien, les associations d’employés indépendantes font elles aussi face à des limites de financement en raison des revenus qu’elles reçoivent sous formes notamment de cotisations syndicales. </w:t>
      </w:r>
    </w:p>
    <w:p w:rsidR="007B74A6" w:rsidRPr="00832F07" w:rsidRDefault="007B74A6" w:rsidP="00795B2B">
      <w:pPr>
        <w:pStyle w:val="ParaNoNdepar-AltN"/>
        <w:rPr>
          <w:rFonts w:cs="Times New Roman"/>
          <w:lang w:val="fr-CA"/>
        </w:rPr>
      </w:pPr>
      <w:r w:rsidRPr="00832F07">
        <w:rPr>
          <w:rFonts w:cs="Times New Roman"/>
          <w:lang w:val="fr-CA"/>
        </w:rPr>
        <w:t>Sur le plan opérationnel, le PRRF jouit d’une grande autonomie financière</w:t>
      </w:r>
      <w:r w:rsidR="00795B2B">
        <w:rPr>
          <w:rFonts w:cs="Times New Roman"/>
          <w:lang w:val="fr-CA"/>
        </w:rPr>
        <w:t> :</w:t>
      </w:r>
      <w:r w:rsidRPr="00832F07">
        <w:rPr>
          <w:rFonts w:cs="Times New Roman"/>
          <w:lang w:val="fr-CA"/>
        </w:rPr>
        <w:t xml:space="preserve"> bien que la GRC établisse le budget annuel du programme, budget qui est approuvé par des gestionnaires à divers niveaux, c’est le Comité exécutif national (</w:t>
      </w:r>
      <w:r w:rsidR="00795B2B">
        <w:rPr>
          <w:rFonts w:cs="Times New Roman"/>
          <w:lang w:val="fr-CA"/>
        </w:rPr>
        <w:t>« </w:t>
      </w:r>
      <w:r w:rsidRPr="00832F07">
        <w:rPr>
          <w:rFonts w:cs="Times New Roman"/>
          <w:lang w:val="fr-CA"/>
        </w:rPr>
        <w:t>CEN</w:t>
      </w:r>
      <w:r w:rsidR="00795B2B">
        <w:rPr>
          <w:rFonts w:cs="Times New Roman"/>
          <w:lang w:val="fr-CA"/>
        </w:rPr>
        <w:t> »</w:t>
      </w:r>
      <w:r w:rsidRPr="00832F07">
        <w:rPr>
          <w:rFonts w:cs="Times New Roman"/>
          <w:lang w:val="fr-CA"/>
        </w:rPr>
        <w:t xml:space="preserve">) </w:t>
      </w:r>
      <w:r w:rsidR="00D07809">
        <w:rPr>
          <w:rFonts w:cs="Times New Roman"/>
          <w:lang w:val="fr-CA"/>
        </w:rPr>
        <w:t>du PRRF</w:t>
      </w:r>
      <w:r w:rsidRPr="00832F07">
        <w:rPr>
          <w:rFonts w:cs="Times New Roman"/>
          <w:lang w:val="fr-CA"/>
        </w:rPr>
        <w:t xml:space="preserve"> qui est chargé de gérer ce budget (Entente entre le commissaire et le PRRF, art.</w:t>
      </w:r>
      <w:r w:rsidR="00795B2B">
        <w:rPr>
          <w:rFonts w:cs="Times New Roman"/>
          <w:lang w:val="fr-CA"/>
        </w:rPr>
        <w:t xml:space="preserve"> </w:t>
      </w:r>
      <w:r w:rsidRPr="00832F07">
        <w:rPr>
          <w:rFonts w:cs="Times New Roman"/>
          <w:lang w:val="fr-CA"/>
        </w:rPr>
        <w:t>12 et 14). Le commissaire n’influence, ne guide ni ne contrôle aucune des décisions budgétaires du CEN. L’Entente entre le commissaire et le PRRF prévoit également une procédure qui permet au PRRF d’obtenir du financement supplémentaire (art.</w:t>
      </w:r>
      <w:r w:rsidR="00795B2B">
        <w:rPr>
          <w:rFonts w:cs="Times New Roman"/>
          <w:lang w:val="fr-CA"/>
        </w:rPr>
        <w:t xml:space="preserve"> </w:t>
      </w:r>
      <w:r w:rsidRPr="00832F07">
        <w:rPr>
          <w:rFonts w:cs="Times New Roman"/>
          <w:lang w:val="fr-CA"/>
        </w:rPr>
        <w:t xml:space="preserve">13). </w:t>
      </w:r>
    </w:p>
    <w:p w:rsidR="007B74A6" w:rsidRPr="00832F07" w:rsidRDefault="007B74A6" w:rsidP="00795B2B">
      <w:pPr>
        <w:pStyle w:val="ParaNoNdepar-AltN"/>
        <w:rPr>
          <w:rFonts w:cs="Times New Roman"/>
          <w:lang w:val="fr-CA"/>
        </w:rPr>
      </w:pPr>
      <w:r w:rsidRPr="00832F07">
        <w:rPr>
          <w:rFonts w:cs="Times New Roman"/>
          <w:lang w:val="fr-CA"/>
        </w:rPr>
        <w:t>En définitive, le PRRF permet une véritable négociation collective entre les membres de la GRC et leur employeur. Suivant la preuve soumise à la Cour, les RRF défendent équitablement les intérêts des employés auprès de la direction; le PRRF respecte donc l’exigence constitutionnelle de représentativité exigée selon l’interprétation que la Cour a donnée à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w:t>
      </w:r>
    </w:p>
    <w:p w:rsidR="007B74A6" w:rsidRPr="00527C01" w:rsidRDefault="007B74A6" w:rsidP="00527C01">
      <w:pPr>
        <w:pStyle w:val="Title4LevelTitre4Niveau"/>
        <w:numPr>
          <w:ilvl w:val="0"/>
          <w:numId w:val="0"/>
        </w:numPr>
        <w:tabs>
          <w:tab w:val="left" w:pos="900"/>
        </w:tabs>
        <w:ind w:left="900" w:hanging="353"/>
        <w:jc w:val="both"/>
        <w:rPr>
          <w:rFonts w:cs="Times New Roman"/>
          <w:u w:val="none"/>
          <w:lang w:val="fr-CA"/>
        </w:rPr>
      </w:pPr>
      <w:r w:rsidRPr="00527C01">
        <w:rPr>
          <w:rFonts w:cs="Times New Roman"/>
          <w:u w:val="none"/>
          <w:lang w:val="fr-CA"/>
        </w:rPr>
        <w:t>b)</w:t>
      </w:r>
      <w:r w:rsidRPr="00527C01">
        <w:rPr>
          <w:rFonts w:cs="Times New Roman"/>
          <w:u w:val="none"/>
          <w:lang w:val="fr-CA"/>
        </w:rPr>
        <w:tab/>
      </w:r>
      <w:r w:rsidRPr="00527C01">
        <w:rPr>
          <w:rFonts w:cs="Times New Roman"/>
          <w:i/>
          <w:u w:val="none"/>
          <w:lang w:val="fr-CA"/>
        </w:rPr>
        <w:t>Le PRRF ne rend pas effectivement impossible une véritable négociation collective</w:t>
      </w:r>
      <w:r w:rsidRPr="00527C01">
        <w:rPr>
          <w:rFonts w:cs="Times New Roman"/>
          <w:u w:val="none"/>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Les juges majoritaires prétendent que l’imposition du PRRF a été conçue de manière à faire obstacle à la liberté d’association. Ils affirment que le programme </w:t>
      </w:r>
      <w:r w:rsidRPr="00832F07">
        <w:rPr>
          <w:rFonts w:cs="Times New Roman"/>
          <w:lang w:val="fr-CA"/>
        </w:rPr>
        <w:lastRenderedPageBreak/>
        <w:t xml:space="preserve">qui a précédé le PRRF était </w:t>
      </w:r>
      <w:r w:rsidR="00795B2B">
        <w:rPr>
          <w:rFonts w:cs="Times New Roman"/>
          <w:lang w:val="fr-CA"/>
        </w:rPr>
        <w:t>« </w:t>
      </w:r>
      <w:r w:rsidRPr="00832F07">
        <w:rPr>
          <w:rFonts w:cs="Times New Roman"/>
          <w:lang w:val="fr-CA"/>
        </w:rPr>
        <w:t>ouvertement présenté</w:t>
      </w:r>
      <w:r w:rsidR="00527C01">
        <w:rPr>
          <w:rFonts w:cs="Times New Roman"/>
          <w:lang w:val="fr-CA"/>
        </w:rPr>
        <w:t xml:space="preserve"> </w:t>
      </w:r>
      <w:r w:rsidRPr="00832F07">
        <w:rPr>
          <w:rFonts w:cs="Times New Roman"/>
          <w:lang w:val="fr-CA"/>
        </w:rPr>
        <w:t>comme une solution de rechange à la syndicalisation</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108). Or, tant les Statuts du PRRF que l’Entente entre le commissaire et le PRRF — qui a prolongé ce dernier sous son nom et sa forme actuels — indiquent que le programme n’a pas pour objet de faire obstacle à la liberté d’association, mais plutôt de créer un régime de relations de travail axé sur la collaboration, </w:t>
      </w:r>
      <w:r w:rsidR="00795B2B">
        <w:rPr>
          <w:rFonts w:cs="Times New Roman"/>
          <w:lang w:val="fr-CA"/>
        </w:rPr>
        <w:t>« </w:t>
      </w:r>
      <w:proofErr w:type="spellStart"/>
      <w:r w:rsidRPr="00832F07">
        <w:rPr>
          <w:rFonts w:cs="Times New Roman"/>
          <w:lang w:val="fr-CA"/>
        </w:rPr>
        <w:t>emprein</w:t>
      </w:r>
      <w:proofErr w:type="spellEnd"/>
      <w:r w:rsidRPr="00832F07">
        <w:rPr>
          <w:rFonts w:cs="Times New Roman"/>
          <w:lang w:val="fr-CA"/>
        </w:rPr>
        <w:t>[t] de l’esprit de collaboration, de respect mutuel et de confiance dans lequel [il] a été conçu</w:t>
      </w:r>
      <w:r w:rsidR="00795B2B">
        <w:rPr>
          <w:rFonts w:cs="Times New Roman"/>
          <w:lang w:val="fr-CA"/>
        </w:rPr>
        <w:t> »</w:t>
      </w:r>
      <w:r w:rsidRPr="00832F07">
        <w:rPr>
          <w:rFonts w:cs="Times New Roman"/>
          <w:lang w:val="fr-CA"/>
        </w:rPr>
        <w:t xml:space="preserve"> (Statuts du PRRF, art.</w:t>
      </w:r>
      <w:r w:rsidR="00795B2B">
        <w:rPr>
          <w:rFonts w:cs="Times New Roman"/>
          <w:lang w:val="fr-CA"/>
        </w:rPr>
        <w:t xml:space="preserve"> </w:t>
      </w:r>
      <w:r w:rsidRPr="00832F07">
        <w:rPr>
          <w:rFonts w:cs="Times New Roman"/>
          <w:lang w:val="fr-CA"/>
        </w:rPr>
        <w:t xml:space="preserve">3(B)), et visant à </w:t>
      </w:r>
      <w:r w:rsidR="00795B2B">
        <w:rPr>
          <w:rFonts w:cs="Times New Roman"/>
          <w:lang w:val="fr-CA"/>
        </w:rPr>
        <w:t>« </w:t>
      </w:r>
      <w:r w:rsidRPr="00832F07">
        <w:rPr>
          <w:rFonts w:cs="Times New Roman"/>
          <w:lang w:val="fr-CA"/>
        </w:rPr>
        <w:t>promouvoir des relations mutuellement avantageuses</w:t>
      </w:r>
      <w:r w:rsidR="00795B2B">
        <w:rPr>
          <w:rFonts w:cs="Times New Roman"/>
          <w:lang w:val="fr-CA"/>
        </w:rPr>
        <w:t> »</w:t>
      </w:r>
      <w:r>
        <w:rPr>
          <w:rFonts w:cs="Times New Roman"/>
          <w:lang w:val="fr-CA"/>
        </w:rPr>
        <w:t xml:space="preserve"> (</w:t>
      </w:r>
      <w:r w:rsidRPr="00832F07">
        <w:rPr>
          <w:rFonts w:cs="Times New Roman"/>
          <w:lang w:val="fr-CA"/>
        </w:rPr>
        <w:t>Entente entre le commissaire et le PRRF, art.</w:t>
      </w:r>
      <w:r w:rsidR="00795B2B">
        <w:rPr>
          <w:rFonts w:cs="Times New Roman"/>
          <w:lang w:val="fr-CA"/>
        </w:rPr>
        <w:t xml:space="preserve"> </w:t>
      </w:r>
      <w:r w:rsidRPr="00832F07">
        <w:rPr>
          <w:rFonts w:cs="Times New Roman"/>
          <w:lang w:val="fr-CA"/>
        </w:rPr>
        <w:t>1). De plus, le juge de première instance a conclu [</w:t>
      </w:r>
      <w:r w:rsidRPr="00832F07">
        <w:rPr>
          <w:rFonts w:cs="Times New Roman"/>
          <w:smallCaps/>
          <w:lang w:val="fr-CA"/>
        </w:rPr>
        <w:t>traduction</w:t>
      </w:r>
      <w:r w:rsidRPr="00832F07">
        <w:rPr>
          <w:rFonts w:cs="Times New Roman"/>
          <w:lang w:val="fr-CA"/>
        </w:rPr>
        <w:t xml:space="preserve">] </w:t>
      </w:r>
      <w:r w:rsidR="00795B2B">
        <w:rPr>
          <w:rFonts w:cs="Times New Roman"/>
          <w:lang w:val="fr-CA"/>
        </w:rPr>
        <w:t>« </w:t>
      </w:r>
      <w:r w:rsidRPr="00832F07">
        <w:rPr>
          <w:rFonts w:cs="Times New Roman"/>
          <w:lang w:val="fr-CA"/>
        </w:rPr>
        <w:t>qu’il existe une grande collaboration entre les RRF et la direction, le tout dans un climat de bonne foi de la part de chacun</w:t>
      </w:r>
      <w:r w:rsidR="00795B2B">
        <w:rPr>
          <w:rFonts w:cs="Times New Roman"/>
          <w:lang w:val="fr-CA"/>
        </w:rPr>
        <w:t> »</w:t>
      </w:r>
      <w:r>
        <w:rPr>
          <w:rFonts w:cs="Times New Roman"/>
          <w:lang w:val="fr-CA"/>
        </w:rPr>
        <w:t xml:space="preserve"> (</w:t>
      </w:r>
      <w:r w:rsidRPr="00832F07">
        <w:rPr>
          <w:rFonts w:cs="Times New Roman"/>
          <w:lang w:val="fr-CA"/>
        </w:rPr>
        <w:t>(2009), 96 O.R.</w:t>
      </w:r>
      <w:r>
        <w:rPr>
          <w:rFonts w:cs="Times New Roman"/>
          <w:lang w:val="fr-CA"/>
        </w:rPr>
        <w:t xml:space="preserve"> (</w:t>
      </w:r>
      <w:r w:rsidRPr="00832F07">
        <w:rPr>
          <w:rFonts w:cs="Times New Roman"/>
          <w:lang w:val="fr-CA"/>
        </w:rPr>
        <w:t>3d)</w:t>
      </w:r>
      <w:r w:rsidR="00795B2B">
        <w:rPr>
          <w:rFonts w:cs="Times New Roman"/>
          <w:lang w:val="fr-CA"/>
        </w:rPr>
        <w:t xml:space="preserve"> </w:t>
      </w:r>
      <w:r w:rsidRPr="00832F07">
        <w:rPr>
          <w:rFonts w:cs="Times New Roman"/>
          <w:lang w:val="fr-CA"/>
        </w:rPr>
        <w:t>20, par.</w:t>
      </w:r>
      <w:r w:rsidR="00795B2B">
        <w:rPr>
          <w:rFonts w:cs="Times New Roman"/>
          <w:lang w:val="fr-CA"/>
        </w:rPr>
        <w:t xml:space="preserve"> </w:t>
      </w:r>
      <w:r w:rsidRPr="00832F07">
        <w:rPr>
          <w:rFonts w:cs="Times New Roman"/>
          <w:lang w:val="fr-CA"/>
        </w:rPr>
        <w:t>31).</w:t>
      </w:r>
    </w:p>
    <w:p w:rsidR="007B74A6" w:rsidRPr="00832F07" w:rsidRDefault="007B74A6" w:rsidP="00795B2B">
      <w:pPr>
        <w:pStyle w:val="ParaNoNdepar-AltN"/>
        <w:rPr>
          <w:rFonts w:cs="Times New Roman"/>
          <w:lang w:val="fr-CA"/>
        </w:rPr>
      </w:pPr>
      <w:r w:rsidRPr="00832F07">
        <w:rPr>
          <w:rFonts w:cs="Times New Roman"/>
          <w:lang w:val="fr-CA"/>
        </w:rPr>
        <w:t>Comme solution de rechange à la formation d’une association axée sur la confrontation, un régime de relations de travail fondé plutôt sur la collaboration constituait un choix de principe raisonnable pour un corps policier national.</w:t>
      </w:r>
      <w:r w:rsidR="00795B2B">
        <w:rPr>
          <w:rFonts w:cs="Times New Roman"/>
          <w:lang w:val="fr-CA"/>
        </w:rPr>
        <w:t xml:space="preserve"> </w:t>
      </w:r>
      <w:r w:rsidRPr="00832F07">
        <w:rPr>
          <w:rFonts w:cs="Times New Roman"/>
          <w:lang w:val="fr-CA"/>
        </w:rPr>
        <w:t xml:space="preserve">Ainsi que le procureur général du Canada l’a fait observer, la GRC est le seul service de police chargé d’assurer la sécurité à l’échelle nationale. Ses membres peuvent être appelés à intervenir en cas de grève déclenchée par les travailleurs des services correctionnels provinciaux, </w:t>
      </w:r>
      <w:r w:rsidR="000B4F7B">
        <w:rPr>
          <w:rFonts w:cs="Times New Roman"/>
          <w:lang w:val="fr-CA"/>
        </w:rPr>
        <w:t>et</w:t>
      </w:r>
      <w:r w:rsidRPr="00832F07">
        <w:rPr>
          <w:rFonts w:cs="Times New Roman"/>
          <w:lang w:val="fr-CA"/>
        </w:rPr>
        <w:t xml:space="preserve"> ils peuvent être les seuls fournisseurs de services policiers sur un territoire donné. Les personnes qui dépendent des services de maintien de l’ordre qu’offre la GRC ne peuvent être laissées dans une position de vulnérabilité au cours d’un arrêt de travail susceptible de dégénérer en affrontements, et elles ne doivent pas douter de sa neutralité au cours d’une grève dans un établissement carcéral.</w:t>
      </w:r>
      <w:r w:rsidR="00795B2B">
        <w:rPr>
          <w:rFonts w:cs="Times New Roman"/>
          <w:lang w:val="fr-CA"/>
        </w:rPr>
        <w:t xml:space="preserve"> </w:t>
      </w:r>
      <w:r w:rsidRPr="00832F07">
        <w:rPr>
          <w:rFonts w:cs="Times New Roman"/>
          <w:lang w:val="fr-CA"/>
        </w:rPr>
        <w:t xml:space="preserve">L’analyse constitutionnelle ne consiste pas à se demander si le PRRF est suffisamment </w:t>
      </w:r>
      <w:r w:rsidRPr="00832F07">
        <w:rPr>
          <w:rFonts w:cs="Times New Roman"/>
          <w:lang w:val="fr-CA"/>
        </w:rPr>
        <w:lastRenderedPageBreak/>
        <w:t xml:space="preserve">indépendant ou s’il s’agit d’un modèle contradictoire, mais plutôt, suivant l’arrêt </w:t>
      </w:r>
      <w:r w:rsidRPr="00832F07">
        <w:rPr>
          <w:rFonts w:cs="Times New Roman"/>
          <w:i/>
          <w:iCs/>
          <w:lang w:val="fr-CA"/>
        </w:rPr>
        <w:t>Fraser</w:t>
      </w:r>
      <w:r w:rsidRPr="00832F07">
        <w:rPr>
          <w:rFonts w:cs="Times New Roman"/>
          <w:lang w:val="fr-CA"/>
        </w:rPr>
        <w:t>, à se demander s’il rend effectivement impossible</w:t>
      </w:r>
      <w:r w:rsidR="000B4F7B">
        <w:rPr>
          <w:rFonts w:cs="Times New Roman"/>
          <w:lang w:val="fr-CA"/>
        </w:rPr>
        <w:t>s</w:t>
      </w:r>
      <w:r w:rsidRPr="00832F07">
        <w:rPr>
          <w:rFonts w:cs="Times New Roman"/>
          <w:lang w:val="fr-CA"/>
        </w:rPr>
        <w:t xml:space="preserve"> les activités d’association des membres de la GRC en vue de réaliser des objectifs relatifs au travail. Ce n’est de toute évidence pas le cas. </w:t>
      </w:r>
    </w:p>
    <w:p w:rsidR="007B74A6" w:rsidRPr="00832F07" w:rsidRDefault="007B74A6" w:rsidP="00795B2B">
      <w:pPr>
        <w:pStyle w:val="ParaNoNdepar-AltN"/>
        <w:rPr>
          <w:rFonts w:cs="Times New Roman"/>
          <w:lang w:val="fr-CA"/>
        </w:rPr>
      </w:pPr>
      <w:r w:rsidRPr="00832F07">
        <w:rPr>
          <w:rFonts w:cs="Times New Roman"/>
          <w:lang w:val="fr-CA"/>
        </w:rPr>
        <w:t xml:space="preserve">Le PRRF facilite l’association dans la mesure où il </w:t>
      </w:r>
      <w:r w:rsidR="00795B2B">
        <w:rPr>
          <w:rFonts w:cs="Times New Roman"/>
          <w:lang w:val="fr-CA"/>
        </w:rPr>
        <w:t>« </w:t>
      </w:r>
      <w:proofErr w:type="spellStart"/>
      <w:r w:rsidRPr="00832F07">
        <w:rPr>
          <w:rFonts w:cs="Times New Roman"/>
          <w:lang w:val="fr-CA"/>
        </w:rPr>
        <w:t>assur</w:t>
      </w:r>
      <w:proofErr w:type="spellEnd"/>
      <w:r w:rsidRPr="00832F07">
        <w:rPr>
          <w:rFonts w:cs="Times New Roman"/>
          <w:lang w:val="fr-CA"/>
        </w:rPr>
        <w:t>[e] la représentation des intérêts de tous les membres de la Gendarmerie royale du Canada</w:t>
      </w:r>
      <w:r w:rsidR="00795B2B">
        <w:rPr>
          <w:rFonts w:cs="Times New Roman"/>
          <w:lang w:val="fr-CA"/>
        </w:rPr>
        <w:t> »</w:t>
      </w:r>
      <w:r w:rsidRPr="00832F07">
        <w:rPr>
          <w:rFonts w:cs="Times New Roman"/>
          <w:lang w:val="fr-CA"/>
        </w:rPr>
        <w:t>, du simple agent jusqu’au commissaire</w:t>
      </w:r>
      <w:r>
        <w:rPr>
          <w:rFonts w:cs="Times New Roman"/>
          <w:lang w:val="fr-CA"/>
        </w:rPr>
        <w:t xml:space="preserve"> (</w:t>
      </w:r>
      <w:r w:rsidRPr="00832F07">
        <w:rPr>
          <w:rFonts w:cs="Times New Roman"/>
          <w:lang w:val="fr-CA"/>
        </w:rPr>
        <w:t>Statuts du PRRF, art.</w:t>
      </w:r>
      <w:r w:rsidR="00795B2B">
        <w:rPr>
          <w:rFonts w:cs="Times New Roman"/>
          <w:lang w:val="fr-CA"/>
        </w:rPr>
        <w:t xml:space="preserve"> </w:t>
      </w:r>
      <w:r w:rsidRPr="00832F07">
        <w:rPr>
          <w:rFonts w:cs="Times New Roman"/>
          <w:lang w:val="fr-CA"/>
        </w:rPr>
        <w:t>1).</w:t>
      </w:r>
    </w:p>
    <w:p w:rsidR="007B74A6" w:rsidRPr="00832F07" w:rsidRDefault="007B74A6" w:rsidP="00795B2B">
      <w:pPr>
        <w:pStyle w:val="ParaNoNdepar-AltN"/>
        <w:rPr>
          <w:rFonts w:cs="Times New Roman"/>
          <w:lang w:val="fr-CA"/>
        </w:rPr>
      </w:pPr>
      <w:r w:rsidRPr="00832F07">
        <w:rPr>
          <w:rFonts w:cs="Times New Roman"/>
          <w:lang w:val="fr-CA"/>
        </w:rPr>
        <w:t xml:space="preserve">Les RRF et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qui sont démocratiquement élus se voient confier la tâche de représenter les membres de la GRC auprès de la direction, à tous les niveaux de la GRC. Parmi les attributions des RRF, mentionnons les suivantes</w:t>
      </w:r>
      <w:r w:rsidR="00795B2B">
        <w:rPr>
          <w:rFonts w:cs="Times New Roman"/>
          <w:lang w:val="fr-CA"/>
        </w:rPr>
        <w:t> :</w:t>
      </w:r>
      <w:r w:rsidRPr="00832F07">
        <w:rPr>
          <w:rFonts w:cs="Times New Roman"/>
          <w:lang w:val="fr-CA"/>
        </w:rPr>
        <w:t xml:space="preserve"> renseigner, conseiller et soutenir les membres de la GRC; tenter de résoudre à l’amiable et au plus bas niveau hiérarchi</w:t>
      </w:r>
      <w:r w:rsidR="000B4F7B">
        <w:rPr>
          <w:rFonts w:cs="Times New Roman"/>
          <w:lang w:val="fr-CA"/>
        </w:rPr>
        <w:t>qu</w:t>
      </w:r>
      <w:r w:rsidRPr="00832F07">
        <w:rPr>
          <w:rFonts w:cs="Times New Roman"/>
          <w:lang w:val="fr-CA"/>
        </w:rPr>
        <w:t>e possible les questions relatives aux conditions de travail; défendre les intérêts des membres et assurer leur participation à la gestion globale de la GRC; et favoriser l’efficacité globale du PRRF</w:t>
      </w:r>
      <w:r>
        <w:rPr>
          <w:rFonts w:cs="Times New Roman"/>
          <w:lang w:val="fr-CA"/>
        </w:rPr>
        <w:t xml:space="preserve"> (</w:t>
      </w:r>
      <w:r w:rsidRPr="00832F07">
        <w:rPr>
          <w:rFonts w:cs="Times New Roman"/>
          <w:lang w:val="fr-CA"/>
        </w:rPr>
        <w:t>Statuts du PRRF, art.</w:t>
      </w:r>
      <w:r w:rsidR="00795B2B">
        <w:rPr>
          <w:rFonts w:cs="Times New Roman"/>
          <w:lang w:val="fr-CA"/>
        </w:rPr>
        <w:t xml:space="preserve"> </w:t>
      </w:r>
      <w:r w:rsidRPr="00832F07">
        <w:rPr>
          <w:rFonts w:cs="Times New Roman"/>
          <w:lang w:val="fr-CA"/>
        </w:rPr>
        <w:t xml:space="preserve">13).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ont des attributi</w:t>
      </w:r>
      <w:r w:rsidR="000B4F7B">
        <w:rPr>
          <w:rFonts w:cs="Times New Roman"/>
          <w:lang w:val="fr-CA"/>
        </w:rPr>
        <w:t>ons semblables et sont tenus d’</w:t>
      </w:r>
      <w:r w:rsidR="00795B2B">
        <w:rPr>
          <w:rFonts w:cs="Times New Roman"/>
          <w:lang w:val="fr-CA"/>
        </w:rPr>
        <w:t>« </w:t>
      </w:r>
      <w:r w:rsidR="000B4F7B">
        <w:rPr>
          <w:rFonts w:cs="Times New Roman"/>
          <w:lang w:val="fr-CA"/>
        </w:rPr>
        <w:t>[</w:t>
      </w:r>
      <w:r w:rsidRPr="00832F07">
        <w:rPr>
          <w:rFonts w:cs="Times New Roman"/>
          <w:lang w:val="fr-CA"/>
        </w:rPr>
        <w:t>a</w:t>
      </w:r>
      <w:r w:rsidR="000B4F7B">
        <w:rPr>
          <w:rFonts w:cs="Times New Roman"/>
          <w:lang w:val="fr-CA"/>
        </w:rPr>
        <w:t>]</w:t>
      </w:r>
      <w:proofErr w:type="spellStart"/>
      <w:r w:rsidRPr="00832F07">
        <w:rPr>
          <w:rFonts w:cs="Times New Roman"/>
          <w:lang w:val="fr-CA"/>
        </w:rPr>
        <w:t>ssurer</w:t>
      </w:r>
      <w:proofErr w:type="spellEnd"/>
      <w:r w:rsidRPr="00832F07">
        <w:rPr>
          <w:rFonts w:cs="Times New Roman"/>
          <w:lang w:val="fr-CA"/>
        </w:rPr>
        <w:t xml:space="preserve"> la liaison entre les RRF et les membres pour répondre aux besoins immédiats et aviser les RRF des problèmes nouveaux</w:t>
      </w:r>
      <w:r w:rsidR="00795B2B">
        <w:rPr>
          <w:rFonts w:cs="Times New Roman"/>
          <w:lang w:val="fr-CA"/>
        </w:rPr>
        <w:t> »</w:t>
      </w:r>
      <w:r>
        <w:rPr>
          <w:rFonts w:cs="Times New Roman"/>
          <w:lang w:val="fr-CA"/>
        </w:rPr>
        <w:t xml:space="preserve"> (</w:t>
      </w:r>
      <w:r w:rsidRPr="00832F07">
        <w:rPr>
          <w:rFonts w:cs="Times New Roman"/>
          <w:lang w:val="fr-CA"/>
        </w:rPr>
        <w:t>Statuts du PRRF, art.</w:t>
      </w:r>
      <w:r w:rsidR="00795B2B">
        <w:rPr>
          <w:rFonts w:cs="Times New Roman"/>
          <w:lang w:val="fr-CA"/>
        </w:rPr>
        <w:t xml:space="preserve"> </w:t>
      </w:r>
      <w:r w:rsidRPr="00832F07">
        <w:rPr>
          <w:rFonts w:cs="Times New Roman"/>
          <w:lang w:val="fr-CA"/>
        </w:rPr>
        <w:t xml:space="preserve">14(B)). Les RRF et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xml:space="preserve"> sont censés communiquer avec la direction au niveau hiérarchique approprié</w:t>
      </w:r>
      <w:r>
        <w:rPr>
          <w:rFonts w:cs="Times New Roman"/>
          <w:lang w:val="fr-CA"/>
        </w:rPr>
        <w:t xml:space="preserve"> (</w:t>
      </w:r>
      <w:r w:rsidRPr="00832F07">
        <w:rPr>
          <w:rFonts w:cs="Times New Roman"/>
          <w:lang w:val="fr-CA"/>
        </w:rPr>
        <w:t>Statuts du PRRF, art.</w:t>
      </w:r>
      <w:r w:rsidR="00795B2B">
        <w:rPr>
          <w:rFonts w:cs="Times New Roman"/>
          <w:lang w:val="fr-CA"/>
        </w:rPr>
        <w:t xml:space="preserve"> </w:t>
      </w:r>
      <w:r w:rsidR="000B4F7B">
        <w:rPr>
          <w:rFonts w:cs="Times New Roman"/>
          <w:lang w:val="fr-CA"/>
        </w:rPr>
        <w:t>13(B) et 14(B)(1);</w:t>
      </w:r>
      <w:r w:rsidRPr="00832F07">
        <w:rPr>
          <w:rFonts w:cs="Times New Roman"/>
          <w:lang w:val="fr-CA"/>
        </w:rPr>
        <w:t xml:space="preserve"> Entente entre le commissaire et le PRRF, art.</w:t>
      </w:r>
      <w:r w:rsidR="00795B2B">
        <w:rPr>
          <w:rFonts w:cs="Times New Roman"/>
          <w:lang w:val="fr-CA"/>
        </w:rPr>
        <w:t xml:space="preserve"> </w:t>
      </w:r>
      <w:r w:rsidRPr="00832F07">
        <w:rPr>
          <w:rFonts w:cs="Times New Roman"/>
          <w:lang w:val="fr-CA"/>
        </w:rPr>
        <w:t>9</w:t>
      </w:r>
      <w:r w:rsidRPr="00832F07">
        <w:rPr>
          <w:rFonts w:cs="Times New Roman"/>
          <w:iCs/>
          <w:lang w:val="fr-CA"/>
        </w:rPr>
        <w:t>a</w:t>
      </w:r>
      <w:r w:rsidRPr="00832F07">
        <w:rPr>
          <w:rFonts w:cs="Times New Roman"/>
          <w:lang w:val="fr-CA"/>
        </w:rPr>
        <w:t>)); ils doivent aussi défendre les intérêts des membres lors d’assemblées, devant les comités et dans le cadre d’études</w:t>
      </w:r>
      <w:r>
        <w:rPr>
          <w:rFonts w:cs="Times New Roman"/>
          <w:lang w:val="fr-CA"/>
        </w:rPr>
        <w:t xml:space="preserve"> (</w:t>
      </w:r>
      <w:r w:rsidRPr="00832F07">
        <w:rPr>
          <w:rFonts w:cs="Times New Roman"/>
          <w:lang w:val="fr-CA"/>
        </w:rPr>
        <w:t>Statuts du PRRF, art.</w:t>
      </w:r>
      <w:r w:rsidR="00795B2B">
        <w:rPr>
          <w:rFonts w:cs="Times New Roman"/>
          <w:lang w:val="fr-CA"/>
        </w:rPr>
        <w:t xml:space="preserve"> </w:t>
      </w:r>
      <w:r w:rsidR="000B4F7B">
        <w:rPr>
          <w:rFonts w:cs="Times New Roman"/>
          <w:lang w:val="fr-CA"/>
        </w:rPr>
        <w:t>13(C) et 14(C);</w:t>
      </w:r>
      <w:r w:rsidRPr="00832F07">
        <w:rPr>
          <w:rFonts w:cs="Times New Roman"/>
          <w:lang w:val="fr-CA"/>
        </w:rPr>
        <w:t xml:space="preserve"> Entente entre le commissaire et le PRRF, art.</w:t>
      </w:r>
      <w:r w:rsidR="00795B2B">
        <w:rPr>
          <w:rFonts w:cs="Times New Roman"/>
          <w:lang w:val="fr-CA"/>
        </w:rPr>
        <w:t xml:space="preserve"> </w:t>
      </w:r>
      <w:r w:rsidRPr="00832F07">
        <w:rPr>
          <w:rFonts w:cs="Times New Roman"/>
          <w:lang w:val="fr-CA"/>
        </w:rPr>
        <w:t>9</w:t>
      </w:r>
      <w:r w:rsidRPr="00832F07">
        <w:rPr>
          <w:rFonts w:cs="Times New Roman"/>
          <w:iCs/>
          <w:lang w:val="fr-CA"/>
        </w:rPr>
        <w:t>b</w:t>
      </w:r>
      <w:r w:rsidRPr="00832F07">
        <w:rPr>
          <w:rFonts w:cs="Times New Roman"/>
          <w:lang w:val="fr-CA"/>
        </w:rPr>
        <w:t xml:space="preserve">) à </w:t>
      </w:r>
      <w:r w:rsidRPr="00832F07">
        <w:rPr>
          <w:rFonts w:cs="Times New Roman"/>
          <w:iCs/>
          <w:lang w:val="fr-CA"/>
        </w:rPr>
        <w:t>d</w:t>
      </w:r>
      <w:r w:rsidRPr="00832F07">
        <w:rPr>
          <w:rFonts w:cs="Times New Roman"/>
          <w:lang w:val="fr-CA"/>
        </w:rPr>
        <w:t xml:space="preserve">)). Ce </w:t>
      </w:r>
      <w:r w:rsidRPr="00832F07">
        <w:rPr>
          <w:rFonts w:cs="Times New Roman"/>
          <w:lang w:val="fr-CA"/>
        </w:rPr>
        <w:lastRenderedPageBreak/>
        <w:t>processus garantit que les membres de la GRC peuvent faire valoir leurs préoccupations relatives au travail auprès de la direction par l’entremise du PRRF.</w:t>
      </w:r>
    </w:p>
    <w:p w:rsidR="007B74A6" w:rsidRPr="00832F07" w:rsidRDefault="007B74A6" w:rsidP="00795B2B">
      <w:pPr>
        <w:pStyle w:val="ParaNoNdepar-AltN"/>
        <w:rPr>
          <w:rFonts w:cs="Times New Roman"/>
          <w:lang w:val="fr-CA"/>
        </w:rPr>
      </w:pPr>
      <w:r w:rsidRPr="00832F07">
        <w:rPr>
          <w:rFonts w:cs="Times New Roman"/>
          <w:lang w:val="fr-CA"/>
        </w:rPr>
        <w:t xml:space="preserve">Le PRRF impose également certaines obligations à la direction. Par exemple, les Statuts du PRRF prévoient que </w:t>
      </w:r>
      <w:r w:rsidR="00795B2B">
        <w:rPr>
          <w:rFonts w:cs="Times New Roman"/>
          <w:lang w:val="fr-CA"/>
        </w:rPr>
        <w:t>« </w:t>
      </w:r>
      <w:r w:rsidRPr="00832F07">
        <w:rPr>
          <w:rFonts w:cs="Times New Roman"/>
          <w:lang w:val="fr-CA"/>
        </w:rPr>
        <w:t xml:space="preserve">[l]a communication entre les </w:t>
      </w:r>
      <w:r w:rsidR="000B4F7B">
        <w:rPr>
          <w:rFonts w:cs="Times New Roman"/>
          <w:lang w:val="fr-CA"/>
        </w:rPr>
        <w:t xml:space="preserve">représentants des relations fonctionnelles (RRF) </w:t>
      </w:r>
      <w:r w:rsidRPr="00832F07">
        <w:rPr>
          <w:rFonts w:cs="Times New Roman"/>
          <w:lang w:val="fr-CA"/>
        </w:rPr>
        <w:t>et les cadres se fera de manière ouverte et honnête</w:t>
      </w:r>
      <w:r w:rsidR="00795B2B">
        <w:rPr>
          <w:rFonts w:cs="Times New Roman"/>
          <w:lang w:val="fr-CA"/>
        </w:rPr>
        <w:t> »</w:t>
      </w:r>
      <w:r w:rsidRPr="00832F07">
        <w:rPr>
          <w:rFonts w:cs="Times New Roman"/>
          <w:lang w:val="fr-CA"/>
        </w:rPr>
        <w:t xml:space="preserve"> et qu’on répondra aux </w:t>
      </w:r>
      <w:r w:rsidR="00795B2B">
        <w:rPr>
          <w:rFonts w:cs="Times New Roman"/>
          <w:lang w:val="fr-CA"/>
        </w:rPr>
        <w:t>« </w:t>
      </w:r>
      <w:r w:rsidRPr="00832F07">
        <w:rPr>
          <w:rFonts w:cs="Times New Roman"/>
          <w:lang w:val="fr-CA"/>
        </w:rPr>
        <w:t>demandes de renseignements ou d’assistance dans un esprit de collaboration et dans un délai raisonnable</w:t>
      </w:r>
      <w:r w:rsidR="00795B2B">
        <w:rPr>
          <w:rFonts w:cs="Times New Roman"/>
          <w:lang w:val="fr-CA"/>
        </w:rPr>
        <w:t> »</w:t>
      </w:r>
      <w:r>
        <w:rPr>
          <w:rFonts w:cs="Times New Roman"/>
          <w:lang w:val="fr-CA"/>
        </w:rPr>
        <w:t xml:space="preserve"> (</w:t>
      </w:r>
      <w:r w:rsidRPr="00832F07">
        <w:rPr>
          <w:rFonts w:cs="Times New Roman"/>
          <w:lang w:val="fr-CA"/>
        </w:rPr>
        <w:t>art.</w:t>
      </w:r>
      <w:r w:rsidR="00795B2B">
        <w:rPr>
          <w:rFonts w:cs="Times New Roman"/>
          <w:lang w:val="fr-CA"/>
        </w:rPr>
        <w:t xml:space="preserve"> </w:t>
      </w:r>
      <w:r w:rsidRPr="00832F07">
        <w:rPr>
          <w:rFonts w:cs="Times New Roman"/>
          <w:lang w:val="fr-CA"/>
        </w:rPr>
        <w:t xml:space="preserve">3(G)). La direction doit également répondre aux propositions et aux demandes des RRF ou du CEN </w:t>
      </w:r>
      <w:r w:rsidR="00795B2B">
        <w:rPr>
          <w:rFonts w:cs="Times New Roman"/>
          <w:lang w:val="fr-CA"/>
        </w:rPr>
        <w:t>« </w:t>
      </w:r>
      <w:r w:rsidRPr="00832F07">
        <w:rPr>
          <w:rFonts w:cs="Times New Roman"/>
          <w:lang w:val="fr-CA"/>
        </w:rPr>
        <w:t>en temps opportun et de manière transparente</w:t>
      </w:r>
      <w:r w:rsidR="00795B2B">
        <w:rPr>
          <w:rFonts w:cs="Times New Roman"/>
          <w:lang w:val="fr-CA"/>
        </w:rPr>
        <w:t> »</w:t>
      </w:r>
      <w:r>
        <w:rPr>
          <w:rFonts w:cs="Times New Roman"/>
          <w:lang w:val="fr-CA"/>
        </w:rPr>
        <w:t xml:space="preserve"> (</w:t>
      </w:r>
      <w:r w:rsidRPr="00832F07">
        <w:rPr>
          <w:rFonts w:cs="Times New Roman"/>
          <w:lang w:val="fr-CA"/>
        </w:rPr>
        <w:t>Entente entre le commissaire et le PRRF, art.</w:t>
      </w:r>
      <w:r w:rsidR="00795B2B">
        <w:rPr>
          <w:rFonts w:cs="Times New Roman"/>
          <w:lang w:val="fr-CA"/>
        </w:rPr>
        <w:t xml:space="preserve"> </w:t>
      </w:r>
      <w:r w:rsidRPr="00832F07">
        <w:rPr>
          <w:rFonts w:cs="Times New Roman"/>
          <w:lang w:val="fr-CA"/>
        </w:rPr>
        <w:t>11</w:t>
      </w:r>
      <w:r w:rsidRPr="00832F07">
        <w:rPr>
          <w:rFonts w:cs="Times New Roman"/>
          <w:iCs/>
          <w:lang w:val="fr-CA"/>
        </w:rPr>
        <w:t>b</w:t>
      </w:r>
      <w:r w:rsidRPr="00832F07">
        <w:rPr>
          <w:rFonts w:cs="Times New Roman"/>
          <w:lang w:val="fr-CA"/>
        </w:rPr>
        <w:t xml:space="preserve">)); </w:t>
      </w:r>
      <w:r w:rsidR="00795B2B">
        <w:rPr>
          <w:rFonts w:cs="Times New Roman"/>
          <w:lang w:val="fr-CA"/>
        </w:rPr>
        <w:t>« </w:t>
      </w:r>
      <w:r w:rsidRPr="00832F07">
        <w:rPr>
          <w:rFonts w:cs="Times New Roman"/>
          <w:lang w:val="fr-CA"/>
        </w:rPr>
        <w:t>autorise[r] [</w:t>
      </w:r>
      <w:r w:rsidR="00795B2B">
        <w:rPr>
          <w:rFonts w:cs="Times New Roman"/>
          <w:lang w:val="fr-CA"/>
        </w:rPr>
        <w:t>. . .</w:t>
      </w:r>
      <w:r w:rsidRPr="00832F07">
        <w:rPr>
          <w:rFonts w:cs="Times New Roman"/>
          <w:lang w:val="fr-CA"/>
        </w:rPr>
        <w:t>] l’accès aux [</w:t>
      </w:r>
      <w:r w:rsidR="00795B2B">
        <w:rPr>
          <w:rFonts w:cs="Times New Roman"/>
          <w:lang w:val="fr-CA"/>
        </w:rPr>
        <w:t>. . .</w:t>
      </w:r>
      <w:r w:rsidRPr="00832F07">
        <w:rPr>
          <w:rFonts w:cs="Times New Roman"/>
          <w:lang w:val="fr-CA"/>
        </w:rPr>
        <w:t>] documents nécessaires à l’exécution des travaux du PRRF</w:t>
      </w:r>
      <w:r w:rsidR="00795B2B">
        <w:rPr>
          <w:rFonts w:cs="Times New Roman"/>
          <w:lang w:val="fr-CA"/>
        </w:rPr>
        <w:t> »</w:t>
      </w:r>
      <w:r>
        <w:rPr>
          <w:rFonts w:cs="Times New Roman"/>
          <w:lang w:val="fr-CA"/>
        </w:rPr>
        <w:t xml:space="preserve"> (</w:t>
      </w:r>
      <w:r w:rsidRPr="00832F07">
        <w:rPr>
          <w:rFonts w:cs="Times New Roman"/>
          <w:lang w:val="fr-CA"/>
        </w:rPr>
        <w:t>art.</w:t>
      </w:r>
      <w:r w:rsidR="00795B2B">
        <w:rPr>
          <w:rFonts w:cs="Times New Roman"/>
          <w:lang w:val="fr-CA"/>
        </w:rPr>
        <w:t xml:space="preserve"> </w:t>
      </w:r>
      <w:r w:rsidRPr="00832F07">
        <w:rPr>
          <w:rFonts w:cs="Times New Roman"/>
          <w:lang w:val="fr-CA"/>
        </w:rPr>
        <w:t>11</w:t>
      </w:r>
      <w:r w:rsidRPr="00832F07">
        <w:rPr>
          <w:rFonts w:cs="Times New Roman"/>
          <w:iCs/>
          <w:lang w:val="fr-CA"/>
        </w:rPr>
        <w:t>c</w:t>
      </w:r>
      <w:r w:rsidRPr="00832F07">
        <w:rPr>
          <w:rFonts w:cs="Times New Roman"/>
          <w:lang w:val="fr-CA"/>
        </w:rPr>
        <w:t xml:space="preserve">)); et </w:t>
      </w:r>
      <w:r w:rsidR="00795B2B">
        <w:rPr>
          <w:rFonts w:cs="Times New Roman"/>
          <w:lang w:val="fr-CA"/>
        </w:rPr>
        <w:t>« </w:t>
      </w:r>
      <w:r w:rsidRPr="00832F07">
        <w:rPr>
          <w:rFonts w:cs="Times New Roman"/>
          <w:lang w:val="fr-CA"/>
        </w:rPr>
        <w:t>justifie</w:t>
      </w:r>
      <w:r w:rsidR="000B4F7B">
        <w:rPr>
          <w:rFonts w:cs="Times New Roman"/>
          <w:lang w:val="fr-CA"/>
        </w:rPr>
        <w:t>[</w:t>
      </w:r>
      <w:r w:rsidRPr="00832F07">
        <w:rPr>
          <w:rFonts w:cs="Times New Roman"/>
          <w:lang w:val="fr-CA"/>
        </w:rPr>
        <w:t>r</w:t>
      </w:r>
      <w:r w:rsidR="000B4F7B">
        <w:rPr>
          <w:rFonts w:cs="Times New Roman"/>
          <w:lang w:val="fr-CA"/>
        </w:rPr>
        <w:t xml:space="preserve">] </w:t>
      </w:r>
      <w:r w:rsidRPr="00832F07">
        <w:rPr>
          <w:rFonts w:cs="Times New Roman"/>
          <w:lang w:val="fr-CA"/>
        </w:rPr>
        <w:t>toute décision importante</w:t>
      </w:r>
      <w:r w:rsidR="00795B2B">
        <w:rPr>
          <w:rFonts w:cs="Times New Roman"/>
          <w:lang w:val="fr-CA"/>
        </w:rPr>
        <w:t> »</w:t>
      </w:r>
      <w:r>
        <w:rPr>
          <w:rFonts w:cs="Times New Roman"/>
          <w:lang w:val="fr-CA"/>
        </w:rPr>
        <w:t xml:space="preserve"> (</w:t>
      </w:r>
      <w:r w:rsidRPr="00832F07">
        <w:rPr>
          <w:rFonts w:cs="Times New Roman"/>
          <w:lang w:val="fr-CA"/>
        </w:rPr>
        <w:t>art.</w:t>
      </w:r>
      <w:r w:rsidR="00795B2B">
        <w:rPr>
          <w:rFonts w:cs="Times New Roman"/>
          <w:lang w:val="fr-CA"/>
        </w:rPr>
        <w:t xml:space="preserve"> </w:t>
      </w:r>
      <w:r w:rsidRPr="00832F07">
        <w:rPr>
          <w:rFonts w:cs="Times New Roman"/>
          <w:lang w:val="fr-CA"/>
        </w:rPr>
        <w:t>11</w:t>
      </w:r>
      <w:r w:rsidRPr="00832F07">
        <w:rPr>
          <w:rFonts w:cs="Times New Roman"/>
          <w:iCs/>
          <w:lang w:val="fr-CA"/>
        </w:rPr>
        <w:t>d</w:t>
      </w:r>
      <w:r w:rsidRPr="00832F07">
        <w:rPr>
          <w:rFonts w:cs="Times New Roman"/>
          <w:lang w:val="fr-CA"/>
        </w:rPr>
        <w:t>)). De plus, le juge de première instance a accepté le fait que [</w:t>
      </w:r>
      <w:r w:rsidRPr="00832F07">
        <w:rPr>
          <w:rFonts w:cs="Times New Roman"/>
          <w:smallCaps/>
          <w:lang w:val="fr-CA"/>
        </w:rPr>
        <w:t>traduction</w:t>
      </w:r>
      <w:r w:rsidRPr="00832F07">
        <w:rPr>
          <w:rFonts w:cs="Times New Roman"/>
          <w:lang w:val="fr-CA"/>
        </w:rPr>
        <w:t xml:space="preserve">] </w:t>
      </w:r>
      <w:r w:rsidR="00795B2B">
        <w:rPr>
          <w:rFonts w:cs="Times New Roman"/>
          <w:lang w:val="fr-CA"/>
        </w:rPr>
        <w:t>« </w:t>
      </w:r>
      <w:r w:rsidRPr="00832F07">
        <w:rPr>
          <w:rFonts w:cs="Times New Roman"/>
          <w:lang w:val="fr-CA"/>
        </w:rPr>
        <w:t>la direction de la GRC écoute attentivement et avec un esprit ouvert les opinions exprimées par les RRF au cours du processus de consultation établi par le PRRF</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68). Considérées globalement, ces obligations assurent que la direction tient compte de bonne foi des observations formulées par les RRF et par les </w:t>
      </w:r>
      <w:proofErr w:type="spellStart"/>
      <w:r w:rsidRPr="00832F07">
        <w:rPr>
          <w:rFonts w:cs="Times New Roman"/>
          <w:lang w:val="fr-CA"/>
        </w:rPr>
        <w:t>sous</w:t>
      </w:r>
      <w:r w:rsidR="00795B2B">
        <w:rPr>
          <w:rFonts w:cs="Times New Roman"/>
          <w:lang w:val="fr-CA"/>
        </w:rPr>
        <w:t>-</w:t>
      </w:r>
      <w:r w:rsidRPr="00832F07">
        <w:rPr>
          <w:rFonts w:cs="Times New Roman"/>
          <w:lang w:val="fr-CA"/>
        </w:rPr>
        <w:t>représentants</w:t>
      </w:r>
      <w:proofErr w:type="spellEnd"/>
      <w:r w:rsidRPr="00832F07">
        <w:rPr>
          <w:rFonts w:cs="Times New Roman"/>
          <w:lang w:val="fr-CA"/>
        </w:rPr>
        <w:t>. On ne peut pas dire que ce processus empêche effectivement les membres de la GRC de réaliser leurs objectifs collectifs relatifs au travail.</w:t>
      </w:r>
    </w:p>
    <w:p w:rsidR="007B74A6" w:rsidRPr="00832F07" w:rsidRDefault="007B74A6" w:rsidP="00795B2B">
      <w:pPr>
        <w:pStyle w:val="ParaNoNdepar-AltN"/>
        <w:rPr>
          <w:rFonts w:cs="Times New Roman"/>
          <w:lang w:val="fr-CA"/>
        </w:rPr>
      </w:pPr>
      <w:r w:rsidRPr="00832F07">
        <w:rPr>
          <w:rFonts w:cs="Times New Roman"/>
          <w:lang w:val="fr-CA"/>
        </w:rPr>
        <w:t>En outre, des éléments de preuve tendent à démontrer l’efficacité du PRRF. Bien que la réalisation d’objectifs relatifs au travail ne soit pas protégée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le fait que le PRRF ait été efficace à certains égards permet de conclure que le programme ne rend pas effectivement impossible la tenue d’une véritable négociation collective. Des modifications ont été apportées au régime de </w:t>
      </w:r>
      <w:r w:rsidRPr="00832F07">
        <w:rPr>
          <w:rFonts w:cs="Times New Roman"/>
          <w:lang w:val="fr-CA"/>
        </w:rPr>
        <w:lastRenderedPageBreak/>
        <w:t>retraite de la GRC en réponse aux préoccupations soulevées par un RRF. Le PRRF a également réussi à faire augmenter tant les frais funéraires auxquels les membres ont droit que l’assurance</w:t>
      </w:r>
      <w:r w:rsidR="00795B2B">
        <w:rPr>
          <w:rFonts w:cs="Times New Roman"/>
          <w:lang w:val="fr-CA"/>
        </w:rPr>
        <w:t>-</w:t>
      </w:r>
      <w:r w:rsidRPr="00832F07">
        <w:rPr>
          <w:rFonts w:cs="Times New Roman"/>
          <w:lang w:val="fr-CA"/>
        </w:rPr>
        <w:t>vie de base des retraités de plus de 70</w:t>
      </w:r>
      <w:r w:rsidR="00795B2B">
        <w:rPr>
          <w:rFonts w:cs="Times New Roman"/>
          <w:lang w:val="fr-CA"/>
        </w:rPr>
        <w:t xml:space="preserve"> </w:t>
      </w:r>
      <w:r w:rsidRPr="00832F07">
        <w:rPr>
          <w:rFonts w:cs="Times New Roman"/>
          <w:lang w:val="fr-CA"/>
        </w:rPr>
        <w:t>ans et à résoudre des in</w:t>
      </w:r>
      <w:r w:rsidR="00127CD9">
        <w:rPr>
          <w:rFonts w:cs="Times New Roman"/>
          <w:lang w:val="fr-CA"/>
        </w:rPr>
        <w:t>i</w:t>
      </w:r>
      <w:r w:rsidRPr="00832F07">
        <w:rPr>
          <w:rFonts w:cs="Times New Roman"/>
          <w:lang w:val="fr-CA"/>
        </w:rPr>
        <w:t>quités relatives au programme de réinstallation de la GRC, pour n</w:t>
      </w:r>
      <w:r w:rsidR="00127CD9">
        <w:rPr>
          <w:rFonts w:cs="Times New Roman"/>
          <w:lang w:val="fr-CA"/>
        </w:rPr>
        <w:t>e</w:t>
      </w:r>
      <w:r w:rsidRPr="00832F07">
        <w:rPr>
          <w:rFonts w:cs="Times New Roman"/>
          <w:lang w:val="fr-CA"/>
        </w:rPr>
        <w:t xml:space="preserve"> nommer que quelques</w:t>
      </w:r>
      <w:r w:rsidR="00127CD9">
        <w:rPr>
          <w:rFonts w:cs="Times New Roman"/>
          <w:lang w:val="fr-CA"/>
        </w:rPr>
        <w:t xml:space="preserve"> exemples</w:t>
      </w:r>
      <w:r w:rsidRPr="00832F07">
        <w:rPr>
          <w:rFonts w:cs="Times New Roman"/>
          <w:lang w:val="fr-CA"/>
        </w:rPr>
        <w:t>. L’action introduite par MM.</w:t>
      </w:r>
      <w:r w:rsidR="00795B2B">
        <w:rPr>
          <w:rFonts w:cs="Times New Roman"/>
          <w:lang w:val="fr-CA"/>
        </w:rPr>
        <w:t xml:space="preserve"> </w:t>
      </w:r>
      <w:r w:rsidRPr="00832F07">
        <w:rPr>
          <w:rFonts w:cs="Times New Roman"/>
          <w:lang w:val="fr-CA"/>
        </w:rPr>
        <w:t xml:space="preserve">Meredith et </w:t>
      </w:r>
      <w:proofErr w:type="spellStart"/>
      <w:r w:rsidRPr="00832F07">
        <w:rPr>
          <w:rFonts w:cs="Times New Roman"/>
          <w:lang w:val="fr-CA"/>
        </w:rPr>
        <w:t>Roach</w:t>
      </w:r>
      <w:proofErr w:type="spellEnd"/>
      <w:r w:rsidRPr="00832F07">
        <w:rPr>
          <w:rFonts w:cs="Times New Roman"/>
          <w:lang w:val="fr-CA"/>
        </w:rPr>
        <w:t xml:space="preserve"> pour contester la </w:t>
      </w:r>
      <w:r w:rsidRPr="00832F07">
        <w:rPr>
          <w:rFonts w:cs="Times New Roman"/>
          <w:i/>
          <w:iCs/>
          <w:lang w:val="fr-CA"/>
        </w:rPr>
        <w:t>Loi sur le contrôle des dépenses</w:t>
      </w:r>
      <w:r w:rsidRPr="00832F07">
        <w:rPr>
          <w:rFonts w:cs="Times New Roman"/>
          <w:iCs/>
          <w:lang w:val="fr-CA"/>
        </w:rPr>
        <w:t>, L.C.</w:t>
      </w:r>
      <w:r w:rsidR="00795B2B">
        <w:rPr>
          <w:rFonts w:cs="Times New Roman"/>
          <w:iCs/>
          <w:lang w:val="fr-CA"/>
        </w:rPr>
        <w:t xml:space="preserve"> </w:t>
      </w:r>
      <w:r w:rsidRPr="00832F07">
        <w:rPr>
          <w:rFonts w:cs="Times New Roman"/>
          <w:iCs/>
          <w:lang w:val="fr-CA"/>
        </w:rPr>
        <w:t>2009, c.</w:t>
      </w:r>
      <w:r w:rsidR="00795B2B">
        <w:rPr>
          <w:rFonts w:cs="Times New Roman"/>
          <w:iCs/>
          <w:lang w:val="fr-CA"/>
        </w:rPr>
        <w:t xml:space="preserve"> </w:t>
      </w:r>
      <w:r w:rsidRPr="00832F07">
        <w:rPr>
          <w:rFonts w:cs="Times New Roman"/>
          <w:iCs/>
          <w:lang w:val="fr-CA"/>
        </w:rPr>
        <w:t>2, art.</w:t>
      </w:r>
      <w:r w:rsidR="00795B2B">
        <w:rPr>
          <w:rFonts w:cs="Times New Roman"/>
          <w:iCs/>
          <w:lang w:val="fr-CA"/>
        </w:rPr>
        <w:t xml:space="preserve"> </w:t>
      </w:r>
      <w:r w:rsidRPr="00832F07">
        <w:rPr>
          <w:rFonts w:cs="Times New Roman"/>
          <w:iCs/>
          <w:lang w:val="fr-CA"/>
        </w:rPr>
        <w:t>393,</w:t>
      </w:r>
      <w:r w:rsidRPr="00832F07">
        <w:rPr>
          <w:rFonts w:cs="Times New Roman"/>
          <w:i/>
          <w:iCs/>
          <w:lang w:val="fr-CA"/>
        </w:rPr>
        <w:t xml:space="preserve"> </w:t>
      </w:r>
      <w:r w:rsidRPr="00832F07">
        <w:rPr>
          <w:rFonts w:cs="Times New Roman"/>
          <w:lang w:val="fr-CA"/>
        </w:rPr>
        <w:t xml:space="preserve">dans le pourvoi connexe </w:t>
      </w:r>
      <w:r w:rsidRPr="00832F07">
        <w:rPr>
          <w:rFonts w:cs="Times New Roman"/>
          <w:i/>
          <w:iCs/>
          <w:lang w:val="fr-CA"/>
        </w:rPr>
        <w:t>Meredith</w:t>
      </w:r>
      <w:r w:rsidRPr="00832F07">
        <w:rPr>
          <w:rFonts w:cs="Times New Roman"/>
          <w:iCs/>
          <w:lang w:val="fr-CA"/>
        </w:rPr>
        <w:t>,</w:t>
      </w:r>
      <w:r w:rsidRPr="00832F07">
        <w:rPr>
          <w:rFonts w:cs="Times New Roman"/>
          <w:i/>
          <w:iCs/>
          <w:lang w:val="fr-CA"/>
        </w:rPr>
        <w:t xml:space="preserve"> </w:t>
      </w:r>
      <w:r w:rsidRPr="00832F07">
        <w:rPr>
          <w:rFonts w:cs="Times New Roman"/>
          <w:lang w:val="fr-CA"/>
        </w:rPr>
        <w:t xml:space="preserve">indique aussi que les RRF défendent bel et bien les intérêts des employés en formulant des contestations contre l’employeur. </w:t>
      </w:r>
    </w:p>
    <w:p w:rsidR="007B74A6" w:rsidRPr="00832F07" w:rsidRDefault="007B74A6" w:rsidP="00795B2B">
      <w:pPr>
        <w:pStyle w:val="ParaNoNdepar-AltN"/>
        <w:rPr>
          <w:rFonts w:cs="Times New Roman"/>
          <w:lang w:val="fr-CA"/>
        </w:rPr>
      </w:pPr>
      <w:r w:rsidRPr="00832F07">
        <w:rPr>
          <w:rFonts w:cs="Times New Roman"/>
          <w:lang w:val="fr-CA"/>
        </w:rPr>
        <w:t xml:space="preserve">L’affaire </w:t>
      </w:r>
      <w:r w:rsidRPr="00832F07">
        <w:rPr>
          <w:rFonts w:cs="Times New Roman"/>
          <w:i/>
          <w:iCs/>
          <w:lang w:val="fr-CA"/>
        </w:rPr>
        <w:t xml:space="preserve">Meredith </w:t>
      </w:r>
      <w:r w:rsidRPr="00832F07">
        <w:rPr>
          <w:rFonts w:cs="Times New Roman"/>
          <w:lang w:val="fr-CA"/>
        </w:rPr>
        <w:t xml:space="preserve">porte sur des questions relatives au Conseil de la solde, un organisme qui est distinct du PRRF, mais qui est l’un des deux autres organismes faisant partie du régime de relations de travail de la GRC. Deux RRF siègent au Conseil de la solde pour défendre les points de vue des membres de la GRC sur les questions qui ont été cernées par le Caucus du PRRF ou par la direction. Le Conseil de la solde formule des recommandations au sujet de la solde et des allocations des membres de la GRC et de son commissaire. Il vise à ce que la rémunération des membres de la GRC s’approche de la moyenne des trois corps de police canadiens ayant la rémunération la plus élevée dans le groupe de comparaison. Entre 2000 et 2008, cet objectif a été atteint chaque année sauf une. </w:t>
      </w:r>
    </w:p>
    <w:p w:rsidR="007B74A6" w:rsidRPr="00832F07" w:rsidRDefault="007B74A6" w:rsidP="00795B2B">
      <w:pPr>
        <w:pStyle w:val="ParaNoNdepar-AltN"/>
        <w:rPr>
          <w:rFonts w:cs="Times New Roman"/>
          <w:lang w:val="fr-CA"/>
        </w:rPr>
      </w:pPr>
      <w:r w:rsidRPr="00832F07">
        <w:rPr>
          <w:rFonts w:cs="Times New Roman"/>
          <w:lang w:val="fr-CA"/>
        </w:rPr>
        <w:t xml:space="preserve">Dans </w:t>
      </w:r>
      <w:r w:rsidRPr="00832F07">
        <w:rPr>
          <w:rFonts w:cs="Times New Roman"/>
          <w:i/>
          <w:iCs/>
          <w:lang w:val="fr-CA"/>
        </w:rPr>
        <w:t>Meredith</w:t>
      </w:r>
      <w:r w:rsidRPr="00832F07">
        <w:rPr>
          <w:rFonts w:cs="Times New Roman"/>
          <w:lang w:val="fr-CA"/>
        </w:rPr>
        <w:t>, les juges majoritaires expliquent que, malgré leur conclusion selon laquelle le régime de relations de travail imposé aux membres de la GRC porte atteinte à leur liberté d’association, le dossier établit qu’ils se servent du Conseil de la solde pour tenter d’atteindre leurs objectifs en matière de rémunération</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25). J’estime, en toute déférence, que si le régime en vigueur permet aux </w:t>
      </w:r>
      <w:r w:rsidRPr="00832F07">
        <w:rPr>
          <w:rFonts w:cs="Times New Roman"/>
          <w:lang w:val="fr-CA"/>
        </w:rPr>
        <w:lastRenderedPageBreak/>
        <w:t xml:space="preserve">employés de présenter des observations — dont la direction tient compte de bonne foi — afin d’atteindre des objectifs collectifs de travail tels que celui d’obtenir des taux de rémunération compétitifs, il n’y a aucune raison logique de déclarer ce régime inconstitutionnel. </w:t>
      </w:r>
    </w:p>
    <w:p w:rsidR="007B74A6" w:rsidRPr="00832F07" w:rsidRDefault="007B74A6" w:rsidP="00795B2B">
      <w:pPr>
        <w:pStyle w:val="ParaNoNdepar-AltN"/>
        <w:rPr>
          <w:rFonts w:cs="Times New Roman"/>
          <w:lang w:val="fr-CA"/>
        </w:rPr>
      </w:pPr>
      <w:r w:rsidRPr="00832F07">
        <w:rPr>
          <w:rFonts w:cs="Times New Roman"/>
          <w:lang w:val="fr-CA"/>
        </w:rPr>
        <w:t xml:space="preserve">Suivant la preuve, le modèle de relations de travail qu’a retenu le législateur n’empêche pas effectivement les membres de la GRC de réaliser leurs objectifs collectifs relatifs au travail. Même en appliquant le nouveau test formulé par les juges majoritaires, l’imposition du PRRF à titre de régime de relations de travail n’entrave pas substantiellement le processus véritable de négociation collective auquel participent les membres de la GRC. </w:t>
      </w:r>
    </w:p>
    <w:p w:rsidR="007B74A6" w:rsidRPr="00832F07" w:rsidRDefault="007B74A6" w:rsidP="00795B2B">
      <w:pPr>
        <w:pStyle w:val="ParaNoNdepar-AltN"/>
        <w:rPr>
          <w:rFonts w:cs="Times New Roman"/>
          <w:lang w:val="fr-CA"/>
        </w:rPr>
      </w:pPr>
      <w:r w:rsidRPr="00832F07">
        <w:rPr>
          <w:rFonts w:cs="Times New Roman"/>
          <w:lang w:val="fr-CA"/>
        </w:rPr>
        <w:t>Le juge de première instance a conclu en définitive que le PRRF prévoyait un processus de consultation et non un processus de négociation collective. Cette conclusion semble reposer sur le fait que, malgré le processus de consultation envisagé par le programme, les décisions finales sont prises par la direction</w:t>
      </w:r>
      <w:r>
        <w:rPr>
          <w:rFonts w:cs="Times New Roman"/>
          <w:lang w:val="fr-CA"/>
        </w:rPr>
        <w:t xml:space="preserve"> (</w:t>
      </w:r>
      <w:r w:rsidRPr="00832F07">
        <w:rPr>
          <w:rFonts w:cs="Times New Roman"/>
          <w:lang w:val="fr-CA"/>
        </w:rPr>
        <w:t>voir motifs de première instance, par.</w:t>
      </w:r>
      <w:r w:rsidR="00795B2B">
        <w:rPr>
          <w:rFonts w:cs="Times New Roman"/>
          <w:lang w:val="fr-CA"/>
        </w:rPr>
        <w:t xml:space="preserve"> </w:t>
      </w:r>
      <w:r w:rsidRPr="00832F07">
        <w:rPr>
          <w:rFonts w:cs="Times New Roman"/>
          <w:lang w:val="fr-CA"/>
        </w:rPr>
        <w:t>69</w:t>
      </w:r>
      <w:r w:rsidR="00795B2B">
        <w:rPr>
          <w:rFonts w:cs="Times New Roman"/>
          <w:lang w:val="fr-CA"/>
        </w:rPr>
        <w:t>-</w:t>
      </w:r>
      <w:r w:rsidRPr="00832F07">
        <w:rPr>
          <w:rFonts w:cs="Times New Roman"/>
          <w:lang w:val="fr-CA"/>
        </w:rPr>
        <w:t xml:space="preserve">70). </w:t>
      </w:r>
    </w:p>
    <w:p w:rsidR="007B74A6" w:rsidRPr="00832F07" w:rsidRDefault="007B74A6" w:rsidP="00795B2B">
      <w:pPr>
        <w:pStyle w:val="ParaNoNdepar-AltN"/>
        <w:rPr>
          <w:rFonts w:cs="Times New Roman"/>
          <w:lang w:val="fr-CA"/>
        </w:rPr>
      </w:pPr>
      <w:r w:rsidRPr="00832F07">
        <w:rPr>
          <w:rFonts w:cs="Times New Roman"/>
          <w:lang w:val="fr-CA"/>
        </w:rPr>
        <w:t xml:space="preserve">Or, le droit constitutionnel à la négociation collective n’impose aucun modèle particulier de relations de travail et ne requiert pas un processus de règlement des différends. Dans </w:t>
      </w:r>
      <w:r w:rsidRPr="00832F07">
        <w:rPr>
          <w:rFonts w:cs="Times New Roman"/>
          <w:i/>
          <w:iCs/>
          <w:lang w:val="fr-CA"/>
        </w:rPr>
        <w:t>Fraser</w:t>
      </w:r>
      <w:r w:rsidRPr="00832F07">
        <w:rPr>
          <w:rFonts w:cs="Times New Roman"/>
          <w:lang w:val="fr-CA"/>
        </w:rPr>
        <w:t xml:space="preserve">, la Cour a jugé que la </w:t>
      </w:r>
      <w:r w:rsidRPr="00832F07">
        <w:rPr>
          <w:rFonts w:cs="Times New Roman"/>
          <w:i/>
          <w:iCs/>
          <w:lang w:val="fr-FR"/>
        </w:rPr>
        <w:t>Loi de 2002 sur la protection des employés agricoles</w:t>
      </w:r>
      <w:r w:rsidRPr="00832F07">
        <w:rPr>
          <w:rFonts w:cs="Times New Roman"/>
          <w:iCs/>
          <w:lang w:val="fr-CA"/>
        </w:rPr>
        <w:t>, L.O. 2002, c.</w:t>
      </w:r>
      <w:r w:rsidR="00795B2B">
        <w:rPr>
          <w:rFonts w:cs="Times New Roman"/>
          <w:iCs/>
          <w:lang w:val="fr-CA"/>
        </w:rPr>
        <w:t xml:space="preserve"> </w:t>
      </w:r>
      <w:r w:rsidRPr="00832F07">
        <w:rPr>
          <w:rFonts w:cs="Times New Roman"/>
          <w:iCs/>
          <w:lang w:val="fr-CA"/>
        </w:rPr>
        <w:t>16 (</w:t>
      </w:r>
      <w:r w:rsidR="00795B2B">
        <w:rPr>
          <w:rFonts w:cs="Times New Roman"/>
          <w:iCs/>
          <w:lang w:val="fr-CA"/>
        </w:rPr>
        <w:t>« </w:t>
      </w:r>
      <w:r w:rsidRPr="00832F07">
        <w:rPr>
          <w:rFonts w:cs="Times New Roman"/>
          <w:i/>
          <w:iCs/>
          <w:lang w:val="fr-CA"/>
        </w:rPr>
        <w:t>LPEA</w:t>
      </w:r>
      <w:r w:rsidR="00795B2B">
        <w:rPr>
          <w:rFonts w:cs="Times New Roman"/>
          <w:iCs/>
          <w:lang w:val="fr-CA"/>
        </w:rPr>
        <w:t> »</w:t>
      </w:r>
      <w:r w:rsidRPr="00832F07">
        <w:rPr>
          <w:rFonts w:cs="Times New Roman"/>
          <w:iCs/>
          <w:lang w:val="fr-CA"/>
        </w:rPr>
        <w:t>), qui s’applique aux travailleurs agricoles de l’Ontario,</w:t>
      </w:r>
      <w:r w:rsidRPr="00832F07">
        <w:rPr>
          <w:rFonts w:cs="Times New Roman"/>
          <w:lang w:val="fr-CA"/>
        </w:rPr>
        <w:t xml:space="preserve"> satisfaisait aux exigences du droit à la négociation collective protégé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Pr>
          <w:rFonts w:cs="Times New Roman"/>
          <w:i/>
          <w:iCs/>
          <w:lang w:val="fr-CA"/>
        </w:rPr>
        <w:t xml:space="preserve"> </w:t>
      </w:r>
      <w:r w:rsidRPr="00ED04C2">
        <w:rPr>
          <w:rFonts w:cs="Times New Roman"/>
          <w:iCs/>
          <w:lang w:val="fr-CA"/>
        </w:rPr>
        <w:t>(</w:t>
      </w:r>
      <w:r w:rsidRPr="00832F07">
        <w:rPr>
          <w:rFonts w:cs="Times New Roman"/>
          <w:iCs/>
          <w:lang w:val="fr-CA"/>
        </w:rPr>
        <w:t>p</w:t>
      </w:r>
      <w:r w:rsidRPr="00832F07">
        <w:rPr>
          <w:rFonts w:cs="Times New Roman"/>
          <w:lang w:val="fr-CA"/>
        </w:rPr>
        <w:t>ar.</w:t>
      </w:r>
      <w:r w:rsidR="00795B2B">
        <w:rPr>
          <w:rFonts w:cs="Times New Roman"/>
          <w:lang w:val="fr-CA"/>
        </w:rPr>
        <w:t xml:space="preserve"> </w:t>
      </w:r>
      <w:r w:rsidRPr="00832F07">
        <w:rPr>
          <w:rFonts w:cs="Times New Roman"/>
          <w:lang w:val="fr-CA"/>
        </w:rPr>
        <w:t>117). Il est incongru que la Cour invalide le PRRF</w:t>
      </w:r>
      <w:r w:rsidR="00127CD9">
        <w:rPr>
          <w:rFonts w:cs="Times New Roman"/>
          <w:lang w:val="fr-CA"/>
        </w:rPr>
        <w:t>,</w:t>
      </w:r>
      <w:r w:rsidRPr="00832F07">
        <w:rPr>
          <w:rFonts w:cs="Times New Roman"/>
          <w:lang w:val="fr-CA"/>
        </w:rPr>
        <w:t xml:space="preserve"> qui prévoit un processus de négociation collective plus robuste que celui que </w:t>
      </w:r>
      <w:r w:rsidRPr="00832F07">
        <w:rPr>
          <w:rFonts w:cs="Times New Roman"/>
          <w:lang w:val="fr-CA"/>
        </w:rPr>
        <w:lastRenderedPageBreak/>
        <w:t xml:space="preserve">prévoyait la </w:t>
      </w:r>
      <w:r w:rsidRPr="00832F07">
        <w:rPr>
          <w:rFonts w:cs="Times New Roman"/>
          <w:i/>
          <w:lang w:val="fr-CA"/>
        </w:rPr>
        <w:t>LPEA</w:t>
      </w:r>
      <w:r w:rsidRPr="00832F07">
        <w:rPr>
          <w:rFonts w:cs="Times New Roman"/>
          <w:lang w:val="fr-CA"/>
        </w:rPr>
        <w:t>, dont elle a pourtant confirmé la validité. Cette contradiction saute d’autant plus aux yeux lorsqu’on considère la vulnérabilité des travailleurs agricoles ontariens par rapport à la situation avantageuse des membres de la GRC</w:t>
      </w:r>
      <w:r w:rsidR="00127CD9">
        <w:rPr>
          <w:rFonts w:cs="Times New Roman"/>
          <w:lang w:val="fr-CA"/>
        </w:rPr>
        <w:t>,</w:t>
      </w:r>
      <w:r w:rsidRPr="00832F07">
        <w:rPr>
          <w:rFonts w:cs="Times New Roman"/>
          <w:lang w:val="fr-CA"/>
        </w:rPr>
        <w:t xml:space="preserve"> qui sont [</w:t>
      </w:r>
      <w:r w:rsidRPr="00832F07">
        <w:rPr>
          <w:rFonts w:cs="Times New Roman"/>
          <w:smallCaps/>
          <w:lang w:val="fr-CA"/>
        </w:rPr>
        <w:t>traduction</w:t>
      </w:r>
      <w:r w:rsidRPr="00832F07">
        <w:rPr>
          <w:rFonts w:cs="Times New Roman"/>
          <w:lang w:val="fr-CA"/>
        </w:rPr>
        <w:t xml:space="preserve">] </w:t>
      </w:r>
      <w:r w:rsidR="00795B2B">
        <w:rPr>
          <w:rFonts w:cs="Times New Roman"/>
          <w:lang w:val="fr-CA"/>
        </w:rPr>
        <w:t>« </w:t>
      </w:r>
      <w:r w:rsidRPr="00832F07">
        <w:rPr>
          <w:rFonts w:cs="Times New Roman"/>
          <w:lang w:val="fr-CA"/>
        </w:rPr>
        <w:t>instruits, autonomes et organisés</w:t>
      </w:r>
      <w:r w:rsidR="00795B2B">
        <w:rPr>
          <w:rFonts w:cs="Times New Roman"/>
          <w:lang w:val="fr-CA"/>
        </w:rPr>
        <w:t> »</w:t>
      </w:r>
      <w:r w:rsidRPr="00832F07">
        <w:rPr>
          <w:rFonts w:cs="Times New Roman"/>
          <w:lang w:val="fr-CA"/>
        </w:rPr>
        <w:t xml:space="preserve"> (</w:t>
      </w:r>
      <w:proofErr w:type="gramStart"/>
      <w:r w:rsidRPr="00832F07">
        <w:rPr>
          <w:rFonts w:cs="Times New Roman"/>
          <w:lang w:val="fr-CA"/>
        </w:rPr>
        <w:t>m.i.,</w:t>
      </w:r>
      <w:proofErr w:type="gramEnd"/>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86). Voilà une autre preuve que les juges majoritaires s’écartent du récent arrêt </w:t>
      </w:r>
      <w:r w:rsidRPr="00832F07">
        <w:rPr>
          <w:rFonts w:cs="Times New Roman"/>
          <w:i/>
          <w:iCs/>
          <w:lang w:val="fr-CA"/>
        </w:rPr>
        <w:t xml:space="preserve">Fraser </w:t>
      </w:r>
      <w:r w:rsidRPr="00832F07">
        <w:rPr>
          <w:rFonts w:cs="Times New Roman"/>
          <w:lang w:val="fr-CA"/>
        </w:rPr>
        <w:t>de la Cour.</w:t>
      </w:r>
    </w:p>
    <w:p w:rsidR="007B74A6" w:rsidRPr="00832F07" w:rsidRDefault="007B74A6" w:rsidP="00795B2B">
      <w:pPr>
        <w:pStyle w:val="ParaNoNdepar-AltN"/>
        <w:rPr>
          <w:rFonts w:cs="Times New Roman"/>
          <w:lang w:val="fr-CA"/>
        </w:rPr>
      </w:pPr>
      <w:r w:rsidRPr="00832F07">
        <w:rPr>
          <w:rFonts w:cs="Times New Roman"/>
          <w:lang w:val="fr-CA"/>
        </w:rPr>
        <w:t xml:space="preserve">Le PRRF facilite </w:t>
      </w:r>
      <w:r w:rsidR="00795B2B">
        <w:rPr>
          <w:rFonts w:cs="Times New Roman"/>
          <w:lang w:val="fr-CA"/>
        </w:rPr>
        <w:t>« </w:t>
      </w:r>
      <w:r w:rsidRPr="00832F07">
        <w:rPr>
          <w:rFonts w:cs="Times New Roman"/>
          <w:lang w:val="fr-CA"/>
        </w:rPr>
        <w:t>‟une action collective visant à atteindre des objectifs liés au [</w:t>
      </w:r>
      <w:r w:rsidR="00795B2B">
        <w:rPr>
          <w:rFonts w:cs="Times New Roman"/>
          <w:lang w:val="fr-CA"/>
        </w:rPr>
        <w:t>. . .</w:t>
      </w:r>
      <w:r w:rsidRPr="00832F07">
        <w:rPr>
          <w:rFonts w:cs="Times New Roman"/>
          <w:lang w:val="fr-CA"/>
        </w:rPr>
        <w:t>] travail”</w:t>
      </w:r>
      <w:r w:rsidR="00795B2B">
        <w:rPr>
          <w:rFonts w:cs="Times New Roman"/>
          <w:lang w:val="fr-CA"/>
        </w:rPr>
        <w:t> »</w:t>
      </w:r>
      <w:r w:rsidRPr="00832F07">
        <w:rPr>
          <w:rFonts w:cs="Times New Roman"/>
          <w:lang w:val="fr-CA"/>
        </w:rPr>
        <w:t xml:space="preserve">, et oblige les </w:t>
      </w:r>
      <w:r w:rsidR="00795B2B">
        <w:rPr>
          <w:rFonts w:cs="Times New Roman"/>
          <w:lang w:val="fr-CA"/>
        </w:rPr>
        <w:t>« </w:t>
      </w:r>
      <w:r w:rsidRPr="00832F07">
        <w:rPr>
          <w:rFonts w:cs="Times New Roman"/>
          <w:lang w:val="fr-CA"/>
        </w:rPr>
        <w:t>deux parties [à] participer au processus</w:t>
      </w:r>
      <w:r w:rsidR="00795B2B">
        <w:rPr>
          <w:rFonts w:cs="Times New Roman"/>
          <w:lang w:val="fr-CA"/>
        </w:rPr>
        <w:t> »</w:t>
      </w:r>
      <w:r>
        <w:rPr>
          <w:rFonts w:cs="Times New Roman"/>
          <w:lang w:val="fr-CA"/>
        </w:rPr>
        <w:t xml:space="preserve"> (</w:t>
      </w:r>
      <w:r w:rsidRPr="00832F07">
        <w:rPr>
          <w:rFonts w:cs="Times New Roman"/>
          <w:i/>
          <w:iCs/>
          <w:lang w:val="fr-CA"/>
        </w:rPr>
        <w:t>Fraser</w:t>
      </w:r>
      <w:r w:rsidRPr="00832F07">
        <w:rPr>
          <w:rFonts w:cs="Times New Roman"/>
          <w:lang w:val="fr-CA"/>
        </w:rPr>
        <w:t>, par.</w:t>
      </w:r>
      <w:r w:rsidR="00795B2B">
        <w:rPr>
          <w:rFonts w:cs="Times New Roman"/>
          <w:lang w:val="fr-CA"/>
        </w:rPr>
        <w:t xml:space="preserve"> </w:t>
      </w:r>
      <w:r w:rsidRPr="00832F07">
        <w:rPr>
          <w:rFonts w:cs="Times New Roman"/>
          <w:lang w:val="fr-CA"/>
        </w:rPr>
        <w:t xml:space="preserve">117). Il suppose en outre que la direction examine de bonne foi le point de vue des employés. Le fait que le législateur ait retenu un modèle axé sur la collaboration comme le PRRF pour </w:t>
      </w:r>
      <w:r>
        <w:rPr>
          <w:rFonts w:cs="Times New Roman"/>
          <w:lang w:val="fr-CA"/>
        </w:rPr>
        <w:t xml:space="preserve">favoriser les relations employeurs-employés dans l’intérêt du </w:t>
      </w:r>
      <w:r w:rsidRPr="00832F07">
        <w:rPr>
          <w:rFonts w:cs="Times New Roman"/>
          <w:lang w:val="fr-CA"/>
        </w:rPr>
        <w:t xml:space="preserve">corps policier national que constitue la GRC ne signifie pas </w:t>
      </w:r>
      <w:r w:rsidR="00127CD9">
        <w:rPr>
          <w:rFonts w:cs="Times New Roman"/>
          <w:lang w:val="fr-CA"/>
        </w:rPr>
        <w:t>qu’</w:t>
      </w:r>
      <w:r w:rsidRPr="00832F07">
        <w:rPr>
          <w:rFonts w:cs="Times New Roman"/>
          <w:lang w:val="fr-CA"/>
        </w:rPr>
        <w:t>il est devenu effectivement impossible pour les membres de la GRC de réaliser leurs objectifs collectifs relatifs au travail. Le PRRF ne porte pas atteinte à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p>
    <w:p w:rsidR="007B74A6" w:rsidRPr="00832F07" w:rsidRDefault="007B74A6" w:rsidP="00795B2B">
      <w:pPr>
        <w:pStyle w:val="Title3LevelTitre3Niveau"/>
        <w:numPr>
          <w:ilvl w:val="2"/>
          <w:numId w:val="36"/>
        </w:numPr>
        <w:spacing w:before="0"/>
        <w:ind w:left="1094" w:hanging="547"/>
        <w:jc w:val="both"/>
        <w:rPr>
          <w:rFonts w:cs="Times New Roman"/>
          <w:lang w:val="fr-CA"/>
        </w:rPr>
      </w:pPr>
      <w:r w:rsidRPr="00832F07">
        <w:rPr>
          <w:rFonts w:cs="Times New Roman"/>
          <w:lang w:val="fr-CA"/>
        </w:rPr>
        <w:t xml:space="preserve">L’alinéa </w:t>
      </w:r>
      <w:r w:rsidRPr="00832F07">
        <w:rPr>
          <w:rFonts w:cs="Times New Roman"/>
          <w:i/>
          <w:iCs/>
          <w:lang w:val="fr-CA"/>
        </w:rPr>
        <w:t>d</w:t>
      </w:r>
      <w:r w:rsidRPr="00832F07">
        <w:rPr>
          <w:rFonts w:cs="Times New Roman"/>
          <w:lang w:val="fr-CA"/>
        </w:rPr>
        <w:t xml:space="preserve">) de la définition de </w:t>
      </w:r>
      <w:r w:rsidR="00795B2B">
        <w:rPr>
          <w:rFonts w:cs="Times New Roman"/>
          <w:lang w:val="fr-CA"/>
        </w:rPr>
        <w:t>« </w:t>
      </w:r>
      <w:r w:rsidRPr="00832F07">
        <w:rPr>
          <w:rFonts w:cs="Times New Roman"/>
          <w:lang w:val="fr-CA"/>
        </w:rPr>
        <w:t>fonctionnaire</w:t>
      </w:r>
      <w:r w:rsidR="00795B2B">
        <w:rPr>
          <w:rFonts w:cs="Times New Roman"/>
          <w:lang w:val="fr-CA"/>
        </w:rPr>
        <w:t> »</w:t>
      </w:r>
      <w:r w:rsidRPr="00832F07">
        <w:rPr>
          <w:rFonts w:cs="Times New Roman"/>
          <w:lang w:val="fr-CA"/>
        </w:rPr>
        <w:t xml:space="preserve"> qui figure au par.</w:t>
      </w:r>
      <w:r w:rsidR="00795B2B">
        <w:rPr>
          <w:rFonts w:cs="Times New Roman"/>
          <w:lang w:val="fr-CA"/>
        </w:rPr>
        <w:t xml:space="preserve"> </w:t>
      </w:r>
      <w:r w:rsidRPr="00832F07">
        <w:rPr>
          <w:rFonts w:cs="Times New Roman"/>
          <w:lang w:val="fr-CA"/>
        </w:rPr>
        <w:t xml:space="preserve">2(1) de la </w:t>
      </w:r>
      <w:r w:rsidRPr="00832F07">
        <w:rPr>
          <w:rFonts w:cs="Times New Roman"/>
          <w:i/>
          <w:iCs/>
          <w:lang w:val="fr-CA"/>
        </w:rPr>
        <w:t>LRTFP</w:t>
      </w:r>
      <w:r w:rsidRPr="00832F07">
        <w:rPr>
          <w:rFonts w:cs="Times New Roman"/>
          <w:lang w:val="fr-CA"/>
        </w:rPr>
        <w:t xml:space="preserve"> </w:t>
      </w:r>
    </w:p>
    <w:p w:rsidR="007B74A6" w:rsidRPr="00832F07" w:rsidRDefault="007B74A6" w:rsidP="00795B2B">
      <w:pPr>
        <w:pStyle w:val="ParaNoNdepar-AltN"/>
        <w:adjustRightInd w:val="0"/>
        <w:textAlignment w:val="baseline"/>
        <w:rPr>
          <w:rFonts w:cs="Times New Roman"/>
          <w:lang w:val="fr-CA"/>
        </w:rPr>
      </w:pPr>
      <w:r w:rsidRPr="00832F07">
        <w:rPr>
          <w:rFonts w:cs="Times New Roman"/>
          <w:iCs/>
          <w:lang w:val="fr-CA"/>
        </w:rPr>
        <w:t xml:space="preserve">La </w:t>
      </w:r>
      <w:r w:rsidRPr="00832F07">
        <w:rPr>
          <w:rFonts w:cs="Times New Roman"/>
          <w:i/>
          <w:iCs/>
          <w:lang w:val="fr-CA"/>
        </w:rPr>
        <w:t>Loi sur les relations de tr</w:t>
      </w:r>
      <w:r w:rsidR="008F0E87">
        <w:rPr>
          <w:rFonts w:cs="Times New Roman"/>
          <w:i/>
          <w:iCs/>
          <w:lang w:val="fr-CA"/>
        </w:rPr>
        <w:t>avail dans la F</w:t>
      </w:r>
      <w:r w:rsidRPr="00832F07">
        <w:rPr>
          <w:rFonts w:cs="Times New Roman"/>
          <w:i/>
          <w:iCs/>
          <w:lang w:val="fr-CA"/>
        </w:rPr>
        <w:t>onction publique</w:t>
      </w:r>
      <w:r w:rsidRPr="00832F07">
        <w:rPr>
          <w:rFonts w:cs="Times New Roman"/>
          <w:lang w:val="fr-CA"/>
        </w:rPr>
        <w:t>, S.C.</w:t>
      </w:r>
      <w:r w:rsidR="00795B2B">
        <w:rPr>
          <w:rFonts w:cs="Times New Roman"/>
          <w:lang w:val="fr-CA"/>
        </w:rPr>
        <w:t xml:space="preserve"> </w:t>
      </w:r>
      <w:r w:rsidRPr="00832F07">
        <w:rPr>
          <w:rFonts w:cs="Times New Roman"/>
          <w:lang w:val="fr-CA"/>
        </w:rPr>
        <w:t>1966</w:t>
      </w:r>
      <w:r w:rsidR="00795B2B">
        <w:rPr>
          <w:rFonts w:cs="Times New Roman"/>
          <w:lang w:val="fr-CA"/>
        </w:rPr>
        <w:t>-</w:t>
      </w:r>
      <w:r w:rsidRPr="00832F07">
        <w:rPr>
          <w:rFonts w:cs="Times New Roman"/>
          <w:lang w:val="fr-CA"/>
        </w:rPr>
        <w:t>67, c.</w:t>
      </w:r>
      <w:r w:rsidR="00795B2B">
        <w:rPr>
          <w:rFonts w:cs="Times New Roman"/>
          <w:lang w:val="fr-CA"/>
        </w:rPr>
        <w:t xml:space="preserve"> </w:t>
      </w:r>
      <w:r w:rsidRPr="00832F07">
        <w:rPr>
          <w:rFonts w:cs="Times New Roman"/>
          <w:lang w:val="fr-CA"/>
        </w:rPr>
        <w:t xml:space="preserve">72 (la </w:t>
      </w:r>
      <w:r w:rsidR="00795B2B">
        <w:rPr>
          <w:rFonts w:cs="Times New Roman"/>
          <w:lang w:val="fr-CA"/>
        </w:rPr>
        <w:t>« </w:t>
      </w:r>
      <w:r w:rsidRPr="00832F07">
        <w:rPr>
          <w:rFonts w:cs="Times New Roman"/>
          <w:lang w:val="fr-CA"/>
        </w:rPr>
        <w:t xml:space="preserve">première </w:t>
      </w:r>
      <w:r w:rsidRPr="00832F07">
        <w:rPr>
          <w:rFonts w:cs="Times New Roman"/>
          <w:i/>
          <w:lang w:val="fr-CA"/>
        </w:rPr>
        <w:t>LRTFP</w:t>
      </w:r>
      <w:r w:rsidR="00795B2B">
        <w:rPr>
          <w:rFonts w:cs="Times New Roman"/>
          <w:lang w:val="fr-CA"/>
        </w:rPr>
        <w:t> »</w:t>
      </w:r>
      <w:r w:rsidRPr="00832F07">
        <w:rPr>
          <w:rFonts w:cs="Times New Roman"/>
          <w:lang w:val="fr-CA"/>
        </w:rPr>
        <w:t xml:space="preserve">) a été adoptée en 1967. Elle créait le premier régime complet de droits en matière de négociation collective pour les fonctionnaires fédéraux. Toutefois, certaines catégories de ces fonctionnaires étaient soustraites du champ d’application de ce régime, notamment les employés occasionnels, les employés </w:t>
      </w:r>
      <w:r w:rsidRPr="00832F07">
        <w:rPr>
          <w:rFonts w:cs="Times New Roman"/>
          <w:lang w:val="fr-CA" w:eastAsia="en-CA"/>
        </w:rPr>
        <w:t>occupant un poste de direction ou de confiance et les membres de la GRC (al.</w:t>
      </w:r>
      <w:r w:rsidR="00795B2B">
        <w:rPr>
          <w:rFonts w:cs="Times New Roman"/>
          <w:lang w:val="fr-CA" w:eastAsia="en-CA"/>
        </w:rPr>
        <w:t xml:space="preserve"> </w:t>
      </w:r>
      <w:r w:rsidRPr="00832F07">
        <w:rPr>
          <w:rFonts w:cs="Times New Roman"/>
          <w:i/>
          <w:lang w:val="fr-CA" w:eastAsia="en-CA"/>
        </w:rPr>
        <w:t>e</w:t>
      </w:r>
      <w:r w:rsidRPr="00832F07">
        <w:rPr>
          <w:rFonts w:cs="Times New Roman"/>
          <w:lang w:val="fr-CA" w:eastAsia="en-CA"/>
        </w:rPr>
        <w:t xml:space="preserve">), </w:t>
      </w:r>
      <w:r w:rsidRPr="00832F07">
        <w:rPr>
          <w:rFonts w:cs="Times New Roman"/>
          <w:i/>
          <w:lang w:val="fr-CA" w:eastAsia="en-CA"/>
        </w:rPr>
        <w:t>g</w:t>
      </w:r>
      <w:r w:rsidRPr="00832F07">
        <w:rPr>
          <w:rFonts w:cs="Times New Roman"/>
          <w:lang w:val="fr-CA" w:eastAsia="en-CA"/>
        </w:rPr>
        <w:t xml:space="preserve">) et </w:t>
      </w:r>
      <w:r w:rsidRPr="00832F07">
        <w:rPr>
          <w:rFonts w:cs="Times New Roman"/>
          <w:i/>
          <w:lang w:val="fr-CA" w:eastAsia="en-CA"/>
        </w:rPr>
        <w:t>j</w:t>
      </w:r>
      <w:r w:rsidRPr="00832F07">
        <w:rPr>
          <w:rFonts w:cs="Times New Roman"/>
          <w:lang w:val="fr-CA" w:eastAsia="en-CA"/>
        </w:rPr>
        <w:t xml:space="preserve">) de la définition de </w:t>
      </w:r>
      <w:r w:rsidR="00795B2B">
        <w:rPr>
          <w:rFonts w:cs="Times New Roman"/>
          <w:lang w:val="fr-CA" w:eastAsia="en-CA"/>
        </w:rPr>
        <w:t>« </w:t>
      </w:r>
      <w:r w:rsidRPr="00832F07">
        <w:rPr>
          <w:rFonts w:cs="Times New Roman"/>
          <w:lang w:val="fr-CA" w:eastAsia="en-CA"/>
        </w:rPr>
        <w:t>fonctionnaire</w:t>
      </w:r>
      <w:r w:rsidR="00795B2B">
        <w:rPr>
          <w:rFonts w:cs="Times New Roman"/>
          <w:lang w:val="fr-CA" w:eastAsia="en-CA"/>
        </w:rPr>
        <w:t> »</w:t>
      </w:r>
      <w:r w:rsidRPr="00832F07">
        <w:rPr>
          <w:rFonts w:cs="Times New Roman"/>
          <w:lang w:val="fr-CA" w:eastAsia="en-CA"/>
        </w:rPr>
        <w:t xml:space="preserve"> qui figure à l’art.</w:t>
      </w:r>
      <w:r w:rsidR="00795B2B">
        <w:rPr>
          <w:rFonts w:cs="Times New Roman"/>
          <w:lang w:val="fr-CA" w:eastAsia="en-CA"/>
        </w:rPr>
        <w:t xml:space="preserve"> </w:t>
      </w:r>
      <w:r w:rsidRPr="00832F07">
        <w:rPr>
          <w:rFonts w:cs="Times New Roman"/>
          <w:lang w:val="fr-CA" w:eastAsia="en-CA"/>
        </w:rPr>
        <w:t>2).</w:t>
      </w:r>
    </w:p>
    <w:p w:rsidR="007B74A6" w:rsidRPr="00832F07" w:rsidRDefault="007B74A6" w:rsidP="00795B2B">
      <w:pPr>
        <w:pStyle w:val="ParaNoNdepar-AltN"/>
        <w:autoSpaceDE w:val="0"/>
        <w:autoSpaceDN w:val="0"/>
        <w:adjustRightInd w:val="0"/>
        <w:textAlignment w:val="baseline"/>
        <w:rPr>
          <w:rFonts w:cs="Times New Roman"/>
          <w:lang w:val="fr-CA"/>
        </w:rPr>
      </w:pPr>
      <w:r w:rsidRPr="00832F07">
        <w:rPr>
          <w:rFonts w:cs="Times New Roman"/>
          <w:lang w:val="fr-CA"/>
        </w:rPr>
        <w:lastRenderedPageBreak/>
        <w:t xml:space="preserve">En 2003, la première </w:t>
      </w:r>
      <w:r w:rsidRPr="00832F07">
        <w:rPr>
          <w:rFonts w:cs="Times New Roman"/>
          <w:i/>
          <w:lang w:val="fr-CA"/>
        </w:rPr>
        <w:t>LRTFP</w:t>
      </w:r>
      <w:r w:rsidRPr="00832F07">
        <w:rPr>
          <w:rFonts w:cs="Times New Roman"/>
          <w:lang w:val="fr-CA"/>
        </w:rPr>
        <w:t xml:space="preserve"> a été abrogée et remplacée par l’actuelle </w:t>
      </w:r>
      <w:r w:rsidRPr="00832F07">
        <w:rPr>
          <w:rFonts w:cs="Times New Roman"/>
          <w:i/>
          <w:iCs/>
          <w:lang w:val="fr-CA"/>
        </w:rPr>
        <w:t>Loi</w:t>
      </w:r>
      <w:r w:rsidR="00795B2B">
        <w:rPr>
          <w:rFonts w:cs="Times New Roman"/>
          <w:i/>
          <w:iCs/>
          <w:lang w:val="fr-CA"/>
        </w:rPr>
        <w:t xml:space="preserve"> </w:t>
      </w:r>
      <w:r w:rsidRPr="00832F07">
        <w:rPr>
          <w:rFonts w:cs="Times New Roman"/>
          <w:i/>
          <w:iCs/>
          <w:lang w:val="fr-CA"/>
        </w:rPr>
        <w:t xml:space="preserve">sur les relations de travail dans la fonction publique </w:t>
      </w:r>
      <w:r w:rsidRPr="00832F07">
        <w:rPr>
          <w:rFonts w:cs="Times New Roman"/>
          <w:lang w:val="fr-CA"/>
        </w:rPr>
        <w:t>(la</w:t>
      </w:r>
      <w:r w:rsidR="00795B2B">
        <w:rPr>
          <w:rFonts w:cs="Times New Roman"/>
          <w:lang w:val="fr-CA"/>
        </w:rPr>
        <w:t xml:space="preserve"> « </w:t>
      </w:r>
      <w:r w:rsidRPr="00832F07">
        <w:rPr>
          <w:rFonts w:cs="Times New Roman"/>
          <w:i/>
          <w:lang w:val="fr-CA"/>
        </w:rPr>
        <w:t>LRTFP</w:t>
      </w:r>
      <w:r w:rsidR="00795B2B">
        <w:rPr>
          <w:rFonts w:cs="Times New Roman"/>
          <w:i/>
          <w:lang w:val="fr-CA"/>
        </w:rPr>
        <w:t xml:space="preserve"> </w:t>
      </w:r>
      <w:r w:rsidRPr="00832F07">
        <w:rPr>
          <w:rFonts w:cs="Times New Roman"/>
          <w:lang w:val="fr-CA"/>
        </w:rPr>
        <w:t>actuelle</w:t>
      </w:r>
      <w:r w:rsidR="00795B2B">
        <w:rPr>
          <w:rFonts w:cs="Times New Roman"/>
          <w:lang w:val="fr-CA"/>
        </w:rPr>
        <w:t> »</w:t>
      </w:r>
      <w:r w:rsidRPr="00832F07">
        <w:rPr>
          <w:rFonts w:cs="Times New Roman"/>
          <w:lang w:val="fr-CA"/>
        </w:rPr>
        <w:t xml:space="preserve">), édictée par la </w:t>
      </w:r>
      <w:r w:rsidRPr="00832F07">
        <w:rPr>
          <w:rFonts w:cs="Times New Roman"/>
          <w:i/>
          <w:lang w:val="fr-CA"/>
        </w:rPr>
        <w:t>Loi sur la modernisation de la fonction publique</w:t>
      </w:r>
      <w:r w:rsidRPr="00832F07">
        <w:rPr>
          <w:rFonts w:cs="Times New Roman"/>
          <w:lang w:val="fr-CA"/>
        </w:rPr>
        <w:t>, L.C.</w:t>
      </w:r>
      <w:r w:rsidR="00795B2B">
        <w:rPr>
          <w:rFonts w:cs="Times New Roman"/>
          <w:lang w:val="fr-CA"/>
        </w:rPr>
        <w:t xml:space="preserve"> </w:t>
      </w:r>
      <w:r w:rsidRPr="00832F07">
        <w:rPr>
          <w:rFonts w:cs="Times New Roman"/>
          <w:lang w:val="fr-CA"/>
        </w:rPr>
        <w:t>2003, c.</w:t>
      </w:r>
      <w:r w:rsidR="00795B2B">
        <w:rPr>
          <w:rFonts w:cs="Times New Roman"/>
          <w:lang w:val="fr-CA"/>
        </w:rPr>
        <w:t xml:space="preserve"> </w:t>
      </w:r>
      <w:r w:rsidRPr="00832F07">
        <w:rPr>
          <w:rFonts w:cs="Times New Roman"/>
          <w:lang w:val="fr-CA"/>
        </w:rPr>
        <w:t>22, art.</w:t>
      </w:r>
      <w:r w:rsidR="00795B2B">
        <w:rPr>
          <w:rFonts w:cs="Times New Roman"/>
          <w:lang w:val="fr-CA"/>
        </w:rPr>
        <w:t xml:space="preserve"> </w:t>
      </w:r>
      <w:r w:rsidRPr="00832F07">
        <w:rPr>
          <w:rFonts w:cs="Times New Roman"/>
          <w:lang w:val="fr-CA"/>
        </w:rPr>
        <w:t xml:space="preserve">2, de manière à moderniser les relations de travail dans la fonction publique fédérale. Le paragraphe 2(1) de la </w:t>
      </w:r>
      <w:r w:rsidRPr="00832F07">
        <w:rPr>
          <w:rFonts w:cs="Times New Roman"/>
          <w:i/>
          <w:lang w:val="fr-CA"/>
        </w:rPr>
        <w:t>LRTFP</w:t>
      </w:r>
      <w:r w:rsidRPr="00832F07">
        <w:rPr>
          <w:rFonts w:cs="Times New Roman"/>
          <w:lang w:val="fr-CA"/>
        </w:rPr>
        <w:t xml:space="preserve"> actuelle définit comme suit le </w:t>
      </w:r>
      <w:r w:rsidR="00795B2B">
        <w:rPr>
          <w:rFonts w:cs="Times New Roman"/>
          <w:lang w:val="fr-CA"/>
        </w:rPr>
        <w:t>« </w:t>
      </w:r>
      <w:r w:rsidRPr="00832F07">
        <w:rPr>
          <w:rFonts w:cs="Times New Roman"/>
          <w:lang w:val="fr-CA"/>
        </w:rPr>
        <w:t>fonctionnaire</w:t>
      </w:r>
      <w:r w:rsidR="00795B2B">
        <w:rPr>
          <w:rFonts w:cs="Times New Roman"/>
          <w:lang w:val="fr-CA"/>
        </w:rPr>
        <w:t> » :</w:t>
      </w:r>
      <w:r w:rsidRPr="00832F07">
        <w:rPr>
          <w:rFonts w:cs="Times New Roman"/>
          <w:lang w:val="fr-CA"/>
        </w:rPr>
        <w:t xml:space="preserve"> </w:t>
      </w:r>
      <w:r w:rsidR="00795B2B">
        <w:rPr>
          <w:rFonts w:cs="Times New Roman"/>
          <w:lang w:val="fr-CA"/>
        </w:rPr>
        <w:t>« </w:t>
      </w:r>
      <w:r w:rsidRPr="00832F07">
        <w:rPr>
          <w:rFonts w:cs="Times New Roman"/>
          <w:lang w:val="fr-CA"/>
        </w:rPr>
        <w:t>personne employée dans la fonction publique</w:t>
      </w:r>
      <w:r w:rsidR="00795B2B">
        <w:rPr>
          <w:rFonts w:cs="Times New Roman"/>
          <w:lang w:val="fr-CA"/>
        </w:rPr>
        <w:t> »</w:t>
      </w:r>
      <w:r w:rsidRPr="00832F07">
        <w:rPr>
          <w:rFonts w:cs="Times New Roman"/>
          <w:lang w:val="fr-CA"/>
        </w:rPr>
        <w:t>, sous réserve d’une liste d’exceptions dont, à l’al.</w:t>
      </w:r>
      <w:r w:rsidR="00795B2B">
        <w:rPr>
          <w:rFonts w:cs="Times New Roman"/>
          <w:lang w:val="fr-CA"/>
        </w:rPr>
        <w:t xml:space="preserve"> </w:t>
      </w:r>
      <w:r w:rsidRPr="00832F07">
        <w:rPr>
          <w:rFonts w:cs="Times New Roman"/>
          <w:i/>
          <w:lang w:val="fr-CA"/>
        </w:rPr>
        <w:t>d</w:t>
      </w:r>
      <w:r w:rsidRPr="00832F07">
        <w:rPr>
          <w:rFonts w:cs="Times New Roman"/>
          <w:lang w:val="fr-CA"/>
        </w:rPr>
        <w:t xml:space="preserve">), toute personne </w:t>
      </w:r>
      <w:r w:rsidR="00795B2B">
        <w:rPr>
          <w:rFonts w:cs="Times New Roman"/>
          <w:lang w:val="fr-CA"/>
        </w:rPr>
        <w:t>« </w:t>
      </w:r>
      <w:r w:rsidRPr="00832F07">
        <w:rPr>
          <w:rFonts w:eastAsia="Calibri" w:cs="Times New Roman"/>
          <w:lang w:val="fr-CA" w:eastAsia="fr-CA"/>
        </w:rPr>
        <w:t>qui est membre ou gendarme auxiliaire de la Gendarmerie royale du Canada, ou y est employée sensiblement aux mêmes conditions que ses membres</w:t>
      </w:r>
      <w:r w:rsidR="00795B2B">
        <w:rPr>
          <w:rFonts w:eastAsia="Calibri" w:cs="Times New Roman"/>
          <w:lang w:val="fr-CA" w:eastAsia="fr-CA"/>
        </w:rPr>
        <w:t> »</w:t>
      </w:r>
      <w:r w:rsidRPr="00832F07">
        <w:rPr>
          <w:rFonts w:eastAsia="Calibri" w:cs="Times New Roman"/>
          <w:lang w:val="fr-CA" w:eastAsia="fr-CA"/>
        </w:rPr>
        <w:t xml:space="preserve">. Du fait de cette disposition, le </w:t>
      </w:r>
      <w:r w:rsidRPr="00832F07">
        <w:rPr>
          <w:rFonts w:cs="Times New Roman"/>
          <w:lang w:val="fr-CA"/>
        </w:rPr>
        <w:t xml:space="preserve">régime de relations de travail créé par la </w:t>
      </w:r>
      <w:r w:rsidRPr="00832F07">
        <w:rPr>
          <w:rFonts w:cs="Times New Roman"/>
          <w:i/>
          <w:lang w:val="fr-CA"/>
        </w:rPr>
        <w:t>LRTFP</w:t>
      </w:r>
      <w:r w:rsidRPr="00832F07">
        <w:rPr>
          <w:rFonts w:cs="Times New Roman"/>
          <w:lang w:val="fr-CA"/>
        </w:rPr>
        <w:t xml:space="preserve"> actuelle ne s’applique pas aux</w:t>
      </w:r>
      <w:r w:rsidRPr="00832F07">
        <w:rPr>
          <w:rFonts w:eastAsia="Calibri" w:cs="Times New Roman"/>
          <w:lang w:val="fr-CA" w:eastAsia="fr-CA"/>
        </w:rPr>
        <w:t xml:space="preserve"> membres</w:t>
      </w:r>
      <w:r w:rsidRPr="00832F07">
        <w:rPr>
          <w:rFonts w:eastAsia="Calibri" w:cs="Times New Roman"/>
          <w:sz w:val="20"/>
          <w:szCs w:val="20"/>
          <w:lang w:val="fr-CA" w:eastAsia="fr-CA"/>
        </w:rPr>
        <w:t xml:space="preserve"> </w:t>
      </w:r>
      <w:r w:rsidRPr="00832F07">
        <w:rPr>
          <w:rFonts w:cs="Times New Roman"/>
          <w:lang w:val="fr-CA"/>
        </w:rPr>
        <w:t>de la GRC</w:t>
      </w:r>
      <w:r w:rsidRPr="00832F07">
        <w:rPr>
          <w:rStyle w:val="FootnoteReference"/>
          <w:rFonts w:cs="Times New Roman"/>
          <w:lang w:val="fr-CA"/>
        </w:rPr>
        <w:footnoteReference w:id="2"/>
      </w:r>
      <w:r w:rsidRPr="00832F07">
        <w:rPr>
          <w:rFonts w:cs="Times New Roman"/>
          <w:lang w:val="fr-CA"/>
        </w:rPr>
        <w:t>.</w:t>
      </w:r>
    </w:p>
    <w:p w:rsidR="007B74A6" w:rsidRPr="00832F07" w:rsidRDefault="007B74A6" w:rsidP="00795B2B">
      <w:pPr>
        <w:pStyle w:val="ParaNoNdepar-AltN"/>
        <w:autoSpaceDE w:val="0"/>
        <w:autoSpaceDN w:val="0"/>
        <w:adjustRightInd w:val="0"/>
        <w:textAlignment w:val="baseline"/>
        <w:rPr>
          <w:rFonts w:cs="Times New Roman"/>
          <w:lang w:val="fr-CA"/>
        </w:rPr>
      </w:pPr>
      <w:r w:rsidRPr="00832F07">
        <w:rPr>
          <w:rFonts w:eastAsia="Calibri" w:cs="Times New Roman"/>
          <w:lang w:val="fr-CA" w:eastAsia="fr-CA"/>
        </w:rPr>
        <w:t xml:space="preserve"> Les juges </w:t>
      </w:r>
      <w:proofErr w:type="gramStart"/>
      <w:r w:rsidRPr="00832F07">
        <w:rPr>
          <w:rFonts w:eastAsia="Calibri" w:cs="Times New Roman"/>
          <w:lang w:val="fr-CA" w:eastAsia="fr-CA"/>
        </w:rPr>
        <w:t>majoritaires concluent</w:t>
      </w:r>
      <w:proofErr w:type="gramEnd"/>
      <w:r w:rsidRPr="00832F07">
        <w:rPr>
          <w:rFonts w:eastAsia="Calibri" w:cs="Times New Roman"/>
          <w:lang w:val="fr-CA" w:eastAsia="fr-CA"/>
        </w:rPr>
        <w:t xml:space="preserve"> que l’al.</w:t>
      </w:r>
      <w:r w:rsidR="00795B2B">
        <w:rPr>
          <w:rFonts w:eastAsia="Calibri" w:cs="Times New Roman"/>
          <w:lang w:val="fr-CA" w:eastAsia="fr-CA"/>
        </w:rPr>
        <w:t xml:space="preserve"> </w:t>
      </w:r>
      <w:r w:rsidRPr="00832F07">
        <w:rPr>
          <w:rFonts w:eastAsia="Calibri" w:cs="Times New Roman"/>
          <w:i/>
          <w:lang w:val="fr-CA" w:eastAsia="fr-CA"/>
        </w:rPr>
        <w:t>d</w:t>
      </w:r>
      <w:r w:rsidRPr="00832F07">
        <w:rPr>
          <w:rFonts w:eastAsia="Calibri" w:cs="Times New Roman"/>
          <w:lang w:val="fr-CA" w:eastAsia="fr-CA"/>
        </w:rPr>
        <w:t xml:space="preserve">) de la définition de </w:t>
      </w:r>
      <w:r w:rsidR="00795B2B">
        <w:rPr>
          <w:rFonts w:eastAsia="Calibri" w:cs="Times New Roman"/>
          <w:lang w:val="fr-CA" w:eastAsia="fr-CA"/>
        </w:rPr>
        <w:t>« </w:t>
      </w:r>
      <w:r w:rsidRPr="00832F07">
        <w:rPr>
          <w:rFonts w:eastAsia="Calibri" w:cs="Times New Roman"/>
          <w:lang w:val="fr-CA" w:eastAsia="fr-CA"/>
        </w:rPr>
        <w:t>fonctionnaire</w:t>
      </w:r>
      <w:r w:rsidR="00795B2B">
        <w:rPr>
          <w:rFonts w:eastAsia="Calibri" w:cs="Times New Roman"/>
          <w:lang w:val="fr-CA" w:eastAsia="fr-CA"/>
        </w:rPr>
        <w:t> »</w:t>
      </w:r>
      <w:r w:rsidRPr="00832F07">
        <w:rPr>
          <w:rFonts w:eastAsia="Calibri" w:cs="Times New Roman"/>
          <w:lang w:val="fr-CA" w:eastAsia="fr-CA"/>
        </w:rPr>
        <w:t xml:space="preserve"> qui figure au par.</w:t>
      </w:r>
      <w:r w:rsidR="00795B2B">
        <w:rPr>
          <w:rFonts w:eastAsia="Calibri" w:cs="Times New Roman"/>
          <w:lang w:val="fr-CA" w:eastAsia="fr-CA"/>
        </w:rPr>
        <w:t xml:space="preserve"> </w:t>
      </w:r>
      <w:r w:rsidRPr="00832F07">
        <w:rPr>
          <w:rFonts w:eastAsia="Calibri" w:cs="Times New Roman"/>
          <w:lang w:val="fr-CA" w:eastAsia="fr-CA"/>
        </w:rPr>
        <w:t xml:space="preserve">2(1) de la </w:t>
      </w:r>
      <w:r w:rsidRPr="00832F07">
        <w:rPr>
          <w:rFonts w:eastAsia="Calibri" w:cs="Times New Roman"/>
          <w:i/>
          <w:lang w:val="fr-CA" w:eastAsia="fr-CA"/>
        </w:rPr>
        <w:t>LRTFP</w:t>
      </w:r>
      <w:r w:rsidRPr="00832F07">
        <w:rPr>
          <w:rFonts w:eastAsia="Calibri" w:cs="Times New Roman"/>
          <w:lang w:val="fr-CA" w:eastAsia="fr-CA"/>
        </w:rPr>
        <w:t xml:space="preserve"> actuelle porte atteinte aux droits qui sont reconnus aux membres de la GRC par l’al.</w:t>
      </w:r>
      <w:r w:rsidR="00795B2B">
        <w:rPr>
          <w:rFonts w:eastAsia="Calibri" w:cs="Times New Roman"/>
          <w:lang w:val="fr-CA" w:eastAsia="fr-CA"/>
        </w:rPr>
        <w:t xml:space="preserve"> </w:t>
      </w:r>
      <w:r w:rsidRPr="00832F07">
        <w:rPr>
          <w:rFonts w:eastAsia="Calibri" w:cs="Times New Roman"/>
          <w:lang w:val="fr-CA" w:eastAsia="fr-CA"/>
        </w:rPr>
        <w:t>2</w:t>
      </w:r>
      <w:r w:rsidRPr="00832F07">
        <w:rPr>
          <w:rFonts w:eastAsia="Calibri" w:cs="Times New Roman"/>
          <w:i/>
          <w:lang w:val="fr-CA" w:eastAsia="fr-CA"/>
        </w:rPr>
        <w:t>d</w:t>
      </w:r>
      <w:r w:rsidRPr="00832F07">
        <w:rPr>
          <w:rFonts w:eastAsia="Calibri" w:cs="Times New Roman"/>
          <w:lang w:val="fr-CA" w:eastAsia="fr-CA"/>
        </w:rPr>
        <w:t xml:space="preserve">) de la </w:t>
      </w:r>
      <w:r w:rsidRPr="00832F07">
        <w:rPr>
          <w:rFonts w:eastAsia="Calibri" w:cs="Times New Roman"/>
          <w:i/>
          <w:lang w:val="fr-CA" w:eastAsia="fr-CA"/>
        </w:rPr>
        <w:t>Charte</w:t>
      </w:r>
      <w:r w:rsidRPr="00832F07">
        <w:rPr>
          <w:rFonts w:eastAsia="Calibri" w:cs="Times New Roman"/>
          <w:lang w:val="fr-CA" w:eastAsia="fr-CA"/>
        </w:rPr>
        <w:t xml:space="preserve">. Il est toutefois évident que leur exclusion du champ d’application de la </w:t>
      </w:r>
      <w:r w:rsidRPr="00832F07">
        <w:rPr>
          <w:rFonts w:eastAsia="Calibri" w:cs="Times New Roman"/>
          <w:i/>
          <w:lang w:val="fr-CA" w:eastAsia="fr-CA"/>
        </w:rPr>
        <w:t xml:space="preserve">LRTFP </w:t>
      </w:r>
      <w:r w:rsidRPr="00832F07">
        <w:rPr>
          <w:rFonts w:eastAsia="Calibri" w:cs="Times New Roman"/>
          <w:lang w:val="fr-CA" w:eastAsia="fr-CA"/>
        </w:rPr>
        <w:t xml:space="preserve">actuelle n’a pas pour objet de nuire à leur liberté d’association et n’a pas l’effet de rendre effectivement </w:t>
      </w:r>
      <w:r w:rsidRPr="00832F07">
        <w:rPr>
          <w:rFonts w:cs="Times New Roman"/>
          <w:lang w:val="fr-CA"/>
        </w:rPr>
        <w:t xml:space="preserve">impossible la tenue de véritables négociations collectives. De plus, la contestation que font les appelantes de l’exclusion </w:t>
      </w:r>
      <w:r w:rsidRPr="00832F07">
        <w:rPr>
          <w:rFonts w:eastAsia="Calibri" w:cs="Times New Roman"/>
          <w:lang w:val="fr-CA" w:eastAsia="fr-CA"/>
        </w:rPr>
        <w:t>des membres de la GRC du régime général des relations de travail des fonctionnaires fédéraux a été</w:t>
      </w:r>
      <w:r w:rsidRPr="00832F07">
        <w:rPr>
          <w:rFonts w:cs="Times New Roman"/>
          <w:lang w:val="fr-CA"/>
        </w:rPr>
        <w:t xml:space="preserve"> tranchée de façon définitive dans l’arrêt </w:t>
      </w:r>
      <w:r w:rsidRPr="00832F07">
        <w:rPr>
          <w:rFonts w:cs="Times New Roman"/>
          <w:i/>
          <w:lang w:val="fr-CA"/>
        </w:rPr>
        <w:t>Delisle</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Les juges majoritaires estiment que l’exclusion des</w:t>
      </w:r>
      <w:r w:rsidRPr="00832F07">
        <w:rPr>
          <w:rFonts w:cs="Times New Roman"/>
          <w:iCs/>
          <w:lang w:val="fr-CA"/>
        </w:rPr>
        <w:t xml:space="preserve"> membres de la GRC de la définition du terme </w:t>
      </w:r>
      <w:r w:rsidR="00795B2B">
        <w:rPr>
          <w:rFonts w:cs="Times New Roman"/>
          <w:iCs/>
          <w:lang w:val="fr-CA"/>
        </w:rPr>
        <w:t>« </w:t>
      </w:r>
      <w:r w:rsidRPr="00832F07">
        <w:rPr>
          <w:rFonts w:cs="Times New Roman"/>
          <w:iCs/>
          <w:lang w:val="fr-CA"/>
        </w:rPr>
        <w:t>fonctionnaire</w:t>
      </w:r>
      <w:r w:rsidR="00795B2B">
        <w:rPr>
          <w:rFonts w:cs="Times New Roman"/>
          <w:iCs/>
          <w:lang w:val="fr-CA"/>
        </w:rPr>
        <w:t> »</w:t>
      </w:r>
      <w:r w:rsidRPr="00832F07">
        <w:rPr>
          <w:rFonts w:cs="Times New Roman"/>
          <w:iCs/>
          <w:lang w:val="fr-CA"/>
        </w:rPr>
        <w:t xml:space="preserve"> qui figure au par.</w:t>
      </w:r>
      <w:r w:rsidR="00795B2B">
        <w:rPr>
          <w:rFonts w:cs="Times New Roman"/>
          <w:iCs/>
          <w:lang w:val="fr-CA"/>
        </w:rPr>
        <w:t xml:space="preserve"> </w:t>
      </w:r>
      <w:r w:rsidRPr="00832F07">
        <w:rPr>
          <w:rFonts w:cs="Times New Roman"/>
          <w:iCs/>
          <w:lang w:val="fr-CA"/>
        </w:rPr>
        <w:t xml:space="preserve">2(1) de la </w:t>
      </w:r>
      <w:r w:rsidRPr="00832F07">
        <w:rPr>
          <w:rFonts w:cs="Times New Roman"/>
          <w:i/>
          <w:iCs/>
          <w:lang w:val="fr-CA"/>
        </w:rPr>
        <w:t xml:space="preserve">LRTFP </w:t>
      </w:r>
      <w:r w:rsidRPr="00832F07">
        <w:rPr>
          <w:rFonts w:cs="Times New Roman"/>
          <w:iCs/>
          <w:lang w:val="fr-CA"/>
        </w:rPr>
        <w:t xml:space="preserve">actuelle </w:t>
      </w:r>
      <w:r w:rsidR="00795B2B">
        <w:rPr>
          <w:rFonts w:cs="Times New Roman"/>
          <w:lang w:val="fr-CA"/>
        </w:rPr>
        <w:t>« </w:t>
      </w:r>
      <w:r w:rsidRPr="00832F07">
        <w:rPr>
          <w:rFonts w:cs="Times New Roman"/>
          <w:lang w:val="fr-CA"/>
        </w:rPr>
        <w:t xml:space="preserve">vise à priver les membres de la GRC du droit de constituer une association </w:t>
      </w:r>
      <w:r w:rsidRPr="00832F07">
        <w:rPr>
          <w:rFonts w:cs="Times New Roman"/>
          <w:lang w:val="fr-CA"/>
        </w:rPr>
        <w:lastRenderedPageBreak/>
        <w:t>indépendante capable de participer à un processus véritable de négociation collective</w:t>
      </w:r>
      <w:r w:rsidR="00795B2B">
        <w:rPr>
          <w:rFonts w:cs="Times New Roman"/>
          <w:lang w:val="fr-CA"/>
        </w:rPr>
        <w:t> »</w:t>
      </w:r>
      <w:r w:rsidRPr="00832F07">
        <w:rPr>
          <w:rFonts w:cs="Times New Roman"/>
          <w:lang w:val="fr-CA"/>
        </w:rPr>
        <w:t xml:space="preserve"> (par.</w:t>
      </w:r>
      <w:r w:rsidR="00795B2B">
        <w:rPr>
          <w:rFonts w:cs="Times New Roman"/>
          <w:lang w:val="fr-CA"/>
        </w:rPr>
        <w:t xml:space="preserve"> </w:t>
      </w:r>
      <w:r w:rsidRPr="00832F07">
        <w:rPr>
          <w:rFonts w:cs="Times New Roman"/>
          <w:lang w:val="fr-CA"/>
        </w:rPr>
        <w:t xml:space="preserve">126). Autrement dit, les juges majoritaires ont conclu que l’intention du législateur était bel et bien de priver les membres de la GRC de la liberté d’association. Pourtant, dans l’arrêt </w:t>
      </w:r>
      <w:r w:rsidRPr="00832F07">
        <w:rPr>
          <w:rFonts w:cs="Times New Roman"/>
          <w:i/>
          <w:lang w:val="fr-CA"/>
        </w:rPr>
        <w:t>Delisle</w:t>
      </w:r>
      <w:r w:rsidRPr="00832F07">
        <w:rPr>
          <w:rFonts w:cs="Times New Roman"/>
          <w:lang w:val="fr-CA"/>
        </w:rPr>
        <w:t>,</w:t>
      </w:r>
      <w:r w:rsidRPr="00832F07">
        <w:rPr>
          <w:rFonts w:cs="Times New Roman"/>
          <w:i/>
          <w:lang w:val="fr-CA"/>
        </w:rPr>
        <w:t xml:space="preserve"> </w:t>
      </w:r>
      <w:r w:rsidRPr="00832F07">
        <w:rPr>
          <w:rFonts w:cs="Times New Roman"/>
          <w:iCs/>
          <w:lang w:val="fr-CA"/>
        </w:rPr>
        <w:t xml:space="preserve">le juge </w:t>
      </w:r>
      <w:proofErr w:type="spellStart"/>
      <w:r w:rsidRPr="00832F07">
        <w:rPr>
          <w:rFonts w:cs="Times New Roman"/>
          <w:lang w:val="fr-CA"/>
        </w:rPr>
        <w:t>Bastarache</w:t>
      </w:r>
      <w:proofErr w:type="spellEnd"/>
      <w:r w:rsidRPr="00832F07">
        <w:rPr>
          <w:rFonts w:cs="Times New Roman"/>
          <w:lang w:val="fr-CA"/>
        </w:rPr>
        <w:t xml:space="preserve"> a conclu que </w:t>
      </w:r>
      <w:r w:rsidR="00795B2B">
        <w:rPr>
          <w:rFonts w:cs="Times New Roman"/>
          <w:lang w:val="fr-CA"/>
        </w:rPr>
        <w:t>« </w:t>
      </w:r>
      <w:r w:rsidRPr="00832F07">
        <w:rPr>
          <w:rFonts w:cs="Times New Roman"/>
          <w:lang w:val="fr-CA"/>
        </w:rPr>
        <w:t>l’al.</w:t>
      </w:r>
      <w:r w:rsidR="00795B2B">
        <w:rPr>
          <w:rFonts w:cs="Times New Roman"/>
          <w:lang w:val="fr-CA"/>
        </w:rPr>
        <w:t xml:space="preserve"> </w:t>
      </w:r>
      <w:r w:rsidRPr="00832F07">
        <w:rPr>
          <w:rFonts w:cs="Times New Roman"/>
          <w:i/>
          <w:lang w:val="fr-CA"/>
        </w:rPr>
        <w:t>e</w:t>
      </w:r>
      <w:r w:rsidRPr="00832F07">
        <w:rPr>
          <w:rFonts w:cs="Times New Roman"/>
          <w:lang w:val="fr-CA"/>
        </w:rPr>
        <w:t>) de la définition de ‟fonctionnaire” contenue à l’art.</w:t>
      </w:r>
      <w:r w:rsidR="00795B2B">
        <w:rPr>
          <w:rFonts w:cs="Times New Roman"/>
          <w:lang w:val="fr-CA"/>
        </w:rPr>
        <w:t xml:space="preserve"> </w:t>
      </w:r>
      <w:r w:rsidRPr="00832F07">
        <w:rPr>
          <w:rFonts w:cs="Times New Roman"/>
          <w:lang w:val="fr-CA"/>
        </w:rPr>
        <w:t xml:space="preserve">2 de la [première] </w:t>
      </w:r>
      <w:r w:rsidRPr="00832F07">
        <w:rPr>
          <w:rFonts w:cs="Times New Roman"/>
          <w:i/>
          <w:lang w:val="fr-CA"/>
        </w:rPr>
        <w:t>LRTFP</w:t>
      </w:r>
      <w:r w:rsidRPr="00832F07">
        <w:rPr>
          <w:rFonts w:cs="Times New Roman"/>
          <w:lang w:val="fr-CA"/>
        </w:rPr>
        <w:t xml:space="preserve"> ne porte pas atteinte par son objet à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de la </w:t>
      </w:r>
      <w:r w:rsidRPr="00832F07">
        <w:rPr>
          <w:rFonts w:cs="Times New Roman"/>
          <w:i/>
          <w:lang w:val="fr-CA"/>
        </w:rPr>
        <w:t>Charte</w:t>
      </w:r>
      <w:r w:rsidR="00795B2B">
        <w:rPr>
          <w:rFonts w:cs="Times New Roman"/>
          <w:lang w:val="fr-CA"/>
        </w:rPr>
        <w:t> »</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23).</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Selon la conclusion des juges majoritaires dans l’arrêt </w:t>
      </w:r>
      <w:r w:rsidRPr="00832F07">
        <w:rPr>
          <w:rFonts w:cs="Times New Roman"/>
          <w:i/>
          <w:lang w:val="fr-CA"/>
        </w:rPr>
        <w:t>Delisle</w:t>
      </w:r>
      <w:r w:rsidRPr="00832F07">
        <w:rPr>
          <w:rFonts w:cs="Times New Roman"/>
          <w:lang w:val="fr-CA"/>
        </w:rPr>
        <w:t>,</w:t>
      </w:r>
      <w:r w:rsidRPr="00832F07">
        <w:rPr>
          <w:rFonts w:cs="Times New Roman"/>
          <w:i/>
          <w:lang w:val="fr-CA"/>
        </w:rPr>
        <w:t xml:space="preserve"> </w:t>
      </w:r>
      <w:r w:rsidR="00795B2B">
        <w:rPr>
          <w:rFonts w:cs="Times New Roman"/>
          <w:lang w:val="fr-CA"/>
        </w:rPr>
        <w:t>« </w:t>
      </w:r>
      <w:r w:rsidRPr="00832F07">
        <w:rPr>
          <w:rFonts w:cs="Times New Roman"/>
          <w:lang w:val="fr-FR" w:eastAsia="en-CA"/>
        </w:rPr>
        <w:t xml:space="preserve">l’objet de l’exclusion des membres de la GRC est simplement de ne pas leur accorder de statut sous le régime de la </w:t>
      </w:r>
      <w:r w:rsidRPr="00832F07">
        <w:rPr>
          <w:rFonts w:cs="Times New Roman"/>
          <w:i/>
          <w:lang w:val="fr-FR" w:eastAsia="en-CA"/>
        </w:rPr>
        <w:t>LRTFP</w:t>
      </w:r>
      <w:r w:rsidRPr="00832F07">
        <w:rPr>
          <w:rFonts w:cs="Times New Roman"/>
          <w:lang w:val="fr-FR" w:eastAsia="en-CA"/>
        </w:rPr>
        <w:t>, soit la représentation syndicale et tout ce qu’elle entraîne, ce qui ne viole pas la liberté d’association de l’appelant</w:t>
      </w:r>
      <w:r w:rsidR="00795B2B">
        <w:rPr>
          <w:rFonts w:cs="Times New Roman"/>
          <w:lang w:val="fr-FR" w:eastAsia="en-CA"/>
        </w:rPr>
        <w:t> »</w:t>
      </w:r>
      <w:r>
        <w:rPr>
          <w:rFonts w:cs="Times New Roman"/>
          <w:lang w:val="fr-FR" w:eastAsia="en-CA"/>
        </w:rPr>
        <w:t xml:space="preserve"> (</w:t>
      </w:r>
      <w:r w:rsidRPr="00832F07">
        <w:rPr>
          <w:rFonts w:cs="Times New Roman"/>
          <w:lang w:val="fr-FR" w:eastAsia="en-CA"/>
        </w:rPr>
        <w:t>par.</w:t>
      </w:r>
      <w:r w:rsidR="00795B2B">
        <w:rPr>
          <w:rFonts w:cs="Times New Roman"/>
          <w:lang w:val="fr-FR" w:eastAsia="en-CA"/>
        </w:rPr>
        <w:t xml:space="preserve"> </w:t>
      </w:r>
      <w:r w:rsidRPr="00832F07">
        <w:rPr>
          <w:rFonts w:cs="Times New Roman"/>
          <w:lang w:val="fr-FR" w:eastAsia="en-CA"/>
        </w:rPr>
        <w:t xml:space="preserve">22, le juge </w:t>
      </w:r>
      <w:proofErr w:type="spellStart"/>
      <w:r w:rsidRPr="00832F07">
        <w:rPr>
          <w:rFonts w:cs="Times New Roman"/>
          <w:lang w:val="fr-FR" w:eastAsia="en-CA"/>
        </w:rPr>
        <w:t>Bastarache</w:t>
      </w:r>
      <w:proofErr w:type="spellEnd"/>
      <w:r w:rsidRPr="00832F07">
        <w:rPr>
          <w:rFonts w:cs="Times New Roman"/>
          <w:lang w:val="fr-FR" w:eastAsia="en-CA"/>
        </w:rPr>
        <w:t xml:space="preserve">). L’exclusion des membres de la GRC du champ d’application de la </w:t>
      </w:r>
      <w:r w:rsidRPr="00832F07">
        <w:rPr>
          <w:rFonts w:cs="Times New Roman"/>
          <w:i/>
          <w:lang w:val="fr-FR" w:eastAsia="en-CA"/>
        </w:rPr>
        <w:t>LRTFP</w:t>
      </w:r>
      <w:r w:rsidRPr="00832F07">
        <w:rPr>
          <w:rFonts w:cs="Times New Roman"/>
          <w:lang w:val="fr-FR" w:eastAsia="en-CA"/>
        </w:rPr>
        <w:t xml:space="preserve"> n’a pas pour objet de nuire à la négociation collective; elle est plutôt motivée par la crainte légitime que le modèle prévu par cette loi ne convienne pas au service de police national que constitue la GRC.</w:t>
      </w:r>
    </w:p>
    <w:p w:rsidR="007B74A6" w:rsidRPr="00832F07" w:rsidRDefault="007B74A6" w:rsidP="00795B2B">
      <w:pPr>
        <w:pStyle w:val="ParaNoNdepar-AltN"/>
        <w:rPr>
          <w:rFonts w:cs="Times New Roman"/>
          <w:lang w:val="fr-CA"/>
        </w:rPr>
      </w:pPr>
      <w:r w:rsidRPr="00832F07">
        <w:rPr>
          <w:rFonts w:cs="Times New Roman"/>
          <w:lang w:val="fr-CA"/>
        </w:rPr>
        <w:t>Certes, l’arrêt</w:t>
      </w:r>
      <w:r w:rsidRPr="00832F07">
        <w:rPr>
          <w:rFonts w:cs="Times New Roman"/>
          <w:i/>
          <w:lang w:val="fr-CA"/>
        </w:rPr>
        <w:t xml:space="preserve"> Delisle</w:t>
      </w:r>
      <w:r w:rsidRPr="00832F07">
        <w:rPr>
          <w:rFonts w:cs="Times New Roman"/>
          <w:lang w:val="fr-CA"/>
        </w:rPr>
        <w:t xml:space="preserve"> a été rendu avant que les arrêts </w:t>
      </w:r>
      <w:proofErr w:type="spellStart"/>
      <w:r w:rsidRPr="00832F07">
        <w:rPr>
          <w:rFonts w:cs="Times New Roman"/>
          <w:i/>
          <w:lang w:val="fr-CA"/>
        </w:rPr>
        <w:t>Health</w:t>
      </w:r>
      <w:proofErr w:type="spellEnd"/>
      <w:r w:rsidR="00795B2B">
        <w:rPr>
          <w:rFonts w:cs="Times New Roman"/>
          <w:i/>
          <w:lang w:val="fr-CA"/>
        </w:rPr>
        <w:t xml:space="preserve"> </w:t>
      </w:r>
      <w:r w:rsidRPr="00832F07">
        <w:rPr>
          <w:rFonts w:cs="Times New Roman"/>
          <w:i/>
          <w:lang w:val="fr-CA"/>
        </w:rPr>
        <w:t>Services</w:t>
      </w:r>
      <w:r w:rsidRPr="00832F07">
        <w:rPr>
          <w:rFonts w:cs="Times New Roman"/>
          <w:lang w:val="fr-CA"/>
        </w:rPr>
        <w:t xml:space="preserve"> et </w:t>
      </w:r>
      <w:r w:rsidRPr="00832F07">
        <w:rPr>
          <w:rFonts w:cs="Times New Roman"/>
          <w:i/>
          <w:lang w:val="fr-CA"/>
        </w:rPr>
        <w:t>Fraser</w:t>
      </w:r>
      <w:r w:rsidRPr="00832F07">
        <w:rPr>
          <w:rFonts w:cs="Times New Roman"/>
          <w:lang w:val="fr-CA"/>
        </w:rPr>
        <w:t xml:space="preserve"> ne marquent le début d’une nouvelle ère se caractérisant par </w:t>
      </w:r>
      <w:r w:rsidR="00795B2B">
        <w:rPr>
          <w:rFonts w:cs="Times New Roman"/>
          <w:lang w:val="fr-CA"/>
        </w:rPr>
        <w:t>« </w:t>
      </w:r>
      <w:r w:rsidRPr="00832F07">
        <w:rPr>
          <w:rFonts w:cs="Times New Roman"/>
          <w:lang w:val="fr-CA"/>
        </w:rPr>
        <w:t>des interprétations téléologiques et généreuses dans le contexte des relations de travail</w:t>
      </w:r>
      <w:r w:rsidR="00795B2B">
        <w:rPr>
          <w:rFonts w:cs="Times New Roman"/>
          <w:lang w:val="fr-CA"/>
        </w:rPr>
        <w:t> »</w:t>
      </w:r>
      <w:r w:rsidRPr="00832F07">
        <w:rPr>
          <w:rFonts w:cs="Times New Roman"/>
          <w:lang w:val="fr-CA"/>
        </w:rPr>
        <w:t xml:space="preserve"> (motifs des juges majoritaires, par.</w:t>
      </w:r>
      <w:r w:rsidR="00795B2B">
        <w:rPr>
          <w:rFonts w:cs="Times New Roman"/>
          <w:lang w:val="fr-CA"/>
        </w:rPr>
        <w:t xml:space="preserve"> </w:t>
      </w:r>
      <w:r w:rsidRPr="00832F07">
        <w:rPr>
          <w:rFonts w:cs="Times New Roman"/>
          <w:lang w:val="fr-CA"/>
        </w:rPr>
        <w:t xml:space="preserve">125). Cependant, l’évolution de la jurisprudence depuis l’arrêt </w:t>
      </w:r>
      <w:r w:rsidRPr="00832F07">
        <w:rPr>
          <w:rFonts w:cs="Times New Roman"/>
          <w:i/>
          <w:lang w:val="fr-CA"/>
        </w:rPr>
        <w:t>Delisle</w:t>
      </w:r>
      <w:r w:rsidRPr="00832F07">
        <w:rPr>
          <w:rFonts w:cs="Times New Roman"/>
          <w:lang w:val="fr-CA"/>
        </w:rPr>
        <w:t xml:space="preserve"> ne permet pas à la Cour de conclure que l’exclusion en question vise à priver les membres de la GRC de la liberté d’association. Au contraire, la conclusion tirée dans cet arrêt a été confirmée par la Cour dans </w:t>
      </w:r>
      <w:proofErr w:type="spellStart"/>
      <w:r w:rsidRPr="00832F07">
        <w:rPr>
          <w:rFonts w:cs="Times New Roman"/>
          <w:i/>
          <w:lang w:val="fr-CA"/>
        </w:rPr>
        <w:t>Health</w:t>
      </w:r>
      <w:proofErr w:type="spellEnd"/>
      <w:r w:rsidR="00795B2B">
        <w:rPr>
          <w:rFonts w:cs="Times New Roman"/>
          <w:i/>
          <w:lang w:val="fr-CA"/>
        </w:rPr>
        <w:t xml:space="preserve"> </w:t>
      </w:r>
      <w:r w:rsidRPr="00832F07">
        <w:rPr>
          <w:rFonts w:cs="Times New Roman"/>
          <w:i/>
          <w:lang w:val="fr-CA"/>
        </w:rPr>
        <w:t>Services</w:t>
      </w:r>
      <w:r w:rsidRPr="00832F07">
        <w:rPr>
          <w:rFonts w:cs="Times New Roman"/>
          <w:lang w:val="fr-CA"/>
        </w:rPr>
        <w:t xml:space="preserve"> et </w:t>
      </w:r>
      <w:r w:rsidRPr="00832F07">
        <w:rPr>
          <w:rFonts w:cs="Times New Roman"/>
          <w:i/>
          <w:lang w:val="fr-CA"/>
        </w:rPr>
        <w:t>Fraser</w:t>
      </w:r>
      <w:r w:rsidRPr="00832F07">
        <w:rPr>
          <w:rFonts w:cs="Times New Roman"/>
          <w:lang w:val="fr-CA"/>
        </w:rPr>
        <w:t xml:space="preserve"> lorsqu’elle a affirmé que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de la</w:t>
      </w:r>
      <w:r w:rsidRPr="00832F07">
        <w:rPr>
          <w:rFonts w:cs="Times New Roman"/>
          <w:i/>
          <w:lang w:val="fr-CA"/>
        </w:rPr>
        <w:t xml:space="preserve"> Charte</w:t>
      </w:r>
      <w:r w:rsidRPr="00832F07">
        <w:rPr>
          <w:rFonts w:cs="Times New Roman"/>
          <w:lang w:val="fr-CA"/>
        </w:rPr>
        <w:t xml:space="preserve"> ne garantit pas le droit à un </w:t>
      </w:r>
      <w:r w:rsidRPr="00832F07">
        <w:rPr>
          <w:rFonts w:cs="Times New Roman"/>
          <w:lang w:val="fr-CA"/>
        </w:rPr>
        <w:lastRenderedPageBreak/>
        <w:t xml:space="preserve">modèle ou à un processus particulier en matière de relations de travail. </w:t>
      </w:r>
      <w:r w:rsidRPr="00832F07">
        <w:rPr>
          <w:rFonts w:cs="Times New Roman"/>
          <w:iCs/>
          <w:lang w:val="fr-CA"/>
        </w:rPr>
        <w:t>J</w:t>
      </w:r>
      <w:r w:rsidRPr="00832F07">
        <w:rPr>
          <w:rFonts w:cs="Times New Roman"/>
          <w:lang w:val="fr-CA"/>
        </w:rPr>
        <w:t xml:space="preserve">e ne suis pas d’accord pour répudier ces décisions. </w:t>
      </w:r>
    </w:p>
    <w:p w:rsidR="007B74A6" w:rsidRPr="00832F07" w:rsidRDefault="007B74A6" w:rsidP="00795B2B">
      <w:pPr>
        <w:pStyle w:val="ParaNoNdepar-AltN"/>
        <w:rPr>
          <w:rFonts w:cs="Times New Roman"/>
          <w:lang w:val="fr-CA"/>
        </w:rPr>
      </w:pPr>
      <w:r w:rsidRPr="00832F07">
        <w:rPr>
          <w:rFonts w:cs="Times New Roman"/>
          <w:lang w:val="fr-CA"/>
        </w:rPr>
        <w:t>L’évolution de l’interprétation juridique de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n’a rien à voir avec la conclusion tirée par les juges majoritaires dans l’arrêt </w:t>
      </w:r>
      <w:r w:rsidRPr="00832F07">
        <w:rPr>
          <w:rFonts w:cs="Times New Roman"/>
          <w:i/>
          <w:lang w:val="fr-CA"/>
        </w:rPr>
        <w:t>Delisle</w:t>
      </w:r>
      <w:r w:rsidRPr="00832F07">
        <w:rPr>
          <w:rFonts w:cs="Times New Roman"/>
          <w:lang w:val="fr-CA"/>
        </w:rPr>
        <w:t xml:space="preserve"> en ce qui concerne l’objet de la première </w:t>
      </w:r>
      <w:r w:rsidRPr="00832F07">
        <w:rPr>
          <w:rFonts w:cs="Times New Roman"/>
          <w:i/>
          <w:lang w:val="fr-CA"/>
        </w:rPr>
        <w:t>LRTFP</w:t>
      </w:r>
      <w:r w:rsidRPr="00E202A4">
        <w:rPr>
          <w:rFonts w:cs="Times New Roman"/>
          <w:lang w:val="fr-CA"/>
        </w:rPr>
        <w:t>.</w:t>
      </w:r>
      <w:r w:rsidR="00795B2B">
        <w:rPr>
          <w:rFonts w:cs="Times New Roman"/>
          <w:i/>
          <w:lang w:val="fr-CA"/>
        </w:rPr>
        <w:t xml:space="preserve"> </w:t>
      </w:r>
      <w:r w:rsidRPr="00832F07">
        <w:rPr>
          <w:rFonts w:cs="Times New Roman"/>
          <w:lang w:val="fr-CA"/>
        </w:rPr>
        <w:t xml:space="preserve">On ne peut donc pas s’en servir pour revenir sur des questions qui ont été tranchées dans cet arrêt. Contrairement à ce qu’estiment les juges majoritaires dans la présente cause, à mon avis, l’arrêt </w:t>
      </w:r>
      <w:r w:rsidRPr="00832F07">
        <w:rPr>
          <w:rFonts w:cs="Times New Roman"/>
          <w:i/>
          <w:lang w:val="fr-CA"/>
        </w:rPr>
        <w:t xml:space="preserve">Bedford </w:t>
      </w:r>
      <w:r w:rsidRPr="00832F07">
        <w:rPr>
          <w:rFonts w:cs="Times New Roman"/>
          <w:lang w:val="fr-CA"/>
        </w:rPr>
        <w:t>ne permet pas d’affirmer que l’évolution d’un aspect du droit autorise la Cour</w:t>
      </w:r>
      <w:r w:rsidR="00795B2B">
        <w:rPr>
          <w:rFonts w:cs="Times New Roman"/>
          <w:lang w:val="fr-CA"/>
        </w:rPr>
        <w:t xml:space="preserve"> </w:t>
      </w:r>
      <w:r w:rsidRPr="00832F07">
        <w:rPr>
          <w:rFonts w:cs="Times New Roman"/>
          <w:lang w:val="fr-CA"/>
        </w:rPr>
        <w:t>—</w:t>
      </w:r>
      <w:r w:rsidR="00795B2B">
        <w:rPr>
          <w:rFonts w:cs="Times New Roman"/>
          <w:lang w:val="fr-CA"/>
        </w:rPr>
        <w:t xml:space="preserve"> </w:t>
      </w:r>
      <w:r w:rsidRPr="00832F07">
        <w:rPr>
          <w:rFonts w:cs="Times New Roman"/>
          <w:lang w:val="fr-CA"/>
        </w:rPr>
        <w:t>et les juridictions inférieures</w:t>
      </w:r>
      <w:r w:rsidR="00795B2B">
        <w:rPr>
          <w:rFonts w:cs="Times New Roman"/>
          <w:lang w:val="fr-CA"/>
        </w:rPr>
        <w:t xml:space="preserve"> </w:t>
      </w:r>
      <w:r w:rsidRPr="00832F07">
        <w:rPr>
          <w:rFonts w:cs="Times New Roman"/>
          <w:lang w:val="fr-CA"/>
        </w:rPr>
        <w:t>—</w:t>
      </w:r>
      <w:r w:rsidR="00795B2B">
        <w:rPr>
          <w:rFonts w:cs="Times New Roman"/>
          <w:lang w:val="fr-CA"/>
        </w:rPr>
        <w:t xml:space="preserve"> </w:t>
      </w:r>
      <w:r w:rsidRPr="00832F07">
        <w:rPr>
          <w:rFonts w:cs="Times New Roman"/>
          <w:lang w:val="fr-CA"/>
        </w:rPr>
        <w:t xml:space="preserve">à écarter tous les aspects d’une décision antérieure. À cet égard, l’arrêt </w:t>
      </w:r>
      <w:r w:rsidRPr="00832F07">
        <w:rPr>
          <w:rFonts w:cs="Times New Roman"/>
          <w:i/>
          <w:lang w:val="fr-CA"/>
        </w:rPr>
        <w:t>Bedford</w:t>
      </w:r>
      <w:r w:rsidRPr="00832F07">
        <w:rPr>
          <w:rFonts w:cs="Times New Roman"/>
          <w:lang w:val="fr-CA"/>
        </w:rPr>
        <w:t xml:space="preserve"> se borne à appuyer la proposition</w:t>
      </w:r>
      <w:r w:rsidR="00795B2B">
        <w:rPr>
          <w:rFonts w:cs="Times New Roman"/>
          <w:lang w:val="fr-CA"/>
        </w:rPr>
        <w:t xml:space="preserve"> </w:t>
      </w:r>
      <w:r w:rsidRPr="00832F07">
        <w:rPr>
          <w:rFonts w:cs="Times New Roman"/>
          <w:lang w:val="fr-CA"/>
        </w:rPr>
        <w:t xml:space="preserve">selon laquelle les tribunaux peuvent réexaminer </w:t>
      </w:r>
      <w:r w:rsidRPr="00832F07">
        <w:rPr>
          <w:rFonts w:cs="Times New Roman"/>
          <w:i/>
          <w:lang w:val="fr-CA"/>
        </w:rPr>
        <w:t>le point de droit bien précis</w:t>
      </w:r>
      <w:r w:rsidRPr="00832F07">
        <w:rPr>
          <w:rFonts w:cs="Times New Roman"/>
          <w:lang w:val="fr-CA"/>
        </w:rPr>
        <w:t xml:space="preserve"> dont ils ont conclu qu’il a fait l’objet d’une évolution spectaculaire</w:t>
      </w:r>
      <w:r w:rsidRPr="00E202A4">
        <w:rPr>
          <w:rFonts w:cs="Times New Roman"/>
          <w:lang w:val="fr-CA"/>
        </w:rPr>
        <w:t>.</w:t>
      </w:r>
    </w:p>
    <w:p w:rsidR="007B74A6" w:rsidRPr="00832F07" w:rsidRDefault="007B74A6" w:rsidP="00795B2B">
      <w:pPr>
        <w:pStyle w:val="ParaNoNdepar-AltN"/>
        <w:rPr>
          <w:rFonts w:cs="Times New Roman"/>
          <w:lang w:val="fr-CA"/>
        </w:rPr>
      </w:pPr>
      <w:r w:rsidRPr="00832F07">
        <w:rPr>
          <w:rFonts w:cs="Times New Roman"/>
          <w:lang w:val="fr-CA"/>
        </w:rPr>
        <w:t xml:space="preserve">Depuis l’arrêt </w:t>
      </w:r>
      <w:r w:rsidRPr="00832F07">
        <w:rPr>
          <w:rFonts w:cs="Times New Roman"/>
          <w:i/>
          <w:lang w:val="fr-CA"/>
        </w:rPr>
        <w:t>Delisle</w:t>
      </w:r>
      <w:r w:rsidRPr="00832F07">
        <w:rPr>
          <w:rFonts w:cs="Times New Roman"/>
          <w:lang w:val="fr-CA"/>
        </w:rPr>
        <w:t xml:space="preserve"> de la Cour rendu en 1999, il n’est survenu aucun changement de situation qui justifierait d’écarter la raison retenue dans cet arrêt pour expliquer l’exclusion des membres de la GRC du régime général des relations de travail régissant les fonctionnaires fédéraux en cause en l’espèce. En fait, c’est plutôt le contraire qui s’est produit</w:t>
      </w:r>
      <w:r w:rsidR="00795B2B">
        <w:rPr>
          <w:rFonts w:cs="Times New Roman"/>
          <w:lang w:val="fr-CA"/>
        </w:rPr>
        <w:t> :</w:t>
      </w:r>
      <w:r w:rsidRPr="00832F07">
        <w:rPr>
          <w:rFonts w:cs="Times New Roman"/>
          <w:lang w:val="fr-CA"/>
        </w:rPr>
        <w:t xml:space="preserve"> les modifications apportées au PRRF depuis 1999 ont renforcé l’idée que ce dernier a pour objet d’améliorer la défense des intérêts des membres de la GRC sans imposer un modèle contradictoire. Les Statuts du PRRF, qui ont été adoptés en 2002, prévoient en effet que le principal objectif du programme est de </w:t>
      </w:r>
      <w:r w:rsidR="00795B2B">
        <w:rPr>
          <w:rFonts w:cs="Times New Roman"/>
          <w:lang w:val="fr-CA"/>
        </w:rPr>
        <w:t>« </w:t>
      </w:r>
      <w:r w:rsidRPr="00832F07">
        <w:rPr>
          <w:rFonts w:cs="Times New Roman"/>
          <w:lang w:val="fr-CA"/>
        </w:rPr>
        <w:t>promouvoir des relations mutuellement avantageuses entre la direction et les membres de la Gendarmerie</w:t>
      </w:r>
      <w:r w:rsidR="00795B2B">
        <w:rPr>
          <w:rFonts w:cs="Times New Roman"/>
          <w:lang w:val="fr-CA"/>
        </w:rPr>
        <w:t> »</w:t>
      </w:r>
      <w:r w:rsidRPr="00832F07">
        <w:rPr>
          <w:rFonts w:cs="Times New Roman"/>
          <w:lang w:val="fr-CA"/>
        </w:rPr>
        <w:t xml:space="preserve"> et qu’il </w:t>
      </w:r>
      <w:r w:rsidR="00795B2B">
        <w:rPr>
          <w:rFonts w:cs="Times New Roman"/>
          <w:lang w:val="fr-CA"/>
        </w:rPr>
        <w:t>« </w:t>
      </w:r>
      <w:r w:rsidRPr="00832F07">
        <w:rPr>
          <w:rFonts w:cs="Times New Roman"/>
          <w:lang w:val="fr-CA"/>
        </w:rPr>
        <w:t xml:space="preserve">sera reconnu comme l’unique </w:t>
      </w:r>
      <w:r w:rsidR="00E202A4">
        <w:rPr>
          <w:rFonts w:cs="Times New Roman"/>
          <w:lang w:val="fr-CA"/>
        </w:rPr>
        <w:t>mécanisme</w:t>
      </w:r>
      <w:r w:rsidRPr="00832F07">
        <w:rPr>
          <w:rFonts w:cs="Times New Roman"/>
          <w:lang w:val="fr-CA"/>
        </w:rPr>
        <w:t xml:space="preserve"> de gestion des relations entre les membres et la direction de la GRC</w:t>
      </w:r>
      <w:r w:rsidR="00795B2B">
        <w:rPr>
          <w:rFonts w:cs="Times New Roman"/>
          <w:lang w:val="fr-CA"/>
        </w:rPr>
        <w:t> »</w:t>
      </w:r>
      <w:r>
        <w:rPr>
          <w:rFonts w:cs="Times New Roman"/>
          <w:lang w:val="fr-CA"/>
        </w:rPr>
        <w:t xml:space="preserve"> (</w:t>
      </w:r>
      <w:r w:rsidRPr="00832F07">
        <w:rPr>
          <w:rFonts w:cs="Times New Roman"/>
          <w:lang w:val="fr-CA"/>
        </w:rPr>
        <w:t>art.</w:t>
      </w:r>
      <w:r w:rsidR="00795B2B">
        <w:rPr>
          <w:rFonts w:cs="Times New Roman"/>
          <w:lang w:val="fr-CA"/>
        </w:rPr>
        <w:t xml:space="preserve"> </w:t>
      </w:r>
      <w:r w:rsidRPr="00832F07">
        <w:rPr>
          <w:rFonts w:cs="Times New Roman"/>
          <w:lang w:val="fr-CA"/>
        </w:rPr>
        <w:t xml:space="preserve">2 et 3(A)). De </w:t>
      </w:r>
      <w:r w:rsidRPr="00832F07">
        <w:rPr>
          <w:rFonts w:cs="Times New Roman"/>
          <w:lang w:val="fr-CA"/>
        </w:rPr>
        <w:lastRenderedPageBreak/>
        <w:t>même, l’entente conclue en octobre</w:t>
      </w:r>
      <w:r w:rsidR="00795B2B">
        <w:rPr>
          <w:rFonts w:cs="Times New Roman"/>
          <w:lang w:val="fr-CA"/>
        </w:rPr>
        <w:t xml:space="preserve"> </w:t>
      </w:r>
      <w:r w:rsidRPr="00832F07">
        <w:rPr>
          <w:rFonts w:cs="Times New Roman"/>
          <w:lang w:val="fr-CA"/>
        </w:rPr>
        <w:t xml:space="preserve">2002 entre le CEN du PRRF et le commissaire de la GRC stipule que </w:t>
      </w:r>
      <w:r w:rsidR="00795B2B">
        <w:rPr>
          <w:rFonts w:cs="Times New Roman"/>
          <w:lang w:val="fr-CA"/>
        </w:rPr>
        <w:t>« </w:t>
      </w:r>
      <w:r w:rsidR="002D7EAC">
        <w:rPr>
          <w:rFonts w:cs="Times New Roman"/>
          <w:lang w:val="fr-CA"/>
        </w:rPr>
        <w:t>[</w:t>
      </w:r>
      <w:r w:rsidRPr="00832F07">
        <w:rPr>
          <w:rFonts w:cs="Times New Roman"/>
          <w:lang w:val="fr-CA"/>
        </w:rPr>
        <w:t>l</w:t>
      </w:r>
      <w:r w:rsidR="002D7EAC">
        <w:rPr>
          <w:rFonts w:cs="Times New Roman"/>
          <w:lang w:val="fr-CA"/>
        </w:rPr>
        <w:t>]</w:t>
      </w:r>
      <w:r w:rsidRPr="00832F07">
        <w:rPr>
          <w:rFonts w:cs="Times New Roman"/>
          <w:lang w:val="fr-CA"/>
        </w:rPr>
        <w:t>es cadres de tous les niveaux pertinents</w:t>
      </w:r>
      <w:r w:rsidR="002D7EAC">
        <w:rPr>
          <w:rFonts w:cs="Times New Roman"/>
          <w:lang w:val="fr-CA"/>
        </w:rPr>
        <w:t xml:space="preserve"> [. . .] </w:t>
      </w:r>
      <w:r w:rsidRPr="00832F07">
        <w:rPr>
          <w:rFonts w:cs="Times New Roman"/>
          <w:lang w:val="fr-CA"/>
        </w:rPr>
        <w:t>reconnaîtront le rôle du PRRF [et] répondront aux propositions [</w:t>
      </w:r>
      <w:r w:rsidR="00795B2B">
        <w:rPr>
          <w:rFonts w:cs="Times New Roman"/>
          <w:lang w:val="fr-CA"/>
        </w:rPr>
        <w:t>. . .</w:t>
      </w:r>
      <w:r w:rsidRPr="00832F07">
        <w:rPr>
          <w:rFonts w:cs="Times New Roman"/>
          <w:lang w:val="fr-CA"/>
        </w:rPr>
        <w:t>] des RRF [</w:t>
      </w:r>
      <w:r w:rsidR="00795B2B">
        <w:rPr>
          <w:rFonts w:cs="Times New Roman"/>
          <w:lang w:val="fr-CA"/>
        </w:rPr>
        <w:t>. . .</w:t>
      </w:r>
      <w:r w:rsidRPr="00832F07">
        <w:rPr>
          <w:rFonts w:cs="Times New Roman"/>
          <w:lang w:val="fr-CA"/>
        </w:rPr>
        <w:t>] en temps opportun et de manière transparente</w:t>
      </w:r>
      <w:r w:rsidR="00795B2B">
        <w:rPr>
          <w:rFonts w:cs="Times New Roman"/>
          <w:lang w:val="fr-CA"/>
        </w:rPr>
        <w:t> »</w:t>
      </w:r>
      <w:r w:rsidRPr="00832F07">
        <w:rPr>
          <w:rFonts w:cs="Times New Roman"/>
          <w:lang w:val="fr-CA"/>
        </w:rPr>
        <w:t xml:space="preserve"> et que </w:t>
      </w:r>
      <w:r w:rsidR="00795B2B">
        <w:rPr>
          <w:rFonts w:cs="Times New Roman"/>
          <w:lang w:val="fr-CA"/>
        </w:rPr>
        <w:t>« </w:t>
      </w:r>
      <w:r w:rsidR="005C656D">
        <w:rPr>
          <w:rFonts w:cs="Times New Roman"/>
          <w:lang w:val="fr-CA"/>
        </w:rPr>
        <w:t>[</w:t>
      </w:r>
      <w:r w:rsidRPr="00832F07">
        <w:rPr>
          <w:rFonts w:cs="Times New Roman"/>
          <w:lang w:val="fr-CA"/>
        </w:rPr>
        <w:t>l</w:t>
      </w:r>
      <w:r w:rsidR="005C656D">
        <w:rPr>
          <w:rFonts w:cs="Times New Roman"/>
          <w:lang w:val="fr-CA"/>
        </w:rPr>
        <w:t>]</w:t>
      </w:r>
      <w:r w:rsidRPr="00832F07">
        <w:rPr>
          <w:rFonts w:cs="Times New Roman"/>
          <w:lang w:val="fr-CA"/>
        </w:rPr>
        <w:t>a direction et les intervenants du PRRF se consulteront de manière utile et opportune sur les initiatives spéciales touchant les ressources humaines et sur les travaux des comités des centres nationaux de décision</w:t>
      </w:r>
      <w:r w:rsidR="00795B2B">
        <w:rPr>
          <w:rFonts w:cs="Times New Roman"/>
          <w:lang w:val="fr-CA"/>
        </w:rPr>
        <w:t> »</w:t>
      </w:r>
      <w:r>
        <w:rPr>
          <w:rFonts w:cs="Times New Roman"/>
          <w:lang w:val="fr-CA"/>
        </w:rPr>
        <w:t xml:space="preserve"> (</w:t>
      </w:r>
      <w:r w:rsidRPr="00832F07">
        <w:rPr>
          <w:rFonts w:cs="Times New Roman"/>
          <w:lang w:val="fr-CA"/>
        </w:rPr>
        <w:t>Entente entre le commissaire et le PRRF, al.</w:t>
      </w:r>
      <w:r w:rsidR="00795B2B">
        <w:rPr>
          <w:rFonts w:cs="Times New Roman"/>
          <w:lang w:val="fr-CA"/>
        </w:rPr>
        <w:t xml:space="preserve"> </w:t>
      </w:r>
      <w:r w:rsidRPr="00832F07">
        <w:rPr>
          <w:rFonts w:cs="Times New Roman"/>
          <w:lang w:val="fr-CA"/>
        </w:rPr>
        <w:t>11a), b) et d)</w:t>
      </w:r>
      <w:r w:rsidR="007C0DC6">
        <w:rPr>
          <w:rFonts w:cs="Times New Roman"/>
          <w:lang w:val="fr-CA"/>
        </w:rPr>
        <w:t>,</w:t>
      </w:r>
      <w:r w:rsidR="005C656D">
        <w:rPr>
          <w:rFonts w:cs="Times New Roman"/>
          <w:lang w:val="fr-CA"/>
        </w:rPr>
        <w:t xml:space="preserve"> et art. 24</w:t>
      </w:r>
      <w:r w:rsidRPr="00832F07">
        <w:rPr>
          <w:rFonts w:cs="Times New Roman"/>
          <w:lang w:val="fr-CA"/>
        </w:rPr>
        <w:t xml:space="preserve">). Cette entente stipule en outre que </w:t>
      </w:r>
      <w:r w:rsidR="00795B2B">
        <w:rPr>
          <w:rFonts w:cs="Times New Roman"/>
          <w:lang w:val="fr-CA"/>
        </w:rPr>
        <w:t>« </w:t>
      </w:r>
      <w:r w:rsidRPr="00832F07">
        <w:rPr>
          <w:rFonts w:cs="Times New Roman"/>
          <w:lang w:val="fr-CA"/>
        </w:rPr>
        <w:t>[b]</w:t>
      </w:r>
      <w:proofErr w:type="spellStart"/>
      <w:r w:rsidRPr="00832F07">
        <w:rPr>
          <w:rFonts w:cs="Times New Roman"/>
          <w:lang w:val="fr-CA"/>
        </w:rPr>
        <w:t>ien</w:t>
      </w:r>
      <w:proofErr w:type="spellEnd"/>
      <w:r w:rsidRPr="00832F07">
        <w:rPr>
          <w:rFonts w:cs="Times New Roman"/>
          <w:lang w:val="fr-CA"/>
        </w:rPr>
        <w:t xml:space="preserve"> que les décisions finales incombent à la direction, la consultation favorisera la participation active des RRF</w:t>
      </w:r>
      <w:r w:rsidR="00795B2B">
        <w:rPr>
          <w:rFonts w:cs="Times New Roman"/>
          <w:lang w:val="fr-CA"/>
        </w:rPr>
        <w:t> »</w:t>
      </w:r>
      <w:r>
        <w:rPr>
          <w:rFonts w:cs="Times New Roman"/>
          <w:lang w:val="fr-CA"/>
        </w:rPr>
        <w:t xml:space="preserve"> (</w:t>
      </w:r>
      <w:r w:rsidRPr="00832F07">
        <w:rPr>
          <w:rFonts w:cs="Times New Roman"/>
          <w:lang w:val="fr-CA"/>
        </w:rPr>
        <w:t>art.</w:t>
      </w:r>
      <w:r w:rsidR="00795B2B">
        <w:rPr>
          <w:rFonts w:cs="Times New Roman"/>
          <w:lang w:val="fr-CA"/>
        </w:rPr>
        <w:t xml:space="preserve"> </w:t>
      </w:r>
      <w:r w:rsidRPr="00832F07">
        <w:rPr>
          <w:rFonts w:cs="Times New Roman"/>
          <w:lang w:val="fr-CA"/>
        </w:rPr>
        <w:t>24).</w:t>
      </w:r>
    </w:p>
    <w:p w:rsidR="007B74A6" w:rsidRPr="00832F07" w:rsidRDefault="007B74A6" w:rsidP="00795B2B">
      <w:pPr>
        <w:pStyle w:val="ParaNoNdepar-AltN"/>
        <w:tabs>
          <w:tab w:val="num" w:pos="2232"/>
        </w:tabs>
        <w:rPr>
          <w:rFonts w:cs="Times New Roman"/>
          <w:lang w:val="fr-CA"/>
        </w:rPr>
      </w:pPr>
      <w:r w:rsidRPr="00832F07">
        <w:rPr>
          <w:rFonts w:cs="Times New Roman"/>
          <w:lang w:val="fr-FR" w:eastAsia="en-CA"/>
        </w:rPr>
        <w:t xml:space="preserve">Même si nous devions considérer que l’arrêt </w:t>
      </w:r>
      <w:r w:rsidRPr="00832F07">
        <w:rPr>
          <w:rFonts w:cs="Times New Roman"/>
          <w:i/>
          <w:lang w:val="fr-FR" w:eastAsia="en-CA"/>
        </w:rPr>
        <w:t xml:space="preserve">Delisle </w:t>
      </w:r>
      <w:r w:rsidRPr="00832F07">
        <w:rPr>
          <w:rFonts w:cs="Times New Roman"/>
          <w:lang w:val="fr-FR" w:eastAsia="en-CA"/>
        </w:rPr>
        <w:t>est mal fondé et que l’al.</w:t>
      </w:r>
      <w:r w:rsidR="00795B2B">
        <w:rPr>
          <w:rFonts w:cs="Times New Roman"/>
          <w:lang w:val="fr-FR" w:eastAsia="en-CA"/>
        </w:rPr>
        <w:t xml:space="preserve"> </w:t>
      </w:r>
      <w:r w:rsidRPr="00832F07">
        <w:rPr>
          <w:rFonts w:cs="Times New Roman"/>
          <w:i/>
          <w:lang w:val="fr-FR" w:eastAsia="en-CA"/>
        </w:rPr>
        <w:t>e</w:t>
      </w:r>
      <w:r w:rsidRPr="00832F07">
        <w:rPr>
          <w:rFonts w:cs="Times New Roman"/>
          <w:lang w:val="fr-FR" w:eastAsia="en-CA"/>
        </w:rPr>
        <w:t xml:space="preserve">) de la définition de </w:t>
      </w:r>
      <w:r w:rsidR="00795B2B">
        <w:rPr>
          <w:rFonts w:cs="Times New Roman"/>
          <w:lang w:val="fr-FR" w:eastAsia="en-CA"/>
        </w:rPr>
        <w:t>« </w:t>
      </w:r>
      <w:r w:rsidRPr="00832F07">
        <w:rPr>
          <w:rFonts w:cs="Times New Roman"/>
          <w:lang w:val="fr-FR" w:eastAsia="en-CA"/>
        </w:rPr>
        <w:t>fonctionnaire</w:t>
      </w:r>
      <w:r w:rsidR="00795B2B">
        <w:rPr>
          <w:rFonts w:cs="Times New Roman"/>
          <w:lang w:val="fr-FR" w:eastAsia="en-CA"/>
        </w:rPr>
        <w:t> »</w:t>
      </w:r>
      <w:r w:rsidRPr="00832F07">
        <w:rPr>
          <w:rFonts w:cs="Times New Roman"/>
          <w:lang w:val="fr-FR" w:eastAsia="en-CA"/>
        </w:rPr>
        <w:t xml:space="preserve"> qui figure au par.</w:t>
      </w:r>
      <w:r w:rsidR="00795B2B">
        <w:rPr>
          <w:rFonts w:cs="Times New Roman"/>
          <w:lang w:val="fr-FR" w:eastAsia="en-CA"/>
        </w:rPr>
        <w:t xml:space="preserve"> </w:t>
      </w:r>
      <w:r w:rsidRPr="00832F07">
        <w:rPr>
          <w:rFonts w:cs="Times New Roman"/>
          <w:lang w:val="fr-FR" w:eastAsia="en-CA"/>
        </w:rPr>
        <w:t xml:space="preserve">2 de la première </w:t>
      </w:r>
      <w:r w:rsidRPr="00832F07">
        <w:rPr>
          <w:rFonts w:cs="Times New Roman"/>
          <w:i/>
          <w:lang w:val="fr-FR" w:eastAsia="en-CA"/>
        </w:rPr>
        <w:t xml:space="preserve">LRTFP </w:t>
      </w:r>
      <w:r w:rsidRPr="00832F07">
        <w:rPr>
          <w:rFonts w:cs="Times New Roman"/>
          <w:lang w:val="fr-FR" w:eastAsia="en-CA"/>
        </w:rPr>
        <w:t xml:space="preserve">dans sa rédaction en vigueur en 1967 avait pour objet de priver les membres de la GRC d’une véritable négociation collective, il ne s’ensuit pas pour autant qu’il s’agit toujours de l’objectif visé par la disposition équivalente de la </w:t>
      </w:r>
      <w:r w:rsidRPr="00832F07">
        <w:rPr>
          <w:rFonts w:cs="Times New Roman"/>
          <w:i/>
          <w:lang w:val="fr-FR" w:eastAsia="en-CA"/>
        </w:rPr>
        <w:t xml:space="preserve">LRTFP </w:t>
      </w:r>
      <w:r w:rsidRPr="00832F07">
        <w:rPr>
          <w:rFonts w:cs="Times New Roman"/>
          <w:lang w:val="fr-FR" w:eastAsia="en-CA"/>
        </w:rPr>
        <w:t>actuelle (al.</w:t>
      </w:r>
      <w:r w:rsidR="00795B2B">
        <w:rPr>
          <w:rFonts w:cs="Times New Roman"/>
          <w:lang w:val="fr-FR" w:eastAsia="en-CA"/>
        </w:rPr>
        <w:t xml:space="preserve"> </w:t>
      </w:r>
      <w:r w:rsidRPr="00832F07">
        <w:rPr>
          <w:rFonts w:cs="Times New Roman"/>
          <w:i/>
          <w:lang w:val="fr-FR" w:eastAsia="en-CA"/>
        </w:rPr>
        <w:t>d</w:t>
      </w:r>
      <w:r w:rsidRPr="00832F07">
        <w:rPr>
          <w:rFonts w:cs="Times New Roman"/>
          <w:lang w:val="fr-FR" w:eastAsia="en-CA"/>
        </w:rPr>
        <w:t xml:space="preserve">) de la définition de </w:t>
      </w:r>
      <w:r w:rsidR="00795B2B">
        <w:rPr>
          <w:rFonts w:cs="Times New Roman"/>
          <w:lang w:val="fr-FR" w:eastAsia="en-CA"/>
        </w:rPr>
        <w:t>« </w:t>
      </w:r>
      <w:r w:rsidRPr="00832F07">
        <w:rPr>
          <w:rFonts w:cs="Times New Roman"/>
          <w:lang w:val="fr-FR" w:eastAsia="en-CA"/>
        </w:rPr>
        <w:t>fonctionnaire</w:t>
      </w:r>
      <w:r w:rsidR="00795B2B">
        <w:rPr>
          <w:rFonts w:cs="Times New Roman"/>
          <w:lang w:val="fr-FR" w:eastAsia="en-CA"/>
        </w:rPr>
        <w:t> »</w:t>
      </w:r>
      <w:r w:rsidRPr="00832F07">
        <w:rPr>
          <w:rFonts w:cs="Times New Roman"/>
          <w:lang w:val="fr-FR" w:eastAsia="en-CA"/>
        </w:rPr>
        <w:t xml:space="preserve"> qui figure au par.</w:t>
      </w:r>
      <w:r w:rsidR="00795B2B">
        <w:rPr>
          <w:rFonts w:cs="Times New Roman"/>
          <w:lang w:val="fr-FR" w:eastAsia="en-CA"/>
        </w:rPr>
        <w:t xml:space="preserve"> </w:t>
      </w:r>
      <w:r w:rsidRPr="00832F07">
        <w:rPr>
          <w:rFonts w:cs="Times New Roman"/>
          <w:lang w:val="fr-FR" w:eastAsia="en-CA"/>
        </w:rPr>
        <w:t>2(1)).</w:t>
      </w:r>
      <w:r w:rsidRPr="00832F07">
        <w:rPr>
          <w:rFonts w:cs="Times New Roman"/>
          <w:i/>
          <w:lang w:val="fr-FR" w:eastAsia="en-CA"/>
        </w:rPr>
        <w:t xml:space="preserve"> </w:t>
      </w:r>
      <w:r w:rsidRPr="00832F07">
        <w:rPr>
          <w:rFonts w:cs="Times New Roman"/>
          <w:lang w:val="fr-CA"/>
        </w:rPr>
        <w:t xml:space="preserve">Le contexte législatif dans lequel cette exclusion s’applique a considérablement évolué depuis l’adoption de la première </w:t>
      </w:r>
      <w:r w:rsidRPr="00832F07">
        <w:rPr>
          <w:rFonts w:cs="Times New Roman"/>
          <w:i/>
          <w:lang w:val="fr-CA"/>
        </w:rPr>
        <w:t>LRTFP</w:t>
      </w:r>
      <w:r w:rsidRPr="00832F07">
        <w:rPr>
          <w:rFonts w:cs="Times New Roman"/>
          <w:lang w:val="fr-CA"/>
        </w:rPr>
        <w:t xml:space="preserve"> en 1967. Prétendre que le législateur ne peut jamais changer d’avis sur l’objet d’une loi ou d’une des dispositions de celle</w:t>
      </w:r>
      <w:r w:rsidR="00795B2B">
        <w:rPr>
          <w:rFonts w:cs="Times New Roman"/>
          <w:lang w:val="fr-CA"/>
        </w:rPr>
        <w:t>-</w:t>
      </w:r>
      <w:r w:rsidRPr="00832F07">
        <w:rPr>
          <w:rFonts w:cs="Times New Roman"/>
          <w:lang w:val="fr-CA"/>
        </w:rPr>
        <w:t>ci à la lumière des changements apportés au cadre dans lequel elle s’applique et soutenir que le législateur doit s’en tenir à jamais à l’objectif qu’il avait en tête au moment où la version originale de la loi a été édictée est une illusion qui fait abstraction de l’historique véritable de la disposition législative en cause.</w:t>
      </w:r>
    </w:p>
    <w:p w:rsidR="007B74A6" w:rsidRPr="00832F07" w:rsidRDefault="007B74A6" w:rsidP="00795B2B">
      <w:pPr>
        <w:pStyle w:val="ParaNoNdepar-AltN"/>
        <w:tabs>
          <w:tab w:val="num" w:pos="2232"/>
        </w:tabs>
        <w:rPr>
          <w:rFonts w:cs="Times New Roman"/>
          <w:lang w:val="fr-CA"/>
        </w:rPr>
      </w:pPr>
      <w:r w:rsidRPr="00832F07">
        <w:rPr>
          <w:rFonts w:cs="Times New Roman"/>
          <w:lang w:val="fr-CA"/>
        </w:rPr>
        <w:lastRenderedPageBreak/>
        <w:t xml:space="preserve">Lorsque la première </w:t>
      </w:r>
      <w:r w:rsidRPr="00832F07">
        <w:rPr>
          <w:rFonts w:cs="Times New Roman"/>
          <w:i/>
          <w:lang w:val="fr-CA"/>
        </w:rPr>
        <w:t>LRTFP</w:t>
      </w:r>
      <w:r w:rsidRPr="00832F07">
        <w:rPr>
          <w:rFonts w:cs="Times New Roman"/>
          <w:lang w:val="fr-CA"/>
        </w:rPr>
        <w:t xml:space="preserve"> a été adoptée en 1967, deux décrets interdisaient aux membres de la GRC de participer à des activités de négociation collective. Ultérieurement, ces décrets ont été abrogés et, en 1974, le Programme des représentants divisionnaires des relations fonctionnelles, le prédécesseur du PRRF, a été créé (</w:t>
      </w:r>
      <w:r w:rsidR="00D17DDA">
        <w:rPr>
          <w:rFonts w:cs="Times New Roman"/>
          <w:i/>
          <w:lang w:val="fr-CA"/>
        </w:rPr>
        <w:t>Consignes du C</w:t>
      </w:r>
      <w:r w:rsidRPr="00832F07">
        <w:rPr>
          <w:rFonts w:cs="Times New Roman"/>
          <w:i/>
          <w:lang w:val="fr-CA"/>
        </w:rPr>
        <w:t>ommissaire (Programme des représentants divisionnaires des relations fonctionnelles)</w:t>
      </w:r>
      <w:r w:rsidRPr="00832F07">
        <w:rPr>
          <w:rFonts w:cs="Times New Roman"/>
          <w:lang w:val="fr-CA"/>
        </w:rPr>
        <w:t xml:space="preserve">, </w:t>
      </w:r>
      <w:r w:rsidR="00D17DDA">
        <w:rPr>
          <w:rFonts w:cs="Times New Roman"/>
          <w:lang w:val="fr-CA"/>
        </w:rPr>
        <w:t>édi</w:t>
      </w:r>
      <w:r w:rsidR="00C10B80">
        <w:rPr>
          <w:rFonts w:cs="Times New Roman"/>
          <w:lang w:val="fr-CA"/>
        </w:rPr>
        <w:t>ctées</w:t>
      </w:r>
      <w:r w:rsidRPr="00832F07">
        <w:rPr>
          <w:rFonts w:cs="Times New Roman"/>
          <w:lang w:val="fr-CA"/>
        </w:rPr>
        <w:t xml:space="preserve"> en application du par.</w:t>
      </w:r>
      <w:r w:rsidR="00795B2B">
        <w:rPr>
          <w:rFonts w:cs="Times New Roman"/>
          <w:lang w:val="fr-CA"/>
        </w:rPr>
        <w:t xml:space="preserve"> </w:t>
      </w:r>
      <w:r w:rsidRPr="00832F07">
        <w:rPr>
          <w:rFonts w:cs="Times New Roman"/>
          <w:lang w:val="fr-CA"/>
        </w:rPr>
        <w:t xml:space="preserve">21(2) de la </w:t>
      </w:r>
      <w:r w:rsidRPr="00832F07">
        <w:rPr>
          <w:rFonts w:cs="Times New Roman"/>
          <w:i/>
          <w:lang w:val="fr-CA"/>
        </w:rPr>
        <w:t>Loi sur la Gendarmerie royale du Canada</w:t>
      </w:r>
      <w:r w:rsidRPr="00832F07">
        <w:rPr>
          <w:rFonts w:cs="Times New Roman"/>
          <w:lang w:val="fr-CA"/>
        </w:rPr>
        <w:t>, S.R.C. 1970, c.</w:t>
      </w:r>
      <w:r w:rsidR="00795B2B">
        <w:rPr>
          <w:rFonts w:cs="Times New Roman"/>
          <w:lang w:val="fr-CA"/>
        </w:rPr>
        <w:t xml:space="preserve"> </w:t>
      </w:r>
      <w:r w:rsidRPr="00832F07">
        <w:rPr>
          <w:rFonts w:cs="Times New Roman"/>
          <w:lang w:val="fr-CA"/>
        </w:rPr>
        <w:t>R</w:t>
      </w:r>
      <w:r w:rsidR="00795B2B">
        <w:rPr>
          <w:rFonts w:cs="Times New Roman"/>
          <w:lang w:val="fr-CA"/>
        </w:rPr>
        <w:t>-</w:t>
      </w:r>
      <w:r w:rsidRPr="00832F07">
        <w:rPr>
          <w:rFonts w:cs="Times New Roman"/>
          <w:lang w:val="fr-CA"/>
        </w:rPr>
        <w:t>9).</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En 2003, lorsque l’ancienne loi a été remplacée par la </w:t>
      </w:r>
      <w:r w:rsidRPr="00832F07">
        <w:rPr>
          <w:rFonts w:cs="Times New Roman"/>
          <w:i/>
          <w:lang w:val="fr-CA"/>
        </w:rPr>
        <w:t>LRT</w:t>
      </w:r>
      <w:r w:rsidR="00C10B80">
        <w:rPr>
          <w:rFonts w:cs="Times New Roman"/>
          <w:i/>
          <w:lang w:val="fr-CA"/>
        </w:rPr>
        <w:t>F</w:t>
      </w:r>
      <w:r w:rsidRPr="00832F07">
        <w:rPr>
          <w:rFonts w:cs="Times New Roman"/>
          <w:i/>
          <w:lang w:val="fr-CA"/>
        </w:rPr>
        <w:t>P</w:t>
      </w:r>
      <w:r w:rsidRPr="00832F07">
        <w:rPr>
          <w:rFonts w:cs="Times New Roman"/>
          <w:lang w:val="fr-CA"/>
        </w:rPr>
        <w:t xml:space="preserve"> actuelle, le régime de relations de travail de la GRC a été modifié de fond en comble par rapport à celui qui existait en 1967. En remplaçant l’art.</w:t>
      </w:r>
      <w:r w:rsidR="00795B2B">
        <w:rPr>
          <w:rFonts w:cs="Times New Roman"/>
          <w:lang w:val="fr-CA"/>
        </w:rPr>
        <w:t xml:space="preserve"> </w:t>
      </w:r>
      <w:r w:rsidRPr="00832F07">
        <w:rPr>
          <w:rFonts w:cs="Times New Roman"/>
          <w:lang w:val="fr-CA"/>
        </w:rPr>
        <w:t>2 de l’ancienne loi par le par.</w:t>
      </w:r>
      <w:r w:rsidR="00795B2B">
        <w:rPr>
          <w:rFonts w:cs="Times New Roman"/>
          <w:lang w:val="fr-CA"/>
        </w:rPr>
        <w:t xml:space="preserve"> </w:t>
      </w:r>
      <w:r w:rsidRPr="00832F07">
        <w:rPr>
          <w:rFonts w:cs="Times New Roman"/>
          <w:lang w:val="fr-CA"/>
        </w:rPr>
        <w:t>2(1) de la nouvelle loi, le législateur a réduit le nombre d’exceptions</w:t>
      </w:r>
      <w:r w:rsidR="00C10B80">
        <w:rPr>
          <w:rFonts w:cs="Times New Roman"/>
          <w:lang w:val="fr-CA"/>
        </w:rPr>
        <w:t xml:space="preserve"> </w:t>
      </w:r>
      <w:r w:rsidR="00C10B80" w:rsidRPr="00832F07">
        <w:rPr>
          <w:rFonts w:cs="Times New Roman"/>
          <w:lang w:val="fr-CA"/>
        </w:rPr>
        <w:t xml:space="preserve">prévues par la Loi, </w:t>
      </w:r>
      <w:r w:rsidRPr="00832F07">
        <w:rPr>
          <w:rFonts w:cs="Times New Roman"/>
          <w:lang w:val="fr-CA"/>
        </w:rPr>
        <w:t xml:space="preserve"> applicables au terme </w:t>
      </w:r>
      <w:r w:rsidR="00795B2B">
        <w:rPr>
          <w:rFonts w:cs="Times New Roman"/>
          <w:lang w:val="fr-CA"/>
        </w:rPr>
        <w:t>« </w:t>
      </w:r>
      <w:r w:rsidRPr="00832F07">
        <w:rPr>
          <w:rFonts w:cs="Times New Roman"/>
          <w:lang w:val="fr-CA"/>
        </w:rPr>
        <w:t>fonctionnaire</w:t>
      </w:r>
      <w:r w:rsidR="00795B2B">
        <w:rPr>
          <w:rFonts w:cs="Times New Roman"/>
          <w:lang w:val="fr-CA"/>
        </w:rPr>
        <w:t> »</w:t>
      </w:r>
      <w:r w:rsidR="00C10B80">
        <w:rPr>
          <w:rFonts w:cs="Times New Roman"/>
          <w:lang w:val="fr-CA"/>
        </w:rPr>
        <w:t>,</w:t>
      </w:r>
      <w:r w:rsidRPr="00832F07">
        <w:rPr>
          <w:rFonts w:cs="Times New Roman"/>
          <w:lang w:val="fr-CA"/>
        </w:rPr>
        <w:t xml:space="preserve"> élargissant ainsi les catégories de fonctionnaires assujettis au nouveau régime </w:t>
      </w:r>
      <w:r w:rsidR="00C10B80">
        <w:rPr>
          <w:rFonts w:cs="Times New Roman"/>
          <w:lang w:val="fr-CA"/>
        </w:rPr>
        <w:t xml:space="preserve">légal </w:t>
      </w:r>
      <w:r w:rsidRPr="00832F07">
        <w:rPr>
          <w:rFonts w:cs="Times New Roman"/>
          <w:lang w:val="fr-CA"/>
        </w:rPr>
        <w:t>de relations de travail. Il a toutefois maintenu l’exclusion des membres de la GRC. Il a pris cette décision en étant conscient du fait que cela n’avait pas pour effet de priver les membres de la GRC de leurs droits à la négociation collective. Ces individus étaient simplement assujettis à un régime de relations de travail parallèle</w:t>
      </w:r>
      <w:r w:rsidR="00795B2B">
        <w:rPr>
          <w:rFonts w:cs="Times New Roman"/>
          <w:lang w:val="fr-CA"/>
        </w:rPr>
        <w:t> :</w:t>
      </w:r>
      <w:r w:rsidRPr="00832F07">
        <w:rPr>
          <w:rFonts w:cs="Times New Roman"/>
          <w:lang w:val="fr-CA"/>
        </w:rPr>
        <w:t xml:space="preserve"> le PRRF.</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Dans l’arrêt </w:t>
      </w:r>
      <w:proofErr w:type="spellStart"/>
      <w:r w:rsidRPr="00832F07">
        <w:rPr>
          <w:rFonts w:cs="Times New Roman"/>
          <w:i/>
          <w:lang w:val="fr-CA"/>
        </w:rPr>
        <w:t>Big</w:t>
      </w:r>
      <w:proofErr w:type="spellEnd"/>
      <w:r w:rsidRPr="00832F07">
        <w:rPr>
          <w:rFonts w:cs="Times New Roman"/>
          <w:i/>
          <w:lang w:val="fr-CA"/>
        </w:rPr>
        <w:t xml:space="preserve"> M Drug </w:t>
      </w:r>
      <w:proofErr w:type="spellStart"/>
      <w:r w:rsidRPr="00832F07">
        <w:rPr>
          <w:rFonts w:cs="Times New Roman"/>
          <w:i/>
          <w:lang w:val="fr-CA"/>
        </w:rPr>
        <w:t>Mart</w:t>
      </w:r>
      <w:proofErr w:type="spellEnd"/>
      <w:r w:rsidRPr="00832F07">
        <w:rPr>
          <w:rFonts w:cs="Times New Roman"/>
          <w:lang w:val="fr-CA"/>
        </w:rPr>
        <w:t>, la Cour a écarté l’idée que des dispositions législatives pouvaient avoir un objet changeant pour répondre à l’évolution de la société (voir p.</w:t>
      </w:r>
      <w:r w:rsidR="00795B2B">
        <w:rPr>
          <w:rFonts w:cs="Times New Roman"/>
          <w:lang w:val="fr-CA"/>
        </w:rPr>
        <w:t xml:space="preserve"> </w:t>
      </w:r>
      <w:r w:rsidRPr="00832F07">
        <w:rPr>
          <w:rFonts w:cs="Times New Roman"/>
          <w:lang w:val="fr-CA"/>
        </w:rPr>
        <w:t>334</w:t>
      </w:r>
      <w:r w:rsidR="00795B2B">
        <w:rPr>
          <w:rFonts w:cs="Times New Roman"/>
          <w:lang w:val="fr-CA"/>
        </w:rPr>
        <w:t>-</w:t>
      </w:r>
      <w:r w:rsidRPr="00832F07">
        <w:rPr>
          <w:rFonts w:cs="Times New Roman"/>
          <w:lang w:val="fr-CA"/>
        </w:rPr>
        <w:t xml:space="preserve">336). Toutefois, dans le présent pourvoi, il ne s’agit pas d’une question d’évolution sociale, mais de modification législative. La raison qui a motivé et qui motive l’exclusion des membres de la GRC des deux versions de la </w:t>
      </w:r>
      <w:r w:rsidRPr="00832F07">
        <w:rPr>
          <w:rFonts w:cs="Times New Roman"/>
          <w:i/>
          <w:lang w:val="fr-CA"/>
        </w:rPr>
        <w:t>LRTFP</w:t>
      </w:r>
      <w:r w:rsidRPr="00832F07">
        <w:rPr>
          <w:rFonts w:cs="Times New Roman"/>
          <w:lang w:val="fr-CA"/>
        </w:rPr>
        <w:t xml:space="preserve"> a changé, comme le démontre l’évolution des dispositions </w:t>
      </w:r>
      <w:r w:rsidRPr="00832F07">
        <w:rPr>
          <w:rFonts w:cs="Times New Roman"/>
          <w:lang w:val="fr-CA"/>
        </w:rPr>
        <w:lastRenderedPageBreak/>
        <w:t xml:space="preserve">législatives et réglementaires pertinentes. Les modifications législatives ultérieures peuvent faire état d’un changement survenu dans l’objet que visait le législateur en adoptant de nouveau une disposition législative. C’est précisément ce qui s’est produit dans le cas qui nous occupe. Ignorer le contexte radicalement différent dans lequel l’exclusion des membres de la GRC a été adoptée de nouveau dans la </w:t>
      </w:r>
      <w:r w:rsidRPr="00832F07">
        <w:rPr>
          <w:rFonts w:cs="Times New Roman"/>
          <w:i/>
          <w:lang w:val="fr-CA"/>
        </w:rPr>
        <w:t>LRTFP</w:t>
      </w:r>
      <w:r w:rsidRPr="00832F07">
        <w:rPr>
          <w:rFonts w:cs="Times New Roman"/>
          <w:lang w:val="fr-CA"/>
        </w:rPr>
        <w:t xml:space="preserve"> actuelle revient à méconnaître la réalité législative actuelle.</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Le législateur a choisi de créer, pour la GRC, un modèle de relations de travail axé sur la collaboration. Cela visait à dissiper tout doute pouvant exister quant aux sentiments de loyauté partagée des membres ou quant à d’éventuelles interruptions dans les services essentiels offerts par ce corps policier national.</w:t>
      </w:r>
      <w:r w:rsidR="00795B2B">
        <w:rPr>
          <w:rFonts w:cs="Times New Roman"/>
          <w:lang w:val="fr-CA"/>
        </w:rPr>
        <w:t xml:space="preserve"> </w:t>
      </w:r>
      <w:r w:rsidRPr="00832F07">
        <w:rPr>
          <w:rFonts w:cs="Times New Roman"/>
          <w:lang w:val="fr-CA"/>
        </w:rPr>
        <w:t>Les juges majoritaires décident aujourd’hui qu’il est nécessaire de choisir un modèle de relations de travail contradictoire de type Wagner. Soit dit en tout respect, il y a lieu de faire preuve de déférence envers le législateur, en sa qualité de fournisseur du service essentiel offert par la GRC, pour ce qui est des moyens qu’il préconise pour assurer la stabilité et la fiabilité de ce service. Les tribunaux doivent être conscients de l’équilibre délicat que les régimes de relations de travail tentent de maintenir entre les employeurs, les employés et le public</w:t>
      </w:r>
      <w:r w:rsidR="0083647D">
        <w:rPr>
          <w:rFonts w:cs="Times New Roman"/>
          <w:lang w:val="fr-CA"/>
        </w:rPr>
        <w:t>,</w:t>
      </w:r>
      <w:r w:rsidRPr="00832F07">
        <w:rPr>
          <w:rFonts w:cs="Times New Roman"/>
          <w:lang w:val="fr-CA"/>
        </w:rPr>
        <w:t xml:space="preserve"> et de la nécessité de tenir compte des différents contextes en fonction desquels le législateur doit adapter les politiques en matière de relations de travail. Comme je l’ai déjà expliqué, l’al.</w:t>
      </w:r>
      <w:r w:rsidR="00795B2B">
        <w:rPr>
          <w:rFonts w:cs="Times New Roman"/>
          <w:lang w:val="fr-CA"/>
        </w:rPr>
        <w:t xml:space="preserve"> </w:t>
      </w:r>
      <w:r w:rsidRPr="00832F07">
        <w:rPr>
          <w:rFonts w:cs="Times New Roman"/>
          <w:i/>
          <w:lang w:val="fr-CA"/>
        </w:rPr>
        <w:t>d</w:t>
      </w:r>
      <w:r w:rsidRPr="00832F07">
        <w:rPr>
          <w:rFonts w:cs="Times New Roman"/>
          <w:lang w:val="fr-CA"/>
        </w:rPr>
        <w:t xml:space="preserve">) de la définition de </w:t>
      </w:r>
      <w:r w:rsidR="00795B2B">
        <w:rPr>
          <w:rFonts w:cs="Times New Roman"/>
          <w:lang w:val="fr-CA"/>
        </w:rPr>
        <w:t>« </w:t>
      </w:r>
      <w:r w:rsidRPr="00832F07">
        <w:rPr>
          <w:rFonts w:cs="Times New Roman"/>
          <w:lang w:val="fr-CA"/>
        </w:rPr>
        <w:t>fonctionnaire</w:t>
      </w:r>
      <w:r w:rsidR="00795B2B">
        <w:rPr>
          <w:rFonts w:cs="Times New Roman"/>
          <w:lang w:val="fr-CA"/>
        </w:rPr>
        <w:t xml:space="preserve"> » </w:t>
      </w:r>
      <w:r w:rsidRPr="00832F07">
        <w:rPr>
          <w:rFonts w:cs="Times New Roman"/>
          <w:lang w:val="fr-CA"/>
        </w:rPr>
        <w:t>qui figure au par.</w:t>
      </w:r>
      <w:r w:rsidR="00795B2B">
        <w:rPr>
          <w:rFonts w:cs="Times New Roman"/>
          <w:lang w:val="fr-CA"/>
        </w:rPr>
        <w:t xml:space="preserve"> </w:t>
      </w:r>
      <w:r w:rsidRPr="00832F07">
        <w:rPr>
          <w:rFonts w:cs="Times New Roman"/>
          <w:lang w:val="fr-CA"/>
        </w:rPr>
        <w:t xml:space="preserve">2(1) de la </w:t>
      </w:r>
      <w:r w:rsidRPr="00832F07">
        <w:rPr>
          <w:rFonts w:cs="Times New Roman"/>
          <w:i/>
          <w:lang w:val="fr-CA"/>
        </w:rPr>
        <w:t>LRTFP</w:t>
      </w:r>
      <w:r w:rsidRPr="00832F07">
        <w:rPr>
          <w:rFonts w:cs="Times New Roman"/>
          <w:lang w:val="fr-CA"/>
        </w:rPr>
        <w:t xml:space="preserve"> actuelle n’a pas pour effet de porter atteinte au droit constitutionnel des membres de la GRC à une véritable négociation collective</w:t>
      </w:r>
      <w:r w:rsidR="0083647D">
        <w:rPr>
          <w:rFonts w:cs="Times New Roman"/>
          <w:lang w:val="fr-CA"/>
        </w:rPr>
        <w:t>,</w:t>
      </w:r>
      <w:r w:rsidRPr="00832F07">
        <w:rPr>
          <w:rFonts w:cs="Times New Roman"/>
          <w:lang w:val="fr-CA"/>
        </w:rPr>
        <w:t xml:space="preserve"> et l’on ne devrait donc pas modifier les décisions de principe prises par le législateur.</w:t>
      </w:r>
    </w:p>
    <w:p w:rsidR="007B74A6" w:rsidRPr="00832F07" w:rsidRDefault="007B74A6" w:rsidP="00795B2B">
      <w:pPr>
        <w:pStyle w:val="ParaNoNdepar-AltN"/>
        <w:tabs>
          <w:tab w:val="num" w:pos="2232"/>
        </w:tabs>
        <w:rPr>
          <w:rFonts w:cs="Times New Roman"/>
          <w:lang w:val="fr-CA"/>
        </w:rPr>
      </w:pPr>
      <w:r w:rsidRPr="00832F07">
        <w:rPr>
          <w:rFonts w:cs="Times New Roman"/>
          <w:lang w:val="fr-CA"/>
        </w:rPr>
        <w:lastRenderedPageBreak/>
        <w:t>Les juges majoritaires affirment que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iCs/>
          <w:lang w:val="fr-CA"/>
        </w:rPr>
        <w:t>Charte</w:t>
      </w:r>
      <w:r w:rsidRPr="00832F07">
        <w:rPr>
          <w:rFonts w:cs="Times New Roman"/>
          <w:lang w:val="fr-CA"/>
        </w:rPr>
        <w:t xml:space="preserve"> n’impose pas le modèle Wagner en matière de relations de travail. En toute déférence, c’est toutefois précisément l’effet qu’a leur décision</w:t>
      </w:r>
      <w:r w:rsidR="00795B2B">
        <w:rPr>
          <w:rFonts w:cs="Times New Roman"/>
          <w:lang w:val="fr-CA"/>
        </w:rPr>
        <w:t> :</w:t>
      </w:r>
      <w:r w:rsidRPr="00832F07">
        <w:rPr>
          <w:rFonts w:cs="Times New Roman"/>
          <w:lang w:val="fr-CA"/>
        </w:rPr>
        <w:t xml:space="preserve"> elle oblige le gouvernement à s’en tenir à la </w:t>
      </w:r>
      <w:r w:rsidRPr="00832F07">
        <w:rPr>
          <w:rFonts w:cs="Times New Roman"/>
          <w:i/>
          <w:lang w:val="fr-CA"/>
        </w:rPr>
        <w:t>LRTFP</w:t>
      </w:r>
      <w:r w:rsidRPr="00832F07">
        <w:rPr>
          <w:rFonts w:cs="Times New Roman"/>
          <w:lang w:val="fr-CA"/>
        </w:rPr>
        <w:t xml:space="preserve"> actuelle ou encore à un régime qui possède essentiellement les mêmes caractéristiques. La constitutionnalisation de la liberté de choix et de l’indépendance démontre que les juges majoritaires créent l’illusion de souplesse en affirmant que </w:t>
      </w:r>
      <w:r w:rsidR="00795B2B">
        <w:rPr>
          <w:rFonts w:cs="Times New Roman"/>
          <w:lang w:val="fr-CA"/>
        </w:rPr>
        <w:t>« </w:t>
      </w:r>
      <w:r w:rsidRPr="00832F07">
        <w:rPr>
          <w:rFonts w:cs="Times New Roman"/>
          <w:lang w:val="fr-CA"/>
        </w:rPr>
        <w:t>le gouvernement fédéral peut toujours examiner d’autres processus de négociations collectives</w:t>
      </w:r>
      <w:r w:rsidR="00795B2B">
        <w:rPr>
          <w:rFonts w:cs="Times New Roman"/>
          <w:lang w:val="fr-CA"/>
        </w:rPr>
        <w:t> »</w:t>
      </w:r>
      <w:r w:rsidRPr="00832F07">
        <w:rPr>
          <w:rFonts w:cs="Times New Roman"/>
          <w:lang w:val="fr-CA"/>
        </w:rPr>
        <w:t xml:space="preserve"> pour la GRC</w:t>
      </w:r>
      <w:r>
        <w:rPr>
          <w:rFonts w:cs="Times New Roman"/>
          <w:lang w:val="fr-CA"/>
        </w:rPr>
        <w:t xml:space="preserve"> (</w:t>
      </w:r>
      <w:r w:rsidRPr="00832F07">
        <w:rPr>
          <w:rFonts w:cs="Times New Roman"/>
          <w:lang w:val="fr-CA"/>
        </w:rPr>
        <w:t>par.</w:t>
      </w:r>
      <w:r w:rsidR="00795B2B">
        <w:rPr>
          <w:rFonts w:cs="Times New Roman"/>
          <w:lang w:val="fr-CA"/>
        </w:rPr>
        <w:t xml:space="preserve"> </w:t>
      </w:r>
      <w:r w:rsidRPr="00832F07">
        <w:rPr>
          <w:rFonts w:cs="Times New Roman"/>
          <w:lang w:val="fr-CA"/>
        </w:rPr>
        <w:t xml:space="preserve">137). </w:t>
      </w:r>
    </w:p>
    <w:p w:rsidR="007B74A6" w:rsidRPr="00832F07" w:rsidRDefault="007B74A6" w:rsidP="00795B2B">
      <w:pPr>
        <w:pStyle w:val="ParaNoNdepar-AltN"/>
        <w:tabs>
          <w:tab w:val="num" w:pos="2232"/>
        </w:tabs>
        <w:rPr>
          <w:rFonts w:cs="Times New Roman"/>
          <w:lang w:val="fr-CA"/>
        </w:rPr>
      </w:pPr>
      <w:r w:rsidRPr="00832F07">
        <w:rPr>
          <w:rFonts w:cs="Times New Roman"/>
          <w:lang w:val="fr-CA"/>
        </w:rPr>
        <w:t xml:space="preserve">Les tribunaux ne sont pas les autorités les mieux placées pour se prononcer sur le régime de relations de travail qui convient le mieux à un groupe d’employés précis. À mon avis, le fait d’obliger les membres de la GRC à relever de la </w:t>
      </w:r>
      <w:r w:rsidRPr="00832F07">
        <w:rPr>
          <w:rFonts w:cs="Times New Roman"/>
          <w:i/>
          <w:lang w:val="fr-CA"/>
        </w:rPr>
        <w:t>LRTFP</w:t>
      </w:r>
      <w:r w:rsidRPr="00832F07">
        <w:rPr>
          <w:rFonts w:cs="Times New Roman"/>
          <w:lang w:val="fr-CA"/>
        </w:rPr>
        <w:t xml:space="preserve"> actuelle </w:t>
      </w:r>
      <w:r w:rsidR="00795B2B">
        <w:rPr>
          <w:rFonts w:cs="Times New Roman"/>
          <w:lang w:val="fr-CA"/>
        </w:rPr>
        <w:t>« </w:t>
      </w:r>
      <w:proofErr w:type="spellStart"/>
      <w:proofErr w:type="gramStart"/>
      <w:r w:rsidRPr="00832F07">
        <w:rPr>
          <w:rFonts w:cs="Times New Roman"/>
          <w:lang w:val="fr-CA"/>
        </w:rPr>
        <w:t>pén</w:t>
      </w:r>
      <w:proofErr w:type="spellEnd"/>
      <w:r w:rsidR="0083647D">
        <w:rPr>
          <w:rFonts w:cs="Times New Roman"/>
          <w:lang w:val="fr-CA"/>
        </w:rPr>
        <w:t>[</w:t>
      </w:r>
      <w:proofErr w:type="spellStart"/>
      <w:proofErr w:type="gramEnd"/>
      <w:r w:rsidRPr="00832F07">
        <w:rPr>
          <w:rFonts w:cs="Times New Roman"/>
          <w:lang w:val="fr-CA"/>
        </w:rPr>
        <w:t>ètre</w:t>
      </w:r>
      <w:proofErr w:type="spellEnd"/>
      <w:r w:rsidR="0083647D">
        <w:rPr>
          <w:rFonts w:cs="Times New Roman"/>
          <w:lang w:val="fr-CA"/>
        </w:rPr>
        <w:t>]</w:t>
      </w:r>
      <w:r w:rsidRPr="00832F07">
        <w:rPr>
          <w:rFonts w:cs="Times New Roman"/>
          <w:lang w:val="fr-CA"/>
        </w:rPr>
        <w:t xml:space="preserve"> dans le domaine complexe et politique des droits socio</w:t>
      </w:r>
      <w:r w:rsidR="00795B2B">
        <w:rPr>
          <w:rFonts w:cs="Times New Roman"/>
          <w:lang w:val="fr-CA"/>
        </w:rPr>
        <w:t>-</w:t>
      </w:r>
      <w:r w:rsidRPr="00832F07">
        <w:rPr>
          <w:rFonts w:cs="Times New Roman"/>
          <w:lang w:val="fr-CA"/>
        </w:rPr>
        <w:t xml:space="preserve">économiques et </w:t>
      </w:r>
      <w:proofErr w:type="spellStart"/>
      <w:r w:rsidRPr="00832F07">
        <w:rPr>
          <w:rFonts w:cs="Times New Roman"/>
          <w:lang w:val="fr-CA"/>
        </w:rPr>
        <w:t>emp</w:t>
      </w:r>
      <w:proofErr w:type="spellEnd"/>
      <w:r w:rsidR="0083647D">
        <w:rPr>
          <w:rFonts w:cs="Times New Roman"/>
          <w:lang w:val="fr-CA"/>
        </w:rPr>
        <w:t>[</w:t>
      </w:r>
      <w:proofErr w:type="spellStart"/>
      <w:r w:rsidRPr="00832F07">
        <w:rPr>
          <w:rFonts w:cs="Times New Roman"/>
          <w:lang w:val="fr-CA"/>
        </w:rPr>
        <w:t>iète</w:t>
      </w:r>
      <w:proofErr w:type="spellEnd"/>
      <w:r w:rsidR="0083647D">
        <w:rPr>
          <w:rFonts w:cs="Times New Roman"/>
          <w:lang w:val="fr-CA"/>
        </w:rPr>
        <w:t>]</w:t>
      </w:r>
      <w:r w:rsidRPr="00832F07">
        <w:rPr>
          <w:rFonts w:cs="Times New Roman"/>
          <w:lang w:val="fr-CA"/>
        </w:rPr>
        <w:t xml:space="preserve"> de façon injustifiée sur les prérogatives du Parlement</w:t>
      </w:r>
      <w:r w:rsidR="00795B2B">
        <w:rPr>
          <w:rFonts w:cs="Times New Roman"/>
          <w:lang w:val="fr-CA"/>
        </w:rPr>
        <w:t> »</w:t>
      </w:r>
      <w:r w:rsidRPr="00832F07">
        <w:rPr>
          <w:rFonts w:cs="Times New Roman"/>
          <w:lang w:val="fr-CA"/>
        </w:rPr>
        <w:t xml:space="preserve"> (</w:t>
      </w:r>
      <w:r w:rsidRPr="00832F07">
        <w:rPr>
          <w:rFonts w:cs="Times New Roman"/>
          <w:i/>
          <w:iCs/>
          <w:lang w:val="fr-CA"/>
        </w:rPr>
        <w:t>Delisle</w:t>
      </w:r>
      <w:r w:rsidRPr="00832F07">
        <w:rPr>
          <w:rFonts w:cs="Times New Roman"/>
          <w:lang w:val="fr-CA"/>
        </w:rPr>
        <w:t>, par.</w:t>
      </w:r>
      <w:r w:rsidR="00795B2B">
        <w:rPr>
          <w:rFonts w:cs="Times New Roman"/>
          <w:lang w:val="fr-CA"/>
        </w:rPr>
        <w:t xml:space="preserve"> </w:t>
      </w:r>
      <w:r w:rsidRPr="00832F07">
        <w:rPr>
          <w:rFonts w:cs="Times New Roman"/>
          <w:lang w:val="fr-CA"/>
        </w:rPr>
        <w:t xml:space="preserve">23). </w:t>
      </w:r>
    </w:p>
    <w:p w:rsidR="007B74A6" w:rsidRPr="00832F07" w:rsidRDefault="007B74A6" w:rsidP="00795B2B">
      <w:pPr>
        <w:pStyle w:val="Title3LevelTitre3Niveau"/>
        <w:numPr>
          <w:ilvl w:val="2"/>
          <w:numId w:val="36"/>
        </w:numPr>
        <w:spacing w:before="0"/>
        <w:ind w:left="1094" w:hanging="547"/>
        <w:jc w:val="both"/>
        <w:rPr>
          <w:rFonts w:cs="Times New Roman"/>
          <w:i/>
          <w:iCs/>
          <w:lang w:val="fr-CA"/>
        </w:rPr>
      </w:pPr>
      <w:r w:rsidRPr="00832F07">
        <w:rPr>
          <w:rFonts w:cs="Times New Roman"/>
          <w:lang w:val="fr-CA"/>
        </w:rPr>
        <w:t xml:space="preserve">Article premier de la </w:t>
      </w:r>
      <w:r w:rsidRPr="00832F07">
        <w:rPr>
          <w:rFonts w:cs="Times New Roman"/>
          <w:i/>
          <w:iCs/>
          <w:lang w:val="fr-CA"/>
        </w:rPr>
        <w:t>Charte</w:t>
      </w:r>
    </w:p>
    <w:p w:rsidR="007B74A6" w:rsidRPr="00832F07" w:rsidRDefault="007B74A6" w:rsidP="00795B2B">
      <w:pPr>
        <w:pStyle w:val="ParaNoNdepar-AltN"/>
        <w:rPr>
          <w:rFonts w:cs="Times New Roman"/>
          <w:lang w:val="fr-CA"/>
        </w:rPr>
      </w:pPr>
      <w:r w:rsidRPr="00832F07">
        <w:rPr>
          <w:rFonts w:cs="Times New Roman"/>
          <w:lang w:val="fr-CA"/>
        </w:rPr>
        <w:t xml:space="preserve">Bien que mes conclusions quant à la constitutionnalité à la fois de l’imposition du PRRF en tant que régime de relations de travail et de l’exclusion des membres de la GRC du champ d’application de la </w:t>
      </w:r>
      <w:r w:rsidRPr="00832F07">
        <w:rPr>
          <w:rFonts w:cs="Times New Roman"/>
          <w:i/>
          <w:lang w:val="fr-CA"/>
        </w:rPr>
        <w:t>LRTFP</w:t>
      </w:r>
      <w:r w:rsidRPr="00832F07">
        <w:rPr>
          <w:rFonts w:cs="Times New Roman"/>
          <w:lang w:val="fr-CA"/>
        </w:rPr>
        <w:t xml:space="preserve"> </w:t>
      </w:r>
      <w:r w:rsidR="00E55DA2">
        <w:rPr>
          <w:rFonts w:cs="Times New Roman"/>
          <w:lang w:val="fr-CA"/>
        </w:rPr>
        <w:t xml:space="preserve">actuelle </w:t>
      </w:r>
      <w:r w:rsidRPr="00832F07">
        <w:rPr>
          <w:rFonts w:cs="Times New Roman"/>
          <w:lang w:val="fr-CA"/>
        </w:rPr>
        <w:t xml:space="preserve">rend inutile l’examen de la question de savoir si les atteintes portées à la </w:t>
      </w:r>
      <w:r w:rsidRPr="00832F07">
        <w:rPr>
          <w:rFonts w:cs="Times New Roman"/>
          <w:i/>
          <w:lang w:val="fr-CA"/>
        </w:rPr>
        <w:t>Charte</w:t>
      </w:r>
      <w:r w:rsidRPr="00832F07">
        <w:rPr>
          <w:rFonts w:cs="Times New Roman"/>
          <w:lang w:val="fr-CA"/>
        </w:rPr>
        <w:t xml:space="preserve"> sont justifiées, je tiens malgré tout à formuler de brefs commentaires au sujet de l’analyse de l’article premier faite par les juges majoritaires.</w:t>
      </w:r>
    </w:p>
    <w:p w:rsidR="007B74A6" w:rsidRPr="00832F07" w:rsidRDefault="007B74A6" w:rsidP="00795B2B">
      <w:pPr>
        <w:pStyle w:val="ParaNoNdepar-AltN"/>
        <w:rPr>
          <w:rFonts w:cs="Times New Roman"/>
          <w:lang w:val="fr-CA"/>
        </w:rPr>
      </w:pPr>
      <w:r w:rsidRPr="00832F07">
        <w:rPr>
          <w:rFonts w:cs="Times New Roman"/>
          <w:lang w:val="fr-CA"/>
        </w:rPr>
        <w:lastRenderedPageBreak/>
        <w:t xml:space="preserve">Mes collègues admettent que, dans le cas qui nous occupe, l’objectif du gouvernement — soit le maintien d’une force policière indépendante et objective — est urgent et réel. Tout en admettant que le critère du lien rationnel </w:t>
      </w:r>
      <w:r w:rsidR="00E55DA2">
        <w:rPr>
          <w:rFonts w:cs="Times New Roman"/>
          <w:lang w:val="fr-CA"/>
        </w:rPr>
        <w:t>ne soit</w:t>
      </w:r>
      <w:r w:rsidRPr="00832F07">
        <w:rPr>
          <w:rFonts w:cs="Times New Roman"/>
          <w:lang w:val="fr-CA"/>
        </w:rPr>
        <w:t xml:space="preserve"> pas particulièrement exigeant, les juges majoritaires estiment qu’il n’a pas été respecté en l’espèce. Pour satisfaire à ce critère, le gouvernement doit démontrer qu’il est logique et raisonnable de conclure que la mesure contestée facilitera la réalisation de son objectif — et non qu’elle permettra inévitablement de le réaliser (</w:t>
      </w:r>
      <w:proofErr w:type="spellStart"/>
      <w:r w:rsidRPr="00832F07">
        <w:rPr>
          <w:rFonts w:cs="Times New Roman"/>
          <w:i/>
          <w:iCs/>
          <w:lang w:val="fr-CA"/>
        </w:rPr>
        <w:t>Little</w:t>
      </w:r>
      <w:proofErr w:type="spellEnd"/>
      <w:r w:rsidRPr="00832F07">
        <w:rPr>
          <w:rFonts w:cs="Times New Roman"/>
          <w:i/>
          <w:iCs/>
          <w:lang w:val="fr-CA"/>
        </w:rPr>
        <w:t xml:space="preserve"> </w:t>
      </w:r>
      <w:proofErr w:type="spellStart"/>
      <w:r w:rsidRPr="00832F07">
        <w:rPr>
          <w:rFonts w:cs="Times New Roman"/>
          <w:i/>
          <w:iCs/>
          <w:lang w:val="fr-CA"/>
        </w:rPr>
        <w:t>Sisters</w:t>
      </w:r>
      <w:proofErr w:type="spellEnd"/>
      <w:r w:rsidRPr="00832F07">
        <w:rPr>
          <w:rFonts w:cs="Times New Roman"/>
          <w:i/>
          <w:iCs/>
          <w:lang w:val="fr-CA"/>
        </w:rPr>
        <w:t xml:space="preserve"> Book and Art Emporium c. Canada (Ministre de la Justice)</w:t>
      </w:r>
      <w:r w:rsidRPr="00832F07">
        <w:rPr>
          <w:rFonts w:cs="Times New Roman"/>
          <w:lang w:val="fr-CA"/>
        </w:rPr>
        <w:t>, 2000</w:t>
      </w:r>
      <w:r w:rsidR="00795B2B">
        <w:rPr>
          <w:rFonts w:cs="Times New Roman"/>
          <w:lang w:val="fr-CA"/>
        </w:rPr>
        <w:t xml:space="preserve"> </w:t>
      </w:r>
      <w:r w:rsidRPr="00832F07">
        <w:rPr>
          <w:rFonts w:cs="Times New Roman"/>
          <w:lang w:val="fr-CA"/>
        </w:rPr>
        <w:t>CSC</w:t>
      </w:r>
      <w:r w:rsidR="00795B2B">
        <w:rPr>
          <w:rFonts w:cs="Times New Roman"/>
          <w:lang w:val="fr-CA"/>
        </w:rPr>
        <w:t xml:space="preserve"> </w:t>
      </w:r>
      <w:r w:rsidRPr="00832F07">
        <w:rPr>
          <w:rFonts w:cs="Times New Roman"/>
          <w:lang w:val="fr-CA"/>
        </w:rPr>
        <w:t>69, [2000]</w:t>
      </w:r>
      <w:r w:rsidR="00795B2B">
        <w:rPr>
          <w:rFonts w:cs="Times New Roman"/>
          <w:lang w:val="fr-CA"/>
        </w:rPr>
        <w:t xml:space="preserve"> </w:t>
      </w:r>
      <w:r w:rsidRPr="00832F07">
        <w:rPr>
          <w:rFonts w:cs="Times New Roman"/>
          <w:lang w:val="fr-CA"/>
        </w:rPr>
        <w:t>2</w:t>
      </w:r>
      <w:r w:rsidR="00795B2B">
        <w:rPr>
          <w:rFonts w:cs="Times New Roman"/>
          <w:lang w:val="fr-CA"/>
        </w:rPr>
        <w:t xml:space="preserve"> </w:t>
      </w:r>
      <w:r w:rsidRPr="00832F07">
        <w:rPr>
          <w:rFonts w:cs="Times New Roman"/>
          <w:lang w:val="fr-CA"/>
        </w:rPr>
        <w:t>R.C.S.</w:t>
      </w:r>
      <w:r w:rsidR="00795B2B">
        <w:rPr>
          <w:rFonts w:cs="Times New Roman"/>
          <w:lang w:val="fr-CA"/>
        </w:rPr>
        <w:t xml:space="preserve"> </w:t>
      </w:r>
      <w:r w:rsidRPr="00832F07">
        <w:rPr>
          <w:rFonts w:cs="Times New Roman"/>
          <w:lang w:val="fr-CA"/>
        </w:rPr>
        <w:t>1120, par.</w:t>
      </w:r>
      <w:r w:rsidR="00795B2B">
        <w:rPr>
          <w:rFonts w:cs="Times New Roman"/>
          <w:lang w:val="fr-CA"/>
        </w:rPr>
        <w:t xml:space="preserve"> </w:t>
      </w:r>
      <w:r w:rsidRPr="00832F07">
        <w:rPr>
          <w:rFonts w:cs="Times New Roman"/>
          <w:lang w:val="fr-CA"/>
        </w:rPr>
        <w:t xml:space="preserve">228; </w:t>
      </w:r>
      <w:proofErr w:type="spellStart"/>
      <w:r w:rsidRPr="00832F07">
        <w:rPr>
          <w:rFonts w:cs="Times New Roman"/>
          <w:i/>
          <w:iCs/>
          <w:lang w:val="fr-CA"/>
        </w:rPr>
        <w:t>Health</w:t>
      </w:r>
      <w:proofErr w:type="spellEnd"/>
      <w:r w:rsidRPr="00832F07">
        <w:rPr>
          <w:rFonts w:cs="Times New Roman"/>
          <w:i/>
          <w:iCs/>
          <w:lang w:val="fr-CA"/>
        </w:rPr>
        <w:t xml:space="preserve"> Services</w:t>
      </w:r>
      <w:r w:rsidRPr="00832F07">
        <w:rPr>
          <w:rFonts w:cs="Times New Roman"/>
          <w:lang w:val="fr-CA"/>
        </w:rPr>
        <w:t>, par.</w:t>
      </w:r>
      <w:r w:rsidR="00795B2B">
        <w:rPr>
          <w:rFonts w:cs="Times New Roman"/>
          <w:lang w:val="fr-CA"/>
        </w:rPr>
        <w:t xml:space="preserve"> </w:t>
      </w:r>
      <w:r w:rsidRPr="00832F07">
        <w:rPr>
          <w:rFonts w:cs="Times New Roman"/>
          <w:lang w:val="fr-CA"/>
        </w:rPr>
        <w:t>148</w:t>
      </w:r>
      <w:r w:rsidR="00795B2B">
        <w:rPr>
          <w:rFonts w:cs="Times New Roman"/>
          <w:lang w:val="fr-CA"/>
        </w:rPr>
        <w:t>-</w:t>
      </w:r>
      <w:r w:rsidRPr="00832F07">
        <w:rPr>
          <w:rFonts w:cs="Times New Roman"/>
          <w:lang w:val="fr-CA"/>
        </w:rPr>
        <w:t xml:space="preserve">149; </w:t>
      </w:r>
      <w:r w:rsidRPr="00832F07">
        <w:rPr>
          <w:rFonts w:cs="Times New Roman"/>
          <w:i/>
          <w:iCs/>
          <w:lang w:val="fr-CA"/>
        </w:rPr>
        <w:t>Canada (Procureur général) c. JTI</w:t>
      </w:r>
      <w:r w:rsidR="00795B2B">
        <w:rPr>
          <w:rFonts w:cs="Times New Roman"/>
          <w:i/>
          <w:iCs/>
          <w:lang w:val="fr-CA"/>
        </w:rPr>
        <w:t>-</w:t>
      </w:r>
      <w:r w:rsidRPr="00832F07">
        <w:rPr>
          <w:rFonts w:cs="Times New Roman"/>
          <w:i/>
          <w:iCs/>
          <w:lang w:val="fr-CA"/>
        </w:rPr>
        <w:t>Macdonald Corp.</w:t>
      </w:r>
      <w:r w:rsidRPr="00832F07">
        <w:rPr>
          <w:rFonts w:cs="Times New Roman"/>
          <w:lang w:val="fr-CA"/>
        </w:rPr>
        <w:t>, 2007</w:t>
      </w:r>
      <w:r w:rsidR="00795B2B">
        <w:rPr>
          <w:rFonts w:cs="Times New Roman"/>
          <w:lang w:val="fr-CA"/>
        </w:rPr>
        <w:t xml:space="preserve"> </w:t>
      </w:r>
      <w:r w:rsidRPr="00832F07">
        <w:rPr>
          <w:rFonts w:cs="Times New Roman"/>
          <w:lang w:val="fr-CA"/>
        </w:rPr>
        <w:t>CSC</w:t>
      </w:r>
      <w:r w:rsidR="00795B2B">
        <w:rPr>
          <w:rFonts w:cs="Times New Roman"/>
          <w:lang w:val="fr-CA"/>
        </w:rPr>
        <w:t xml:space="preserve"> </w:t>
      </w:r>
      <w:r w:rsidRPr="00832F07">
        <w:rPr>
          <w:rFonts w:cs="Times New Roman"/>
          <w:lang w:val="fr-CA"/>
        </w:rPr>
        <w:t>30, [2007] 2</w:t>
      </w:r>
      <w:r w:rsidR="00795B2B">
        <w:rPr>
          <w:rFonts w:cs="Times New Roman"/>
          <w:lang w:val="fr-CA"/>
        </w:rPr>
        <w:t xml:space="preserve"> </w:t>
      </w:r>
      <w:r w:rsidRPr="00832F07">
        <w:rPr>
          <w:rFonts w:cs="Times New Roman"/>
          <w:lang w:val="fr-CA"/>
        </w:rPr>
        <w:t>R.C.S.</w:t>
      </w:r>
      <w:r w:rsidR="00795B2B">
        <w:rPr>
          <w:rFonts w:cs="Times New Roman"/>
          <w:lang w:val="fr-CA"/>
        </w:rPr>
        <w:t xml:space="preserve"> </w:t>
      </w:r>
      <w:r w:rsidRPr="00832F07">
        <w:rPr>
          <w:rFonts w:cs="Times New Roman"/>
          <w:lang w:val="fr-CA"/>
        </w:rPr>
        <w:t>610, par.</w:t>
      </w:r>
      <w:r w:rsidR="00795B2B">
        <w:rPr>
          <w:rFonts w:cs="Times New Roman"/>
          <w:lang w:val="fr-CA"/>
        </w:rPr>
        <w:t xml:space="preserve"> </w:t>
      </w:r>
      <w:r w:rsidRPr="00832F07">
        <w:rPr>
          <w:rFonts w:cs="Times New Roman"/>
          <w:lang w:val="fr-CA"/>
        </w:rPr>
        <w:t>40).</w:t>
      </w:r>
    </w:p>
    <w:p w:rsidR="007B74A6" w:rsidRPr="00832F07" w:rsidRDefault="007B74A6" w:rsidP="00795B2B">
      <w:pPr>
        <w:pStyle w:val="ParaNoNdepar-AltN"/>
        <w:rPr>
          <w:rFonts w:cs="Times New Roman"/>
          <w:lang w:val="fr-CA"/>
        </w:rPr>
      </w:pPr>
      <w:r w:rsidRPr="00832F07">
        <w:rPr>
          <w:rFonts w:cs="Times New Roman"/>
          <w:lang w:val="fr-CA"/>
        </w:rPr>
        <w:t>Il n’est pas toujours nécessaire que l’État présente une preuve directe d’un lien entre la mesure attentatoire et l’objectif législatif. Dès lors qu’il a été démontré que la logique et la raison mèneraient à conclure que la mesure contestée aidera le gouvernement à attein</w:t>
      </w:r>
      <w:r w:rsidR="0083647D">
        <w:rPr>
          <w:rFonts w:cs="Times New Roman"/>
          <w:lang w:val="fr-CA"/>
        </w:rPr>
        <w:t>dre</w:t>
      </w:r>
      <w:r w:rsidRPr="00832F07">
        <w:rPr>
          <w:rFonts w:cs="Times New Roman"/>
          <w:lang w:val="fr-CA"/>
        </w:rPr>
        <w:t xml:space="preserve"> son objectif, il a été satisfait au critère du lien rationnel (</w:t>
      </w:r>
      <w:r w:rsidRPr="00832F07">
        <w:rPr>
          <w:rFonts w:cs="Times New Roman"/>
          <w:i/>
          <w:iCs/>
          <w:lang w:val="fr-CA"/>
        </w:rPr>
        <w:t>RJR</w:t>
      </w:r>
      <w:r w:rsidR="00795B2B">
        <w:rPr>
          <w:rFonts w:cs="Times New Roman"/>
          <w:i/>
          <w:iCs/>
          <w:lang w:val="fr-CA"/>
        </w:rPr>
        <w:t>-</w:t>
      </w:r>
      <w:proofErr w:type="spellStart"/>
      <w:r w:rsidRPr="00832F07">
        <w:rPr>
          <w:rFonts w:cs="Times New Roman"/>
          <w:i/>
          <w:iCs/>
          <w:lang w:val="fr-CA"/>
        </w:rPr>
        <w:t>MacDonald</w:t>
      </w:r>
      <w:proofErr w:type="spellEnd"/>
      <w:r w:rsidRPr="00832F07">
        <w:rPr>
          <w:rFonts w:cs="Times New Roman"/>
          <w:i/>
          <w:iCs/>
          <w:lang w:val="fr-CA"/>
        </w:rPr>
        <w:t xml:space="preserve"> Inc. c. Canada (Procureur général)</w:t>
      </w:r>
      <w:r w:rsidRPr="00832F07">
        <w:rPr>
          <w:rFonts w:cs="Times New Roman"/>
          <w:lang w:val="fr-CA"/>
        </w:rPr>
        <w:t>, [1995]</w:t>
      </w:r>
      <w:r w:rsidR="00795B2B">
        <w:rPr>
          <w:rFonts w:cs="Times New Roman"/>
          <w:lang w:val="fr-CA"/>
        </w:rPr>
        <w:t xml:space="preserve"> </w:t>
      </w:r>
      <w:r w:rsidRPr="00832F07">
        <w:rPr>
          <w:rFonts w:cs="Times New Roman"/>
          <w:lang w:val="fr-CA"/>
        </w:rPr>
        <w:t>3</w:t>
      </w:r>
      <w:r w:rsidR="00795B2B">
        <w:rPr>
          <w:rFonts w:cs="Times New Roman"/>
          <w:lang w:val="fr-CA"/>
        </w:rPr>
        <w:t xml:space="preserve"> </w:t>
      </w:r>
      <w:r w:rsidRPr="00832F07">
        <w:rPr>
          <w:rFonts w:cs="Times New Roman"/>
          <w:lang w:val="fr-CA"/>
        </w:rPr>
        <w:t>R.C.S.</w:t>
      </w:r>
      <w:r w:rsidR="00795B2B">
        <w:rPr>
          <w:rFonts w:cs="Times New Roman"/>
          <w:lang w:val="fr-CA"/>
        </w:rPr>
        <w:t xml:space="preserve"> </w:t>
      </w:r>
      <w:r w:rsidRPr="00832F07">
        <w:rPr>
          <w:rFonts w:cs="Times New Roman"/>
          <w:lang w:val="fr-CA"/>
        </w:rPr>
        <w:t>199, par.</w:t>
      </w:r>
      <w:r w:rsidR="00795B2B">
        <w:rPr>
          <w:rFonts w:cs="Times New Roman"/>
          <w:lang w:val="fr-CA"/>
        </w:rPr>
        <w:t xml:space="preserve"> </w:t>
      </w:r>
      <w:r w:rsidRPr="00832F07">
        <w:rPr>
          <w:rFonts w:cs="Times New Roman"/>
          <w:lang w:val="fr-CA"/>
        </w:rPr>
        <w:t xml:space="preserve">154; </w:t>
      </w:r>
      <w:r w:rsidRPr="00832F07">
        <w:rPr>
          <w:rFonts w:cs="Times New Roman"/>
          <w:i/>
          <w:lang w:val="fr-CA"/>
        </w:rPr>
        <w:t>Ross c. Conseil scolaire du district n</w:t>
      </w:r>
      <w:r w:rsidRPr="00832F07">
        <w:rPr>
          <w:rFonts w:cs="Times New Roman"/>
          <w:i/>
          <w:vertAlign w:val="superscript"/>
          <w:lang w:val="fr-CA"/>
        </w:rPr>
        <w:t>o</w:t>
      </w:r>
      <w:r w:rsidRPr="00832F07">
        <w:rPr>
          <w:rFonts w:cs="Times New Roman"/>
          <w:i/>
          <w:lang w:val="fr-CA"/>
        </w:rPr>
        <w:t xml:space="preserve"> 15 du Nouveau</w:t>
      </w:r>
      <w:r w:rsidR="00795B2B">
        <w:rPr>
          <w:rFonts w:cs="Times New Roman"/>
          <w:i/>
          <w:lang w:val="fr-CA"/>
        </w:rPr>
        <w:t>-</w:t>
      </w:r>
      <w:r w:rsidRPr="00832F07">
        <w:rPr>
          <w:rFonts w:cs="Times New Roman"/>
          <w:i/>
          <w:lang w:val="fr-CA"/>
        </w:rPr>
        <w:t>Brunswick</w:t>
      </w:r>
      <w:r w:rsidRPr="00832F07">
        <w:rPr>
          <w:rFonts w:cs="Times New Roman"/>
          <w:lang w:val="fr-CA"/>
        </w:rPr>
        <w:t>, [1996] 1 R.C.S. 825, par.</w:t>
      </w:r>
      <w:r w:rsidR="00795B2B">
        <w:rPr>
          <w:rFonts w:cs="Times New Roman"/>
          <w:lang w:val="fr-CA"/>
        </w:rPr>
        <w:t xml:space="preserve"> </w:t>
      </w:r>
      <w:r w:rsidRPr="00832F07">
        <w:rPr>
          <w:rFonts w:cs="Times New Roman"/>
          <w:lang w:val="fr-CA"/>
        </w:rPr>
        <w:t xml:space="preserve">101). Il est satisfait au critère peu exigeant dont il a été question précédemment si le législateur a mis en œuvre un modèle de relations de travail axé sur la collaboration de manière à ce que le pays soit doté d’un corps policier national neutre, stable et fiable. On peut raisonnablement conclure, comme je l’expliquerai plus loin, qu’une force policière qui est polarisée par des prises de position conflictuelles ou qui </w:t>
      </w:r>
      <w:r>
        <w:rPr>
          <w:rFonts w:cs="Times New Roman"/>
          <w:lang w:val="fr-CA"/>
        </w:rPr>
        <w:t xml:space="preserve">pourrait se voir ordonner de refuser d’intervenir </w:t>
      </w:r>
      <w:r w:rsidRPr="00832F07">
        <w:rPr>
          <w:rFonts w:cs="Times New Roman"/>
          <w:lang w:val="fr-CA"/>
        </w:rPr>
        <w:t>lorsque d’autres unités de négociation sont en grève sera jugée moins objective, neutre et fiable par le public.</w:t>
      </w:r>
    </w:p>
    <w:p w:rsidR="007B74A6" w:rsidRPr="00832F07" w:rsidRDefault="007B74A6" w:rsidP="00795B2B">
      <w:pPr>
        <w:pStyle w:val="ParaNoNdepar-AltN"/>
        <w:rPr>
          <w:rFonts w:cs="Times New Roman"/>
          <w:lang w:val="fr-CA"/>
        </w:rPr>
      </w:pPr>
      <w:r w:rsidRPr="00832F07">
        <w:rPr>
          <w:rFonts w:cs="Times New Roman"/>
          <w:lang w:val="fr-CA"/>
        </w:rPr>
        <w:lastRenderedPageBreak/>
        <w:t xml:space="preserve">Les juges majoritaires n’acceptent pas l’argument du procureur général du Canada suivant lequel les activités syndicales de la GRC risquent de perturber la stabilité de la force policière et de nuire à la perception qu’elle donne en tant qu’organisme neutre de maintien de l’ordre. Ils font toutefois abstraction du fait que les agents de la GRC jouent un rôle unique lorsqu’il est question de sécurité nationale, lorsque surviennent des situations d’urgence dans des communautés qui n’ont pas accès à d’autres corps policiers, de même que dans des situations lors desquelles ils peuvent être appelés à intervenir dans des conflits de travail opposant d’autres corps policiers avec leur direction. Bien que les forces policières provinciales syndiquées ne jouissent pas, en principe, du droit de grève, on a assisté à des incidents de grève du zèle et à des moyens de pression de la part de forces policières municipales à Hamilton, Toronto, Montréal et Québec. Certaines ont même eu recours à des débrayages illégaux. Le législateur a le droit de se préoccuper du fait qu’une association fondée sur un modèle contradictoire pourrait ordonner à ses membres de refuser d’intervenir dans certaines circonstances où il est question de conflits de travail d’autres groupes ou que le fait d’appartenir à de telles associations </w:t>
      </w:r>
      <w:r w:rsidR="0083647D">
        <w:rPr>
          <w:rFonts w:cs="Times New Roman"/>
          <w:lang w:val="fr-CA"/>
        </w:rPr>
        <w:t>pourrait amener l</w:t>
      </w:r>
      <w:r w:rsidRPr="00832F07">
        <w:rPr>
          <w:rFonts w:cs="Times New Roman"/>
          <w:lang w:val="fr-CA"/>
        </w:rPr>
        <w:t xml:space="preserve">es membres à hésiter à répondre à de telles situations de façon impartiale. </w:t>
      </w:r>
    </w:p>
    <w:p w:rsidR="007B74A6" w:rsidRPr="00832F07" w:rsidRDefault="007B74A6" w:rsidP="00795B2B">
      <w:pPr>
        <w:pStyle w:val="ParaNoNdepar-AltN"/>
        <w:rPr>
          <w:rFonts w:cs="Times New Roman"/>
          <w:lang w:val="fr-CA"/>
        </w:rPr>
      </w:pPr>
      <w:r w:rsidRPr="00832F07">
        <w:rPr>
          <w:rFonts w:cs="Times New Roman"/>
          <w:lang w:val="fr-CA"/>
        </w:rPr>
        <w:t xml:space="preserve">Pour examiner la question de savoir si le PRRF porte atteinte de façon minimale à la liberté d’association, les juges majoritaires partent là encore du principe qu’un régime de relations de travail qui n’est pas contradictoire ne fait pas partie des solutions de rechange raisonnables qui satisfont à la norme de l’atteinte minimale. Tout en reconnaissant que le gouvernement n’est pas tenu de prendre le moyen le moins attentatoire possible pour atteindre son objectif, les juges majoritaires </w:t>
      </w:r>
      <w:r w:rsidRPr="00832F07">
        <w:rPr>
          <w:rFonts w:cs="Times New Roman"/>
          <w:lang w:val="fr-CA"/>
        </w:rPr>
        <w:lastRenderedPageBreak/>
        <w:t>concluent que le PRRF est inadéquat par rapport aux régimes de relation</w:t>
      </w:r>
      <w:r w:rsidR="00E55DA2">
        <w:rPr>
          <w:rFonts w:cs="Times New Roman"/>
          <w:lang w:val="fr-CA"/>
        </w:rPr>
        <w:t>s</w:t>
      </w:r>
      <w:r w:rsidRPr="00832F07">
        <w:rPr>
          <w:rFonts w:cs="Times New Roman"/>
          <w:lang w:val="fr-CA"/>
        </w:rPr>
        <w:t xml:space="preserve"> de travail contradictoires applicables dans le cas de certaines forces policières provinciales. Là encore, les juges majoritaires refusent de reconnaître à quel point la GRC est différente des autres forces policières canadiennes.</w:t>
      </w:r>
    </w:p>
    <w:p w:rsidR="007B74A6" w:rsidRPr="00832F07" w:rsidRDefault="007B74A6" w:rsidP="00795B2B">
      <w:pPr>
        <w:pStyle w:val="ParaNoNdepar-AltN"/>
        <w:adjustRightInd w:val="0"/>
        <w:textAlignment w:val="baseline"/>
        <w:rPr>
          <w:rFonts w:cs="Times New Roman"/>
          <w:lang w:val="fr-CA"/>
        </w:rPr>
      </w:pPr>
      <w:r w:rsidRPr="00832F07">
        <w:rPr>
          <w:rFonts w:cs="Times New Roman"/>
          <w:lang w:val="fr-CA"/>
        </w:rPr>
        <w:t>Les juges majoritaires expliquent que</w:t>
      </w:r>
    </w:p>
    <w:p w:rsidR="007B74A6" w:rsidRPr="00832F07" w:rsidRDefault="007B74A6" w:rsidP="00795B2B">
      <w:pPr>
        <w:pStyle w:val="Citation-AltC"/>
        <w:ind w:hanging="1166"/>
        <w:rPr>
          <w:lang w:val="fr-CA"/>
        </w:rPr>
      </w:pPr>
      <w:r>
        <w:rPr>
          <w:lang w:val="fr-CA"/>
        </w:rPr>
        <w:tab/>
      </w:r>
      <w:proofErr w:type="gramStart"/>
      <w:r w:rsidRPr="00832F07">
        <w:rPr>
          <w:lang w:val="fr-CA"/>
        </w:rPr>
        <w:t>dans</w:t>
      </w:r>
      <w:proofErr w:type="gramEnd"/>
      <w:r w:rsidRPr="00832F07">
        <w:rPr>
          <w:lang w:val="fr-CA"/>
        </w:rPr>
        <w:t xml:space="preserve"> des régimes comme celui de la </w:t>
      </w:r>
      <w:r w:rsidRPr="00832F07">
        <w:rPr>
          <w:i/>
          <w:lang w:val="fr-CA"/>
        </w:rPr>
        <w:t>LRTFP</w:t>
      </w:r>
      <w:r w:rsidRPr="00832F07">
        <w:rPr>
          <w:lang w:val="fr-CA"/>
        </w:rPr>
        <w:t xml:space="preserve"> actuelle, les préoccupations quant à l’indépendance des membres de la Force pourraient facilement être examinées au moment de déterminer l’étendue de l’unité de négociation — sans qu’une exclusion totale </w:t>
      </w:r>
      <w:r w:rsidR="0083647D">
        <w:rPr>
          <w:lang w:val="fr-CA"/>
        </w:rPr>
        <w:t xml:space="preserve">ne </w:t>
      </w:r>
      <w:r w:rsidRPr="00832F07">
        <w:rPr>
          <w:lang w:val="fr-CA"/>
        </w:rPr>
        <w:t>soit nécessaire. Par exemple, l’art.</w:t>
      </w:r>
      <w:r w:rsidR="00795B2B">
        <w:rPr>
          <w:lang w:val="fr-CA"/>
        </w:rPr>
        <w:t xml:space="preserve"> </w:t>
      </w:r>
      <w:r w:rsidRPr="00832F07">
        <w:rPr>
          <w:lang w:val="fr-CA"/>
        </w:rPr>
        <w:t xml:space="preserve">4 du </w:t>
      </w:r>
      <w:r w:rsidRPr="00832F07">
        <w:rPr>
          <w:i/>
          <w:lang w:val="fr-CA"/>
        </w:rPr>
        <w:t>Code du travail</w:t>
      </w:r>
      <w:r w:rsidRPr="00832F07">
        <w:rPr>
          <w:lang w:val="fr-CA"/>
        </w:rPr>
        <w:t>,</w:t>
      </w:r>
      <w:r w:rsidRPr="00832F07">
        <w:rPr>
          <w:i/>
          <w:lang w:val="fr-CA"/>
        </w:rPr>
        <w:t xml:space="preserve"> </w:t>
      </w:r>
      <w:r>
        <w:rPr>
          <w:lang w:val="fr-CA"/>
        </w:rPr>
        <w:t>R</w:t>
      </w:r>
      <w:r w:rsidRPr="00832F07">
        <w:rPr>
          <w:lang w:val="fr-CA"/>
        </w:rPr>
        <w:t>LRQ</w:t>
      </w:r>
      <w:r w:rsidR="0083647D">
        <w:rPr>
          <w:lang w:val="fr-CA"/>
        </w:rPr>
        <w:t>,</w:t>
      </w:r>
      <w:r w:rsidRPr="00832F07">
        <w:rPr>
          <w:lang w:val="fr-CA"/>
        </w:rPr>
        <w:t xml:space="preserve"> c.</w:t>
      </w:r>
      <w:r w:rsidR="00795B2B">
        <w:rPr>
          <w:lang w:val="fr-CA"/>
        </w:rPr>
        <w:t xml:space="preserve"> </w:t>
      </w:r>
      <w:r w:rsidRPr="00832F07">
        <w:rPr>
          <w:lang w:val="fr-CA"/>
        </w:rPr>
        <w:t>C</w:t>
      </w:r>
      <w:r w:rsidR="00795B2B">
        <w:rPr>
          <w:lang w:val="fr-CA"/>
        </w:rPr>
        <w:t>-</w:t>
      </w:r>
      <w:r w:rsidRPr="00832F07">
        <w:rPr>
          <w:lang w:val="fr-CA"/>
        </w:rPr>
        <w:t>27, impose des restrictions en matière d’appartenance et d’affiliation aux associations de policiers municipaux. [</w:t>
      </w:r>
      <w:proofErr w:type="gramStart"/>
      <w:r w:rsidRPr="00832F07">
        <w:rPr>
          <w:lang w:val="fr-CA"/>
        </w:rPr>
        <w:t>par</w:t>
      </w:r>
      <w:proofErr w:type="gramEnd"/>
      <w:r w:rsidRPr="00832F07">
        <w:rPr>
          <w:lang w:val="fr-CA"/>
        </w:rPr>
        <w:t>.</w:t>
      </w:r>
      <w:r w:rsidR="00795B2B">
        <w:rPr>
          <w:lang w:val="fr-CA"/>
        </w:rPr>
        <w:t xml:space="preserve"> </w:t>
      </w:r>
      <w:r w:rsidRPr="00832F07">
        <w:rPr>
          <w:lang w:val="fr-CA"/>
        </w:rPr>
        <w:t>152]</w:t>
      </w:r>
    </w:p>
    <w:p w:rsidR="007B74A6" w:rsidRPr="00832F07" w:rsidRDefault="007B74A6" w:rsidP="00795B2B">
      <w:pPr>
        <w:pStyle w:val="ParaNoNdepar-AltN"/>
        <w:numPr>
          <w:ilvl w:val="0"/>
          <w:numId w:val="0"/>
        </w:numPr>
        <w:rPr>
          <w:rFonts w:cs="Times New Roman"/>
          <w:lang w:val="fr-CA"/>
        </w:rPr>
      </w:pPr>
      <w:r w:rsidRPr="00832F07">
        <w:rPr>
          <w:rFonts w:cs="Times New Roman"/>
          <w:lang w:val="fr-CA"/>
        </w:rPr>
        <w:t xml:space="preserve">Soit dit en tout respect, j’estime que l’étendue de l’unité de négociation n’a rien à voir avec la question. L’existence d’un corps policier national syndiqué est incompatible avec l’objectif urgent et réel visé par le gouvernement, comme tout modèle de négociation collective contradictoire de type Wagner, et risque de compromettre l’objectivité et l’indépendance de notre service de police national, et ce, peu importe que l’unité de négociation soit composée uniquement de membres de la GRC ou non. </w:t>
      </w:r>
    </w:p>
    <w:p w:rsidR="007B74A6" w:rsidRPr="00832F07" w:rsidRDefault="007B74A6" w:rsidP="00795B2B">
      <w:pPr>
        <w:pStyle w:val="ParaNoNdepar-AltN"/>
        <w:rPr>
          <w:rFonts w:cs="Times New Roman"/>
          <w:lang w:val="fr-CA"/>
        </w:rPr>
      </w:pPr>
      <w:r w:rsidRPr="00832F07">
        <w:rPr>
          <w:rFonts w:cs="Times New Roman"/>
          <w:lang w:val="fr-CA"/>
        </w:rPr>
        <w:t xml:space="preserve">Comme le juge </w:t>
      </w:r>
      <w:proofErr w:type="spellStart"/>
      <w:r w:rsidRPr="00832F07">
        <w:rPr>
          <w:rFonts w:cs="Times New Roman"/>
          <w:lang w:val="fr-CA"/>
        </w:rPr>
        <w:t>LeBel</w:t>
      </w:r>
      <w:proofErr w:type="spellEnd"/>
      <w:r w:rsidRPr="00832F07">
        <w:rPr>
          <w:rFonts w:cs="Times New Roman"/>
          <w:lang w:val="fr-CA"/>
        </w:rPr>
        <w:t xml:space="preserve"> l’a reconnu au par.</w:t>
      </w:r>
      <w:r w:rsidR="00795B2B">
        <w:rPr>
          <w:rFonts w:cs="Times New Roman"/>
          <w:lang w:val="fr-CA"/>
        </w:rPr>
        <w:t xml:space="preserve"> </w:t>
      </w:r>
      <w:r w:rsidRPr="00832F07">
        <w:rPr>
          <w:rFonts w:cs="Times New Roman"/>
          <w:lang w:val="fr-CA"/>
        </w:rPr>
        <w:t xml:space="preserve">275 de l’arrêt </w:t>
      </w:r>
      <w:proofErr w:type="spellStart"/>
      <w:r w:rsidRPr="00832F07">
        <w:rPr>
          <w:rFonts w:cs="Times New Roman"/>
          <w:i/>
          <w:iCs/>
          <w:lang w:val="fr-CA"/>
        </w:rPr>
        <w:t>Advance</w:t>
      </w:r>
      <w:proofErr w:type="spellEnd"/>
      <w:r w:rsidRPr="00832F07">
        <w:rPr>
          <w:rFonts w:cs="Times New Roman"/>
          <w:i/>
          <w:iCs/>
          <w:lang w:val="fr-CA"/>
        </w:rPr>
        <w:t xml:space="preserve"> </w:t>
      </w:r>
      <w:proofErr w:type="spellStart"/>
      <w:r w:rsidRPr="00832F07">
        <w:rPr>
          <w:rFonts w:cs="Times New Roman"/>
          <w:i/>
          <w:iCs/>
          <w:lang w:val="fr-CA"/>
        </w:rPr>
        <w:t>Cutting</w:t>
      </w:r>
      <w:proofErr w:type="spellEnd"/>
      <w:r w:rsidRPr="00832F07">
        <w:rPr>
          <w:rFonts w:cs="Times New Roman"/>
          <w:lang w:val="fr-CA"/>
        </w:rPr>
        <w:t xml:space="preserve">, </w:t>
      </w:r>
      <w:r w:rsidR="00795B2B">
        <w:rPr>
          <w:rFonts w:cs="Times New Roman"/>
          <w:lang w:val="fr-CA"/>
        </w:rPr>
        <w:t>« </w:t>
      </w:r>
      <w:r w:rsidRPr="00832F07">
        <w:rPr>
          <w:rFonts w:cs="Times New Roman"/>
          <w:lang w:val="fr-CA"/>
        </w:rPr>
        <w:t>les différences entre les mesures législatives visant des problèmes semblables font partie de la nature même de l’expérience constitutionnelle canadienne</w:t>
      </w:r>
      <w:r w:rsidR="00795B2B">
        <w:rPr>
          <w:rFonts w:cs="Times New Roman"/>
          <w:lang w:val="fr-CA"/>
        </w:rPr>
        <w:t> »</w:t>
      </w:r>
      <w:r w:rsidRPr="00832F07">
        <w:rPr>
          <w:rFonts w:cs="Times New Roman"/>
          <w:lang w:val="fr-CA"/>
        </w:rPr>
        <w:t xml:space="preserve">. Le juge </w:t>
      </w:r>
      <w:proofErr w:type="spellStart"/>
      <w:r w:rsidRPr="00832F07">
        <w:rPr>
          <w:rFonts w:cs="Times New Roman"/>
          <w:lang w:val="fr-CA"/>
        </w:rPr>
        <w:t>LeBel</w:t>
      </w:r>
      <w:proofErr w:type="spellEnd"/>
      <w:r w:rsidRPr="00832F07">
        <w:rPr>
          <w:rFonts w:cs="Times New Roman"/>
          <w:lang w:val="fr-CA"/>
        </w:rPr>
        <w:t xml:space="preserve"> a en outre fait observer que, </w:t>
      </w:r>
      <w:r w:rsidR="00795B2B">
        <w:rPr>
          <w:rFonts w:cs="Times New Roman"/>
          <w:lang w:val="fr-CA"/>
        </w:rPr>
        <w:t>« </w:t>
      </w:r>
      <w:r w:rsidRPr="00832F07">
        <w:rPr>
          <w:rFonts w:cs="Times New Roman"/>
          <w:lang w:val="fr-CA"/>
        </w:rPr>
        <w:t>[d]ans un système de partage des compétences législatives</w:t>
      </w:r>
      <w:r w:rsidR="00795B2B">
        <w:rPr>
          <w:rFonts w:cs="Times New Roman"/>
          <w:lang w:val="fr-CA"/>
        </w:rPr>
        <w:t> »</w:t>
      </w:r>
      <w:r w:rsidRPr="00832F07">
        <w:rPr>
          <w:rFonts w:cs="Times New Roman"/>
          <w:lang w:val="fr-CA"/>
        </w:rPr>
        <w:t xml:space="preserve"> où les membres de la fédération ont vécu des expériences culturelles et historiques différentes, </w:t>
      </w:r>
      <w:r w:rsidR="00795B2B">
        <w:rPr>
          <w:rFonts w:cs="Times New Roman"/>
          <w:lang w:val="fr-CA"/>
        </w:rPr>
        <w:t>« </w:t>
      </w:r>
      <w:r w:rsidRPr="00832F07">
        <w:rPr>
          <w:rFonts w:cs="Times New Roman"/>
          <w:lang w:val="fr-CA"/>
        </w:rPr>
        <w:t xml:space="preserve">le principe du fédéralisme signifie que l’application de la </w:t>
      </w:r>
      <w:r w:rsidRPr="00832F07">
        <w:rPr>
          <w:rFonts w:cs="Times New Roman"/>
          <w:i/>
          <w:lang w:val="fr-CA"/>
        </w:rPr>
        <w:t>Charte</w:t>
      </w:r>
      <w:r w:rsidRPr="00832F07">
        <w:rPr>
          <w:rFonts w:cs="Times New Roman"/>
          <w:lang w:val="fr-CA"/>
        </w:rPr>
        <w:t xml:space="preserve"> dans les domaines de compétence provinciale n’équivaut pas à un appel à </w:t>
      </w:r>
      <w:r w:rsidRPr="00832F07">
        <w:rPr>
          <w:rFonts w:cs="Times New Roman"/>
          <w:lang w:val="fr-CA"/>
        </w:rPr>
        <w:lastRenderedPageBreak/>
        <w:t>l’uniformité des lois</w:t>
      </w:r>
      <w:r w:rsidR="00795B2B">
        <w:rPr>
          <w:rFonts w:cs="Times New Roman"/>
          <w:lang w:val="fr-CA"/>
        </w:rPr>
        <w:t> »</w:t>
      </w:r>
      <w:r w:rsidRPr="00832F07">
        <w:rPr>
          <w:rFonts w:cs="Times New Roman"/>
          <w:lang w:val="fr-CA"/>
        </w:rPr>
        <w:t xml:space="preserve"> (</w:t>
      </w:r>
      <w:r w:rsidRPr="00832F07">
        <w:rPr>
          <w:rFonts w:cs="Times New Roman"/>
          <w:i/>
          <w:lang w:val="fr-CA"/>
        </w:rPr>
        <w:t>ibid.</w:t>
      </w:r>
      <w:r w:rsidRPr="00832F07">
        <w:rPr>
          <w:rFonts w:cs="Times New Roman"/>
          <w:lang w:val="fr-CA"/>
        </w:rPr>
        <w:t>). Ce raisonnement vaut également pour les choix politique</w:t>
      </w:r>
      <w:r w:rsidR="0083647D">
        <w:rPr>
          <w:rFonts w:cs="Times New Roman"/>
          <w:lang w:val="fr-CA"/>
        </w:rPr>
        <w:t>s</w:t>
      </w:r>
      <w:r w:rsidRPr="00832F07">
        <w:rPr>
          <w:rFonts w:cs="Times New Roman"/>
          <w:lang w:val="fr-CA"/>
        </w:rPr>
        <w:t xml:space="preserve"> du législateur</w:t>
      </w:r>
      <w:r w:rsidR="0083647D">
        <w:rPr>
          <w:rFonts w:cs="Times New Roman"/>
          <w:lang w:val="fr-CA"/>
        </w:rPr>
        <w:t>,</w:t>
      </w:r>
      <w:r w:rsidRPr="00832F07">
        <w:rPr>
          <w:rFonts w:cs="Times New Roman"/>
          <w:lang w:val="fr-CA"/>
        </w:rPr>
        <w:t xml:space="preserve"> qui doit tenir compte non seulement des enjeux locaux, mais également des enjeux plus larges, comme la sécurité nationale.</w:t>
      </w:r>
    </w:p>
    <w:p w:rsidR="007B74A6" w:rsidRPr="00832F07" w:rsidRDefault="007B74A6" w:rsidP="00795B2B">
      <w:pPr>
        <w:pStyle w:val="ParaNoNdepar-AltN"/>
        <w:adjustRightInd w:val="0"/>
        <w:textAlignment w:val="baseline"/>
        <w:rPr>
          <w:rFonts w:cs="Times New Roman"/>
          <w:lang w:val="fr-CA"/>
        </w:rPr>
      </w:pPr>
      <w:r w:rsidRPr="00832F07">
        <w:rPr>
          <w:rFonts w:cs="Times New Roman"/>
          <w:lang w:val="fr-CA"/>
        </w:rPr>
        <w:t>Il s’ensuit que les effets bénéfiques de l’imposition du PRRF l’emportent sur ses effets préjudiciables.</w:t>
      </w:r>
    </w:p>
    <w:p w:rsidR="007B74A6" w:rsidRPr="00832F07" w:rsidRDefault="007B74A6" w:rsidP="00795B2B">
      <w:pPr>
        <w:pStyle w:val="ParaNoNdepar-AltN"/>
        <w:adjustRightInd w:val="0"/>
        <w:textAlignment w:val="baseline"/>
        <w:rPr>
          <w:rFonts w:cs="Times New Roman"/>
          <w:lang w:val="fr-CA"/>
        </w:rPr>
      </w:pPr>
      <w:r w:rsidRPr="00832F07">
        <w:rPr>
          <w:rFonts w:cs="Times New Roman"/>
          <w:lang w:val="fr-CA"/>
        </w:rPr>
        <w:t>La GRC est un organisme canadien chargé de l’application de la loi unique en son genre. Non seulement est</w:t>
      </w:r>
      <w:r w:rsidR="00795B2B">
        <w:rPr>
          <w:rFonts w:cs="Times New Roman"/>
          <w:lang w:val="fr-CA"/>
        </w:rPr>
        <w:t>-</w:t>
      </w:r>
      <w:r w:rsidRPr="00832F07">
        <w:rPr>
          <w:rFonts w:cs="Times New Roman"/>
          <w:lang w:val="fr-CA"/>
        </w:rPr>
        <w:t xml:space="preserve">elle notre service de police national, mais elle offre également des services de police provinciaux et municipaux dans une bonne partie du pays, en plus d’offrir des services policiers aux aéroports internationaux et à des centaines de communautés autochtones. La GRC offre des services de protection aux dignitaires canadiens et étrangers, des services de sécurité lors de la tenue d’événements d’envergure nationale et internationale en sol canadien, ainsi que des contrôles aux frontières. De plus, elle offre des services de police spécialisés à tous les corps policiers canadiens, notamment en matière de renseignements criminels, de prélèvement de preuves biologiques, d’analyse génétique, de renseignements sur les empreintes digitales et les antécédents judiciaires et d’analyse balistique. La GRC dirige également le Programme canadien des armes à feu, le Centre d’information de la police canadienne, le Collège canadien de police, le Centre national de coordination contre l’exploitation des enfants, le Registre national des délinquants sexuels et le Programme de la criminalité technologique. Sur l’ensemble du territoire canadien, la GRC veille au respect d’une foule de lois </w:t>
      </w:r>
      <w:r w:rsidR="0083647D">
        <w:rPr>
          <w:rFonts w:cs="Times New Roman"/>
          <w:lang w:val="fr-CA"/>
        </w:rPr>
        <w:t>fédérales</w:t>
      </w:r>
      <w:r w:rsidRPr="00832F07">
        <w:rPr>
          <w:rFonts w:cs="Times New Roman"/>
          <w:lang w:val="fr-CA"/>
        </w:rPr>
        <w:t xml:space="preserve">, y compris celles portant sur les crimes commerciaux, la contrefaçon, le trafic de stupéfiants, le crime organisé et le terrorisme. </w:t>
      </w:r>
    </w:p>
    <w:p w:rsidR="007B74A6" w:rsidRPr="00832F07" w:rsidRDefault="007B74A6" w:rsidP="00795B2B">
      <w:pPr>
        <w:pStyle w:val="ParaNoNdepar-AltN"/>
        <w:rPr>
          <w:rFonts w:cs="Times New Roman"/>
          <w:lang w:val="fr-CA"/>
        </w:rPr>
      </w:pPr>
      <w:r w:rsidRPr="00832F07">
        <w:rPr>
          <w:rFonts w:cs="Times New Roman"/>
          <w:lang w:val="fr-CA"/>
        </w:rPr>
        <w:lastRenderedPageBreak/>
        <w:t xml:space="preserve">Le gouvernement doit avoir le droit d’organiser les relations de travail au sein de la GRC en tenant compte du rôle particulier et essentiel qui lui est dévolu en tant que service de police national. Des mesures que pourraient prendre des agents de la GRC dans le contexte d’un conflit de travail seraient susceptibles de causer des perturbations d’une ampleur différente de celles qu’entraîneraient des mesures similaires mettant en cause d’autres corps policiers. Elles pourraient aussi avoir des répercussions négatives sur d’autres organismes chargés d’appliquer la loi partout au Canada. </w:t>
      </w:r>
    </w:p>
    <w:p w:rsidR="007B74A6" w:rsidRPr="00832F07" w:rsidRDefault="007B74A6" w:rsidP="00795B2B">
      <w:pPr>
        <w:pStyle w:val="ParaNoNdepar-AltN"/>
        <w:rPr>
          <w:rFonts w:cs="Times New Roman"/>
          <w:lang w:val="fr-CA"/>
        </w:rPr>
      </w:pPr>
      <w:r w:rsidRPr="00832F07">
        <w:rPr>
          <w:rFonts w:cs="Times New Roman"/>
          <w:lang w:val="fr-CA"/>
        </w:rPr>
        <w:t xml:space="preserve">La décision du législateur de recourir à un régime axé sur la collaboration dans le cas de la GRC s’accorde avec ce que prévoient les instruments internationaux en matière de liberté d’association. Bien que les conventions et les pactes internationaux n’empêchent pas les législateurs nationaux d’accorder des droits d’association aux forces policières, il ressort du libellé de ces instruments que d’autres pays peuvent juger raisonnable de restreindre ces droits dans des contextes comparables. Voir, par exemple, la </w:t>
      </w:r>
      <w:r w:rsidRPr="00832F07">
        <w:rPr>
          <w:rFonts w:cs="Times New Roman"/>
          <w:i/>
          <w:lang w:val="fr-CA"/>
        </w:rPr>
        <w:t xml:space="preserve">Convention </w:t>
      </w:r>
      <w:r w:rsidR="003868F6">
        <w:rPr>
          <w:rFonts w:cs="Times New Roman"/>
          <w:i/>
          <w:lang w:val="fr-CA"/>
        </w:rPr>
        <w:t>(</w:t>
      </w:r>
      <w:r w:rsidRPr="00832F07">
        <w:rPr>
          <w:rFonts w:cs="Times New Roman"/>
          <w:i/>
          <w:lang w:val="fr-CA"/>
        </w:rPr>
        <w:t>n</w:t>
      </w:r>
      <w:r w:rsidRPr="00832F07">
        <w:rPr>
          <w:rFonts w:cs="Times New Roman"/>
          <w:i/>
          <w:vertAlign w:val="superscript"/>
          <w:lang w:val="fr-CA"/>
        </w:rPr>
        <w:t>o</w:t>
      </w:r>
      <w:r w:rsidR="00795B2B">
        <w:rPr>
          <w:rFonts w:cs="Times New Roman"/>
          <w:i/>
          <w:lang w:val="fr-CA"/>
        </w:rPr>
        <w:t xml:space="preserve"> </w:t>
      </w:r>
      <w:r w:rsidRPr="00832F07">
        <w:rPr>
          <w:rFonts w:cs="Times New Roman"/>
          <w:i/>
          <w:lang w:val="fr-CA"/>
        </w:rPr>
        <w:t>87</w:t>
      </w:r>
      <w:r w:rsidR="003868F6">
        <w:rPr>
          <w:rFonts w:cs="Times New Roman"/>
          <w:i/>
          <w:lang w:val="fr-CA"/>
        </w:rPr>
        <w:t>)</w:t>
      </w:r>
      <w:r w:rsidRPr="00832F07">
        <w:rPr>
          <w:rFonts w:cs="Times New Roman"/>
          <w:i/>
          <w:lang w:val="fr-CA"/>
        </w:rPr>
        <w:t xml:space="preserve"> concernant la liberté syndicale et la protection du droit syndical </w:t>
      </w:r>
      <w:r w:rsidRPr="00832F07">
        <w:rPr>
          <w:rFonts w:cs="Times New Roman"/>
          <w:lang w:val="fr-CA"/>
        </w:rPr>
        <w:t>de l’Organisation internationale du Travail,</w:t>
      </w:r>
      <w:r w:rsidR="00795B2B">
        <w:rPr>
          <w:rFonts w:cs="Times New Roman"/>
          <w:lang w:val="fr-CA"/>
        </w:rPr>
        <w:t xml:space="preserve"> </w:t>
      </w:r>
      <w:r w:rsidRPr="00832F07">
        <w:rPr>
          <w:rFonts w:cs="Times New Roman"/>
          <w:lang w:val="fr-CA"/>
        </w:rPr>
        <w:t>68 R.T.N.U. 17, art.</w:t>
      </w:r>
      <w:r w:rsidR="00795B2B">
        <w:rPr>
          <w:rFonts w:cs="Times New Roman"/>
          <w:lang w:val="fr-CA"/>
        </w:rPr>
        <w:t xml:space="preserve"> </w:t>
      </w:r>
      <w:r w:rsidRPr="00832F07">
        <w:rPr>
          <w:rFonts w:cs="Times New Roman"/>
          <w:lang w:val="fr-CA"/>
        </w:rPr>
        <w:t xml:space="preserve">9, le </w:t>
      </w:r>
      <w:r w:rsidRPr="00832F07">
        <w:rPr>
          <w:rFonts w:cs="Times New Roman"/>
          <w:i/>
          <w:lang w:val="fr-CA"/>
        </w:rPr>
        <w:t>Pacte international relatif aux droits économiques, sociaux et culturels</w:t>
      </w:r>
      <w:r w:rsidRPr="00832F07">
        <w:rPr>
          <w:rFonts w:cs="Times New Roman"/>
          <w:lang w:val="fr-CA"/>
        </w:rPr>
        <w:t xml:space="preserve"> des Nations Unies, 993 R.T.N.U. 3, art.</w:t>
      </w:r>
      <w:r w:rsidR="00795B2B">
        <w:rPr>
          <w:rFonts w:cs="Times New Roman"/>
          <w:lang w:val="fr-CA"/>
        </w:rPr>
        <w:t xml:space="preserve"> </w:t>
      </w:r>
      <w:r w:rsidRPr="00832F07">
        <w:rPr>
          <w:rFonts w:cs="Times New Roman"/>
          <w:lang w:val="fr-CA"/>
        </w:rPr>
        <w:t>8</w:t>
      </w:r>
      <w:r w:rsidR="003868F6">
        <w:rPr>
          <w:rFonts w:cs="Times New Roman"/>
          <w:lang w:val="fr-CA"/>
        </w:rPr>
        <w:t>,</w:t>
      </w:r>
      <w:r w:rsidRPr="00832F07">
        <w:rPr>
          <w:rFonts w:cs="Times New Roman"/>
          <w:lang w:val="fr-CA"/>
        </w:rPr>
        <w:t xml:space="preserve"> et le </w:t>
      </w:r>
      <w:r w:rsidRPr="00832F07">
        <w:rPr>
          <w:rFonts w:cs="Times New Roman"/>
          <w:i/>
          <w:lang w:val="fr-CA"/>
        </w:rPr>
        <w:t>Pacte international relatif aux droits civils et politiques</w:t>
      </w:r>
      <w:r w:rsidRPr="00832F07">
        <w:rPr>
          <w:rFonts w:cs="Times New Roman"/>
          <w:lang w:val="fr-CA"/>
        </w:rPr>
        <w:t xml:space="preserve"> des Nations Unies, 999 R.T.N.U.</w:t>
      </w:r>
      <w:r w:rsidR="00795B2B">
        <w:rPr>
          <w:rFonts w:cs="Times New Roman"/>
          <w:lang w:val="fr-CA"/>
        </w:rPr>
        <w:t xml:space="preserve"> </w:t>
      </w:r>
      <w:r w:rsidRPr="00832F07">
        <w:rPr>
          <w:rFonts w:cs="Times New Roman"/>
          <w:lang w:val="fr-CA"/>
        </w:rPr>
        <w:t>171, art.</w:t>
      </w:r>
      <w:r w:rsidR="00795B2B">
        <w:rPr>
          <w:rFonts w:cs="Times New Roman"/>
          <w:lang w:val="fr-CA"/>
        </w:rPr>
        <w:t xml:space="preserve"> </w:t>
      </w:r>
      <w:r w:rsidRPr="00832F07">
        <w:rPr>
          <w:rFonts w:cs="Times New Roman"/>
          <w:lang w:val="fr-CA"/>
        </w:rPr>
        <w:t>22.</w:t>
      </w:r>
    </w:p>
    <w:p w:rsidR="007B74A6" w:rsidRPr="00832F07" w:rsidRDefault="007B74A6" w:rsidP="00795B2B">
      <w:pPr>
        <w:pStyle w:val="ParaNoNdepar-AltN"/>
        <w:rPr>
          <w:rFonts w:cs="Times New Roman"/>
          <w:lang w:val="fr-CA"/>
        </w:rPr>
      </w:pPr>
      <w:r w:rsidRPr="00832F07">
        <w:rPr>
          <w:rFonts w:cs="Times New Roman"/>
          <w:lang w:val="fr-CA"/>
        </w:rPr>
        <w:t>Même si l’on devait conclure que l’al.</w:t>
      </w:r>
      <w:r w:rsidR="00795B2B">
        <w:rPr>
          <w:rFonts w:cs="Times New Roman"/>
          <w:lang w:val="fr-CA"/>
        </w:rPr>
        <w:t xml:space="preserve"> </w:t>
      </w:r>
      <w:r w:rsidRPr="00832F07">
        <w:rPr>
          <w:rFonts w:cs="Times New Roman"/>
          <w:i/>
          <w:lang w:val="fr-CA"/>
        </w:rPr>
        <w:t>d</w:t>
      </w:r>
      <w:r w:rsidRPr="00832F07">
        <w:rPr>
          <w:rFonts w:cs="Times New Roman"/>
          <w:lang w:val="fr-CA"/>
        </w:rPr>
        <w:t xml:space="preserve">) de la définition de </w:t>
      </w:r>
      <w:r w:rsidR="00795B2B">
        <w:rPr>
          <w:rFonts w:cs="Times New Roman"/>
          <w:lang w:val="fr-CA"/>
        </w:rPr>
        <w:t>« </w:t>
      </w:r>
      <w:r w:rsidRPr="00832F07">
        <w:rPr>
          <w:rFonts w:cs="Times New Roman"/>
          <w:lang w:val="fr-CA"/>
        </w:rPr>
        <w:t>fonctionnaire</w:t>
      </w:r>
      <w:r w:rsidR="00795B2B">
        <w:rPr>
          <w:rFonts w:cs="Times New Roman"/>
          <w:lang w:val="fr-CA"/>
        </w:rPr>
        <w:t> »</w:t>
      </w:r>
      <w:r w:rsidRPr="00832F07">
        <w:rPr>
          <w:rFonts w:cs="Times New Roman"/>
          <w:lang w:val="fr-CA"/>
        </w:rPr>
        <w:t xml:space="preserve"> qui figure au par.</w:t>
      </w:r>
      <w:r w:rsidR="00795B2B">
        <w:rPr>
          <w:rFonts w:cs="Times New Roman"/>
          <w:lang w:val="fr-CA"/>
        </w:rPr>
        <w:t xml:space="preserve"> </w:t>
      </w:r>
      <w:r w:rsidRPr="00832F07">
        <w:rPr>
          <w:rFonts w:cs="Times New Roman"/>
          <w:lang w:val="fr-CA"/>
        </w:rPr>
        <w:t xml:space="preserve">2(1) de la </w:t>
      </w:r>
      <w:r w:rsidRPr="00832F07">
        <w:rPr>
          <w:rFonts w:cs="Times New Roman"/>
          <w:i/>
          <w:lang w:val="fr-CA"/>
        </w:rPr>
        <w:t>LRTFP</w:t>
      </w:r>
      <w:r w:rsidRPr="00832F07">
        <w:rPr>
          <w:rFonts w:cs="Times New Roman"/>
          <w:lang w:val="fr-CA"/>
        </w:rPr>
        <w:t xml:space="preserve"> </w:t>
      </w:r>
      <w:r w:rsidR="00E55DA2">
        <w:rPr>
          <w:rFonts w:cs="Times New Roman"/>
          <w:lang w:val="fr-CA"/>
        </w:rPr>
        <w:t>actuelle</w:t>
      </w:r>
      <w:r w:rsidR="00C73EC5">
        <w:rPr>
          <w:rFonts w:cs="Times New Roman"/>
          <w:lang w:val="fr-CA"/>
        </w:rPr>
        <w:t xml:space="preserve"> </w:t>
      </w:r>
      <w:r w:rsidRPr="00832F07">
        <w:rPr>
          <w:rFonts w:cs="Times New Roman"/>
          <w:lang w:val="fr-CA"/>
        </w:rPr>
        <w:t>porte atteinte au droit protégé par l’al.</w:t>
      </w:r>
      <w:r w:rsidR="00795B2B">
        <w:rPr>
          <w:rFonts w:cs="Times New Roman"/>
          <w:lang w:val="fr-CA"/>
        </w:rPr>
        <w:t xml:space="preserve"> </w:t>
      </w:r>
      <w:r w:rsidRPr="00832F07">
        <w:rPr>
          <w:rFonts w:cs="Times New Roman"/>
          <w:lang w:val="fr-CA"/>
        </w:rPr>
        <w:t>2</w:t>
      </w:r>
      <w:r w:rsidRPr="00832F07">
        <w:rPr>
          <w:rFonts w:cs="Times New Roman"/>
          <w:i/>
          <w:lang w:val="fr-CA"/>
        </w:rPr>
        <w:t>d</w:t>
      </w:r>
      <w:r w:rsidRPr="00832F07">
        <w:rPr>
          <w:rFonts w:cs="Times New Roman"/>
          <w:lang w:val="fr-CA"/>
        </w:rPr>
        <w:t xml:space="preserve">) de la </w:t>
      </w:r>
      <w:r w:rsidRPr="00832F07">
        <w:rPr>
          <w:rFonts w:cs="Times New Roman"/>
          <w:i/>
          <w:lang w:val="fr-CA"/>
        </w:rPr>
        <w:t>Charte</w:t>
      </w:r>
      <w:r w:rsidRPr="00832F07">
        <w:rPr>
          <w:rFonts w:cs="Times New Roman"/>
          <w:lang w:val="fr-CA"/>
        </w:rPr>
        <w:t xml:space="preserve">, cette atteinte constituerait une limite raisonnable </w:t>
      </w:r>
      <w:r w:rsidRPr="00832F07">
        <w:rPr>
          <w:rFonts w:cs="Times New Roman"/>
          <w:lang w:val="fr-CA"/>
        </w:rPr>
        <w:lastRenderedPageBreak/>
        <w:t xml:space="preserve">prescrite par une règle de droit et dont la justification pourrait se démontrer dans le cadre d’une société libre et démocratique au sens de l’article premier de la </w:t>
      </w:r>
      <w:r w:rsidRPr="00832F07">
        <w:rPr>
          <w:rFonts w:cs="Times New Roman"/>
          <w:i/>
          <w:lang w:val="fr-CA"/>
        </w:rPr>
        <w:t>Charte</w:t>
      </w:r>
      <w:r w:rsidRPr="00832F07">
        <w:rPr>
          <w:rFonts w:cs="Times New Roman"/>
          <w:lang w:val="fr-CA"/>
        </w:rPr>
        <w:t>.</w:t>
      </w:r>
    </w:p>
    <w:p w:rsidR="007B74A6" w:rsidRPr="00832F07" w:rsidRDefault="007B74A6" w:rsidP="00795B2B">
      <w:pPr>
        <w:pStyle w:val="Title1LevelTitre1Niveau-AltL"/>
        <w:numPr>
          <w:ilvl w:val="0"/>
          <w:numId w:val="36"/>
        </w:numPr>
        <w:spacing w:before="0"/>
        <w:rPr>
          <w:rFonts w:cs="Times New Roman"/>
          <w:lang w:val="fr-CA"/>
        </w:rPr>
      </w:pPr>
      <w:r w:rsidRPr="00832F07">
        <w:rPr>
          <w:rFonts w:cs="Times New Roman"/>
          <w:lang w:val="fr-CA"/>
        </w:rPr>
        <w:t>Conclusion</w:t>
      </w:r>
    </w:p>
    <w:p w:rsidR="007B74A6" w:rsidRPr="00832F07" w:rsidRDefault="007B74A6" w:rsidP="00795B2B">
      <w:pPr>
        <w:pStyle w:val="ParaNoNdepar-AltN"/>
        <w:rPr>
          <w:rFonts w:cs="Times New Roman"/>
          <w:lang w:val="fr-CA"/>
        </w:rPr>
      </w:pPr>
      <w:r w:rsidRPr="00832F07">
        <w:rPr>
          <w:rFonts w:cs="Times New Roman"/>
          <w:lang w:val="fr-CA"/>
        </w:rPr>
        <w:t>Les appelantes n’ont pas réussi à démontrer que le PRRF empêche effectivement les employés de s’associer véritablement en vue de réaliser des objectifs relatifs au travail. Le présent modèle de relations de travail tient compte des intérêts des employés et assure que des comptes leur soient rendus. Les juges majoritaires rompent avec la jurisprudence récente de la Cour sur la liberté d’association pour justifier un résultat particulier en l’espèce. J’estime, pour ma part, que dès lors qu’il n’est pas effectivement impossible pour les employés de formuler des revendications collectives au sujet de questions relatives à leurs conditions de travail par l’entremise de personnes qui représentent leurs intérêts et que la direction tient compte de ces revendications de bonne foi, il n’y a pas violation du droit protégé par l’al.</w:t>
      </w:r>
      <w:r w:rsidR="00795B2B">
        <w:rPr>
          <w:rFonts w:cs="Times New Roman"/>
          <w:lang w:val="fr-CA"/>
        </w:rPr>
        <w:t xml:space="preserve"> </w:t>
      </w:r>
      <w:r w:rsidRPr="00832F07">
        <w:rPr>
          <w:rFonts w:cs="Times New Roman"/>
          <w:lang w:val="fr-CA"/>
        </w:rPr>
        <w:t>2</w:t>
      </w:r>
      <w:r w:rsidRPr="00832F07">
        <w:rPr>
          <w:rFonts w:cs="Times New Roman"/>
          <w:i/>
          <w:iCs/>
          <w:lang w:val="fr-CA"/>
        </w:rPr>
        <w:t>d</w:t>
      </w:r>
      <w:r w:rsidRPr="00832F07">
        <w:rPr>
          <w:rFonts w:cs="Times New Roman"/>
          <w:lang w:val="fr-CA"/>
        </w:rPr>
        <w:t xml:space="preserve">) de la </w:t>
      </w:r>
      <w:r w:rsidRPr="00832F07">
        <w:rPr>
          <w:rFonts w:cs="Times New Roman"/>
          <w:i/>
          <w:lang w:val="fr-CA"/>
        </w:rPr>
        <w:t>Charte</w:t>
      </w:r>
      <w:r w:rsidRPr="00832F07">
        <w:rPr>
          <w:rFonts w:cs="Times New Roman"/>
          <w:lang w:val="fr-CA"/>
        </w:rPr>
        <w:t xml:space="preserve">. </w:t>
      </w:r>
    </w:p>
    <w:p w:rsidR="007B74A6" w:rsidRPr="00832F07" w:rsidRDefault="007B74A6" w:rsidP="00795B2B">
      <w:pPr>
        <w:pStyle w:val="ParaNoNdepar-AltN"/>
        <w:rPr>
          <w:rFonts w:cs="Times New Roman"/>
          <w:lang w:val="fr-CA"/>
        </w:rPr>
      </w:pPr>
      <w:r w:rsidRPr="00832F07">
        <w:rPr>
          <w:rFonts w:cs="Times New Roman"/>
          <w:lang w:val="fr-CA"/>
        </w:rPr>
        <w:t xml:space="preserve">Je rejetterais le pourvoi, avec dépens en faveur </w:t>
      </w:r>
      <w:r w:rsidR="00E55DA2">
        <w:rPr>
          <w:rFonts w:cs="Times New Roman"/>
          <w:lang w:val="fr-CA"/>
        </w:rPr>
        <w:t xml:space="preserve">de </w:t>
      </w:r>
      <w:r w:rsidRPr="00832F07">
        <w:rPr>
          <w:rFonts w:cs="Times New Roman"/>
          <w:lang w:val="fr-CA"/>
        </w:rPr>
        <w:t>l’intimé.</w:t>
      </w:r>
    </w:p>
    <w:p w:rsidR="004D7D95" w:rsidRPr="00901DDE" w:rsidRDefault="004D7D95" w:rsidP="00795B2B">
      <w:pPr>
        <w:pStyle w:val="SCCNormalDoubleSpacing"/>
        <w:spacing w:after="480"/>
        <w:rPr>
          <w:lang w:val="fr-CA"/>
        </w:rPr>
      </w:pPr>
      <w:r w:rsidRPr="00901DDE">
        <w:rPr>
          <w:lang w:val="fr-CA"/>
        </w:rPr>
        <w:tab/>
      </w:r>
      <w:r w:rsidR="008C0CC9" w:rsidRPr="00901DDE">
        <w:rPr>
          <w:i/>
          <w:lang w:val="fr-CA"/>
        </w:rPr>
        <w:t xml:space="preserve">Pourvoi </w:t>
      </w:r>
      <w:r w:rsidR="003E639F">
        <w:rPr>
          <w:i/>
          <w:lang w:val="fr-CA"/>
        </w:rPr>
        <w:t>accueilli</w:t>
      </w:r>
      <w:r w:rsidR="00640414">
        <w:rPr>
          <w:i/>
          <w:lang w:val="fr-CA"/>
        </w:rPr>
        <w:t xml:space="preserve"> avec dépens</w:t>
      </w:r>
      <w:r w:rsidR="00A13BA6" w:rsidRPr="00901DDE">
        <w:rPr>
          <w:i/>
          <w:lang w:val="fr-CA"/>
        </w:rPr>
        <w:t>, l</w:t>
      </w:r>
      <w:r w:rsidR="00266B27">
        <w:rPr>
          <w:i/>
          <w:lang w:val="fr-CA"/>
        </w:rPr>
        <w:t>e</w:t>
      </w:r>
      <w:r w:rsidR="00A13BA6" w:rsidRPr="00901DDE">
        <w:rPr>
          <w:i/>
          <w:lang w:val="fr-CA"/>
        </w:rPr>
        <w:t xml:space="preserve"> juge </w:t>
      </w:r>
      <w:proofErr w:type="spellStart"/>
      <w:r w:rsidR="00266B27">
        <w:rPr>
          <w:smallCaps/>
          <w:lang w:val="fr-CA"/>
        </w:rPr>
        <w:t>Rothstein</w:t>
      </w:r>
      <w:proofErr w:type="spellEnd"/>
      <w:r w:rsidR="00A13BA6" w:rsidRPr="00901DDE">
        <w:rPr>
          <w:i/>
          <w:lang w:val="fr-CA"/>
        </w:rPr>
        <w:t xml:space="preserve"> est dissident</w:t>
      </w:r>
      <w:r w:rsidR="008C0CC9" w:rsidRPr="00901DDE">
        <w:rPr>
          <w:i/>
          <w:lang w:val="fr-CA"/>
        </w:rPr>
        <w:t>.</w:t>
      </w:r>
    </w:p>
    <w:p w:rsidR="008C0CC9" w:rsidRPr="00901DDE" w:rsidRDefault="008C0CC9" w:rsidP="00795B2B">
      <w:pPr>
        <w:pStyle w:val="SCCLawFirm"/>
        <w:spacing w:after="480"/>
        <w:rPr>
          <w:lang w:val="fr-CA"/>
        </w:rPr>
      </w:pPr>
      <w:r w:rsidRPr="00901DDE">
        <w:rPr>
          <w:lang w:val="fr-CA"/>
        </w:rPr>
        <w:tab/>
        <w:t>Procureurs des appelantes</w:t>
      </w:r>
      <w:r w:rsidR="00795B2B">
        <w:rPr>
          <w:lang w:val="fr-CA"/>
        </w:rPr>
        <w:t xml:space="preserve"> : </w:t>
      </w:r>
      <w:r w:rsidRPr="00901DDE">
        <w:rPr>
          <w:lang w:val="fr-CA"/>
        </w:rPr>
        <w:t>Laura Young Law Offices, Toronto.</w:t>
      </w:r>
    </w:p>
    <w:p w:rsidR="008C0CC9" w:rsidRPr="00901DDE" w:rsidRDefault="008C0CC9" w:rsidP="00795B2B">
      <w:pPr>
        <w:pStyle w:val="SCCLawFirm"/>
        <w:spacing w:after="480"/>
        <w:rPr>
          <w:lang w:val="fr-CA"/>
        </w:rPr>
      </w:pPr>
      <w:r w:rsidRPr="00901DDE">
        <w:rPr>
          <w:lang w:val="fr-CA"/>
        </w:rPr>
        <w:tab/>
        <w:t>Procureur de l’intimé</w:t>
      </w:r>
      <w:r w:rsidR="00795B2B">
        <w:rPr>
          <w:lang w:val="fr-CA"/>
        </w:rPr>
        <w:t xml:space="preserve"> : </w:t>
      </w:r>
      <w:r w:rsidRPr="00901DDE">
        <w:rPr>
          <w:lang w:val="fr-CA"/>
        </w:rPr>
        <w:t>Procureur général du Canada, Toronto.</w:t>
      </w:r>
    </w:p>
    <w:p w:rsidR="008C0CC9" w:rsidRPr="00901DDE" w:rsidRDefault="008C0CC9" w:rsidP="00795B2B">
      <w:pPr>
        <w:pStyle w:val="SCCLawFirm"/>
        <w:spacing w:after="480"/>
        <w:rPr>
          <w:lang w:val="fr-CA"/>
        </w:rPr>
      </w:pPr>
      <w:r w:rsidRPr="00901DDE">
        <w:rPr>
          <w:lang w:val="fr-CA"/>
        </w:rPr>
        <w:lastRenderedPageBreak/>
        <w:tab/>
        <w:t>Procureur de l’intervenant le procureur général de l’Ontario</w:t>
      </w:r>
      <w:r w:rsidR="00795B2B">
        <w:rPr>
          <w:lang w:val="fr-CA"/>
        </w:rPr>
        <w:t xml:space="preserve"> : </w:t>
      </w:r>
      <w:r w:rsidRPr="00901DDE">
        <w:rPr>
          <w:lang w:val="fr-CA"/>
        </w:rPr>
        <w:t>Procureur général de l’Ontario, Toronto.</w:t>
      </w:r>
    </w:p>
    <w:p w:rsidR="008C0CC9" w:rsidRPr="00901DDE" w:rsidRDefault="008C0CC9" w:rsidP="00795B2B">
      <w:pPr>
        <w:pStyle w:val="SCCLawFirm"/>
        <w:spacing w:after="480"/>
        <w:rPr>
          <w:lang w:val="fr-CA"/>
        </w:rPr>
      </w:pPr>
      <w:r w:rsidRPr="00901DDE">
        <w:rPr>
          <w:lang w:val="fr-CA"/>
        </w:rPr>
        <w:tab/>
        <w:t>Procureur de l’intervenant le procureur général de la Colombie</w:t>
      </w:r>
      <w:r w:rsidR="00795B2B">
        <w:rPr>
          <w:lang w:val="fr-CA"/>
        </w:rPr>
        <w:t>-</w:t>
      </w:r>
      <w:r w:rsidRPr="00901DDE">
        <w:rPr>
          <w:lang w:val="fr-CA"/>
        </w:rPr>
        <w:t>Britannique</w:t>
      </w:r>
      <w:r w:rsidR="00795B2B">
        <w:rPr>
          <w:lang w:val="fr-CA"/>
        </w:rPr>
        <w:t xml:space="preserve"> : </w:t>
      </w:r>
      <w:r w:rsidRPr="00901DDE">
        <w:rPr>
          <w:lang w:val="fr-CA"/>
        </w:rPr>
        <w:t>Procureur général de la Colombie</w:t>
      </w:r>
      <w:r w:rsidR="00795B2B">
        <w:rPr>
          <w:lang w:val="fr-CA"/>
        </w:rPr>
        <w:t>-</w:t>
      </w:r>
      <w:r w:rsidRPr="00901DDE">
        <w:rPr>
          <w:lang w:val="fr-CA"/>
        </w:rPr>
        <w:t>Britannique, Vancouver.</w:t>
      </w:r>
    </w:p>
    <w:p w:rsidR="008C0CC9" w:rsidRPr="00901DDE" w:rsidRDefault="008C0CC9" w:rsidP="00795B2B">
      <w:pPr>
        <w:pStyle w:val="SCCLawFirm"/>
        <w:spacing w:after="480"/>
        <w:rPr>
          <w:lang w:val="fr-CA"/>
        </w:rPr>
      </w:pPr>
      <w:r w:rsidRPr="00901DDE">
        <w:rPr>
          <w:lang w:val="fr-CA"/>
        </w:rPr>
        <w:tab/>
        <w:t>Procureur de l’intervenant le procureur général de la Saskatchewan</w:t>
      </w:r>
      <w:r w:rsidR="00795B2B">
        <w:rPr>
          <w:lang w:val="fr-CA"/>
        </w:rPr>
        <w:t xml:space="preserve"> : </w:t>
      </w:r>
      <w:r w:rsidRPr="00901DDE">
        <w:rPr>
          <w:lang w:val="fr-CA"/>
        </w:rPr>
        <w:t>Procureur général de la Saskatchewan, Regina.</w:t>
      </w:r>
    </w:p>
    <w:p w:rsidR="008C0CC9" w:rsidRPr="00901DDE" w:rsidRDefault="008C0CC9" w:rsidP="00795B2B">
      <w:pPr>
        <w:pStyle w:val="SCCLawFirm"/>
        <w:spacing w:after="480"/>
        <w:rPr>
          <w:lang w:val="fr-CA"/>
        </w:rPr>
      </w:pPr>
      <w:r w:rsidRPr="00901DDE">
        <w:rPr>
          <w:lang w:val="fr-CA"/>
        </w:rPr>
        <w:tab/>
        <w:t>Procureur de l’intervenant le procureur général de l’Alberta</w:t>
      </w:r>
      <w:r w:rsidR="00795B2B">
        <w:rPr>
          <w:lang w:val="fr-CA"/>
        </w:rPr>
        <w:t xml:space="preserve"> : </w:t>
      </w:r>
      <w:r w:rsidRPr="00901DDE">
        <w:rPr>
          <w:lang w:val="fr-CA"/>
        </w:rPr>
        <w:t>Procureur général de l’Alberta, Edmonton.</w:t>
      </w:r>
    </w:p>
    <w:p w:rsidR="008C0CC9" w:rsidRPr="00901DDE" w:rsidRDefault="008C0CC9" w:rsidP="00795B2B">
      <w:pPr>
        <w:pStyle w:val="SCCLawFirm"/>
        <w:spacing w:after="480"/>
        <w:rPr>
          <w:lang w:val="fr-CA"/>
        </w:rPr>
      </w:pPr>
      <w:r w:rsidRPr="00901DDE">
        <w:rPr>
          <w:lang w:val="fr-CA"/>
        </w:rPr>
        <w:tab/>
        <w:t xml:space="preserve">Procureurs de l’intervenante l’Association des membres de la </w:t>
      </w:r>
      <w:r w:rsidR="0042385E">
        <w:rPr>
          <w:lang w:val="fr-CA"/>
        </w:rPr>
        <w:t>P</w:t>
      </w:r>
      <w:r w:rsidRPr="00901DDE">
        <w:rPr>
          <w:lang w:val="fr-CA"/>
        </w:rPr>
        <w:t xml:space="preserve">olice </w:t>
      </w:r>
      <w:r w:rsidR="0042385E">
        <w:rPr>
          <w:lang w:val="fr-CA"/>
        </w:rPr>
        <w:t>M</w:t>
      </w:r>
      <w:r w:rsidRPr="00901DDE">
        <w:rPr>
          <w:lang w:val="fr-CA"/>
        </w:rPr>
        <w:t>ontée du Québec</w:t>
      </w:r>
      <w:r w:rsidR="00FB58D9">
        <w:rPr>
          <w:lang w:val="fr-CA"/>
        </w:rPr>
        <w:t xml:space="preserve"> Inc.</w:t>
      </w:r>
      <w:r w:rsidR="00795B2B">
        <w:rPr>
          <w:lang w:val="fr-CA"/>
        </w:rPr>
        <w:t xml:space="preserve"> : </w:t>
      </w:r>
      <w:proofErr w:type="spellStart"/>
      <w:r w:rsidRPr="00901DDE">
        <w:rPr>
          <w:lang w:val="fr-CA"/>
        </w:rPr>
        <w:t>Duggan</w:t>
      </w:r>
      <w:proofErr w:type="spellEnd"/>
      <w:r w:rsidRPr="00901DDE">
        <w:rPr>
          <w:lang w:val="fr-CA"/>
        </w:rPr>
        <w:t xml:space="preserve"> avocats, Montréal.</w:t>
      </w:r>
    </w:p>
    <w:p w:rsidR="008C0CC9" w:rsidRPr="00901DDE" w:rsidRDefault="008C0CC9" w:rsidP="00795B2B">
      <w:pPr>
        <w:pStyle w:val="SCCLawFirm"/>
        <w:spacing w:after="480"/>
        <w:rPr>
          <w:lang w:val="fr-CA"/>
        </w:rPr>
      </w:pPr>
      <w:r w:rsidRPr="00901DDE">
        <w:rPr>
          <w:lang w:val="fr-CA"/>
        </w:rPr>
        <w:tab/>
        <w:t>Procureurs de l’intervenant le Fonds de recours juridique des membres de la Gendarmerie</w:t>
      </w:r>
      <w:r w:rsidR="00795B2B">
        <w:rPr>
          <w:lang w:val="fr-CA"/>
        </w:rPr>
        <w:t xml:space="preserve"> : </w:t>
      </w:r>
      <w:proofErr w:type="spellStart"/>
      <w:r w:rsidRPr="00901DDE">
        <w:rPr>
          <w:lang w:val="fr-CA"/>
        </w:rPr>
        <w:t>Fasken</w:t>
      </w:r>
      <w:proofErr w:type="spellEnd"/>
      <w:r w:rsidRPr="00901DDE">
        <w:rPr>
          <w:lang w:val="fr-CA"/>
        </w:rPr>
        <w:t xml:space="preserve"> Martineau </w:t>
      </w:r>
      <w:proofErr w:type="spellStart"/>
      <w:r w:rsidRPr="00901DDE">
        <w:rPr>
          <w:lang w:val="fr-CA"/>
        </w:rPr>
        <w:t>DuMoulin</w:t>
      </w:r>
      <w:proofErr w:type="spellEnd"/>
      <w:r w:rsidRPr="00901DDE">
        <w:rPr>
          <w:lang w:val="fr-CA"/>
        </w:rPr>
        <w:t>, Toronto.</w:t>
      </w:r>
    </w:p>
    <w:p w:rsidR="008C0CC9" w:rsidRPr="00901DDE" w:rsidRDefault="008C0CC9" w:rsidP="00795B2B">
      <w:pPr>
        <w:pStyle w:val="SCCLawFirm"/>
        <w:spacing w:after="480"/>
        <w:rPr>
          <w:lang w:val="fr-CA"/>
        </w:rPr>
      </w:pPr>
      <w:r w:rsidRPr="00901DDE">
        <w:rPr>
          <w:lang w:val="fr-CA"/>
        </w:rPr>
        <w:tab/>
        <w:t>Procureurs de l’intervenante la Confédération des syndicats nationaux</w:t>
      </w:r>
      <w:r w:rsidR="00795B2B">
        <w:rPr>
          <w:lang w:val="fr-CA"/>
        </w:rPr>
        <w:t xml:space="preserve"> : </w:t>
      </w:r>
      <w:r w:rsidRPr="00901DDE">
        <w:rPr>
          <w:lang w:val="fr-CA"/>
        </w:rPr>
        <w:t>Laroche Martin, Montréal.</w:t>
      </w:r>
    </w:p>
    <w:p w:rsidR="008C0CC9" w:rsidRPr="00901DDE" w:rsidRDefault="008C0CC9" w:rsidP="00795B2B">
      <w:pPr>
        <w:pStyle w:val="SCCLawFirm"/>
        <w:spacing w:after="480"/>
        <w:rPr>
          <w:lang w:val="fr-CA"/>
        </w:rPr>
      </w:pPr>
      <w:r w:rsidRPr="00901DDE">
        <w:rPr>
          <w:lang w:val="fr-CA"/>
        </w:rPr>
        <w:tab/>
        <w:t>Procureurs de l’intervenante l’Association canadienne des policiers</w:t>
      </w:r>
      <w:r w:rsidR="00795B2B">
        <w:rPr>
          <w:lang w:val="fr-CA"/>
        </w:rPr>
        <w:t xml:space="preserve"> : </w:t>
      </w:r>
      <w:proofErr w:type="spellStart"/>
      <w:r w:rsidRPr="00901DDE">
        <w:rPr>
          <w:lang w:val="fr-CA"/>
        </w:rPr>
        <w:t>Paliare</w:t>
      </w:r>
      <w:proofErr w:type="spellEnd"/>
      <w:r w:rsidRPr="00901DDE">
        <w:rPr>
          <w:lang w:val="fr-CA"/>
        </w:rPr>
        <w:t xml:space="preserve"> Roland Rosenberg </w:t>
      </w:r>
      <w:proofErr w:type="spellStart"/>
      <w:r w:rsidRPr="00901DDE">
        <w:rPr>
          <w:lang w:val="fr-CA"/>
        </w:rPr>
        <w:t>Rothstein</w:t>
      </w:r>
      <w:proofErr w:type="spellEnd"/>
      <w:r w:rsidRPr="00901DDE">
        <w:rPr>
          <w:lang w:val="fr-CA"/>
        </w:rPr>
        <w:t>, Toronto.</w:t>
      </w:r>
    </w:p>
    <w:p w:rsidR="008C0CC9" w:rsidRPr="00901DDE" w:rsidRDefault="008C0CC9" w:rsidP="00795B2B">
      <w:pPr>
        <w:pStyle w:val="SCCLawFirm"/>
        <w:spacing w:after="480"/>
        <w:rPr>
          <w:lang w:val="fr-CA"/>
        </w:rPr>
      </w:pPr>
      <w:r w:rsidRPr="00901DDE">
        <w:rPr>
          <w:lang w:val="fr-CA"/>
        </w:rPr>
        <w:tab/>
        <w:t>Procureurs de l’intervenant le Congrès du travail du Canada</w:t>
      </w:r>
      <w:r w:rsidR="00795B2B">
        <w:rPr>
          <w:lang w:val="fr-CA"/>
        </w:rPr>
        <w:t xml:space="preserve"> : </w:t>
      </w:r>
      <w:proofErr w:type="spellStart"/>
      <w:r w:rsidRPr="00901DDE">
        <w:rPr>
          <w:lang w:val="fr-CA"/>
        </w:rPr>
        <w:t>Sack</w:t>
      </w:r>
      <w:proofErr w:type="spellEnd"/>
      <w:r w:rsidRPr="00901DDE">
        <w:rPr>
          <w:lang w:val="fr-CA"/>
        </w:rPr>
        <w:t xml:space="preserve"> </w:t>
      </w:r>
      <w:proofErr w:type="spellStart"/>
      <w:r w:rsidRPr="00901DDE">
        <w:rPr>
          <w:lang w:val="fr-CA"/>
        </w:rPr>
        <w:t>Goldblatt</w:t>
      </w:r>
      <w:proofErr w:type="spellEnd"/>
      <w:r w:rsidRPr="00901DDE">
        <w:rPr>
          <w:lang w:val="fr-CA"/>
        </w:rPr>
        <w:t xml:space="preserve"> Mitchell, Toronto.</w:t>
      </w:r>
    </w:p>
    <w:p w:rsidR="008C0CC9" w:rsidRPr="00901DDE" w:rsidRDefault="008C0CC9" w:rsidP="00795B2B">
      <w:pPr>
        <w:pStyle w:val="SCCLawFirm"/>
        <w:spacing w:after="480"/>
        <w:rPr>
          <w:lang w:val="fr-CA"/>
        </w:rPr>
      </w:pPr>
      <w:r w:rsidRPr="00901DDE">
        <w:rPr>
          <w:lang w:val="fr-CA"/>
        </w:rPr>
        <w:lastRenderedPageBreak/>
        <w:tab/>
        <w:t>Procureurs de l’intervenante l’Association canadienne des libertés civiles</w:t>
      </w:r>
      <w:r w:rsidR="00795B2B">
        <w:rPr>
          <w:lang w:val="fr-CA"/>
        </w:rPr>
        <w:t xml:space="preserve"> : </w:t>
      </w:r>
      <w:r w:rsidRPr="00901DDE">
        <w:rPr>
          <w:lang w:val="fr-CA"/>
        </w:rPr>
        <w:t>Bennett Jones, Toronto.</w:t>
      </w:r>
    </w:p>
    <w:p w:rsidR="008C0CC9" w:rsidRPr="00901DDE" w:rsidRDefault="008C0CC9" w:rsidP="00795B2B">
      <w:pPr>
        <w:pStyle w:val="SCCLawFirm"/>
        <w:spacing w:after="480"/>
        <w:rPr>
          <w:lang w:val="fr-CA"/>
        </w:rPr>
      </w:pPr>
      <w:r w:rsidRPr="00901DDE">
        <w:rPr>
          <w:lang w:val="fr-CA"/>
        </w:rPr>
        <w:tab/>
        <w:t>Procureurs de l’intervenante l’Alliance de la Fonction publique du Canada</w:t>
      </w:r>
      <w:r w:rsidR="00795B2B">
        <w:rPr>
          <w:lang w:val="fr-CA"/>
        </w:rPr>
        <w:t xml:space="preserve"> : </w:t>
      </w:r>
      <w:proofErr w:type="spellStart"/>
      <w:r w:rsidRPr="00901DDE">
        <w:rPr>
          <w:lang w:val="fr-CA"/>
        </w:rPr>
        <w:t>Raven</w:t>
      </w:r>
      <w:proofErr w:type="spellEnd"/>
      <w:r w:rsidRPr="00901DDE">
        <w:rPr>
          <w:lang w:val="fr-CA"/>
        </w:rPr>
        <w:t xml:space="preserve">, Cameron, </w:t>
      </w:r>
      <w:proofErr w:type="spellStart"/>
      <w:r w:rsidRPr="00901DDE">
        <w:rPr>
          <w:lang w:val="fr-CA"/>
        </w:rPr>
        <w:t>Ballantyne</w:t>
      </w:r>
      <w:proofErr w:type="spellEnd"/>
      <w:r w:rsidRPr="00901DDE">
        <w:rPr>
          <w:lang w:val="fr-CA"/>
        </w:rPr>
        <w:t xml:space="preserve"> &amp; </w:t>
      </w:r>
      <w:proofErr w:type="spellStart"/>
      <w:r w:rsidRPr="00901DDE">
        <w:rPr>
          <w:lang w:val="fr-CA"/>
        </w:rPr>
        <w:t>Yazbeck</w:t>
      </w:r>
      <w:proofErr w:type="spellEnd"/>
      <w:r w:rsidRPr="00901DDE">
        <w:rPr>
          <w:lang w:val="fr-CA"/>
        </w:rPr>
        <w:t>, Ottawa.</w:t>
      </w:r>
    </w:p>
    <w:p w:rsidR="004D7D95" w:rsidRDefault="008C0CC9" w:rsidP="00795B2B">
      <w:pPr>
        <w:pStyle w:val="SCCLawFirm"/>
        <w:rPr>
          <w:lang w:val="fr-CA"/>
        </w:rPr>
      </w:pPr>
      <w:r w:rsidRPr="00901DDE">
        <w:rPr>
          <w:lang w:val="fr-CA"/>
        </w:rPr>
        <w:tab/>
        <w:t>Procureur</w:t>
      </w:r>
      <w:r w:rsidR="00A57835">
        <w:rPr>
          <w:lang w:val="fr-CA"/>
        </w:rPr>
        <w:t>s</w:t>
      </w:r>
      <w:r w:rsidRPr="00901DDE">
        <w:rPr>
          <w:lang w:val="fr-CA"/>
        </w:rPr>
        <w:t xml:space="preserve"> de l’intervenante </w:t>
      </w:r>
      <w:r w:rsidRPr="00901DDE">
        <w:rPr>
          <w:rStyle w:val="SCCCounselPartyRoleChar"/>
          <w:lang w:val="fr-CA"/>
        </w:rPr>
        <w:t>l’</w:t>
      </w:r>
      <w:r w:rsidRPr="00901DDE">
        <w:rPr>
          <w:lang w:val="fr-CA"/>
        </w:rPr>
        <w:t>Association des libertés civiles de la Colombie</w:t>
      </w:r>
      <w:r w:rsidR="00795B2B">
        <w:rPr>
          <w:lang w:val="fr-CA"/>
        </w:rPr>
        <w:t>-</w:t>
      </w:r>
      <w:r w:rsidRPr="00901DDE">
        <w:rPr>
          <w:lang w:val="fr-CA"/>
        </w:rPr>
        <w:t>Britannique</w:t>
      </w:r>
      <w:r w:rsidR="00795B2B">
        <w:rPr>
          <w:lang w:val="fr-CA"/>
        </w:rPr>
        <w:t xml:space="preserve"> : </w:t>
      </w:r>
      <w:r w:rsidRPr="00901DDE">
        <w:rPr>
          <w:lang w:val="fr-CA"/>
        </w:rPr>
        <w:t xml:space="preserve">Moore, Edgar, </w:t>
      </w:r>
      <w:proofErr w:type="spellStart"/>
      <w:r w:rsidRPr="00901DDE">
        <w:rPr>
          <w:lang w:val="fr-CA"/>
        </w:rPr>
        <w:t>Lyster</w:t>
      </w:r>
      <w:proofErr w:type="spellEnd"/>
      <w:r w:rsidRPr="00901DDE">
        <w:rPr>
          <w:lang w:val="fr-CA"/>
        </w:rPr>
        <w:t>, Vancouver.</w:t>
      </w:r>
    </w:p>
    <w:p w:rsidR="00D15CF4" w:rsidRDefault="00D15CF4" w:rsidP="00795B2B">
      <w:pPr>
        <w:pStyle w:val="SCCNormalDoubleSpacing"/>
        <w:rPr>
          <w:lang w:val="fr-CA"/>
        </w:rPr>
      </w:pPr>
    </w:p>
    <w:sectPr w:rsidR="00D15CF4"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65" w:rsidRDefault="00254E65">
      <w:r>
        <w:separator/>
      </w:r>
    </w:p>
  </w:endnote>
  <w:endnote w:type="continuationSeparator" w:id="0">
    <w:p w:rsidR="00254E65" w:rsidRDefault="00254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65" w:rsidRDefault="00254E65">
      <w:r>
        <w:separator/>
      </w:r>
    </w:p>
  </w:footnote>
  <w:footnote w:type="continuationSeparator" w:id="0">
    <w:p w:rsidR="00254E65" w:rsidRDefault="00254E65">
      <w:r>
        <w:continuationSeparator/>
      </w:r>
    </w:p>
  </w:footnote>
  <w:footnote w:id="1">
    <w:p w:rsidR="00254E65" w:rsidRDefault="00254E65" w:rsidP="00DD3F43">
      <w:pPr>
        <w:pStyle w:val="FootnoteText"/>
        <w:ind w:left="180" w:hanging="180"/>
        <w:jc w:val="both"/>
      </w:pPr>
      <w:r>
        <w:rPr>
          <w:rStyle w:val="FootnoteReference"/>
        </w:rPr>
        <w:footnoteRef/>
      </w:r>
      <w:r>
        <w:t xml:space="preserve"> </w:t>
      </w:r>
      <w:r>
        <w:tab/>
        <w:t xml:space="preserve">Abrogé depuis l’audition du présent pourvoi (DORS/2014-281, art. 58) et remplacé par une disposition essentiellement similaire, l’art. 56 du </w:t>
      </w:r>
      <w:r w:rsidRPr="00760E82">
        <w:rPr>
          <w:i/>
        </w:rPr>
        <w:t>Règlement de la Gendarmerie</w:t>
      </w:r>
      <w:r>
        <w:rPr>
          <w:i/>
        </w:rPr>
        <w:t xml:space="preserve"> royale </w:t>
      </w:r>
      <w:r w:rsidRPr="00760E82">
        <w:rPr>
          <w:i/>
        </w:rPr>
        <w:t>d</w:t>
      </w:r>
      <w:r>
        <w:rPr>
          <w:i/>
        </w:rPr>
        <w:t>u</w:t>
      </w:r>
      <w:r w:rsidRPr="00760E82">
        <w:rPr>
          <w:i/>
        </w:rPr>
        <w:t xml:space="preserve"> Canada</w:t>
      </w:r>
      <w:r>
        <w:rPr>
          <w:i/>
        </w:rPr>
        <w:t xml:space="preserve"> (</w:t>
      </w:r>
      <w:r w:rsidRPr="00760E82">
        <w:rPr>
          <w:i/>
        </w:rPr>
        <w:t>2014</w:t>
      </w:r>
      <w:r>
        <w:rPr>
          <w:i/>
        </w:rPr>
        <w:t>)</w:t>
      </w:r>
      <w:r>
        <w:t xml:space="preserve">, DORS/2014-281 (« </w:t>
      </w:r>
      <w:r>
        <w:rPr>
          <w:i/>
        </w:rPr>
        <w:t>Règlement de la GRC (</w:t>
      </w:r>
      <w:r w:rsidRPr="00760E82">
        <w:rPr>
          <w:i/>
        </w:rPr>
        <w:t>2014</w:t>
      </w:r>
      <w:r>
        <w:rPr>
          <w:i/>
        </w:rPr>
        <w:t>)</w:t>
      </w:r>
      <w:r>
        <w:t xml:space="preserve"> »).</w:t>
      </w:r>
    </w:p>
  </w:footnote>
  <w:footnote w:id="2">
    <w:p w:rsidR="00254E65" w:rsidRPr="001543A9" w:rsidRDefault="00254E65" w:rsidP="00E202A4">
      <w:pPr>
        <w:pStyle w:val="FootnoteText"/>
        <w:ind w:left="180" w:hanging="180"/>
        <w:jc w:val="both"/>
      </w:pPr>
      <w:r w:rsidRPr="004134C1">
        <w:rPr>
          <w:rStyle w:val="FootnoteReference"/>
        </w:rPr>
        <w:footnoteRef/>
      </w:r>
      <w:r w:rsidRPr="004134C1">
        <w:t xml:space="preserve"> </w:t>
      </w:r>
      <w:r>
        <w:tab/>
      </w:r>
      <w:r w:rsidRPr="004134C1">
        <w:t>Il convient de signaler que les membres de la GRC ne sont pas soustraits au champ d</w:t>
      </w:r>
      <w:r>
        <w:t>’</w:t>
      </w:r>
      <w:r w:rsidRPr="004134C1">
        <w:t>application de la partie</w:t>
      </w:r>
      <w:r>
        <w:t xml:space="preserve"> 3</w:t>
      </w:r>
      <w:r w:rsidRPr="004134C1">
        <w:t xml:space="preserve"> de la </w:t>
      </w:r>
      <w:r w:rsidRPr="00FA3841">
        <w:rPr>
          <w:i/>
        </w:rPr>
        <w:t>LRTFP</w:t>
      </w:r>
      <w:r>
        <w:t xml:space="preserve"> actuelle —</w:t>
      </w:r>
      <w:r w:rsidRPr="004134C1">
        <w:t xml:space="preserve"> Santé et sécurité au travail.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81076C0"/>
    <w:multiLevelType w:val="hybridMultilevel"/>
    <w:tmpl w:val="43DCC7E4"/>
    <w:lvl w:ilvl="0" w:tplc="8FDA0F80">
      <w:numFmt w:val="bullet"/>
      <w:lvlText w:val="-"/>
      <w:lvlJc w:val="left"/>
      <w:pPr>
        <w:ind w:left="1886" w:hanging="360"/>
      </w:pPr>
      <w:rPr>
        <w:rFonts w:ascii="Times New Roman" w:eastAsia="Times New Roman" w:hAnsi="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1">
    <w:nsid w:val="0A6D3A11"/>
    <w:multiLevelType w:val="hybridMultilevel"/>
    <w:tmpl w:val="29AAC9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8840B7"/>
    <w:multiLevelType w:val="hybridMultilevel"/>
    <w:tmpl w:val="D06EA710"/>
    <w:lvl w:ilvl="0" w:tplc="CAE2D4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CE14D8"/>
    <w:multiLevelType w:val="hybridMultilevel"/>
    <w:tmpl w:val="C9602066"/>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E91F77"/>
    <w:multiLevelType w:val="hybridMultilevel"/>
    <w:tmpl w:val="2DF6A1B6"/>
    <w:lvl w:ilvl="0" w:tplc="A97C97DA">
      <w:numFmt w:val="bullet"/>
      <w:lvlText w:val="-"/>
      <w:lvlJc w:val="left"/>
      <w:pPr>
        <w:ind w:left="1796" w:hanging="360"/>
      </w:pPr>
      <w:rPr>
        <w:rFonts w:ascii="Times New Roman" w:eastAsia="Times New Roman" w:hAnsi="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cs="Wingdings" w:hint="default"/>
      </w:rPr>
    </w:lvl>
    <w:lvl w:ilvl="3" w:tplc="04090001" w:tentative="1">
      <w:start w:val="1"/>
      <w:numFmt w:val="bullet"/>
      <w:lvlText w:val=""/>
      <w:lvlJc w:val="left"/>
      <w:pPr>
        <w:ind w:left="3956" w:hanging="360"/>
      </w:pPr>
      <w:rPr>
        <w:rFonts w:ascii="Symbol" w:hAnsi="Symbol" w:cs="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cs="Wingdings" w:hint="default"/>
      </w:rPr>
    </w:lvl>
    <w:lvl w:ilvl="6" w:tplc="04090001" w:tentative="1">
      <w:start w:val="1"/>
      <w:numFmt w:val="bullet"/>
      <w:lvlText w:val=""/>
      <w:lvlJc w:val="left"/>
      <w:pPr>
        <w:ind w:left="6116" w:hanging="360"/>
      </w:pPr>
      <w:rPr>
        <w:rFonts w:ascii="Symbol" w:hAnsi="Symbol" w:cs="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cs="Wingdings" w:hint="default"/>
      </w:rPr>
    </w:lvl>
  </w:abstractNum>
  <w:abstractNum w:abstractNumId="17">
    <w:nsid w:val="2F8E18B9"/>
    <w:multiLevelType w:val="hybridMultilevel"/>
    <w:tmpl w:val="330499D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nsid w:val="31136CB7"/>
    <w:multiLevelType w:val="hybridMultilevel"/>
    <w:tmpl w:val="29E2526A"/>
    <w:lvl w:ilvl="0" w:tplc="8FDA0F80">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nsid w:val="368C4B6B"/>
    <w:multiLevelType w:val="hybridMultilevel"/>
    <w:tmpl w:val="3F3EAE32"/>
    <w:lvl w:ilvl="0" w:tplc="8FDA0F80">
      <w:numFmt w:val="bullet"/>
      <w:lvlText w:val="-"/>
      <w:lvlJc w:val="left"/>
      <w:pPr>
        <w:ind w:left="1886" w:hanging="360"/>
      </w:pPr>
      <w:rPr>
        <w:rFonts w:ascii="Times New Roman" w:eastAsia="Times New Roman" w:hAnsi="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2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03130A"/>
    <w:multiLevelType w:val="multilevel"/>
    <w:tmpl w:val="65E80CF8"/>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color w:val="auto"/>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strike w:val="0"/>
        <w:color w:val="auto"/>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506460A2"/>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9600B2B"/>
    <w:multiLevelType w:val="hybridMultilevel"/>
    <w:tmpl w:val="39C2106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nsid w:val="5F754924"/>
    <w:multiLevelType w:val="hybridMultilevel"/>
    <w:tmpl w:val="E3A4BD72"/>
    <w:lvl w:ilvl="0" w:tplc="546C484C">
      <w:numFmt w:val="bullet"/>
      <w:lvlText w:val="-"/>
      <w:lvlJc w:val="left"/>
      <w:pPr>
        <w:ind w:left="1526" w:hanging="360"/>
      </w:pPr>
      <w:rPr>
        <w:rFonts w:ascii="Times New Roman" w:eastAsia="Times New Roman" w:hAnsi="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cs="Wingdings" w:hint="default"/>
      </w:rPr>
    </w:lvl>
    <w:lvl w:ilvl="3" w:tplc="10090001" w:tentative="1">
      <w:start w:val="1"/>
      <w:numFmt w:val="bullet"/>
      <w:lvlText w:val=""/>
      <w:lvlJc w:val="left"/>
      <w:pPr>
        <w:ind w:left="3686" w:hanging="360"/>
      </w:pPr>
      <w:rPr>
        <w:rFonts w:ascii="Symbol" w:hAnsi="Symbol" w:cs="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cs="Wingdings" w:hint="default"/>
      </w:rPr>
    </w:lvl>
    <w:lvl w:ilvl="6" w:tplc="10090001" w:tentative="1">
      <w:start w:val="1"/>
      <w:numFmt w:val="bullet"/>
      <w:lvlText w:val=""/>
      <w:lvlJc w:val="left"/>
      <w:pPr>
        <w:ind w:left="5846" w:hanging="360"/>
      </w:pPr>
      <w:rPr>
        <w:rFonts w:ascii="Symbol" w:hAnsi="Symbol" w:cs="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cs="Wingdings" w:hint="default"/>
      </w:rPr>
    </w:lvl>
  </w:abstractNum>
  <w:abstractNum w:abstractNumId="2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850AF6"/>
    <w:multiLevelType w:val="hybridMultilevel"/>
    <w:tmpl w:val="7B6410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28"/>
  </w:num>
  <w:num w:numId="3">
    <w:abstractNumId w:val="15"/>
  </w:num>
  <w:num w:numId="4">
    <w:abstractNumId w:val="12"/>
  </w:num>
  <w:num w:numId="5">
    <w:abstractNumId w:val="23"/>
  </w:num>
  <w:num w:numId="6">
    <w:abstractNumId w:val="24"/>
  </w:num>
  <w:num w:numId="7">
    <w:abstractNumId w:val="21"/>
  </w:num>
  <w:num w:numId="8">
    <w:abstractNumId w:val="13"/>
  </w:num>
  <w:num w:numId="9">
    <w:abstractNumId w:val="26"/>
  </w:num>
  <w:num w:numId="10">
    <w:abstractNumId w:val="18"/>
  </w:num>
  <w:num w:numId="11">
    <w:abstractNumId w:val="17"/>
  </w:num>
  <w:num w:numId="12">
    <w:abstractNumId w:val="14"/>
  </w:num>
  <w:num w:numId="13">
    <w:abstractNumId w:val="10"/>
  </w:num>
  <w:num w:numId="14">
    <w:abstractNumId w:val="19"/>
  </w:num>
  <w:num w:numId="15">
    <w:abstractNumId w:val="29"/>
  </w:num>
  <w:num w:numId="16">
    <w:abstractNumId w:val="1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8">
    <w:abstractNumId w:val="21"/>
    <w:lvlOverride w:ilvl="0">
      <w:startOverride w:val="1"/>
    </w:lvlOverride>
    <w:lvlOverride w:ilvl="1">
      <w:startOverride w:val="1"/>
    </w:lvlOverride>
    <w:lvlOverride w:ilvl="2">
      <w:startOverride w:val="2"/>
    </w:lvlOverride>
  </w:num>
  <w:num w:numId="19">
    <w:abstractNumId w:val="21"/>
    <w:lvlOverride w:ilvl="0">
      <w:startOverride w:val="1"/>
    </w:lvlOverride>
    <w:lvlOverride w:ilvl="1">
      <w:startOverride w:val="1"/>
    </w:lvlOverride>
    <w:lvlOverride w:ilvl="2">
      <w:startOverride w:val="2"/>
    </w:lvlOverride>
  </w:num>
  <w:num w:numId="20">
    <w:abstractNumId w:val="21"/>
    <w:lvlOverride w:ilvl="0">
      <w:startOverride w:val="1"/>
    </w:lvlOverride>
    <w:lvlOverride w:ilvl="1">
      <w:startOverride w:val="1"/>
    </w:lvlOverride>
    <w:lvlOverride w:ilvl="2">
      <w:startOverride w:val="2"/>
    </w:lvlOverride>
  </w:num>
  <w:num w:numId="21">
    <w:abstractNumId w:val="1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7">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8">
    <w:abstractNumId w:val="25"/>
  </w:num>
  <w:num w:numId="39">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1665"/>
  </w:hdrShapeDefaults>
  <w:footnotePr>
    <w:footnote w:id="-1"/>
    <w:footnote w:id="0"/>
  </w:footnotePr>
  <w:endnotePr>
    <w:endnote w:id="-1"/>
    <w:endnote w:id="0"/>
  </w:endnotePr>
  <w:compat/>
  <w:rsids>
    <w:rsidRoot w:val="0031414C"/>
    <w:rsid w:val="00000EAA"/>
    <w:rsid w:val="00000ED4"/>
    <w:rsid w:val="000224A4"/>
    <w:rsid w:val="00023FC7"/>
    <w:rsid w:val="00025198"/>
    <w:rsid w:val="00042C91"/>
    <w:rsid w:val="000534BE"/>
    <w:rsid w:val="000578A3"/>
    <w:rsid w:val="000648CC"/>
    <w:rsid w:val="00071843"/>
    <w:rsid w:val="0008432B"/>
    <w:rsid w:val="00087DD5"/>
    <w:rsid w:val="000B4F7B"/>
    <w:rsid w:val="000C14D2"/>
    <w:rsid w:val="000C59B8"/>
    <w:rsid w:val="000C6AF0"/>
    <w:rsid w:val="000D0A77"/>
    <w:rsid w:val="000D6A82"/>
    <w:rsid w:val="000D70A3"/>
    <w:rsid w:val="000E7A20"/>
    <w:rsid w:val="000F7993"/>
    <w:rsid w:val="00104F33"/>
    <w:rsid w:val="00111DE2"/>
    <w:rsid w:val="00114DA3"/>
    <w:rsid w:val="00116B38"/>
    <w:rsid w:val="00125161"/>
    <w:rsid w:val="00127CD9"/>
    <w:rsid w:val="00131BF3"/>
    <w:rsid w:val="00135406"/>
    <w:rsid w:val="00135972"/>
    <w:rsid w:val="0014023C"/>
    <w:rsid w:val="001426A9"/>
    <w:rsid w:val="00142D75"/>
    <w:rsid w:val="00145DB3"/>
    <w:rsid w:val="00154D7C"/>
    <w:rsid w:val="00155B36"/>
    <w:rsid w:val="001570B0"/>
    <w:rsid w:val="0015752C"/>
    <w:rsid w:val="00157737"/>
    <w:rsid w:val="00160FED"/>
    <w:rsid w:val="00165277"/>
    <w:rsid w:val="00170592"/>
    <w:rsid w:val="001720F7"/>
    <w:rsid w:val="00177B76"/>
    <w:rsid w:val="0018243E"/>
    <w:rsid w:val="001951F9"/>
    <w:rsid w:val="00195D83"/>
    <w:rsid w:val="001A00C1"/>
    <w:rsid w:val="001A1B5B"/>
    <w:rsid w:val="001B1A41"/>
    <w:rsid w:val="001B2822"/>
    <w:rsid w:val="001B2CB2"/>
    <w:rsid w:val="001B33E0"/>
    <w:rsid w:val="001B4573"/>
    <w:rsid w:val="001C779F"/>
    <w:rsid w:val="001D2AC1"/>
    <w:rsid w:val="001D4E88"/>
    <w:rsid w:val="001D7C84"/>
    <w:rsid w:val="0020669B"/>
    <w:rsid w:val="002112CB"/>
    <w:rsid w:val="00213838"/>
    <w:rsid w:val="002144FF"/>
    <w:rsid w:val="0021582A"/>
    <w:rsid w:val="00220FC2"/>
    <w:rsid w:val="002222F4"/>
    <w:rsid w:val="00224FC0"/>
    <w:rsid w:val="00225EA4"/>
    <w:rsid w:val="00226EAF"/>
    <w:rsid w:val="00231F3A"/>
    <w:rsid w:val="00232B9F"/>
    <w:rsid w:val="00237FFA"/>
    <w:rsid w:val="002406EE"/>
    <w:rsid w:val="00243EC8"/>
    <w:rsid w:val="00244AA0"/>
    <w:rsid w:val="00254E65"/>
    <w:rsid w:val="00262184"/>
    <w:rsid w:val="00266B27"/>
    <w:rsid w:val="00267A62"/>
    <w:rsid w:val="00270D93"/>
    <w:rsid w:val="002745CC"/>
    <w:rsid w:val="00276982"/>
    <w:rsid w:val="00276AF5"/>
    <w:rsid w:val="002833AC"/>
    <w:rsid w:val="00284515"/>
    <w:rsid w:val="002A77CD"/>
    <w:rsid w:val="002B11DD"/>
    <w:rsid w:val="002B6FBE"/>
    <w:rsid w:val="002B7924"/>
    <w:rsid w:val="002C10A6"/>
    <w:rsid w:val="002D28C3"/>
    <w:rsid w:val="002D39A4"/>
    <w:rsid w:val="002D7EAC"/>
    <w:rsid w:val="002E6705"/>
    <w:rsid w:val="002F1B69"/>
    <w:rsid w:val="002F6D8A"/>
    <w:rsid w:val="0030329A"/>
    <w:rsid w:val="0031086F"/>
    <w:rsid w:val="0031414C"/>
    <w:rsid w:val="00314E01"/>
    <w:rsid w:val="0032089D"/>
    <w:rsid w:val="003310DE"/>
    <w:rsid w:val="003323B0"/>
    <w:rsid w:val="00340523"/>
    <w:rsid w:val="00340A49"/>
    <w:rsid w:val="0034195C"/>
    <w:rsid w:val="00344802"/>
    <w:rsid w:val="0035169A"/>
    <w:rsid w:val="0035259D"/>
    <w:rsid w:val="00356B9D"/>
    <w:rsid w:val="00361BCF"/>
    <w:rsid w:val="00364B18"/>
    <w:rsid w:val="00370CE7"/>
    <w:rsid w:val="00373FB9"/>
    <w:rsid w:val="003828F6"/>
    <w:rsid w:val="003868F6"/>
    <w:rsid w:val="0039709F"/>
    <w:rsid w:val="003A125D"/>
    <w:rsid w:val="003A4C70"/>
    <w:rsid w:val="003A5BF1"/>
    <w:rsid w:val="003A6E91"/>
    <w:rsid w:val="003B215F"/>
    <w:rsid w:val="003C799C"/>
    <w:rsid w:val="003D0399"/>
    <w:rsid w:val="003D3D31"/>
    <w:rsid w:val="003E1305"/>
    <w:rsid w:val="003E1C71"/>
    <w:rsid w:val="003E639F"/>
    <w:rsid w:val="003F327B"/>
    <w:rsid w:val="003F7352"/>
    <w:rsid w:val="00406166"/>
    <w:rsid w:val="0040704B"/>
    <w:rsid w:val="00410A55"/>
    <w:rsid w:val="00410CFC"/>
    <w:rsid w:val="00411300"/>
    <w:rsid w:val="00413F17"/>
    <w:rsid w:val="00415417"/>
    <w:rsid w:val="0042385E"/>
    <w:rsid w:val="004238A7"/>
    <w:rsid w:val="00426659"/>
    <w:rsid w:val="004272C7"/>
    <w:rsid w:val="004274E5"/>
    <w:rsid w:val="00427ED2"/>
    <w:rsid w:val="004314F3"/>
    <w:rsid w:val="004348BB"/>
    <w:rsid w:val="004452E7"/>
    <w:rsid w:val="00446C42"/>
    <w:rsid w:val="00450352"/>
    <w:rsid w:val="00454BDB"/>
    <w:rsid w:val="00460622"/>
    <w:rsid w:val="0046161C"/>
    <w:rsid w:val="00464BC0"/>
    <w:rsid w:val="00465132"/>
    <w:rsid w:val="004659F2"/>
    <w:rsid w:val="00471F39"/>
    <w:rsid w:val="00475613"/>
    <w:rsid w:val="00476454"/>
    <w:rsid w:val="00480C90"/>
    <w:rsid w:val="0048396F"/>
    <w:rsid w:val="004931F8"/>
    <w:rsid w:val="00493C18"/>
    <w:rsid w:val="004A600C"/>
    <w:rsid w:val="004A6118"/>
    <w:rsid w:val="004A7939"/>
    <w:rsid w:val="004A7D00"/>
    <w:rsid w:val="004B3055"/>
    <w:rsid w:val="004C478D"/>
    <w:rsid w:val="004C4ED4"/>
    <w:rsid w:val="004D7D95"/>
    <w:rsid w:val="004E2C26"/>
    <w:rsid w:val="004E57CD"/>
    <w:rsid w:val="00501702"/>
    <w:rsid w:val="005125A8"/>
    <w:rsid w:val="00517549"/>
    <w:rsid w:val="00517664"/>
    <w:rsid w:val="00520ABC"/>
    <w:rsid w:val="0052116E"/>
    <w:rsid w:val="00521AE8"/>
    <w:rsid w:val="00525AD0"/>
    <w:rsid w:val="00527180"/>
    <w:rsid w:val="00527C01"/>
    <w:rsid w:val="00532418"/>
    <w:rsid w:val="00532BB9"/>
    <w:rsid w:val="0053416A"/>
    <w:rsid w:val="00544334"/>
    <w:rsid w:val="00550B9D"/>
    <w:rsid w:val="00555291"/>
    <w:rsid w:val="00556574"/>
    <w:rsid w:val="00557030"/>
    <w:rsid w:val="005617D5"/>
    <w:rsid w:val="00566AD1"/>
    <w:rsid w:val="00572814"/>
    <w:rsid w:val="00583EDE"/>
    <w:rsid w:val="00593AFC"/>
    <w:rsid w:val="005944C8"/>
    <w:rsid w:val="00594D8A"/>
    <w:rsid w:val="005973FE"/>
    <w:rsid w:val="00597B58"/>
    <w:rsid w:val="005A272B"/>
    <w:rsid w:val="005A51D3"/>
    <w:rsid w:val="005A6079"/>
    <w:rsid w:val="005A6ABC"/>
    <w:rsid w:val="005A7F96"/>
    <w:rsid w:val="005B6146"/>
    <w:rsid w:val="005C46E6"/>
    <w:rsid w:val="005C656D"/>
    <w:rsid w:val="005C6CFC"/>
    <w:rsid w:val="005C727F"/>
    <w:rsid w:val="005D0660"/>
    <w:rsid w:val="005E3CBC"/>
    <w:rsid w:val="005E4698"/>
    <w:rsid w:val="005E4D9F"/>
    <w:rsid w:val="00603924"/>
    <w:rsid w:val="006045A3"/>
    <w:rsid w:val="006061C7"/>
    <w:rsid w:val="00610539"/>
    <w:rsid w:val="00613969"/>
    <w:rsid w:val="00625C35"/>
    <w:rsid w:val="00640414"/>
    <w:rsid w:val="006404D3"/>
    <w:rsid w:val="00642D69"/>
    <w:rsid w:val="00647E49"/>
    <w:rsid w:val="00656313"/>
    <w:rsid w:val="006565F4"/>
    <w:rsid w:val="006716C6"/>
    <w:rsid w:val="00684EEA"/>
    <w:rsid w:val="0069689B"/>
    <w:rsid w:val="006B1191"/>
    <w:rsid w:val="006B5FF5"/>
    <w:rsid w:val="006C54E8"/>
    <w:rsid w:val="006F30AF"/>
    <w:rsid w:val="006F711D"/>
    <w:rsid w:val="00701759"/>
    <w:rsid w:val="00705C15"/>
    <w:rsid w:val="007110F6"/>
    <w:rsid w:val="007123A3"/>
    <w:rsid w:val="00715ADB"/>
    <w:rsid w:val="007208D1"/>
    <w:rsid w:val="007277CA"/>
    <w:rsid w:val="00735E11"/>
    <w:rsid w:val="00744518"/>
    <w:rsid w:val="007462F4"/>
    <w:rsid w:val="00747288"/>
    <w:rsid w:val="00747DD3"/>
    <w:rsid w:val="007549C8"/>
    <w:rsid w:val="00757898"/>
    <w:rsid w:val="00764AAE"/>
    <w:rsid w:val="00766D14"/>
    <w:rsid w:val="00767A0F"/>
    <w:rsid w:val="00767FC9"/>
    <w:rsid w:val="00772AAC"/>
    <w:rsid w:val="00776B39"/>
    <w:rsid w:val="007909D4"/>
    <w:rsid w:val="00791272"/>
    <w:rsid w:val="00795B2B"/>
    <w:rsid w:val="00796B06"/>
    <w:rsid w:val="007A05F6"/>
    <w:rsid w:val="007B57C5"/>
    <w:rsid w:val="007B6F4A"/>
    <w:rsid w:val="007B74A6"/>
    <w:rsid w:val="007B77E7"/>
    <w:rsid w:val="007C053A"/>
    <w:rsid w:val="007C0DC6"/>
    <w:rsid w:val="007D26EE"/>
    <w:rsid w:val="007D533D"/>
    <w:rsid w:val="007E1C47"/>
    <w:rsid w:val="007E2FA8"/>
    <w:rsid w:val="007E337A"/>
    <w:rsid w:val="007E5C70"/>
    <w:rsid w:val="007F2FF5"/>
    <w:rsid w:val="007F3F08"/>
    <w:rsid w:val="00800F78"/>
    <w:rsid w:val="00804CC6"/>
    <w:rsid w:val="00805DD1"/>
    <w:rsid w:val="008078FB"/>
    <w:rsid w:val="00817190"/>
    <w:rsid w:val="0082227D"/>
    <w:rsid w:val="00825954"/>
    <w:rsid w:val="008260E2"/>
    <w:rsid w:val="008322BD"/>
    <w:rsid w:val="00832F13"/>
    <w:rsid w:val="00833CA1"/>
    <w:rsid w:val="00834F73"/>
    <w:rsid w:val="0083647D"/>
    <w:rsid w:val="00845480"/>
    <w:rsid w:val="00860071"/>
    <w:rsid w:val="008610D5"/>
    <w:rsid w:val="00864C8A"/>
    <w:rsid w:val="00864CF8"/>
    <w:rsid w:val="008701B1"/>
    <w:rsid w:val="00874914"/>
    <w:rsid w:val="00881323"/>
    <w:rsid w:val="00891422"/>
    <w:rsid w:val="00892E1A"/>
    <w:rsid w:val="008B0562"/>
    <w:rsid w:val="008B38CA"/>
    <w:rsid w:val="008B61E7"/>
    <w:rsid w:val="008B660A"/>
    <w:rsid w:val="008C01DA"/>
    <w:rsid w:val="008C0CC9"/>
    <w:rsid w:val="008C0F50"/>
    <w:rsid w:val="008C36EC"/>
    <w:rsid w:val="008D176F"/>
    <w:rsid w:val="008F0E87"/>
    <w:rsid w:val="008F2674"/>
    <w:rsid w:val="008F78E9"/>
    <w:rsid w:val="00901DDE"/>
    <w:rsid w:val="0090661F"/>
    <w:rsid w:val="0091152D"/>
    <w:rsid w:val="00914B01"/>
    <w:rsid w:val="009179A0"/>
    <w:rsid w:val="009179F9"/>
    <w:rsid w:val="00917C7A"/>
    <w:rsid w:val="00933E5E"/>
    <w:rsid w:val="0093404B"/>
    <w:rsid w:val="00935218"/>
    <w:rsid w:val="00937C52"/>
    <w:rsid w:val="009403F3"/>
    <w:rsid w:val="00941D76"/>
    <w:rsid w:val="009555B7"/>
    <w:rsid w:val="009567AA"/>
    <w:rsid w:val="009602C9"/>
    <w:rsid w:val="00963CCD"/>
    <w:rsid w:val="009658FF"/>
    <w:rsid w:val="00967374"/>
    <w:rsid w:val="00971747"/>
    <w:rsid w:val="00987371"/>
    <w:rsid w:val="00993182"/>
    <w:rsid w:val="009A343A"/>
    <w:rsid w:val="009A47D5"/>
    <w:rsid w:val="009B1A09"/>
    <w:rsid w:val="009B2F23"/>
    <w:rsid w:val="009B57B3"/>
    <w:rsid w:val="009C351F"/>
    <w:rsid w:val="009C4302"/>
    <w:rsid w:val="009C69C1"/>
    <w:rsid w:val="009D2920"/>
    <w:rsid w:val="009D5AEB"/>
    <w:rsid w:val="009E4E9B"/>
    <w:rsid w:val="009F0E33"/>
    <w:rsid w:val="009F70AC"/>
    <w:rsid w:val="00A05972"/>
    <w:rsid w:val="00A07214"/>
    <w:rsid w:val="00A13BA6"/>
    <w:rsid w:val="00A149DF"/>
    <w:rsid w:val="00A15F51"/>
    <w:rsid w:val="00A1755C"/>
    <w:rsid w:val="00A21B90"/>
    <w:rsid w:val="00A22AAC"/>
    <w:rsid w:val="00A247B6"/>
    <w:rsid w:val="00A24AD1"/>
    <w:rsid w:val="00A340B7"/>
    <w:rsid w:val="00A40E15"/>
    <w:rsid w:val="00A41805"/>
    <w:rsid w:val="00A43E2B"/>
    <w:rsid w:val="00A51882"/>
    <w:rsid w:val="00A52AFB"/>
    <w:rsid w:val="00A548CB"/>
    <w:rsid w:val="00A5521C"/>
    <w:rsid w:val="00A57835"/>
    <w:rsid w:val="00A62103"/>
    <w:rsid w:val="00A62879"/>
    <w:rsid w:val="00A643E7"/>
    <w:rsid w:val="00A7275B"/>
    <w:rsid w:val="00A73AE4"/>
    <w:rsid w:val="00A73AF3"/>
    <w:rsid w:val="00A73C38"/>
    <w:rsid w:val="00A750BD"/>
    <w:rsid w:val="00A80955"/>
    <w:rsid w:val="00A84B45"/>
    <w:rsid w:val="00A96058"/>
    <w:rsid w:val="00AA0EF9"/>
    <w:rsid w:val="00AA5576"/>
    <w:rsid w:val="00AA63BC"/>
    <w:rsid w:val="00AB0501"/>
    <w:rsid w:val="00AB5A16"/>
    <w:rsid w:val="00AB670D"/>
    <w:rsid w:val="00AC7A6D"/>
    <w:rsid w:val="00AD4849"/>
    <w:rsid w:val="00AD5954"/>
    <w:rsid w:val="00AF03C5"/>
    <w:rsid w:val="00B000D8"/>
    <w:rsid w:val="00B00F75"/>
    <w:rsid w:val="00B11CBC"/>
    <w:rsid w:val="00B145B6"/>
    <w:rsid w:val="00B21DC0"/>
    <w:rsid w:val="00B24027"/>
    <w:rsid w:val="00B279EB"/>
    <w:rsid w:val="00B42AA0"/>
    <w:rsid w:val="00B50C81"/>
    <w:rsid w:val="00B5428A"/>
    <w:rsid w:val="00B557F8"/>
    <w:rsid w:val="00B56F4D"/>
    <w:rsid w:val="00B60DF9"/>
    <w:rsid w:val="00B63893"/>
    <w:rsid w:val="00B703CE"/>
    <w:rsid w:val="00B759BA"/>
    <w:rsid w:val="00B802A5"/>
    <w:rsid w:val="00B815FC"/>
    <w:rsid w:val="00B93FBC"/>
    <w:rsid w:val="00BA7DA0"/>
    <w:rsid w:val="00BB2EE4"/>
    <w:rsid w:val="00BB4C92"/>
    <w:rsid w:val="00BB5C81"/>
    <w:rsid w:val="00BC2108"/>
    <w:rsid w:val="00BC35C1"/>
    <w:rsid w:val="00BC4A12"/>
    <w:rsid w:val="00BD0E9E"/>
    <w:rsid w:val="00BD1BEC"/>
    <w:rsid w:val="00BD32FF"/>
    <w:rsid w:val="00BE724F"/>
    <w:rsid w:val="00BF5DA2"/>
    <w:rsid w:val="00BF6FE9"/>
    <w:rsid w:val="00C01061"/>
    <w:rsid w:val="00C01437"/>
    <w:rsid w:val="00C02092"/>
    <w:rsid w:val="00C049C1"/>
    <w:rsid w:val="00C10B80"/>
    <w:rsid w:val="00C20DEA"/>
    <w:rsid w:val="00C23479"/>
    <w:rsid w:val="00C24D91"/>
    <w:rsid w:val="00C26DB2"/>
    <w:rsid w:val="00C3055A"/>
    <w:rsid w:val="00C323B3"/>
    <w:rsid w:val="00C3311E"/>
    <w:rsid w:val="00C36740"/>
    <w:rsid w:val="00C41518"/>
    <w:rsid w:val="00C53F14"/>
    <w:rsid w:val="00C600CF"/>
    <w:rsid w:val="00C6084F"/>
    <w:rsid w:val="00C62A66"/>
    <w:rsid w:val="00C62AA2"/>
    <w:rsid w:val="00C66359"/>
    <w:rsid w:val="00C67126"/>
    <w:rsid w:val="00C7069C"/>
    <w:rsid w:val="00C71458"/>
    <w:rsid w:val="00C73EC5"/>
    <w:rsid w:val="00C77613"/>
    <w:rsid w:val="00C828E7"/>
    <w:rsid w:val="00C83334"/>
    <w:rsid w:val="00C843CC"/>
    <w:rsid w:val="00C86719"/>
    <w:rsid w:val="00C921DD"/>
    <w:rsid w:val="00C96291"/>
    <w:rsid w:val="00CA31E9"/>
    <w:rsid w:val="00CA6391"/>
    <w:rsid w:val="00CB140E"/>
    <w:rsid w:val="00CB1B9E"/>
    <w:rsid w:val="00CB5F13"/>
    <w:rsid w:val="00CC3296"/>
    <w:rsid w:val="00CC3FB8"/>
    <w:rsid w:val="00CC4F1D"/>
    <w:rsid w:val="00CC5645"/>
    <w:rsid w:val="00CC6AC3"/>
    <w:rsid w:val="00CD2618"/>
    <w:rsid w:val="00CD4CC4"/>
    <w:rsid w:val="00CE036E"/>
    <w:rsid w:val="00CE3171"/>
    <w:rsid w:val="00CE3474"/>
    <w:rsid w:val="00CE47A0"/>
    <w:rsid w:val="00CF1601"/>
    <w:rsid w:val="00CF19F5"/>
    <w:rsid w:val="00CF31F2"/>
    <w:rsid w:val="00CF4315"/>
    <w:rsid w:val="00CF5287"/>
    <w:rsid w:val="00CF5AB3"/>
    <w:rsid w:val="00D0172F"/>
    <w:rsid w:val="00D01E33"/>
    <w:rsid w:val="00D046E2"/>
    <w:rsid w:val="00D04A06"/>
    <w:rsid w:val="00D068A7"/>
    <w:rsid w:val="00D075EF"/>
    <w:rsid w:val="00D07809"/>
    <w:rsid w:val="00D15CF4"/>
    <w:rsid w:val="00D17476"/>
    <w:rsid w:val="00D17DDA"/>
    <w:rsid w:val="00D20EDC"/>
    <w:rsid w:val="00D21A34"/>
    <w:rsid w:val="00D2279D"/>
    <w:rsid w:val="00D27629"/>
    <w:rsid w:val="00D32086"/>
    <w:rsid w:val="00D329DD"/>
    <w:rsid w:val="00D37A3F"/>
    <w:rsid w:val="00D4431D"/>
    <w:rsid w:val="00D444EC"/>
    <w:rsid w:val="00D4667A"/>
    <w:rsid w:val="00D512AD"/>
    <w:rsid w:val="00D60A3E"/>
    <w:rsid w:val="00D60EBC"/>
    <w:rsid w:val="00D63A1C"/>
    <w:rsid w:val="00D7516F"/>
    <w:rsid w:val="00D75D0E"/>
    <w:rsid w:val="00D80D2E"/>
    <w:rsid w:val="00D91651"/>
    <w:rsid w:val="00D95A81"/>
    <w:rsid w:val="00D95F8E"/>
    <w:rsid w:val="00DA0590"/>
    <w:rsid w:val="00DA3BA4"/>
    <w:rsid w:val="00DA4B1B"/>
    <w:rsid w:val="00DB7901"/>
    <w:rsid w:val="00DC1739"/>
    <w:rsid w:val="00DC1788"/>
    <w:rsid w:val="00DC4FDE"/>
    <w:rsid w:val="00DD327E"/>
    <w:rsid w:val="00DD3288"/>
    <w:rsid w:val="00DD3F43"/>
    <w:rsid w:val="00DE319C"/>
    <w:rsid w:val="00DF0CA8"/>
    <w:rsid w:val="00DF2B48"/>
    <w:rsid w:val="00DF49A7"/>
    <w:rsid w:val="00E07EE2"/>
    <w:rsid w:val="00E07FD1"/>
    <w:rsid w:val="00E11EE2"/>
    <w:rsid w:val="00E1245E"/>
    <w:rsid w:val="00E202A4"/>
    <w:rsid w:val="00E20D56"/>
    <w:rsid w:val="00E24573"/>
    <w:rsid w:val="00E25319"/>
    <w:rsid w:val="00E25E1E"/>
    <w:rsid w:val="00E27EE7"/>
    <w:rsid w:val="00E35404"/>
    <w:rsid w:val="00E4309F"/>
    <w:rsid w:val="00E4363C"/>
    <w:rsid w:val="00E45109"/>
    <w:rsid w:val="00E47B7A"/>
    <w:rsid w:val="00E55DA2"/>
    <w:rsid w:val="00E56A44"/>
    <w:rsid w:val="00E60269"/>
    <w:rsid w:val="00E622FE"/>
    <w:rsid w:val="00E820EA"/>
    <w:rsid w:val="00E94091"/>
    <w:rsid w:val="00E97830"/>
    <w:rsid w:val="00EA2AB1"/>
    <w:rsid w:val="00EE0830"/>
    <w:rsid w:val="00EE6107"/>
    <w:rsid w:val="00EE6CB8"/>
    <w:rsid w:val="00EF0683"/>
    <w:rsid w:val="00EF2641"/>
    <w:rsid w:val="00F0070C"/>
    <w:rsid w:val="00F00EB7"/>
    <w:rsid w:val="00F0279D"/>
    <w:rsid w:val="00F04966"/>
    <w:rsid w:val="00F205A1"/>
    <w:rsid w:val="00F31477"/>
    <w:rsid w:val="00F31F10"/>
    <w:rsid w:val="00F34077"/>
    <w:rsid w:val="00F36AB6"/>
    <w:rsid w:val="00F37A09"/>
    <w:rsid w:val="00F409CE"/>
    <w:rsid w:val="00F41331"/>
    <w:rsid w:val="00F4379D"/>
    <w:rsid w:val="00F50D2D"/>
    <w:rsid w:val="00F52E6B"/>
    <w:rsid w:val="00F56C8B"/>
    <w:rsid w:val="00F57F9D"/>
    <w:rsid w:val="00F61911"/>
    <w:rsid w:val="00F62639"/>
    <w:rsid w:val="00F651CB"/>
    <w:rsid w:val="00F6649D"/>
    <w:rsid w:val="00F66810"/>
    <w:rsid w:val="00F71487"/>
    <w:rsid w:val="00F84DF4"/>
    <w:rsid w:val="00F85C97"/>
    <w:rsid w:val="00F923BF"/>
    <w:rsid w:val="00F93CC4"/>
    <w:rsid w:val="00F9520C"/>
    <w:rsid w:val="00FA76F2"/>
    <w:rsid w:val="00FB1404"/>
    <w:rsid w:val="00FB37D2"/>
    <w:rsid w:val="00FB58D9"/>
    <w:rsid w:val="00FC09D3"/>
    <w:rsid w:val="00FC4EFB"/>
    <w:rsid w:val="00FD068D"/>
    <w:rsid w:val="00FD4F28"/>
    <w:rsid w:val="00FD6F1B"/>
    <w:rsid w:val="00FE6784"/>
    <w:rsid w:val="00FE7A8B"/>
    <w:rsid w:val="00FF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74A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B74A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B74A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B74A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B74A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B74A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B74A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D60EBC"/>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B74A6"/>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7B74A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7B74A6"/>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7B74A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7B74A6"/>
    <w:rPr>
      <w:b/>
      <w:sz w:val="24"/>
    </w:rPr>
  </w:style>
  <w:style w:type="table" w:styleId="TableGrid">
    <w:name w:val="Table Grid"/>
    <w:basedOn w:val="TableNormal"/>
    <w:uiPriority w:val="59"/>
    <w:rsid w:val="007B74A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B74A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B74A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B74A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B74A6"/>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B74A6"/>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7B74A6"/>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7B74A6"/>
    <w:pPr>
      <w:numPr>
        <w:ilvl w:val="3"/>
      </w:numPr>
      <w:tabs>
        <w:tab w:val="num" w:pos="6048"/>
      </w:tabs>
    </w:pPr>
  </w:style>
  <w:style w:type="paragraph" w:customStyle="1" w:styleId="Title5LevelTitre5Niveau">
    <w:name w:val="Title 5 Level / Titre 5 Niveau"/>
    <w:basedOn w:val="Title1LevelTitre1Niveau-AltL"/>
    <w:next w:val="ParaNoNdepar-AltN"/>
    <w:uiPriority w:val="4"/>
    <w:qFormat/>
    <w:rsid w:val="007B74A6"/>
    <w:pPr>
      <w:numPr>
        <w:ilvl w:val="4"/>
      </w:numPr>
      <w:tabs>
        <w:tab w:val="clear" w:pos="576"/>
        <w:tab w:val="left" w:pos="1620"/>
      </w:tabs>
      <w:ind w:left="1620" w:hanging="540"/>
    </w:pPr>
  </w:style>
  <w:style w:type="paragraph" w:styleId="TOC1">
    <w:name w:val="toc 1"/>
    <w:basedOn w:val="Normal"/>
    <w:next w:val="Normal"/>
    <w:autoRedefine/>
    <w:uiPriority w:val="99"/>
    <w:unhideWhenUsed/>
    <w:rsid w:val="007B74A6"/>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99"/>
    <w:unhideWhenUsed/>
    <w:rsid w:val="007B74A6"/>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99"/>
    <w:unhideWhenUsed/>
    <w:rsid w:val="007B74A6"/>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99"/>
    <w:unhideWhenUsed/>
    <w:rsid w:val="007B74A6"/>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99"/>
    <w:unhideWhenUsed/>
    <w:rsid w:val="007B74A6"/>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99"/>
    <w:unhideWhenUsed/>
    <w:rsid w:val="007B74A6"/>
    <w:pPr>
      <w:tabs>
        <w:tab w:val="left" w:pos="2160"/>
        <w:tab w:val="right" w:leader="dot" w:pos="8270"/>
      </w:tabs>
      <w:spacing w:after="100"/>
      <w:ind w:left="1800"/>
    </w:pPr>
    <w:rPr>
      <w:noProof/>
      <w:lang w:val="fr-CA"/>
    </w:rPr>
  </w:style>
  <w:style w:type="table" w:customStyle="1" w:styleId="TableGrid1">
    <w:name w:val="Table Grid1"/>
    <w:basedOn w:val="TableNormal"/>
    <w:uiPriority w:val="99"/>
    <w:rsid w:val="007B74A6"/>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B74A6"/>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7B74A6"/>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7B74A6"/>
    <w:rPr>
      <w:rFonts w:ascii="Tahoma" w:hAnsi="Tahoma" w:cs="Tahoma"/>
      <w:sz w:val="16"/>
      <w:szCs w:val="16"/>
      <w:lang w:val="fr-CA"/>
    </w:rPr>
  </w:style>
  <w:style w:type="paragraph" w:customStyle="1" w:styleId="paranondepar-altn1">
    <w:name w:val="paranondepar-altn1"/>
    <w:basedOn w:val="Normal"/>
    <w:uiPriority w:val="99"/>
    <w:rsid w:val="007B74A6"/>
    <w:pPr>
      <w:spacing w:before="480" w:after="480"/>
      <w:jc w:val="both"/>
    </w:pPr>
    <w:rPr>
      <w:szCs w:val="24"/>
      <w:lang w:val="fr-CA"/>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iPriority w:val="99"/>
    <w:unhideWhenUsed/>
    <w:qFormat/>
    <w:rsid w:val="007B74A6"/>
    <w:rPr>
      <w:sz w:val="20"/>
      <w:lang w:val="fr-CA"/>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7B74A6"/>
    <w:rPr>
      <w:lang w:val="fr-CA"/>
    </w:rPr>
  </w:style>
  <w:style w:type="character" w:styleId="FootnoteReference">
    <w:name w:val="footnote reference"/>
    <w:basedOn w:val="DefaultParagraphFont"/>
    <w:uiPriority w:val="99"/>
    <w:unhideWhenUsed/>
    <w:rsid w:val="007B74A6"/>
    <w:rPr>
      <w:vertAlign w:val="superscript"/>
    </w:rPr>
  </w:style>
  <w:style w:type="character" w:styleId="CommentReference">
    <w:name w:val="annotation reference"/>
    <w:basedOn w:val="DefaultParagraphFont"/>
    <w:uiPriority w:val="99"/>
    <w:semiHidden/>
    <w:unhideWhenUsed/>
    <w:rsid w:val="007B74A6"/>
    <w:rPr>
      <w:sz w:val="16"/>
      <w:szCs w:val="16"/>
    </w:rPr>
  </w:style>
  <w:style w:type="paragraph" w:styleId="CommentText">
    <w:name w:val="annotation text"/>
    <w:basedOn w:val="Normal"/>
    <w:link w:val="CommentTextChar"/>
    <w:uiPriority w:val="99"/>
    <w:semiHidden/>
    <w:unhideWhenUsed/>
    <w:rsid w:val="007B74A6"/>
    <w:rPr>
      <w:sz w:val="20"/>
      <w:lang w:val="fr-CA"/>
    </w:rPr>
  </w:style>
  <w:style w:type="character" w:customStyle="1" w:styleId="CommentTextChar">
    <w:name w:val="Comment Text Char"/>
    <w:basedOn w:val="DefaultParagraphFont"/>
    <w:link w:val="CommentText"/>
    <w:uiPriority w:val="99"/>
    <w:semiHidden/>
    <w:rsid w:val="007B74A6"/>
    <w:rPr>
      <w:lang w:val="fr-CA"/>
    </w:rPr>
  </w:style>
  <w:style w:type="paragraph" w:styleId="CommentSubject">
    <w:name w:val="annotation subject"/>
    <w:basedOn w:val="CommentText"/>
    <w:next w:val="CommentText"/>
    <w:link w:val="CommentSubjectChar"/>
    <w:uiPriority w:val="99"/>
    <w:semiHidden/>
    <w:unhideWhenUsed/>
    <w:rsid w:val="007B74A6"/>
    <w:rPr>
      <w:b/>
      <w:bCs/>
    </w:rPr>
  </w:style>
  <w:style w:type="character" w:customStyle="1" w:styleId="CommentSubjectChar">
    <w:name w:val="Comment Subject Char"/>
    <w:basedOn w:val="CommentTextChar"/>
    <w:link w:val="CommentSubject"/>
    <w:uiPriority w:val="99"/>
    <w:semiHidden/>
    <w:rsid w:val="007B74A6"/>
    <w:rPr>
      <w:b/>
      <w:bCs/>
    </w:rPr>
  </w:style>
  <w:style w:type="paragraph" w:styleId="ListParagraph">
    <w:name w:val="List Paragraph"/>
    <w:basedOn w:val="Normal"/>
    <w:uiPriority w:val="34"/>
    <w:qFormat/>
    <w:rsid w:val="007B74A6"/>
    <w:pPr>
      <w:ind w:left="720"/>
      <w:contextualSpacing/>
    </w:pPr>
    <w:rPr>
      <w:szCs w:val="24"/>
      <w:lang w:val="fr-CA"/>
    </w:rPr>
  </w:style>
  <w:style w:type="character" w:customStyle="1" w:styleId="Heading3Char">
    <w:name w:val="Heading 3 Char"/>
    <w:basedOn w:val="DefaultParagraphFont"/>
    <w:link w:val="Heading3"/>
    <w:uiPriority w:val="9"/>
    <w:semiHidden/>
    <w:rsid w:val="007B74A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B74A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B74A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B74A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B74A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B74A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B74A6"/>
    <w:rPr>
      <w:rFonts w:asciiTheme="majorHAnsi" w:eastAsiaTheme="majorEastAsia" w:hAnsiTheme="majorHAnsi" w:cstheme="majorBidi"/>
      <w:i/>
      <w:iCs/>
      <w:color w:val="404040" w:themeColor="text1" w:themeTint="BF"/>
      <w:lang w:val="en-US" w:eastAsia="en-US" w:bidi="en-US"/>
    </w:rPr>
  </w:style>
  <w:style w:type="character" w:customStyle="1" w:styleId="decisia-reflex2-icon">
    <w:name w:val="decisia-reflex2-icon"/>
    <w:rsid w:val="007B74A6"/>
    <w:rPr>
      <w:sz w:val="19"/>
      <w:szCs w:val="19"/>
      <w:u w:val="none"/>
      <w:effect w:val="none"/>
    </w:rPr>
  </w:style>
  <w:style w:type="paragraph" w:customStyle="1" w:styleId="reasonsnumbering-altn1">
    <w:name w:val="reasonsnumbering-altn1"/>
    <w:basedOn w:val="Normal"/>
    <w:uiPriority w:val="99"/>
    <w:rsid w:val="007B74A6"/>
    <w:pPr>
      <w:spacing w:after="480" w:line="480" w:lineRule="auto"/>
      <w:ind w:left="360" w:hanging="360"/>
      <w:jc w:val="both"/>
    </w:pPr>
    <w:rPr>
      <w:rFonts w:eastAsiaTheme="minorHAnsi" w:cstheme="minorBidi"/>
      <w:szCs w:val="22"/>
      <w:lang w:val="en-US" w:eastAsia="en-US" w:bidi="en-US"/>
    </w:rPr>
  </w:style>
  <w:style w:type="character" w:customStyle="1" w:styleId="term01">
    <w:name w:val="term01"/>
    <w:uiPriority w:val="99"/>
    <w:rsid w:val="007B74A6"/>
    <w:rPr>
      <w:shd w:val="clear" w:color="auto" w:fill="BFE8FD"/>
    </w:rPr>
  </w:style>
  <w:style w:type="character" w:customStyle="1" w:styleId="term02">
    <w:name w:val="term02"/>
    <w:uiPriority w:val="99"/>
    <w:rsid w:val="007B74A6"/>
    <w:rPr>
      <w:shd w:val="clear" w:color="auto" w:fill="BFE8FD"/>
    </w:rPr>
  </w:style>
  <w:style w:type="character" w:customStyle="1" w:styleId="term03">
    <w:name w:val="term03"/>
    <w:uiPriority w:val="99"/>
    <w:rsid w:val="007B74A6"/>
    <w:rPr>
      <w:shd w:val="clear" w:color="auto" w:fill="BFE8FD"/>
    </w:rPr>
  </w:style>
  <w:style w:type="character" w:styleId="Hyperlink">
    <w:name w:val="Hyperlink"/>
    <w:basedOn w:val="DefaultParagraphFont"/>
    <w:uiPriority w:val="99"/>
    <w:unhideWhenUsed/>
    <w:rsid w:val="007B74A6"/>
    <w:rPr>
      <w:color w:val="0000FF" w:themeColor="hyperlink"/>
      <w:u w:val="single"/>
    </w:rPr>
  </w:style>
  <w:style w:type="paragraph" w:styleId="NoSpacing">
    <w:name w:val="No Spacing"/>
    <w:uiPriority w:val="1"/>
    <w:rsid w:val="007B74A6"/>
    <w:rPr>
      <w:rFonts w:eastAsiaTheme="minorHAnsi" w:cstheme="minorBidi"/>
      <w:sz w:val="24"/>
      <w:szCs w:val="22"/>
      <w:lang w:val="en-US" w:eastAsia="en-US" w:bidi="en-US"/>
    </w:rPr>
  </w:style>
  <w:style w:type="character" w:customStyle="1" w:styleId="highlight">
    <w:name w:val="highlight"/>
    <w:basedOn w:val="DefaultParagraphFont"/>
    <w:rsid w:val="007B74A6"/>
  </w:style>
  <w:style w:type="character" w:customStyle="1" w:styleId="complet">
    <w:name w:val="complet"/>
    <w:basedOn w:val="DefaultParagraphFont"/>
    <w:rsid w:val="007B74A6"/>
  </w:style>
  <w:style w:type="paragraph" w:styleId="Revision">
    <w:name w:val="Revision"/>
    <w:hidden/>
    <w:uiPriority w:val="99"/>
    <w:semiHidden/>
    <w:rsid w:val="007B74A6"/>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7B74A6"/>
    <w:rPr>
      <w:smallCaps/>
      <w:sz w:val="24"/>
      <w:szCs w:val="24"/>
    </w:rPr>
  </w:style>
  <w:style w:type="paragraph" w:styleId="TOCHeading">
    <w:name w:val="TOC Heading"/>
    <w:basedOn w:val="Heading1"/>
    <w:next w:val="Normal"/>
    <w:uiPriority w:val="39"/>
    <w:semiHidden/>
    <w:unhideWhenUsed/>
    <w:qFormat/>
    <w:rsid w:val="007B74A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B74A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B74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B74A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B74A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B74A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B74A6"/>
    <w:rPr>
      <w:i/>
      <w:iCs/>
    </w:rPr>
  </w:style>
  <w:style w:type="paragraph" w:styleId="IntenseQuote">
    <w:name w:val="Intense Quote"/>
    <w:basedOn w:val="Normal"/>
    <w:next w:val="Normal"/>
    <w:link w:val="IntenseQuoteChar"/>
    <w:uiPriority w:val="30"/>
    <w:rsid w:val="007B74A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B74A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B74A6"/>
    <w:rPr>
      <w:i/>
      <w:iCs/>
      <w:color w:val="808080" w:themeColor="text1" w:themeTint="7F"/>
    </w:rPr>
  </w:style>
  <w:style w:type="character" w:styleId="IntenseEmphasis">
    <w:name w:val="Intense Emphasis"/>
    <w:basedOn w:val="DefaultParagraphFont"/>
    <w:uiPriority w:val="21"/>
    <w:rsid w:val="007B74A6"/>
    <w:rPr>
      <w:b/>
      <w:bCs/>
      <w:i/>
      <w:iCs/>
      <w:color w:val="4F81BD" w:themeColor="accent1"/>
    </w:rPr>
  </w:style>
  <w:style w:type="character" w:styleId="SubtleReference">
    <w:name w:val="Subtle Reference"/>
    <w:basedOn w:val="DefaultParagraphFont"/>
    <w:uiPriority w:val="31"/>
    <w:rsid w:val="007B74A6"/>
    <w:rPr>
      <w:smallCaps/>
      <w:color w:val="C0504D" w:themeColor="accent2"/>
      <w:u w:val="single"/>
    </w:rPr>
  </w:style>
  <w:style w:type="character" w:styleId="IntenseReference">
    <w:name w:val="Intense Reference"/>
    <w:basedOn w:val="DefaultParagraphFont"/>
    <w:uiPriority w:val="32"/>
    <w:rsid w:val="007B74A6"/>
    <w:rPr>
      <w:b/>
      <w:bCs/>
      <w:smallCaps/>
      <w:color w:val="C0504D" w:themeColor="accent2"/>
      <w:spacing w:val="5"/>
      <w:u w:val="single"/>
    </w:rPr>
  </w:style>
  <w:style w:type="character" w:styleId="BookTitle">
    <w:name w:val="Book Title"/>
    <w:basedOn w:val="DefaultParagraphFont"/>
    <w:uiPriority w:val="33"/>
    <w:rsid w:val="007B74A6"/>
    <w:rPr>
      <w:b/>
      <w:bCs/>
      <w:smallCaps/>
      <w:spacing w:val="5"/>
    </w:rPr>
  </w:style>
  <w:style w:type="paragraph" w:customStyle="1" w:styleId="Title6LevelTitre6Niveau">
    <w:name w:val="Title 6 Level / Titre 6 Niveau"/>
    <w:basedOn w:val="Title5LevelTitre5Niveau"/>
    <w:next w:val="ParaNoNdepar-AltN"/>
    <w:uiPriority w:val="4"/>
    <w:qFormat/>
    <w:rsid w:val="007B74A6"/>
    <w:pPr>
      <w:numPr>
        <w:ilvl w:val="0"/>
        <w:numId w:val="0"/>
      </w:numPr>
      <w:tabs>
        <w:tab w:val="clear" w:pos="1620"/>
        <w:tab w:val="num" w:pos="1728"/>
      </w:tabs>
      <w:ind w:left="1728" w:hanging="576"/>
    </w:pPr>
    <w:rPr>
      <w:i/>
      <w:u w:val="none"/>
    </w:rPr>
  </w:style>
  <w:style w:type="character" w:customStyle="1" w:styleId="SCCLsocPartyRoleChar">
    <w:name w:val="SCC.Lsoc.PartyRole Char"/>
    <w:basedOn w:val="DefaultParagraphFont"/>
    <w:rsid w:val="0018243E"/>
    <w:rPr>
      <w:lang w:val="fr-CA"/>
    </w:rPr>
  </w:style>
  <w:style w:type="paragraph" w:customStyle="1" w:styleId="SCCLsocPrefix">
    <w:name w:val="SCC.Lsoc.Prefix"/>
    <w:basedOn w:val="Normal"/>
    <w:next w:val="Normal"/>
    <w:link w:val="SCCLsocPrefixChar"/>
    <w:rsid w:val="0018243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8243E"/>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2110-3038-4012-A1F4-F438DDA1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43228</Words>
  <Characters>228421</Characters>
  <Application>Microsoft Office Word</Application>
  <DocSecurity>0</DocSecurity>
  <Lines>1903</Lines>
  <Paragraphs>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2015-01-19T22:43:00Z</dcterms:created>
  <dcterms:modified xsi:type="dcterms:W3CDTF">2015-05-21T12:26:00Z</dcterms:modified>
</cp:coreProperties>
</file>