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DC" w:rsidRDefault="00F74BDC" w:rsidP="00F74BD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93704754" r:id="rId9"/>
        </w:object>
      </w:r>
      <w:r>
        <w:t xml:space="preserve"> </w:t>
      </w:r>
      <w:r>
        <w:ptab w:relativeTo="margin" w:alignment="right" w:leader="none"/>
      </w:r>
    </w:p>
    <w:p w:rsidR="00F74BDC" w:rsidRDefault="00F74BDC" w:rsidP="00F74BDC">
      <w:pPr>
        <w:pStyle w:val="Header"/>
      </w:pPr>
    </w:p>
    <w:p w:rsidR="00F74BDC" w:rsidRPr="001E12E2" w:rsidRDefault="00F74BDC" w:rsidP="00F74BDC">
      <w:pPr>
        <w:jc w:val="center"/>
        <w:rPr>
          <w:b/>
        </w:rPr>
      </w:pPr>
      <w:r w:rsidRPr="001E12E2">
        <w:rPr>
          <w:b/>
        </w:rPr>
        <w:t>COUR SUPRÊME DU CANADA</w:t>
      </w:r>
    </w:p>
    <w:p w:rsidR="00F74BDC" w:rsidRDefault="00F74BDC" w:rsidP="00F74BD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F74BDC" w:rsidRPr="001E12E2" w:rsidTr="007A1554">
        <w:trPr>
          <w:cantSplit/>
        </w:trPr>
        <w:tc>
          <w:tcPr>
            <w:tcW w:w="6768" w:type="dxa"/>
          </w:tcPr>
          <w:p w:rsidR="00F74BDC" w:rsidRPr="001E12E2" w:rsidRDefault="00F74BDC" w:rsidP="007A1554">
            <w:r>
              <w:rPr>
                <w:b/>
                <w:smallCaps/>
              </w:rPr>
              <w:t>Référence :</w:t>
            </w:r>
            <w:r w:rsidRPr="001E12E2">
              <w:t xml:space="preserve"> </w:t>
            </w:r>
            <w:proofErr w:type="spellStart"/>
            <w:r w:rsidRPr="00086747">
              <w:t>Tervita</w:t>
            </w:r>
            <w:proofErr w:type="spellEnd"/>
            <w:r w:rsidRPr="00086747">
              <w:t xml:space="preserve"> Corp. </w:t>
            </w:r>
            <w:r w:rsidRPr="00086747">
              <w:rPr>
                <w:i/>
              </w:rPr>
              <w:t>c.</w:t>
            </w:r>
            <w:r w:rsidRPr="00086747">
              <w:t xml:space="preserve"> Canada (</w:t>
            </w:r>
            <w:proofErr w:type="spellStart"/>
            <w:r w:rsidRPr="00086747">
              <w:t>Commissaire</w:t>
            </w:r>
            <w:proofErr w:type="spellEnd"/>
            <w:r w:rsidRPr="00086747">
              <w:t xml:space="preserve"> de la concurrence)</w:t>
            </w:r>
            <w:r>
              <w:t xml:space="preserve">, 2015 CSC 3, </w:t>
            </w:r>
            <w:r>
              <w:rPr>
                <w:lang w:val="fr-CA"/>
              </w:rPr>
              <w:t>[2015] 1 R.C.S. 161</w:t>
            </w:r>
          </w:p>
        </w:tc>
        <w:tc>
          <w:tcPr>
            <w:tcW w:w="2808" w:type="dxa"/>
          </w:tcPr>
          <w:p w:rsidR="00F74BDC" w:rsidRPr="001E12E2" w:rsidRDefault="00F74BDC" w:rsidP="007A1554">
            <w:r w:rsidRPr="001E12E2">
              <w:rPr>
                <w:b/>
                <w:smallCaps/>
              </w:rPr>
              <w:t>Date</w:t>
            </w:r>
            <w:r>
              <w:rPr>
                <w:b/>
                <w:smallCaps/>
              </w:rPr>
              <w:t> :</w:t>
            </w:r>
            <w:r w:rsidRPr="001E12E2">
              <w:t xml:space="preserve"> </w:t>
            </w:r>
            <w:r>
              <w:t>20150122</w:t>
            </w:r>
          </w:p>
          <w:p w:rsidR="00F74BDC" w:rsidRPr="001E12E2" w:rsidRDefault="00F74BDC" w:rsidP="007A1554">
            <w:r w:rsidRPr="001E12E2">
              <w:rPr>
                <w:b/>
                <w:smallCaps/>
              </w:rPr>
              <w:t>Do</w:t>
            </w:r>
            <w:r>
              <w:rPr>
                <w:b/>
                <w:smallCaps/>
              </w:rPr>
              <w:t>ssier :</w:t>
            </w:r>
            <w:r w:rsidRPr="001E12E2">
              <w:t xml:space="preserve"> </w:t>
            </w:r>
            <w:r>
              <w:t>35314</w:t>
            </w:r>
          </w:p>
        </w:tc>
      </w:tr>
    </w:tbl>
    <w:p w:rsidR="00F74BDC" w:rsidRPr="001E12E2" w:rsidRDefault="00F74BDC" w:rsidP="00F74BDC"/>
    <w:p w:rsidR="00F74BDC" w:rsidRDefault="00F74BDC" w:rsidP="00F74BDC">
      <w:pPr>
        <w:pStyle w:val="SCCLsocPrefix"/>
      </w:pPr>
      <w:r>
        <w:t>Entre :</w:t>
      </w:r>
    </w:p>
    <w:p w:rsidR="00F74BDC" w:rsidRDefault="00F74BDC" w:rsidP="00F74BDC">
      <w:pPr>
        <w:pStyle w:val="SCCLsocParty"/>
        <w:jc w:val="center"/>
      </w:pPr>
      <w:proofErr w:type="spellStart"/>
      <w:r>
        <w:t>Tervita</w:t>
      </w:r>
      <w:proofErr w:type="spellEnd"/>
      <w:r>
        <w:t xml:space="preserve"> Corporation,</w:t>
      </w:r>
    </w:p>
    <w:p w:rsidR="00F74BDC" w:rsidRDefault="00F74BDC" w:rsidP="00F74BDC">
      <w:pPr>
        <w:pStyle w:val="SCCLsocParty"/>
        <w:jc w:val="center"/>
      </w:pPr>
      <w:r>
        <w:t xml:space="preserve">Complete Environmental Inc. </w:t>
      </w:r>
      <w:proofErr w:type="gramStart"/>
      <w:r>
        <w:t>et</w:t>
      </w:r>
      <w:proofErr w:type="gramEnd"/>
    </w:p>
    <w:p w:rsidR="00F74BDC" w:rsidRDefault="00F74BDC" w:rsidP="00F74BDC">
      <w:pPr>
        <w:pStyle w:val="SCCLsocParty"/>
        <w:jc w:val="center"/>
      </w:pPr>
      <w:proofErr w:type="spellStart"/>
      <w:r>
        <w:t>Babkirk</w:t>
      </w:r>
      <w:proofErr w:type="spellEnd"/>
      <w:r>
        <w:t xml:space="preserve"> Land Services Inc.</w:t>
      </w:r>
    </w:p>
    <w:p w:rsidR="00F74BDC" w:rsidRDefault="00F74BDC" w:rsidP="00F74BDC">
      <w:pPr>
        <w:jc w:val="center"/>
      </w:pPr>
      <w:proofErr w:type="spellStart"/>
      <w:r>
        <w:t>Appelantes</w:t>
      </w:r>
      <w:proofErr w:type="spellEnd"/>
    </w:p>
    <w:p w:rsidR="00F74BDC" w:rsidRPr="00F74BDC" w:rsidRDefault="00F74BDC" w:rsidP="00F74BDC">
      <w:pPr>
        <w:pStyle w:val="SCCLsocVersus"/>
        <w:spacing w:after="0"/>
        <w:jc w:val="center"/>
        <w:rPr>
          <w:i w:val="0"/>
        </w:rPr>
      </w:pPr>
      <w:proofErr w:type="gramStart"/>
      <w:r w:rsidRPr="00F74BDC">
        <w:rPr>
          <w:i w:val="0"/>
        </w:rPr>
        <w:t>et</w:t>
      </w:r>
      <w:proofErr w:type="gramEnd"/>
    </w:p>
    <w:p w:rsidR="00F74BDC" w:rsidRDefault="00F74BDC" w:rsidP="00F74BDC">
      <w:pPr>
        <w:pStyle w:val="SCCLsocParty"/>
        <w:jc w:val="center"/>
      </w:pPr>
      <w:proofErr w:type="spellStart"/>
      <w:r>
        <w:t>Commissaire</w:t>
      </w:r>
      <w:proofErr w:type="spellEnd"/>
      <w:r>
        <w:t xml:space="preserve"> de la concurrence</w:t>
      </w:r>
    </w:p>
    <w:p w:rsidR="00F74BDC" w:rsidRDefault="00F74BDC" w:rsidP="00F74BDC">
      <w:pPr>
        <w:jc w:val="center"/>
      </w:pPr>
      <w:proofErr w:type="spellStart"/>
      <w:r>
        <w:t>Intimé</w:t>
      </w:r>
      <w:proofErr w:type="spellEnd"/>
    </w:p>
    <w:p w:rsidR="00F74BDC" w:rsidRDefault="00F74BDC" w:rsidP="00F74BDC"/>
    <w:p w:rsidR="00F74BDC" w:rsidRPr="001E12E2" w:rsidRDefault="00F74BDC" w:rsidP="00F74BDC">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F74BDC" w:rsidRPr="001E12E2" w:rsidRDefault="00F74BDC" w:rsidP="00F74BDC"/>
    <w:p w:rsidR="00F74BDC" w:rsidRPr="001E12E2" w:rsidRDefault="00F74BDC" w:rsidP="00F74BDC">
      <w:proofErr w:type="gramStart"/>
      <w:r w:rsidRPr="001E12E2">
        <w:rPr>
          <w:b/>
          <w:smallCaps/>
        </w:rPr>
        <w:t>Coram</w:t>
      </w:r>
      <w:r>
        <w:rPr>
          <w:b/>
          <w:smallCaps/>
        </w:rPr>
        <w:t> :</w:t>
      </w:r>
      <w:proofErr w:type="gramEnd"/>
      <w:r w:rsidRPr="001E12E2">
        <w:t xml:space="preserve"> </w:t>
      </w:r>
      <w:r>
        <w:t xml:space="preserve">La </w:t>
      </w:r>
      <w:proofErr w:type="spellStart"/>
      <w:r>
        <w:t>juge</w:t>
      </w:r>
      <w:proofErr w:type="spellEnd"/>
      <w:r>
        <w:t xml:space="preserve"> en chef </w:t>
      </w:r>
      <w:proofErr w:type="spellStart"/>
      <w:r>
        <w:t>McLachlin</w:t>
      </w:r>
      <w:proofErr w:type="spellEnd"/>
      <w:r>
        <w:t xml:space="preserve"> et les </w:t>
      </w:r>
      <w:proofErr w:type="spellStart"/>
      <w:r>
        <w:t>juges</w:t>
      </w:r>
      <w:proofErr w:type="spellEnd"/>
      <w:r>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et Wagner</w:t>
      </w:r>
    </w:p>
    <w:p w:rsidR="00F74BDC" w:rsidRPr="001E12E2" w:rsidRDefault="00F74BDC" w:rsidP="00F74BD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F74BDC" w:rsidRPr="001E12E2" w:rsidTr="007A1554">
        <w:trPr>
          <w:cantSplit/>
        </w:trPr>
        <w:tc>
          <w:tcPr>
            <w:tcW w:w="3618" w:type="dxa"/>
          </w:tcPr>
          <w:p w:rsidR="00F74BDC" w:rsidRDefault="00F74BDC" w:rsidP="007A1554">
            <w:pPr>
              <w:rPr>
                <w:b/>
                <w:smallCaps/>
              </w:rPr>
            </w:pPr>
            <w:r>
              <w:rPr>
                <w:b/>
                <w:smallCaps/>
              </w:rPr>
              <w:t>Motifs</w:t>
            </w:r>
            <w:r w:rsidRPr="001E12E2">
              <w:rPr>
                <w:b/>
                <w:smallCaps/>
              </w:rPr>
              <w:t xml:space="preserve"> </w:t>
            </w:r>
            <w:r>
              <w:rPr>
                <w:b/>
                <w:smallCaps/>
              </w:rPr>
              <w:t>de</w:t>
            </w:r>
            <w:r w:rsidRPr="001E12E2">
              <w:rPr>
                <w:b/>
                <w:smallCaps/>
              </w:rPr>
              <w:t xml:space="preserve"> </w:t>
            </w:r>
            <w:proofErr w:type="spellStart"/>
            <w:r>
              <w:rPr>
                <w:b/>
                <w:smallCaps/>
              </w:rPr>
              <w:t>j</w:t>
            </w:r>
            <w:r w:rsidRPr="001E12E2">
              <w:rPr>
                <w:b/>
                <w:smallCaps/>
              </w:rPr>
              <w:t>ug</w:t>
            </w:r>
            <w:r>
              <w:rPr>
                <w:b/>
                <w:smallCaps/>
              </w:rPr>
              <w:t>e</w:t>
            </w:r>
            <w:r w:rsidRPr="001E12E2">
              <w:rPr>
                <w:b/>
                <w:smallCaps/>
              </w:rPr>
              <w:t>ment</w:t>
            </w:r>
            <w:proofErr w:type="spellEnd"/>
            <w:r>
              <w:rPr>
                <w:b/>
                <w:smallCaps/>
              </w:rPr>
              <w:t> :</w:t>
            </w:r>
          </w:p>
          <w:p w:rsidR="00F74BDC" w:rsidRPr="00086747" w:rsidRDefault="00F74BDC" w:rsidP="007A1554">
            <w:pPr>
              <w:rPr>
                <w:smallCaps/>
              </w:rPr>
            </w:pPr>
            <w:r>
              <w:t>(par. 1 à 168):</w:t>
            </w:r>
          </w:p>
          <w:p w:rsidR="00F74BDC" w:rsidRPr="00086747" w:rsidRDefault="00F74BDC" w:rsidP="007A1554">
            <w:pPr>
              <w:rPr>
                <w:smallCaps/>
              </w:rPr>
            </w:pPr>
          </w:p>
          <w:p w:rsidR="00F74BDC" w:rsidRPr="00086747" w:rsidRDefault="00F74BDC" w:rsidP="007A1554">
            <w:pPr>
              <w:rPr>
                <w:smallCaps/>
              </w:rPr>
            </w:pPr>
            <w:r w:rsidRPr="00086747">
              <w:rPr>
                <w:b/>
                <w:smallCaps/>
              </w:rPr>
              <w:t xml:space="preserve">Motifs </w:t>
            </w:r>
            <w:proofErr w:type="spellStart"/>
            <w:r>
              <w:rPr>
                <w:b/>
                <w:smallCaps/>
              </w:rPr>
              <w:t>concordants</w:t>
            </w:r>
            <w:proofErr w:type="spellEnd"/>
            <w:r>
              <w:rPr>
                <w:b/>
                <w:smallCaps/>
              </w:rPr>
              <w:t xml:space="preserve"> en </w:t>
            </w:r>
            <w:proofErr w:type="spellStart"/>
            <w:r>
              <w:rPr>
                <w:b/>
                <w:smallCaps/>
              </w:rPr>
              <w:t>partie</w:t>
            </w:r>
            <w:proofErr w:type="spellEnd"/>
            <w:r>
              <w:rPr>
                <w:b/>
                <w:smallCaps/>
              </w:rPr>
              <w:t> </w:t>
            </w:r>
            <w:r w:rsidRPr="00086747">
              <w:rPr>
                <w:b/>
                <w:smallCaps/>
              </w:rPr>
              <w:t>:</w:t>
            </w:r>
          </w:p>
          <w:p w:rsidR="00F74BDC" w:rsidRPr="00086747" w:rsidRDefault="00F74BDC" w:rsidP="007A1554">
            <w:pPr>
              <w:rPr>
                <w:smallCaps/>
              </w:rPr>
            </w:pPr>
            <w:r>
              <w:t>(par. 169 à 180):</w:t>
            </w:r>
          </w:p>
          <w:p w:rsidR="00F74BDC" w:rsidRDefault="00F74BDC" w:rsidP="007A1554">
            <w:pPr>
              <w:rPr>
                <w:smallCaps/>
              </w:rPr>
            </w:pPr>
          </w:p>
          <w:p w:rsidR="00F74BDC" w:rsidRPr="00086747" w:rsidRDefault="00F74BDC" w:rsidP="007A1554">
            <w:pPr>
              <w:rPr>
                <w:b/>
                <w:smallCaps/>
              </w:rPr>
            </w:pPr>
            <w:r w:rsidRPr="00086747">
              <w:rPr>
                <w:b/>
                <w:smallCaps/>
              </w:rPr>
              <w:t>Motifs dissidents :</w:t>
            </w:r>
          </w:p>
          <w:p w:rsidR="00F74BDC" w:rsidRPr="00086747" w:rsidRDefault="00F74BDC" w:rsidP="007A1554">
            <w:pPr>
              <w:rPr>
                <w:smallCaps/>
              </w:rPr>
            </w:pPr>
            <w:r>
              <w:t>(par. 181 à 200):</w:t>
            </w:r>
          </w:p>
          <w:p w:rsidR="00F74BDC" w:rsidRPr="001E12E2" w:rsidRDefault="00F74BDC" w:rsidP="007A1554"/>
        </w:tc>
        <w:tc>
          <w:tcPr>
            <w:tcW w:w="5958" w:type="dxa"/>
          </w:tcPr>
          <w:p w:rsidR="00F74BDC" w:rsidRDefault="00F74BDC" w:rsidP="007A1554">
            <w:r>
              <w:t xml:space="preserve">Le </w:t>
            </w:r>
            <w:proofErr w:type="spellStart"/>
            <w:r>
              <w:t>juge</w:t>
            </w:r>
            <w:proofErr w:type="spellEnd"/>
            <w:r>
              <w:t xml:space="preserve"> Rothstein (avec </w:t>
            </w:r>
            <w:proofErr w:type="spellStart"/>
            <w:r>
              <w:t>l’accord</w:t>
            </w:r>
            <w:proofErr w:type="spellEnd"/>
            <w:r>
              <w:t xml:space="preserve"> de la </w:t>
            </w:r>
            <w:proofErr w:type="spellStart"/>
            <w:r>
              <w:t>juge</w:t>
            </w:r>
            <w:proofErr w:type="spellEnd"/>
            <w:r>
              <w:t xml:space="preserve"> en chef </w:t>
            </w:r>
            <w:proofErr w:type="spellStart"/>
            <w:r>
              <w:t>McLachlin</w:t>
            </w:r>
            <w:proofErr w:type="spellEnd"/>
            <w:r>
              <w:t xml:space="preserve"> et des </w:t>
            </w:r>
            <w:proofErr w:type="spellStart"/>
            <w:r>
              <w:t>juges</w:t>
            </w:r>
            <w:proofErr w:type="spellEnd"/>
            <w:r>
              <w:t xml:space="preserve"> Cromwell, </w:t>
            </w:r>
            <w:proofErr w:type="spellStart"/>
            <w:r>
              <w:t>Moldaver</w:t>
            </w:r>
            <w:proofErr w:type="spellEnd"/>
            <w:r>
              <w:t xml:space="preserve"> et Wagner)</w:t>
            </w:r>
          </w:p>
          <w:p w:rsidR="00F74BDC" w:rsidRDefault="00F74BDC" w:rsidP="007A1554"/>
          <w:p w:rsidR="00F74BDC" w:rsidRDefault="00F74BDC" w:rsidP="007A1554">
            <w:r>
              <w:t xml:space="preserve">La </w:t>
            </w:r>
            <w:proofErr w:type="spellStart"/>
            <w:r>
              <w:t>juge</w:t>
            </w:r>
            <w:proofErr w:type="spellEnd"/>
            <w:r>
              <w:t xml:space="preserve"> </w:t>
            </w:r>
            <w:proofErr w:type="spellStart"/>
            <w:r>
              <w:t>Abella</w:t>
            </w:r>
            <w:proofErr w:type="spellEnd"/>
          </w:p>
          <w:p w:rsidR="00F74BDC" w:rsidRDefault="00F74BDC" w:rsidP="007A1554"/>
          <w:p w:rsidR="00F74BDC" w:rsidRDefault="00F74BDC" w:rsidP="007A1554"/>
          <w:p w:rsidR="00F74BDC" w:rsidRDefault="00F74BDC" w:rsidP="007A1554"/>
          <w:p w:rsidR="00F74BDC" w:rsidRPr="001E12E2" w:rsidRDefault="00F74BDC" w:rsidP="007A1554">
            <w:r>
              <w:t xml:space="preserve">La </w:t>
            </w:r>
            <w:proofErr w:type="spellStart"/>
            <w:r>
              <w:t>juge</w:t>
            </w:r>
            <w:proofErr w:type="spellEnd"/>
            <w:r>
              <w:t xml:space="preserve"> </w:t>
            </w:r>
            <w:proofErr w:type="spellStart"/>
            <w:r>
              <w:t>Karakatsanis</w:t>
            </w:r>
            <w:proofErr w:type="spellEnd"/>
          </w:p>
        </w:tc>
      </w:tr>
    </w:tbl>
    <w:p w:rsidR="00F74BDC" w:rsidRDefault="00F74BDC" w:rsidP="00F74BDC"/>
    <w:p w:rsidR="00F74BDC" w:rsidRPr="001E12E2" w:rsidRDefault="00F74BDC" w:rsidP="00F74BDC">
      <w:r w:rsidRPr="005047F2">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F74BDC" w:rsidRDefault="00F74BDC" w:rsidP="00B27419">
      <w:pPr>
        <w:spacing w:after="720"/>
        <w:jc w:val="both"/>
        <w:rPr>
          <w:rStyle w:val="SCCAppellantForRunningHeadChar"/>
          <w:lang w:val="fr-CA"/>
        </w:rPr>
      </w:pPr>
    </w:p>
    <w:p w:rsidR="003536D5" w:rsidRPr="00B27419" w:rsidRDefault="003536D5" w:rsidP="00B27419">
      <w:pPr>
        <w:spacing w:after="720"/>
        <w:jc w:val="both"/>
        <w:rPr>
          <w:lang w:val="fr-CA"/>
        </w:rPr>
      </w:pPr>
      <w:proofErr w:type="spellStart"/>
      <w:r w:rsidRPr="00B27419">
        <w:rPr>
          <w:rStyle w:val="SCCAppellantForRunningHeadChar"/>
          <w:lang w:val="fr-CA"/>
        </w:rPr>
        <w:t>tervita</w:t>
      </w:r>
      <w:proofErr w:type="spellEnd"/>
      <w:r w:rsidRPr="00B27419">
        <w:rPr>
          <w:rStyle w:val="SCCAppellantForRunningHeadChar"/>
          <w:lang w:val="fr-CA"/>
        </w:rPr>
        <w:t xml:space="preserve"> </w:t>
      </w:r>
      <w:r w:rsidRPr="00B27419">
        <w:rPr>
          <w:i/>
          <w:lang w:val="fr-CA"/>
        </w:rPr>
        <w:t>c.</w:t>
      </w:r>
      <w:r w:rsidRPr="00B27419">
        <w:rPr>
          <w:lang w:val="fr-CA"/>
        </w:rPr>
        <w:t xml:space="preserve"> </w:t>
      </w:r>
      <w:r w:rsidRPr="00B27419">
        <w:rPr>
          <w:rStyle w:val="SCCRespondentForRunningHeadChar"/>
          <w:lang w:val="fr-CA"/>
        </w:rPr>
        <w:t>canada (comm</w:t>
      </w:r>
      <w:r w:rsidR="00663D75">
        <w:rPr>
          <w:rStyle w:val="SCCRespondentForRunningHeadChar"/>
          <w:lang w:val="fr-CA"/>
        </w:rPr>
        <w:t>issaire</w:t>
      </w:r>
      <w:r w:rsidRPr="00B27419">
        <w:rPr>
          <w:rStyle w:val="SCCRespondentForRunningHeadChar"/>
          <w:lang w:val="fr-CA"/>
        </w:rPr>
        <w:t xml:space="preserve"> de la concurrence)</w:t>
      </w:r>
      <w:r w:rsidR="00663D75">
        <w:rPr>
          <w:rStyle w:val="SCCRespondentForRunningHeadChar"/>
          <w:lang w:val="fr-CA"/>
        </w:rPr>
        <w:t xml:space="preserve">, </w:t>
      </w:r>
      <w:r w:rsidR="00663D75" w:rsidRPr="00B27419">
        <w:rPr>
          <w:lang w:val="fr-CA"/>
        </w:rPr>
        <w:t>2015 CSC 3</w:t>
      </w:r>
      <w:r w:rsidR="00663D75">
        <w:rPr>
          <w:lang w:val="fr-CA"/>
        </w:rPr>
        <w:t>, [2015] 1 R.C.S. 161</w:t>
      </w:r>
    </w:p>
    <w:p w:rsidR="003536D5" w:rsidRPr="00B27419" w:rsidRDefault="003536D5" w:rsidP="00B27419">
      <w:pPr>
        <w:pStyle w:val="SCCLsocParty"/>
        <w:rPr>
          <w:lang w:val="fr-CA"/>
        </w:rPr>
      </w:pPr>
      <w:proofErr w:type="spellStart"/>
      <w:r w:rsidRPr="00B27419">
        <w:rPr>
          <w:lang w:val="fr-CA"/>
        </w:rPr>
        <w:t>Tervita</w:t>
      </w:r>
      <w:proofErr w:type="spellEnd"/>
      <w:r w:rsidRPr="00B27419">
        <w:rPr>
          <w:lang w:val="fr-CA"/>
        </w:rPr>
        <w:t xml:space="preserve"> Corporation,</w:t>
      </w:r>
    </w:p>
    <w:p w:rsidR="003536D5" w:rsidRPr="00B27419" w:rsidRDefault="003536D5" w:rsidP="00B27419">
      <w:pPr>
        <w:pStyle w:val="SCCLsocParty"/>
        <w:rPr>
          <w:lang w:val="fr-CA"/>
        </w:rPr>
      </w:pPr>
      <w:r w:rsidRPr="00B27419">
        <w:rPr>
          <w:lang w:val="fr-CA"/>
        </w:rPr>
        <w:lastRenderedPageBreak/>
        <w:t xml:space="preserve">Complete </w:t>
      </w:r>
      <w:proofErr w:type="spellStart"/>
      <w:r w:rsidRPr="00B27419">
        <w:rPr>
          <w:lang w:val="fr-CA"/>
        </w:rPr>
        <w:t>Environmental</w:t>
      </w:r>
      <w:proofErr w:type="spellEnd"/>
      <w:r w:rsidRPr="00B27419">
        <w:rPr>
          <w:lang w:val="fr-CA"/>
        </w:rPr>
        <w:t xml:space="preserve"> Inc. et</w:t>
      </w:r>
    </w:p>
    <w:p w:rsidR="003536D5" w:rsidRPr="00B27419" w:rsidRDefault="003536D5" w:rsidP="00B27419">
      <w:pPr>
        <w:pStyle w:val="SCCLsocLastPartyInRole"/>
        <w:rPr>
          <w:b w:val="0"/>
          <w:lang w:val="fr-CA"/>
        </w:rPr>
      </w:pPr>
      <w:proofErr w:type="spellStart"/>
      <w:r w:rsidRPr="00B27419">
        <w:rPr>
          <w:lang w:val="fr-CA"/>
        </w:rPr>
        <w:t>Babkirk</w:t>
      </w:r>
      <w:proofErr w:type="spellEnd"/>
      <w:r w:rsidRPr="00B27419">
        <w:rPr>
          <w:lang w:val="fr-CA"/>
        </w:rPr>
        <w:t xml:space="preserve"> Land Services Inc.</w:t>
      </w:r>
      <w:r w:rsidRPr="00B27419">
        <w:rPr>
          <w:rStyle w:val="SCCLsocPartyRole"/>
          <w:lang w:val="fr-CA"/>
        </w:rPr>
        <w:tab/>
        <w:t>Appelantes</w:t>
      </w:r>
    </w:p>
    <w:p w:rsidR="003536D5" w:rsidRPr="00B27419" w:rsidRDefault="003536D5" w:rsidP="00B27419">
      <w:pPr>
        <w:pStyle w:val="SCCLsocVersus"/>
        <w:rPr>
          <w:lang w:val="fr-CA"/>
        </w:rPr>
      </w:pPr>
      <w:proofErr w:type="gramStart"/>
      <w:r w:rsidRPr="00B27419">
        <w:rPr>
          <w:lang w:val="fr-CA"/>
        </w:rPr>
        <w:t>c</w:t>
      </w:r>
      <w:proofErr w:type="gramEnd"/>
      <w:r w:rsidRPr="00B27419">
        <w:rPr>
          <w:lang w:val="fr-CA"/>
        </w:rPr>
        <w:t>.</w:t>
      </w:r>
    </w:p>
    <w:p w:rsidR="003536D5" w:rsidRPr="00B27419" w:rsidRDefault="003536D5" w:rsidP="00B27419">
      <w:pPr>
        <w:pStyle w:val="SCCLsocLastPartyInRole"/>
        <w:rPr>
          <w:b w:val="0"/>
          <w:lang w:val="fr-CA"/>
        </w:rPr>
      </w:pPr>
      <w:r w:rsidRPr="00B27419">
        <w:rPr>
          <w:lang w:val="fr-CA"/>
        </w:rPr>
        <w:t>Commissaire de la concurrence</w:t>
      </w:r>
      <w:r w:rsidRPr="00B27419">
        <w:rPr>
          <w:rStyle w:val="SCCLsocPartyRole"/>
          <w:lang w:val="fr-CA"/>
        </w:rPr>
        <w:tab/>
        <w:t>Intimé</w:t>
      </w:r>
    </w:p>
    <w:p w:rsidR="003536D5" w:rsidRPr="00B27419" w:rsidRDefault="003536D5" w:rsidP="00B27419">
      <w:pPr>
        <w:spacing w:after="720"/>
        <w:jc w:val="both"/>
        <w:rPr>
          <w:b/>
          <w:lang w:val="fr-CA"/>
        </w:rPr>
      </w:pPr>
      <w:r w:rsidRPr="00B27419">
        <w:rPr>
          <w:b/>
          <w:lang w:val="fr-CA"/>
        </w:rPr>
        <w:t>Répertorié</w:t>
      </w:r>
      <w:r w:rsidR="00E6271F" w:rsidRPr="00B27419">
        <w:rPr>
          <w:b/>
          <w:lang w:val="fr-CA"/>
        </w:rPr>
        <w:t xml:space="preserve"> : </w:t>
      </w:r>
      <w:proofErr w:type="spellStart"/>
      <w:r w:rsidRPr="00B27419">
        <w:rPr>
          <w:rStyle w:val="SCCAppellantForIndexChar"/>
          <w:lang w:val="fr-CA"/>
        </w:rPr>
        <w:t>Tervita</w:t>
      </w:r>
      <w:proofErr w:type="spellEnd"/>
      <w:r w:rsidRPr="00B27419">
        <w:rPr>
          <w:rStyle w:val="SCCAppellantForIndexChar"/>
          <w:lang w:val="fr-CA"/>
        </w:rPr>
        <w:t xml:space="preserve"> Corp.</w:t>
      </w:r>
      <w:r w:rsidR="00E6271F" w:rsidRPr="00B27419">
        <w:rPr>
          <w:rStyle w:val="SCCAppellantForIndexChar"/>
          <w:lang w:val="fr-CA"/>
        </w:rPr>
        <w:t xml:space="preserve"> </w:t>
      </w:r>
      <w:r w:rsidRPr="00B27419">
        <w:rPr>
          <w:b/>
          <w:i/>
          <w:lang w:val="fr-CA"/>
        </w:rPr>
        <w:t>c.</w:t>
      </w:r>
      <w:r w:rsidRPr="00B27419">
        <w:rPr>
          <w:b/>
          <w:lang w:val="fr-CA"/>
        </w:rPr>
        <w:t xml:space="preserve"> Canada (</w:t>
      </w:r>
      <w:r w:rsidRPr="00B27419">
        <w:rPr>
          <w:rStyle w:val="SCCRespondentForIndexChar"/>
          <w:lang w:val="fr-CA"/>
        </w:rPr>
        <w:t>Commissaire de la concurrence)</w:t>
      </w:r>
    </w:p>
    <w:p w:rsidR="003536D5" w:rsidRPr="00B27419" w:rsidRDefault="003536D5" w:rsidP="00B27419">
      <w:pPr>
        <w:pStyle w:val="SCCSystemYear"/>
        <w:spacing w:after="720"/>
        <w:jc w:val="both"/>
        <w:rPr>
          <w:lang w:val="fr-CA"/>
        </w:rPr>
      </w:pPr>
      <w:r w:rsidRPr="00B27419">
        <w:rPr>
          <w:lang w:val="fr-CA"/>
        </w:rPr>
        <w:t>2015 CSC</w:t>
      </w:r>
      <w:r w:rsidR="00E6271F" w:rsidRPr="00B27419">
        <w:rPr>
          <w:lang w:val="fr-CA"/>
        </w:rPr>
        <w:t xml:space="preserve"> </w:t>
      </w:r>
      <w:r w:rsidRPr="00B27419">
        <w:rPr>
          <w:lang w:val="fr-CA"/>
        </w:rPr>
        <w:t>3</w:t>
      </w:r>
    </w:p>
    <w:p w:rsidR="003536D5" w:rsidRPr="00B27419" w:rsidRDefault="003536D5" w:rsidP="00B27419">
      <w:pPr>
        <w:spacing w:after="720"/>
        <w:jc w:val="both"/>
        <w:rPr>
          <w:lang w:val="fr-CA"/>
        </w:rPr>
      </w:pPr>
      <w:r w:rsidRPr="00B27419">
        <w:rPr>
          <w:lang w:val="fr-CA"/>
        </w:rPr>
        <w:t>N</w:t>
      </w:r>
      <w:r w:rsidRPr="00B27419">
        <w:rPr>
          <w:vertAlign w:val="superscript"/>
          <w:lang w:val="fr-CA"/>
        </w:rPr>
        <w:t>o</w:t>
      </w:r>
      <w:r w:rsidRPr="00B27419">
        <w:rPr>
          <w:lang w:val="fr-CA"/>
        </w:rPr>
        <w:t xml:space="preserve"> du greffe</w:t>
      </w:r>
      <w:r w:rsidR="00E6271F" w:rsidRPr="00B27419">
        <w:rPr>
          <w:lang w:val="fr-CA"/>
        </w:rPr>
        <w:t xml:space="preserve"> : </w:t>
      </w:r>
      <w:r w:rsidRPr="00B27419">
        <w:rPr>
          <w:lang w:val="fr-CA"/>
        </w:rPr>
        <w:t>35314.</w:t>
      </w:r>
    </w:p>
    <w:p w:rsidR="003536D5" w:rsidRPr="00B27419" w:rsidRDefault="003536D5" w:rsidP="00B27419">
      <w:pPr>
        <w:spacing w:after="720"/>
        <w:jc w:val="both"/>
        <w:rPr>
          <w:lang w:val="fr-CA"/>
        </w:rPr>
      </w:pPr>
      <w:r w:rsidRPr="00B27419">
        <w:rPr>
          <w:lang w:val="fr-CA"/>
        </w:rPr>
        <w:t>2014</w:t>
      </w:r>
      <w:r w:rsidR="00E6271F" w:rsidRPr="00B27419">
        <w:rPr>
          <w:lang w:val="fr-CA"/>
        </w:rPr>
        <w:t xml:space="preserve"> : </w:t>
      </w:r>
      <w:r w:rsidRPr="00B27419">
        <w:rPr>
          <w:lang w:val="fr-CA"/>
        </w:rPr>
        <w:t>27</w:t>
      </w:r>
      <w:r w:rsidR="00E6271F" w:rsidRPr="00B27419">
        <w:rPr>
          <w:lang w:val="fr-CA"/>
        </w:rPr>
        <w:t xml:space="preserve"> </w:t>
      </w:r>
      <w:r w:rsidRPr="00B27419">
        <w:rPr>
          <w:lang w:val="fr-CA"/>
        </w:rPr>
        <w:t>mars; 2015</w:t>
      </w:r>
      <w:r w:rsidR="00E6271F" w:rsidRPr="00B27419">
        <w:rPr>
          <w:lang w:val="fr-CA"/>
        </w:rPr>
        <w:t xml:space="preserve"> : </w:t>
      </w:r>
      <w:r w:rsidRPr="00B27419">
        <w:rPr>
          <w:lang w:val="fr-CA"/>
        </w:rPr>
        <w:t>22</w:t>
      </w:r>
      <w:r w:rsidR="00E6271F" w:rsidRPr="00B27419">
        <w:rPr>
          <w:lang w:val="fr-CA"/>
        </w:rPr>
        <w:t xml:space="preserve"> </w:t>
      </w:r>
      <w:r w:rsidRPr="00B27419">
        <w:rPr>
          <w:lang w:val="fr-CA"/>
        </w:rPr>
        <w:t>janvier.</w:t>
      </w:r>
    </w:p>
    <w:p w:rsidR="003536D5" w:rsidRPr="00B27419" w:rsidRDefault="003536D5" w:rsidP="00B27419">
      <w:pPr>
        <w:spacing w:after="720"/>
        <w:jc w:val="both"/>
        <w:rPr>
          <w:lang w:val="fr-CA"/>
        </w:rPr>
      </w:pPr>
      <w:r w:rsidRPr="00B27419">
        <w:rPr>
          <w:lang w:val="fr-CA"/>
        </w:rPr>
        <w:t>Présents</w:t>
      </w:r>
      <w:r w:rsidR="00E6271F" w:rsidRPr="00B27419">
        <w:rPr>
          <w:lang w:val="fr-CA"/>
        </w:rPr>
        <w:t xml:space="preserve"> : </w:t>
      </w:r>
      <w:r w:rsidRPr="00B27419">
        <w:rPr>
          <w:lang w:val="fr-CA"/>
        </w:rPr>
        <w:t xml:space="preserve">La juge en chef </w:t>
      </w:r>
      <w:proofErr w:type="spellStart"/>
      <w:r w:rsidRPr="00B27419">
        <w:rPr>
          <w:lang w:val="fr-CA"/>
        </w:rPr>
        <w:t>McLachlin</w:t>
      </w:r>
      <w:proofErr w:type="spellEnd"/>
      <w:r w:rsidRPr="00B27419">
        <w:rPr>
          <w:lang w:val="fr-CA"/>
        </w:rPr>
        <w:t xml:space="preserve"> et les juges Abella, </w:t>
      </w:r>
      <w:proofErr w:type="spellStart"/>
      <w:r w:rsidRPr="00B27419">
        <w:rPr>
          <w:lang w:val="fr-CA"/>
        </w:rPr>
        <w:t>Rothstein</w:t>
      </w:r>
      <w:proofErr w:type="spellEnd"/>
      <w:r w:rsidRPr="00B27419">
        <w:rPr>
          <w:lang w:val="fr-CA"/>
        </w:rPr>
        <w:t xml:space="preserve">, Cromwell, </w:t>
      </w:r>
      <w:proofErr w:type="spellStart"/>
      <w:r w:rsidRPr="00B27419">
        <w:rPr>
          <w:lang w:val="fr-CA"/>
        </w:rPr>
        <w:t>Moldaver</w:t>
      </w:r>
      <w:proofErr w:type="spellEnd"/>
      <w:r w:rsidRPr="00B27419">
        <w:rPr>
          <w:lang w:val="fr-CA"/>
        </w:rPr>
        <w:t xml:space="preserve">, </w:t>
      </w:r>
      <w:proofErr w:type="spellStart"/>
      <w:r w:rsidRPr="00B27419">
        <w:rPr>
          <w:lang w:val="fr-CA"/>
        </w:rPr>
        <w:t>Karakatsanis</w:t>
      </w:r>
      <w:proofErr w:type="spellEnd"/>
      <w:r w:rsidRPr="00B27419">
        <w:rPr>
          <w:lang w:val="fr-CA"/>
        </w:rPr>
        <w:t xml:space="preserve"> et Wagner.</w:t>
      </w:r>
    </w:p>
    <w:p w:rsidR="003536D5" w:rsidRPr="00B27419" w:rsidRDefault="003536D5" w:rsidP="00B27419">
      <w:pPr>
        <w:spacing w:after="720"/>
        <w:jc w:val="both"/>
        <w:rPr>
          <w:smallCaps/>
          <w:lang w:val="fr-CA"/>
        </w:rPr>
      </w:pPr>
      <w:r w:rsidRPr="00B27419">
        <w:rPr>
          <w:smallCaps/>
          <w:lang w:val="fr-CA"/>
        </w:rPr>
        <w:t>en appel de la cour d’appel fédérale</w:t>
      </w:r>
    </w:p>
    <w:p w:rsidR="003536D5" w:rsidRPr="00B27419" w:rsidRDefault="003536D5" w:rsidP="00B27419">
      <w:pPr>
        <w:pStyle w:val="SCCNormalDoubleSpacing"/>
        <w:spacing w:before="480" w:after="480"/>
        <w:rPr>
          <w:i/>
          <w:lang w:val="fr-CA"/>
        </w:rPr>
      </w:pPr>
      <w:r w:rsidRPr="00B27419">
        <w:rPr>
          <w:lang w:val="fr-CA"/>
        </w:rPr>
        <w:tab/>
      </w:r>
      <w:r w:rsidRPr="00B27419">
        <w:rPr>
          <w:i/>
          <w:lang w:val="fr-CA"/>
        </w:rPr>
        <w:t xml:space="preserve">Concurrence — Fusionnements — Examen — Opposition de la commissaire de la concurrence à un fusionnement au motif qu’il aura vraisemblablement pour effet d’empêcher sensiblement la concurrence — Défense fondée sur les gains en efficience prévue par la loi invoquée par les parties fusionnées — Rejet de la défense par le Tribunal de la concurrence et prononcé d’une ordonnance de dessaisissement — Quel est le bon critère juridique pour déterminer si </w:t>
      </w:r>
      <w:r w:rsidRPr="00B27419">
        <w:rPr>
          <w:i/>
          <w:lang w:val="fr-CA"/>
        </w:rPr>
        <w:lastRenderedPageBreak/>
        <w:t>le fusionnement empêche sensiblement la concurrence aux termes de la Loi sur la concurrence? — Comment faut</w:t>
      </w:r>
      <w:r w:rsidR="00E6271F" w:rsidRPr="00B27419">
        <w:rPr>
          <w:i/>
          <w:lang w:val="fr-CA"/>
        </w:rPr>
        <w:t>-</w:t>
      </w:r>
      <w:r w:rsidRPr="00B27419">
        <w:rPr>
          <w:i/>
          <w:lang w:val="fr-CA"/>
        </w:rPr>
        <w:t>il envisager la défense fondée sur les gains en efficience prévue par la loi? — En quoi consiste le fardeau qui incombe à la commissaire relativement à la défense fondée sur les gains en efficience? — Le fusionnement aura</w:t>
      </w:r>
      <w:r w:rsidR="00E6271F" w:rsidRPr="00B27419">
        <w:rPr>
          <w:i/>
          <w:lang w:val="fr-CA"/>
        </w:rPr>
        <w:t>-</w:t>
      </w:r>
      <w:r w:rsidRPr="00B27419">
        <w:rPr>
          <w:i/>
          <w:lang w:val="fr-CA"/>
        </w:rPr>
        <w:t>t</w:t>
      </w:r>
      <w:r w:rsidR="00E6271F" w:rsidRPr="00B27419">
        <w:rPr>
          <w:i/>
          <w:lang w:val="fr-CA"/>
        </w:rPr>
        <w:t>-</w:t>
      </w:r>
      <w:r w:rsidRPr="00B27419">
        <w:rPr>
          <w:i/>
          <w:lang w:val="fr-CA"/>
        </w:rPr>
        <w:t>il vraisemblablement pour effet d’empêcher sensiblement la concurrence? — Les gains en efficience résultant du fusionnement surpassent</w:t>
      </w:r>
      <w:r w:rsidR="00E6271F" w:rsidRPr="00B27419">
        <w:rPr>
          <w:i/>
          <w:lang w:val="fr-CA"/>
        </w:rPr>
        <w:t>-</w:t>
      </w:r>
      <w:r w:rsidRPr="00B27419">
        <w:rPr>
          <w:i/>
          <w:lang w:val="fr-CA"/>
        </w:rPr>
        <w:t>ils et neutralisent</w:t>
      </w:r>
      <w:r w:rsidR="00E6271F" w:rsidRPr="00B27419">
        <w:rPr>
          <w:i/>
          <w:lang w:val="fr-CA"/>
        </w:rPr>
        <w:t>-</w:t>
      </w:r>
      <w:r w:rsidRPr="00B27419">
        <w:rPr>
          <w:i/>
          <w:lang w:val="fr-CA"/>
        </w:rPr>
        <w:t>ils les effets anticoncurrentiels du fusionnement? — Loi sur la concurrence, L.R.C. 1985, c.</w:t>
      </w:r>
      <w:r w:rsidR="00E6271F" w:rsidRPr="00B27419">
        <w:rPr>
          <w:i/>
          <w:lang w:val="fr-CA"/>
        </w:rPr>
        <w:t xml:space="preserve"> </w:t>
      </w:r>
      <w:r w:rsidRPr="00B27419">
        <w:rPr>
          <w:i/>
          <w:lang w:val="fr-CA"/>
        </w:rPr>
        <w:t>C</w:t>
      </w:r>
      <w:r w:rsidR="00E6271F" w:rsidRPr="00B27419">
        <w:rPr>
          <w:i/>
          <w:lang w:val="fr-CA"/>
        </w:rPr>
        <w:t>-</w:t>
      </w:r>
      <w:r w:rsidRPr="00B27419">
        <w:rPr>
          <w:i/>
          <w:lang w:val="fr-CA"/>
        </w:rPr>
        <w:t>34, art.</w:t>
      </w:r>
      <w:r w:rsidR="00E6271F" w:rsidRPr="00B27419">
        <w:rPr>
          <w:i/>
          <w:lang w:val="fr-CA"/>
        </w:rPr>
        <w:t xml:space="preserve"> </w:t>
      </w:r>
      <w:r w:rsidRPr="00B27419">
        <w:rPr>
          <w:i/>
          <w:lang w:val="fr-CA"/>
        </w:rPr>
        <w:t>92, 96.</w:t>
      </w:r>
    </w:p>
    <w:p w:rsidR="003536D5" w:rsidRPr="00B27419" w:rsidRDefault="003536D5" w:rsidP="00B27419">
      <w:pPr>
        <w:pStyle w:val="SCCNormalDoubleSpacing"/>
        <w:spacing w:before="480" w:after="480"/>
        <w:rPr>
          <w:i/>
          <w:lang w:val="fr-CA"/>
        </w:rPr>
      </w:pPr>
      <w:r w:rsidRPr="00B27419">
        <w:rPr>
          <w:i/>
          <w:lang w:val="fr-CA"/>
        </w:rPr>
        <w:tab/>
        <w:t>Droit administratif — Appels — Norme de contrôle — Tribunal de la concurrence — Norme de contrôle applicable aux décisions du tribunal sur des questions de droit qui concernent la Loi sur la concurrence, L.R.C. 1985, c.</w:t>
      </w:r>
      <w:r w:rsidR="00E6271F" w:rsidRPr="00B27419">
        <w:rPr>
          <w:i/>
          <w:lang w:val="fr-CA"/>
        </w:rPr>
        <w:t xml:space="preserve"> </w:t>
      </w:r>
      <w:r w:rsidRPr="00B27419">
        <w:rPr>
          <w:i/>
          <w:lang w:val="fr-CA"/>
        </w:rPr>
        <w:t>C</w:t>
      </w:r>
      <w:r w:rsidR="00E6271F" w:rsidRPr="00B27419">
        <w:rPr>
          <w:i/>
          <w:lang w:val="fr-CA"/>
        </w:rPr>
        <w:t>-</w:t>
      </w:r>
      <w:r w:rsidRPr="00B27419">
        <w:rPr>
          <w:i/>
          <w:lang w:val="fr-CA"/>
        </w:rPr>
        <w:t>34 — Le libellé de la disposition d’appel réfute</w:t>
      </w:r>
      <w:r w:rsidR="00E6271F" w:rsidRPr="00B27419">
        <w:rPr>
          <w:i/>
          <w:lang w:val="fr-CA"/>
        </w:rPr>
        <w:t>-</w:t>
      </w:r>
      <w:r w:rsidRPr="00B27419">
        <w:rPr>
          <w:i/>
          <w:lang w:val="fr-CA"/>
        </w:rPr>
        <w:t>t</w:t>
      </w:r>
      <w:r w:rsidR="00E6271F" w:rsidRPr="00B27419">
        <w:rPr>
          <w:i/>
          <w:lang w:val="fr-CA"/>
        </w:rPr>
        <w:t>-</w:t>
      </w:r>
      <w:r w:rsidRPr="00B27419">
        <w:rPr>
          <w:i/>
          <w:lang w:val="fr-CA"/>
        </w:rPr>
        <w:t>il la présomption selon laquelle la norme de la décision raisonnable s’applique à l’interprétation par le tribunal de sa loi constitutive? — Loi sur le Tribunal de la concurrence, L.R.C. 1985, c.</w:t>
      </w:r>
      <w:r w:rsidR="00E6271F" w:rsidRPr="00B27419">
        <w:rPr>
          <w:i/>
          <w:lang w:val="fr-CA"/>
        </w:rPr>
        <w:t xml:space="preserve"> </w:t>
      </w:r>
      <w:r w:rsidRPr="00B27419">
        <w:rPr>
          <w:i/>
          <w:lang w:val="fr-CA"/>
        </w:rPr>
        <w:t>19 (2</w:t>
      </w:r>
      <w:r w:rsidRPr="00B27419">
        <w:rPr>
          <w:i/>
          <w:vertAlign w:val="superscript"/>
          <w:lang w:val="fr-CA"/>
        </w:rPr>
        <w:t>e</w:t>
      </w:r>
      <w:r w:rsidRPr="00B27419">
        <w:rPr>
          <w:i/>
          <w:lang w:val="fr-CA"/>
        </w:rPr>
        <w:t xml:space="preserve"> suppl.), art.</w:t>
      </w:r>
      <w:r w:rsidR="00E6271F" w:rsidRPr="00B27419">
        <w:rPr>
          <w:i/>
          <w:lang w:val="fr-CA"/>
        </w:rPr>
        <w:t xml:space="preserve"> </w:t>
      </w:r>
      <w:r w:rsidRPr="00B27419">
        <w:rPr>
          <w:i/>
          <w:lang w:val="fr-CA"/>
        </w:rPr>
        <w:t>13(1).</w:t>
      </w:r>
    </w:p>
    <w:p w:rsidR="003536D5" w:rsidRPr="00B27419" w:rsidRDefault="003536D5" w:rsidP="00B27419">
      <w:pPr>
        <w:pStyle w:val="SCCNormalDoubleSpacing"/>
        <w:spacing w:before="480" w:after="480"/>
        <w:rPr>
          <w:lang w:val="fr-CA"/>
        </w:rPr>
      </w:pPr>
      <w:r w:rsidRPr="00B27419">
        <w:rPr>
          <w:lang w:val="fr-CA"/>
        </w:rPr>
        <w:tab/>
        <w:t xml:space="preserve">Quatre permis d’exploitation visant des sites d’enfouissement sécuritaire des déchets dangereux produits par des exploitations pétrolières et gazières ont été délivrés dans le </w:t>
      </w:r>
      <w:proofErr w:type="spellStart"/>
      <w:r w:rsidRPr="00B27419">
        <w:rPr>
          <w:lang w:val="fr-CA"/>
        </w:rPr>
        <w:t>Nord</w:t>
      </w:r>
      <w:r w:rsidR="00E6271F" w:rsidRPr="00B27419">
        <w:rPr>
          <w:lang w:val="fr-CA"/>
        </w:rPr>
        <w:t>-</w:t>
      </w:r>
      <w:r w:rsidRPr="00B27419">
        <w:rPr>
          <w:lang w:val="fr-CA"/>
        </w:rPr>
        <w:t>Est</w:t>
      </w:r>
      <w:proofErr w:type="spellEnd"/>
      <w:r w:rsidRPr="00B27419">
        <w:rPr>
          <w:lang w:val="fr-CA"/>
        </w:rPr>
        <w:t xml:space="preserve"> de la Colombie</w:t>
      </w:r>
      <w:r w:rsidR="00E6271F" w:rsidRPr="00B27419">
        <w:rPr>
          <w:lang w:val="fr-CA"/>
        </w:rPr>
        <w:t>-</w:t>
      </w:r>
      <w:r w:rsidRPr="00B27419">
        <w:rPr>
          <w:lang w:val="fr-CA"/>
        </w:rPr>
        <w:t xml:space="preserve">Britannique.  T est titulaire de deux de ces permis et exploite deux sites d’enfouissement conformément à ces permis.  Un troisième permis est détenu par une collectivité autochtone, mais les installations n’ont pas encore été construites.  Le quatrième permis est détenu par B, une filiale en propriété exclusive de C. Quand T a acquis C, la commissaire de la concurrence s’est </w:t>
      </w:r>
      <w:r w:rsidRPr="00B27419">
        <w:rPr>
          <w:lang w:val="fr-CA"/>
        </w:rPr>
        <w:lastRenderedPageBreak/>
        <w:t xml:space="preserve">opposée à cette opération, au motif qu’elle aurait vraisemblablement pour effet de nuire sensiblement à la concurrence dans les services d’enfouissement sécuritaire du </w:t>
      </w:r>
      <w:proofErr w:type="spellStart"/>
      <w:r w:rsidRPr="00B27419">
        <w:rPr>
          <w:lang w:val="fr-CA"/>
        </w:rPr>
        <w:t>Nord</w:t>
      </w:r>
      <w:r w:rsidR="00E6271F" w:rsidRPr="00B27419">
        <w:rPr>
          <w:lang w:val="fr-CA"/>
        </w:rPr>
        <w:t>-</w:t>
      </w:r>
      <w:r w:rsidRPr="00B27419">
        <w:rPr>
          <w:lang w:val="fr-CA"/>
        </w:rPr>
        <w:t>Est</w:t>
      </w:r>
      <w:proofErr w:type="spellEnd"/>
      <w:r w:rsidRPr="00B27419">
        <w:rPr>
          <w:lang w:val="fr-CA"/>
        </w:rPr>
        <w:t xml:space="preserve"> de la Colombie</w:t>
      </w:r>
      <w:r w:rsidR="00E6271F" w:rsidRPr="00B27419">
        <w:rPr>
          <w:lang w:val="fr-CA"/>
        </w:rPr>
        <w:t>-</w:t>
      </w:r>
      <w:r w:rsidRPr="00B27419">
        <w:rPr>
          <w:lang w:val="fr-CA"/>
        </w:rPr>
        <w:t xml:space="preserve">Britannique.  La commissaire a demandé au Tribunal de la concurrence (le </w:t>
      </w:r>
      <w:r w:rsidR="00B27419">
        <w:rPr>
          <w:lang w:val="fr-CA"/>
        </w:rPr>
        <w:t>« </w:t>
      </w:r>
      <w:r w:rsidRPr="00B27419">
        <w:rPr>
          <w:lang w:val="fr-CA"/>
        </w:rPr>
        <w:t>Tribunal</w:t>
      </w:r>
      <w:r w:rsidR="00B27419">
        <w:rPr>
          <w:lang w:val="fr-CA"/>
        </w:rPr>
        <w:t> »</w:t>
      </w:r>
      <w:r w:rsidRPr="00B27419">
        <w:rPr>
          <w:lang w:val="fr-CA"/>
        </w:rPr>
        <w:t>) d’ordonner l’annulation de la transaction en vertu de l’art.</w:t>
      </w:r>
      <w:r w:rsidR="00E6271F" w:rsidRPr="00B27419">
        <w:rPr>
          <w:lang w:val="fr-CA"/>
        </w:rPr>
        <w:t xml:space="preserve"> </w:t>
      </w:r>
      <w:r w:rsidRPr="00B27419">
        <w:rPr>
          <w:lang w:val="fr-CA"/>
        </w:rPr>
        <w:t xml:space="preserve">92 de la </w:t>
      </w:r>
      <w:r w:rsidRPr="00B27419">
        <w:rPr>
          <w:i/>
          <w:lang w:val="fr-CA"/>
        </w:rPr>
        <w:t>Loi sur la concurrence</w:t>
      </w:r>
      <w:r w:rsidRPr="00B27419">
        <w:rPr>
          <w:lang w:val="fr-CA"/>
        </w:rPr>
        <w:t>, L.R.C. 1985, c.</w:t>
      </w:r>
      <w:r w:rsidR="00E6271F" w:rsidRPr="00B27419">
        <w:rPr>
          <w:lang w:val="fr-CA"/>
        </w:rPr>
        <w:t xml:space="preserve"> </w:t>
      </w:r>
      <w:r w:rsidRPr="00B27419">
        <w:rPr>
          <w:lang w:val="fr-CA"/>
        </w:rPr>
        <w:t>C</w:t>
      </w:r>
      <w:r w:rsidR="00E6271F" w:rsidRPr="00B27419">
        <w:rPr>
          <w:lang w:val="fr-CA"/>
        </w:rPr>
        <w:t>-</w:t>
      </w:r>
      <w:r w:rsidRPr="00B27419">
        <w:rPr>
          <w:lang w:val="fr-CA"/>
        </w:rPr>
        <w:t xml:space="preserve">34 (la </w:t>
      </w:r>
      <w:r w:rsidR="00B27419">
        <w:rPr>
          <w:lang w:val="fr-CA"/>
        </w:rPr>
        <w:t>« </w:t>
      </w:r>
      <w:r w:rsidRPr="00B27419">
        <w:rPr>
          <w:lang w:val="fr-CA"/>
        </w:rPr>
        <w:t>Loi</w:t>
      </w:r>
      <w:r w:rsidR="00B27419">
        <w:rPr>
          <w:lang w:val="fr-CA"/>
        </w:rPr>
        <w:t> »</w:t>
      </w:r>
      <w:r w:rsidRPr="00B27419">
        <w:rPr>
          <w:lang w:val="fr-CA"/>
        </w:rPr>
        <w:t>)</w:t>
      </w:r>
      <w:r w:rsidR="00D04AE4">
        <w:rPr>
          <w:lang w:val="fr-CA"/>
        </w:rPr>
        <w:t>,</w:t>
      </w:r>
      <w:r w:rsidRPr="00B27419">
        <w:rPr>
          <w:lang w:val="fr-CA"/>
        </w:rPr>
        <w:t xml:space="preserve"> ou, à titre subsidiaire, d’ordonner à T de se départir de B ou de C.  </w:t>
      </w:r>
    </w:p>
    <w:p w:rsidR="003536D5" w:rsidRPr="00B27419" w:rsidRDefault="003536D5" w:rsidP="00B27419">
      <w:pPr>
        <w:pStyle w:val="SCCNormalDoubleSpacing"/>
        <w:spacing w:before="480" w:after="480"/>
        <w:rPr>
          <w:lang w:val="fr-CA"/>
        </w:rPr>
      </w:pPr>
      <w:r w:rsidRPr="00B27419">
        <w:rPr>
          <w:lang w:val="fr-CA"/>
        </w:rPr>
        <w:tab/>
        <w:t>Le Tribunal</w:t>
      </w:r>
      <w:r w:rsidRPr="00B27419">
        <w:rPr>
          <w:rStyle w:val="SCCLowerCourtJudge"/>
          <w:lang w:val="fr-CA"/>
        </w:rPr>
        <w:t xml:space="preserve"> a conclu, en vertu de l’art.</w:t>
      </w:r>
      <w:r w:rsidR="00E6271F" w:rsidRPr="00B27419">
        <w:rPr>
          <w:rStyle w:val="SCCLowerCourtJudge"/>
          <w:lang w:val="fr-CA"/>
        </w:rPr>
        <w:t xml:space="preserve"> </w:t>
      </w:r>
      <w:r w:rsidRPr="00B27419">
        <w:rPr>
          <w:rStyle w:val="SCCLowerCourtJudge"/>
          <w:lang w:val="fr-CA"/>
        </w:rPr>
        <w:t>92, que le fusionnement aurait vraisemblablement pour effet d’empêcher sensiblement la concurrence dans le marché en cause.</w:t>
      </w:r>
      <w:r w:rsidRPr="00B27419">
        <w:rPr>
          <w:lang w:val="fr-CA"/>
        </w:rPr>
        <w:t xml:space="preserve">  Il a statué en outre que les gains en efficience engendrés par le fusionnement ne surpassaient pas les effets anticoncurrentiels du fusionnement et ne les neutraliseraient pas, de telle sorte que T ne pouvait invoquer l’exception relative aux gains en efficience énoncée à l’art.</w:t>
      </w:r>
      <w:r w:rsidR="00E6271F" w:rsidRPr="00B27419">
        <w:rPr>
          <w:lang w:val="fr-CA"/>
        </w:rPr>
        <w:t xml:space="preserve"> </w:t>
      </w:r>
      <w:r w:rsidRPr="00B27419">
        <w:rPr>
          <w:lang w:val="fr-CA"/>
        </w:rPr>
        <w:t>96 de la Loi.  Il a ordonné à T de se départir de B.  La Cour d’appel fédérale a confirmé la conclusion du Tribunal selon laquelle le fusionnement proposé aurait vraisemblablement pour effet d’empêcher sensiblement la concurrence.  Quant à la défense fondée sur les gains en efficience prévue à l’art.</w:t>
      </w:r>
      <w:r w:rsidR="00E6271F" w:rsidRPr="00B27419">
        <w:rPr>
          <w:lang w:val="fr-CA"/>
        </w:rPr>
        <w:t xml:space="preserve"> </w:t>
      </w:r>
      <w:r w:rsidRPr="00B27419">
        <w:rPr>
          <w:lang w:val="fr-CA"/>
        </w:rPr>
        <w:t>96, de l’avis de la cour, le Tribunal s’était trompé à certains égards.  Toutefois, après une nouvelle appréciation de la question, la cour a conclu que le fusionnement avait seulement engendré des gains en efficience négligeables, qui n’étaient pas assez importants pour que le fusionnement soit approuvé sous le régime de l’art.</w:t>
      </w:r>
      <w:r w:rsidR="00E6271F" w:rsidRPr="00B27419">
        <w:rPr>
          <w:lang w:val="fr-CA"/>
        </w:rPr>
        <w:t xml:space="preserve"> </w:t>
      </w:r>
      <w:r w:rsidRPr="00B27419">
        <w:rPr>
          <w:lang w:val="fr-CA"/>
        </w:rPr>
        <w:t xml:space="preserve">96. Par conséquent, la cour a rejeté l’appel. </w:t>
      </w:r>
    </w:p>
    <w:p w:rsidR="003536D5" w:rsidRPr="00B27419" w:rsidRDefault="003536D5" w:rsidP="00B27419">
      <w:pPr>
        <w:pStyle w:val="SCCNormalDoubleSpacing"/>
        <w:spacing w:before="480" w:after="480"/>
        <w:rPr>
          <w:lang w:val="fr-CA"/>
        </w:rPr>
      </w:pPr>
      <w:r w:rsidRPr="00B27419">
        <w:rPr>
          <w:lang w:val="fr-CA"/>
        </w:rPr>
        <w:lastRenderedPageBreak/>
        <w:tab/>
      </w:r>
      <w:r w:rsidRPr="00B27419">
        <w:rPr>
          <w:rStyle w:val="QuoteChar"/>
          <w:lang w:val="fr-CA"/>
        </w:rPr>
        <w:t xml:space="preserve">Arrêt </w:t>
      </w:r>
      <w:r w:rsidRPr="00B27419">
        <w:rPr>
          <w:rStyle w:val="QuoteChar"/>
          <w:i w:val="0"/>
          <w:lang w:val="fr-CA"/>
        </w:rPr>
        <w:t xml:space="preserve">(la juge </w:t>
      </w:r>
      <w:proofErr w:type="spellStart"/>
      <w:r w:rsidRPr="00B27419">
        <w:rPr>
          <w:rStyle w:val="QuoteChar"/>
          <w:i w:val="0"/>
          <w:lang w:val="fr-CA"/>
        </w:rPr>
        <w:t>Karakatsanis</w:t>
      </w:r>
      <w:proofErr w:type="spellEnd"/>
      <w:r w:rsidRPr="00B27419">
        <w:rPr>
          <w:rStyle w:val="QuoteChar"/>
          <w:i w:val="0"/>
          <w:lang w:val="fr-CA"/>
        </w:rPr>
        <w:t xml:space="preserve"> est dissidente)</w:t>
      </w:r>
      <w:r w:rsidR="00E6271F" w:rsidRPr="00B27419">
        <w:rPr>
          <w:rStyle w:val="QuoteChar"/>
          <w:i w:val="0"/>
          <w:lang w:val="fr-CA"/>
        </w:rPr>
        <w:t> :</w:t>
      </w:r>
      <w:r w:rsidRPr="00B27419">
        <w:rPr>
          <w:lang w:val="fr-CA"/>
        </w:rPr>
        <w:t xml:space="preserve"> Le pourvoi est </w:t>
      </w:r>
      <w:proofErr w:type="gramStart"/>
      <w:r w:rsidRPr="00B27419">
        <w:rPr>
          <w:lang w:val="fr-CA"/>
        </w:rPr>
        <w:t>accueilli</w:t>
      </w:r>
      <w:proofErr w:type="gramEnd"/>
      <w:r w:rsidRPr="00B27419">
        <w:rPr>
          <w:lang w:val="fr-CA"/>
        </w:rPr>
        <w:t>, l’ordonnance de dessaisissement est annulée et la demande présentée en vertu de l’art.</w:t>
      </w:r>
      <w:r w:rsidR="00E6271F" w:rsidRPr="00B27419">
        <w:rPr>
          <w:lang w:val="fr-CA"/>
        </w:rPr>
        <w:t xml:space="preserve"> </w:t>
      </w:r>
      <w:r w:rsidRPr="00B27419">
        <w:rPr>
          <w:lang w:val="fr-CA"/>
        </w:rPr>
        <w:t>92 est rejetée.</w:t>
      </w:r>
    </w:p>
    <w:p w:rsidR="003536D5" w:rsidRPr="00B27419" w:rsidRDefault="003536D5" w:rsidP="00B27419">
      <w:pPr>
        <w:pStyle w:val="SCCNormalDoubleSpacing"/>
        <w:spacing w:before="480" w:after="480"/>
        <w:rPr>
          <w:lang w:val="fr-CA"/>
        </w:rPr>
      </w:pPr>
      <w:r w:rsidRPr="00B27419">
        <w:rPr>
          <w:lang w:val="fr-CA"/>
        </w:rPr>
        <w:tab/>
      </w:r>
      <w:r w:rsidRPr="00B27419">
        <w:rPr>
          <w:i/>
          <w:lang w:val="fr-CA"/>
        </w:rPr>
        <w:t>La</w:t>
      </w:r>
      <w:r w:rsidRPr="00B27419">
        <w:rPr>
          <w:lang w:val="fr-CA"/>
        </w:rPr>
        <w:t xml:space="preserve"> juge en chef </w:t>
      </w:r>
      <w:proofErr w:type="spellStart"/>
      <w:r w:rsidRPr="00B27419">
        <w:rPr>
          <w:lang w:val="fr-CA"/>
        </w:rPr>
        <w:t>McLachlin</w:t>
      </w:r>
      <w:proofErr w:type="spellEnd"/>
      <w:r w:rsidRPr="00B27419">
        <w:rPr>
          <w:lang w:val="fr-CA"/>
        </w:rPr>
        <w:t xml:space="preserve"> et les juges </w:t>
      </w:r>
      <w:proofErr w:type="spellStart"/>
      <w:r w:rsidRPr="00B27419">
        <w:rPr>
          <w:lang w:val="fr-CA"/>
        </w:rPr>
        <w:t>Rothstein</w:t>
      </w:r>
      <w:proofErr w:type="spellEnd"/>
      <w:r w:rsidRPr="00B27419">
        <w:rPr>
          <w:lang w:val="fr-CA"/>
        </w:rPr>
        <w:t xml:space="preserve">, Cromwell, </w:t>
      </w:r>
      <w:proofErr w:type="spellStart"/>
      <w:r w:rsidRPr="00B27419">
        <w:rPr>
          <w:lang w:val="fr-CA"/>
        </w:rPr>
        <w:t>Moldaver</w:t>
      </w:r>
      <w:proofErr w:type="spellEnd"/>
      <w:r w:rsidRPr="00B27419">
        <w:rPr>
          <w:lang w:val="fr-CA"/>
        </w:rPr>
        <w:t xml:space="preserve"> et Wagner</w:t>
      </w:r>
      <w:r w:rsidR="00E6271F" w:rsidRPr="00B27419">
        <w:rPr>
          <w:lang w:val="fr-CA"/>
        </w:rPr>
        <w:t> :</w:t>
      </w:r>
      <w:r w:rsidRPr="00B27419">
        <w:rPr>
          <w:lang w:val="fr-CA"/>
        </w:rPr>
        <w:t xml:space="preserve"> Même si la norme de contrôle de la décision raisonnable est présumée applicable en l’espèce, car les questions en litige sont des questions de droit qui concernent la loi constitutive du Tribunal, cette présomption est réfutée.  </w:t>
      </w:r>
      <w:r w:rsidRPr="00B27419">
        <w:rPr>
          <w:szCs w:val="24"/>
          <w:lang w:val="fr-CA"/>
        </w:rPr>
        <w:t xml:space="preserve">La disposition d’appel de la </w:t>
      </w:r>
      <w:r w:rsidRPr="00B27419">
        <w:rPr>
          <w:i/>
          <w:szCs w:val="24"/>
          <w:lang w:val="fr-CA"/>
        </w:rPr>
        <w:t>Loi sur le Tribunal de la concurrence</w:t>
      </w:r>
      <w:r w:rsidRPr="00B27419">
        <w:rPr>
          <w:szCs w:val="24"/>
          <w:lang w:val="fr-CA"/>
        </w:rPr>
        <w:t>, L.R.C. 1985, c.</w:t>
      </w:r>
      <w:r w:rsidR="00E6271F" w:rsidRPr="00B27419">
        <w:rPr>
          <w:szCs w:val="24"/>
          <w:lang w:val="fr-CA"/>
        </w:rPr>
        <w:t xml:space="preserve"> </w:t>
      </w:r>
      <w:r w:rsidRPr="00B27419">
        <w:rPr>
          <w:szCs w:val="24"/>
          <w:lang w:val="fr-CA"/>
        </w:rPr>
        <w:t>19 (2</w:t>
      </w:r>
      <w:r w:rsidRPr="00B27419">
        <w:rPr>
          <w:szCs w:val="24"/>
          <w:vertAlign w:val="superscript"/>
          <w:lang w:val="fr-CA"/>
        </w:rPr>
        <w:t>e</w:t>
      </w:r>
      <w:r w:rsidR="00E6271F" w:rsidRPr="00B27419">
        <w:rPr>
          <w:szCs w:val="24"/>
          <w:lang w:val="fr-CA"/>
        </w:rPr>
        <w:t xml:space="preserve"> </w:t>
      </w:r>
      <w:r w:rsidRPr="00B27419">
        <w:rPr>
          <w:szCs w:val="24"/>
          <w:lang w:val="fr-CA"/>
        </w:rPr>
        <w:t>suppl.), témoigne de l’intention claire du législateur de ne pas imposer la retenue judiciaire dans le contrôle des décisions du Tribunal, ce qui appuie la thèse selon laquelle la norme de la décision correcte s’applique aux questions de droit et celle de la décision raisonnable aux questions mixtes de droit et de fait et aux questions de fait.</w:t>
      </w:r>
      <w:r w:rsidRPr="00B27419">
        <w:rPr>
          <w:lang w:val="fr-CA"/>
        </w:rPr>
        <w:t xml:space="preserve">  </w:t>
      </w:r>
    </w:p>
    <w:p w:rsidR="003536D5" w:rsidRPr="00B27419" w:rsidRDefault="003536D5" w:rsidP="00B27419">
      <w:pPr>
        <w:pStyle w:val="SCCNormalDoubleSpacing"/>
        <w:spacing w:before="480" w:after="480"/>
        <w:rPr>
          <w:lang w:val="fr-CA"/>
        </w:rPr>
      </w:pPr>
      <w:r w:rsidRPr="00B27419">
        <w:rPr>
          <w:lang w:val="fr-CA"/>
        </w:rPr>
        <w:tab/>
        <w:t>Le volet de l’art.</w:t>
      </w:r>
      <w:r w:rsidR="00E6271F" w:rsidRPr="00B27419">
        <w:rPr>
          <w:lang w:val="fr-CA"/>
        </w:rPr>
        <w:t xml:space="preserve"> </w:t>
      </w:r>
      <w:r w:rsidRPr="00B27419">
        <w:rPr>
          <w:lang w:val="fr-CA"/>
        </w:rPr>
        <w:t xml:space="preserve">92 </w:t>
      </w:r>
      <w:proofErr w:type="gramStart"/>
      <w:r w:rsidRPr="00B27419">
        <w:rPr>
          <w:lang w:val="fr-CA"/>
        </w:rPr>
        <w:t>relatif</w:t>
      </w:r>
      <w:proofErr w:type="gramEnd"/>
      <w:r w:rsidRPr="00B27419">
        <w:rPr>
          <w:lang w:val="fr-CA"/>
        </w:rPr>
        <w:t xml:space="preserve"> à l’</w:t>
      </w:r>
      <w:r w:rsidR="00B27419">
        <w:rPr>
          <w:lang w:val="fr-CA"/>
        </w:rPr>
        <w:t>« </w:t>
      </w:r>
      <w:r w:rsidRPr="00B27419">
        <w:rPr>
          <w:lang w:val="fr-CA"/>
        </w:rPr>
        <w:t>empêchement</w:t>
      </w:r>
      <w:r w:rsidR="00B27419">
        <w:rPr>
          <w:lang w:val="fr-CA"/>
        </w:rPr>
        <w:t> »</w:t>
      </w:r>
      <w:r w:rsidRPr="00B27419">
        <w:rPr>
          <w:lang w:val="fr-CA"/>
        </w:rPr>
        <w:t xml:space="preserve"> vise à prévenir qu’une entreprise possédant une puissance commerciale procède à un fusionnement pour empêcher la concurrence susceptible par ailleurs de s’exercer dans un marché contestable.  Pour déterminer si un fusionnement empêche sensiblement la concurrence, aux termes du par.</w:t>
      </w:r>
      <w:r w:rsidR="00E6271F" w:rsidRPr="00B27419">
        <w:rPr>
          <w:lang w:val="fr-CA"/>
        </w:rPr>
        <w:t xml:space="preserve"> </w:t>
      </w:r>
      <w:r w:rsidRPr="00B27419">
        <w:rPr>
          <w:lang w:val="fr-CA"/>
        </w:rPr>
        <w:t xml:space="preserve">92(1), le Tribunal doit envisager l’état du marché, n’eût été le fusionnement, pour apprécier le paysage concurrentiel qui existerait vraisemblablement si le fusionnement n’avait pas eu lieu. Premièrement, il faut déterminer l’entreprise — ou les entreprises — que le fusionnement empêcherait d’entrer dans le marché de manière indépendante.  Le concurrent éventuel est </w:t>
      </w:r>
      <w:r w:rsidRPr="00B27419">
        <w:rPr>
          <w:lang w:val="fr-CA"/>
        </w:rPr>
        <w:lastRenderedPageBreak/>
        <w:t>habituellement une partie au fusionnement</w:t>
      </w:r>
      <w:r w:rsidR="00E6271F" w:rsidRPr="00B27419">
        <w:rPr>
          <w:lang w:val="fr-CA"/>
        </w:rPr>
        <w:t> :</w:t>
      </w:r>
      <w:r w:rsidRPr="00B27419">
        <w:rPr>
          <w:lang w:val="fr-CA"/>
        </w:rPr>
        <w:t xml:space="preserve"> l’entreprise acquise ou l’entreprise </w:t>
      </w:r>
      <w:proofErr w:type="spellStart"/>
      <w:r w:rsidRPr="00B27419">
        <w:rPr>
          <w:lang w:val="fr-CA"/>
        </w:rPr>
        <w:t>acquérante</w:t>
      </w:r>
      <w:proofErr w:type="spellEnd"/>
      <w:r w:rsidRPr="00B27419">
        <w:rPr>
          <w:lang w:val="fr-CA"/>
        </w:rPr>
        <w:t>.  L’analyse est axée sur l’entrée potentielle dans le marché par la première lorsque, n’eût été le fusionnement, celle</w:t>
      </w:r>
      <w:r w:rsidR="00E6271F" w:rsidRPr="00B27419">
        <w:rPr>
          <w:lang w:val="fr-CA"/>
        </w:rPr>
        <w:t>-</w:t>
      </w:r>
      <w:r w:rsidRPr="00B27419">
        <w:rPr>
          <w:lang w:val="fr-CA"/>
        </w:rPr>
        <w:t>ci aurait vraisemblablement pénétré le marché en cause.  L’analyse est axée sur l’entrée potentielle dans le marché par la seconde lorsque, n’eût été le fusionnement, celle</w:t>
      </w:r>
      <w:r w:rsidR="00E6271F" w:rsidRPr="00B27419">
        <w:rPr>
          <w:lang w:val="fr-CA"/>
        </w:rPr>
        <w:t>-</w:t>
      </w:r>
      <w:r w:rsidRPr="00B27419">
        <w:rPr>
          <w:lang w:val="fr-CA"/>
        </w:rPr>
        <w:t xml:space="preserve">ci aurait pénétré le marché en question de manière indépendante ou par le truchement de l’acquisition et de l’expansion d’une entreprise de plus petite taille.  </w:t>
      </w:r>
    </w:p>
    <w:p w:rsidR="003536D5" w:rsidRPr="00B27419" w:rsidRDefault="003536D5" w:rsidP="00B27419">
      <w:pPr>
        <w:pStyle w:val="SCCNormalDoubleSpacing"/>
        <w:spacing w:before="480" w:after="480"/>
        <w:rPr>
          <w:lang w:val="fr-CA"/>
        </w:rPr>
      </w:pPr>
      <w:r w:rsidRPr="00B27419">
        <w:rPr>
          <w:lang w:val="fr-CA"/>
        </w:rPr>
        <w:tab/>
        <w:t xml:space="preserve">Deuxièmement, il faut examiner l’état du marché pour voir si, n’eût été le fusionnement, le concurrent éventuel serait vraisemblablement entré dans le marché et, dans l’affirmative, si l’effet de la pénétration par le concurrent éventuel aurait vraisemblablement un effet sensible sur le marché.  Si la pénétration par le concurrent n’a aucun effet sur la puissance commerciale de l’entreprise </w:t>
      </w:r>
      <w:proofErr w:type="spellStart"/>
      <w:r w:rsidRPr="00B27419">
        <w:rPr>
          <w:lang w:val="fr-CA"/>
        </w:rPr>
        <w:t>acquérante</w:t>
      </w:r>
      <w:proofErr w:type="spellEnd"/>
      <w:r w:rsidRPr="00B27419">
        <w:rPr>
          <w:lang w:val="fr-CA"/>
        </w:rPr>
        <w:t>, l’on ne peut dire du fusionnement qu’il a pour effet d’empêcher sensiblement la concurrence.  À cette étape de l’analyse, tous les éléments qui sont susceptibles d’influer sur cette pénétration du marché et à l’égard desquels une preuve a été produite doivent être pris en considération, comme les plans et éléments d’actif de la partie concernée, les conditions du marché actuelles et attendues et d’autres facteurs, énumérés à l’art.</w:t>
      </w:r>
      <w:r w:rsidR="00E6271F" w:rsidRPr="00B27419">
        <w:rPr>
          <w:lang w:val="fr-CA"/>
        </w:rPr>
        <w:t xml:space="preserve"> </w:t>
      </w:r>
      <w:r w:rsidRPr="00B27419">
        <w:rPr>
          <w:lang w:val="fr-CA"/>
        </w:rPr>
        <w:t xml:space="preserve">93 de la Loi. Le délai de pénétration du marché doit être discernable. Autrement dit, il doit y avoir une preuve du moment où la partie au fusionnement aurait, de façon réaliste, pénétré le marché en l’absence du fusionnement.  La preuve doit être suffisante pour qu’il soit satisfait à la condition de </w:t>
      </w:r>
      <w:r w:rsidR="00B27419">
        <w:rPr>
          <w:lang w:val="fr-CA"/>
        </w:rPr>
        <w:t>« </w:t>
      </w:r>
      <w:r w:rsidRPr="00B27419">
        <w:rPr>
          <w:lang w:val="fr-CA"/>
        </w:rPr>
        <w:t>vraisemblance</w:t>
      </w:r>
      <w:r w:rsidR="00B27419">
        <w:rPr>
          <w:lang w:val="fr-CA"/>
        </w:rPr>
        <w:t> »</w:t>
      </w:r>
      <w:r w:rsidRPr="00B27419">
        <w:rPr>
          <w:lang w:val="fr-CA"/>
        </w:rPr>
        <w:t xml:space="preserve"> selon la prépondérance des probabilités, mais il ne faut pas oublier que plus l’examen par le Tribunal porte loin dans le futur, plus il est difficile d’y satisfaire.  La période qu’un </w:t>
      </w:r>
      <w:r w:rsidRPr="00B27419">
        <w:rPr>
          <w:lang w:val="fr-CA"/>
        </w:rPr>
        <w:lastRenderedPageBreak/>
        <w:t>nouveau concurrent aux prises avec certains obstacles et qui agit avec diligence pour les surmonter pourrait voir s’écouler lorsqu’il tente de pénétrer le marché est certes un facteur important, mais ne permet toutefois pas d’envisager au</w:t>
      </w:r>
      <w:r w:rsidR="00E6271F" w:rsidRPr="00B27419">
        <w:rPr>
          <w:lang w:val="fr-CA"/>
        </w:rPr>
        <w:t>-</w:t>
      </w:r>
      <w:r w:rsidRPr="00B27419">
        <w:rPr>
          <w:lang w:val="fr-CA"/>
        </w:rPr>
        <w:t>delà de ce que la preuve appuie.  Quant à savoir si la pénétration du marché par un concurrent éventuel aura un effet sensible, il faut examiner diverses dimensions de la concurrence, dont le prix et les extrants, ainsi que l’ampleur et la durée de tout effet qu’elle aurait sur le marché.  L’article</w:t>
      </w:r>
      <w:r w:rsidR="00E6271F" w:rsidRPr="00B27419">
        <w:rPr>
          <w:lang w:val="fr-CA"/>
        </w:rPr>
        <w:t xml:space="preserve"> </w:t>
      </w:r>
      <w:r w:rsidRPr="00B27419">
        <w:rPr>
          <w:lang w:val="fr-CA"/>
        </w:rPr>
        <w:t>93 de la Loi dresse une liste non exhaustive de facteurs dont il peut être tenu compte.</w:t>
      </w:r>
    </w:p>
    <w:p w:rsidR="003536D5" w:rsidRPr="00B27419" w:rsidRDefault="003536D5" w:rsidP="00B27419">
      <w:pPr>
        <w:pStyle w:val="SCCNormalDoubleSpacing"/>
        <w:spacing w:before="480" w:after="480"/>
        <w:rPr>
          <w:lang w:val="fr-CA"/>
        </w:rPr>
      </w:pPr>
      <w:r w:rsidRPr="00B27419">
        <w:rPr>
          <w:lang w:val="fr-CA"/>
        </w:rPr>
        <w:tab/>
        <w:t>En l’espèce, la conclusion du Tribunal selon laquelle le fusionnement aura vraisemblablement pour effet d’empêcher sensiblement la concurrence est correcte.  Il a procédé à une analyse prospective axée sur l’absence hypothétique, a mis la partie acquise au centre de l’analyse et a demandé si, n’eût été le fusionnement, la partie acquise aurait vraisemblablement pénétré le marché pertinent dans une mesure suffisante pour livrer concurrence à T.  Le Tribunal n’a fait aucune conjecture; il a plutôt tiré des conclusions de fait sur le fondement de la preuve abondante dont il disposait.  Si la caractérisation par le Tribunal de la soi</w:t>
      </w:r>
      <w:r w:rsidR="00E6271F" w:rsidRPr="00B27419">
        <w:rPr>
          <w:lang w:val="fr-CA"/>
        </w:rPr>
        <w:t>-</w:t>
      </w:r>
      <w:r w:rsidRPr="00B27419">
        <w:rPr>
          <w:lang w:val="fr-CA"/>
        </w:rPr>
        <w:t>disant baisse du prix de 10</w:t>
      </w:r>
      <w:r w:rsidR="00E6271F" w:rsidRPr="00B27419">
        <w:rPr>
          <w:lang w:val="fr-CA"/>
        </w:rPr>
        <w:t xml:space="preserve"> </w:t>
      </w:r>
      <w:r w:rsidRPr="00B27419">
        <w:rPr>
          <w:lang w:val="fr-CA"/>
        </w:rPr>
        <w:t>p.</w:t>
      </w:r>
      <w:r w:rsidR="00E6271F" w:rsidRPr="00B27419">
        <w:rPr>
          <w:lang w:val="fr-CA"/>
        </w:rPr>
        <w:t xml:space="preserve"> </w:t>
      </w:r>
      <w:r w:rsidRPr="00B27419">
        <w:rPr>
          <w:lang w:val="fr-CA"/>
        </w:rPr>
        <w:t xml:space="preserve">100 qui aurait été réalisée en l’absence du fusionnement était mal fondée, il disposait de suffisamment d’autres éléments de preuve pour conclure que le fusionnement empêcherait sensiblement la concurrence.  </w:t>
      </w:r>
    </w:p>
    <w:p w:rsidR="003536D5" w:rsidRPr="00B27419" w:rsidRDefault="003536D5" w:rsidP="00B27419">
      <w:pPr>
        <w:pStyle w:val="SCCNormalDoubleSpacing"/>
        <w:spacing w:before="480" w:after="480"/>
        <w:rPr>
          <w:lang w:val="fr-CA"/>
        </w:rPr>
      </w:pPr>
      <w:r w:rsidRPr="00B27419">
        <w:rPr>
          <w:lang w:val="fr-CA"/>
        </w:rPr>
        <w:tab/>
        <w:t>Étant donné qu’il est satisfait à l’art.</w:t>
      </w:r>
      <w:r w:rsidR="00E6271F" w:rsidRPr="00B27419">
        <w:rPr>
          <w:lang w:val="fr-CA"/>
        </w:rPr>
        <w:t xml:space="preserve"> </w:t>
      </w:r>
      <w:r w:rsidRPr="00B27419">
        <w:rPr>
          <w:lang w:val="fr-CA"/>
        </w:rPr>
        <w:t>92 de la Loi, il y a lieu de déterminer si la défense fondée sur les gains en efficience prévue à l’art.</w:t>
      </w:r>
      <w:r w:rsidR="00E6271F" w:rsidRPr="00B27419">
        <w:rPr>
          <w:lang w:val="fr-CA"/>
        </w:rPr>
        <w:t xml:space="preserve"> </w:t>
      </w:r>
      <w:r w:rsidRPr="00B27419">
        <w:rPr>
          <w:lang w:val="fr-CA"/>
        </w:rPr>
        <w:t xml:space="preserve">96 </w:t>
      </w:r>
      <w:proofErr w:type="gramStart"/>
      <w:r w:rsidRPr="00B27419">
        <w:rPr>
          <w:lang w:val="fr-CA"/>
        </w:rPr>
        <w:t>fait</w:t>
      </w:r>
      <w:proofErr w:type="gramEnd"/>
      <w:r w:rsidRPr="00B27419">
        <w:rPr>
          <w:lang w:val="fr-CA"/>
        </w:rPr>
        <w:t xml:space="preserve"> obstacle à l’ordonnance visée à l’art.</w:t>
      </w:r>
      <w:r w:rsidR="00E6271F" w:rsidRPr="00B27419">
        <w:rPr>
          <w:lang w:val="fr-CA"/>
        </w:rPr>
        <w:t xml:space="preserve"> </w:t>
      </w:r>
      <w:r w:rsidRPr="00B27419">
        <w:rPr>
          <w:lang w:val="fr-CA"/>
        </w:rPr>
        <w:t xml:space="preserve">92.  La défense commande une analyse visant à déterminer </w:t>
      </w:r>
      <w:r w:rsidRPr="00B27419">
        <w:rPr>
          <w:lang w:val="fr-CA"/>
        </w:rPr>
        <w:lastRenderedPageBreak/>
        <w:t>si les gains en efficience qu’entraîne le fusionnement, résultant de l’intégration des ressources, surpassent les effets anticoncurrentiels qui découlent de la diminution ou de l’absence de concurrence dans le marché géographique et dans celui du produit en cause.  La commissaire est tenue de prouver les effets anticoncurrentiels; les parties au fusionnement assument quant à elles la charge de prouver les autres éléments de la défense.  Il existe diverses manières de procéder à l’exercice de comparaison qu’appelle l’art.</w:t>
      </w:r>
      <w:r w:rsidR="00E6271F" w:rsidRPr="00B27419">
        <w:rPr>
          <w:lang w:val="fr-CA"/>
        </w:rPr>
        <w:t xml:space="preserve"> </w:t>
      </w:r>
      <w:r w:rsidRPr="00B27419">
        <w:rPr>
          <w:lang w:val="fr-CA"/>
        </w:rPr>
        <w:t>96; deux ont été examiné</w:t>
      </w:r>
      <w:r w:rsidR="00D04AE4">
        <w:rPr>
          <w:lang w:val="fr-CA"/>
        </w:rPr>
        <w:t>e</w:t>
      </w:r>
      <w:r w:rsidRPr="00B27419">
        <w:rPr>
          <w:lang w:val="fr-CA"/>
        </w:rPr>
        <w:t>s par les tribunaux au Canada</w:t>
      </w:r>
      <w:r w:rsidR="00E6271F" w:rsidRPr="00B27419">
        <w:rPr>
          <w:lang w:val="fr-CA"/>
        </w:rPr>
        <w:t> :</w:t>
      </w:r>
      <w:r w:rsidRPr="00B27419">
        <w:rPr>
          <w:lang w:val="fr-CA"/>
        </w:rPr>
        <w:t xml:space="preserve"> le critère du </w:t>
      </w:r>
      <w:r w:rsidR="00B27419">
        <w:rPr>
          <w:lang w:val="fr-CA"/>
        </w:rPr>
        <w:t>« </w:t>
      </w:r>
      <w:r w:rsidRPr="00B27419">
        <w:rPr>
          <w:lang w:val="fr-CA"/>
        </w:rPr>
        <w:t>surplus total</w:t>
      </w:r>
      <w:r w:rsidR="00B27419">
        <w:rPr>
          <w:lang w:val="fr-CA"/>
        </w:rPr>
        <w:t> »</w:t>
      </w:r>
      <w:r w:rsidRPr="00B27419">
        <w:rPr>
          <w:lang w:val="fr-CA"/>
        </w:rPr>
        <w:t xml:space="preserve">, qui implique une quantification de la perte sèche qui découlera d’un fusionnement, et le critère des </w:t>
      </w:r>
      <w:r w:rsidR="00B27419">
        <w:rPr>
          <w:lang w:val="fr-CA"/>
        </w:rPr>
        <w:t>« </w:t>
      </w:r>
      <w:r w:rsidRPr="00B27419">
        <w:rPr>
          <w:lang w:val="fr-CA"/>
        </w:rPr>
        <w:t>coefficients pondérateurs</w:t>
      </w:r>
      <w:r w:rsidR="00B27419">
        <w:rPr>
          <w:lang w:val="fr-CA"/>
        </w:rPr>
        <w:t> »</w:t>
      </w:r>
      <w:r w:rsidRPr="00B27419">
        <w:rPr>
          <w:lang w:val="fr-CA"/>
        </w:rPr>
        <w:t xml:space="preserve"> suivant lequel le Tribunal compare les effets du fusionnement sur les consommateurs et sur les actionnaires de l’entité fusionnée.  Comme la Loi ne précise pas la méthode à appliquer, le Tribunal jouit de la latitude requise pour décider en bout de ligne à la lumière des circonstances propres à chaque fusionnement.</w:t>
      </w:r>
    </w:p>
    <w:p w:rsidR="003536D5" w:rsidRPr="00B27419" w:rsidRDefault="003536D5" w:rsidP="00B27419">
      <w:pPr>
        <w:pStyle w:val="SCCNormalDoubleSpacing"/>
        <w:spacing w:before="480" w:after="480"/>
        <w:rPr>
          <w:lang w:val="fr-CA"/>
        </w:rPr>
      </w:pPr>
      <w:r w:rsidRPr="00B27419">
        <w:rPr>
          <w:lang w:val="fr-CA"/>
        </w:rPr>
        <w:tab/>
        <w:t>L’article</w:t>
      </w:r>
      <w:r w:rsidR="00E6271F" w:rsidRPr="00B27419">
        <w:rPr>
          <w:lang w:val="fr-CA"/>
        </w:rPr>
        <w:t xml:space="preserve"> </w:t>
      </w:r>
      <w:r w:rsidRPr="00B27419">
        <w:rPr>
          <w:lang w:val="fr-CA"/>
        </w:rPr>
        <w:t>96 accorde effectivement la primauté à l’efficience de l’économie, mais il n’est pas dépourvu de limites.  Ce ne sont pas tous les gains en efficience économiques qui devraient être pris en considération dans l’analyse qu’appelle l’art.</w:t>
      </w:r>
      <w:r w:rsidR="00E6271F" w:rsidRPr="00B27419">
        <w:rPr>
          <w:lang w:val="fr-CA"/>
        </w:rPr>
        <w:t xml:space="preserve"> </w:t>
      </w:r>
      <w:r w:rsidRPr="00B27419">
        <w:rPr>
          <w:lang w:val="fr-CA"/>
        </w:rPr>
        <w:t>96.  Il y a lieu de distinguer entre les gains en efficience qu’une partie au fusionnement prétend être en mesure de réaliser plus rapidement qu’en l’absence du fusionnement (</w:t>
      </w:r>
      <w:r w:rsidR="00B27419">
        <w:rPr>
          <w:lang w:val="fr-CA"/>
        </w:rPr>
        <w:t>« </w:t>
      </w:r>
      <w:r w:rsidRPr="00B27419">
        <w:rPr>
          <w:lang w:val="fr-CA"/>
        </w:rPr>
        <w:t>gains en efficience du premier arrivé</w:t>
      </w:r>
      <w:r w:rsidR="00B27419">
        <w:rPr>
          <w:lang w:val="fr-CA"/>
        </w:rPr>
        <w:t> »</w:t>
      </w:r>
      <w:r w:rsidRPr="00B27419">
        <w:rPr>
          <w:lang w:val="fr-CA"/>
        </w:rPr>
        <w:t>) et les gains en efficience qu’une partie au fusionnement pourrait réaliser plus tôt qu’un concurrent pour la seule raison que ce dernier devrait attendre la fin de la procédure de dessaisissement (</w:t>
      </w:r>
      <w:r w:rsidR="00B27419">
        <w:rPr>
          <w:lang w:val="fr-CA"/>
        </w:rPr>
        <w:t>« </w:t>
      </w:r>
      <w:r w:rsidRPr="00B27419">
        <w:rPr>
          <w:lang w:val="fr-CA"/>
        </w:rPr>
        <w:t>gains en efficience liés à l’exécution d’une ordonnance</w:t>
      </w:r>
      <w:r w:rsidR="00B27419">
        <w:rPr>
          <w:lang w:val="fr-CA"/>
        </w:rPr>
        <w:t> »</w:t>
      </w:r>
      <w:r w:rsidRPr="00B27419">
        <w:rPr>
          <w:lang w:val="fr-CA"/>
        </w:rPr>
        <w:t xml:space="preserve">).  Les gains en efficience qui résultent de l’application de la Loi ne peuvent être pris en </w:t>
      </w:r>
      <w:r w:rsidRPr="00B27419">
        <w:rPr>
          <w:lang w:val="fr-CA"/>
        </w:rPr>
        <w:lastRenderedPageBreak/>
        <w:t>compte au titre de l’art.</w:t>
      </w:r>
      <w:r w:rsidR="00E6271F" w:rsidRPr="00B27419">
        <w:rPr>
          <w:lang w:val="fr-CA"/>
        </w:rPr>
        <w:t xml:space="preserve"> </w:t>
      </w:r>
      <w:r w:rsidRPr="00B27419">
        <w:rPr>
          <w:lang w:val="fr-CA"/>
        </w:rPr>
        <w:t>96, car ils découlent de l’exécution et de l’application du cadre qui réglemente le droit de la concurrence au Canada, plutôt que du fusionnement en soi.  En revanche, les gains en efficience du premier arrivé sont admissibles pour l’application de l’art.</w:t>
      </w:r>
      <w:r w:rsidR="00E6271F" w:rsidRPr="00B27419">
        <w:rPr>
          <w:lang w:val="fr-CA"/>
        </w:rPr>
        <w:t xml:space="preserve"> </w:t>
      </w:r>
      <w:r w:rsidRPr="00B27419">
        <w:rPr>
          <w:lang w:val="fr-CA"/>
        </w:rPr>
        <w:t xml:space="preserve">96, car il s’agit de gains en efficience économiques qui résultent véritablement du fusionnement.  Néanmoins, en l’espèce, la classification de ces gains en efficience d’un an relatifs au transport et à l’expansion du marché invoqués par T à titre de gains du premier arrivé ou de gains liés à l’exécution d’une ordonnance ne serait pas déterminante, puisque ces gains n’ont pas été réalisés.  </w:t>
      </w:r>
    </w:p>
    <w:p w:rsidR="003536D5" w:rsidRPr="00B27419" w:rsidRDefault="003536D5" w:rsidP="00B27419">
      <w:pPr>
        <w:pStyle w:val="SCCNormalDoubleSpacing"/>
        <w:spacing w:before="480" w:after="480"/>
        <w:rPr>
          <w:lang w:val="fr-CA"/>
        </w:rPr>
      </w:pPr>
      <w:r w:rsidRPr="00B27419">
        <w:rPr>
          <w:lang w:val="fr-CA"/>
        </w:rPr>
        <w:tab/>
        <w:t>Dans l’analyse de la défense fondée sur les gains en efficience, le Tribunal devrait prendre en considération tous les éléments quantitatifs et qualitatifs à sa disposition.  Il incombe à la commissaire de quantifier tous les effets anticoncurrentiels quantifiables.  Les effets qui peuvent être quantifiés devraient l’être, ou à tout le moins être estimés, dans la mesure où de telles estimations sont fondées sur une preuve qui peut être attaquée et soupesée.  L’omission d’en donner au moins une estimation quantitative, lorsqu’il est réalistement possible de le faire, ne donnera pas lieu à une analyse qualitative de ces effets.  Seuls les effets ne pouvant être estimés sur le plan quantitatif seront pris en considération sur le plan qualitatif.  Cette méthode réduit au minimum le jugement subjectif nécessaire dans l’analyse et permet au Tribunal d’effectuer l’évaluation la plus objective possible dans les circonstances.</w:t>
      </w:r>
    </w:p>
    <w:p w:rsidR="003536D5" w:rsidRPr="00B27419" w:rsidRDefault="003536D5" w:rsidP="00B27419">
      <w:pPr>
        <w:pStyle w:val="SCCNormalDoubleSpacing"/>
        <w:spacing w:before="480" w:after="480"/>
        <w:rPr>
          <w:lang w:val="fr-CA"/>
        </w:rPr>
      </w:pPr>
      <w:r w:rsidRPr="00B27419">
        <w:rPr>
          <w:lang w:val="fr-CA"/>
        </w:rPr>
        <w:lastRenderedPageBreak/>
        <w:tab/>
        <w:t>En l’espèce, la commissaire n’a pas quantifié les effets anticoncurrentiels quantifiables et, partant, elle ne s’est pas acquittée du fardeau que lui impose l’art.</w:t>
      </w:r>
      <w:r w:rsidR="00E6271F" w:rsidRPr="00B27419">
        <w:rPr>
          <w:lang w:val="fr-CA"/>
        </w:rPr>
        <w:t xml:space="preserve"> </w:t>
      </w:r>
      <w:r w:rsidRPr="00B27419">
        <w:rPr>
          <w:lang w:val="fr-CA"/>
        </w:rPr>
        <w:t xml:space="preserve">96.  En particulier, sans données sur l’élasticité par rapport au prix, la fourchette possible de la perte sèche résultant du fusionnement est inconnue.  Permettre au Tribunal de tenir compte de la baisse des prix invoquée sans les autres données sur la perte sèche fait intervenir une trop grande subjectivité dans l’équation, et rien ne garantit qu’il dispose de données suffisantes pour vérifier si l’analyse subjective concorderait avec celle fondée sur des effets quantifiés en bonne et due forme.  Par conséquent, les effets anticoncurrentiels quantifiables doivent alors être jugés nuls.  En concluant que ces effets avaient une valeur indéterminée, la Cour d’appel fédérale a permis qu’un jugement subjectif dicte l’analyse.  La démarche de la Cour d’appel fédérale, qui a attribué une valeur </w:t>
      </w:r>
      <w:r w:rsidR="00B27419">
        <w:rPr>
          <w:lang w:val="fr-CA"/>
        </w:rPr>
        <w:t>« </w:t>
      </w:r>
      <w:r w:rsidRPr="00B27419">
        <w:rPr>
          <w:lang w:val="fr-CA"/>
        </w:rPr>
        <w:t>indéterminée</w:t>
      </w:r>
      <w:r w:rsidR="00B27419">
        <w:rPr>
          <w:lang w:val="fr-CA"/>
        </w:rPr>
        <w:t> »</w:t>
      </w:r>
      <w:r w:rsidRPr="00B27419">
        <w:rPr>
          <w:lang w:val="fr-CA"/>
        </w:rPr>
        <w:t>, soulève aussi des questions d’équité à l’égard des parties au fusionnement en ce sens qu’on les met dans une situation insoutenable</w:t>
      </w:r>
      <w:r w:rsidR="00E6271F" w:rsidRPr="00B27419">
        <w:rPr>
          <w:lang w:val="fr-CA"/>
        </w:rPr>
        <w:t> :</w:t>
      </w:r>
      <w:r w:rsidRPr="00B27419">
        <w:rPr>
          <w:lang w:val="fr-CA"/>
        </w:rPr>
        <w:t xml:space="preserve"> démontrer que les gains en efficience surpassent et neutralisent une somme indéterminée.  Ainsi, exiger des parties au fusionnement qu’elles prouvent les autres éléments de la défense selon la prépondérance des probabilités devient un exercice inéquitable, car elles ignorent la preuve qui leur est opposée.  </w:t>
      </w:r>
    </w:p>
    <w:p w:rsidR="003536D5" w:rsidRPr="00B27419" w:rsidRDefault="003536D5" w:rsidP="00B27419">
      <w:pPr>
        <w:pStyle w:val="SCCNormalDoubleSpacing"/>
        <w:spacing w:before="480" w:after="480"/>
        <w:rPr>
          <w:lang w:val="fr-CA"/>
        </w:rPr>
      </w:pPr>
      <w:r w:rsidRPr="00B27419">
        <w:rPr>
          <w:lang w:val="fr-CA"/>
        </w:rPr>
        <w:tab/>
        <w:t>La pondération qu’exige l’art.</w:t>
      </w:r>
      <w:r w:rsidR="00E6271F" w:rsidRPr="00B27419">
        <w:rPr>
          <w:lang w:val="fr-CA"/>
        </w:rPr>
        <w:t xml:space="preserve"> </w:t>
      </w:r>
      <w:r w:rsidRPr="00B27419">
        <w:rPr>
          <w:lang w:val="fr-CA"/>
        </w:rPr>
        <w:t xml:space="preserve">96 commande une méthode souple, mais objectivement raisonnable invitant le Tribunal à déterminer les aspects tant quantitatifs que qualitatifs du fusionnement, puis à les soupeser.  On peut concevoir le critère comme une analyse en deux étapes.  Dans un premier temps, il faut comparer les gains en efficience quantitatifs du fusionnement à ses effets anticoncurrentiels quantitatifs.  Si les effets anticoncurrentiels quantitatifs dépassent les gains en </w:t>
      </w:r>
      <w:r w:rsidRPr="00B27419">
        <w:rPr>
          <w:lang w:val="fr-CA"/>
        </w:rPr>
        <w:lastRenderedPageBreak/>
        <w:t>efficience quantitatifs, l’analyse prend alors fin dans la plupart des cas, et la défense ne s’appliquera pas.  Dans un deuxième temps, il faut mettre en balance les gains en efficience qualitatifs et les effets anticoncurrentiels qualitatifs et décider en dernière analyse si le total des gains en efficience neutralise le total des effets anticoncurrentiels du fusionnement en cause.  Cependant, en dépit de la latitude dont jouit le Tribunal lorsqu’il applique cette méthode de pondération, il ne faudrait pas exiger des gains en efficience plus que négligeables pour que la défense s’applique. Le libellé de la Loi ne permet pas d’exiger un tel seuil.  Le contexte législatif du par.</w:t>
      </w:r>
      <w:r w:rsidR="00E6271F" w:rsidRPr="00B27419">
        <w:rPr>
          <w:lang w:val="fr-CA"/>
        </w:rPr>
        <w:t xml:space="preserve"> </w:t>
      </w:r>
      <w:r w:rsidRPr="00B27419">
        <w:rPr>
          <w:lang w:val="fr-CA"/>
        </w:rPr>
        <w:t>96(1) ne permet pas non plus que cette disposition soit assortie d’un seuil implicite.  La Cour d’appel fédérale a donc commis une erreur en statuant qu’un fusionnement anticoncurrentiel ne saurait être approuvé sous le régime de l’art.</w:t>
      </w:r>
      <w:r w:rsidR="00E6271F" w:rsidRPr="00B27419">
        <w:rPr>
          <w:lang w:val="fr-CA"/>
        </w:rPr>
        <w:t xml:space="preserve"> </w:t>
      </w:r>
      <w:r w:rsidRPr="00B27419">
        <w:rPr>
          <w:lang w:val="fr-CA"/>
        </w:rPr>
        <w:t xml:space="preserve">96 si seuls des gains négligeables ou insignifiants en découlent.  </w:t>
      </w:r>
    </w:p>
    <w:p w:rsidR="003536D5" w:rsidRPr="00B27419" w:rsidRDefault="003536D5" w:rsidP="00B27419">
      <w:pPr>
        <w:pStyle w:val="SCCNormalDoubleSpacing"/>
        <w:spacing w:before="480" w:after="480"/>
        <w:rPr>
          <w:lang w:val="fr-CA"/>
        </w:rPr>
      </w:pPr>
      <w:r w:rsidRPr="00B27419">
        <w:rPr>
          <w:lang w:val="fr-CA"/>
        </w:rPr>
        <w:tab/>
        <w:t>En l’espèce, la commissaire ne s’est pas acquittée de la charge qui lui incombait de prouver l’existence d’effets anticoncurrentiels, de sorte qu’une valeur nulle a été accordée aux effets quantifiables.  Aucun effet anticoncurrentiel qualitatif n’a été établi.  Or, T a établi l’existence de gains en efficience liés à la baisse des coûts indirects qui découlent de l’obtention par B de l’accès aux fonctions administratives et opérationnelles de T.  Ces gains prouvés satisfont à la condition de surpassement et de neutralisation, et par conséquent, la défense fondée sur les gains en efficience a été établie.</w:t>
      </w:r>
    </w:p>
    <w:p w:rsidR="003536D5" w:rsidRPr="00B27419" w:rsidRDefault="003536D5" w:rsidP="00B27419">
      <w:pPr>
        <w:pStyle w:val="SCCNormalDoubleSpacing"/>
        <w:spacing w:before="480" w:after="480"/>
        <w:rPr>
          <w:lang w:val="fr-CA"/>
        </w:rPr>
      </w:pPr>
      <w:r w:rsidRPr="00B27419">
        <w:rPr>
          <w:lang w:val="fr-CA"/>
        </w:rPr>
        <w:tab/>
      </w:r>
      <w:r w:rsidRPr="00B27419">
        <w:rPr>
          <w:i/>
          <w:lang w:val="fr-CA"/>
        </w:rPr>
        <w:t>La</w:t>
      </w:r>
      <w:r w:rsidRPr="00B27419">
        <w:rPr>
          <w:lang w:val="fr-CA"/>
        </w:rPr>
        <w:t xml:space="preserve"> juge Abella</w:t>
      </w:r>
      <w:r w:rsidR="00E6271F" w:rsidRPr="00B27419">
        <w:rPr>
          <w:lang w:val="fr-CA"/>
        </w:rPr>
        <w:t> :</w:t>
      </w:r>
      <w:r w:rsidRPr="00B27419">
        <w:rPr>
          <w:lang w:val="fr-CA"/>
        </w:rPr>
        <w:t xml:space="preserve"> L</w:t>
      </w:r>
      <w:r w:rsidRPr="00B27419">
        <w:rPr>
          <w:szCs w:val="24"/>
          <w:lang w:val="fr-CA"/>
        </w:rPr>
        <w:t>a norme de contrôle judiciaire qui s’applique en l’espèce est celle de la décision raisonnable, et non celle de la décision correcte.</w:t>
      </w:r>
      <w:r w:rsidRPr="00B27419">
        <w:rPr>
          <w:lang w:val="fr-CA"/>
        </w:rPr>
        <w:t xml:space="preserve"> </w:t>
      </w:r>
      <w:r w:rsidRPr="00B27419">
        <w:rPr>
          <w:szCs w:val="24"/>
          <w:lang w:val="fr-CA"/>
        </w:rPr>
        <w:lastRenderedPageBreak/>
        <w:t xml:space="preserve">Après l’arrêt </w:t>
      </w:r>
      <w:proofErr w:type="spellStart"/>
      <w:r w:rsidRPr="00B27419">
        <w:rPr>
          <w:i/>
          <w:szCs w:val="24"/>
          <w:lang w:val="fr-CA"/>
        </w:rPr>
        <w:t>Pezim</w:t>
      </w:r>
      <w:proofErr w:type="spellEnd"/>
      <w:r w:rsidRPr="00B27419">
        <w:rPr>
          <w:i/>
          <w:szCs w:val="24"/>
          <w:lang w:val="fr-CA"/>
        </w:rPr>
        <w:t xml:space="preserve"> c. Colombie</w:t>
      </w:r>
      <w:r w:rsidR="00E6271F" w:rsidRPr="00B27419">
        <w:rPr>
          <w:i/>
          <w:szCs w:val="24"/>
          <w:lang w:val="fr-CA"/>
        </w:rPr>
        <w:t>-</w:t>
      </w:r>
      <w:r w:rsidRPr="00B27419">
        <w:rPr>
          <w:i/>
          <w:szCs w:val="24"/>
          <w:lang w:val="fr-CA"/>
        </w:rPr>
        <w:t>Britannique (</w:t>
      </w:r>
      <w:proofErr w:type="spellStart"/>
      <w:r w:rsidRPr="00B27419">
        <w:rPr>
          <w:i/>
          <w:szCs w:val="24"/>
          <w:lang w:val="fr-CA"/>
        </w:rPr>
        <w:t>Superintendent</w:t>
      </w:r>
      <w:proofErr w:type="spellEnd"/>
      <w:r w:rsidRPr="00B27419">
        <w:rPr>
          <w:i/>
          <w:szCs w:val="24"/>
          <w:lang w:val="fr-CA"/>
        </w:rPr>
        <w:t xml:space="preserve"> of Brokers)</w:t>
      </w:r>
      <w:r w:rsidRPr="00B27419">
        <w:rPr>
          <w:szCs w:val="24"/>
          <w:lang w:val="fr-CA"/>
        </w:rPr>
        <w:t>, [1994] 2 R.C.S. 557, qui a jeté les bases d’un nouvel édifice de révision des décisions des tribunaux spécialisés, la jurisprudence de la Cour a créé une présomption selon laquelle, qu’il y ait ou non de droit d’appel ou de clause privative, dès lors qu’un tribunal administratif interprète sa propre loi constitutive, c’est la norme de la décision raisonnable qui s’applique.</w:t>
      </w:r>
      <w:r w:rsidRPr="00B27419">
        <w:rPr>
          <w:lang w:val="fr-CA"/>
        </w:rPr>
        <w:t xml:space="preserve">  </w:t>
      </w:r>
      <w:r w:rsidRPr="00B27419">
        <w:rPr>
          <w:szCs w:val="24"/>
          <w:lang w:val="fr-CA"/>
        </w:rPr>
        <w:t>Bien que le libellé de la disposition accordant le droit d’appel en l’espèce diffère de celui qui est en cause dans d’autres affaires où la Cour applique la norme de la décision raisonnable, il ne diffère pas suffisamment pour saper le principe établi, à savoir que la déférence s’impose à l’égard de l’interprétation par un tribunal expert de sa loi constitutive.</w:t>
      </w:r>
      <w:r w:rsidRPr="00B27419">
        <w:rPr>
          <w:lang w:val="fr-CA"/>
        </w:rPr>
        <w:t xml:space="preserve">  </w:t>
      </w:r>
      <w:r w:rsidRPr="00B27419">
        <w:rPr>
          <w:szCs w:val="24"/>
          <w:lang w:val="fr-CA"/>
        </w:rPr>
        <w:t>Invoquer ce genre de libellé pour supplanter la déférence que commande l’expertise du tribunal a pour effet d’élever le facteur du libellé de la loi au rang d’élément prééminent et déterminant que nous avons longtemps refusé de lui reconnaître.</w:t>
      </w:r>
      <w:r w:rsidRPr="00B27419">
        <w:rPr>
          <w:lang w:val="fr-CA"/>
        </w:rPr>
        <w:t xml:space="preserve">  </w:t>
      </w:r>
      <w:r w:rsidRPr="00B27419">
        <w:rPr>
          <w:szCs w:val="24"/>
          <w:lang w:val="fr-CA"/>
        </w:rPr>
        <w:t xml:space="preserve">Appliquer la norme de la décision correcte en l’espèce constitue un retour à la situation antérieure à l’arrêt </w:t>
      </w:r>
      <w:proofErr w:type="spellStart"/>
      <w:r w:rsidRPr="00B27419">
        <w:rPr>
          <w:i/>
          <w:szCs w:val="24"/>
          <w:lang w:val="fr-CA"/>
        </w:rPr>
        <w:t>Pezim</w:t>
      </w:r>
      <w:proofErr w:type="spellEnd"/>
      <w:r w:rsidRPr="00B27419">
        <w:rPr>
          <w:szCs w:val="24"/>
          <w:lang w:val="fr-CA"/>
        </w:rPr>
        <w:t xml:space="preserve">, sape l’expertise du Tribunal reconnue par le texte législatif et représente un écart inexplicable par rapport à la jurisprudence de la Cour qui va engendrer sans aucun doute la confusion relative à la </w:t>
      </w:r>
      <w:r w:rsidR="00B27419">
        <w:rPr>
          <w:szCs w:val="24"/>
          <w:lang w:val="fr-CA"/>
        </w:rPr>
        <w:t>« </w:t>
      </w:r>
      <w:r w:rsidRPr="00B27419">
        <w:rPr>
          <w:szCs w:val="24"/>
          <w:lang w:val="fr-CA"/>
        </w:rPr>
        <w:t>norme de contrôle</w:t>
      </w:r>
      <w:r w:rsidR="00B27419">
        <w:rPr>
          <w:szCs w:val="24"/>
          <w:lang w:val="fr-CA"/>
        </w:rPr>
        <w:t> »</w:t>
      </w:r>
      <w:r w:rsidRPr="00B27419">
        <w:rPr>
          <w:szCs w:val="24"/>
          <w:lang w:val="fr-CA"/>
        </w:rPr>
        <w:t xml:space="preserve"> qui avait amené la Cour au départ à vouloir y mettre de l’ordre. </w:t>
      </w:r>
      <w:r w:rsidRPr="00B27419">
        <w:rPr>
          <w:lang w:val="fr-CA"/>
        </w:rPr>
        <w:t xml:space="preserve"> Si l’on applique la norme de la décision raisonnable, </w:t>
      </w:r>
      <w:r w:rsidRPr="00B27419">
        <w:rPr>
          <w:szCs w:val="24"/>
          <w:lang w:val="fr-CA"/>
        </w:rPr>
        <w:t>l’interprétation de l’art.</w:t>
      </w:r>
      <w:r w:rsidR="00E6271F" w:rsidRPr="00B27419">
        <w:rPr>
          <w:szCs w:val="24"/>
          <w:lang w:val="fr-CA"/>
        </w:rPr>
        <w:t xml:space="preserve"> </w:t>
      </w:r>
      <w:r w:rsidRPr="00B27419">
        <w:rPr>
          <w:szCs w:val="24"/>
          <w:lang w:val="fr-CA"/>
        </w:rPr>
        <w:t>96 de la Loi par le Tribunal n’était pas raisonnable.</w:t>
      </w:r>
    </w:p>
    <w:p w:rsidR="003536D5" w:rsidRPr="00B27419" w:rsidRDefault="003536D5" w:rsidP="00B27419">
      <w:pPr>
        <w:pStyle w:val="SCCNormalDoubleSpacing"/>
        <w:spacing w:before="480" w:after="480"/>
        <w:rPr>
          <w:lang w:val="fr-CA"/>
        </w:rPr>
      </w:pPr>
      <w:r w:rsidRPr="00B27419">
        <w:rPr>
          <w:lang w:val="fr-CA"/>
        </w:rPr>
        <w:tab/>
      </w:r>
      <w:r w:rsidRPr="00B27419">
        <w:rPr>
          <w:i/>
          <w:lang w:val="fr-CA"/>
        </w:rPr>
        <w:t>La</w:t>
      </w:r>
      <w:r w:rsidRPr="00B27419">
        <w:rPr>
          <w:lang w:val="fr-CA"/>
        </w:rPr>
        <w:t xml:space="preserve"> juge </w:t>
      </w:r>
      <w:proofErr w:type="spellStart"/>
      <w:r w:rsidRPr="00B27419">
        <w:rPr>
          <w:lang w:val="fr-CA"/>
        </w:rPr>
        <w:t>Karakatsanis</w:t>
      </w:r>
      <w:proofErr w:type="spellEnd"/>
      <w:r w:rsidRPr="00B27419">
        <w:rPr>
          <w:lang w:val="fr-CA"/>
        </w:rPr>
        <w:t xml:space="preserve"> (dissidente)</w:t>
      </w:r>
      <w:r w:rsidR="00E6271F" w:rsidRPr="00B27419">
        <w:rPr>
          <w:lang w:val="fr-CA"/>
        </w:rPr>
        <w:t> :</w:t>
      </w:r>
      <w:r w:rsidRPr="00B27419">
        <w:rPr>
          <w:lang w:val="fr-CA"/>
        </w:rPr>
        <w:t xml:space="preserve"> T n’avait pas le droit de se prévaloir de la défense fondée sur les gains en efficience en l’espèce.  Les gains en efficience et les effets anticoncurrentiels devraient être quantifiés chaque fois qu’il est </w:t>
      </w:r>
      <w:r w:rsidRPr="00B27419">
        <w:rPr>
          <w:lang w:val="fr-CA"/>
        </w:rPr>
        <w:lastRenderedPageBreak/>
        <w:t>raisonnablement possible de le faire dans le cadre de l’analyse que commande l’art.</w:t>
      </w:r>
      <w:r w:rsidR="00E6271F" w:rsidRPr="00B27419">
        <w:rPr>
          <w:lang w:val="fr-CA"/>
        </w:rPr>
        <w:t xml:space="preserve"> </w:t>
      </w:r>
      <w:r w:rsidRPr="00B27419">
        <w:rPr>
          <w:lang w:val="fr-CA"/>
        </w:rPr>
        <w:t xml:space="preserve">96, et l’évaluation des effets qualitatifs </w:t>
      </w:r>
      <w:proofErr w:type="gramStart"/>
      <w:r w:rsidRPr="00B27419">
        <w:rPr>
          <w:lang w:val="fr-CA"/>
        </w:rPr>
        <w:t>devrait</w:t>
      </w:r>
      <w:proofErr w:type="gramEnd"/>
      <w:r w:rsidRPr="00B27419">
        <w:rPr>
          <w:lang w:val="fr-CA"/>
        </w:rPr>
        <w:t xml:space="preserve"> être objectivement raisonnable et étayée par des éléments de preuve et un raisonnement clair.  Toutefois, la nécessité d’une </w:t>
      </w:r>
      <w:r w:rsidR="00B27419">
        <w:rPr>
          <w:lang w:val="fr-CA"/>
        </w:rPr>
        <w:t>« </w:t>
      </w:r>
      <w:r w:rsidRPr="00B27419">
        <w:rPr>
          <w:lang w:val="fr-CA"/>
        </w:rPr>
        <w:t>objectivité raisonnable</w:t>
      </w:r>
      <w:r w:rsidR="00B27419">
        <w:rPr>
          <w:lang w:val="fr-CA"/>
        </w:rPr>
        <w:t> »</w:t>
      </w:r>
      <w:r w:rsidRPr="00B27419">
        <w:rPr>
          <w:lang w:val="fr-CA"/>
        </w:rPr>
        <w:t xml:space="preserve"> ne saurait justifier une conception hiérarchique des aspects quantitatifs et qualitatifs qu’il faut évaluer au regard de la défense fondée sur les gains en efficience; et </w:t>
      </w:r>
      <w:r w:rsidRPr="00B27419">
        <w:rPr>
          <w:iCs/>
          <w:lang w:val="fr-CA"/>
        </w:rPr>
        <w:t>les aspects qualitatifs ne jouent pas un rôle moins important que les effets quantitatifs</w:t>
      </w:r>
      <w:r w:rsidRPr="00B27419">
        <w:rPr>
          <w:lang w:val="fr-CA"/>
        </w:rPr>
        <w:t>.  Le libellé de la Loi n’établit aucune distinction entre les gains en efficience quantitatifs et qualitatifs, et plusieurs des objets variés de Loi prévus à l’art.</w:t>
      </w:r>
      <w:r w:rsidR="00E6271F" w:rsidRPr="00B27419">
        <w:rPr>
          <w:lang w:val="fr-CA"/>
        </w:rPr>
        <w:t xml:space="preserve"> </w:t>
      </w:r>
      <w:r w:rsidRPr="00B27419">
        <w:rPr>
          <w:lang w:val="fr-CA"/>
        </w:rPr>
        <w:t>1.1 peuvent ne pas être quantifiables.  En effet, il se peut que nombre d’effets anticoncurrentiels importants d’un fusionnement soient de nature qualitative et, dans certains cas, ces effets qualitatifs peuvent être déterminants dans l’analyse qu’appelle l’art.</w:t>
      </w:r>
      <w:r w:rsidR="00E6271F" w:rsidRPr="00B27419">
        <w:rPr>
          <w:lang w:val="fr-CA"/>
        </w:rPr>
        <w:t xml:space="preserve"> </w:t>
      </w:r>
      <w:r w:rsidRPr="00B27419">
        <w:rPr>
          <w:lang w:val="fr-CA"/>
        </w:rPr>
        <w:t>96.  La loi prévoit une analyse téléologique, et l’importance relative des gains ou effets qualitatifs d’une part et quantitatifs d’autre part ne peut être déterminée qu’au cas par cas. Il n’est ni utile ni nécessaire de déterminer à l’avance le rôle et l’importance de chaque catégorie dans l’analyse visant à décider si la défense fondée sur l’art.</w:t>
      </w:r>
      <w:r w:rsidR="00E6271F" w:rsidRPr="00B27419">
        <w:rPr>
          <w:lang w:val="fr-CA"/>
        </w:rPr>
        <w:t xml:space="preserve"> </w:t>
      </w:r>
      <w:r w:rsidRPr="00B27419">
        <w:rPr>
          <w:lang w:val="fr-CA"/>
        </w:rPr>
        <w:t>96 s’applique.</w:t>
      </w:r>
    </w:p>
    <w:p w:rsidR="003536D5" w:rsidRPr="00B27419" w:rsidRDefault="003536D5" w:rsidP="00B27419">
      <w:pPr>
        <w:pStyle w:val="SCCNormalDoubleSpacing"/>
        <w:spacing w:before="480" w:after="480"/>
        <w:rPr>
          <w:lang w:val="fr-CA"/>
        </w:rPr>
      </w:pPr>
      <w:r w:rsidRPr="00B27419">
        <w:rPr>
          <w:lang w:val="fr-CA"/>
        </w:rPr>
        <w:tab/>
        <w:t>L’avis de la Cour d’appel fédérale, selon qui l’analyse qu’appelle l’art.</w:t>
      </w:r>
      <w:r w:rsidR="00E6271F" w:rsidRPr="00B27419">
        <w:rPr>
          <w:lang w:val="fr-CA"/>
        </w:rPr>
        <w:t xml:space="preserve"> </w:t>
      </w:r>
      <w:r w:rsidRPr="00B27419">
        <w:rPr>
          <w:lang w:val="fr-CA"/>
        </w:rPr>
        <w:t>96 porte essentiellement sur la pondération des gains en efficience toutes catégories confondues et des effets anticoncurrentiels toutes catégories confondues, permet une certaine souplesse, les gains en efficience et les effets anticoncurrentiels n’étant pas toujours faciles à mesurer.  Le cadre applicable à l’art.</w:t>
      </w:r>
      <w:r w:rsidR="00E6271F" w:rsidRPr="00B27419">
        <w:rPr>
          <w:lang w:val="fr-CA"/>
        </w:rPr>
        <w:t xml:space="preserve"> </w:t>
      </w:r>
      <w:r w:rsidRPr="00B27419">
        <w:rPr>
          <w:lang w:val="fr-CA"/>
        </w:rPr>
        <w:t xml:space="preserve">96 permet au Tribunal expert d’évaluer globalement la preuve qui lui a été présentée plutôt que de scinder </w:t>
      </w:r>
      <w:r w:rsidRPr="00B27419">
        <w:rPr>
          <w:lang w:val="fr-CA"/>
        </w:rPr>
        <w:lastRenderedPageBreak/>
        <w:t xml:space="preserve">artificiellement l’analyse des effets qualitatifs et des effets quantitatifs. En effet, dans certains cas, il peut être plus utile de les analyser ensemble.  </w:t>
      </w:r>
    </w:p>
    <w:p w:rsidR="003536D5" w:rsidRPr="00B27419" w:rsidRDefault="003536D5" w:rsidP="00B27419">
      <w:pPr>
        <w:pStyle w:val="SCCNormalDoubleSpacing"/>
        <w:spacing w:before="480" w:after="480"/>
        <w:rPr>
          <w:lang w:val="fr-CA"/>
        </w:rPr>
      </w:pPr>
      <w:r w:rsidRPr="00B27419">
        <w:rPr>
          <w:lang w:val="fr-CA"/>
        </w:rPr>
        <w:tab/>
        <w:t>En outre, si la commissaire doit présenter des éléments de preuve sur les effets anticoncurrentiels du fusionnement et assume le risque qu’une quantification incomplète des effets quantifiables soit insuffisante pour réfuter la preuve des gains en efficience, la preuve ayant établi qu’il y avait un effet anticoncurrentiel connu d’une valeur indéterminée n’est pas invalidée du fait d’une quantification incomplète.  La preuve pertinente est généralement admissible, et le défaut de présenter la meilleure preuve possible influe sur le poids qui peut être accordé à cette preuve, non pas sur son admissibilité.  Ni le libellé de la Loi ni par ailleurs son objet ou son contexte ne font en sorte qu’un effet anticoncurrentiel d’une valeur indéterminée devienne non pertinent ou inadmissible.</w:t>
      </w:r>
    </w:p>
    <w:p w:rsidR="003536D5" w:rsidRPr="00B27419" w:rsidRDefault="003536D5" w:rsidP="00B27419">
      <w:pPr>
        <w:pStyle w:val="SCCNormalDoubleSpacing"/>
        <w:spacing w:before="480" w:after="480"/>
        <w:rPr>
          <w:lang w:val="fr-CA"/>
        </w:rPr>
      </w:pPr>
      <w:r w:rsidRPr="00B27419">
        <w:rPr>
          <w:lang w:val="fr-CA"/>
        </w:rPr>
        <w:tab/>
        <w:t>La Cour d’appel fédérale pouvait juger que la conclusion du Tribunal selon laquelle les prix auraient été inférieurs de 10</w:t>
      </w:r>
      <w:r w:rsidR="00E6271F" w:rsidRPr="00B27419">
        <w:rPr>
          <w:lang w:val="fr-CA"/>
        </w:rPr>
        <w:t xml:space="preserve"> </w:t>
      </w:r>
      <w:r w:rsidRPr="00B27419">
        <w:rPr>
          <w:lang w:val="fr-CA"/>
        </w:rPr>
        <w:t>p.</w:t>
      </w:r>
      <w:r w:rsidR="00E6271F" w:rsidRPr="00B27419">
        <w:rPr>
          <w:lang w:val="fr-CA"/>
        </w:rPr>
        <w:t xml:space="preserve"> </w:t>
      </w:r>
      <w:r w:rsidRPr="00B27419">
        <w:rPr>
          <w:lang w:val="fr-CA"/>
        </w:rPr>
        <w:t>100 dans la zone pertinente, n’eût été le fusionnement, constituait la preuve d’un effet anticoncurrentiel connu, mais d’une valeur indéterminée.  Elle pouvait également juger que le monopole préexistant de T aurait vraisemblablement pour effet d’amplifier les effets anticoncurrentiels du fusionnement.  Finalement, la cour pouvait conclure à bon droit que les gains en efficience établis étaient minimes au point d’être négligeables et n’excédaient vraisemblablement pas les effets anticoncurrentiels connus mais indéterminés.</w:t>
      </w:r>
    </w:p>
    <w:p w:rsidR="003536D5" w:rsidRPr="00B27419" w:rsidRDefault="003536D5" w:rsidP="00B27419">
      <w:pPr>
        <w:pStyle w:val="SCCNormalDoubleSpacing"/>
        <w:spacing w:before="480" w:after="480"/>
        <w:rPr>
          <w:b/>
          <w:lang w:val="fr-CA"/>
        </w:rPr>
      </w:pPr>
      <w:r w:rsidRPr="00B27419">
        <w:rPr>
          <w:b/>
          <w:lang w:val="fr-CA"/>
        </w:rPr>
        <w:lastRenderedPageBreak/>
        <w:t>Jurisprudence</w:t>
      </w:r>
    </w:p>
    <w:p w:rsidR="003536D5" w:rsidRPr="00B27419" w:rsidRDefault="003536D5" w:rsidP="00B27419">
      <w:pPr>
        <w:pStyle w:val="SCCNormalDoubleSpacing"/>
        <w:spacing w:after="720" w:line="240" w:lineRule="auto"/>
        <w:rPr>
          <w:lang w:val="fr-CA"/>
        </w:rPr>
      </w:pPr>
      <w:r w:rsidRPr="00B27419">
        <w:rPr>
          <w:lang w:val="fr-CA"/>
        </w:rPr>
        <w:t xml:space="preserve">Citée par le juge </w:t>
      </w:r>
      <w:proofErr w:type="spellStart"/>
      <w:r w:rsidRPr="00B27419">
        <w:rPr>
          <w:lang w:val="fr-CA"/>
        </w:rPr>
        <w:t>Rothstein</w:t>
      </w:r>
      <w:proofErr w:type="spellEnd"/>
    </w:p>
    <w:p w:rsidR="003536D5" w:rsidRPr="00B27419" w:rsidRDefault="003536D5" w:rsidP="00B27419">
      <w:pPr>
        <w:pStyle w:val="SCCNormalDoubleSpacing"/>
        <w:spacing w:after="480"/>
        <w:rPr>
          <w:lang w:val="fr-CA"/>
        </w:rPr>
      </w:pPr>
      <w:r w:rsidRPr="00B27419">
        <w:rPr>
          <w:lang w:val="fr-CA"/>
        </w:rPr>
        <w:tab/>
      </w:r>
      <w:r w:rsidRPr="00B27419">
        <w:rPr>
          <w:b/>
          <w:lang w:val="fr-CA"/>
        </w:rPr>
        <w:t>Distinction d’avec les arrêts</w:t>
      </w:r>
      <w:r w:rsidR="00E6271F" w:rsidRPr="00B27419">
        <w:rPr>
          <w:b/>
          <w:lang w:val="fr-CA"/>
        </w:rPr>
        <w:t> :</w:t>
      </w:r>
      <w:r w:rsidRPr="00B27419">
        <w:rPr>
          <w:lang w:val="fr-CA"/>
        </w:rPr>
        <w:t xml:space="preserve"> </w:t>
      </w:r>
      <w:r w:rsidRPr="00B27419">
        <w:rPr>
          <w:i/>
          <w:lang w:val="fr-CA"/>
        </w:rPr>
        <w:t>Smith c. Alliance Pipeline Ltd.</w:t>
      </w:r>
      <w:r w:rsidRPr="00B27419">
        <w:rPr>
          <w:lang w:val="fr-CA"/>
        </w:rPr>
        <w:t xml:space="preserve">, 2011 CSC 7, [2011] 1 R.C.S. 160; </w:t>
      </w:r>
      <w:proofErr w:type="spellStart"/>
      <w:r w:rsidRPr="00B27419">
        <w:rPr>
          <w:i/>
          <w:lang w:val="fr-CA"/>
        </w:rPr>
        <w:t>Pezim</w:t>
      </w:r>
      <w:proofErr w:type="spellEnd"/>
      <w:r w:rsidRPr="00B27419">
        <w:rPr>
          <w:i/>
          <w:lang w:val="fr-CA"/>
        </w:rPr>
        <w:t xml:space="preserve"> c. Colombie</w:t>
      </w:r>
      <w:r w:rsidR="00E6271F" w:rsidRPr="00B27419">
        <w:rPr>
          <w:i/>
          <w:lang w:val="fr-CA"/>
        </w:rPr>
        <w:t>-</w:t>
      </w:r>
      <w:r w:rsidRPr="00B27419">
        <w:rPr>
          <w:i/>
          <w:lang w:val="fr-CA"/>
        </w:rPr>
        <w:t>Britannique (</w:t>
      </w:r>
      <w:proofErr w:type="spellStart"/>
      <w:r w:rsidRPr="00B27419">
        <w:rPr>
          <w:i/>
          <w:lang w:val="fr-CA"/>
        </w:rPr>
        <w:t>Superintendent</w:t>
      </w:r>
      <w:proofErr w:type="spellEnd"/>
      <w:r w:rsidRPr="00B27419">
        <w:rPr>
          <w:i/>
          <w:lang w:val="fr-CA"/>
        </w:rPr>
        <w:t xml:space="preserve"> of Brokers)</w:t>
      </w:r>
      <w:r w:rsidRPr="00B27419">
        <w:rPr>
          <w:lang w:val="fr-CA"/>
        </w:rPr>
        <w:t xml:space="preserve">, [1994] 2 R.C.S. 557; </w:t>
      </w:r>
      <w:proofErr w:type="spellStart"/>
      <w:r w:rsidRPr="00B27419">
        <w:rPr>
          <w:i/>
          <w:lang w:val="fr-CA"/>
        </w:rPr>
        <w:t>McLean</w:t>
      </w:r>
      <w:proofErr w:type="spellEnd"/>
      <w:r w:rsidRPr="00B27419">
        <w:rPr>
          <w:i/>
          <w:lang w:val="fr-CA"/>
        </w:rPr>
        <w:t xml:space="preserve"> c. Colombie</w:t>
      </w:r>
      <w:r w:rsidR="00E6271F" w:rsidRPr="00B27419">
        <w:rPr>
          <w:i/>
          <w:lang w:val="fr-CA"/>
        </w:rPr>
        <w:t>-</w:t>
      </w:r>
      <w:r w:rsidRPr="00B27419">
        <w:rPr>
          <w:i/>
          <w:lang w:val="fr-CA"/>
        </w:rPr>
        <w:t>Britannique (Securities Commission)</w:t>
      </w:r>
      <w:r w:rsidRPr="00B27419">
        <w:rPr>
          <w:lang w:val="fr-CA"/>
        </w:rPr>
        <w:t xml:space="preserve">, 2013 CSC 67, [2013] 3 R.C.S. 895; </w:t>
      </w:r>
      <w:r w:rsidRPr="00B27419">
        <w:rPr>
          <w:b/>
          <w:lang w:val="fr-CA"/>
        </w:rPr>
        <w:t>arrêts mentionnés</w:t>
      </w:r>
      <w:r w:rsidR="00E6271F" w:rsidRPr="00B27419">
        <w:rPr>
          <w:b/>
          <w:lang w:val="fr-CA"/>
        </w:rPr>
        <w:t> :</w:t>
      </w:r>
      <w:r w:rsidRPr="00B27419">
        <w:rPr>
          <w:lang w:val="fr-CA"/>
        </w:rPr>
        <w:t xml:space="preserve"> </w:t>
      </w:r>
      <w:proofErr w:type="spellStart"/>
      <w:r w:rsidRPr="00B27419">
        <w:rPr>
          <w:i/>
          <w:lang w:val="fr-CA"/>
        </w:rPr>
        <w:t>Dunsmuir</w:t>
      </w:r>
      <w:proofErr w:type="spellEnd"/>
      <w:r w:rsidRPr="00B27419">
        <w:rPr>
          <w:i/>
          <w:lang w:val="fr-CA"/>
        </w:rPr>
        <w:t xml:space="preserve"> c. Nouveau</w:t>
      </w:r>
      <w:r w:rsidR="00E6271F" w:rsidRPr="00B27419">
        <w:rPr>
          <w:i/>
          <w:lang w:val="fr-CA"/>
        </w:rPr>
        <w:t>-</w:t>
      </w:r>
      <w:r w:rsidRPr="00B27419">
        <w:rPr>
          <w:i/>
          <w:lang w:val="fr-CA"/>
        </w:rPr>
        <w:t>Brunswick</w:t>
      </w:r>
      <w:r w:rsidRPr="00B27419">
        <w:rPr>
          <w:lang w:val="fr-CA"/>
        </w:rPr>
        <w:t xml:space="preserve">, 2008 CSC 9, [2008] 1 R.C.S. 190; </w:t>
      </w:r>
      <w:r w:rsidRPr="00B27419">
        <w:rPr>
          <w:i/>
          <w:lang w:val="fr-CA"/>
        </w:rPr>
        <w:t xml:space="preserve">Alberta (Information and </w:t>
      </w:r>
      <w:proofErr w:type="spellStart"/>
      <w:r w:rsidRPr="00B27419">
        <w:rPr>
          <w:i/>
          <w:lang w:val="fr-CA"/>
        </w:rPr>
        <w:t>Privacy</w:t>
      </w:r>
      <w:proofErr w:type="spellEnd"/>
      <w:r w:rsidRPr="00B27419">
        <w:rPr>
          <w:i/>
          <w:lang w:val="fr-CA"/>
        </w:rPr>
        <w:t xml:space="preserve"> </w:t>
      </w:r>
      <w:proofErr w:type="spellStart"/>
      <w:r w:rsidRPr="00B27419">
        <w:rPr>
          <w:i/>
          <w:lang w:val="fr-CA"/>
        </w:rPr>
        <w:t>Commissioner</w:t>
      </w:r>
      <w:proofErr w:type="spellEnd"/>
      <w:r w:rsidRPr="00B27419">
        <w:rPr>
          <w:i/>
          <w:lang w:val="fr-CA"/>
        </w:rPr>
        <w:t xml:space="preserve">) c. Alberta </w:t>
      </w:r>
      <w:proofErr w:type="spellStart"/>
      <w:r w:rsidRPr="00B27419">
        <w:rPr>
          <w:i/>
          <w:lang w:val="fr-CA"/>
        </w:rPr>
        <w:t>Teachers</w:t>
      </w:r>
      <w:proofErr w:type="spellEnd"/>
      <w:r w:rsidRPr="00B27419">
        <w:rPr>
          <w:i/>
          <w:lang w:val="fr-CA"/>
        </w:rPr>
        <w:t>’ Association</w:t>
      </w:r>
      <w:r w:rsidRPr="00B27419">
        <w:rPr>
          <w:lang w:val="fr-CA"/>
        </w:rPr>
        <w:t xml:space="preserve">, 2011 CSC 61, [2011] 3 R.C.S. 654; </w:t>
      </w:r>
      <w:r w:rsidRPr="00B27419">
        <w:rPr>
          <w:i/>
          <w:lang w:val="fr-CA"/>
        </w:rPr>
        <w:t>Canada (Commissaire de la concurrence) c. Supérieur Propane Inc.</w:t>
      </w:r>
      <w:r w:rsidRPr="00B27419">
        <w:rPr>
          <w:lang w:val="fr-CA"/>
        </w:rPr>
        <w:t xml:space="preserve">, 2001 CAF 104, [2001] 3 C.F. 185, inf. </w:t>
      </w:r>
      <w:r w:rsidR="00FF1FEF">
        <w:rPr>
          <w:lang w:val="fr-CA"/>
        </w:rPr>
        <w:t xml:space="preserve">2000 </w:t>
      </w:r>
      <w:proofErr w:type="spellStart"/>
      <w:r w:rsidR="00FF1FEF">
        <w:rPr>
          <w:lang w:val="fr-CA"/>
        </w:rPr>
        <w:t>Trib</w:t>
      </w:r>
      <w:proofErr w:type="spellEnd"/>
      <w:r w:rsidR="00FF1FEF">
        <w:rPr>
          <w:lang w:val="fr-CA"/>
        </w:rPr>
        <w:t xml:space="preserve">. </w:t>
      </w:r>
      <w:proofErr w:type="spellStart"/>
      <w:proofErr w:type="gramStart"/>
      <w:r w:rsidR="00FF1FEF">
        <w:rPr>
          <w:lang w:val="fr-CA"/>
        </w:rPr>
        <w:t>conc</w:t>
      </w:r>
      <w:proofErr w:type="spellEnd"/>
      <w:proofErr w:type="gramEnd"/>
      <w:r w:rsidR="00FF1FEF">
        <w:rPr>
          <w:lang w:val="fr-CA"/>
        </w:rPr>
        <w:t xml:space="preserve">. 15, </w:t>
      </w:r>
      <w:r w:rsidRPr="00B27419">
        <w:rPr>
          <w:lang w:val="fr-CA"/>
        </w:rPr>
        <w:t>[2000] D.T.C.C. n</w:t>
      </w:r>
      <w:r w:rsidRPr="00B27419">
        <w:rPr>
          <w:vertAlign w:val="superscript"/>
          <w:lang w:val="fr-CA"/>
        </w:rPr>
        <w:t>o</w:t>
      </w:r>
      <w:r w:rsidR="00E6271F" w:rsidRPr="00B27419">
        <w:rPr>
          <w:lang w:val="fr-CA"/>
        </w:rPr>
        <w:t xml:space="preserve"> </w:t>
      </w:r>
      <w:r w:rsidRPr="00B27419">
        <w:rPr>
          <w:lang w:val="fr-CA"/>
        </w:rPr>
        <w:t>15 (QL), autorisation d’appel re</w:t>
      </w:r>
      <w:r w:rsidR="009D56B0" w:rsidRPr="00B27419">
        <w:rPr>
          <w:lang w:val="fr-CA"/>
        </w:rPr>
        <w:t>jet</w:t>
      </w:r>
      <w:r w:rsidRPr="00B27419">
        <w:rPr>
          <w:lang w:val="fr-CA"/>
        </w:rPr>
        <w:t xml:space="preserve">ée, [2001] 2 R.C.S. xiii; </w:t>
      </w:r>
      <w:r w:rsidRPr="00B27419">
        <w:rPr>
          <w:i/>
          <w:lang w:val="fr-CA"/>
        </w:rPr>
        <w:t>Air Canada c. Canada (Commissaire de la concurrence)</w:t>
      </w:r>
      <w:r w:rsidRPr="00B27419">
        <w:rPr>
          <w:lang w:val="fr-CA"/>
        </w:rPr>
        <w:t xml:space="preserve">, 2002 CAF 121, [2002] 4 C.F. 598; </w:t>
      </w:r>
      <w:r w:rsidRPr="00B27419">
        <w:rPr>
          <w:i/>
          <w:lang w:val="fr-CA"/>
        </w:rPr>
        <w:t xml:space="preserve">Canada (Commissaire de la concurrence) c. Tuyauteries Canada </w:t>
      </w:r>
      <w:proofErr w:type="spellStart"/>
      <w:r w:rsidRPr="00B27419">
        <w:rPr>
          <w:i/>
          <w:lang w:val="fr-CA"/>
        </w:rPr>
        <w:t>Ltée</w:t>
      </w:r>
      <w:proofErr w:type="spellEnd"/>
      <w:r w:rsidRPr="00B27419">
        <w:rPr>
          <w:lang w:val="fr-CA"/>
        </w:rPr>
        <w:t xml:space="preserve">, 2006 CAF 233, [2007] 2 R.C.F. 3; </w:t>
      </w:r>
      <w:r w:rsidRPr="00B27419">
        <w:rPr>
          <w:i/>
          <w:lang w:val="fr-CA"/>
        </w:rPr>
        <w:t xml:space="preserve">Commissaire de la concurrence c. Brassage </w:t>
      </w:r>
      <w:proofErr w:type="spellStart"/>
      <w:r w:rsidRPr="00B27419">
        <w:rPr>
          <w:i/>
          <w:lang w:val="fr-CA"/>
        </w:rPr>
        <w:t>Labatt</w:t>
      </w:r>
      <w:proofErr w:type="spellEnd"/>
      <w:r w:rsidRPr="00B27419">
        <w:rPr>
          <w:i/>
          <w:lang w:val="fr-CA"/>
        </w:rPr>
        <w:t xml:space="preserve"> </w:t>
      </w:r>
      <w:proofErr w:type="spellStart"/>
      <w:r w:rsidRPr="00B27419">
        <w:rPr>
          <w:i/>
          <w:lang w:val="fr-CA"/>
        </w:rPr>
        <w:t>Ltée</w:t>
      </w:r>
      <w:proofErr w:type="spellEnd"/>
      <w:r w:rsidRPr="00B27419">
        <w:rPr>
          <w:lang w:val="fr-CA"/>
        </w:rPr>
        <w:t xml:space="preserve">, 2008 CAF 22; </w:t>
      </w:r>
      <w:r w:rsidRPr="00B27419">
        <w:rPr>
          <w:i/>
          <w:lang w:val="fr-CA"/>
        </w:rPr>
        <w:t xml:space="preserve">Canada (Commissaire de la concurrence) c. Canadian </w:t>
      </w:r>
      <w:proofErr w:type="spellStart"/>
      <w:r w:rsidRPr="00B27419">
        <w:rPr>
          <w:i/>
          <w:lang w:val="fr-CA"/>
        </w:rPr>
        <w:t>Waste</w:t>
      </w:r>
      <w:proofErr w:type="spellEnd"/>
      <w:r w:rsidRPr="00B27419">
        <w:rPr>
          <w:i/>
          <w:lang w:val="fr-CA"/>
        </w:rPr>
        <w:t xml:space="preserve"> Services Holdings Inc.</w:t>
      </w:r>
      <w:r w:rsidRPr="00B27419">
        <w:rPr>
          <w:lang w:val="fr-CA"/>
        </w:rPr>
        <w:t xml:space="preserve">, </w:t>
      </w:r>
      <w:r w:rsidR="00FF1FEF">
        <w:rPr>
          <w:lang w:val="fr-CA"/>
        </w:rPr>
        <w:t xml:space="preserve">2001 </w:t>
      </w:r>
      <w:proofErr w:type="spellStart"/>
      <w:r w:rsidR="00FF1FEF">
        <w:rPr>
          <w:lang w:val="fr-CA"/>
        </w:rPr>
        <w:t>Trib</w:t>
      </w:r>
      <w:proofErr w:type="spellEnd"/>
      <w:r w:rsidR="00FF1FEF">
        <w:rPr>
          <w:lang w:val="fr-CA"/>
        </w:rPr>
        <w:t xml:space="preserve">. </w:t>
      </w:r>
      <w:proofErr w:type="spellStart"/>
      <w:proofErr w:type="gramStart"/>
      <w:r w:rsidR="00FF1FEF">
        <w:rPr>
          <w:lang w:val="fr-CA"/>
        </w:rPr>
        <w:t>conc</w:t>
      </w:r>
      <w:proofErr w:type="spellEnd"/>
      <w:proofErr w:type="gramEnd"/>
      <w:r w:rsidR="00FF1FEF">
        <w:rPr>
          <w:lang w:val="fr-CA"/>
        </w:rPr>
        <w:t xml:space="preserve">. 3, </w:t>
      </w:r>
      <w:r w:rsidRPr="00B27419">
        <w:rPr>
          <w:lang w:val="fr-CA"/>
        </w:rPr>
        <w:t>[2001] D.T.C.C. n</w:t>
      </w:r>
      <w:r w:rsidRPr="00B27419">
        <w:rPr>
          <w:vertAlign w:val="superscript"/>
          <w:lang w:val="fr-CA"/>
        </w:rPr>
        <w:t>o</w:t>
      </w:r>
      <w:r w:rsidR="00E6271F" w:rsidRPr="00B27419">
        <w:rPr>
          <w:lang w:val="fr-CA"/>
        </w:rPr>
        <w:t xml:space="preserve"> </w:t>
      </w:r>
      <w:r w:rsidRPr="00B27419">
        <w:rPr>
          <w:lang w:val="fr-CA"/>
        </w:rPr>
        <w:t xml:space="preserve">3 (QL), </w:t>
      </w:r>
      <w:proofErr w:type="spellStart"/>
      <w:r w:rsidRPr="00B27419">
        <w:rPr>
          <w:lang w:val="fr-CA"/>
        </w:rPr>
        <w:t>conf</w:t>
      </w:r>
      <w:proofErr w:type="spellEnd"/>
      <w:r w:rsidRPr="00B27419">
        <w:rPr>
          <w:lang w:val="fr-CA"/>
        </w:rPr>
        <w:t xml:space="preserve">. par 2003 CAF 131, autorisation d’appel refusée, [2004] 1 R.C.S. vii; </w:t>
      </w:r>
      <w:r w:rsidRPr="00B27419">
        <w:rPr>
          <w:i/>
          <w:lang w:val="fr-CA"/>
        </w:rPr>
        <w:t xml:space="preserve">Directeur des enquêtes et recherches c. </w:t>
      </w:r>
      <w:proofErr w:type="spellStart"/>
      <w:r w:rsidRPr="00B27419">
        <w:rPr>
          <w:i/>
          <w:lang w:val="fr-CA"/>
        </w:rPr>
        <w:t>Hillsdown</w:t>
      </w:r>
      <w:proofErr w:type="spellEnd"/>
      <w:r w:rsidRPr="00B27419">
        <w:rPr>
          <w:i/>
          <w:lang w:val="fr-CA"/>
        </w:rPr>
        <w:t xml:space="preserve"> Holdings Ltd.</w:t>
      </w:r>
      <w:r w:rsidRPr="00B27419">
        <w:rPr>
          <w:lang w:val="fr-CA"/>
        </w:rPr>
        <w:t xml:space="preserve">, 1992 </w:t>
      </w:r>
      <w:proofErr w:type="spellStart"/>
      <w:r w:rsidRPr="00B27419">
        <w:rPr>
          <w:lang w:val="fr-CA"/>
        </w:rPr>
        <w:t>CanLII</w:t>
      </w:r>
      <w:proofErr w:type="spellEnd"/>
      <w:r w:rsidRPr="00B27419">
        <w:rPr>
          <w:lang w:val="fr-CA"/>
        </w:rPr>
        <w:t xml:space="preserve"> 1901; </w:t>
      </w:r>
      <w:r w:rsidRPr="00B27419">
        <w:rPr>
          <w:i/>
          <w:lang w:val="fr-CA"/>
        </w:rPr>
        <w:t xml:space="preserve">Canada (Directeur des enquêtes et recherches) c. </w:t>
      </w:r>
      <w:proofErr w:type="spellStart"/>
      <w:r w:rsidRPr="00B27419">
        <w:rPr>
          <w:i/>
          <w:lang w:val="fr-CA"/>
        </w:rPr>
        <w:t>Southam</w:t>
      </w:r>
      <w:proofErr w:type="spellEnd"/>
      <w:r w:rsidRPr="00B27419">
        <w:rPr>
          <w:i/>
          <w:lang w:val="fr-CA"/>
        </w:rPr>
        <w:t xml:space="preserve"> Inc.</w:t>
      </w:r>
      <w:r w:rsidRPr="00B27419">
        <w:rPr>
          <w:lang w:val="fr-CA"/>
        </w:rPr>
        <w:t xml:space="preserve">, [1997] 1 R.C.S. 748; </w:t>
      </w:r>
      <w:r w:rsidRPr="00B27419">
        <w:rPr>
          <w:i/>
          <w:lang w:val="fr-CA"/>
        </w:rPr>
        <w:t>F.H. c. McDougall</w:t>
      </w:r>
      <w:r w:rsidRPr="00B27419">
        <w:rPr>
          <w:lang w:val="fr-CA"/>
        </w:rPr>
        <w:t xml:space="preserve">, 2008 CSC 53, [2008] 3 R.C.S. 41; </w:t>
      </w:r>
      <w:r w:rsidRPr="00B27419">
        <w:rPr>
          <w:i/>
          <w:lang w:val="fr-CA"/>
        </w:rPr>
        <w:t>Canada (Directeur des enquêtes et recherches</w:t>
      </w:r>
      <w:r w:rsidR="00E6271F" w:rsidRPr="00B27419">
        <w:rPr>
          <w:i/>
          <w:lang w:val="fr-CA"/>
        </w:rPr>
        <w:t> :</w:t>
      </w:r>
      <w:r w:rsidRPr="00B27419">
        <w:rPr>
          <w:i/>
          <w:lang w:val="fr-CA"/>
        </w:rPr>
        <w:t xml:space="preserve"> Loi sur la concurrence) c. </w:t>
      </w:r>
      <w:proofErr w:type="spellStart"/>
      <w:r w:rsidRPr="00B27419">
        <w:rPr>
          <w:i/>
          <w:lang w:val="fr-CA"/>
        </w:rPr>
        <w:t>Laidlaw</w:t>
      </w:r>
      <w:proofErr w:type="spellEnd"/>
      <w:r w:rsidRPr="00B27419">
        <w:rPr>
          <w:i/>
          <w:lang w:val="fr-CA"/>
        </w:rPr>
        <w:t xml:space="preserve"> </w:t>
      </w:r>
      <w:proofErr w:type="spellStart"/>
      <w:r w:rsidRPr="00B27419">
        <w:rPr>
          <w:i/>
          <w:lang w:val="fr-CA"/>
        </w:rPr>
        <w:t>Waste</w:t>
      </w:r>
      <w:proofErr w:type="spellEnd"/>
      <w:r w:rsidRPr="00B27419">
        <w:rPr>
          <w:i/>
          <w:lang w:val="fr-CA"/>
        </w:rPr>
        <w:t xml:space="preserve"> Systems Ltd.</w:t>
      </w:r>
      <w:r w:rsidRPr="00B27419">
        <w:rPr>
          <w:lang w:val="fr-CA"/>
        </w:rPr>
        <w:t>, [1992] D.T.C.C. n</w:t>
      </w:r>
      <w:r w:rsidRPr="00B27419">
        <w:rPr>
          <w:vertAlign w:val="superscript"/>
          <w:lang w:val="fr-CA"/>
        </w:rPr>
        <w:t>o</w:t>
      </w:r>
      <w:r w:rsidR="00E6271F" w:rsidRPr="00B27419">
        <w:rPr>
          <w:lang w:val="fr-CA"/>
        </w:rPr>
        <w:t xml:space="preserve"> </w:t>
      </w:r>
      <w:r w:rsidRPr="00B27419">
        <w:rPr>
          <w:lang w:val="fr-CA"/>
        </w:rPr>
        <w:t xml:space="preserve">1 (QL); </w:t>
      </w:r>
      <w:r w:rsidRPr="00B27419">
        <w:rPr>
          <w:i/>
          <w:lang w:val="fr-CA"/>
        </w:rPr>
        <w:t xml:space="preserve">BOC International Ltd. c. </w:t>
      </w:r>
      <w:proofErr w:type="spellStart"/>
      <w:r w:rsidRPr="00B27419">
        <w:rPr>
          <w:i/>
          <w:lang w:val="fr-CA"/>
        </w:rPr>
        <w:t>Federal</w:t>
      </w:r>
      <w:proofErr w:type="spellEnd"/>
      <w:r w:rsidRPr="00B27419">
        <w:rPr>
          <w:i/>
          <w:lang w:val="fr-CA"/>
        </w:rPr>
        <w:t xml:space="preserve"> Trade Commission</w:t>
      </w:r>
      <w:r w:rsidRPr="00B27419">
        <w:rPr>
          <w:lang w:val="fr-CA"/>
        </w:rPr>
        <w:t xml:space="preserve">, 557 F.2d 24 (1977); </w:t>
      </w:r>
      <w:r w:rsidRPr="00B27419">
        <w:rPr>
          <w:i/>
          <w:lang w:val="fr-CA"/>
        </w:rPr>
        <w:t xml:space="preserve">Commissaire </w:t>
      </w:r>
      <w:r w:rsidRPr="00B27419">
        <w:rPr>
          <w:i/>
          <w:lang w:val="fr-CA"/>
        </w:rPr>
        <w:lastRenderedPageBreak/>
        <w:t>de la concurrence c. Supérieur Propane Inc.</w:t>
      </w:r>
      <w:r w:rsidRPr="00B27419">
        <w:rPr>
          <w:lang w:val="fr-CA"/>
        </w:rPr>
        <w:t xml:space="preserve">, 2002 </w:t>
      </w:r>
      <w:proofErr w:type="spellStart"/>
      <w:r w:rsidRPr="00B27419">
        <w:rPr>
          <w:lang w:val="fr-CA"/>
        </w:rPr>
        <w:t>Trib</w:t>
      </w:r>
      <w:proofErr w:type="spellEnd"/>
      <w:r w:rsidRPr="00B27419">
        <w:rPr>
          <w:lang w:val="fr-CA"/>
        </w:rPr>
        <w:t xml:space="preserve">. </w:t>
      </w:r>
      <w:proofErr w:type="spellStart"/>
      <w:proofErr w:type="gramStart"/>
      <w:r w:rsidRPr="00B27419">
        <w:rPr>
          <w:lang w:val="fr-CA"/>
        </w:rPr>
        <w:t>conc</w:t>
      </w:r>
      <w:proofErr w:type="spellEnd"/>
      <w:proofErr w:type="gramEnd"/>
      <w:r w:rsidRPr="00B27419">
        <w:rPr>
          <w:lang w:val="fr-CA"/>
        </w:rPr>
        <w:t>. 16 (en ligne</w:t>
      </w:r>
      <w:r w:rsidR="00E6271F" w:rsidRPr="00B27419">
        <w:rPr>
          <w:lang w:val="fr-CA"/>
        </w:rPr>
        <w:t> :</w:t>
      </w:r>
      <w:r w:rsidRPr="00B27419">
        <w:rPr>
          <w:lang w:val="fr-CA"/>
        </w:rPr>
        <w:t xml:space="preserve"> http://www.ct</w:t>
      </w:r>
      <w:r w:rsidR="00E6271F" w:rsidRPr="00B27419">
        <w:rPr>
          <w:lang w:val="fr-CA"/>
        </w:rPr>
        <w:t>-</w:t>
      </w:r>
      <w:r w:rsidRPr="00B27419">
        <w:rPr>
          <w:lang w:val="fr-CA"/>
        </w:rPr>
        <w:t xml:space="preserve">tc.gc.ca/CMFiles/CT-1998-002_0238c_45QDJ-5222007-2669.pdf), </w:t>
      </w:r>
      <w:proofErr w:type="spellStart"/>
      <w:r w:rsidRPr="00B27419">
        <w:rPr>
          <w:lang w:val="fr-CA"/>
        </w:rPr>
        <w:t>conf</w:t>
      </w:r>
      <w:proofErr w:type="spellEnd"/>
      <w:r w:rsidRPr="00B27419">
        <w:rPr>
          <w:lang w:val="fr-CA"/>
        </w:rPr>
        <w:t xml:space="preserve">. </w:t>
      </w:r>
      <w:proofErr w:type="gramStart"/>
      <w:r w:rsidRPr="00B27419">
        <w:rPr>
          <w:lang w:val="fr-CA"/>
        </w:rPr>
        <w:t>par</w:t>
      </w:r>
      <w:proofErr w:type="gramEnd"/>
      <w:r w:rsidRPr="00B27419">
        <w:rPr>
          <w:lang w:val="fr-CA"/>
        </w:rPr>
        <w:t xml:space="preserve"> 2003 CAF 53, [2003] 3 C.F.</w:t>
      </w:r>
      <w:bookmarkStart w:id="0" w:name="_GoBack"/>
      <w:bookmarkEnd w:id="0"/>
      <w:r w:rsidRPr="00B27419">
        <w:rPr>
          <w:lang w:val="fr-CA"/>
        </w:rPr>
        <w:t xml:space="preserve"> 529.</w:t>
      </w:r>
    </w:p>
    <w:p w:rsidR="003536D5" w:rsidRPr="00B27419" w:rsidRDefault="003536D5" w:rsidP="00B27419">
      <w:pPr>
        <w:pStyle w:val="SCCNormalDoubleSpacing"/>
        <w:spacing w:after="480"/>
        <w:rPr>
          <w:lang w:val="fr-CA"/>
        </w:rPr>
      </w:pPr>
      <w:r w:rsidRPr="00B27419">
        <w:rPr>
          <w:lang w:val="fr-CA"/>
        </w:rPr>
        <w:t>Citée par la juge Abella</w:t>
      </w:r>
    </w:p>
    <w:p w:rsidR="003536D5" w:rsidRPr="00B27419" w:rsidRDefault="003536D5" w:rsidP="00B27419">
      <w:pPr>
        <w:pStyle w:val="SCCNormalDoubleSpacing"/>
        <w:spacing w:after="480"/>
        <w:rPr>
          <w:lang w:val="fr-CA"/>
        </w:rPr>
      </w:pPr>
      <w:r w:rsidRPr="00B27419">
        <w:rPr>
          <w:lang w:val="fr-CA"/>
        </w:rPr>
        <w:tab/>
      </w:r>
      <w:r w:rsidRPr="00B27419">
        <w:rPr>
          <w:b/>
          <w:lang w:val="fr-CA"/>
        </w:rPr>
        <w:t>Arrêts appliqués</w:t>
      </w:r>
      <w:r w:rsidR="00E6271F" w:rsidRPr="00B27419">
        <w:rPr>
          <w:b/>
          <w:lang w:val="fr-CA"/>
        </w:rPr>
        <w:t> :</w:t>
      </w:r>
      <w:r w:rsidRPr="00B27419">
        <w:rPr>
          <w:lang w:val="fr-CA"/>
        </w:rPr>
        <w:t xml:space="preserve"> </w:t>
      </w:r>
      <w:proofErr w:type="spellStart"/>
      <w:r w:rsidRPr="00B27419">
        <w:rPr>
          <w:i/>
          <w:lang w:val="fr-CA"/>
        </w:rPr>
        <w:t>Pezim</w:t>
      </w:r>
      <w:proofErr w:type="spellEnd"/>
      <w:r w:rsidRPr="00B27419">
        <w:rPr>
          <w:i/>
          <w:lang w:val="fr-CA"/>
        </w:rPr>
        <w:t xml:space="preserve"> c. Colombie</w:t>
      </w:r>
      <w:r w:rsidR="00E6271F" w:rsidRPr="00B27419">
        <w:rPr>
          <w:i/>
          <w:lang w:val="fr-CA"/>
        </w:rPr>
        <w:t>-</w:t>
      </w:r>
      <w:r w:rsidRPr="00B27419">
        <w:rPr>
          <w:i/>
          <w:lang w:val="fr-CA"/>
        </w:rPr>
        <w:t>Britannique (</w:t>
      </w:r>
      <w:proofErr w:type="spellStart"/>
      <w:r w:rsidRPr="00B27419">
        <w:rPr>
          <w:i/>
          <w:lang w:val="fr-CA"/>
        </w:rPr>
        <w:t>Superintendent</w:t>
      </w:r>
      <w:proofErr w:type="spellEnd"/>
      <w:r w:rsidRPr="00B27419">
        <w:rPr>
          <w:i/>
          <w:lang w:val="fr-CA"/>
        </w:rPr>
        <w:t xml:space="preserve"> of Brokers)</w:t>
      </w:r>
      <w:r w:rsidRPr="00B27419">
        <w:rPr>
          <w:lang w:val="fr-CA"/>
        </w:rPr>
        <w:t xml:space="preserve">, [1994] 2 R.C.S. 557; </w:t>
      </w:r>
      <w:proofErr w:type="spellStart"/>
      <w:r w:rsidRPr="00B27419">
        <w:rPr>
          <w:i/>
          <w:lang w:val="fr-CA"/>
        </w:rPr>
        <w:t>McLean</w:t>
      </w:r>
      <w:proofErr w:type="spellEnd"/>
      <w:r w:rsidRPr="00B27419">
        <w:rPr>
          <w:i/>
          <w:lang w:val="fr-CA"/>
        </w:rPr>
        <w:t xml:space="preserve"> c. Colombie</w:t>
      </w:r>
      <w:r w:rsidR="00E6271F" w:rsidRPr="00B27419">
        <w:rPr>
          <w:i/>
          <w:lang w:val="fr-CA"/>
        </w:rPr>
        <w:t>-</w:t>
      </w:r>
      <w:r w:rsidRPr="00B27419">
        <w:rPr>
          <w:i/>
          <w:lang w:val="fr-CA"/>
        </w:rPr>
        <w:t>Britannique (Securities Commission)</w:t>
      </w:r>
      <w:r w:rsidRPr="00B27419">
        <w:rPr>
          <w:lang w:val="fr-CA"/>
        </w:rPr>
        <w:t xml:space="preserve">, 2013 CSC 67, [2013] 3 R.C.S. 895; </w:t>
      </w:r>
      <w:r w:rsidRPr="00B27419">
        <w:rPr>
          <w:i/>
          <w:lang w:val="fr-CA"/>
        </w:rPr>
        <w:t>Smith c. Alliance Pipeline Ltd.</w:t>
      </w:r>
      <w:r w:rsidRPr="00B27419">
        <w:rPr>
          <w:lang w:val="fr-CA"/>
        </w:rPr>
        <w:t xml:space="preserve">, 2011 CSC 7, [2011] 1 R.C.S. 160; </w:t>
      </w:r>
      <w:r w:rsidRPr="00B27419">
        <w:rPr>
          <w:b/>
          <w:lang w:val="fr-CA"/>
        </w:rPr>
        <w:t>arrêts mentionnés</w:t>
      </w:r>
      <w:r w:rsidR="00E6271F" w:rsidRPr="00B27419">
        <w:rPr>
          <w:b/>
          <w:lang w:val="fr-CA"/>
        </w:rPr>
        <w:t> :</w:t>
      </w:r>
      <w:r w:rsidRPr="00B27419">
        <w:rPr>
          <w:lang w:val="fr-CA"/>
        </w:rPr>
        <w:t xml:space="preserve"> </w:t>
      </w:r>
      <w:proofErr w:type="spellStart"/>
      <w:r w:rsidRPr="00B27419">
        <w:rPr>
          <w:i/>
          <w:lang w:val="fr-CA"/>
        </w:rPr>
        <w:t>Dunsmuir</w:t>
      </w:r>
      <w:proofErr w:type="spellEnd"/>
      <w:r w:rsidRPr="00B27419">
        <w:rPr>
          <w:i/>
          <w:lang w:val="fr-CA"/>
        </w:rPr>
        <w:t xml:space="preserve"> c. Nouveau</w:t>
      </w:r>
      <w:r w:rsidR="00E6271F" w:rsidRPr="00B27419">
        <w:rPr>
          <w:i/>
          <w:lang w:val="fr-CA"/>
        </w:rPr>
        <w:t>-</w:t>
      </w:r>
      <w:r w:rsidRPr="00B27419">
        <w:rPr>
          <w:i/>
          <w:lang w:val="fr-CA"/>
        </w:rPr>
        <w:t>Brunswick</w:t>
      </w:r>
      <w:r w:rsidRPr="00B27419">
        <w:rPr>
          <w:lang w:val="fr-CA"/>
        </w:rPr>
        <w:t xml:space="preserve">, 2008 CSC 9, [2008] 1 R.C.S. 190; </w:t>
      </w:r>
      <w:r w:rsidRPr="00B27419">
        <w:rPr>
          <w:i/>
          <w:lang w:val="fr-CA"/>
        </w:rPr>
        <w:t xml:space="preserve">Alberta (Information and </w:t>
      </w:r>
      <w:proofErr w:type="spellStart"/>
      <w:r w:rsidRPr="00B27419">
        <w:rPr>
          <w:i/>
          <w:lang w:val="fr-CA"/>
        </w:rPr>
        <w:t>Privacy</w:t>
      </w:r>
      <w:proofErr w:type="spellEnd"/>
      <w:r w:rsidRPr="00B27419">
        <w:rPr>
          <w:i/>
          <w:lang w:val="fr-CA"/>
        </w:rPr>
        <w:t xml:space="preserve"> </w:t>
      </w:r>
      <w:proofErr w:type="spellStart"/>
      <w:r w:rsidRPr="00B27419">
        <w:rPr>
          <w:i/>
          <w:lang w:val="fr-CA"/>
        </w:rPr>
        <w:t>Commissioner</w:t>
      </w:r>
      <w:proofErr w:type="spellEnd"/>
      <w:r w:rsidRPr="00B27419">
        <w:rPr>
          <w:i/>
          <w:lang w:val="fr-CA"/>
        </w:rPr>
        <w:t xml:space="preserve">) c. Alberta </w:t>
      </w:r>
      <w:proofErr w:type="spellStart"/>
      <w:r w:rsidRPr="00B27419">
        <w:rPr>
          <w:i/>
          <w:lang w:val="fr-CA"/>
        </w:rPr>
        <w:t>Teachers</w:t>
      </w:r>
      <w:proofErr w:type="spellEnd"/>
      <w:r w:rsidRPr="00B27419">
        <w:rPr>
          <w:i/>
          <w:lang w:val="fr-CA"/>
        </w:rPr>
        <w:t>’ Association</w:t>
      </w:r>
      <w:r w:rsidRPr="00B27419">
        <w:rPr>
          <w:lang w:val="fr-CA"/>
        </w:rPr>
        <w:t xml:space="preserve">, 2011 CSC 61, [2011] 3 R.C.S. 654; </w:t>
      </w:r>
      <w:r w:rsidRPr="00B27419">
        <w:rPr>
          <w:i/>
          <w:lang w:val="fr-CA"/>
        </w:rPr>
        <w:t>Rogers Communications Inc. c. Société canadienne des auteurs, compositeurs et éditeurs de musique</w:t>
      </w:r>
      <w:r w:rsidRPr="00B27419">
        <w:rPr>
          <w:lang w:val="fr-CA"/>
        </w:rPr>
        <w:t xml:space="preserve">, 2012 CSC 35, [2012] 2 R.C.S. 283; </w:t>
      </w:r>
      <w:r w:rsidRPr="00B27419">
        <w:rPr>
          <w:i/>
          <w:lang w:val="fr-CA"/>
        </w:rPr>
        <w:t xml:space="preserve">Canada (Citoyenneté et Immigration) c. </w:t>
      </w:r>
      <w:proofErr w:type="spellStart"/>
      <w:r w:rsidRPr="00B27419">
        <w:rPr>
          <w:i/>
          <w:lang w:val="fr-CA"/>
        </w:rPr>
        <w:t>Khosa</w:t>
      </w:r>
      <w:proofErr w:type="spellEnd"/>
      <w:r w:rsidRPr="00B27419">
        <w:rPr>
          <w:lang w:val="fr-CA"/>
        </w:rPr>
        <w:t xml:space="preserve">, 2009 CSC 12, [2009] 1 R.C.S. 339; </w:t>
      </w:r>
      <w:r w:rsidRPr="00B27419">
        <w:rPr>
          <w:i/>
          <w:lang w:val="fr-CA"/>
        </w:rPr>
        <w:t>Canada (Commission canadienne des droits de la personne) c. Canada (Procureur général)</w:t>
      </w:r>
      <w:r w:rsidRPr="00B27419">
        <w:rPr>
          <w:lang w:val="fr-CA"/>
        </w:rPr>
        <w:t xml:space="preserve">, 2011 CSC 53, [2011] 3 R.C.S. 471; </w:t>
      </w:r>
      <w:r w:rsidRPr="00B27419">
        <w:rPr>
          <w:i/>
          <w:lang w:val="fr-CA"/>
        </w:rPr>
        <w:t>Compagnie des chemins de fer nationaux du Canada c. Canada (Procureur général)</w:t>
      </w:r>
      <w:r w:rsidRPr="00B27419">
        <w:rPr>
          <w:lang w:val="fr-CA"/>
        </w:rPr>
        <w:t xml:space="preserve">, 2014 CSC 40, [2014] 2 R.C.S. 135; </w:t>
      </w:r>
      <w:proofErr w:type="spellStart"/>
      <w:r w:rsidRPr="00B27419">
        <w:rPr>
          <w:i/>
          <w:lang w:val="fr-CA"/>
        </w:rPr>
        <w:t>Agraira</w:t>
      </w:r>
      <w:proofErr w:type="spellEnd"/>
      <w:r w:rsidRPr="00B27419">
        <w:rPr>
          <w:i/>
          <w:lang w:val="fr-CA"/>
        </w:rPr>
        <w:t xml:space="preserve"> c. Canada (Sécurité publique et Protection civile)</w:t>
      </w:r>
      <w:r w:rsidRPr="00B27419">
        <w:rPr>
          <w:lang w:val="fr-CA"/>
        </w:rPr>
        <w:t xml:space="preserve">, 2013 CSC 36, [2013] 2 R.C.S. 559; </w:t>
      </w:r>
      <w:proofErr w:type="spellStart"/>
      <w:r w:rsidRPr="00B27419">
        <w:rPr>
          <w:i/>
          <w:lang w:val="fr-CA"/>
        </w:rPr>
        <w:t>Nor</w:t>
      </w:r>
      <w:r w:rsidR="00E6271F" w:rsidRPr="00B27419">
        <w:rPr>
          <w:i/>
          <w:lang w:val="fr-CA"/>
        </w:rPr>
        <w:t>-</w:t>
      </w:r>
      <w:r w:rsidRPr="00B27419">
        <w:rPr>
          <w:i/>
          <w:lang w:val="fr-CA"/>
        </w:rPr>
        <w:t>Man</w:t>
      </w:r>
      <w:proofErr w:type="spellEnd"/>
      <w:r w:rsidRPr="00B27419">
        <w:rPr>
          <w:i/>
          <w:lang w:val="fr-CA"/>
        </w:rPr>
        <w:t xml:space="preserve"> </w:t>
      </w:r>
      <w:proofErr w:type="spellStart"/>
      <w:r w:rsidRPr="00B27419">
        <w:rPr>
          <w:i/>
          <w:lang w:val="fr-CA"/>
        </w:rPr>
        <w:t>Regional</w:t>
      </w:r>
      <w:proofErr w:type="spellEnd"/>
      <w:r w:rsidRPr="00B27419">
        <w:rPr>
          <w:i/>
          <w:lang w:val="fr-CA"/>
        </w:rPr>
        <w:t xml:space="preserve"> </w:t>
      </w:r>
      <w:proofErr w:type="spellStart"/>
      <w:r w:rsidRPr="00B27419">
        <w:rPr>
          <w:i/>
          <w:lang w:val="fr-CA"/>
        </w:rPr>
        <w:t>Health</w:t>
      </w:r>
      <w:proofErr w:type="spellEnd"/>
      <w:r w:rsidRPr="00B27419">
        <w:rPr>
          <w:i/>
          <w:lang w:val="fr-CA"/>
        </w:rPr>
        <w:t xml:space="preserve"> </w:t>
      </w:r>
      <w:proofErr w:type="spellStart"/>
      <w:r w:rsidRPr="00B27419">
        <w:rPr>
          <w:i/>
          <w:lang w:val="fr-CA"/>
        </w:rPr>
        <w:t>Authority</w:t>
      </w:r>
      <w:proofErr w:type="spellEnd"/>
      <w:r w:rsidRPr="00B27419">
        <w:rPr>
          <w:i/>
          <w:lang w:val="fr-CA"/>
        </w:rPr>
        <w:t xml:space="preserve"> Inc. c. Manitoba Association of </w:t>
      </w:r>
      <w:proofErr w:type="spellStart"/>
      <w:r w:rsidRPr="00B27419">
        <w:rPr>
          <w:i/>
          <w:lang w:val="fr-CA"/>
        </w:rPr>
        <w:t>Health</w:t>
      </w:r>
      <w:proofErr w:type="spellEnd"/>
      <w:r w:rsidRPr="00B27419">
        <w:rPr>
          <w:i/>
          <w:lang w:val="fr-CA"/>
        </w:rPr>
        <w:t xml:space="preserve"> Care </w:t>
      </w:r>
      <w:proofErr w:type="spellStart"/>
      <w:r w:rsidRPr="00B27419">
        <w:rPr>
          <w:i/>
          <w:lang w:val="fr-CA"/>
        </w:rPr>
        <w:t>Professionals</w:t>
      </w:r>
      <w:proofErr w:type="spellEnd"/>
      <w:r w:rsidRPr="00B27419">
        <w:rPr>
          <w:lang w:val="fr-CA"/>
        </w:rPr>
        <w:t xml:space="preserve">, 2011 CSC 59, [2011] 3 R.C.S. 616; </w:t>
      </w:r>
      <w:proofErr w:type="spellStart"/>
      <w:r w:rsidRPr="00B27419">
        <w:rPr>
          <w:i/>
          <w:lang w:val="fr-CA"/>
        </w:rPr>
        <w:t>Celgene</w:t>
      </w:r>
      <w:proofErr w:type="spellEnd"/>
      <w:r w:rsidRPr="00B27419">
        <w:rPr>
          <w:i/>
          <w:lang w:val="fr-CA"/>
        </w:rPr>
        <w:t xml:space="preserve"> Corp. c. Canada (Procureur général)</w:t>
      </w:r>
      <w:r w:rsidRPr="00B27419">
        <w:rPr>
          <w:lang w:val="fr-CA"/>
        </w:rPr>
        <w:t xml:space="preserve">, 2011 CSC 1, [2011] 1 R.C.S. 3; </w:t>
      </w:r>
      <w:r w:rsidRPr="00B27419">
        <w:rPr>
          <w:i/>
          <w:lang w:val="fr-CA"/>
        </w:rPr>
        <w:t>Nolan c. Kerry (Canada) Inc.</w:t>
      </w:r>
      <w:r w:rsidRPr="00B27419">
        <w:rPr>
          <w:lang w:val="fr-CA"/>
        </w:rPr>
        <w:t xml:space="preserve">, 2009 CSC 39, [2009] 2 R.C.S. 678; </w:t>
      </w:r>
      <w:r w:rsidRPr="00B27419">
        <w:rPr>
          <w:i/>
          <w:lang w:val="fr-CA"/>
        </w:rPr>
        <w:t>Sattva Capital Corp. c. Creston Moly Corp.</w:t>
      </w:r>
      <w:r w:rsidRPr="00B27419">
        <w:rPr>
          <w:lang w:val="fr-CA"/>
        </w:rPr>
        <w:t>, 2014 CSC 53, [2014] 2 R.C.S. 633.</w:t>
      </w:r>
    </w:p>
    <w:p w:rsidR="003536D5" w:rsidRPr="00B27419" w:rsidRDefault="003536D5" w:rsidP="00B27419">
      <w:pPr>
        <w:pStyle w:val="SCCNormalDoubleSpacing"/>
        <w:spacing w:after="720" w:line="240" w:lineRule="auto"/>
        <w:rPr>
          <w:lang w:val="fr-CA"/>
        </w:rPr>
      </w:pPr>
      <w:r w:rsidRPr="00B27419">
        <w:rPr>
          <w:lang w:val="fr-CA"/>
        </w:rPr>
        <w:lastRenderedPageBreak/>
        <w:t xml:space="preserve">Citée par la juge </w:t>
      </w:r>
      <w:proofErr w:type="spellStart"/>
      <w:r w:rsidRPr="00B27419">
        <w:rPr>
          <w:lang w:val="fr-CA"/>
        </w:rPr>
        <w:t>Karakatsanis</w:t>
      </w:r>
      <w:proofErr w:type="spellEnd"/>
      <w:r w:rsidRPr="00B27419">
        <w:rPr>
          <w:lang w:val="fr-CA"/>
        </w:rPr>
        <w:t xml:space="preserve"> (dissidente)</w:t>
      </w:r>
    </w:p>
    <w:p w:rsidR="003536D5" w:rsidRPr="00B27419" w:rsidRDefault="003536D5" w:rsidP="00B27419">
      <w:pPr>
        <w:pStyle w:val="SCCNormalDoubleSpacing"/>
        <w:spacing w:after="480"/>
        <w:rPr>
          <w:lang w:val="fr-CA"/>
        </w:rPr>
      </w:pPr>
      <w:r w:rsidRPr="00B27419">
        <w:rPr>
          <w:lang w:val="fr-CA"/>
        </w:rPr>
        <w:tab/>
      </w:r>
      <w:r w:rsidRPr="00B27419">
        <w:rPr>
          <w:i/>
          <w:lang w:val="fr-CA"/>
        </w:rPr>
        <w:t>Commissaire de la concurrence c. Supérieur Propane Inc.</w:t>
      </w:r>
      <w:r w:rsidRPr="00B27419">
        <w:rPr>
          <w:lang w:val="fr-CA"/>
        </w:rPr>
        <w:t xml:space="preserve">, 2002 </w:t>
      </w:r>
      <w:proofErr w:type="spellStart"/>
      <w:r w:rsidRPr="00B27419">
        <w:rPr>
          <w:lang w:val="fr-CA"/>
        </w:rPr>
        <w:t>Trib</w:t>
      </w:r>
      <w:proofErr w:type="spellEnd"/>
      <w:r w:rsidRPr="00B27419">
        <w:rPr>
          <w:lang w:val="fr-CA"/>
        </w:rPr>
        <w:t xml:space="preserve">. </w:t>
      </w:r>
      <w:proofErr w:type="spellStart"/>
      <w:proofErr w:type="gramStart"/>
      <w:r w:rsidRPr="00B27419">
        <w:rPr>
          <w:lang w:val="fr-CA"/>
        </w:rPr>
        <w:t>conc</w:t>
      </w:r>
      <w:proofErr w:type="spellEnd"/>
      <w:proofErr w:type="gramEnd"/>
      <w:r w:rsidRPr="00B27419">
        <w:rPr>
          <w:lang w:val="fr-CA"/>
        </w:rPr>
        <w:t>. 16 (en ligne</w:t>
      </w:r>
      <w:r w:rsidR="00E6271F" w:rsidRPr="00B27419">
        <w:rPr>
          <w:lang w:val="fr-CA"/>
        </w:rPr>
        <w:t> :</w:t>
      </w:r>
      <w:r w:rsidRPr="00B27419">
        <w:rPr>
          <w:lang w:val="fr-CA"/>
        </w:rPr>
        <w:t xml:space="preserve"> http://www.ct-tc.gc.ca/CMFiles/CT-1998-002_0238c_45QDJ-5222007-2669.pdf).</w:t>
      </w:r>
    </w:p>
    <w:p w:rsidR="003536D5" w:rsidRPr="00B27419" w:rsidRDefault="003536D5" w:rsidP="00B27419">
      <w:pPr>
        <w:pStyle w:val="SCCNormalDoubleSpacing"/>
        <w:spacing w:after="720" w:line="240" w:lineRule="auto"/>
        <w:rPr>
          <w:b/>
          <w:lang w:val="fr-CA"/>
        </w:rPr>
      </w:pPr>
      <w:r w:rsidRPr="00B27419">
        <w:rPr>
          <w:b/>
          <w:lang w:val="fr-CA"/>
        </w:rPr>
        <w:t>Lois et règlements cités</w:t>
      </w:r>
    </w:p>
    <w:p w:rsidR="003536D5" w:rsidRPr="00B27419" w:rsidRDefault="003536D5" w:rsidP="00B27419">
      <w:pPr>
        <w:pStyle w:val="SCCNormalDoubleSpacing"/>
        <w:spacing w:after="240" w:line="240" w:lineRule="auto"/>
        <w:ind w:left="547" w:hanging="547"/>
        <w:rPr>
          <w:lang w:val="fr-CA"/>
        </w:rPr>
      </w:pPr>
      <w:r w:rsidRPr="00B27419">
        <w:rPr>
          <w:i/>
          <w:lang w:val="fr-CA"/>
        </w:rPr>
        <w:t>Loi constituant le Tribunal de la concurrence et modifiant la Loi relative aux enquêtes sur les coalitions et la Loi sur les banques et apportant des modifications corrélatives à d’autres lois</w:t>
      </w:r>
      <w:r w:rsidRPr="00B27419">
        <w:rPr>
          <w:lang w:val="fr-CA"/>
        </w:rPr>
        <w:t>, projet de loi C</w:t>
      </w:r>
      <w:r w:rsidR="00E6271F" w:rsidRPr="00B27419">
        <w:rPr>
          <w:lang w:val="fr-CA"/>
        </w:rPr>
        <w:t>-</w:t>
      </w:r>
      <w:r w:rsidRPr="00B27419">
        <w:rPr>
          <w:lang w:val="fr-CA"/>
        </w:rPr>
        <w:t>91, 1</w:t>
      </w:r>
      <w:r w:rsidRPr="00B27419">
        <w:rPr>
          <w:vertAlign w:val="superscript"/>
          <w:lang w:val="fr-CA"/>
        </w:rPr>
        <w:t>re</w:t>
      </w:r>
      <w:r w:rsidR="00E6271F" w:rsidRPr="00B27419">
        <w:rPr>
          <w:lang w:val="fr-CA"/>
        </w:rPr>
        <w:t xml:space="preserve"> </w:t>
      </w:r>
      <w:proofErr w:type="spellStart"/>
      <w:r w:rsidRPr="00B27419">
        <w:rPr>
          <w:lang w:val="fr-CA"/>
        </w:rPr>
        <w:t>sess</w:t>
      </w:r>
      <w:proofErr w:type="spellEnd"/>
      <w:r w:rsidRPr="00B27419">
        <w:rPr>
          <w:lang w:val="fr-CA"/>
        </w:rPr>
        <w:t>., 33</w:t>
      </w:r>
      <w:r w:rsidRPr="00B27419">
        <w:rPr>
          <w:vertAlign w:val="superscript"/>
          <w:lang w:val="fr-CA"/>
        </w:rPr>
        <w:t>e</w:t>
      </w:r>
      <w:r w:rsidR="00E6271F" w:rsidRPr="00B27419">
        <w:rPr>
          <w:lang w:val="fr-CA"/>
        </w:rPr>
        <w:t xml:space="preserve"> </w:t>
      </w:r>
      <w:proofErr w:type="spellStart"/>
      <w:r w:rsidRPr="00B27419">
        <w:rPr>
          <w:lang w:val="fr-CA"/>
        </w:rPr>
        <w:t>lég</w:t>
      </w:r>
      <w:proofErr w:type="spellEnd"/>
      <w:r w:rsidRPr="00B27419">
        <w:rPr>
          <w:lang w:val="fr-CA"/>
        </w:rPr>
        <w:t>., 1985 (sanctionné</w:t>
      </w:r>
      <w:r w:rsidR="00D04AE4">
        <w:rPr>
          <w:lang w:val="fr-CA"/>
        </w:rPr>
        <w:t>e</w:t>
      </w:r>
      <w:r w:rsidRPr="00B27419">
        <w:rPr>
          <w:lang w:val="fr-CA"/>
        </w:rPr>
        <w:t xml:space="preserve"> le 17</w:t>
      </w:r>
      <w:r w:rsidR="00E6271F" w:rsidRPr="00B27419">
        <w:rPr>
          <w:lang w:val="fr-CA"/>
        </w:rPr>
        <w:t xml:space="preserve"> </w:t>
      </w:r>
      <w:r w:rsidRPr="00B27419">
        <w:rPr>
          <w:lang w:val="fr-CA"/>
        </w:rPr>
        <w:t>juin 1986), L.C. 1986, c.</w:t>
      </w:r>
      <w:r w:rsidR="00E6271F" w:rsidRPr="00B27419">
        <w:rPr>
          <w:lang w:val="fr-CA"/>
        </w:rPr>
        <w:t xml:space="preserve"> </w:t>
      </w:r>
      <w:r w:rsidRPr="00B27419">
        <w:rPr>
          <w:lang w:val="fr-CA"/>
        </w:rPr>
        <w:t>26.</w:t>
      </w:r>
    </w:p>
    <w:p w:rsidR="003536D5" w:rsidRPr="00B27419" w:rsidRDefault="003536D5" w:rsidP="00B27419">
      <w:pPr>
        <w:pStyle w:val="SCCNormalDoubleSpacing"/>
        <w:spacing w:after="240" w:line="240" w:lineRule="auto"/>
        <w:ind w:left="547" w:hanging="547"/>
        <w:rPr>
          <w:lang w:val="fr-CA"/>
        </w:rPr>
      </w:pPr>
      <w:r w:rsidRPr="00B27419">
        <w:rPr>
          <w:i/>
          <w:lang w:val="fr-CA"/>
        </w:rPr>
        <w:t>Loi relative aux enquêtes sur les coalitions</w:t>
      </w:r>
      <w:r w:rsidRPr="00B27419">
        <w:rPr>
          <w:lang w:val="fr-CA"/>
        </w:rPr>
        <w:t>, S.R.C. 1970, c.</w:t>
      </w:r>
      <w:r w:rsidR="00E6271F" w:rsidRPr="00B27419">
        <w:rPr>
          <w:lang w:val="fr-CA"/>
        </w:rPr>
        <w:t xml:space="preserve"> </w:t>
      </w:r>
      <w:r w:rsidRPr="00B27419">
        <w:rPr>
          <w:lang w:val="fr-CA"/>
        </w:rPr>
        <w:t>C</w:t>
      </w:r>
      <w:r w:rsidR="00E6271F" w:rsidRPr="00B27419">
        <w:rPr>
          <w:lang w:val="fr-CA"/>
        </w:rPr>
        <w:t>-</w:t>
      </w:r>
      <w:r w:rsidRPr="00B27419">
        <w:rPr>
          <w:lang w:val="fr-CA"/>
        </w:rPr>
        <w:t>23.</w:t>
      </w:r>
    </w:p>
    <w:p w:rsidR="003536D5" w:rsidRPr="00B27419" w:rsidRDefault="003536D5" w:rsidP="00B27419">
      <w:pPr>
        <w:pStyle w:val="SCCNormalDoubleSpacing"/>
        <w:spacing w:after="240" w:line="240" w:lineRule="auto"/>
        <w:ind w:left="547" w:hanging="547"/>
        <w:rPr>
          <w:lang w:val="fr-CA"/>
        </w:rPr>
      </w:pPr>
      <w:r w:rsidRPr="00B27419">
        <w:rPr>
          <w:i/>
          <w:lang w:val="fr-CA"/>
        </w:rPr>
        <w:t>Loi sur l’Office national de l’énergie</w:t>
      </w:r>
      <w:r w:rsidRPr="00B27419">
        <w:rPr>
          <w:lang w:val="fr-CA"/>
        </w:rPr>
        <w:t>, L.R.C. 1985, c.</w:t>
      </w:r>
      <w:r w:rsidR="00E6271F" w:rsidRPr="00B27419">
        <w:rPr>
          <w:lang w:val="fr-CA"/>
        </w:rPr>
        <w:t xml:space="preserve"> </w:t>
      </w:r>
      <w:r w:rsidRPr="00B27419">
        <w:rPr>
          <w:lang w:val="fr-CA"/>
        </w:rPr>
        <w:t>N</w:t>
      </w:r>
      <w:r w:rsidR="00E6271F" w:rsidRPr="00B27419">
        <w:rPr>
          <w:lang w:val="fr-CA"/>
        </w:rPr>
        <w:t>-</w:t>
      </w:r>
      <w:r w:rsidRPr="00B27419">
        <w:rPr>
          <w:lang w:val="fr-CA"/>
        </w:rPr>
        <w:t>7, art.</w:t>
      </w:r>
      <w:r w:rsidR="00E6271F" w:rsidRPr="00B27419">
        <w:rPr>
          <w:lang w:val="fr-CA"/>
        </w:rPr>
        <w:t xml:space="preserve"> </w:t>
      </w:r>
      <w:r w:rsidRPr="00B27419">
        <w:rPr>
          <w:lang w:val="fr-CA"/>
        </w:rPr>
        <w:t>101.</w:t>
      </w:r>
    </w:p>
    <w:p w:rsidR="003536D5" w:rsidRPr="00B27419" w:rsidRDefault="003536D5" w:rsidP="00B27419">
      <w:pPr>
        <w:pStyle w:val="SCCNormalDoubleSpacing"/>
        <w:spacing w:after="240" w:line="240" w:lineRule="auto"/>
        <w:ind w:left="547" w:hanging="547"/>
        <w:rPr>
          <w:szCs w:val="24"/>
          <w:lang w:val="fr-CA"/>
        </w:rPr>
      </w:pPr>
      <w:r w:rsidRPr="00B27419">
        <w:rPr>
          <w:i/>
          <w:iCs/>
          <w:szCs w:val="24"/>
          <w:lang w:val="fr-CA"/>
        </w:rPr>
        <w:t>Loi sur la concurrence</w:t>
      </w:r>
      <w:r w:rsidRPr="00B27419">
        <w:rPr>
          <w:iCs/>
          <w:szCs w:val="24"/>
          <w:lang w:val="fr-CA"/>
        </w:rPr>
        <w:t>, L.</w:t>
      </w:r>
      <w:r w:rsidRPr="00B27419">
        <w:rPr>
          <w:szCs w:val="24"/>
          <w:lang w:val="fr-CA"/>
        </w:rPr>
        <w:t>R.C. 1985, c.</w:t>
      </w:r>
      <w:r w:rsidR="00E6271F" w:rsidRPr="00B27419">
        <w:rPr>
          <w:szCs w:val="24"/>
          <w:lang w:val="fr-CA"/>
        </w:rPr>
        <w:t xml:space="preserve"> </w:t>
      </w:r>
      <w:r w:rsidRPr="00B27419">
        <w:rPr>
          <w:szCs w:val="24"/>
          <w:lang w:val="fr-CA"/>
        </w:rPr>
        <w:t>C</w:t>
      </w:r>
      <w:r w:rsidR="00E6271F" w:rsidRPr="00B27419">
        <w:rPr>
          <w:szCs w:val="24"/>
          <w:lang w:val="fr-CA"/>
        </w:rPr>
        <w:t>-</w:t>
      </w:r>
      <w:r w:rsidRPr="00B27419">
        <w:rPr>
          <w:szCs w:val="24"/>
          <w:lang w:val="fr-CA"/>
        </w:rPr>
        <w:t>34, art.</w:t>
      </w:r>
      <w:r w:rsidR="00E6271F" w:rsidRPr="00B27419">
        <w:rPr>
          <w:szCs w:val="24"/>
          <w:lang w:val="fr-CA"/>
        </w:rPr>
        <w:t xml:space="preserve"> </w:t>
      </w:r>
      <w:r w:rsidRPr="00B27419">
        <w:rPr>
          <w:szCs w:val="24"/>
          <w:lang w:val="fr-CA"/>
        </w:rPr>
        <w:t>1.1, 79(1)</w:t>
      </w:r>
      <w:r w:rsidRPr="00B27419">
        <w:rPr>
          <w:i/>
          <w:szCs w:val="24"/>
          <w:lang w:val="fr-CA"/>
        </w:rPr>
        <w:t>c</w:t>
      </w:r>
      <w:r w:rsidRPr="00B27419">
        <w:rPr>
          <w:szCs w:val="24"/>
          <w:lang w:val="fr-CA"/>
        </w:rPr>
        <w:t xml:space="preserve">), 91 </w:t>
      </w:r>
      <w:r w:rsidR="00B27419">
        <w:rPr>
          <w:szCs w:val="24"/>
          <w:lang w:val="fr-CA"/>
        </w:rPr>
        <w:t>« </w:t>
      </w:r>
      <w:r w:rsidRPr="00B27419">
        <w:rPr>
          <w:szCs w:val="24"/>
          <w:lang w:val="fr-CA"/>
        </w:rPr>
        <w:t>fusionnement</w:t>
      </w:r>
      <w:r w:rsidR="00B27419">
        <w:rPr>
          <w:szCs w:val="24"/>
          <w:lang w:val="fr-CA"/>
        </w:rPr>
        <w:t> »</w:t>
      </w:r>
      <w:r w:rsidRPr="00B27419">
        <w:rPr>
          <w:szCs w:val="24"/>
          <w:lang w:val="fr-CA"/>
        </w:rPr>
        <w:t>, 92, 93, 94 à 96.</w:t>
      </w:r>
    </w:p>
    <w:p w:rsidR="003536D5" w:rsidRPr="00B27419" w:rsidRDefault="003536D5" w:rsidP="00B27419">
      <w:pPr>
        <w:pStyle w:val="SCCNormalDoubleSpacing"/>
        <w:spacing w:after="240" w:line="240" w:lineRule="auto"/>
        <w:ind w:left="547" w:hanging="547"/>
        <w:rPr>
          <w:szCs w:val="24"/>
          <w:lang w:val="fr-CA"/>
        </w:rPr>
      </w:pPr>
      <w:r w:rsidRPr="00B27419">
        <w:rPr>
          <w:i/>
          <w:szCs w:val="24"/>
          <w:lang w:val="fr-CA"/>
        </w:rPr>
        <w:t>Loi sur le Tribunal de la concurrence</w:t>
      </w:r>
      <w:r w:rsidRPr="00B27419">
        <w:rPr>
          <w:szCs w:val="24"/>
          <w:lang w:val="fr-CA"/>
        </w:rPr>
        <w:t>, L.R.C. 1985, c.</w:t>
      </w:r>
      <w:r w:rsidR="00E6271F" w:rsidRPr="00B27419">
        <w:rPr>
          <w:szCs w:val="24"/>
          <w:lang w:val="fr-CA"/>
        </w:rPr>
        <w:t xml:space="preserve"> </w:t>
      </w:r>
      <w:r w:rsidRPr="00B27419">
        <w:rPr>
          <w:szCs w:val="24"/>
          <w:lang w:val="fr-CA"/>
        </w:rPr>
        <w:t>19 (2</w:t>
      </w:r>
      <w:r w:rsidRPr="00B27419">
        <w:rPr>
          <w:szCs w:val="24"/>
          <w:vertAlign w:val="superscript"/>
          <w:lang w:val="fr-CA"/>
        </w:rPr>
        <w:t>e</w:t>
      </w:r>
      <w:r w:rsidRPr="00B27419">
        <w:rPr>
          <w:szCs w:val="24"/>
          <w:lang w:val="fr-CA"/>
        </w:rPr>
        <w:t xml:space="preserve"> suppl.), art.</w:t>
      </w:r>
      <w:r w:rsidR="00E6271F" w:rsidRPr="00B27419">
        <w:rPr>
          <w:szCs w:val="24"/>
          <w:lang w:val="fr-CA"/>
        </w:rPr>
        <w:t xml:space="preserve"> </w:t>
      </w:r>
      <w:r w:rsidRPr="00B27419">
        <w:rPr>
          <w:szCs w:val="24"/>
          <w:lang w:val="fr-CA"/>
        </w:rPr>
        <w:t>13(1).</w:t>
      </w:r>
    </w:p>
    <w:p w:rsidR="003536D5" w:rsidRPr="00D04AE4" w:rsidRDefault="003536D5" w:rsidP="00B27419">
      <w:pPr>
        <w:pStyle w:val="SCCNormalDoubleSpacing"/>
        <w:spacing w:after="240" w:line="240" w:lineRule="auto"/>
        <w:ind w:left="547" w:hanging="547"/>
        <w:rPr>
          <w:szCs w:val="24"/>
          <w:lang w:val="en-US"/>
        </w:rPr>
      </w:pPr>
      <w:r w:rsidRPr="00D04AE4">
        <w:rPr>
          <w:i/>
          <w:szCs w:val="24"/>
          <w:lang w:val="en-US"/>
        </w:rPr>
        <w:t>Securities Act</w:t>
      </w:r>
      <w:r w:rsidRPr="00D04AE4">
        <w:rPr>
          <w:szCs w:val="24"/>
          <w:lang w:val="en-US"/>
        </w:rPr>
        <w:t>, R.S.B.C. 1996, c.</w:t>
      </w:r>
      <w:r w:rsidR="00E6271F" w:rsidRPr="00D04AE4">
        <w:rPr>
          <w:szCs w:val="24"/>
          <w:lang w:val="en-US"/>
        </w:rPr>
        <w:t xml:space="preserve"> </w:t>
      </w:r>
      <w:r w:rsidRPr="00D04AE4">
        <w:rPr>
          <w:szCs w:val="24"/>
          <w:lang w:val="en-US"/>
        </w:rPr>
        <w:t>418, art.</w:t>
      </w:r>
      <w:r w:rsidR="00E6271F" w:rsidRPr="00D04AE4">
        <w:rPr>
          <w:szCs w:val="24"/>
          <w:lang w:val="en-US"/>
        </w:rPr>
        <w:t xml:space="preserve"> </w:t>
      </w:r>
      <w:r w:rsidRPr="00D04AE4">
        <w:rPr>
          <w:szCs w:val="24"/>
          <w:lang w:val="en-US"/>
        </w:rPr>
        <w:t>167.</w:t>
      </w:r>
    </w:p>
    <w:p w:rsidR="003536D5" w:rsidRPr="00D04AE4" w:rsidRDefault="003536D5" w:rsidP="00B27419">
      <w:pPr>
        <w:pStyle w:val="SCCNormalDoubleSpacing"/>
        <w:spacing w:after="720" w:line="240" w:lineRule="auto"/>
        <w:ind w:left="547" w:hanging="547"/>
        <w:rPr>
          <w:szCs w:val="24"/>
          <w:lang w:val="en-US"/>
        </w:rPr>
      </w:pPr>
      <w:r w:rsidRPr="00D04AE4">
        <w:rPr>
          <w:i/>
          <w:szCs w:val="24"/>
          <w:lang w:val="en-US"/>
        </w:rPr>
        <w:t>Securities Act</w:t>
      </w:r>
      <w:r w:rsidRPr="00D04AE4">
        <w:rPr>
          <w:szCs w:val="24"/>
          <w:lang w:val="en-US"/>
        </w:rPr>
        <w:t>, S.B.C. 1985, c.</w:t>
      </w:r>
      <w:r w:rsidR="00E6271F" w:rsidRPr="00D04AE4">
        <w:rPr>
          <w:szCs w:val="24"/>
          <w:lang w:val="en-US"/>
        </w:rPr>
        <w:t xml:space="preserve"> </w:t>
      </w:r>
      <w:r w:rsidRPr="00D04AE4">
        <w:rPr>
          <w:szCs w:val="24"/>
          <w:lang w:val="en-US"/>
        </w:rPr>
        <w:t>83, art.</w:t>
      </w:r>
      <w:r w:rsidR="00E6271F" w:rsidRPr="00D04AE4">
        <w:rPr>
          <w:szCs w:val="24"/>
          <w:lang w:val="en-US"/>
        </w:rPr>
        <w:t xml:space="preserve"> </w:t>
      </w:r>
      <w:proofErr w:type="gramStart"/>
      <w:r w:rsidRPr="00D04AE4">
        <w:rPr>
          <w:szCs w:val="24"/>
          <w:lang w:val="en-US"/>
        </w:rPr>
        <w:t>149(1).</w:t>
      </w:r>
      <w:proofErr w:type="gramEnd"/>
    </w:p>
    <w:p w:rsidR="003536D5" w:rsidRPr="00B27419" w:rsidRDefault="003536D5" w:rsidP="00B27419">
      <w:pPr>
        <w:pStyle w:val="SCCNormalDoubleSpacing"/>
        <w:spacing w:after="720" w:line="240" w:lineRule="auto"/>
        <w:rPr>
          <w:b/>
          <w:lang w:val="fr-CA"/>
        </w:rPr>
      </w:pPr>
      <w:r w:rsidRPr="00B27419">
        <w:rPr>
          <w:b/>
          <w:lang w:val="fr-CA"/>
        </w:rPr>
        <w:t>Doctrine et autres documents cités</w:t>
      </w:r>
    </w:p>
    <w:p w:rsidR="003536D5" w:rsidRPr="00D04AE4" w:rsidRDefault="003536D5" w:rsidP="00B27419">
      <w:pPr>
        <w:pStyle w:val="SCCNormalDoubleSpacing"/>
        <w:spacing w:after="240" w:line="240" w:lineRule="auto"/>
        <w:ind w:left="547" w:hanging="547"/>
        <w:rPr>
          <w:lang w:val="en-US"/>
        </w:rPr>
      </w:pPr>
      <w:r w:rsidRPr="00B27419">
        <w:rPr>
          <w:lang w:val="fr-CA"/>
        </w:rPr>
        <w:t>Campbell, A.</w:t>
      </w:r>
      <w:r w:rsidR="00E6271F" w:rsidRPr="00B27419">
        <w:rPr>
          <w:lang w:val="fr-CA"/>
        </w:rPr>
        <w:t xml:space="preserve"> </w:t>
      </w:r>
      <w:r w:rsidRPr="00B27419">
        <w:rPr>
          <w:lang w:val="fr-CA"/>
        </w:rPr>
        <w:t xml:space="preserve">Neil.  </w:t>
      </w:r>
      <w:r w:rsidRPr="00D04AE4">
        <w:rPr>
          <w:i/>
          <w:lang w:val="en-US"/>
        </w:rPr>
        <w:t xml:space="preserve">Merger Law and </w:t>
      </w:r>
      <w:proofErr w:type="gramStart"/>
      <w:r w:rsidRPr="00D04AE4">
        <w:rPr>
          <w:i/>
          <w:lang w:val="en-US"/>
        </w:rPr>
        <w:t>Practice</w:t>
      </w:r>
      <w:r w:rsidR="00E6271F" w:rsidRPr="00D04AE4">
        <w:rPr>
          <w:i/>
          <w:lang w:val="en-US"/>
        </w:rPr>
        <w:t> :</w:t>
      </w:r>
      <w:proofErr w:type="gramEnd"/>
      <w:r w:rsidRPr="00D04AE4">
        <w:rPr>
          <w:i/>
          <w:lang w:val="en-US"/>
        </w:rPr>
        <w:t xml:space="preserve"> The Regulation of Mergers Under the Competition Act</w:t>
      </w:r>
      <w:r w:rsidR="004A2742" w:rsidRPr="00D04AE4">
        <w:rPr>
          <w:lang w:val="en-US"/>
        </w:rPr>
        <w:t>,</w:t>
      </w:r>
      <w:r w:rsidRPr="00D04AE4">
        <w:rPr>
          <w:lang w:val="en-US"/>
        </w:rPr>
        <w:t xml:space="preserve"> Scarborough </w:t>
      </w:r>
      <w:r w:rsidR="004A2742" w:rsidRPr="00D04AE4">
        <w:rPr>
          <w:lang w:val="en-US"/>
        </w:rPr>
        <w:t xml:space="preserve">(Ont.), </w:t>
      </w:r>
      <w:proofErr w:type="spellStart"/>
      <w:r w:rsidRPr="00D04AE4">
        <w:rPr>
          <w:lang w:val="en-US"/>
        </w:rPr>
        <w:t>Carswell</w:t>
      </w:r>
      <w:proofErr w:type="spellEnd"/>
      <w:r w:rsidRPr="00D04AE4">
        <w:rPr>
          <w:lang w:val="en-US"/>
        </w:rPr>
        <w:t>, 1997.</w:t>
      </w:r>
    </w:p>
    <w:p w:rsidR="003536D5" w:rsidRPr="00B27419" w:rsidRDefault="003536D5" w:rsidP="00B27419">
      <w:pPr>
        <w:pStyle w:val="SCCNormalDoubleSpacing"/>
        <w:spacing w:after="240" w:line="240" w:lineRule="auto"/>
        <w:ind w:left="547" w:hanging="547"/>
        <w:rPr>
          <w:lang w:val="fr-CA"/>
        </w:rPr>
      </w:pPr>
      <w:r w:rsidRPr="00B27419">
        <w:rPr>
          <w:lang w:val="fr-CA"/>
        </w:rPr>
        <w:t xml:space="preserve">Canada.  Bureau de la concurrence.  </w:t>
      </w:r>
      <w:r w:rsidRPr="00B27419">
        <w:rPr>
          <w:i/>
          <w:lang w:val="fr-CA"/>
        </w:rPr>
        <w:t>Fusions — Lignes directrices pour l’application de la loi</w:t>
      </w:r>
      <w:r w:rsidR="004A2742" w:rsidRPr="00B27419">
        <w:rPr>
          <w:lang w:val="fr-CA"/>
        </w:rPr>
        <w:t>,  Gatineau,</w:t>
      </w:r>
      <w:r w:rsidRPr="00B27419">
        <w:rPr>
          <w:lang w:val="fr-CA"/>
        </w:rPr>
        <w:t xml:space="preserve"> Le Bureau, 2011.</w:t>
      </w:r>
    </w:p>
    <w:p w:rsidR="003536D5" w:rsidRPr="00B27419" w:rsidRDefault="003536D5" w:rsidP="00B27419">
      <w:pPr>
        <w:pStyle w:val="SCCNormalDoubleSpacing"/>
        <w:spacing w:after="240" w:line="240" w:lineRule="auto"/>
        <w:ind w:left="547" w:hanging="547"/>
        <w:rPr>
          <w:lang w:val="fr-CA"/>
        </w:rPr>
      </w:pPr>
      <w:r w:rsidRPr="00B27419">
        <w:rPr>
          <w:lang w:val="fr-CA"/>
        </w:rPr>
        <w:t xml:space="preserve">Canada.  Chambre des communes.  </w:t>
      </w:r>
      <w:r w:rsidRPr="00B27419">
        <w:rPr>
          <w:i/>
          <w:lang w:val="fr-CA"/>
        </w:rPr>
        <w:t>Débats de la Chambre des communes</w:t>
      </w:r>
      <w:r w:rsidRPr="00B27419">
        <w:rPr>
          <w:lang w:val="fr-CA"/>
        </w:rPr>
        <w:t>, vol.</w:t>
      </w:r>
      <w:r w:rsidR="00E6271F" w:rsidRPr="00B27419">
        <w:rPr>
          <w:lang w:val="fr-CA"/>
        </w:rPr>
        <w:t xml:space="preserve"> </w:t>
      </w:r>
      <w:r w:rsidRPr="00B27419">
        <w:rPr>
          <w:lang w:val="fr-CA"/>
        </w:rPr>
        <w:t>VIII, 1</w:t>
      </w:r>
      <w:r w:rsidRPr="00B27419">
        <w:rPr>
          <w:vertAlign w:val="superscript"/>
          <w:lang w:val="fr-CA"/>
        </w:rPr>
        <w:t>re</w:t>
      </w:r>
      <w:r w:rsidRPr="00B27419">
        <w:rPr>
          <w:lang w:val="fr-CA"/>
        </w:rPr>
        <w:t xml:space="preserve"> </w:t>
      </w:r>
      <w:proofErr w:type="spellStart"/>
      <w:proofErr w:type="gramStart"/>
      <w:r w:rsidRPr="00B27419">
        <w:rPr>
          <w:lang w:val="fr-CA"/>
        </w:rPr>
        <w:t>sess</w:t>
      </w:r>
      <w:proofErr w:type="spellEnd"/>
      <w:r w:rsidRPr="00B27419">
        <w:rPr>
          <w:lang w:val="fr-CA"/>
        </w:rPr>
        <w:t>.,</w:t>
      </w:r>
      <w:proofErr w:type="gramEnd"/>
      <w:r w:rsidRPr="00B27419">
        <w:rPr>
          <w:lang w:val="fr-CA"/>
        </w:rPr>
        <w:t xml:space="preserve"> 33</w:t>
      </w:r>
      <w:r w:rsidRPr="00B27419">
        <w:rPr>
          <w:vertAlign w:val="superscript"/>
          <w:lang w:val="fr-CA"/>
        </w:rPr>
        <w:t>e</w:t>
      </w:r>
      <w:r w:rsidRPr="00B27419">
        <w:rPr>
          <w:lang w:val="fr-CA"/>
        </w:rPr>
        <w:t xml:space="preserve"> </w:t>
      </w:r>
      <w:proofErr w:type="spellStart"/>
      <w:r w:rsidRPr="00B27419">
        <w:rPr>
          <w:lang w:val="fr-CA"/>
        </w:rPr>
        <w:t>lég</w:t>
      </w:r>
      <w:proofErr w:type="spellEnd"/>
      <w:r w:rsidRPr="00B27419">
        <w:rPr>
          <w:lang w:val="fr-CA"/>
        </w:rPr>
        <w:t>., 7 avril 1986, p.</w:t>
      </w:r>
      <w:r w:rsidR="00E6271F" w:rsidRPr="00B27419">
        <w:rPr>
          <w:lang w:val="fr-CA"/>
        </w:rPr>
        <w:t xml:space="preserve"> </w:t>
      </w:r>
      <w:r w:rsidRPr="00B27419">
        <w:rPr>
          <w:lang w:val="fr-CA"/>
        </w:rPr>
        <w:t>11962.</w:t>
      </w:r>
    </w:p>
    <w:p w:rsidR="003536D5" w:rsidRPr="00B27419" w:rsidRDefault="003536D5" w:rsidP="00B27419">
      <w:pPr>
        <w:pStyle w:val="SCCNormalDoubleSpacing"/>
        <w:spacing w:after="240" w:line="240" w:lineRule="auto"/>
        <w:ind w:left="547" w:hanging="547"/>
        <w:rPr>
          <w:lang w:val="fr-CA"/>
        </w:rPr>
      </w:pPr>
      <w:r w:rsidRPr="00B27419">
        <w:rPr>
          <w:lang w:val="fr-CA"/>
        </w:rPr>
        <w:lastRenderedPageBreak/>
        <w:t xml:space="preserve">Canada.  Ministre de la Consommation et des Corporations.  </w:t>
      </w:r>
      <w:r w:rsidRPr="00B27419">
        <w:rPr>
          <w:i/>
          <w:lang w:val="fr-CA"/>
        </w:rPr>
        <w:t>Réforme de la législation sur la concurrence</w:t>
      </w:r>
      <w:r w:rsidR="00E6271F" w:rsidRPr="00B27419">
        <w:rPr>
          <w:i/>
          <w:lang w:val="fr-CA"/>
        </w:rPr>
        <w:t> :</w:t>
      </w:r>
      <w:r w:rsidRPr="00B27419">
        <w:rPr>
          <w:i/>
          <w:lang w:val="fr-CA"/>
        </w:rPr>
        <w:t xml:space="preserve"> Guide</w:t>
      </w:r>
      <w:r w:rsidR="002F437C" w:rsidRPr="00B27419">
        <w:rPr>
          <w:lang w:val="fr-CA"/>
        </w:rPr>
        <w:t>,</w:t>
      </w:r>
      <w:r w:rsidRPr="00B27419">
        <w:rPr>
          <w:lang w:val="fr-CA"/>
        </w:rPr>
        <w:t xml:space="preserve"> Ottawa</w:t>
      </w:r>
      <w:r w:rsidR="002F437C" w:rsidRPr="00B27419">
        <w:rPr>
          <w:lang w:val="fr-CA"/>
        </w:rPr>
        <w:t>,</w:t>
      </w:r>
      <w:r w:rsidRPr="00B27419">
        <w:rPr>
          <w:lang w:val="fr-CA"/>
        </w:rPr>
        <w:t xml:space="preserve"> Approvisionnements et Services Canada, 1985.</w:t>
      </w:r>
    </w:p>
    <w:p w:rsidR="003536D5" w:rsidRPr="00D04AE4" w:rsidRDefault="003536D5" w:rsidP="00B27419">
      <w:pPr>
        <w:pStyle w:val="SCCNormalDoubleSpacing"/>
        <w:spacing w:after="240" w:line="240" w:lineRule="auto"/>
        <w:ind w:left="547" w:hanging="547"/>
        <w:rPr>
          <w:lang w:val="en-US"/>
        </w:rPr>
      </w:pPr>
      <w:proofErr w:type="spellStart"/>
      <w:proofErr w:type="gramStart"/>
      <w:r w:rsidRPr="00D04AE4">
        <w:rPr>
          <w:lang w:val="en-US"/>
        </w:rPr>
        <w:t>Facey</w:t>
      </w:r>
      <w:proofErr w:type="spellEnd"/>
      <w:r w:rsidRPr="00D04AE4">
        <w:rPr>
          <w:lang w:val="en-US"/>
        </w:rPr>
        <w:t>, Brian</w:t>
      </w:r>
      <w:r w:rsidR="00E6271F" w:rsidRPr="00D04AE4">
        <w:rPr>
          <w:lang w:val="en-US"/>
        </w:rPr>
        <w:t xml:space="preserve"> </w:t>
      </w:r>
      <w:r w:rsidRPr="00D04AE4">
        <w:rPr>
          <w:lang w:val="en-US"/>
        </w:rPr>
        <w:t>A., and Cassandra Brown.</w:t>
      </w:r>
      <w:proofErr w:type="gramEnd"/>
      <w:r w:rsidRPr="00D04AE4">
        <w:rPr>
          <w:lang w:val="en-US"/>
        </w:rPr>
        <w:t xml:space="preserve">  </w:t>
      </w:r>
      <w:r w:rsidRPr="00D04AE4">
        <w:rPr>
          <w:i/>
          <w:lang w:val="en-US"/>
        </w:rPr>
        <w:t xml:space="preserve">Competition and Antitrust Laws in </w:t>
      </w:r>
      <w:proofErr w:type="gramStart"/>
      <w:r w:rsidRPr="00D04AE4">
        <w:rPr>
          <w:i/>
          <w:lang w:val="en-US"/>
        </w:rPr>
        <w:t>Canada</w:t>
      </w:r>
      <w:r w:rsidR="00E6271F" w:rsidRPr="00D04AE4">
        <w:rPr>
          <w:i/>
          <w:lang w:val="en-US"/>
        </w:rPr>
        <w:t> :</w:t>
      </w:r>
      <w:proofErr w:type="gramEnd"/>
      <w:r w:rsidRPr="00D04AE4">
        <w:rPr>
          <w:i/>
          <w:lang w:val="en-US"/>
        </w:rPr>
        <w:t xml:space="preserve"> Mergers, Joint Ventures and Competitor Collaborations</w:t>
      </w:r>
      <w:r w:rsidR="004A2742" w:rsidRPr="00D04AE4">
        <w:rPr>
          <w:lang w:val="en-US"/>
        </w:rPr>
        <w:t>,</w:t>
      </w:r>
      <w:r w:rsidRPr="00D04AE4">
        <w:rPr>
          <w:lang w:val="en-US"/>
        </w:rPr>
        <w:t xml:space="preserve"> </w:t>
      </w:r>
      <w:r w:rsidR="004A2742" w:rsidRPr="00D04AE4">
        <w:rPr>
          <w:lang w:val="en-US"/>
        </w:rPr>
        <w:t>Markham (</w:t>
      </w:r>
      <w:r w:rsidRPr="00D04AE4">
        <w:rPr>
          <w:lang w:val="en-US"/>
        </w:rPr>
        <w:t>Ont.</w:t>
      </w:r>
      <w:r w:rsidR="004A2742" w:rsidRPr="00D04AE4">
        <w:rPr>
          <w:lang w:val="en-US"/>
        </w:rPr>
        <w:t>),</w:t>
      </w:r>
      <w:r w:rsidRPr="00D04AE4">
        <w:rPr>
          <w:lang w:val="en-US"/>
        </w:rPr>
        <w:t xml:space="preserve"> LexisNexis, 2013.</w:t>
      </w:r>
    </w:p>
    <w:p w:rsidR="003536D5" w:rsidRPr="00D04AE4" w:rsidRDefault="003536D5" w:rsidP="00B27419">
      <w:pPr>
        <w:pStyle w:val="SCCNormalDoubleSpacing"/>
        <w:spacing w:after="240" w:line="240" w:lineRule="auto"/>
        <w:ind w:left="547" w:hanging="547"/>
        <w:rPr>
          <w:lang w:val="en-US"/>
        </w:rPr>
      </w:pPr>
      <w:proofErr w:type="spellStart"/>
      <w:proofErr w:type="gramStart"/>
      <w:r w:rsidRPr="00D04AE4">
        <w:rPr>
          <w:lang w:val="en-US"/>
        </w:rPr>
        <w:t>Facey</w:t>
      </w:r>
      <w:proofErr w:type="spellEnd"/>
      <w:r w:rsidRPr="00D04AE4">
        <w:rPr>
          <w:lang w:val="en-US"/>
        </w:rPr>
        <w:t>, Brian</w:t>
      </w:r>
      <w:r w:rsidR="00E6271F" w:rsidRPr="00D04AE4">
        <w:rPr>
          <w:lang w:val="en-US"/>
        </w:rPr>
        <w:t xml:space="preserve"> </w:t>
      </w:r>
      <w:r w:rsidRPr="00D04AE4">
        <w:rPr>
          <w:lang w:val="en-US"/>
        </w:rPr>
        <w:t xml:space="preserve">A., and </w:t>
      </w:r>
      <w:proofErr w:type="spellStart"/>
      <w:r w:rsidRPr="00D04AE4">
        <w:rPr>
          <w:lang w:val="en-US"/>
        </w:rPr>
        <w:t>Dany</w:t>
      </w:r>
      <w:proofErr w:type="spellEnd"/>
      <w:r w:rsidR="00E6271F" w:rsidRPr="00D04AE4">
        <w:rPr>
          <w:lang w:val="en-US"/>
        </w:rPr>
        <w:t xml:space="preserve"> </w:t>
      </w:r>
      <w:r w:rsidRPr="00D04AE4">
        <w:rPr>
          <w:lang w:val="en-US"/>
        </w:rPr>
        <w:t xml:space="preserve">H. </w:t>
      </w:r>
      <w:proofErr w:type="spellStart"/>
      <w:r w:rsidRPr="00D04AE4">
        <w:rPr>
          <w:lang w:val="en-US"/>
        </w:rPr>
        <w:t>Assaf</w:t>
      </w:r>
      <w:proofErr w:type="spellEnd"/>
      <w:r w:rsidRPr="00D04AE4">
        <w:rPr>
          <w:lang w:val="en-US"/>
        </w:rPr>
        <w:t>.</w:t>
      </w:r>
      <w:proofErr w:type="gramEnd"/>
      <w:r w:rsidRPr="00D04AE4">
        <w:rPr>
          <w:lang w:val="en-US"/>
        </w:rPr>
        <w:t xml:space="preserve">  </w:t>
      </w:r>
      <w:r w:rsidRPr="00D04AE4">
        <w:rPr>
          <w:i/>
          <w:lang w:val="en-US"/>
        </w:rPr>
        <w:t xml:space="preserve">Competition and Antitrust </w:t>
      </w:r>
      <w:proofErr w:type="gramStart"/>
      <w:r w:rsidRPr="00D04AE4">
        <w:rPr>
          <w:i/>
          <w:lang w:val="en-US"/>
        </w:rPr>
        <w:t>Law</w:t>
      </w:r>
      <w:r w:rsidR="00E6271F" w:rsidRPr="00D04AE4">
        <w:rPr>
          <w:i/>
          <w:lang w:val="en-US"/>
        </w:rPr>
        <w:t> :</w:t>
      </w:r>
      <w:proofErr w:type="gramEnd"/>
      <w:r w:rsidRPr="00D04AE4">
        <w:rPr>
          <w:i/>
          <w:lang w:val="en-US"/>
        </w:rPr>
        <w:t xml:space="preserve"> Canada and the United States</w:t>
      </w:r>
      <w:r w:rsidR="004A2742" w:rsidRPr="00D04AE4">
        <w:rPr>
          <w:lang w:val="en-US"/>
        </w:rPr>
        <w:t>, 4th ed., Markham (</w:t>
      </w:r>
      <w:r w:rsidRPr="00D04AE4">
        <w:rPr>
          <w:lang w:val="en-US"/>
        </w:rPr>
        <w:t>Ont.</w:t>
      </w:r>
      <w:r w:rsidR="004A2742" w:rsidRPr="00D04AE4">
        <w:rPr>
          <w:lang w:val="en-US"/>
        </w:rPr>
        <w:t>),</w:t>
      </w:r>
      <w:r w:rsidRPr="00D04AE4">
        <w:rPr>
          <w:lang w:val="en-US"/>
        </w:rPr>
        <w:t xml:space="preserve"> LexisNexis, 2014.</w:t>
      </w:r>
    </w:p>
    <w:p w:rsidR="003536D5" w:rsidRPr="00D04AE4" w:rsidRDefault="003536D5" w:rsidP="00B27419">
      <w:pPr>
        <w:pStyle w:val="SCCNormalDoubleSpacing"/>
        <w:spacing w:after="240" w:line="240" w:lineRule="auto"/>
        <w:ind w:left="547" w:hanging="547"/>
        <w:rPr>
          <w:lang w:val="en-US"/>
        </w:rPr>
      </w:pPr>
      <w:proofErr w:type="spellStart"/>
      <w:proofErr w:type="gramStart"/>
      <w:r w:rsidRPr="00D04AE4">
        <w:rPr>
          <w:lang w:val="en-US"/>
        </w:rPr>
        <w:t>Facey</w:t>
      </w:r>
      <w:proofErr w:type="spellEnd"/>
      <w:r w:rsidRPr="00D04AE4">
        <w:rPr>
          <w:lang w:val="en-US"/>
        </w:rPr>
        <w:t>, Brian</w:t>
      </w:r>
      <w:r w:rsidR="00E6271F" w:rsidRPr="00D04AE4">
        <w:rPr>
          <w:lang w:val="en-US"/>
        </w:rPr>
        <w:t xml:space="preserve"> </w:t>
      </w:r>
      <w:r w:rsidRPr="00D04AE4">
        <w:rPr>
          <w:lang w:val="en-US"/>
        </w:rPr>
        <w:t>A., Gregory Hilton</w:t>
      </w:r>
      <w:r w:rsidR="00E6271F" w:rsidRPr="00D04AE4">
        <w:rPr>
          <w:lang w:val="en-US"/>
        </w:rPr>
        <w:t>-</w:t>
      </w:r>
      <w:r w:rsidRPr="00D04AE4">
        <w:rPr>
          <w:lang w:val="en-US"/>
        </w:rPr>
        <w:t>Sullivan and Mark Graham.</w:t>
      </w:r>
      <w:proofErr w:type="gramEnd"/>
      <w:r w:rsidRPr="00D04AE4">
        <w:rPr>
          <w:lang w:val="en-US"/>
        </w:rPr>
        <w:t xml:space="preserve">  </w:t>
      </w:r>
      <w:proofErr w:type="gramStart"/>
      <w:r w:rsidR="00B27419" w:rsidRPr="00D04AE4">
        <w:rPr>
          <w:lang w:val="en-US"/>
        </w:rPr>
        <w:t>« </w:t>
      </w:r>
      <w:r w:rsidRPr="00D04AE4">
        <w:rPr>
          <w:lang w:val="en-US"/>
        </w:rPr>
        <w:t>The Reinvigoration of Canadian Antitrust Law — Canada’s New Approach to Merger Review</w:t>
      </w:r>
      <w:r w:rsidR="00B27419" w:rsidRPr="00D04AE4">
        <w:rPr>
          <w:lang w:val="en-US"/>
        </w:rPr>
        <w:t> »</w:t>
      </w:r>
      <w:r w:rsidRPr="00D04AE4">
        <w:rPr>
          <w:lang w:val="en-US"/>
        </w:rPr>
        <w:t xml:space="preserve"> (2010), 6 </w:t>
      </w:r>
      <w:r w:rsidRPr="00D04AE4">
        <w:rPr>
          <w:i/>
          <w:lang w:val="en-US"/>
        </w:rPr>
        <w:t>C.L.I.</w:t>
      </w:r>
      <w:r w:rsidRPr="00D04AE4">
        <w:rPr>
          <w:lang w:val="en-US"/>
        </w:rPr>
        <w:t xml:space="preserve"> 28.</w:t>
      </w:r>
      <w:proofErr w:type="gramEnd"/>
    </w:p>
    <w:p w:rsidR="003536D5" w:rsidRPr="00B27419" w:rsidRDefault="003536D5" w:rsidP="00B27419">
      <w:pPr>
        <w:pStyle w:val="SCCNormalDoubleSpacing"/>
        <w:spacing w:after="240" w:line="240" w:lineRule="auto"/>
        <w:ind w:left="547" w:hanging="547"/>
        <w:rPr>
          <w:lang w:val="fr-CA"/>
        </w:rPr>
      </w:pPr>
      <w:r w:rsidRPr="00B27419">
        <w:rPr>
          <w:i/>
          <w:lang w:val="fr-CA"/>
        </w:rPr>
        <w:t>Grand Robert de la langue française</w:t>
      </w:r>
      <w:r w:rsidRPr="00B27419">
        <w:rPr>
          <w:lang w:val="fr-CA"/>
        </w:rPr>
        <w:t xml:space="preserve"> (version électronique), </w:t>
      </w:r>
      <w:r w:rsidR="00B27419">
        <w:rPr>
          <w:lang w:val="fr-CA"/>
        </w:rPr>
        <w:t>« </w:t>
      </w:r>
      <w:r w:rsidRPr="00B27419">
        <w:rPr>
          <w:lang w:val="fr-CA"/>
        </w:rPr>
        <w:t>neutraliser</w:t>
      </w:r>
      <w:r w:rsidR="00B27419">
        <w:rPr>
          <w:lang w:val="fr-CA"/>
        </w:rPr>
        <w:t> »</w:t>
      </w:r>
      <w:r w:rsidRPr="00B27419">
        <w:rPr>
          <w:lang w:val="fr-CA"/>
        </w:rPr>
        <w:t>.</w:t>
      </w:r>
    </w:p>
    <w:p w:rsidR="003536D5" w:rsidRPr="00D04AE4" w:rsidRDefault="003536D5" w:rsidP="00B27419">
      <w:pPr>
        <w:pStyle w:val="SCCNormalDoubleSpacing"/>
        <w:spacing w:after="240" w:line="240" w:lineRule="auto"/>
        <w:ind w:left="547" w:hanging="547"/>
        <w:rPr>
          <w:lang w:val="en-US"/>
        </w:rPr>
      </w:pPr>
      <w:r w:rsidRPr="00D04AE4">
        <w:rPr>
          <w:lang w:val="en-US"/>
        </w:rPr>
        <w:t>Musgrove, James</w:t>
      </w:r>
      <w:r w:rsidR="00E6271F" w:rsidRPr="00D04AE4">
        <w:rPr>
          <w:lang w:val="en-US"/>
        </w:rPr>
        <w:t xml:space="preserve"> </w:t>
      </w:r>
      <w:r w:rsidRPr="00D04AE4">
        <w:rPr>
          <w:lang w:val="en-US"/>
        </w:rPr>
        <w:t xml:space="preserve">B., Janine </w:t>
      </w:r>
      <w:proofErr w:type="spellStart"/>
      <w:r w:rsidRPr="00D04AE4">
        <w:rPr>
          <w:lang w:val="en-US"/>
        </w:rPr>
        <w:t>MacNeil</w:t>
      </w:r>
      <w:proofErr w:type="spellEnd"/>
      <w:r w:rsidRPr="00D04AE4">
        <w:rPr>
          <w:lang w:val="en-US"/>
        </w:rPr>
        <w:t xml:space="preserve"> and Michael Osborne, </w:t>
      </w:r>
      <w:proofErr w:type="gramStart"/>
      <w:r w:rsidRPr="00D04AE4">
        <w:rPr>
          <w:lang w:val="en-US"/>
        </w:rPr>
        <w:t>eds</w:t>
      </w:r>
      <w:proofErr w:type="gramEnd"/>
      <w:r w:rsidRPr="00D04AE4">
        <w:rPr>
          <w:lang w:val="en-US"/>
        </w:rPr>
        <w:t xml:space="preserve">.  </w:t>
      </w:r>
      <w:proofErr w:type="gramStart"/>
      <w:r w:rsidRPr="00D04AE4">
        <w:rPr>
          <w:i/>
          <w:lang w:val="en-US"/>
        </w:rPr>
        <w:t>Fundamentals of Canadian Competition Law</w:t>
      </w:r>
      <w:r w:rsidR="004A2742" w:rsidRPr="00D04AE4">
        <w:rPr>
          <w:lang w:val="en-US"/>
        </w:rPr>
        <w:t>, 2nd ed., Toronto,</w:t>
      </w:r>
      <w:r w:rsidRPr="00D04AE4">
        <w:rPr>
          <w:lang w:val="en-US"/>
        </w:rPr>
        <w:t xml:space="preserve"> </w:t>
      </w:r>
      <w:proofErr w:type="spellStart"/>
      <w:r w:rsidRPr="00D04AE4">
        <w:rPr>
          <w:lang w:val="en-US"/>
        </w:rPr>
        <w:t>Carswell</w:t>
      </w:r>
      <w:proofErr w:type="spellEnd"/>
      <w:r w:rsidRPr="00D04AE4">
        <w:rPr>
          <w:lang w:val="en-US"/>
        </w:rPr>
        <w:t>, 2010.</w:t>
      </w:r>
      <w:proofErr w:type="gramEnd"/>
    </w:p>
    <w:p w:rsidR="003536D5" w:rsidRPr="00B27419" w:rsidRDefault="003536D5" w:rsidP="00B27419">
      <w:pPr>
        <w:pStyle w:val="SCCNormalDoubleSpacing"/>
        <w:spacing w:after="240" w:line="240" w:lineRule="auto"/>
        <w:ind w:left="547" w:hanging="547"/>
        <w:rPr>
          <w:lang w:val="fr-CA"/>
        </w:rPr>
      </w:pPr>
      <w:r w:rsidRPr="00B27419">
        <w:rPr>
          <w:i/>
          <w:lang w:val="fr-CA"/>
        </w:rPr>
        <w:t>Petit Larousse illustré</w:t>
      </w:r>
      <w:r w:rsidR="004A2742" w:rsidRPr="00B27419">
        <w:rPr>
          <w:lang w:val="fr-CA"/>
        </w:rPr>
        <w:t xml:space="preserve">, éd. 2013, Paris, </w:t>
      </w:r>
      <w:r w:rsidRPr="00B27419">
        <w:rPr>
          <w:lang w:val="fr-CA"/>
        </w:rPr>
        <w:t xml:space="preserve">Larousse, 2012, </w:t>
      </w:r>
      <w:r w:rsidR="00B27419">
        <w:rPr>
          <w:lang w:val="fr-CA"/>
        </w:rPr>
        <w:t>« </w:t>
      </w:r>
      <w:r w:rsidRPr="00B27419">
        <w:rPr>
          <w:lang w:val="fr-CA"/>
        </w:rPr>
        <w:t>neutraliser</w:t>
      </w:r>
      <w:r w:rsidR="00B27419">
        <w:rPr>
          <w:lang w:val="fr-CA"/>
        </w:rPr>
        <w:t> »</w:t>
      </w:r>
      <w:r w:rsidRPr="00B27419">
        <w:rPr>
          <w:lang w:val="fr-CA"/>
        </w:rPr>
        <w:t>.</w:t>
      </w:r>
    </w:p>
    <w:p w:rsidR="003536D5" w:rsidRPr="00B27419" w:rsidRDefault="003536D5" w:rsidP="00B27419">
      <w:pPr>
        <w:pStyle w:val="SCCNormalDoubleSpacing"/>
        <w:spacing w:after="240" w:line="240" w:lineRule="auto"/>
        <w:ind w:left="547" w:hanging="547"/>
        <w:rPr>
          <w:lang w:val="fr-CA"/>
        </w:rPr>
      </w:pPr>
      <w:proofErr w:type="spellStart"/>
      <w:proofErr w:type="gramStart"/>
      <w:r w:rsidRPr="00D04AE4">
        <w:rPr>
          <w:lang w:val="en-US"/>
        </w:rPr>
        <w:t>Stanbury</w:t>
      </w:r>
      <w:proofErr w:type="spellEnd"/>
      <w:r w:rsidRPr="00D04AE4">
        <w:rPr>
          <w:lang w:val="en-US"/>
        </w:rPr>
        <w:t>, W.</w:t>
      </w:r>
      <w:r w:rsidR="00E6271F" w:rsidRPr="00D04AE4">
        <w:rPr>
          <w:lang w:val="en-US"/>
        </w:rPr>
        <w:t xml:space="preserve"> </w:t>
      </w:r>
      <w:r w:rsidRPr="00D04AE4">
        <w:rPr>
          <w:lang w:val="en-US"/>
        </w:rPr>
        <w:t>T., and G.</w:t>
      </w:r>
      <w:r w:rsidR="00E6271F" w:rsidRPr="00D04AE4">
        <w:rPr>
          <w:lang w:val="en-US"/>
        </w:rPr>
        <w:t xml:space="preserve"> </w:t>
      </w:r>
      <w:r w:rsidRPr="00D04AE4">
        <w:rPr>
          <w:lang w:val="en-US"/>
        </w:rPr>
        <w:t xml:space="preserve">B. </w:t>
      </w:r>
      <w:proofErr w:type="spellStart"/>
      <w:r w:rsidRPr="00D04AE4">
        <w:rPr>
          <w:lang w:val="en-US"/>
        </w:rPr>
        <w:t>Reschenthaler</w:t>
      </w:r>
      <w:proofErr w:type="spellEnd"/>
      <w:r w:rsidRPr="00D04AE4">
        <w:rPr>
          <w:lang w:val="en-US"/>
        </w:rPr>
        <w:t>.</w:t>
      </w:r>
      <w:proofErr w:type="gramEnd"/>
      <w:r w:rsidRPr="00D04AE4">
        <w:rPr>
          <w:lang w:val="en-US"/>
        </w:rPr>
        <w:t xml:space="preserve">  </w:t>
      </w:r>
      <w:r w:rsidR="00B27419" w:rsidRPr="00D04AE4">
        <w:rPr>
          <w:lang w:val="en-US"/>
        </w:rPr>
        <w:t>« </w:t>
      </w:r>
      <w:r w:rsidRPr="00D04AE4">
        <w:rPr>
          <w:lang w:val="en-US"/>
        </w:rPr>
        <w:t xml:space="preserve">Reforming Canadian Competition </w:t>
      </w:r>
      <w:proofErr w:type="gramStart"/>
      <w:r w:rsidRPr="00D04AE4">
        <w:rPr>
          <w:lang w:val="en-US"/>
        </w:rPr>
        <w:t>Policy</w:t>
      </w:r>
      <w:r w:rsidR="00E6271F" w:rsidRPr="00D04AE4">
        <w:rPr>
          <w:lang w:val="en-US"/>
        </w:rPr>
        <w:t> :</w:t>
      </w:r>
      <w:proofErr w:type="gramEnd"/>
      <w:r w:rsidRPr="00D04AE4">
        <w:rPr>
          <w:lang w:val="en-US"/>
        </w:rPr>
        <w:t xml:space="preserve"> Once More Unto the Breach</w:t>
      </w:r>
      <w:r w:rsidR="00B27419" w:rsidRPr="00D04AE4">
        <w:rPr>
          <w:lang w:val="en-US"/>
        </w:rPr>
        <w:t> »</w:t>
      </w:r>
      <w:r w:rsidRPr="00D04AE4">
        <w:rPr>
          <w:lang w:val="en-US"/>
        </w:rPr>
        <w:t xml:space="preserve"> (1981), 5 </w:t>
      </w:r>
      <w:r w:rsidRPr="00D04AE4">
        <w:rPr>
          <w:i/>
          <w:lang w:val="en-US"/>
        </w:rPr>
        <w:t xml:space="preserve">Rev. can. </w:t>
      </w:r>
      <w:proofErr w:type="gramStart"/>
      <w:r w:rsidRPr="00D04AE4">
        <w:rPr>
          <w:i/>
          <w:lang w:val="en-US"/>
        </w:rPr>
        <w:t>dr. comm.</w:t>
      </w:r>
      <w:r w:rsidRPr="00D04AE4">
        <w:rPr>
          <w:lang w:val="en-US"/>
        </w:rPr>
        <w:t xml:space="preserve"> </w:t>
      </w:r>
      <w:r w:rsidRPr="00B27419">
        <w:rPr>
          <w:lang w:val="fr-CA"/>
        </w:rPr>
        <w:t>381.</w:t>
      </w:r>
      <w:proofErr w:type="gramEnd"/>
    </w:p>
    <w:p w:rsidR="003536D5" w:rsidRPr="00D04AE4" w:rsidRDefault="003536D5" w:rsidP="00B27419">
      <w:pPr>
        <w:pStyle w:val="SCCNormalDoubleSpacing"/>
        <w:spacing w:after="240" w:line="240" w:lineRule="auto"/>
        <w:ind w:left="547" w:hanging="547"/>
        <w:rPr>
          <w:lang w:val="en-US"/>
        </w:rPr>
      </w:pPr>
      <w:proofErr w:type="spellStart"/>
      <w:r w:rsidRPr="00D04AE4">
        <w:rPr>
          <w:lang w:val="en-US"/>
        </w:rPr>
        <w:t>Trebilcock</w:t>
      </w:r>
      <w:proofErr w:type="spellEnd"/>
      <w:r w:rsidRPr="00D04AE4">
        <w:rPr>
          <w:lang w:val="en-US"/>
        </w:rPr>
        <w:t>, Michael, et al.</w:t>
      </w:r>
      <w:r w:rsidR="00E6271F" w:rsidRPr="00D04AE4">
        <w:rPr>
          <w:lang w:val="en-US"/>
        </w:rPr>
        <w:t xml:space="preserve"> </w:t>
      </w:r>
      <w:r w:rsidRPr="00D04AE4">
        <w:rPr>
          <w:lang w:val="en-US"/>
        </w:rPr>
        <w:t xml:space="preserve"> </w:t>
      </w:r>
      <w:proofErr w:type="gramStart"/>
      <w:r w:rsidRPr="00D04AE4">
        <w:rPr>
          <w:i/>
          <w:lang w:val="en-US"/>
        </w:rPr>
        <w:t>The Law and Economics of Canadian Competition Policy</w:t>
      </w:r>
      <w:r w:rsidR="004A2742" w:rsidRPr="00D04AE4">
        <w:rPr>
          <w:lang w:val="en-US"/>
        </w:rPr>
        <w:t>, Toronto,</w:t>
      </w:r>
      <w:r w:rsidRPr="00D04AE4">
        <w:rPr>
          <w:lang w:val="en-US"/>
        </w:rPr>
        <w:t xml:space="preserve"> University of Toronto Press, 2002.</w:t>
      </w:r>
      <w:proofErr w:type="gramEnd"/>
    </w:p>
    <w:p w:rsidR="003536D5" w:rsidRPr="00D04AE4" w:rsidRDefault="003536D5" w:rsidP="00B27419">
      <w:pPr>
        <w:pStyle w:val="SCCNormalDoubleSpacing"/>
        <w:spacing w:after="240" w:line="240" w:lineRule="auto"/>
        <w:ind w:left="547" w:hanging="547"/>
        <w:rPr>
          <w:lang w:val="en-US"/>
        </w:rPr>
      </w:pPr>
      <w:proofErr w:type="spellStart"/>
      <w:r w:rsidRPr="00D04AE4">
        <w:rPr>
          <w:lang w:val="en-US"/>
        </w:rPr>
        <w:t>Waddams</w:t>
      </w:r>
      <w:proofErr w:type="spellEnd"/>
      <w:r w:rsidRPr="00D04AE4">
        <w:rPr>
          <w:lang w:val="en-US"/>
        </w:rPr>
        <w:t>, S.</w:t>
      </w:r>
      <w:r w:rsidR="00E6271F" w:rsidRPr="00D04AE4">
        <w:rPr>
          <w:lang w:val="en-US"/>
        </w:rPr>
        <w:t xml:space="preserve"> </w:t>
      </w:r>
      <w:r w:rsidRPr="00D04AE4">
        <w:rPr>
          <w:lang w:val="en-US"/>
        </w:rPr>
        <w:t xml:space="preserve">M.  </w:t>
      </w:r>
      <w:proofErr w:type="gramStart"/>
      <w:r w:rsidRPr="00D04AE4">
        <w:rPr>
          <w:i/>
          <w:lang w:val="en-US"/>
        </w:rPr>
        <w:t>The Law of Damages</w:t>
      </w:r>
      <w:r w:rsidR="004A2742" w:rsidRPr="00D04AE4">
        <w:rPr>
          <w:lang w:val="en-US"/>
        </w:rPr>
        <w:t>, 5th ed., Toronto,</w:t>
      </w:r>
      <w:r w:rsidRPr="00D04AE4">
        <w:rPr>
          <w:lang w:val="en-US"/>
        </w:rPr>
        <w:t xml:space="preserve"> Canada Law Book, 2012.</w:t>
      </w:r>
      <w:proofErr w:type="gramEnd"/>
    </w:p>
    <w:p w:rsidR="003536D5" w:rsidRPr="00D04AE4" w:rsidRDefault="003536D5" w:rsidP="00B27419">
      <w:pPr>
        <w:pStyle w:val="SCCNormalDoubleSpacing"/>
        <w:spacing w:after="720" w:line="240" w:lineRule="auto"/>
        <w:ind w:left="547" w:hanging="547"/>
        <w:rPr>
          <w:lang w:val="en-US"/>
        </w:rPr>
      </w:pPr>
      <w:proofErr w:type="spellStart"/>
      <w:r w:rsidRPr="00D04AE4">
        <w:rPr>
          <w:lang w:val="en-US"/>
        </w:rPr>
        <w:t>Wakil</w:t>
      </w:r>
      <w:proofErr w:type="spellEnd"/>
      <w:r w:rsidRPr="00D04AE4">
        <w:rPr>
          <w:lang w:val="en-US"/>
        </w:rPr>
        <w:t xml:space="preserve">, Omar.  </w:t>
      </w:r>
      <w:r w:rsidRPr="00D04AE4">
        <w:rPr>
          <w:i/>
          <w:lang w:val="en-US"/>
        </w:rPr>
        <w:t>The 2014 Annotated Competition Act</w:t>
      </w:r>
      <w:r w:rsidR="004A2742" w:rsidRPr="00D04AE4">
        <w:rPr>
          <w:lang w:val="en-US"/>
        </w:rPr>
        <w:t xml:space="preserve">, Toronto, </w:t>
      </w:r>
      <w:proofErr w:type="spellStart"/>
      <w:r w:rsidRPr="00D04AE4">
        <w:rPr>
          <w:lang w:val="en-US"/>
        </w:rPr>
        <w:t>Carswell</w:t>
      </w:r>
      <w:proofErr w:type="spellEnd"/>
      <w:r w:rsidRPr="00D04AE4">
        <w:rPr>
          <w:lang w:val="en-US"/>
        </w:rPr>
        <w:t>, 2013.</w:t>
      </w:r>
    </w:p>
    <w:p w:rsidR="003536D5" w:rsidRPr="00B27419" w:rsidRDefault="003536D5" w:rsidP="00B27419">
      <w:pPr>
        <w:pStyle w:val="SCCNormalDoubleSpacing"/>
        <w:rPr>
          <w:lang w:val="fr-CA"/>
        </w:rPr>
      </w:pPr>
      <w:r w:rsidRPr="00D04AE4">
        <w:rPr>
          <w:lang w:val="en-US"/>
        </w:rPr>
        <w:tab/>
      </w:r>
      <w:r w:rsidRPr="00B27419">
        <w:rPr>
          <w:lang w:val="fr-CA"/>
        </w:rPr>
        <w:t xml:space="preserve">POURVOI contre un arrêt de la Cour d’appel fédérale (les juges Evans, </w:t>
      </w:r>
      <w:proofErr w:type="spellStart"/>
      <w:r w:rsidRPr="00B27419">
        <w:rPr>
          <w:lang w:val="fr-CA"/>
        </w:rPr>
        <w:t>Strat</w:t>
      </w:r>
      <w:r w:rsidR="004A2742" w:rsidRPr="00B27419">
        <w:rPr>
          <w:lang w:val="fr-CA"/>
        </w:rPr>
        <w:t>as</w:t>
      </w:r>
      <w:proofErr w:type="spellEnd"/>
      <w:r w:rsidR="004A2742" w:rsidRPr="00B27419">
        <w:rPr>
          <w:lang w:val="fr-CA"/>
        </w:rPr>
        <w:t xml:space="preserve"> et Mainville), 2013 CAF 28, [2014] 2 R.C.F. 352, </w:t>
      </w:r>
      <w:r w:rsidR="00D04AE4">
        <w:rPr>
          <w:lang w:val="fr-CA"/>
        </w:rPr>
        <w:t>4</w:t>
      </w:r>
      <w:r w:rsidRPr="00B27419">
        <w:rPr>
          <w:lang w:val="fr-CA"/>
        </w:rPr>
        <w:t>46 N.R. 261, 360 D.L.R. (4th) 717, [2013] A.C.F. n</w:t>
      </w:r>
      <w:r w:rsidRPr="00B27419">
        <w:rPr>
          <w:vertAlign w:val="superscript"/>
          <w:lang w:val="fr-CA"/>
        </w:rPr>
        <w:t>o</w:t>
      </w:r>
      <w:r w:rsidR="00E6271F" w:rsidRPr="00B27419">
        <w:rPr>
          <w:lang w:val="fr-CA"/>
        </w:rPr>
        <w:t xml:space="preserve"> </w:t>
      </w:r>
      <w:r w:rsidRPr="00B27419">
        <w:rPr>
          <w:lang w:val="fr-CA"/>
        </w:rPr>
        <w:t xml:space="preserve">557 (QL), 2013 </w:t>
      </w:r>
      <w:proofErr w:type="spellStart"/>
      <w:r w:rsidRPr="00B27419">
        <w:rPr>
          <w:lang w:val="fr-CA"/>
        </w:rPr>
        <w:t>CarswellNat</w:t>
      </w:r>
      <w:proofErr w:type="spellEnd"/>
      <w:r w:rsidRPr="00B27419">
        <w:rPr>
          <w:lang w:val="fr-CA"/>
        </w:rPr>
        <w:t xml:space="preserve"> 6936</w:t>
      </w:r>
      <w:r w:rsidR="00B43B07" w:rsidRPr="00B27419">
        <w:rPr>
          <w:lang w:val="fr-CA"/>
        </w:rPr>
        <w:t xml:space="preserve"> (WL Can.)</w:t>
      </w:r>
      <w:r w:rsidRPr="00B27419">
        <w:rPr>
          <w:lang w:val="fr-CA"/>
        </w:rPr>
        <w:t xml:space="preserve">, qui a confirmé une décision du Tribunal de la concurrence, </w:t>
      </w:r>
      <w:r w:rsidR="00FF1FEF" w:rsidRPr="00B27419">
        <w:rPr>
          <w:lang w:val="fr-CA"/>
        </w:rPr>
        <w:t xml:space="preserve">2012 </w:t>
      </w:r>
      <w:proofErr w:type="spellStart"/>
      <w:r w:rsidR="00FF1FEF" w:rsidRPr="00B27419">
        <w:rPr>
          <w:lang w:val="fr-CA"/>
        </w:rPr>
        <w:t>Trib</w:t>
      </w:r>
      <w:proofErr w:type="spellEnd"/>
      <w:r w:rsidR="00FF1FEF" w:rsidRPr="00B27419">
        <w:rPr>
          <w:lang w:val="fr-CA"/>
        </w:rPr>
        <w:t xml:space="preserve">. </w:t>
      </w:r>
      <w:proofErr w:type="spellStart"/>
      <w:proofErr w:type="gramStart"/>
      <w:r w:rsidR="00FF1FEF" w:rsidRPr="00B27419">
        <w:rPr>
          <w:lang w:val="fr-CA"/>
        </w:rPr>
        <w:t>conc</w:t>
      </w:r>
      <w:proofErr w:type="spellEnd"/>
      <w:proofErr w:type="gramEnd"/>
      <w:r w:rsidR="00FF1FEF" w:rsidRPr="00B27419">
        <w:rPr>
          <w:lang w:val="fr-CA"/>
        </w:rPr>
        <w:t xml:space="preserve">. </w:t>
      </w:r>
      <w:proofErr w:type="gramStart"/>
      <w:r w:rsidR="00FF1FEF" w:rsidRPr="00D04AE4">
        <w:rPr>
          <w:lang w:val="en-US"/>
        </w:rPr>
        <w:t xml:space="preserve">14, </w:t>
      </w:r>
      <w:r w:rsidRPr="00D04AE4">
        <w:rPr>
          <w:lang w:val="en-US"/>
        </w:rPr>
        <w:t>2012 CACT 14 (</w:t>
      </w:r>
      <w:proofErr w:type="spellStart"/>
      <w:r w:rsidRPr="00D04AE4">
        <w:rPr>
          <w:lang w:val="en-US"/>
        </w:rPr>
        <w:t>CanLII</w:t>
      </w:r>
      <w:proofErr w:type="spellEnd"/>
      <w:r w:rsidRPr="00D04AE4">
        <w:rPr>
          <w:lang w:val="en-US"/>
        </w:rPr>
        <w:t>), [2012] D.T.C.C. n</w:t>
      </w:r>
      <w:r w:rsidRPr="00D04AE4">
        <w:rPr>
          <w:vertAlign w:val="superscript"/>
          <w:lang w:val="en-US"/>
        </w:rPr>
        <w:t>o</w:t>
      </w:r>
      <w:r w:rsidR="00E6271F" w:rsidRPr="00D04AE4">
        <w:rPr>
          <w:lang w:val="en-US"/>
        </w:rPr>
        <w:t xml:space="preserve"> </w:t>
      </w:r>
      <w:r w:rsidRPr="00D04AE4">
        <w:rPr>
          <w:lang w:val="en-US"/>
        </w:rPr>
        <w:t xml:space="preserve">14 (QL), 2012 </w:t>
      </w:r>
      <w:proofErr w:type="spellStart"/>
      <w:r w:rsidRPr="00D04AE4">
        <w:rPr>
          <w:lang w:val="en-US"/>
        </w:rPr>
        <w:t>CarswellNat</w:t>
      </w:r>
      <w:proofErr w:type="spellEnd"/>
      <w:r w:rsidRPr="00D04AE4">
        <w:rPr>
          <w:lang w:val="en-US"/>
        </w:rPr>
        <w:t xml:space="preserve"> 4409</w:t>
      </w:r>
      <w:r w:rsidR="00B43B07" w:rsidRPr="00D04AE4">
        <w:rPr>
          <w:lang w:val="en-US"/>
        </w:rPr>
        <w:t xml:space="preserve"> (WL Can.)</w:t>
      </w:r>
      <w:r w:rsidRPr="00D04AE4">
        <w:rPr>
          <w:lang w:val="en-US"/>
        </w:rPr>
        <w:t>.</w:t>
      </w:r>
      <w:proofErr w:type="gramEnd"/>
      <w:r w:rsidRPr="00D04AE4">
        <w:rPr>
          <w:lang w:val="en-US"/>
        </w:rPr>
        <w:t xml:space="preserve"> </w:t>
      </w:r>
      <w:r w:rsidRPr="00B27419">
        <w:rPr>
          <w:lang w:val="fr-CA"/>
        </w:rPr>
        <w:t xml:space="preserve">Pourvoi accueilli, la juge </w:t>
      </w:r>
      <w:proofErr w:type="spellStart"/>
      <w:r w:rsidRPr="00B27419">
        <w:rPr>
          <w:lang w:val="fr-CA"/>
        </w:rPr>
        <w:t>Karakatsanis</w:t>
      </w:r>
      <w:proofErr w:type="spellEnd"/>
      <w:r w:rsidRPr="00B27419">
        <w:rPr>
          <w:lang w:val="fr-CA"/>
        </w:rPr>
        <w:t xml:space="preserve"> est dissidente.</w:t>
      </w:r>
    </w:p>
    <w:p w:rsidR="003536D5" w:rsidRPr="00B27419" w:rsidRDefault="003536D5" w:rsidP="00B27419">
      <w:pPr>
        <w:pStyle w:val="SCCNormalDoubleSpacing"/>
        <w:spacing w:before="480" w:after="480"/>
        <w:rPr>
          <w:lang w:val="fr-CA"/>
        </w:rPr>
      </w:pPr>
      <w:r w:rsidRPr="00B27419">
        <w:rPr>
          <w:rStyle w:val="SCCCounselNameChar"/>
          <w:lang w:val="fr-CA"/>
        </w:rPr>
        <w:lastRenderedPageBreak/>
        <w:tab/>
        <w:t>John</w:t>
      </w:r>
      <w:r w:rsidR="00E6271F" w:rsidRPr="00B27419">
        <w:rPr>
          <w:rStyle w:val="SCCCounselNameChar"/>
          <w:lang w:val="fr-CA"/>
        </w:rPr>
        <w:t xml:space="preserve"> </w:t>
      </w:r>
      <w:r w:rsidRPr="00B27419">
        <w:rPr>
          <w:rStyle w:val="SCCCounselNameChar"/>
          <w:lang w:val="fr-CA"/>
        </w:rPr>
        <w:t xml:space="preserve">B. </w:t>
      </w:r>
      <w:proofErr w:type="spellStart"/>
      <w:r w:rsidRPr="00B27419">
        <w:rPr>
          <w:rStyle w:val="SCCCounselNameChar"/>
          <w:lang w:val="fr-CA"/>
        </w:rPr>
        <w:t>Laskin</w:t>
      </w:r>
      <w:proofErr w:type="spellEnd"/>
      <w:r w:rsidRPr="00B27419">
        <w:rPr>
          <w:rStyle w:val="SCCCounselSeparatorChar"/>
          <w:lang w:val="fr-CA"/>
        </w:rPr>
        <w:t xml:space="preserve">, </w:t>
      </w:r>
      <w:r w:rsidRPr="00B27419">
        <w:rPr>
          <w:rStyle w:val="SCCCounselNameChar"/>
          <w:lang w:val="fr-CA"/>
        </w:rPr>
        <w:t>Linda</w:t>
      </w:r>
      <w:r w:rsidR="00E6271F" w:rsidRPr="00B27419">
        <w:rPr>
          <w:rStyle w:val="SCCCounselNameChar"/>
          <w:lang w:val="fr-CA"/>
        </w:rPr>
        <w:t xml:space="preserve"> </w:t>
      </w:r>
      <w:r w:rsidRPr="00B27419">
        <w:rPr>
          <w:rStyle w:val="SCCCounselNameChar"/>
          <w:lang w:val="fr-CA"/>
        </w:rPr>
        <w:t xml:space="preserve">M. </w:t>
      </w:r>
      <w:proofErr w:type="spellStart"/>
      <w:r w:rsidRPr="00B27419">
        <w:rPr>
          <w:rStyle w:val="SCCCounselNameChar"/>
          <w:lang w:val="fr-CA"/>
        </w:rPr>
        <w:t>Plumpton</w:t>
      </w:r>
      <w:proofErr w:type="spellEnd"/>
      <w:r w:rsidRPr="00B27419">
        <w:rPr>
          <w:rStyle w:val="SCCCounselNameChar"/>
          <w:lang w:val="fr-CA"/>
        </w:rPr>
        <w:t>, Dany</w:t>
      </w:r>
      <w:r w:rsidR="00E6271F" w:rsidRPr="00B27419">
        <w:rPr>
          <w:rStyle w:val="SCCCounselNameChar"/>
          <w:lang w:val="fr-CA"/>
        </w:rPr>
        <w:t xml:space="preserve"> </w:t>
      </w:r>
      <w:r w:rsidRPr="00B27419">
        <w:rPr>
          <w:rStyle w:val="SCCCounselNameChar"/>
          <w:lang w:val="fr-CA"/>
        </w:rPr>
        <w:t xml:space="preserve">H. </w:t>
      </w:r>
      <w:proofErr w:type="spellStart"/>
      <w:r w:rsidRPr="00B27419">
        <w:rPr>
          <w:rStyle w:val="SCCCounselNameChar"/>
          <w:lang w:val="fr-CA"/>
        </w:rPr>
        <w:t>Assaf</w:t>
      </w:r>
      <w:proofErr w:type="spellEnd"/>
      <w:r w:rsidRPr="00B27419">
        <w:rPr>
          <w:rStyle w:val="SCCCounselSeparatorChar"/>
          <w:lang w:val="fr-CA"/>
        </w:rPr>
        <w:t xml:space="preserve"> et </w:t>
      </w:r>
      <w:r w:rsidRPr="00B27419">
        <w:rPr>
          <w:rStyle w:val="SCCCounselNameChar"/>
          <w:lang w:val="fr-CA"/>
        </w:rPr>
        <w:t>Crawford</w:t>
      </w:r>
      <w:r w:rsidR="00E6271F" w:rsidRPr="00B27419">
        <w:rPr>
          <w:rStyle w:val="SCCCounselNameChar"/>
          <w:lang w:val="fr-CA"/>
        </w:rPr>
        <w:t xml:space="preserve"> </w:t>
      </w:r>
      <w:r w:rsidRPr="00B27419">
        <w:rPr>
          <w:rStyle w:val="SCCCounselNameChar"/>
          <w:lang w:val="fr-CA"/>
        </w:rPr>
        <w:t>G. Smith</w:t>
      </w:r>
      <w:r w:rsidRPr="00B27419">
        <w:rPr>
          <w:rStyle w:val="SCCCounselPartyRoleChar"/>
          <w:lang w:val="fr-CA"/>
        </w:rPr>
        <w:t>, pour les appelantes.</w:t>
      </w:r>
    </w:p>
    <w:p w:rsidR="003536D5" w:rsidRPr="00B27419" w:rsidRDefault="003536D5" w:rsidP="00B27419">
      <w:pPr>
        <w:pStyle w:val="SCCNormalDoubleSpacing"/>
        <w:spacing w:before="480" w:after="480"/>
        <w:rPr>
          <w:rStyle w:val="SCCCounselPartyRoleChar"/>
          <w:lang w:val="fr-CA"/>
        </w:rPr>
      </w:pPr>
      <w:r w:rsidRPr="00B27419">
        <w:rPr>
          <w:rStyle w:val="SCCCounselNameChar"/>
          <w:lang w:val="fr-CA"/>
        </w:rPr>
        <w:tab/>
        <w:t xml:space="preserve">Christopher </w:t>
      </w:r>
      <w:proofErr w:type="spellStart"/>
      <w:r w:rsidRPr="00B27419">
        <w:rPr>
          <w:rStyle w:val="SCCCounselNameChar"/>
          <w:lang w:val="fr-CA"/>
        </w:rPr>
        <w:t>Rupar</w:t>
      </w:r>
      <w:proofErr w:type="spellEnd"/>
      <w:r w:rsidRPr="00B27419">
        <w:rPr>
          <w:rStyle w:val="SCCCounselSeparatorChar"/>
          <w:lang w:val="fr-CA"/>
        </w:rPr>
        <w:t xml:space="preserve">, </w:t>
      </w:r>
      <w:r w:rsidRPr="00B27419">
        <w:rPr>
          <w:rStyle w:val="SCCCounselNameChar"/>
          <w:lang w:val="fr-CA"/>
        </w:rPr>
        <w:t xml:space="preserve">John </w:t>
      </w:r>
      <w:proofErr w:type="spellStart"/>
      <w:r w:rsidRPr="00B27419">
        <w:rPr>
          <w:rStyle w:val="SCCCounselNameChar"/>
          <w:lang w:val="fr-CA"/>
        </w:rPr>
        <w:t>Tyhurst</w:t>
      </w:r>
      <w:proofErr w:type="spellEnd"/>
      <w:r w:rsidRPr="00B27419">
        <w:rPr>
          <w:rStyle w:val="SCCCounselSeparatorChar"/>
          <w:lang w:val="fr-CA"/>
        </w:rPr>
        <w:t xml:space="preserve"> et </w:t>
      </w:r>
      <w:r w:rsidRPr="00B27419">
        <w:rPr>
          <w:rStyle w:val="SCCCounselNameChar"/>
          <w:lang w:val="fr-CA"/>
        </w:rPr>
        <w:t>Jonathan Hood</w:t>
      </w:r>
      <w:r w:rsidRPr="00B27419">
        <w:rPr>
          <w:rStyle w:val="SCCCounselPartyRoleChar"/>
          <w:lang w:val="fr-CA"/>
        </w:rPr>
        <w:t>, pour l’intimé.</w:t>
      </w:r>
    </w:p>
    <w:p w:rsidR="00832422" w:rsidRPr="00B27419" w:rsidRDefault="00832422" w:rsidP="00B27419">
      <w:pPr>
        <w:pStyle w:val="SCCNormalDoubleSpacing"/>
        <w:spacing w:before="480" w:after="480"/>
        <w:rPr>
          <w:lang w:val="fr-CA"/>
        </w:rPr>
      </w:pPr>
      <w:r w:rsidRPr="00B27419">
        <w:rPr>
          <w:rStyle w:val="SCCCounselPartyRoleChar"/>
          <w:lang w:val="fr-CA"/>
        </w:rPr>
        <w:tab/>
        <w:t xml:space="preserve">Version française du jugement de la juge en chef </w:t>
      </w:r>
      <w:proofErr w:type="spellStart"/>
      <w:r w:rsidRPr="00B27419">
        <w:rPr>
          <w:rStyle w:val="SCCCounselPartyRoleChar"/>
          <w:lang w:val="fr-CA"/>
        </w:rPr>
        <w:t>McLachlin</w:t>
      </w:r>
      <w:proofErr w:type="spellEnd"/>
      <w:r w:rsidRPr="00B27419">
        <w:rPr>
          <w:rStyle w:val="SCCCounselPartyRoleChar"/>
          <w:lang w:val="fr-CA"/>
        </w:rPr>
        <w:t xml:space="preserve"> et des juges </w:t>
      </w:r>
      <w:proofErr w:type="spellStart"/>
      <w:r w:rsidRPr="00B27419">
        <w:rPr>
          <w:rStyle w:val="SCCCounselPartyRoleChar"/>
          <w:lang w:val="fr-CA"/>
        </w:rPr>
        <w:t>Rothstein</w:t>
      </w:r>
      <w:proofErr w:type="spellEnd"/>
      <w:r w:rsidRPr="00B27419">
        <w:rPr>
          <w:rStyle w:val="SCCCounselPartyRoleChar"/>
          <w:lang w:val="fr-CA"/>
        </w:rPr>
        <w:t xml:space="preserve">, Cromwell, </w:t>
      </w:r>
      <w:proofErr w:type="spellStart"/>
      <w:r w:rsidRPr="00B27419">
        <w:rPr>
          <w:rStyle w:val="SCCCounselPartyRoleChar"/>
          <w:lang w:val="fr-CA"/>
        </w:rPr>
        <w:t>Moldaver</w:t>
      </w:r>
      <w:proofErr w:type="spellEnd"/>
      <w:r w:rsidRPr="00B27419">
        <w:rPr>
          <w:rStyle w:val="SCCCounselPartyRoleChar"/>
          <w:lang w:val="fr-CA"/>
        </w:rPr>
        <w:t xml:space="preserve"> et Wagner rendu par</w:t>
      </w:r>
    </w:p>
    <w:p w:rsidR="0039493A" w:rsidRPr="00B27419" w:rsidRDefault="0039493A" w:rsidP="00B27419">
      <w:pPr>
        <w:pStyle w:val="JudgeJuge"/>
        <w:spacing w:before="480"/>
        <w:outlineLvl w:val="0"/>
        <w:rPr>
          <w:lang w:val="fr-CA"/>
        </w:rPr>
      </w:pPr>
      <w:r w:rsidRPr="00B27419">
        <w:rPr>
          <w:lang w:val="fr-CA"/>
        </w:rPr>
        <w:tab/>
        <w:t xml:space="preserve">Le juge </w:t>
      </w:r>
      <w:proofErr w:type="spellStart"/>
      <w:r w:rsidRPr="00B27419">
        <w:rPr>
          <w:lang w:val="fr-CA"/>
        </w:rPr>
        <w:t>Rothstein</w:t>
      </w:r>
      <w:proofErr w:type="spellEnd"/>
      <w:r w:rsidRPr="00B27419">
        <w:rPr>
          <w:lang w:val="fr-CA"/>
        </w:rPr>
        <w:t xml:space="preserve"> —</w:t>
      </w:r>
    </w:p>
    <w:tbl>
      <w:tblPr>
        <w:tblStyle w:val="TableGrid1"/>
        <w:tblW w:w="83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889"/>
        <w:gridCol w:w="571"/>
      </w:tblGrid>
      <w:tr w:rsidR="00D56082" w:rsidRPr="00B27419" w:rsidTr="00D50836">
        <w:tc>
          <w:tcPr>
            <w:tcW w:w="8370" w:type="dxa"/>
            <w:gridSpan w:val="2"/>
          </w:tcPr>
          <w:p w:rsidR="00D56082" w:rsidRPr="00B27419" w:rsidRDefault="00D56082" w:rsidP="00B27419">
            <w:pPr>
              <w:tabs>
                <w:tab w:val="center" w:pos="4050"/>
              </w:tabs>
              <w:jc w:val="center"/>
              <w:rPr>
                <w:b/>
                <w:smallCaps/>
                <w:lang w:val="fr-CA"/>
              </w:rPr>
            </w:pPr>
            <w:r w:rsidRPr="00B27419">
              <w:rPr>
                <w:b/>
                <w:smallCaps/>
                <w:lang w:val="fr-CA"/>
              </w:rPr>
              <w:t>Table des matières</w:t>
            </w:r>
          </w:p>
        </w:tc>
      </w:tr>
      <w:tr w:rsidR="00D56082" w:rsidRPr="00B27419" w:rsidTr="00D50836">
        <w:tc>
          <w:tcPr>
            <w:tcW w:w="8370" w:type="dxa"/>
            <w:gridSpan w:val="2"/>
          </w:tcPr>
          <w:p w:rsidR="00D56082" w:rsidRPr="00B27419" w:rsidRDefault="00D56082" w:rsidP="00B27419">
            <w:pPr>
              <w:tabs>
                <w:tab w:val="right" w:pos="8460"/>
              </w:tabs>
              <w:rPr>
                <w:lang w:val="fr-CA"/>
              </w:rPr>
            </w:pPr>
            <w:r w:rsidRPr="00B27419">
              <w:rPr>
                <w:lang w:val="fr-CA"/>
              </w:rPr>
              <w:tab/>
              <w:t>Paragraphe</w:t>
            </w:r>
          </w:p>
        </w:tc>
      </w:tr>
      <w:tr w:rsidR="00D56082" w:rsidRPr="00B27419" w:rsidTr="00D50836">
        <w:tc>
          <w:tcPr>
            <w:tcW w:w="7650" w:type="dxa"/>
          </w:tcPr>
          <w:p w:rsidR="00D56082" w:rsidRPr="00B27419" w:rsidRDefault="005D357D" w:rsidP="00B27419">
            <w:pPr>
              <w:pStyle w:val="TOC1"/>
              <w:rPr>
                <w:sz w:val="22"/>
                <w:lang w:val="fr-CA" w:eastAsia="en-US"/>
              </w:rPr>
            </w:pPr>
            <w:r w:rsidRPr="005D357D">
              <w:rPr>
                <w:lang w:val="fr-CA"/>
              </w:rPr>
              <w:fldChar w:fldCharType="begin"/>
            </w:r>
            <w:r w:rsidR="00D56082" w:rsidRPr="00B27419">
              <w:rPr>
                <w:lang w:val="fr-CA"/>
              </w:rPr>
              <w:instrText xml:space="preserve"> TOC \h \z \t "Title 1 Level / Titre 1 Niveau - Alt L,1,Title 2 Level / Titre 2 Niveau,2,Title 3 Level / Titre 3 Niveau,3,Title 4 Level / Titre 4 Niveau,4,Title 5 Level / Titre 5 Niveau,5,Title / Titre - Alt T,1" </w:instrText>
            </w:r>
            <w:r w:rsidRPr="005D357D">
              <w:rPr>
                <w:lang w:val="fr-CA"/>
              </w:rPr>
              <w:fldChar w:fldCharType="separate"/>
            </w:r>
            <w:r w:rsidR="00D56082" w:rsidRPr="00B27419">
              <w:rPr>
                <w:lang w:val="fr-CA"/>
              </w:rPr>
              <w:t>I.</w:t>
            </w:r>
            <w:r w:rsidR="00D56082" w:rsidRPr="00B27419">
              <w:rPr>
                <w:sz w:val="22"/>
                <w:lang w:val="fr-CA" w:eastAsia="en-US"/>
              </w:rPr>
              <w:tab/>
            </w:r>
            <w:r w:rsidR="00D56082" w:rsidRPr="00B27419">
              <w:rPr>
                <w:u w:val="single"/>
                <w:lang w:val="fr-CA"/>
              </w:rPr>
              <w:t>Aperçu</w:t>
            </w:r>
            <w:r w:rsidR="00D56082" w:rsidRPr="00B27419">
              <w:rPr>
                <w:webHidden/>
                <w:lang w:val="fr-CA"/>
              </w:rPr>
              <w:tab/>
              <w:t>3</w:t>
            </w:r>
          </w:p>
          <w:p w:rsidR="00D56082" w:rsidRPr="00B27419" w:rsidRDefault="00D56082" w:rsidP="00B27419">
            <w:pPr>
              <w:pStyle w:val="TOC1"/>
              <w:rPr>
                <w:sz w:val="22"/>
                <w:lang w:val="fr-CA" w:eastAsia="en-US"/>
              </w:rPr>
            </w:pPr>
            <w:r w:rsidRPr="00B27419">
              <w:rPr>
                <w:lang w:val="fr-CA"/>
              </w:rPr>
              <w:t>II.</w:t>
            </w:r>
            <w:r w:rsidRPr="00B27419">
              <w:rPr>
                <w:sz w:val="22"/>
                <w:lang w:val="fr-CA" w:eastAsia="en-US"/>
              </w:rPr>
              <w:tab/>
            </w:r>
            <w:r w:rsidRPr="00B27419">
              <w:rPr>
                <w:u w:val="single"/>
                <w:lang w:val="fr-CA"/>
              </w:rPr>
              <w:t>Faits</w:t>
            </w:r>
            <w:r w:rsidRPr="00B27419">
              <w:rPr>
                <w:webHidden/>
                <w:lang w:val="fr-CA"/>
              </w:rPr>
              <w:tab/>
              <w:t>4</w:t>
            </w:r>
          </w:p>
          <w:p w:rsidR="00D56082" w:rsidRPr="00B27419" w:rsidRDefault="00D56082" w:rsidP="00B27419">
            <w:pPr>
              <w:pStyle w:val="TOC1"/>
              <w:rPr>
                <w:sz w:val="22"/>
                <w:lang w:val="fr-CA" w:eastAsia="en-US"/>
              </w:rPr>
            </w:pPr>
            <w:r w:rsidRPr="00B27419">
              <w:rPr>
                <w:lang w:val="fr-CA"/>
              </w:rPr>
              <w:t>III.</w:t>
            </w:r>
            <w:r w:rsidRPr="00B27419">
              <w:rPr>
                <w:sz w:val="22"/>
                <w:lang w:val="fr-CA" w:eastAsia="en-US"/>
              </w:rPr>
              <w:tab/>
            </w:r>
            <w:r w:rsidRPr="00B27419">
              <w:rPr>
                <w:u w:val="single"/>
                <w:lang w:val="fr-CA"/>
              </w:rPr>
              <w:t>Dispositions législatives</w:t>
            </w:r>
            <w:r w:rsidRPr="00B27419">
              <w:rPr>
                <w:webHidden/>
                <w:lang w:val="fr-CA"/>
              </w:rPr>
              <w:tab/>
              <w:t>6</w:t>
            </w:r>
          </w:p>
          <w:p w:rsidR="00D56082" w:rsidRPr="00B27419" w:rsidRDefault="00D56082" w:rsidP="00B27419">
            <w:pPr>
              <w:pStyle w:val="TOC1"/>
              <w:rPr>
                <w:sz w:val="22"/>
                <w:lang w:val="fr-CA" w:eastAsia="en-US"/>
              </w:rPr>
            </w:pPr>
            <w:r w:rsidRPr="00B27419">
              <w:rPr>
                <w:lang w:val="fr-CA"/>
              </w:rPr>
              <w:t>IV.</w:t>
            </w:r>
            <w:r w:rsidRPr="00B27419">
              <w:rPr>
                <w:sz w:val="22"/>
                <w:lang w:val="fr-CA" w:eastAsia="en-US"/>
              </w:rPr>
              <w:tab/>
            </w:r>
            <w:r w:rsidRPr="00B27419">
              <w:rPr>
                <w:u w:val="single"/>
                <w:lang w:val="fr-CA"/>
              </w:rPr>
              <w:t>Historique judiciaire</w:t>
            </w:r>
            <w:r w:rsidRPr="00B27419">
              <w:rPr>
                <w:webHidden/>
                <w:lang w:val="fr-CA"/>
              </w:rPr>
              <w:tab/>
              <w:t>6</w:t>
            </w:r>
          </w:p>
          <w:p w:rsidR="00D56082" w:rsidRPr="00B27419" w:rsidRDefault="00D56082" w:rsidP="00B27419">
            <w:pPr>
              <w:pStyle w:val="TOC2"/>
              <w:rPr>
                <w:rFonts w:cs="Times New Roman"/>
                <w:i w:val="0"/>
                <w:sz w:val="22"/>
                <w:lang w:val="fr-CA" w:eastAsia="en-US"/>
              </w:rPr>
            </w:pPr>
            <w:r w:rsidRPr="00B27419">
              <w:rPr>
                <w:rFonts w:cs="Times New Roman"/>
                <w:i w:val="0"/>
                <w:lang w:val="fr-CA"/>
              </w:rPr>
              <w:t>A.</w:t>
            </w:r>
            <w:r w:rsidRPr="00B27419">
              <w:rPr>
                <w:rFonts w:cs="Times New Roman"/>
                <w:i w:val="0"/>
                <w:sz w:val="22"/>
                <w:lang w:val="fr-CA" w:eastAsia="en-US"/>
              </w:rPr>
              <w:tab/>
            </w:r>
            <w:r w:rsidRPr="00B27419">
              <w:rPr>
                <w:rFonts w:cs="Times New Roman"/>
                <w:lang w:val="fr-CA"/>
              </w:rPr>
              <w:t>Tribunal de la concurrence, 2012 CACT 14 (CanLII)</w:t>
            </w:r>
            <w:r w:rsidRPr="00B27419">
              <w:rPr>
                <w:rFonts w:cs="Times New Roman"/>
                <w:webHidden/>
                <w:lang w:val="fr-CA"/>
              </w:rPr>
              <w:tab/>
              <w:t>7</w:t>
            </w:r>
          </w:p>
          <w:p w:rsidR="00D56082" w:rsidRPr="00B27419" w:rsidRDefault="00D56082" w:rsidP="00B27419">
            <w:pPr>
              <w:pStyle w:val="TOC3"/>
              <w:rPr>
                <w:rFonts w:eastAsiaTheme="minorEastAsia"/>
                <w:sz w:val="22"/>
                <w:szCs w:val="22"/>
                <w:u w:val="none"/>
                <w:lang w:val="fr-CA" w:eastAsia="en-US"/>
              </w:rPr>
            </w:pPr>
            <w:r w:rsidRPr="00B27419">
              <w:rPr>
                <w:u w:val="none"/>
                <w:lang w:val="fr-CA"/>
              </w:rPr>
              <w:t>(1)</w:t>
            </w:r>
            <w:r w:rsidRPr="00B27419">
              <w:rPr>
                <w:rFonts w:eastAsiaTheme="minorEastAsia"/>
                <w:sz w:val="22"/>
                <w:szCs w:val="22"/>
                <w:u w:val="none"/>
                <w:lang w:val="fr-CA" w:eastAsia="en-US"/>
              </w:rPr>
              <w:tab/>
            </w:r>
            <w:r w:rsidRPr="00B27419">
              <w:rPr>
                <w:lang w:val="fr-CA"/>
              </w:rPr>
              <w:t>Article</w:t>
            </w:r>
            <w:r w:rsidR="00E6271F" w:rsidRPr="00B27419">
              <w:rPr>
                <w:lang w:val="fr-CA"/>
              </w:rPr>
              <w:t xml:space="preserve"> </w:t>
            </w:r>
            <w:r w:rsidRPr="00B27419">
              <w:rPr>
                <w:lang w:val="fr-CA"/>
              </w:rPr>
              <w:t>92</w:t>
            </w:r>
            <w:r w:rsidRPr="00B27419">
              <w:rPr>
                <w:webHidden/>
                <w:u w:val="none"/>
                <w:lang w:val="fr-CA"/>
              </w:rPr>
              <w:tab/>
            </w:r>
            <w:r w:rsidRPr="00B27419">
              <w:rPr>
                <w:webHidden/>
                <w:lang w:val="fr-CA"/>
              </w:rPr>
              <w:t>7</w:t>
            </w:r>
          </w:p>
          <w:p w:rsidR="00D56082" w:rsidRPr="00B27419" w:rsidRDefault="00D56082" w:rsidP="00B27419">
            <w:pPr>
              <w:pStyle w:val="TOC3"/>
              <w:rPr>
                <w:rFonts w:eastAsiaTheme="minorEastAsia"/>
                <w:sz w:val="22"/>
                <w:szCs w:val="22"/>
                <w:u w:val="none"/>
                <w:lang w:val="fr-CA" w:eastAsia="en-US"/>
              </w:rPr>
            </w:pPr>
            <w:r w:rsidRPr="00B27419">
              <w:rPr>
                <w:u w:val="none"/>
                <w:lang w:val="fr-CA"/>
              </w:rPr>
              <w:t>(2)</w:t>
            </w:r>
            <w:r w:rsidRPr="00B27419">
              <w:rPr>
                <w:rFonts w:eastAsiaTheme="minorEastAsia"/>
                <w:sz w:val="22"/>
                <w:szCs w:val="22"/>
                <w:u w:val="none"/>
                <w:lang w:val="fr-CA" w:eastAsia="en-US"/>
              </w:rPr>
              <w:tab/>
            </w:r>
            <w:r w:rsidRPr="00B27419">
              <w:rPr>
                <w:lang w:val="fr-CA"/>
              </w:rPr>
              <w:t>Article</w:t>
            </w:r>
            <w:r w:rsidR="00E6271F" w:rsidRPr="00B27419">
              <w:rPr>
                <w:lang w:val="fr-CA"/>
              </w:rPr>
              <w:t xml:space="preserve"> </w:t>
            </w:r>
            <w:r w:rsidRPr="00B27419">
              <w:rPr>
                <w:lang w:val="fr-CA"/>
              </w:rPr>
              <w:t>96</w:t>
            </w:r>
            <w:r w:rsidRPr="00B27419">
              <w:rPr>
                <w:webHidden/>
                <w:u w:val="none"/>
                <w:lang w:val="fr-CA"/>
              </w:rPr>
              <w:tab/>
              <w:t>9</w:t>
            </w:r>
          </w:p>
          <w:p w:rsidR="00D56082" w:rsidRPr="00B27419" w:rsidRDefault="00D56082" w:rsidP="00B27419">
            <w:pPr>
              <w:pStyle w:val="TOC2"/>
              <w:rPr>
                <w:rFonts w:cs="Times New Roman"/>
                <w:i w:val="0"/>
                <w:sz w:val="22"/>
                <w:lang w:val="fr-CA" w:eastAsia="en-US"/>
              </w:rPr>
            </w:pPr>
            <w:r w:rsidRPr="00B27419">
              <w:rPr>
                <w:rFonts w:cs="Times New Roman"/>
                <w:i w:val="0"/>
                <w:lang w:val="fr-CA"/>
              </w:rPr>
              <w:t>B.</w:t>
            </w:r>
            <w:r w:rsidRPr="00B27419">
              <w:rPr>
                <w:rFonts w:cs="Times New Roman"/>
                <w:i w:val="0"/>
                <w:sz w:val="22"/>
                <w:lang w:val="fr-CA" w:eastAsia="en-US"/>
              </w:rPr>
              <w:tab/>
            </w:r>
            <w:r w:rsidRPr="00B27419">
              <w:rPr>
                <w:rFonts w:cs="Times New Roman"/>
                <w:lang w:val="fr-CA"/>
              </w:rPr>
              <w:t>Cour d’appel fédérale, 2013 CAF 28</w:t>
            </w:r>
            <w:r w:rsidR="00D04AE4">
              <w:rPr>
                <w:rFonts w:cs="Times New Roman"/>
                <w:lang w:val="fr-CA"/>
              </w:rPr>
              <w:t>, [2014] 2 R.C.F. 352</w:t>
            </w:r>
            <w:r w:rsidRPr="00B27419">
              <w:rPr>
                <w:rFonts w:cs="Times New Roman"/>
                <w:webHidden/>
                <w:lang w:val="fr-CA"/>
              </w:rPr>
              <w:tab/>
              <w:t>12</w:t>
            </w:r>
          </w:p>
          <w:p w:rsidR="00D56082" w:rsidRPr="00B27419" w:rsidRDefault="00D56082" w:rsidP="00B27419">
            <w:pPr>
              <w:pStyle w:val="TOC3"/>
              <w:rPr>
                <w:rFonts w:eastAsiaTheme="minorEastAsia"/>
                <w:sz w:val="22"/>
                <w:szCs w:val="22"/>
                <w:u w:val="none"/>
                <w:lang w:val="fr-CA" w:eastAsia="en-US"/>
              </w:rPr>
            </w:pPr>
            <w:r w:rsidRPr="00B27419">
              <w:rPr>
                <w:u w:val="none"/>
                <w:lang w:val="fr-CA"/>
              </w:rPr>
              <w:t>(1)</w:t>
            </w:r>
            <w:r w:rsidRPr="00B27419">
              <w:rPr>
                <w:rFonts w:eastAsiaTheme="minorEastAsia"/>
                <w:sz w:val="22"/>
                <w:szCs w:val="22"/>
                <w:u w:val="none"/>
                <w:lang w:val="fr-CA" w:eastAsia="en-US"/>
              </w:rPr>
              <w:tab/>
            </w:r>
            <w:r w:rsidRPr="00B27419">
              <w:rPr>
                <w:lang w:val="fr-CA"/>
              </w:rPr>
              <w:t>Article</w:t>
            </w:r>
            <w:r w:rsidR="00E6271F" w:rsidRPr="00B27419">
              <w:rPr>
                <w:lang w:val="fr-CA"/>
              </w:rPr>
              <w:t xml:space="preserve"> </w:t>
            </w:r>
            <w:r w:rsidRPr="00B27419">
              <w:rPr>
                <w:lang w:val="fr-CA"/>
              </w:rPr>
              <w:t>92</w:t>
            </w:r>
            <w:r w:rsidRPr="00B27419">
              <w:rPr>
                <w:webHidden/>
                <w:u w:val="none"/>
                <w:lang w:val="fr-CA"/>
              </w:rPr>
              <w:tab/>
              <w:t>12</w:t>
            </w:r>
          </w:p>
          <w:p w:rsidR="00D56082" w:rsidRPr="00B27419" w:rsidRDefault="00D56082" w:rsidP="00B27419">
            <w:pPr>
              <w:pStyle w:val="TOC3"/>
              <w:rPr>
                <w:rFonts w:eastAsiaTheme="minorEastAsia"/>
                <w:sz w:val="22"/>
                <w:szCs w:val="22"/>
                <w:u w:val="none"/>
                <w:lang w:val="fr-CA" w:eastAsia="en-US"/>
              </w:rPr>
            </w:pPr>
            <w:r w:rsidRPr="00B27419">
              <w:rPr>
                <w:u w:val="none"/>
                <w:lang w:val="fr-CA"/>
              </w:rPr>
              <w:t>(2)</w:t>
            </w:r>
            <w:r w:rsidRPr="00B27419">
              <w:rPr>
                <w:rFonts w:eastAsiaTheme="minorEastAsia"/>
                <w:sz w:val="22"/>
                <w:szCs w:val="22"/>
                <w:u w:val="none"/>
                <w:lang w:val="fr-CA" w:eastAsia="en-US"/>
              </w:rPr>
              <w:tab/>
            </w:r>
            <w:r w:rsidRPr="00B27419">
              <w:rPr>
                <w:lang w:val="fr-CA"/>
              </w:rPr>
              <w:t>Article</w:t>
            </w:r>
            <w:r w:rsidR="00E6271F" w:rsidRPr="00B27419">
              <w:rPr>
                <w:lang w:val="fr-CA"/>
              </w:rPr>
              <w:t xml:space="preserve"> </w:t>
            </w:r>
            <w:r w:rsidRPr="00B27419">
              <w:rPr>
                <w:lang w:val="fr-CA"/>
              </w:rPr>
              <w:t>96</w:t>
            </w:r>
            <w:r w:rsidRPr="00B27419">
              <w:rPr>
                <w:webHidden/>
                <w:u w:val="none"/>
                <w:lang w:val="fr-CA"/>
              </w:rPr>
              <w:tab/>
              <w:t>13</w:t>
            </w:r>
          </w:p>
          <w:p w:rsidR="00D56082" w:rsidRPr="00B27419" w:rsidRDefault="00D56082" w:rsidP="00B27419">
            <w:pPr>
              <w:pStyle w:val="TOC1"/>
              <w:rPr>
                <w:sz w:val="22"/>
                <w:lang w:val="fr-CA" w:eastAsia="en-US"/>
              </w:rPr>
            </w:pPr>
            <w:r w:rsidRPr="00B27419">
              <w:rPr>
                <w:lang w:val="fr-CA"/>
              </w:rPr>
              <w:t>V.</w:t>
            </w:r>
            <w:r w:rsidRPr="00B27419">
              <w:rPr>
                <w:sz w:val="22"/>
                <w:lang w:val="fr-CA" w:eastAsia="en-US"/>
              </w:rPr>
              <w:tab/>
            </w:r>
            <w:r w:rsidRPr="00B27419">
              <w:rPr>
                <w:u w:val="single"/>
                <w:lang w:val="fr-CA"/>
              </w:rPr>
              <w:t>Questions en litige</w:t>
            </w:r>
            <w:r w:rsidRPr="00B27419">
              <w:rPr>
                <w:webHidden/>
                <w:lang w:val="fr-CA"/>
              </w:rPr>
              <w:tab/>
              <w:t>15</w:t>
            </w:r>
          </w:p>
          <w:p w:rsidR="00D56082" w:rsidRPr="00B27419" w:rsidRDefault="00D56082" w:rsidP="00B27419">
            <w:pPr>
              <w:pStyle w:val="TOC1"/>
              <w:rPr>
                <w:sz w:val="22"/>
                <w:lang w:val="fr-CA" w:eastAsia="en-US"/>
              </w:rPr>
            </w:pPr>
            <w:r w:rsidRPr="00B27419">
              <w:rPr>
                <w:lang w:val="fr-CA"/>
              </w:rPr>
              <w:t>VI.</w:t>
            </w:r>
            <w:r w:rsidRPr="00B27419">
              <w:rPr>
                <w:sz w:val="22"/>
                <w:lang w:val="fr-CA" w:eastAsia="en-US"/>
              </w:rPr>
              <w:tab/>
            </w:r>
            <w:r w:rsidRPr="00B27419">
              <w:rPr>
                <w:u w:val="single"/>
                <w:lang w:val="fr-CA"/>
              </w:rPr>
              <w:t>Analyse</w:t>
            </w:r>
            <w:r w:rsidRPr="00B27419">
              <w:rPr>
                <w:webHidden/>
                <w:lang w:val="fr-CA"/>
              </w:rPr>
              <w:tab/>
              <w:t>16</w:t>
            </w:r>
          </w:p>
          <w:p w:rsidR="00D56082" w:rsidRPr="00B27419" w:rsidRDefault="00D56082" w:rsidP="00B27419">
            <w:pPr>
              <w:pStyle w:val="TOC2"/>
              <w:rPr>
                <w:rFonts w:cs="Times New Roman"/>
                <w:i w:val="0"/>
                <w:sz w:val="22"/>
                <w:lang w:val="fr-CA" w:eastAsia="en-US"/>
              </w:rPr>
            </w:pPr>
            <w:r w:rsidRPr="00B27419">
              <w:rPr>
                <w:rFonts w:cs="Times New Roman"/>
                <w:i w:val="0"/>
                <w:lang w:val="fr-CA"/>
              </w:rPr>
              <w:t>A.</w:t>
            </w:r>
            <w:r w:rsidRPr="00B27419">
              <w:rPr>
                <w:rFonts w:cs="Times New Roman"/>
                <w:i w:val="0"/>
                <w:sz w:val="22"/>
                <w:lang w:val="fr-CA" w:eastAsia="en-US"/>
              </w:rPr>
              <w:tab/>
            </w:r>
            <w:r w:rsidRPr="00B27419">
              <w:rPr>
                <w:rFonts w:cs="Times New Roman"/>
                <w:lang w:val="fr-CA"/>
              </w:rPr>
              <w:t>Norme de contrôle</w:t>
            </w:r>
            <w:r w:rsidRPr="00B27419">
              <w:rPr>
                <w:rFonts w:cs="Times New Roman"/>
                <w:webHidden/>
                <w:lang w:val="fr-CA"/>
              </w:rPr>
              <w:tab/>
              <w:t>16</w:t>
            </w:r>
          </w:p>
          <w:p w:rsidR="00D56082" w:rsidRPr="00B27419" w:rsidRDefault="00D56082" w:rsidP="00B27419">
            <w:pPr>
              <w:pStyle w:val="TOC2"/>
              <w:rPr>
                <w:rFonts w:cs="Times New Roman"/>
                <w:i w:val="0"/>
                <w:sz w:val="22"/>
                <w:lang w:val="fr-CA" w:eastAsia="en-US"/>
              </w:rPr>
            </w:pPr>
            <w:r w:rsidRPr="00B27419">
              <w:rPr>
                <w:rFonts w:cs="Times New Roman"/>
                <w:i w:val="0"/>
                <w:lang w:val="fr-CA"/>
              </w:rPr>
              <w:t>B.</w:t>
            </w:r>
            <w:r w:rsidRPr="00B27419">
              <w:rPr>
                <w:rFonts w:cs="Times New Roman"/>
                <w:i w:val="0"/>
                <w:sz w:val="22"/>
                <w:lang w:val="fr-CA" w:eastAsia="en-US"/>
              </w:rPr>
              <w:tab/>
            </w:r>
            <w:r w:rsidRPr="00B27419">
              <w:rPr>
                <w:rFonts w:cs="Times New Roman"/>
                <w:lang w:val="fr-CA"/>
              </w:rPr>
              <w:t>Cadre analytique applicable à l’examen du fusionnement prévu par l’art.</w:t>
            </w:r>
            <w:r w:rsidR="00E6271F" w:rsidRPr="00B27419">
              <w:rPr>
                <w:rFonts w:cs="Times New Roman"/>
                <w:lang w:val="fr-CA"/>
              </w:rPr>
              <w:t xml:space="preserve"> </w:t>
            </w:r>
            <w:r w:rsidRPr="00B27419">
              <w:rPr>
                <w:rFonts w:cs="Times New Roman"/>
                <w:lang w:val="fr-CA"/>
              </w:rPr>
              <w:t>92 de la Loi</w:t>
            </w:r>
            <w:r w:rsidRPr="00B27419">
              <w:rPr>
                <w:rFonts w:cs="Times New Roman"/>
                <w:webHidden/>
                <w:lang w:val="fr-CA"/>
              </w:rPr>
              <w:tab/>
              <w:t>20</w:t>
            </w:r>
          </w:p>
          <w:p w:rsidR="00D56082" w:rsidRPr="00B27419" w:rsidRDefault="00D56082" w:rsidP="00B27419">
            <w:pPr>
              <w:pStyle w:val="TOC3"/>
              <w:rPr>
                <w:rFonts w:eastAsiaTheme="minorEastAsia"/>
                <w:sz w:val="22"/>
                <w:szCs w:val="22"/>
                <w:u w:val="none"/>
                <w:lang w:val="fr-CA" w:eastAsia="en-US"/>
              </w:rPr>
            </w:pPr>
            <w:r w:rsidRPr="00B27419">
              <w:rPr>
                <w:u w:val="none"/>
                <w:lang w:val="fr-CA"/>
              </w:rPr>
              <w:t>(1)</w:t>
            </w:r>
            <w:r w:rsidRPr="00B27419">
              <w:rPr>
                <w:rFonts w:eastAsiaTheme="minorEastAsia"/>
                <w:sz w:val="22"/>
                <w:szCs w:val="22"/>
                <w:u w:val="none"/>
                <w:lang w:val="fr-CA" w:eastAsia="en-US"/>
              </w:rPr>
              <w:tab/>
            </w:r>
            <w:r w:rsidRPr="00B27419">
              <w:rPr>
                <w:lang w:val="fr-CA"/>
              </w:rPr>
              <w:t>Examen du fusionnement</w:t>
            </w:r>
            <w:r w:rsidR="00E6271F" w:rsidRPr="00B27419">
              <w:rPr>
                <w:lang w:val="fr-CA"/>
              </w:rPr>
              <w:t> :</w:t>
            </w:r>
            <w:r w:rsidRPr="00B27419">
              <w:rPr>
                <w:lang w:val="fr-CA"/>
              </w:rPr>
              <w:t xml:space="preserve"> aperçu</w:t>
            </w:r>
            <w:r w:rsidRPr="00B27419">
              <w:rPr>
                <w:webHidden/>
                <w:u w:val="none"/>
                <w:lang w:val="fr-CA"/>
              </w:rPr>
              <w:tab/>
              <w:t>20</w:t>
            </w:r>
          </w:p>
          <w:p w:rsidR="00D56082" w:rsidRPr="00B27419" w:rsidRDefault="00D56082" w:rsidP="00B27419">
            <w:pPr>
              <w:pStyle w:val="TOC3"/>
              <w:rPr>
                <w:rFonts w:eastAsiaTheme="minorEastAsia"/>
                <w:sz w:val="22"/>
                <w:szCs w:val="22"/>
                <w:u w:val="none"/>
                <w:lang w:val="fr-CA" w:eastAsia="en-US"/>
              </w:rPr>
            </w:pPr>
            <w:r w:rsidRPr="00B27419">
              <w:rPr>
                <w:u w:val="none"/>
                <w:lang w:val="fr-CA"/>
              </w:rPr>
              <w:t>(2)</w:t>
            </w:r>
            <w:r w:rsidRPr="00B27419">
              <w:rPr>
                <w:rFonts w:eastAsiaTheme="minorEastAsia"/>
                <w:sz w:val="22"/>
                <w:szCs w:val="22"/>
                <w:u w:val="none"/>
                <w:lang w:val="fr-CA" w:eastAsia="en-US"/>
              </w:rPr>
              <w:tab/>
            </w:r>
            <w:r w:rsidRPr="00B27419">
              <w:rPr>
                <w:lang w:val="fr-CA"/>
              </w:rPr>
              <w:t>Le fusionnement aura</w:t>
            </w:r>
            <w:r w:rsidR="00E6271F" w:rsidRPr="00B27419">
              <w:rPr>
                <w:lang w:val="fr-CA"/>
              </w:rPr>
              <w:t>-</w:t>
            </w:r>
            <w:r w:rsidRPr="00B27419">
              <w:rPr>
                <w:lang w:val="fr-CA"/>
              </w:rPr>
              <w:t>t</w:t>
            </w:r>
            <w:r w:rsidR="00E6271F" w:rsidRPr="00B27419">
              <w:rPr>
                <w:lang w:val="fr-CA"/>
              </w:rPr>
              <w:t>-</w:t>
            </w:r>
            <w:r w:rsidRPr="00B27419">
              <w:rPr>
                <w:lang w:val="fr-CA"/>
              </w:rPr>
              <w:t>il vraisemblablement pour effet de diminuer ou d’empêcher sensiblement la concurrence?</w:t>
            </w:r>
            <w:r w:rsidRPr="00B27419">
              <w:rPr>
                <w:webHidden/>
                <w:u w:val="none"/>
                <w:lang w:val="fr-CA"/>
              </w:rPr>
              <w:tab/>
              <w:t>23</w:t>
            </w:r>
          </w:p>
          <w:p w:rsidR="00D56082" w:rsidRPr="00B27419" w:rsidRDefault="00D56082" w:rsidP="00B27419">
            <w:pPr>
              <w:pStyle w:val="TOC4"/>
              <w:rPr>
                <w:rFonts w:cs="Times New Roman"/>
                <w:i w:val="0"/>
                <w:sz w:val="22"/>
                <w:lang w:val="fr-CA" w:eastAsia="en-US"/>
              </w:rPr>
            </w:pPr>
            <w:r w:rsidRPr="00B27419">
              <w:rPr>
                <w:rFonts w:cs="Times New Roman"/>
                <w:i w:val="0"/>
                <w:lang w:val="fr-CA"/>
              </w:rPr>
              <w:lastRenderedPageBreak/>
              <w:t>a)</w:t>
            </w:r>
            <w:r w:rsidRPr="00B27419">
              <w:rPr>
                <w:rFonts w:cs="Times New Roman"/>
                <w:i w:val="0"/>
                <w:sz w:val="22"/>
                <w:lang w:val="fr-CA" w:eastAsia="en-US"/>
              </w:rPr>
              <w:tab/>
            </w:r>
            <w:r w:rsidRPr="00B27419">
              <w:rPr>
                <w:rFonts w:cs="Times New Roman"/>
                <w:lang w:val="fr-CA"/>
              </w:rPr>
              <w:t>Analyse axée sur l’absence hypothétique</w:t>
            </w:r>
            <w:r w:rsidRPr="00B27419">
              <w:rPr>
                <w:rFonts w:cs="Times New Roman"/>
                <w:webHidden/>
                <w:lang w:val="fr-CA"/>
              </w:rPr>
              <w:tab/>
              <w:t>23</w:t>
            </w:r>
          </w:p>
          <w:p w:rsidR="00D56082" w:rsidRPr="00B27419" w:rsidRDefault="00D56082" w:rsidP="00B27419">
            <w:pPr>
              <w:pStyle w:val="TOC4"/>
              <w:rPr>
                <w:rFonts w:cs="Times New Roman"/>
                <w:i w:val="0"/>
                <w:sz w:val="22"/>
                <w:lang w:val="fr-CA" w:eastAsia="en-US"/>
              </w:rPr>
            </w:pPr>
            <w:r w:rsidRPr="00B27419">
              <w:rPr>
                <w:rFonts w:cs="Times New Roman"/>
                <w:i w:val="0"/>
                <w:lang w:val="fr-CA"/>
              </w:rPr>
              <w:t>b)</w:t>
            </w:r>
            <w:r w:rsidRPr="00B27419">
              <w:rPr>
                <w:rFonts w:cs="Times New Roman"/>
                <w:i w:val="0"/>
                <w:sz w:val="22"/>
                <w:lang w:val="fr-CA" w:eastAsia="en-US"/>
              </w:rPr>
              <w:tab/>
            </w:r>
            <w:r w:rsidRPr="00B27419">
              <w:rPr>
                <w:rFonts w:cs="Times New Roman"/>
                <w:lang w:val="fr-CA"/>
              </w:rPr>
              <w:t>L’analyse axée sur l’absence hypothétique qu’appelle le par.</w:t>
            </w:r>
            <w:r w:rsidR="00E6271F" w:rsidRPr="00B27419">
              <w:rPr>
                <w:rFonts w:cs="Times New Roman"/>
                <w:lang w:val="fr-CA"/>
              </w:rPr>
              <w:t xml:space="preserve"> </w:t>
            </w:r>
            <w:r w:rsidRPr="00B27419">
              <w:rPr>
                <w:rFonts w:cs="Times New Roman"/>
                <w:lang w:val="fr-CA"/>
              </w:rPr>
              <w:t>92(1) est prospective</w:t>
            </w:r>
            <w:r w:rsidRPr="00B27419">
              <w:rPr>
                <w:rFonts w:cs="Times New Roman"/>
                <w:webHidden/>
                <w:lang w:val="fr-CA"/>
              </w:rPr>
              <w:tab/>
              <w:t>25</w:t>
            </w:r>
          </w:p>
          <w:p w:rsidR="00D56082" w:rsidRPr="00B27419" w:rsidRDefault="00D56082" w:rsidP="00B27419">
            <w:pPr>
              <w:pStyle w:val="TOC4"/>
              <w:rPr>
                <w:rFonts w:cs="Times New Roman"/>
                <w:i w:val="0"/>
                <w:sz w:val="22"/>
                <w:lang w:val="fr-CA" w:eastAsia="en-US"/>
              </w:rPr>
            </w:pPr>
            <w:r w:rsidRPr="00B27419">
              <w:rPr>
                <w:rFonts w:cs="Times New Roman"/>
                <w:i w:val="0"/>
                <w:lang w:val="fr-CA"/>
              </w:rPr>
              <w:t>c)</w:t>
            </w:r>
            <w:r w:rsidRPr="00B27419">
              <w:rPr>
                <w:rFonts w:cs="Times New Roman"/>
                <w:i w:val="0"/>
                <w:sz w:val="22"/>
                <w:lang w:val="fr-CA" w:eastAsia="en-US"/>
              </w:rPr>
              <w:tab/>
            </w:r>
            <w:r w:rsidRPr="00B27419">
              <w:rPr>
                <w:rFonts w:cs="Times New Roman"/>
                <w:lang w:val="fr-CA"/>
              </w:rPr>
              <w:t xml:space="preserve">Similarités et différences entre les volets relatifs à la </w:t>
            </w:r>
            <w:r w:rsidR="00B27419">
              <w:rPr>
                <w:rFonts w:cs="Times New Roman"/>
                <w:lang w:val="fr-CA"/>
              </w:rPr>
              <w:t>« </w:t>
            </w:r>
            <w:r w:rsidRPr="00B27419">
              <w:rPr>
                <w:rFonts w:cs="Times New Roman"/>
                <w:lang w:val="fr-CA"/>
              </w:rPr>
              <w:t>diminution</w:t>
            </w:r>
            <w:r w:rsidR="00B27419">
              <w:rPr>
                <w:rFonts w:cs="Times New Roman"/>
                <w:lang w:val="fr-CA"/>
              </w:rPr>
              <w:t> »</w:t>
            </w:r>
            <w:r w:rsidRPr="00B27419">
              <w:rPr>
                <w:rFonts w:cs="Times New Roman"/>
                <w:lang w:val="fr-CA"/>
              </w:rPr>
              <w:t xml:space="preserve"> et à l’</w:t>
            </w:r>
            <w:r w:rsidR="00B27419">
              <w:rPr>
                <w:rFonts w:cs="Times New Roman"/>
                <w:lang w:val="fr-CA"/>
              </w:rPr>
              <w:t>« </w:t>
            </w:r>
            <w:r w:rsidRPr="00B27419">
              <w:rPr>
                <w:rFonts w:cs="Times New Roman"/>
                <w:lang w:val="fr-CA"/>
              </w:rPr>
              <w:t>empêchement</w:t>
            </w:r>
            <w:r w:rsidR="00B27419">
              <w:rPr>
                <w:rFonts w:cs="Times New Roman"/>
                <w:lang w:val="fr-CA"/>
              </w:rPr>
              <w:t> »</w:t>
            </w:r>
            <w:r w:rsidRPr="00B27419">
              <w:rPr>
                <w:rFonts w:cs="Times New Roman"/>
                <w:lang w:val="fr-CA"/>
              </w:rPr>
              <w:t xml:space="preserve"> de l’art</w:t>
            </w:r>
            <w:r w:rsidR="00CB7C2F" w:rsidRPr="00B27419">
              <w:rPr>
                <w:rFonts w:cs="Times New Roman"/>
                <w:lang w:val="fr-CA"/>
              </w:rPr>
              <w:t>.</w:t>
            </w:r>
            <w:r w:rsidR="00E6271F" w:rsidRPr="00B27419">
              <w:rPr>
                <w:rFonts w:cs="Times New Roman"/>
                <w:lang w:val="fr-CA"/>
              </w:rPr>
              <w:t xml:space="preserve"> </w:t>
            </w:r>
            <w:r w:rsidRPr="00B27419">
              <w:rPr>
                <w:rFonts w:cs="Times New Roman"/>
                <w:lang w:val="fr-CA"/>
              </w:rPr>
              <w:t>92</w:t>
            </w:r>
            <w:r w:rsidRPr="00B27419">
              <w:rPr>
                <w:rFonts w:cs="Times New Roman"/>
                <w:webHidden/>
                <w:lang w:val="fr-CA"/>
              </w:rPr>
              <w:tab/>
              <w:t>25</w:t>
            </w:r>
          </w:p>
          <w:p w:rsidR="00D56082" w:rsidRPr="00B27419" w:rsidRDefault="00D56082" w:rsidP="00B27419">
            <w:pPr>
              <w:pStyle w:val="TOC2"/>
              <w:rPr>
                <w:rFonts w:cs="Times New Roman"/>
                <w:i w:val="0"/>
                <w:sz w:val="22"/>
                <w:lang w:val="fr-CA" w:eastAsia="en-US"/>
              </w:rPr>
            </w:pPr>
            <w:r w:rsidRPr="00B27419">
              <w:rPr>
                <w:rFonts w:cs="Times New Roman"/>
                <w:i w:val="0"/>
                <w:lang w:val="fr-CA"/>
              </w:rPr>
              <w:t>C.</w:t>
            </w:r>
            <w:r w:rsidRPr="00B27419">
              <w:rPr>
                <w:rFonts w:cs="Times New Roman"/>
                <w:i w:val="0"/>
                <w:sz w:val="22"/>
                <w:lang w:val="fr-CA" w:eastAsia="en-US"/>
              </w:rPr>
              <w:tab/>
            </w:r>
            <w:r w:rsidRPr="00B27419">
              <w:rPr>
                <w:rFonts w:cs="Times New Roman"/>
                <w:lang w:val="fr-CA"/>
              </w:rPr>
              <w:t>Volet relatif à l’</w:t>
            </w:r>
            <w:r w:rsidR="00B27419">
              <w:rPr>
                <w:rFonts w:cs="Times New Roman"/>
                <w:lang w:val="fr-CA"/>
              </w:rPr>
              <w:t>« </w:t>
            </w:r>
            <w:r w:rsidRPr="00B27419">
              <w:rPr>
                <w:rFonts w:cs="Times New Roman"/>
                <w:lang w:val="fr-CA"/>
              </w:rPr>
              <w:t>empêchement</w:t>
            </w:r>
            <w:r w:rsidR="00B27419">
              <w:rPr>
                <w:rFonts w:cs="Times New Roman"/>
                <w:lang w:val="fr-CA"/>
              </w:rPr>
              <w:t> »</w:t>
            </w:r>
            <w:r w:rsidRPr="00B27419">
              <w:rPr>
                <w:rFonts w:cs="Times New Roman"/>
                <w:lang w:val="fr-CA"/>
              </w:rPr>
              <w:t xml:space="preserve"> du par</w:t>
            </w:r>
            <w:r w:rsidR="00CB7C2F" w:rsidRPr="00B27419">
              <w:rPr>
                <w:rFonts w:cs="Times New Roman"/>
                <w:lang w:val="fr-CA"/>
              </w:rPr>
              <w:t>.</w:t>
            </w:r>
            <w:r w:rsidR="00E6271F" w:rsidRPr="00B27419">
              <w:rPr>
                <w:rFonts w:cs="Times New Roman"/>
                <w:lang w:val="fr-CA"/>
              </w:rPr>
              <w:t xml:space="preserve"> </w:t>
            </w:r>
            <w:r w:rsidRPr="00B27419">
              <w:rPr>
                <w:rFonts w:cs="Times New Roman"/>
                <w:lang w:val="fr-CA"/>
              </w:rPr>
              <w:t>92(1)</w:t>
            </w:r>
            <w:r w:rsidRPr="00B27419">
              <w:rPr>
                <w:rFonts w:cs="Times New Roman"/>
                <w:webHidden/>
                <w:lang w:val="fr-CA"/>
              </w:rPr>
              <w:tab/>
              <w:t>27</w:t>
            </w:r>
          </w:p>
          <w:p w:rsidR="00D56082" w:rsidRPr="00B27419" w:rsidRDefault="00D56082" w:rsidP="00B27419">
            <w:pPr>
              <w:pStyle w:val="TOC3"/>
              <w:rPr>
                <w:rFonts w:eastAsiaTheme="minorEastAsia"/>
                <w:sz w:val="22"/>
                <w:szCs w:val="22"/>
                <w:u w:val="none"/>
                <w:lang w:val="fr-CA" w:eastAsia="en-US"/>
              </w:rPr>
            </w:pPr>
            <w:r w:rsidRPr="00B27419">
              <w:rPr>
                <w:u w:val="none"/>
                <w:lang w:val="fr-CA"/>
              </w:rPr>
              <w:t>(1)</w:t>
            </w:r>
            <w:r w:rsidRPr="00B27419">
              <w:rPr>
                <w:rFonts w:eastAsiaTheme="minorEastAsia"/>
                <w:sz w:val="22"/>
                <w:szCs w:val="22"/>
                <w:u w:val="none"/>
                <w:lang w:val="fr-CA" w:eastAsia="en-US"/>
              </w:rPr>
              <w:tab/>
            </w:r>
            <w:r w:rsidRPr="00B27419">
              <w:rPr>
                <w:lang w:val="fr-CA"/>
              </w:rPr>
              <w:t>Le droit</w:t>
            </w:r>
            <w:r w:rsidRPr="00B27419">
              <w:rPr>
                <w:webHidden/>
                <w:u w:val="none"/>
                <w:lang w:val="fr-CA"/>
              </w:rPr>
              <w:tab/>
              <w:t>28</w:t>
            </w:r>
          </w:p>
          <w:p w:rsidR="00D56082" w:rsidRPr="00B27419" w:rsidRDefault="00D56082" w:rsidP="00B27419">
            <w:pPr>
              <w:pStyle w:val="TOC4"/>
              <w:rPr>
                <w:rFonts w:cs="Times New Roman"/>
                <w:i w:val="0"/>
                <w:sz w:val="22"/>
                <w:lang w:val="fr-CA" w:eastAsia="en-US"/>
              </w:rPr>
            </w:pPr>
            <w:r w:rsidRPr="00B27419">
              <w:rPr>
                <w:rFonts w:cs="Times New Roman"/>
                <w:i w:val="0"/>
                <w:lang w:val="fr-CA"/>
              </w:rPr>
              <w:t>a)</w:t>
            </w:r>
            <w:r w:rsidRPr="00B27419">
              <w:rPr>
                <w:rFonts w:cs="Times New Roman"/>
                <w:i w:val="0"/>
                <w:sz w:val="22"/>
                <w:lang w:val="fr-CA" w:eastAsia="en-US"/>
              </w:rPr>
              <w:tab/>
            </w:r>
            <w:r w:rsidRPr="00B27419">
              <w:rPr>
                <w:rFonts w:cs="Times New Roman"/>
                <w:lang w:val="fr-CA"/>
              </w:rPr>
              <w:t>Déterminer le concurrent éventuel</w:t>
            </w:r>
            <w:r w:rsidRPr="00B27419">
              <w:rPr>
                <w:rFonts w:cs="Times New Roman"/>
                <w:webHidden/>
                <w:lang w:val="fr-CA"/>
              </w:rPr>
              <w:tab/>
              <w:t>29</w:t>
            </w:r>
          </w:p>
          <w:p w:rsidR="00D56082" w:rsidRPr="00B27419" w:rsidRDefault="00D56082" w:rsidP="00B27419">
            <w:pPr>
              <w:pStyle w:val="TOC4"/>
              <w:rPr>
                <w:rFonts w:cs="Times New Roman"/>
                <w:i w:val="0"/>
                <w:sz w:val="22"/>
                <w:lang w:val="fr-CA" w:eastAsia="en-US"/>
              </w:rPr>
            </w:pPr>
            <w:r w:rsidRPr="00B27419">
              <w:rPr>
                <w:rFonts w:cs="Times New Roman"/>
                <w:i w:val="0"/>
                <w:lang w:val="fr-CA"/>
              </w:rPr>
              <w:t>b)</w:t>
            </w:r>
            <w:r w:rsidRPr="00B27419">
              <w:rPr>
                <w:rFonts w:cs="Times New Roman"/>
                <w:i w:val="0"/>
                <w:sz w:val="22"/>
                <w:lang w:val="fr-CA" w:eastAsia="en-US"/>
              </w:rPr>
              <w:tab/>
            </w:r>
            <w:r w:rsidRPr="00B27419">
              <w:rPr>
                <w:rFonts w:cs="Times New Roman"/>
                <w:lang w:val="fr-CA"/>
              </w:rPr>
              <w:t>L’état du marché n’eût été le fusionnement</w:t>
            </w:r>
            <w:r w:rsidRPr="00B27419">
              <w:rPr>
                <w:rFonts w:cs="Times New Roman"/>
                <w:webHidden/>
                <w:lang w:val="fr-CA"/>
              </w:rPr>
              <w:tab/>
              <w:t>30</w:t>
            </w:r>
          </w:p>
          <w:p w:rsidR="00D56082" w:rsidRPr="00B27419" w:rsidRDefault="00D56082" w:rsidP="00B27419">
            <w:pPr>
              <w:pStyle w:val="TOC5"/>
              <w:keepNext w:val="0"/>
              <w:rPr>
                <w:rFonts w:eastAsiaTheme="minorEastAsia"/>
                <w:sz w:val="22"/>
                <w:szCs w:val="22"/>
                <w:u w:val="none"/>
                <w:lang w:val="fr-CA" w:eastAsia="en-US"/>
              </w:rPr>
            </w:pPr>
            <w:r w:rsidRPr="00B27419">
              <w:rPr>
                <w:u w:val="none"/>
                <w:lang w:val="fr-CA"/>
              </w:rPr>
              <w:t>(i)</w:t>
            </w:r>
            <w:r w:rsidRPr="00B27419">
              <w:rPr>
                <w:rFonts w:eastAsiaTheme="minorEastAsia"/>
                <w:sz w:val="22"/>
                <w:szCs w:val="22"/>
                <w:u w:val="none"/>
                <w:lang w:val="fr-CA" w:eastAsia="en-US"/>
              </w:rPr>
              <w:tab/>
            </w:r>
            <w:r w:rsidRPr="00B27419">
              <w:rPr>
                <w:lang w:val="fr-CA"/>
              </w:rPr>
              <w:t>Une partie au fusionnement serait</w:t>
            </w:r>
            <w:r w:rsidR="00E6271F" w:rsidRPr="00B27419">
              <w:rPr>
                <w:lang w:val="fr-CA"/>
              </w:rPr>
              <w:t>-</w:t>
            </w:r>
            <w:r w:rsidRPr="00B27419">
              <w:rPr>
                <w:lang w:val="fr-CA"/>
              </w:rPr>
              <w:t>elle vraisemblablement entrée dans le marché?</w:t>
            </w:r>
            <w:r w:rsidRPr="00B27419">
              <w:rPr>
                <w:webHidden/>
                <w:u w:val="none"/>
                <w:lang w:val="fr-CA"/>
              </w:rPr>
              <w:tab/>
              <w:t>31</w:t>
            </w:r>
          </w:p>
          <w:p w:rsidR="00D56082" w:rsidRPr="00B27419" w:rsidRDefault="00D56082" w:rsidP="00B27419">
            <w:pPr>
              <w:pStyle w:val="TOC5"/>
              <w:keepNext w:val="0"/>
              <w:rPr>
                <w:rFonts w:eastAsiaTheme="minorEastAsia"/>
                <w:sz w:val="22"/>
                <w:szCs w:val="22"/>
                <w:u w:val="none"/>
                <w:lang w:val="fr-CA" w:eastAsia="en-US"/>
              </w:rPr>
            </w:pPr>
            <w:r w:rsidRPr="00B27419">
              <w:rPr>
                <w:u w:val="none"/>
                <w:lang w:val="fr-CA"/>
              </w:rPr>
              <w:t>(ii)</w:t>
            </w:r>
            <w:r w:rsidRPr="00B27419">
              <w:rPr>
                <w:rFonts w:eastAsiaTheme="minorEastAsia"/>
                <w:sz w:val="22"/>
                <w:szCs w:val="22"/>
                <w:u w:val="none"/>
                <w:lang w:val="fr-CA" w:eastAsia="en-US"/>
              </w:rPr>
              <w:tab/>
            </w:r>
            <w:r w:rsidRPr="00B27419">
              <w:rPr>
                <w:lang w:val="fr-CA"/>
              </w:rPr>
              <w:t>Y aurait</w:t>
            </w:r>
            <w:r w:rsidR="00E6271F" w:rsidRPr="00B27419">
              <w:rPr>
                <w:lang w:val="fr-CA"/>
              </w:rPr>
              <w:t>-</w:t>
            </w:r>
            <w:r w:rsidRPr="00B27419">
              <w:rPr>
                <w:lang w:val="fr-CA"/>
              </w:rPr>
              <w:t>il vraisemblablement un effet sensible sur le marché</w:t>
            </w:r>
            <w:r w:rsidR="00CB35B6">
              <w:rPr>
                <w:lang w:val="fr-CA"/>
              </w:rPr>
              <w:t>?</w:t>
            </w:r>
            <w:r w:rsidRPr="00B27419">
              <w:rPr>
                <w:webHidden/>
                <w:u w:val="none"/>
                <w:lang w:val="fr-CA"/>
              </w:rPr>
              <w:tab/>
              <w:t>36</w:t>
            </w:r>
          </w:p>
          <w:p w:rsidR="00D56082" w:rsidRPr="00B27419" w:rsidRDefault="00D56082" w:rsidP="00B27419">
            <w:pPr>
              <w:pStyle w:val="TOC3"/>
              <w:rPr>
                <w:rFonts w:eastAsiaTheme="minorEastAsia"/>
                <w:sz w:val="22"/>
                <w:szCs w:val="22"/>
                <w:u w:val="none"/>
                <w:lang w:val="fr-CA" w:eastAsia="en-US"/>
              </w:rPr>
            </w:pPr>
            <w:r w:rsidRPr="00B27419">
              <w:rPr>
                <w:u w:val="none"/>
                <w:lang w:val="fr-CA"/>
              </w:rPr>
              <w:t>(2)</w:t>
            </w:r>
            <w:r w:rsidRPr="00B27419">
              <w:rPr>
                <w:rFonts w:eastAsiaTheme="minorEastAsia"/>
                <w:sz w:val="22"/>
                <w:szCs w:val="22"/>
                <w:u w:val="none"/>
                <w:lang w:val="fr-CA" w:eastAsia="en-US"/>
              </w:rPr>
              <w:tab/>
            </w:r>
            <w:r w:rsidRPr="00B27419">
              <w:rPr>
                <w:lang w:val="fr-CA"/>
              </w:rPr>
              <w:t>Application à la présente affaire</w:t>
            </w:r>
            <w:r w:rsidRPr="00B27419">
              <w:rPr>
                <w:webHidden/>
                <w:u w:val="none"/>
                <w:lang w:val="fr-CA"/>
              </w:rPr>
              <w:tab/>
              <w:t>37</w:t>
            </w:r>
          </w:p>
          <w:p w:rsidR="00D56082" w:rsidRPr="00B27419" w:rsidRDefault="00D56082" w:rsidP="00B27419">
            <w:pPr>
              <w:pStyle w:val="TOC2"/>
              <w:rPr>
                <w:rFonts w:cs="Times New Roman"/>
                <w:i w:val="0"/>
                <w:sz w:val="22"/>
                <w:lang w:val="fr-CA" w:eastAsia="en-US"/>
              </w:rPr>
            </w:pPr>
            <w:r w:rsidRPr="00B27419">
              <w:rPr>
                <w:rFonts w:cs="Times New Roman"/>
                <w:i w:val="0"/>
                <w:lang w:val="fr-CA"/>
              </w:rPr>
              <w:t>D.</w:t>
            </w:r>
            <w:r w:rsidRPr="00B27419">
              <w:rPr>
                <w:rFonts w:cs="Times New Roman"/>
                <w:i w:val="0"/>
                <w:sz w:val="22"/>
                <w:lang w:val="fr-CA" w:eastAsia="en-US"/>
              </w:rPr>
              <w:tab/>
            </w:r>
            <w:r w:rsidRPr="00B27419">
              <w:rPr>
                <w:rFonts w:cs="Times New Roman"/>
                <w:lang w:val="fr-CA"/>
              </w:rPr>
              <w:t>Défense fondée sur les gains en efficience</w:t>
            </w:r>
            <w:r w:rsidRPr="00B27419">
              <w:rPr>
                <w:rFonts w:cs="Times New Roman"/>
                <w:webHidden/>
                <w:lang w:val="fr-CA"/>
              </w:rPr>
              <w:tab/>
              <w:t>40</w:t>
            </w:r>
          </w:p>
          <w:p w:rsidR="00D56082" w:rsidRPr="00B27419" w:rsidRDefault="00D56082" w:rsidP="00B27419">
            <w:pPr>
              <w:pStyle w:val="TOC3"/>
              <w:rPr>
                <w:rFonts w:eastAsiaTheme="minorEastAsia"/>
                <w:sz w:val="22"/>
                <w:szCs w:val="22"/>
                <w:u w:val="none"/>
                <w:lang w:val="fr-CA" w:eastAsia="en-US"/>
              </w:rPr>
            </w:pPr>
            <w:r w:rsidRPr="00B27419">
              <w:rPr>
                <w:u w:val="none"/>
                <w:lang w:val="fr-CA"/>
              </w:rPr>
              <w:t>(1)</w:t>
            </w:r>
            <w:r w:rsidRPr="00B27419">
              <w:rPr>
                <w:rFonts w:eastAsiaTheme="minorEastAsia"/>
                <w:sz w:val="22"/>
                <w:szCs w:val="22"/>
                <w:u w:val="none"/>
                <w:lang w:val="fr-CA" w:eastAsia="en-US"/>
              </w:rPr>
              <w:tab/>
            </w:r>
            <w:r w:rsidRPr="00B27419">
              <w:rPr>
                <w:lang w:val="fr-CA"/>
              </w:rPr>
              <w:t>Historique de la défense fondée sur les gains en efficience</w:t>
            </w:r>
            <w:r w:rsidRPr="00B27419">
              <w:rPr>
                <w:webHidden/>
                <w:u w:val="none"/>
                <w:lang w:val="fr-CA"/>
              </w:rPr>
              <w:tab/>
              <w:t>40</w:t>
            </w:r>
          </w:p>
          <w:p w:rsidR="00D56082" w:rsidRPr="00B27419" w:rsidRDefault="00D56082" w:rsidP="00B27419">
            <w:pPr>
              <w:pStyle w:val="TOC3"/>
              <w:rPr>
                <w:rFonts w:eastAsiaTheme="minorEastAsia"/>
                <w:sz w:val="22"/>
                <w:szCs w:val="22"/>
                <w:u w:val="none"/>
                <w:lang w:val="fr-CA" w:eastAsia="en-US"/>
              </w:rPr>
            </w:pPr>
            <w:r w:rsidRPr="00B27419">
              <w:rPr>
                <w:u w:val="none"/>
                <w:lang w:val="fr-CA"/>
              </w:rPr>
              <w:t>(2)</w:t>
            </w:r>
            <w:r w:rsidRPr="00B27419">
              <w:rPr>
                <w:rFonts w:eastAsiaTheme="minorEastAsia"/>
                <w:sz w:val="22"/>
                <w:szCs w:val="22"/>
                <w:u w:val="none"/>
                <w:lang w:val="fr-CA" w:eastAsia="en-US"/>
              </w:rPr>
              <w:tab/>
            </w:r>
            <w:r w:rsidRPr="00B27419">
              <w:rPr>
                <w:lang w:val="fr-CA"/>
              </w:rPr>
              <w:t>Historique jurisprudentiel de l’art.</w:t>
            </w:r>
            <w:r w:rsidR="00E6271F" w:rsidRPr="00B27419">
              <w:rPr>
                <w:lang w:val="fr-CA"/>
              </w:rPr>
              <w:t xml:space="preserve"> </w:t>
            </w:r>
            <w:r w:rsidRPr="00B27419">
              <w:rPr>
                <w:lang w:val="fr-CA"/>
              </w:rPr>
              <w:t>96</w:t>
            </w:r>
            <w:r w:rsidRPr="00B27419">
              <w:rPr>
                <w:webHidden/>
                <w:u w:val="none"/>
                <w:lang w:val="fr-CA"/>
              </w:rPr>
              <w:tab/>
              <w:t>42</w:t>
            </w:r>
          </w:p>
          <w:p w:rsidR="00D56082" w:rsidRPr="00B27419" w:rsidRDefault="00D56082" w:rsidP="00B27419">
            <w:pPr>
              <w:pStyle w:val="TOC3"/>
              <w:rPr>
                <w:rFonts w:eastAsiaTheme="minorEastAsia"/>
                <w:sz w:val="22"/>
                <w:szCs w:val="22"/>
                <w:u w:val="none"/>
                <w:lang w:val="fr-CA" w:eastAsia="en-US"/>
              </w:rPr>
            </w:pPr>
            <w:r w:rsidRPr="00B27419">
              <w:rPr>
                <w:u w:val="none"/>
                <w:lang w:val="fr-CA"/>
              </w:rPr>
              <w:t>(3)</w:t>
            </w:r>
            <w:r w:rsidRPr="00B27419">
              <w:rPr>
                <w:rFonts w:eastAsiaTheme="minorEastAsia"/>
                <w:sz w:val="22"/>
                <w:szCs w:val="22"/>
                <w:u w:val="none"/>
                <w:lang w:val="fr-CA" w:eastAsia="en-US"/>
              </w:rPr>
              <w:tab/>
            </w:r>
            <w:r w:rsidRPr="00B27419">
              <w:rPr>
                <w:lang w:val="fr-CA"/>
              </w:rPr>
              <w:t>Méthodologies applicables à l’art.</w:t>
            </w:r>
            <w:r w:rsidR="00E6271F" w:rsidRPr="00B27419">
              <w:rPr>
                <w:lang w:val="fr-CA"/>
              </w:rPr>
              <w:t xml:space="preserve"> </w:t>
            </w:r>
            <w:r w:rsidRPr="00B27419">
              <w:rPr>
                <w:lang w:val="fr-CA"/>
              </w:rPr>
              <w:t>96</w:t>
            </w:r>
            <w:r w:rsidRPr="00B27419">
              <w:rPr>
                <w:webHidden/>
                <w:u w:val="none"/>
                <w:lang w:val="fr-CA"/>
              </w:rPr>
              <w:tab/>
              <w:t>44</w:t>
            </w:r>
          </w:p>
          <w:p w:rsidR="00D56082" w:rsidRPr="00B27419" w:rsidRDefault="00D56082" w:rsidP="00B27419">
            <w:pPr>
              <w:pStyle w:val="TOC3"/>
              <w:rPr>
                <w:rFonts w:eastAsiaTheme="minorEastAsia"/>
                <w:sz w:val="22"/>
                <w:szCs w:val="22"/>
                <w:u w:val="none"/>
                <w:lang w:val="fr-CA" w:eastAsia="en-US"/>
              </w:rPr>
            </w:pPr>
            <w:r w:rsidRPr="00B27419">
              <w:rPr>
                <w:u w:val="none"/>
                <w:lang w:val="fr-CA"/>
              </w:rPr>
              <w:t>(4)</w:t>
            </w:r>
            <w:r w:rsidRPr="00B27419">
              <w:rPr>
                <w:rFonts w:eastAsiaTheme="minorEastAsia"/>
                <w:sz w:val="22"/>
                <w:szCs w:val="22"/>
                <w:u w:val="none"/>
                <w:lang w:val="fr-CA" w:eastAsia="en-US"/>
              </w:rPr>
              <w:tab/>
            </w:r>
            <w:r w:rsidRPr="00B27419">
              <w:rPr>
                <w:lang w:val="fr-CA"/>
              </w:rPr>
              <w:t>Les gains en efficience liés à l’exécution de l’ordonnance ne sont pas admissibles pour l’application de l’art.</w:t>
            </w:r>
            <w:r w:rsidR="00E6271F" w:rsidRPr="00B27419">
              <w:rPr>
                <w:lang w:val="fr-CA"/>
              </w:rPr>
              <w:t xml:space="preserve"> </w:t>
            </w:r>
            <w:r w:rsidRPr="00B27419">
              <w:rPr>
                <w:lang w:val="fr-CA"/>
              </w:rPr>
              <w:t>96</w:t>
            </w:r>
            <w:r w:rsidRPr="00B27419">
              <w:rPr>
                <w:webHidden/>
                <w:u w:val="none"/>
                <w:lang w:val="fr-CA"/>
              </w:rPr>
              <w:tab/>
              <w:t>49</w:t>
            </w:r>
          </w:p>
          <w:p w:rsidR="00D56082" w:rsidRPr="00B27419" w:rsidRDefault="00D56082" w:rsidP="00B27419">
            <w:pPr>
              <w:pStyle w:val="TOC3"/>
              <w:rPr>
                <w:rFonts w:eastAsiaTheme="minorEastAsia"/>
                <w:sz w:val="22"/>
                <w:szCs w:val="22"/>
                <w:u w:val="none"/>
                <w:lang w:val="fr-CA" w:eastAsia="en-US"/>
              </w:rPr>
            </w:pPr>
            <w:r w:rsidRPr="00B27419">
              <w:rPr>
                <w:u w:val="none"/>
                <w:lang w:val="fr-CA"/>
              </w:rPr>
              <w:t>(5)</w:t>
            </w:r>
            <w:r w:rsidRPr="00B27419">
              <w:rPr>
                <w:rFonts w:eastAsiaTheme="minorEastAsia"/>
                <w:sz w:val="22"/>
                <w:szCs w:val="22"/>
                <w:u w:val="none"/>
                <w:lang w:val="fr-CA" w:eastAsia="en-US"/>
              </w:rPr>
              <w:tab/>
            </w:r>
            <w:r w:rsidRPr="00B27419">
              <w:rPr>
                <w:lang w:val="fr-CA"/>
              </w:rPr>
              <w:t>Pondération qu’exige l’art.</w:t>
            </w:r>
            <w:r w:rsidR="00E6271F" w:rsidRPr="00B27419">
              <w:rPr>
                <w:lang w:val="fr-CA"/>
              </w:rPr>
              <w:t xml:space="preserve"> </w:t>
            </w:r>
            <w:r w:rsidRPr="00B27419">
              <w:rPr>
                <w:lang w:val="fr-CA"/>
              </w:rPr>
              <w:t>96</w:t>
            </w:r>
            <w:r w:rsidRPr="00B27419">
              <w:rPr>
                <w:webHidden/>
                <w:u w:val="none"/>
                <w:lang w:val="fr-CA"/>
              </w:rPr>
              <w:tab/>
              <w:t>57</w:t>
            </w:r>
          </w:p>
          <w:p w:rsidR="00D56082" w:rsidRPr="00B27419" w:rsidRDefault="00D56082" w:rsidP="00B27419">
            <w:pPr>
              <w:pStyle w:val="TOC4"/>
              <w:rPr>
                <w:rFonts w:cs="Times New Roman"/>
                <w:i w:val="0"/>
                <w:sz w:val="22"/>
                <w:lang w:val="fr-CA" w:eastAsia="en-US"/>
              </w:rPr>
            </w:pPr>
            <w:r w:rsidRPr="00B27419">
              <w:rPr>
                <w:rFonts w:cs="Times New Roman"/>
                <w:i w:val="0"/>
                <w:lang w:val="fr-CA"/>
              </w:rPr>
              <w:t>a)</w:t>
            </w:r>
            <w:r w:rsidRPr="00B27419">
              <w:rPr>
                <w:rFonts w:cs="Times New Roman"/>
                <w:i w:val="0"/>
                <w:sz w:val="22"/>
                <w:lang w:val="fr-CA" w:eastAsia="en-US"/>
              </w:rPr>
              <w:tab/>
            </w:r>
            <w:r w:rsidRPr="00B27419">
              <w:rPr>
                <w:rFonts w:cs="Times New Roman"/>
                <w:lang w:val="fr-CA"/>
              </w:rPr>
              <w:t>Fardeau de la commissaire</w:t>
            </w:r>
            <w:r w:rsidRPr="00B27419">
              <w:rPr>
                <w:rFonts w:cs="Times New Roman"/>
                <w:webHidden/>
                <w:lang w:val="fr-CA"/>
              </w:rPr>
              <w:tab/>
              <w:t>57</w:t>
            </w:r>
          </w:p>
          <w:p w:rsidR="00D56082" w:rsidRPr="00B27419" w:rsidRDefault="00D56082" w:rsidP="00B27419">
            <w:pPr>
              <w:pStyle w:val="TOC5"/>
              <w:keepNext w:val="0"/>
              <w:rPr>
                <w:rFonts w:eastAsiaTheme="minorEastAsia"/>
                <w:sz w:val="22"/>
                <w:szCs w:val="22"/>
                <w:u w:val="none"/>
                <w:lang w:val="fr-CA" w:eastAsia="en-US"/>
              </w:rPr>
            </w:pPr>
            <w:r w:rsidRPr="00B27419">
              <w:rPr>
                <w:u w:val="none"/>
                <w:lang w:val="fr-CA"/>
              </w:rPr>
              <w:t>(i)</w:t>
            </w:r>
            <w:r w:rsidRPr="00B27419">
              <w:rPr>
                <w:rFonts w:eastAsiaTheme="minorEastAsia"/>
                <w:sz w:val="22"/>
                <w:szCs w:val="22"/>
                <w:u w:val="none"/>
                <w:lang w:val="fr-CA" w:eastAsia="en-US"/>
              </w:rPr>
              <w:tab/>
            </w:r>
            <w:r w:rsidRPr="00B27419">
              <w:rPr>
                <w:lang w:val="fr-CA"/>
              </w:rPr>
              <w:t>Teneur du fardeau de la commissaire</w:t>
            </w:r>
            <w:r w:rsidRPr="00B27419">
              <w:rPr>
                <w:webHidden/>
                <w:u w:val="none"/>
                <w:lang w:val="fr-CA"/>
              </w:rPr>
              <w:tab/>
              <w:t>58</w:t>
            </w:r>
          </w:p>
          <w:p w:rsidR="00D56082" w:rsidRPr="00B27419" w:rsidRDefault="00D56082" w:rsidP="00B27419">
            <w:pPr>
              <w:pStyle w:val="TOC5"/>
              <w:keepNext w:val="0"/>
              <w:rPr>
                <w:rFonts w:eastAsiaTheme="minorEastAsia"/>
                <w:sz w:val="22"/>
                <w:szCs w:val="22"/>
                <w:u w:val="none"/>
                <w:lang w:val="fr-CA" w:eastAsia="en-US"/>
              </w:rPr>
            </w:pPr>
            <w:r w:rsidRPr="00B27419">
              <w:rPr>
                <w:u w:val="none"/>
                <w:lang w:val="fr-CA"/>
              </w:rPr>
              <w:t>(ii)</w:t>
            </w:r>
            <w:r w:rsidRPr="00B27419">
              <w:rPr>
                <w:rFonts w:eastAsiaTheme="minorEastAsia"/>
                <w:sz w:val="22"/>
                <w:szCs w:val="22"/>
                <w:u w:val="none"/>
                <w:lang w:val="fr-CA" w:eastAsia="en-US"/>
              </w:rPr>
              <w:tab/>
            </w:r>
            <w:r w:rsidRPr="00B27419">
              <w:rPr>
                <w:lang w:val="fr-CA"/>
              </w:rPr>
              <w:t>Quelles sont les conséquences de l’omission de s’acquitter du fardeau?</w:t>
            </w:r>
            <w:r w:rsidRPr="00B27419">
              <w:rPr>
                <w:webHidden/>
                <w:u w:val="none"/>
                <w:lang w:val="fr-CA"/>
              </w:rPr>
              <w:tab/>
              <w:t>60</w:t>
            </w:r>
          </w:p>
          <w:p w:rsidR="00D56082" w:rsidRPr="00B27419" w:rsidRDefault="00D56082" w:rsidP="00B27419">
            <w:pPr>
              <w:pStyle w:val="TOC4"/>
              <w:rPr>
                <w:rFonts w:cs="Times New Roman"/>
                <w:i w:val="0"/>
                <w:sz w:val="22"/>
                <w:lang w:val="fr-CA" w:eastAsia="en-US"/>
              </w:rPr>
            </w:pPr>
            <w:r w:rsidRPr="00B27419">
              <w:rPr>
                <w:rFonts w:cs="Times New Roman"/>
                <w:i w:val="0"/>
                <w:lang w:val="fr-CA"/>
              </w:rPr>
              <w:t>b)</w:t>
            </w:r>
            <w:r w:rsidRPr="00B27419">
              <w:rPr>
                <w:rFonts w:cs="Times New Roman"/>
                <w:i w:val="0"/>
                <w:sz w:val="22"/>
                <w:lang w:val="fr-CA" w:eastAsia="en-US"/>
              </w:rPr>
              <w:tab/>
            </w:r>
            <w:r w:rsidRPr="00B27419">
              <w:rPr>
                <w:rFonts w:cs="Times New Roman"/>
                <w:lang w:val="fr-CA"/>
              </w:rPr>
              <w:t xml:space="preserve">Méthode de pondération applicable dans l’analyse qu’appelle </w:t>
            </w:r>
            <w:r w:rsidRPr="00B27419">
              <w:rPr>
                <w:lang w:val="fr-CA"/>
              </w:rPr>
              <w:br/>
            </w:r>
            <w:r w:rsidR="00CB7C2F" w:rsidRPr="00B27419">
              <w:rPr>
                <w:rFonts w:cs="Times New Roman"/>
                <w:lang w:val="fr-CA"/>
              </w:rPr>
              <w:t>l’art.</w:t>
            </w:r>
            <w:r w:rsidR="00E6271F" w:rsidRPr="00B27419">
              <w:rPr>
                <w:rFonts w:cs="Times New Roman"/>
                <w:lang w:val="fr-CA"/>
              </w:rPr>
              <w:t xml:space="preserve"> </w:t>
            </w:r>
            <w:r w:rsidRPr="00B27419">
              <w:rPr>
                <w:rFonts w:cs="Times New Roman"/>
                <w:lang w:val="fr-CA"/>
              </w:rPr>
              <w:t>96</w:t>
            </w:r>
            <w:r w:rsidRPr="00B27419">
              <w:rPr>
                <w:rFonts w:cs="Times New Roman"/>
                <w:webHidden/>
                <w:lang w:val="fr-CA"/>
              </w:rPr>
              <w:tab/>
              <w:t>67</w:t>
            </w:r>
          </w:p>
          <w:p w:rsidR="00D56082" w:rsidRPr="00B27419" w:rsidRDefault="00D56082" w:rsidP="00B27419">
            <w:pPr>
              <w:pStyle w:val="TOC5"/>
              <w:keepNext w:val="0"/>
              <w:rPr>
                <w:rFonts w:eastAsiaTheme="minorEastAsia"/>
                <w:sz w:val="22"/>
                <w:szCs w:val="22"/>
                <w:u w:val="none"/>
                <w:lang w:val="fr-CA" w:eastAsia="en-US"/>
              </w:rPr>
            </w:pPr>
            <w:r w:rsidRPr="00B27419">
              <w:rPr>
                <w:u w:val="none"/>
                <w:lang w:val="fr-CA"/>
              </w:rPr>
              <w:t>(i)</w:t>
            </w:r>
            <w:r w:rsidRPr="00B27419">
              <w:rPr>
                <w:rFonts w:eastAsiaTheme="minorEastAsia"/>
                <w:sz w:val="22"/>
                <w:szCs w:val="22"/>
                <w:u w:val="none"/>
                <w:lang w:val="fr-CA" w:eastAsia="en-US"/>
              </w:rPr>
              <w:tab/>
            </w:r>
            <w:r w:rsidRPr="00B27419">
              <w:rPr>
                <w:lang w:val="fr-CA"/>
              </w:rPr>
              <w:t xml:space="preserve">La condition selon laquelle les gains en efficience </w:t>
            </w:r>
            <w:r w:rsidR="00B27419">
              <w:rPr>
                <w:lang w:val="fr-CA"/>
              </w:rPr>
              <w:t>« </w:t>
            </w:r>
            <w:r w:rsidRPr="00B27419">
              <w:rPr>
                <w:lang w:val="fr-CA"/>
              </w:rPr>
              <w:t>surpasseront</w:t>
            </w:r>
            <w:r w:rsidR="00B27419">
              <w:rPr>
                <w:lang w:val="fr-CA"/>
              </w:rPr>
              <w:t> »</w:t>
            </w:r>
            <w:r w:rsidRPr="00B27419">
              <w:rPr>
                <w:lang w:val="fr-CA"/>
              </w:rPr>
              <w:t xml:space="preserve"> </w:t>
            </w:r>
            <w:r w:rsidRPr="00B27419">
              <w:rPr>
                <w:lang w:val="fr-CA"/>
              </w:rPr>
              <w:br/>
              <w:t xml:space="preserve"> et </w:t>
            </w:r>
            <w:r w:rsidR="00B27419">
              <w:rPr>
                <w:lang w:val="fr-CA"/>
              </w:rPr>
              <w:t>« </w:t>
            </w:r>
            <w:r w:rsidRPr="00B27419">
              <w:rPr>
                <w:lang w:val="fr-CA"/>
              </w:rPr>
              <w:t>neutraliseront</w:t>
            </w:r>
            <w:r w:rsidR="00B27419">
              <w:rPr>
                <w:lang w:val="fr-CA"/>
              </w:rPr>
              <w:t> »</w:t>
            </w:r>
            <w:r w:rsidRPr="00B27419">
              <w:rPr>
                <w:lang w:val="fr-CA"/>
              </w:rPr>
              <w:t xml:space="preserve"> les effets anticoncurrentiels</w:t>
            </w:r>
            <w:r w:rsidRPr="00B27419">
              <w:rPr>
                <w:webHidden/>
                <w:u w:val="none"/>
                <w:lang w:val="fr-CA"/>
              </w:rPr>
              <w:tab/>
            </w:r>
            <w:r w:rsidRPr="00B27419">
              <w:rPr>
                <w:webHidden/>
                <w:lang w:val="fr-CA"/>
              </w:rPr>
              <w:t>68</w:t>
            </w:r>
          </w:p>
          <w:p w:rsidR="00D56082" w:rsidRPr="00B27419" w:rsidRDefault="00D56082" w:rsidP="00B27419">
            <w:pPr>
              <w:pStyle w:val="TOC5"/>
              <w:keepNext w:val="0"/>
              <w:rPr>
                <w:rFonts w:eastAsiaTheme="minorEastAsia"/>
                <w:sz w:val="22"/>
                <w:szCs w:val="22"/>
                <w:u w:val="none"/>
                <w:lang w:val="fr-CA" w:eastAsia="en-US"/>
              </w:rPr>
            </w:pPr>
            <w:r w:rsidRPr="00B27419">
              <w:rPr>
                <w:u w:val="none"/>
                <w:lang w:val="fr-CA"/>
              </w:rPr>
              <w:t>(ii)</w:t>
            </w:r>
            <w:r w:rsidRPr="00B27419">
              <w:rPr>
                <w:rFonts w:eastAsiaTheme="minorEastAsia"/>
                <w:sz w:val="22"/>
                <w:szCs w:val="22"/>
                <w:u w:val="none"/>
                <w:lang w:val="fr-CA" w:eastAsia="en-US"/>
              </w:rPr>
              <w:tab/>
            </w:r>
            <w:r w:rsidRPr="00B27419">
              <w:rPr>
                <w:lang w:val="fr-CA"/>
              </w:rPr>
              <w:t>Monopole préexistant</w:t>
            </w:r>
            <w:r w:rsidRPr="00B27419">
              <w:rPr>
                <w:webHidden/>
                <w:u w:val="none"/>
                <w:lang w:val="fr-CA"/>
              </w:rPr>
              <w:tab/>
              <w:t>76</w:t>
            </w:r>
          </w:p>
          <w:p w:rsidR="00D56082" w:rsidRPr="00B27419" w:rsidRDefault="00D56082" w:rsidP="00B27419">
            <w:pPr>
              <w:pStyle w:val="TOC5"/>
              <w:keepNext w:val="0"/>
              <w:rPr>
                <w:rFonts w:eastAsiaTheme="minorEastAsia"/>
                <w:sz w:val="22"/>
                <w:szCs w:val="22"/>
                <w:u w:val="none"/>
                <w:lang w:val="fr-CA" w:eastAsia="en-US"/>
              </w:rPr>
            </w:pPr>
            <w:r w:rsidRPr="00B27419">
              <w:rPr>
                <w:u w:val="none"/>
                <w:lang w:val="fr-CA"/>
              </w:rPr>
              <w:t>(iii)</w:t>
            </w:r>
            <w:r w:rsidRPr="00B27419">
              <w:rPr>
                <w:rFonts w:eastAsiaTheme="minorEastAsia"/>
                <w:sz w:val="22"/>
                <w:szCs w:val="22"/>
                <w:u w:val="none"/>
                <w:lang w:val="fr-CA" w:eastAsia="en-US"/>
              </w:rPr>
              <w:tab/>
            </w:r>
            <w:r w:rsidRPr="00B27419">
              <w:rPr>
                <w:lang w:val="fr-CA"/>
              </w:rPr>
              <w:t>Application à la présente affaire</w:t>
            </w:r>
            <w:r w:rsidRPr="00B27419">
              <w:rPr>
                <w:webHidden/>
                <w:u w:val="none"/>
                <w:lang w:val="fr-CA"/>
              </w:rPr>
              <w:tab/>
              <w:t>77</w:t>
            </w:r>
          </w:p>
          <w:p w:rsidR="00D56082" w:rsidRPr="00B27419" w:rsidRDefault="00D56082" w:rsidP="00B27419">
            <w:pPr>
              <w:pStyle w:val="TOC4"/>
              <w:rPr>
                <w:rFonts w:cs="Times New Roman"/>
                <w:i w:val="0"/>
                <w:sz w:val="22"/>
                <w:lang w:val="fr-CA" w:eastAsia="en-US"/>
              </w:rPr>
            </w:pPr>
            <w:r w:rsidRPr="00B27419">
              <w:rPr>
                <w:rFonts w:cs="Times New Roman"/>
                <w:i w:val="0"/>
                <w:lang w:val="fr-CA"/>
              </w:rPr>
              <w:t>c)</w:t>
            </w:r>
            <w:r w:rsidRPr="00B27419">
              <w:rPr>
                <w:rFonts w:cs="Times New Roman"/>
                <w:i w:val="0"/>
                <w:sz w:val="22"/>
                <w:lang w:val="fr-CA" w:eastAsia="en-US"/>
              </w:rPr>
              <w:tab/>
            </w:r>
            <w:r w:rsidRPr="00B27419">
              <w:rPr>
                <w:rFonts w:cs="Times New Roman"/>
                <w:lang w:val="fr-CA"/>
              </w:rPr>
              <w:t>Argument subsidiaire de la commissaire</w:t>
            </w:r>
            <w:r w:rsidRPr="00B27419">
              <w:rPr>
                <w:rFonts w:cs="Times New Roman"/>
                <w:webHidden/>
                <w:lang w:val="fr-CA"/>
              </w:rPr>
              <w:tab/>
              <w:t>78</w:t>
            </w:r>
          </w:p>
          <w:p w:rsidR="00D56082" w:rsidRPr="00B27419" w:rsidRDefault="00D56082" w:rsidP="00B27419">
            <w:pPr>
              <w:pStyle w:val="TOC4"/>
              <w:rPr>
                <w:rFonts w:cs="Times New Roman"/>
                <w:i w:val="0"/>
                <w:sz w:val="22"/>
                <w:lang w:val="fr-CA" w:eastAsia="en-US"/>
              </w:rPr>
            </w:pPr>
            <w:r w:rsidRPr="00B27419">
              <w:rPr>
                <w:rFonts w:cs="Times New Roman"/>
                <w:i w:val="0"/>
                <w:lang w:val="fr-CA"/>
              </w:rPr>
              <w:t>d)</w:t>
            </w:r>
            <w:r w:rsidRPr="00B27419">
              <w:rPr>
                <w:rFonts w:cs="Times New Roman"/>
                <w:i w:val="0"/>
                <w:sz w:val="22"/>
                <w:lang w:val="fr-CA" w:eastAsia="en-US"/>
              </w:rPr>
              <w:tab/>
            </w:r>
            <w:r w:rsidRPr="00B27419">
              <w:rPr>
                <w:rFonts w:cs="Times New Roman"/>
                <w:lang w:val="fr-CA"/>
              </w:rPr>
              <w:t>Conclusion sur la pondération qu’exige l’art.</w:t>
            </w:r>
            <w:r w:rsidR="00E6271F" w:rsidRPr="00B27419">
              <w:rPr>
                <w:rFonts w:cs="Times New Roman"/>
                <w:lang w:val="fr-CA"/>
              </w:rPr>
              <w:t xml:space="preserve"> </w:t>
            </w:r>
            <w:r w:rsidRPr="00B27419">
              <w:rPr>
                <w:rFonts w:cs="Times New Roman"/>
                <w:lang w:val="fr-CA"/>
              </w:rPr>
              <w:t>96</w:t>
            </w:r>
            <w:r w:rsidRPr="00B27419">
              <w:rPr>
                <w:rFonts w:cs="Times New Roman"/>
                <w:webHidden/>
                <w:lang w:val="fr-CA"/>
              </w:rPr>
              <w:tab/>
              <w:t>81</w:t>
            </w:r>
          </w:p>
          <w:p w:rsidR="00D56082" w:rsidRPr="00B27419" w:rsidRDefault="00D56082" w:rsidP="00B27419">
            <w:pPr>
              <w:pStyle w:val="TOC3"/>
              <w:rPr>
                <w:rFonts w:eastAsiaTheme="minorEastAsia"/>
                <w:sz w:val="22"/>
                <w:szCs w:val="22"/>
                <w:u w:val="none"/>
                <w:lang w:val="fr-CA" w:eastAsia="en-US"/>
              </w:rPr>
            </w:pPr>
            <w:r w:rsidRPr="00B27419">
              <w:rPr>
                <w:u w:val="none"/>
                <w:lang w:val="fr-CA"/>
              </w:rPr>
              <w:t>(6)</w:t>
            </w:r>
            <w:r w:rsidRPr="00B27419">
              <w:rPr>
                <w:rFonts w:eastAsiaTheme="minorEastAsia"/>
                <w:sz w:val="22"/>
                <w:szCs w:val="22"/>
                <w:u w:val="none"/>
                <w:lang w:val="fr-CA" w:eastAsia="en-US"/>
              </w:rPr>
              <w:tab/>
            </w:r>
            <w:r w:rsidRPr="00B27419">
              <w:rPr>
                <w:lang w:val="fr-CA"/>
              </w:rPr>
              <w:t>Post</w:t>
            </w:r>
            <w:r w:rsidR="00E6271F" w:rsidRPr="00B27419">
              <w:rPr>
                <w:lang w:val="fr-CA"/>
              </w:rPr>
              <w:t>-</w:t>
            </w:r>
            <w:r w:rsidRPr="00B27419">
              <w:rPr>
                <w:lang w:val="fr-CA"/>
              </w:rPr>
              <w:t>scriptum</w:t>
            </w:r>
            <w:r w:rsidRPr="00B27419">
              <w:rPr>
                <w:webHidden/>
                <w:u w:val="none"/>
                <w:lang w:val="fr-CA"/>
              </w:rPr>
              <w:tab/>
              <w:t>82</w:t>
            </w:r>
          </w:p>
          <w:p w:rsidR="00D56082" w:rsidRPr="00B27419" w:rsidRDefault="00D56082" w:rsidP="00B27419">
            <w:pPr>
              <w:pStyle w:val="TOC1"/>
              <w:rPr>
                <w:sz w:val="22"/>
                <w:lang w:val="fr-CA" w:eastAsia="en-US"/>
              </w:rPr>
            </w:pPr>
            <w:r w:rsidRPr="00B27419">
              <w:rPr>
                <w:lang w:val="fr-CA"/>
              </w:rPr>
              <w:t>VII.</w:t>
            </w:r>
            <w:r w:rsidRPr="00B27419">
              <w:rPr>
                <w:sz w:val="22"/>
                <w:lang w:val="fr-CA" w:eastAsia="en-US"/>
              </w:rPr>
              <w:tab/>
            </w:r>
            <w:r w:rsidRPr="00B27419">
              <w:rPr>
                <w:u w:val="single"/>
                <w:lang w:val="fr-CA"/>
              </w:rPr>
              <w:t>Conclusion</w:t>
            </w:r>
            <w:r w:rsidRPr="00B27419">
              <w:rPr>
                <w:webHidden/>
                <w:lang w:val="fr-CA"/>
              </w:rPr>
              <w:tab/>
              <w:t>83</w:t>
            </w:r>
          </w:p>
          <w:p w:rsidR="00D56082" w:rsidRPr="00B27419" w:rsidRDefault="00D56082" w:rsidP="00B27419">
            <w:pPr>
              <w:pStyle w:val="TOC1"/>
              <w:ind w:left="0"/>
              <w:jc w:val="both"/>
              <w:rPr>
                <w:sz w:val="22"/>
                <w:lang w:val="fr-CA" w:eastAsia="en-US"/>
              </w:rPr>
            </w:pPr>
            <w:r w:rsidRPr="00B27419">
              <w:rPr>
                <w:smallCaps/>
                <w:lang w:val="fr-CA"/>
              </w:rPr>
              <w:t>An AAnnexe</w:t>
            </w:r>
            <w:r w:rsidR="00E6271F" w:rsidRPr="00225F90">
              <w:rPr>
                <w:lang w:val="fr-CA"/>
              </w:rPr>
              <w:t> </w:t>
            </w:r>
            <w:r w:rsidR="00E6271F" w:rsidRPr="00724DE3">
              <w:rPr>
                <w:lang w:val="fr-CA"/>
              </w:rPr>
              <w:t>:</w:t>
            </w:r>
            <w:r w:rsidRPr="00B27419">
              <w:rPr>
                <w:b/>
                <w:lang w:val="fr-CA"/>
              </w:rPr>
              <w:t xml:space="preserve"> </w:t>
            </w:r>
            <w:r w:rsidRPr="00B27419">
              <w:rPr>
                <w:lang w:val="fr-CA"/>
              </w:rPr>
              <w:t xml:space="preserve">Articles 1.1, 79(1), 92, 93 et 96 de la </w:t>
            </w:r>
            <w:r w:rsidRPr="00B27419">
              <w:rPr>
                <w:i/>
                <w:lang w:val="fr-CA"/>
              </w:rPr>
              <w:t>Loi sur la concurrence</w:t>
            </w:r>
            <w:r w:rsidRPr="00B27419">
              <w:rPr>
                <w:lang w:val="fr-CA"/>
              </w:rPr>
              <w:t xml:space="preserve">, L.R.C. </w:t>
            </w:r>
            <w:r w:rsidRPr="00B27419">
              <w:rPr>
                <w:lang w:val="fr-CA"/>
              </w:rPr>
              <w:lastRenderedPageBreak/>
              <w:t>1985, c.</w:t>
            </w:r>
            <w:r w:rsidR="00E6271F" w:rsidRPr="00B27419">
              <w:rPr>
                <w:lang w:val="fr-CA"/>
              </w:rPr>
              <w:t xml:space="preserve"> </w:t>
            </w:r>
            <w:r w:rsidRPr="00B27419">
              <w:rPr>
                <w:lang w:val="fr-CA"/>
              </w:rPr>
              <w:t>C-34</w:t>
            </w:r>
          </w:p>
          <w:p w:rsidR="00D56082" w:rsidRPr="00B27419" w:rsidRDefault="005D357D" w:rsidP="00B27419">
            <w:pPr>
              <w:tabs>
                <w:tab w:val="left" w:pos="720"/>
                <w:tab w:val="right" w:leader="dot" w:pos="8266"/>
              </w:tabs>
              <w:spacing w:before="120" w:after="120"/>
              <w:ind w:left="720" w:hanging="720"/>
              <w:rPr>
                <w:lang w:val="fr-CA"/>
              </w:rPr>
            </w:pPr>
            <w:r w:rsidRPr="00B27419">
              <w:rPr>
                <w:lang w:val="fr-CA"/>
              </w:rPr>
              <w:fldChar w:fldCharType="end"/>
            </w:r>
          </w:p>
        </w:tc>
        <w:tc>
          <w:tcPr>
            <w:tcW w:w="720" w:type="dxa"/>
          </w:tcPr>
          <w:p w:rsidR="00D56082" w:rsidRPr="00B27419" w:rsidRDefault="00D56082" w:rsidP="00B27419">
            <w:pPr>
              <w:spacing w:before="120" w:after="120"/>
              <w:rPr>
                <w:lang w:val="fr-CA"/>
              </w:rPr>
            </w:pPr>
            <w:r w:rsidRPr="00B27419">
              <w:rPr>
                <w:lang w:val="fr-CA"/>
              </w:rPr>
              <w:lastRenderedPageBreak/>
              <w:t>1</w:t>
            </w:r>
          </w:p>
          <w:p w:rsidR="00D56082" w:rsidRPr="00B27419" w:rsidRDefault="00D56082" w:rsidP="00B27419">
            <w:pPr>
              <w:spacing w:before="120" w:after="120"/>
              <w:rPr>
                <w:lang w:val="fr-CA"/>
              </w:rPr>
            </w:pPr>
            <w:r w:rsidRPr="00B27419">
              <w:rPr>
                <w:lang w:val="fr-CA"/>
              </w:rPr>
              <w:t>3</w:t>
            </w:r>
          </w:p>
          <w:p w:rsidR="00D56082" w:rsidRPr="00B27419" w:rsidRDefault="00D56082" w:rsidP="00B27419">
            <w:pPr>
              <w:spacing w:before="120" w:after="120"/>
              <w:rPr>
                <w:lang w:val="fr-CA"/>
              </w:rPr>
            </w:pPr>
            <w:r w:rsidRPr="00B27419">
              <w:rPr>
                <w:lang w:val="fr-CA"/>
              </w:rPr>
              <w:t>9</w:t>
            </w:r>
          </w:p>
          <w:p w:rsidR="00D56082" w:rsidRPr="00B27419" w:rsidRDefault="00D56082" w:rsidP="00B27419">
            <w:pPr>
              <w:spacing w:before="120" w:after="120"/>
              <w:rPr>
                <w:lang w:val="fr-CA"/>
              </w:rPr>
            </w:pPr>
            <w:r w:rsidRPr="00B27419">
              <w:rPr>
                <w:lang w:val="fr-CA"/>
              </w:rPr>
              <w:t>10</w:t>
            </w:r>
          </w:p>
          <w:p w:rsidR="00D56082" w:rsidRPr="00B27419" w:rsidRDefault="00D56082" w:rsidP="00B27419">
            <w:pPr>
              <w:spacing w:before="120" w:after="120"/>
              <w:rPr>
                <w:lang w:val="fr-CA"/>
              </w:rPr>
            </w:pPr>
            <w:r w:rsidRPr="00B27419">
              <w:rPr>
                <w:lang w:val="fr-CA"/>
              </w:rPr>
              <w:t>10</w:t>
            </w:r>
          </w:p>
          <w:p w:rsidR="00D56082" w:rsidRPr="00B27419" w:rsidRDefault="00D56082" w:rsidP="00B27419">
            <w:pPr>
              <w:spacing w:before="120" w:after="120"/>
              <w:rPr>
                <w:lang w:val="fr-CA"/>
              </w:rPr>
            </w:pPr>
            <w:r w:rsidRPr="00B27419">
              <w:rPr>
                <w:lang w:val="fr-CA"/>
              </w:rPr>
              <w:t>11</w:t>
            </w:r>
          </w:p>
          <w:p w:rsidR="00D56082" w:rsidRPr="00B27419" w:rsidRDefault="00D56082" w:rsidP="00B27419">
            <w:pPr>
              <w:spacing w:before="120" w:after="120"/>
              <w:rPr>
                <w:lang w:val="fr-CA"/>
              </w:rPr>
            </w:pPr>
            <w:r w:rsidRPr="00B27419">
              <w:rPr>
                <w:lang w:val="fr-CA"/>
              </w:rPr>
              <w:t>17</w:t>
            </w:r>
          </w:p>
          <w:p w:rsidR="00D56082" w:rsidRPr="00B27419" w:rsidRDefault="00D56082" w:rsidP="00B27419">
            <w:pPr>
              <w:spacing w:before="120" w:after="120"/>
              <w:rPr>
                <w:lang w:val="fr-CA"/>
              </w:rPr>
            </w:pPr>
            <w:r w:rsidRPr="00B27419">
              <w:rPr>
                <w:lang w:val="fr-CA"/>
              </w:rPr>
              <w:t>23</w:t>
            </w:r>
          </w:p>
          <w:p w:rsidR="00D56082" w:rsidRPr="00B27419" w:rsidRDefault="00D56082" w:rsidP="00B27419">
            <w:pPr>
              <w:spacing w:before="120" w:after="120"/>
              <w:rPr>
                <w:lang w:val="fr-CA"/>
              </w:rPr>
            </w:pPr>
            <w:r w:rsidRPr="00B27419">
              <w:rPr>
                <w:lang w:val="fr-CA"/>
              </w:rPr>
              <w:t>25</w:t>
            </w:r>
          </w:p>
          <w:p w:rsidR="00D56082" w:rsidRPr="00B27419" w:rsidRDefault="00D56082" w:rsidP="00B27419">
            <w:pPr>
              <w:spacing w:before="120" w:after="120"/>
              <w:rPr>
                <w:lang w:val="fr-CA"/>
              </w:rPr>
            </w:pPr>
            <w:r w:rsidRPr="00B27419">
              <w:rPr>
                <w:lang w:val="fr-CA"/>
              </w:rPr>
              <w:t>28</w:t>
            </w:r>
          </w:p>
          <w:p w:rsidR="00D56082" w:rsidRPr="00B27419" w:rsidRDefault="00D56082" w:rsidP="00B27419">
            <w:pPr>
              <w:spacing w:before="120" w:after="120"/>
              <w:rPr>
                <w:lang w:val="fr-CA"/>
              </w:rPr>
            </w:pPr>
            <w:r w:rsidRPr="00B27419">
              <w:rPr>
                <w:lang w:val="fr-CA"/>
              </w:rPr>
              <w:t>33</w:t>
            </w:r>
          </w:p>
          <w:p w:rsidR="00D56082" w:rsidRPr="00B27419" w:rsidRDefault="00D56082" w:rsidP="00B27419">
            <w:pPr>
              <w:spacing w:before="120" w:after="120"/>
              <w:rPr>
                <w:lang w:val="fr-CA"/>
              </w:rPr>
            </w:pPr>
            <w:r w:rsidRPr="00B27419">
              <w:rPr>
                <w:lang w:val="fr-CA"/>
              </w:rPr>
              <w:t>34</w:t>
            </w:r>
          </w:p>
          <w:p w:rsidR="00D56082" w:rsidRPr="00B27419" w:rsidRDefault="00D56082" w:rsidP="00B27419">
            <w:pPr>
              <w:spacing w:before="120" w:after="120"/>
              <w:rPr>
                <w:lang w:val="fr-CA"/>
              </w:rPr>
            </w:pPr>
            <w:r w:rsidRPr="00B27419">
              <w:rPr>
                <w:lang w:val="fr-CA"/>
              </w:rPr>
              <w:t>34</w:t>
            </w:r>
          </w:p>
          <w:p w:rsidR="00D56082" w:rsidRPr="00B27419" w:rsidRDefault="00D56082" w:rsidP="00B27419">
            <w:pPr>
              <w:spacing w:before="120" w:after="120"/>
              <w:rPr>
                <w:lang w:val="fr-CA"/>
              </w:rPr>
            </w:pPr>
            <w:r w:rsidRPr="00B27419">
              <w:rPr>
                <w:lang w:val="fr-CA"/>
              </w:rPr>
              <w:br/>
              <w:t>41</w:t>
            </w:r>
          </w:p>
          <w:p w:rsidR="00D56082" w:rsidRPr="00B27419" w:rsidRDefault="00D56082" w:rsidP="00B27419">
            <w:pPr>
              <w:spacing w:before="120" w:after="120"/>
              <w:rPr>
                <w:lang w:val="fr-CA"/>
              </w:rPr>
            </w:pPr>
            <w:r w:rsidRPr="00B27419">
              <w:rPr>
                <w:lang w:val="fr-CA"/>
              </w:rPr>
              <w:t>42</w:t>
            </w:r>
          </w:p>
          <w:p w:rsidR="00D56082" w:rsidRPr="00B27419" w:rsidRDefault="00D56082" w:rsidP="00B27419">
            <w:pPr>
              <w:spacing w:before="120" w:after="120"/>
              <w:rPr>
                <w:lang w:val="fr-CA"/>
              </w:rPr>
            </w:pPr>
            <w:r w:rsidRPr="00B27419">
              <w:rPr>
                <w:lang w:val="fr-CA"/>
              </w:rPr>
              <w:br/>
              <w:t>49</w:t>
            </w:r>
          </w:p>
          <w:p w:rsidR="00D56082" w:rsidRPr="00B27419" w:rsidRDefault="00D56082" w:rsidP="00B27419">
            <w:pPr>
              <w:spacing w:before="120" w:after="120"/>
              <w:rPr>
                <w:lang w:val="fr-CA"/>
              </w:rPr>
            </w:pPr>
            <w:r w:rsidRPr="00B27419">
              <w:rPr>
                <w:lang w:val="fr-CA"/>
              </w:rPr>
              <w:lastRenderedPageBreak/>
              <w:t>49</w:t>
            </w:r>
          </w:p>
          <w:p w:rsidR="00D56082" w:rsidRPr="00B27419" w:rsidRDefault="00D56082" w:rsidP="00B27419">
            <w:pPr>
              <w:spacing w:before="120" w:after="120"/>
              <w:rPr>
                <w:lang w:val="fr-CA"/>
              </w:rPr>
            </w:pPr>
            <w:r w:rsidRPr="00B27419">
              <w:rPr>
                <w:lang w:val="fr-CA"/>
              </w:rPr>
              <w:br/>
              <w:t>52</w:t>
            </w:r>
            <w:r w:rsidRPr="00B27419">
              <w:rPr>
                <w:lang w:val="fr-CA"/>
              </w:rPr>
              <w:br/>
            </w:r>
          </w:p>
          <w:p w:rsidR="00D56082" w:rsidRPr="00B27419" w:rsidRDefault="00D56082" w:rsidP="00B27419">
            <w:pPr>
              <w:spacing w:before="120" w:after="120"/>
              <w:rPr>
                <w:lang w:val="fr-CA"/>
              </w:rPr>
            </w:pPr>
            <w:r w:rsidRPr="00B27419">
              <w:rPr>
                <w:lang w:val="fr-CA"/>
              </w:rPr>
              <w:t>54</w:t>
            </w:r>
          </w:p>
          <w:p w:rsidR="00D56082" w:rsidRPr="00B27419" w:rsidRDefault="00D56082" w:rsidP="00B27419">
            <w:pPr>
              <w:spacing w:before="120" w:after="120"/>
              <w:rPr>
                <w:lang w:val="fr-CA"/>
              </w:rPr>
            </w:pPr>
            <w:r w:rsidRPr="00B27419">
              <w:rPr>
                <w:lang w:val="fr-CA"/>
              </w:rPr>
              <w:t>56</w:t>
            </w:r>
          </w:p>
          <w:p w:rsidR="00D56082" w:rsidRPr="00B27419" w:rsidRDefault="00D56082" w:rsidP="00B27419">
            <w:pPr>
              <w:spacing w:before="120" w:after="120"/>
              <w:rPr>
                <w:lang w:val="fr-CA"/>
              </w:rPr>
            </w:pPr>
            <w:r w:rsidRPr="00B27419">
              <w:rPr>
                <w:lang w:val="fr-CA"/>
              </w:rPr>
              <w:t>60</w:t>
            </w:r>
          </w:p>
          <w:p w:rsidR="00D56082" w:rsidRPr="00B27419" w:rsidRDefault="00D56082" w:rsidP="00B27419">
            <w:pPr>
              <w:spacing w:before="120" w:after="120"/>
              <w:rPr>
                <w:lang w:val="fr-CA"/>
              </w:rPr>
            </w:pPr>
            <w:r w:rsidRPr="00B27419">
              <w:rPr>
                <w:lang w:val="fr-CA"/>
              </w:rPr>
              <w:t>61</w:t>
            </w:r>
          </w:p>
          <w:p w:rsidR="00D56082" w:rsidRPr="00B27419" w:rsidRDefault="00D56082" w:rsidP="00B27419">
            <w:pPr>
              <w:spacing w:before="120" w:after="120"/>
              <w:rPr>
                <w:lang w:val="fr-CA"/>
              </w:rPr>
            </w:pPr>
            <w:r w:rsidRPr="00B27419">
              <w:rPr>
                <w:lang w:val="fr-CA"/>
              </w:rPr>
              <w:t>64</w:t>
            </w:r>
          </w:p>
          <w:p w:rsidR="00D56082" w:rsidRPr="00B27419" w:rsidRDefault="00D56082" w:rsidP="00B27419">
            <w:pPr>
              <w:spacing w:before="120" w:after="120"/>
              <w:rPr>
                <w:lang w:val="fr-CA"/>
              </w:rPr>
            </w:pPr>
            <w:r w:rsidRPr="00B27419">
              <w:rPr>
                <w:lang w:val="fr-CA"/>
              </w:rPr>
              <w:br/>
              <w:t>67</w:t>
            </w:r>
          </w:p>
          <w:p w:rsidR="00D56082" w:rsidRPr="00B27419" w:rsidRDefault="00D56082" w:rsidP="00B27419">
            <w:pPr>
              <w:spacing w:before="120" w:after="120"/>
              <w:rPr>
                <w:lang w:val="fr-CA"/>
              </w:rPr>
            </w:pPr>
            <w:r w:rsidRPr="00B27419">
              <w:rPr>
                <w:lang w:val="fr-CA"/>
              </w:rPr>
              <w:t>78</w:t>
            </w:r>
          </w:p>
          <w:p w:rsidR="00D56082" w:rsidRPr="00B27419" w:rsidRDefault="00D56082" w:rsidP="00B27419">
            <w:pPr>
              <w:spacing w:before="120" w:after="120"/>
              <w:rPr>
                <w:lang w:val="fr-CA"/>
              </w:rPr>
            </w:pPr>
            <w:r w:rsidRPr="00B27419">
              <w:rPr>
                <w:lang w:val="fr-CA"/>
              </w:rPr>
              <w:t>80</w:t>
            </w:r>
          </w:p>
          <w:p w:rsidR="00D56082" w:rsidRPr="00B27419" w:rsidRDefault="00D56082" w:rsidP="00B27419">
            <w:pPr>
              <w:spacing w:before="120" w:after="120"/>
              <w:rPr>
                <w:lang w:val="fr-CA"/>
              </w:rPr>
            </w:pPr>
            <w:r w:rsidRPr="00B27419">
              <w:rPr>
                <w:lang w:val="fr-CA"/>
              </w:rPr>
              <w:t>84</w:t>
            </w:r>
          </w:p>
          <w:p w:rsidR="00D56082" w:rsidRPr="00B27419" w:rsidRDefault="00D56082" w:rsidP="00B27419">
            <w:pPr>
              <w:spacing w:before="120" w:after="120"/>
              <w:rPr>
                <w:lang w:val="fr-CA"/>
              </w:rPr>
            </w:pPr>
            <w:r w:rsidRPr="00B27419">
              <w:rPr>
                <w:lang w:val="fr-CA"/>
              </w:rPr>
              <w:t>85</w:t>
            </w:r>
          </w:p>
          <w:p w:rsidR="00D56082" w:rsidRPr="00B27419" w:rsidRDefault="00D56082" w:rsidP="00B27419">
            <w:pPr>
              <w:spacing w:before="120" w:after="120"/>
              <w:rPr>
                <w:lang w:val="fr-CA"/>
              </w:rPr>
            </w:pPr>
            <w:r w:rsidRPr="00B27419">
              <w:rPr>
                <w:lang w:val="fr-CA"/>
              </w:rPr>
              <w:t>88</w:t>
            </w:r>
          </w:p>
          <w:p w:rsidR="00D56082" w:rsidRPr="00B27419" w:rsidRDefault="00D56082" w:rsidP="00B27419">
            <w:pPr>
              <w:spacing w:before="120" w:after="120"/>
              <w:rPr>
                <w:lang w:val="fr-CA"/>
              </w:rPr>
            </w:pPr>
            <w:r w:rsidRPr="00B27419">
              <w:rPr>
                <w:lang w:val="fr-CA"/>
              </w:rPr>
              <w:t>91</w:t>
            </w:r>
          </w:p>
          <w:p w:rsidR="00D56082" w:rsidRPr="00B27419" w:rsidRDefault="00D56082" w:rsidP="00B27419">
            <w:pPr>
              <w:spacing w:before="120" w:after="120"/>
              <w:rPr>
                <w:lang w:val="fr-CA"/>
              </w:rPr>
            </w:pPr>
            <w:r w:rsidRPr="00B27419">
              <w:rPr>
                <w:lang w:val="fr-CA"/>
              </w:rPr>
              <w:br/>
              <w:t>102</w:t>
            </w:r>
          </w:p>
          <w:p w:rsidR="00D56082" w:rsidRPr="00B27419" w:rsidRDefault="00D56082" w:rsidP="00B27419">
            <w:pPr>
              <w:spacing w:before="120" w:after="120"/>
              <w:rPr>
                <w:lang w:val="fr-CA"/>
              </w:rPr>
            </w:pPr>
            <w:r w:rsidRPr="00B27419">
              <w:rPr>
                <w:lang w:val="fr-CA"/>
              </w:rPr>
              <w:t>121</w:t>
            </w:r>
          </w:p>
          <w:p w:rsidR="00D56082" w:rsidRPr="00B27419" w:rsidRDefault="00D56082" w:rsidP="00B27419">
            <w:pPr>
              <w:spacing w:before="120" w:after="120"/>
              <w:rPr>
                <w:lang w:val="fr-CA"/>
              </w:rPr>
            </w:pPr>
            <w:r w:rsidRPr="00B27419">
              <w:rPr>
                <w:lang w:val="fr-CA"/>
              </w:rPr>
              <w:t>122</w:t>
            </w:r>
          </w:p>
          <w:p w:rsidR="00D56082" w:rsidRPr="00B27419" w:rsidRDefault="00D56082" w:rsidP="00B27419">
            <w:pPr>
              <w:spacing w:before="120" w:after="120"/>
              <w:rPr>
                <w:lang w:val="fr-CA"/>
              </w:rPr>
            </w:pPr>
            <w:r w:rsidRPr="00B27419">
              <w:rPr>
                <w:lang w:val="fr-CA"/>
              </w:rPr>
              <w:t>123</w:t>
            </w:r>
          </w:p>
          <w:p w:rsidR="00D56082" w:rsidRPr="00B27419" w:rsidRDefault="00D56082" w:rsidP="00B27419">
            <w:pPr>
              <w:spacing w:before="120" w:after="120"/>
              <w:rPr>
                <w:lang w:val="fr-CA"/>
              </w:rPr>
            </w:pPr>
            <w:r w:rsidRPr="00B27419">
              <w:rPr>
                <w:lang w:val="fr-CA"/>
              </w:rPr>
              <w:br/>
              <w:t>127</w:t>
            </w:r>
          </w:p>
          <w:p w:rsidR="00D56082" w:rsidRPr="00B27419" w:rsidRDefault="00D56082" w:rsidP="00B27419">
            <w:pPr>
              <w:spacing w:before="120" w:after="120"/>
              <w:rPr>
                <w:lang w:val="fr-CA"/>
              </w:rPr>
            </w:pPr>
            <w:r w:rsidRPr="00B27419">
              <w:rPr>
                <w:lang w:val="fr-CA"/>
              </w:rPr>
              <w:br/>
              <w:t>141</w:t>
            </w:r>
          </w:p>
          <w:p w:rsidR="00D56082" w:rsidRPr="00B27419" w:rsidRDefault="00D56082" w:rsidP="00B27419">
            <w:pPr>
              <w:spacing w:before="120" w:after="120"/>
              <w:rPr>
                <w:lang w:val="fr-CA"/>
              </w:rPr>
            </w:pPr>
            <w:r w:rsidRPr="00B27419">
              <w:rPr>
                <w:lang w:val="fr-CA"/>
              </w:rPr>
              <w:br/>
              <w:t>142</w:t>
            </w:r>
          </w:p>
          <w:p w:rsidR="00D56082" w:rsidRPr="00B27419" w:rsidRDefault="00D56082" w:rsidP="00B27419">
            <w:pPr>
              <w:spacing w:before="120" w:after="120"/>
              <w:rPr>
                <w:lang w:val="fr-CA"/>
              </w:rPr>
            </w:pPr>
            <w:r w:rsidRPr="00B27419">
              <w:rPr>
                <w:lang w:val="fr-CA"/>
              </w:rPr>
              <w:t>156</w:t>
            </w:r>
          </w:p>
          <w:p w:rsidR="00D56082" w:rsidRPr="00B27419" w:rsidRDefault="00D56082" w:rsidP="00B27419">
            <w:pPr>
              <w:spacing w:before="120" w:after="120"/>
              <w:rPr>
                <w:lang w:val="fr-CA"/>
              </w:rPr>
            </w:pPr>
            <w:r w:rsidRPr="00B27419">
              <w:rPr>
                <w:lang w:val="fr-CA"/>
              </w:rPr>
              <w:t>159</w:t>
            </w:r>
          </w:p>
          <w:p w:rsidR="00D56082" w:rsidRPr="00B27419" w:rsidRDefault="00D56082" w:rsidP="00B27419">
            <w:pPr>
              <w:spacing w:before="120" w:after="120"/>
              <w:rPr>
                <w:lang w:val="fr-CA"/>
              </w:rPr>
            </w:pPr>
            <w:r w:rsidRPr="00B27419">
              <w:rPr>
                <w:lang w:val="fr-CA"/>
              </w:rPr>
              <w:t>161</w:t>
            </w:r>
          </w:p>
          <w:p w:rsidR="00D56082" w:rsidRPr="00B27419" w:rsidRDefault="00D56082" w:rsidP="00B27419">
            <w:pPr>
              <w:spacing w:before="120" w:after="120"/>
              <w:rPr>
                <w:lang w:val="fr-CA"/>
              </w:rPr>
            </w:pPr>
            <w:r w:rsidRPr="00B27419">
              <w:rPr>
                <w:lang w:val="fr-CA"/>
              </w:rPr>
              <w:t>165</w:t>
            </w:r>
          </w:p>
          <w:p w:rsidR="00D56082" w:rsidRPr="00B27419" w:rsidRDefault="00D56082" w:rsidP="00B27419">
            <w:pPr>
              <w:spacing w:before="120" w:after="120"/>
              <w:rPr>
                <w:lang w:val="fr-CA"/>
              </w:rPr>
            </w:pPr>
            <w:r w:rsidRPr="00B27419">
              <w:rPr>
                <w:lang w:val="fr-CA"/>
              </w:rPr>
              <w:t>167</w:t>
            </w:r>
          </w:p>
          <w:p w:rsidR="00D56082" w:rsidRPr="00B27419" w:rsidRDefault="00D56082" w:rsidP="00B27419">
            <w:pPr>
              <w:spacing w:before="120" w:after="120"/>
              <w:rPr>
                <w:lang w:val="fr-CA"/>
              </w:rPr>
            </w:pPr>
            <w:r w:rsidRPr="00B27419">
              <w:rPr>
                <w:lang w:val="fr-CA"/>
              </w:rPr>
              <w:t>168</w:t>
            </w:r>
          </w:p>
          <w:p w:rsidR="00D56082" w:rsidRPr="00B27419" w:rsidRDefault="00D56082" w:rsidP="00B27419">
            <w:pPr>
              <w:spacing w:before="120" w:after="120"/>
              <w:rPr>
                <w:lang w:val="fr-CA"/>
              </w:rPr>
            </w:pPr>
          </w:p>
        </w:tc>
      </w:tr>
    </w:tbl>
    <w:p w:rsidR="0039493A" w:rsidRPr="00B27419" w:rsidRDefault="0039493A" w:rsidP="00B27419">
      <w:pPr>
        <w:pStyle w:val="Title1LevelTitre1Niveau-AltL"/>
        <w:rPr>
          <w:rFonts w:cs="Times New Roman"/>
          <w:lang w:val="fr-CA"/>
        </w:rPr>
      </w:pPr>
      <w:bookmarkStart w:id="1" w:name="_Toc396299520"/>
      <w:bookmarkStart w:id="2" w:name="_Toc397586751"/>
      <w:bookmarkStart w:id="3" w:name="_Toc409593435"/>
      <w:r w:rsidRPr="00B27419">
        <w:rPr>
          <w:rFonts w:cs="Times New Roman"/>
          <w:lang w:val="fr-CA"/>
        </w:rPr>
        <w:lastRenderedPageBreak/>
        <w:t>Aperçu</w:t>
      </w:r>
      <w:bookmarkEnd w:id="1"/>
      <w:bookmarkEnd w:id="2"/>
      <w:bookmarkEnd w:id="3"/>
    </w:p>
    <w:p w:rsidR="0039493A" w:rsidRPr="00B27419" w:rsidRDefault="0039493A" w:rsidP="00B27419">
      <w:pPr>
        <w:pStyle w:val="ParaNoNdepar-AltN"/>
        <w:numPr>
          <w:ilvl w:val="0"/>
          <w:numId w:val="10"/>
        </w:numPr>
        <w:rPr>
          <w:rFonts w:cs="Times New Roman"/>
          <w:lang w:val="fr-CA"/>
        </w:rPr>
      </w:pPr>
      <w:r w:rsidRPr="00B27419">
        <w:rPr>
          <w:rFonts w:cs="Times New Roman"/>
          <w:lang w:val="fr-CA"/>
        </w:rPr>
        <w:t xml:space="preserve">L’appelante dans la présente affaire, </w:t>
      </w:r>
      <w:proofErr w:type="spellStart"/>
      <w:r w:rsidRPr="00B27419">
        <w:rPr>
          <w:rFonts w:cs="Times New Roman"/>
          <w:lang w:val="fr-CA"/>
        </w:rPr>
        <w:t>Tervita</w:t>
      </w:r>
      <w:proofErr w:type="spellEnd"/>
      <w:r w:rsidRPr="00B27419">
        <w:rPr>
          <w:rFonts w:cs="Times New Roman"/>
          <w:lang w:val="fr-CA"/>
        </w:rPr>
        <w:t xml:space="preserve"> Corp., exploite deux sites d’enfouissement sécuritaire de déchets dangereux en Colombie</w:t>
      </w:r>
      <w:r w:rsidR="00E6271F" w:rsidRPr="00B27419">
        <w:rPr>
          <w:rFonts w:cs="Times New Roman"/>
          <w:lang w:val="fr-CA"/>
        </w:rPr>
        <w:t>-</w:t>
      </w:r>
      <w:r w:rsidRPr="00B27419">
        <w:rPr>
          <w:rFonts w:cs="Times New Roman"/>
          <w:lang w:val="fr-CA"/>
        </w:rPr>
        <w:t xml:space="preserve">Britannique. En février 2010, elle a procédé à l’acquisition d’une entreprise titulaire d’un permis visant un autre site d’enfouissement sécuritaire. Cette opération a attiré l’attention de la commissaire de la concurrence, qui a alors ordonné l’examen du fusionnement sous le régime de la </w:t>
      </w:r>
      <w:r w:rsidRPr="00B27419">
        <w:rPr>
          <w:rFonts w:cs="Times New Roman"/>
          <w:i/>
          <w:iCs/>
          <w:lang w:val="fr-CA"/>
        </w:rPr>
        <w:t>Loi sur la concurrence</w:t>
      </w:r>
      <w:r w:rsidRPr="00B27419">
        <w:rPr>
          <w:rFonts w:cs="Times New Roman"/>
          <w:iCs/>
          <w:lang w:val="fr-CA"/>
        </w:rPr>
        <w:t>,</w:t>
      </w:r>
      <w:r w:rsidRPr="00B27419">
        <w:rPr>
          <w:rFonts w:cs="Times New Roman"/>
          <w:i/>
          <w:iCs/>
          <w:lang w:val="fr-CA"/>
        </w:rPr>
        <w:t xml:space="preserve"> </w:t>
      </w:r>
      <w:r w:rsidRPr="00B27419">
        <w:rPr>
          <w:rFonts w:cs="Times New Roman"/>
          <w:lang w:val="fr-CA"/>
        </w:rPr>
        <w:t>L.R.C. 1985, c.</w:t>
      </w:r>
      <w:r w:rsidR="00E6271F" w:rsidRPr="00B27419">
        <w:rPr>
          <w:rFonts w:cs="Times New Roman"/>
          <w:lang w:val="fr-CA"/>
        </w:rPr>
        <w:t xml:space="preserve"> </w:t>
      </w:r>
      <w:r w:rsidRPr="00B27419">
        <w:rPr>
          <w:rFonts w:cs="Times New Roman"/>
          <w:lang w:val="fr-CA"/>
        </w:rPr>
        <w:t>C</w:t>
      </w:r>
      <w:r w:rsidR="00E6271F" w:rsidRPr="00B27419">
        <w:rPr>
          <w:rFonts w:cs="Times New Roman"/>
          <w:lang w:val="fr-CA"/>
        </w:rPr>
        <w:t>-</w:t>
      </w:r>
      <w:r w:rsidRPr="00B27419">
        <w:rPr>
          <w:rFonts w:cs="Times New Roman"/>
          <w:lang w:val="fr-CA"/>
        </w:rPr>
        <w:t>34 (</w:t>
      </w:r>
      <w:r w:rsidR="00724DE3">
        <w:rPr>
          <w:rFonts w:cs="Times New Roman"/>
          <w:lang w:val="fr-CA"/>
        </w:rPr>
        <w:t xml:space="preserve">la </w:t>
      </w:r>
      <w:r w:rsidR="00B27419">
        <w:rPr>
          <w:rFonts w:cs="Times New Roman"/>
          <w:lang w:val="fr-CA"/>
        </w:rPr>
        <w:t>« </w:t>
      </w:r>
      <w:r w:rsidRPr="00B27419">
        <w:rPr>
          <w:rFonts w:cs="Times New Roman"/>
          <w:lang w:val="fr-CA"/>
        </w:rPr>
        <w:t>Loi</w:t>
      </w:r>
      <w:r w:rsidR="00B27419">
        <w:rPr>
          <w:rFonts w:cs="Times New Roman"/>
          <w:lang w:val="fr-CA"/>
        </w:rPr>
        <w:t> »</w:t>
      </w:r>
      <w:r w:rsidRPr="00B27419">
        <w:rPr>
          <w:rFonts w:cs="Times New Roman"/>
          <w:lang w:val="fr-CA"/>
        </w:rPr>
        <w:t>).</w:t>
      </w:r>
    </w:p>
    <w:p w:rsidR="0039493A" w:rsidRPr="00B27419" w:rsidRDefault="0039493A" w:rsidP="00B27419">
      <w:pPr>
        <w:pStyle w:val="ParaNoNdepar-AltN"/>
        <w:numPr>
          <w:ilvl w:val="0"/>
          <w:numId w:val="10"/>
        </w:numPr>
        <w:rPr>
          <w:rFonts w:cs="Times New Roman"/>
          <w:lang w:val="fr-CA"/>
        </w:rPr>
      </w:pPr>
      <w:r w:rsidRPr="00B27419">
        <w:rPr>
          <w:rFonts w:cs="Times New Roman"/>
          <w:lang w:val="fr-CA"/>
        </w:rPr>
        <w:t xml:space="preserve">La Loi a pour objet notamment </w:t>
      </w:r>
      <w:r w:rsidR="00B27419">
        <w:rPr>
          <w:rFonts w:cs="Times New Roman"/>
          <w:lang w:val="fr-CA"/>
        </w:rPr>
        <w:t>« </w:t>
      </w:r>
      <w:r w:rsidR="008E3BA9" w:rsidRPr="00B27419">
        <w:rPr>
          <w:rFonts w:cs="Times New Roman"/>
          <w:lang w:val="fr-CA"/>
        </w:rPr>
        <w:t xml:space="preserve">de </w:t>
      </w:r>
      <w:r w:rsidRPr="00B27419">
        <w:rPr>
          <w:rFonts w:cs="Times New Roman"/>
          <w:lang w:val="fr-CA"/>
        </w:rPr>
        <w:t>préserver et de favoriser la concurrence au Canada dans le but de stimuler l’adaptabilité et l’efficience de l’économie canadienne</w:t>
      </w:r>
      <w:r w:rsidR="00B27419">
        <w:rPr>
          <w:rFonts w:cs="Times New Roman"/>
          <w:lang w:val="fr-CA"/>
        </w:rPr>
        <w:t> »</w:t>
      </w:r>
      <w:r w:rsidRPr="00B27419">
        <w:rPr>
          <w:rFonts w:cs="Times New Roman"/>
          <w:lang w:val="fr-CA"/>
        </w:rPr>
        <w:t xml:space="preserve"> (art.</w:t>
      </w:r>
      <w:r w:rsidR="00E6271F" w:rsidRPr="00B27419">
        <w:rPr>
          <w:rFonts w:cs="Times New Roman"/>
          <w:lang w:val="fr-CA"/>
        </w:rPr>
        <w:t xml:space="preserve"> </w:t>
      </w:r>
      <w:r w:rsidRPr="00B27419">
        <w:rPr>
          <w:rFonts w:cs="Times New Roman"/>
          <w:lang w:val="fr-CA"/>
        </w:rPr>
        <w:t>1.1). C’est dans cet esprit que s’effectue l’examen d’un fusionnement. Le présent pourvoi offre à la Cour l’occasion de se pencher sur deux aspects d’un tel exercice</w:t>
      </w:r>
      <w:r w:rsidR="00E6271F" w:rsidRPr="00B27419">
        <w:rPr>
          <w:rFonts w:cs="Times New Roman"/>
          <w:lang w:val="fr-CA"/>
        </w:rPr>
        <w:t> :</w:t>
      </w:r>
      <w:r w:rsidRPr="00B27419">
        <w:rPr>
          <w:rFonts w:cs="Times New Roman"/>
          <w:lang w:val="fr-CA"/>
        </w:rPr>
        <w:t xml:space="preserve"> le volet de l’art.</w:t>
      </w:r>
      <w:r w:rsidR="00E6271F" w:rsidRPr="00B27419">
        <w:rPr>
          <w:rFonts w:cs="Times New Roman"/>
          <w:lang w:val="fr-CA"/>
        </w:rPr>
        <w:t xml:space="preserve"> </w:t>
      </w:r>
      <w:r w:rsidRPr="00B27419">
        <w:rPr>
          <w:rFonts w:cs="Times New Roman"/>
          <w:lang w:val="fr-CA"/>
        </w:rPr>
        <w:t xml:space="preserve">92 </w:t>
      </w:r>
      <w:proofErr w:type="gramStart"/>
      <w:r w:rsidRPr="00B27419">
        <w:rPr>
          <w:rFonts w:cs="Times New Roman"/>
          <w:lang w:val="fr-CA"/>
        </w:rPr>
        <w:t>relatif</w:t>
      </w:r>
      <w:proofErr w:type="gramEnd"/>
      <w:r w:rsidRPr="00B27419">
        <w:rPr>
          <w:rFonts w:cs="Times New Roman"/>
          <w:lang w:val="fr-CA"/>
        </w:rPr>
        <w:t xml:space="preserve"> à l’</w:t>
      </w:r>
      <w:r w:rsidR="00B27419">
        <w:rPr>
          <w:rFonts w:cs="Times New Roman"/>
          <w:lang w:val="fr-CA"/>
        </w:rPr>
        <w:t>« </w:t>
      </w:r>
      <w:r w:rsidRPr="00B27419">
        <w:rPr>
          <w:rFonts w:cs="Times New Roman"/>
          <w:lang w:val="fr-CA"/>
        </w:rPr>
        <w:t>empêchement</w:t>
      </w:r>
      <w:r w:rsidR="00B27419">
        <w:rPr>
          <w:rFonts w:cs="Times New Roman"/>
          <w:lang w:val="fr-CA"/>
        </w:rPr>
        <w:t> »</w:t>
      </w:r>
      <w:r w:rsidRPr="00B27419">
        <w:rPr>
          <w:rFonts w:cs="Times New Roman"/>
          <w:lang w:val="fr-CA"/>
        </w:rPr>
        <w:t xml:space="preserve"> et la défense fondée sur les gains en efficience, énoncée à l’art.</w:t>
      </w:r>
      <w:r w:rsidR="00E6271F" w:rsidRPr="00B27419">
        <w:rPr>
          <w:rFonts w:cs="Times New Roman"/>
          <w:lang w:val="fr-CA"/>
        </w:rPr>
        <w:t xml:space="preserve"> </w:t>
      </w:r>
      <w:r w:rsidRPr="00B27419">
        <w:rPr>
          <w:rFonts w:cs="Times New Roman"/>
          <w:lang w:val="fr-CA"/>
        </w:rPr>
        <w:t>96.</w:t>
      </w:r>
    </w:p>
    <w:p w:rsidR="0039493A" w:rsidRPr="00B27419" w:rsidRDefault="0039493A" w:rsidP="00B27419">
      <w:pPr>
        <w:pStyle w:val="Title1LevelTitre1Niveau-AltL"/>
        <w:rPr>
          <w:rFonts w:cs="Times New Roman"/>
          <w:lang w:val="fr-CA"/>
        </w:rPr>
      </w:pPr>
      <w:bookmarkStart w:id="4" w:name="_Toc396299521"/>
      <w:bookmarkStart w:id="5" w:name="_Toc397586752"/>
      <w:bookmarkStart w:id="6" w:name="_Toc409593436"/>
      <w:r w:rsidRPr="00B27419">
        <w:rPr>
          <w:rFonts w:cs="Times New Roman"/>
          <w:lang w:val="fr-CA"/>
        </w:rPr>
        <w:t>Faits</w:t>
      </w:r>
      <w:bookmarkEnd w:id="4"/>
      <w:bookmarkEnd w:id="5"/>
      <w:bookmarkEnd w:id="6"/>
      <w:r w:rsidRPr="00B27419">
        <w:rPr>
          <w:rFonts w:cs="Times New Roman"/>
          <w:lang w:val="fr-CA"/>
        </w:rPr>
        <w:t xml:space="preserve"> </w:t>
      </w:r>
    </w:p>
    <w:p w:rsidR="0039493A" w:rsidRPr="00B27419" w:rsidRDefault="0039493A" w:rsidP="00B27419">
      <w:pPr>
        <w:pStyle w:val="ParaNoNdepar-AltN"/>
        <w:rPr>
          <w:rFonts w:cs="Times New Roman"/>
          <w:lang w:val="fr-CA"/>
        </w:rPr>
      </w:pPr>
      <w:r w:rsidRPr="00B27419">
        <w:rPr>
          <w:rFonts w:cs="Times New Roman"/>
          <w:lang w:val="fr-CA"/>
        </w:rPr>
        <w:t xml:space="preserve">Quatre permis d’exploitation visant des sites d’enfouissement sécuritaire des déchets dangereux produits par des exploitations pétrolières et gazières ont été délivrés dans le </w:t>
      </w:r>
      <w:proofErr w:type="spellStart"/>
      <w:r w:rsidRPr="00B27419">
        <w:rPr>
          <w:rFonts w:cs="Times New Roman"/>
          <w:lang w:val="fr-CA"/>
        </w:rPr>
        <w:t>Nord</w:t>
      </w:r>
      <w:r w:rsidR="00E6271F" w:rsidRPr="00B27419">
        <w:rPr>
          <w:rFonts w:cs="Times New Roman"/>
          <w:lang w:val="fr-CA"/>
        </w:rPr>
        <w:t>-</w:t>
      </w:r>
      <w:r w:rsidRPr="00B27419">
        <w:rPr>
          <w:rFonts w:cs="Times New Roman"/>
          <w:lang w:val="fr-CA"/>
        </w:rPr>
        <w:t>Est</w:t>
      </w:r>
      <w:proofErr w:type="spellEnd"/>
      <w:r w:rsidRPr="00B27419">
        <w:rPr>
          <w:rFonts w:cs="Times New Roman"/>
          <w:lang w:val="fr-CA"/>
        </w:rPr>
        <w:t xml:space="preserve"> de la Colombie</w:t>
      </w:r>
      <w:r w:rsidR="00E6271F" w:rsidRPr="00B27419">
        <w:rPr>
          <w:rFonts w:cs="Times New Roman"/>
          <w:lang w:val="fr-CA"/>
        </w:rPr>
        <w:t>-</w:t>
      </w:r>
      <w:r w:rsidRPr="00B27419">
        <w:rPr>
          <w:rFonts w:cs="Times New Roman"/>
          <w:lang w:val="fr-CA"/>
        </w:rPr>
        <w:t xml:space="preserve">Britannique. </w:t>
      </w:r>
      <w:proofErr w:type="spellStart"/>
      <w:r w:rsidRPr="00B27419">
        <w:rPr>
          <w:rFonts w:cs="Times New Roman"/>
          <w:lang w:val="fr-CA"/>
        </w:rPr>
        <w:t>Tervita</w:t>
      </w:r>
      <w:proofErr w:type="spellEnd"/>
      <w:r w:rsidRPr="00B27419">
        <w:rPr>
          <w:rFonts w:cs="Times New Roman"/>
          <w:lang w:val="fr-CA"/>
        </w:rPr>
        <w:t xml:space="preserve"> Corp., appelante, est titulaire de deux de ces permis, en vertu desquels elle exploite les sites </w:t>
      </w:r>
      <w:r w:rsidRPr="00B27419">
        <w:rPr>
          <w:rFonts w:cs="Times New Roman"/>
          <w:lang w:val="fr-CA"/>
        </w:rPr>
        <w:lastRenderedPageBreak/>
        <w:t xml:space="preserve">d’enfouissement </w:t>
      </w:r>
      <w:proofErr w:type="spellStart"/>
      <w:r w:rsidRPr="00B27419">
        <w:rPr>
          <w:rFonts w:cs="Times New Roman"/>
          <w:lang w:val="fr-CA"/>
        </w:rPr>
        <w:t>Silverberry</w:t>
      </w:r>
      <w:proofErr w:type="spellEnd"/>
      <w:r w:rsidRPr="00B27419">
        <w:rPr>
          <w:rFonts w:cs="Times New Roman"/>
          <w:lang w:val="fr-CA"/>
        </w:rPr>
        <w:t xml:space="preserve"> (capacité de six millions de tonnes de déchets) et </w:t>
      </w:r>
      <w:proofErr w:type="spellStart"/>
      <w:r w:rsidRPr="00B27419">
        <w:rPr>
          <w:rFonts w:cs="Times New Roman"/>
          <w:lang w:val="fr-CA"/>
        </w:rPr>
        <w:t>Northern</w:t>
      </w:r>
      <w:proofErr w:type="spellEnd"/>
      <w:r w:rsidRPr="00B27419">
        <w:rPr>
          <w:rFonts w:cs="Times New Roman"/>
          <w:lang w:val="fr-CA"/>
        </w:rPr>
        <w:t xml:space="preserve"> </w:t>
      </w:r>
      <w:proofErr w:type="spellStart"/>
      <w:r w:rsidRPr="00B27419">
        <w:rPr>
          <w:rFonts w:cs="Times New Roman"/>
          <w:lang w:val="fr-CA"/>
        </w:rPr>
        <w:t>Rockies</w:t>
      </w:r>
      <w:proofErr w:type="spellEnd"/>
      <w:r w:rsidRPr="00B27419">
        <w:rPr>
          <w:rFonts w:cs="Times New Roman"/>
          <w:lang w:val="fr-CA"/>
        </w:rPr>
        <w:t xml:space="preserve"> (3</w:t>
      </w:r>
      <w:r w:rsidR="00E6271F" w:rsidRPr="00B27419">
        <w:rPr>
          <w:rFonts w:cs="Times New Roman"/>
          <w:lang w:val="fr-CA"/>
        </w:rPr>
        <w:t xml:space="preserve"> </w:t>
      </w:r>
      <w:r w:rsidRPr="00B27419">
        <w:rPr>
          <w:rFonts w:cs="Times New Roman"/>
          <w:lang w:val="fr-CA"/>
        </w:rPr>
        <w:t>344</w:t>
      </w:r>
      <w:r w:rsidR="00E6271F" w:rsidRPr="00B27419">
        <w:rPr>
          <w:rFonts w:cs="Times New Roman"/>
          <w:lang w:val="fr-CA"/>
        </w:rPr>
        <w:t xml:space="preserve"> </w:t>
      </w:r>
      <w:r w:rsidRPr="00B27419">
        <w:rPr>
          <w:rFonts w:cs="Times New Roman"/>
          <w:lang w:val="fr-CA"/>
        </w:rPr>
        <w:t xml:space="preserve">000 tonnes). Un troisième permis a été délivré à l’égard du site </w:t>
      </w:r>
      <w:proofErr w:type="spellStart"/>
      <w:r w:rsidRPr="00B27419">
        <w:rPr>
          <w:rFonts w:cs="Times New Roman"/>
          <w:lang w:val="fr-CA"/>
        </w:rPr>
        <w:t>Peejay</w:t>
      </w:r>
      <w:proofErr w:type="spellEnd"/>
      <w:r w:rsidRPr="00B27419">
        <w:rPr>
          <w:rFonts w:cs="Times New Roman"/>
          <w:lang w:val="fr-CA"/>
        </w:rPr>
        <w:t>, aménagé par une collectivité autochtone, mais dont les installations n’ont pas encore été construites.</w:t>
      </w:r>
    </w:p>
    <w:p w:rsidR="0039493A" w:rsidRPr="00B27419" w:rsidRDefault="0039493A" w:rsidP="00B27419">
      <w:pPr>
        <w:pStyle w:val="ParaNoNdepar-AltN"/>
        <w:rPr>
          <w:rFonts w:cs="Times New Roman"/>
          <w:lang w:val="fr-CA"/>
        </w:rPr>
      </w:pPr>
      <w:r w:rsidRPr="00B27419">
        <w:rPr>
          <w:rFonts w:cs="Times New Roman"/>
          <w:lang w:val="fr-CA"/>
        </w:rPr>
        <w:t xml:space="preserve">Le quatrième permis, délivré à l’égard du site </w:t>
      </w:r>
      <w:proofErr w:type="spellStart"/>
      <w:r w:rsidRPr="00B27419">
        <w:rPr>
          <w:rFonts w:cs="Times New Roman"/>
          <w:lang w:val="fr-CA"/>
        </w:rPr>
        <w:t>Babkirk</w:t>
      </w:r>
      <w:proofErr w:type="spellEnd"/>
      <w:r w:rsidRPr="00B27419">
        <w:rPr>
          <w:rFonts w:cs="Times New Roman"/>
          <w:lang w:val="fr-CA"/>
        </w:rPr>
        <w:t xml:space="preserve">, est détenu par </w:t>
      </w:r>
      <w:proofErr w:type="spellStart"/>
      <w:r w:rsidRPr="00B27419">
        <w:rPr>
          <w:rFonts w:cs="Times New Roman"/>
          <w:lang w:val="fr-CA"/>
        </w:rPr>
        <w:t>Babkirk</w:t>
      </w:r>
      <w:proofErr w:type="spellEnd"/>
      <w:r w:rsidRPr="00B27419">
        <w:rPr>
          <w:rFonts w:cs="Times New Roman"/>
          <w:lang w:val="fr-CA"/>
        </w:rPr>
        <w:t xml:space="preserve"> Land Services Inc. (</w:t>
      </w:r>
      <w:r w:rsidR="00B27419">
        <w:rPr>
          <w:rFonts w:cs="Times New Roman"/>
          <w:lang w:val="fr-CA"/>
        </w:rPr>
        <w:t>« </w:t>
      </w:r>
      <w:proofErr w:type="spellStart"/>
      <w:r w:rsidRPr="00B27419">
        <w:rPr>
          <w:rFonts w:cs="Times New Roman"/>
          <w:lang w:val="fr-CA"/>
        </w:rPr>
        <w:t>Babkirk</w:t>
      </w:r>
      <w:proofErr w:type="spellEnd"/>
      <w:r w:rsidR="00B27419">
        <w:rPr>
          <w:rFonts w:cs="Times New Roman"/>
          <w:lang w:val="fr-CA"/>
        </w:rPr>
        <w:t> »</w:t>
      </w:r>
      <w:r w:rsidRPr="00B27419">
        <w:rPr>
          <w:rFonts w:cs="Times New Roman"/>
          <w:lang w:val="fr-CA"/>
        </w:rPr>
        <w:t xml:space="preserve">), appelante en l’espèce, une filiale en propriété exclusive de Complete </w:t>
      </w:r>
      <w:proofErr w:type="spellStart"/>
      <w:r w:rsidRPr="00B27419">
        <w:rPr>
          <w:rFonts w:cs="Times New Roman"/>
          <w:lang w:val="fr-CA"/>
        </w:rPr>
        <w:t>Environmental</w:t>
      </w:r>
      <w:proofErr w:type="spellEnd"/>
      <w:r w:rsidRPr="00B27419">
        <w:rPr>
          <w:rFonts w:cs="Times New Roman"/>
          <w:lang w:val="fr-CA"/>
        </w:rPr>
        <w:t xml:space="preserve"> Inc. (</w:t>
      </w:r>
      <w:r w:rsidR="00B27419">
        <w:rPr>
          <w:rFonts w:cs="Times New Roman"/>
          <w:lang w:val="fr-CA"/>
        </w:rPr>
        <w:t>« </w:t>
      </w:r>
      <w:r w:rsidRPr="00B27419">
        <w:rPr>
          <w:rFonts w:cs="Times New Roman"/>
          <w:lang w:val="fr-CA"/>
        </w:rPr>
        <w:t>Complete</w:t>
      </w:r>
      <w:r w:rsidR="00B27419">
        <w:rPr>
          <w:rFonts w:cs="Times New Roman"/>
          <w:lang w:val="fr-CA"/>
        </w:rPr>
        <w:t> »</w:t>
      </w:r>
      <w:r w:rsidRPr="00B27419">
        <w:rPr>
          <w:rFonts w:cs="Times New Roman"/>
          <w:lang w:val="fr-CA"/>
        </w:rPr>
        <w:t xml:space="preserve">), autre appelante. De 1998 à 2004, les propriétaires précédents de </w:t>
      </w:r>
      <w:proofErr w:type="spellStart"/>
      <w:r w:rsidRPr="00B27419">
        <w:rPr>
          <w:rFonts w:cs="Times New Roman"/>
          <w:lang w:val="fr-CA"/>
        </w:rPr>
        <w:t>Babkirk</w:t>
      </w:r>
      <w:proofErr w:type="spellEnd"/>
      <w:r w:rsidRPr="00B27419">
        <w:rPr>
          <w:rFonts w:cs="Times New Roman"/>
          <w:lang w:val="fr-CA"/>
        </w:rPr>
        <w:t xml:space="preserve"> ont exploité à cet endroit un site d’enfouissement de déchets dangereux. En 2009, ils ont vendu </w:t>
      </w:r>
      <w:proofErr w:type="spellStart"/>
      <w:r w:rsidRPr="00B27419">
        <w:rPr>
          <w:rFonts w:cs="Times New Roman"/>
          <w:lang w:val="fr-CA"/>
        </w:rPr>
        <w:t>Babkirk</w:t>
      </w:r>
      <w:proofErr w:type="spellEnd"/>
      <w:r w:rsidRPr="00B27419">
        <w:rPr>
          <w:rFonts w:cs="Times New Roman"/>
          <w:lang w:val="fr-CA"/>
        </w:rPr>
        <w:t xml:space="preserve"> à Complete, que cinq</w:t>
      </w:r>
      <w:r w:rsidR="00E6271F" w:rsidRPr="00B27419">
        <w:rPr>
          <w:rFonts w:cs="Times New Roman"/>
          <w:lang w:val="fr-CA"/>
        </w:rPr>
        <w:t xml:space="preserve"> </w:t>
      </w:r>
      <w:r w:rsidRPr="00B27419">
        <w:rPr>
          <w:rFonts w:cs="Times New Roman"/>
          <w:lang w:val="fr-CA"/>
        </w:rPr>
        <w:t xml:space="preserve">investisseurs (les </w:t>
      </w:r>
      <w:r w:rsidR="00B27419">
        <w:rPr>
          <w:rFonts w:cs="Times New Roman"/>
          <w:lang w:val="fr-CA"/>
        </w:rPr>
        <w:t>« </w:t>
      </w:r>
      <w:r w:rsidRPr="00B27419">
        <w:rPr>
          <w:rFonts w:cs="Times New Roman"/>
          <w:lang w:val="fr-CA"/>
        </w:rPr>
        <w:t>vendeurs</w:t>
      </w:r>
      <w:r w:rsidR="00B27419">
        <w:rPr>
          <w:rFonts w:cs="Times New Roman"/>
          <w:lang w:val="fr-CA"/>
        </w:rPr>
        <w:t> »</w:t>
      </w:r>
      <w:r w:rsidRPr="00B27419">
        <w:rPr>
          <w:rFonts w:cs="Times New Roman"/>
          <w:lang w:val="fr-CA"/>
        </w:rPr>
        <w:t>) possédaient et contrôlaient.</w:t>
      </w:r>
    </w:p>
    <w:p w:rsidR="0039493A" w:rsidRPr="00B27419" w:rsidRDefault="0039493A" w:rsidP="00B27419">
      <w:pPr>
        <w:pStyle w:val="ParaNoNdepar-AltN"/>
        <w:rPr>
          <w:rFonts w:cs="Times New Roman"/>
          <w:lang w:val="fr-CA"/>
        </w:rPr>
      </w:pPr>
      <w:r w:rsidRPr="00B27419">
        <w:rPr>
          <w:rFonts w:cs="Times New Roman"/>
          <w:lang w:val="fr-CA"/>
        </w:rPr>
        <w:t xml:space="preserve">Sur le site </w:t>
      </w:r>
      <w:proofErr w:type="spellStart"/>
      <w:r w:rsidRPr="00B27419">
        <w:rPr>
          <w:rFonts w:cs="Times New Roman"/>
          <w:lang w:val="fr-CA"/>
        </w:rPr>
        <w:t>Babkirk</w:t>
      </w:r>
      <w:proofErr w:type="spellEnd"/>
      <w:r w:rsidRPr="00B27419">
        <w:rPr>
          <w:rFonts w:cs="Times New Roman"/>
          <w:lang w:val="fr-CA"/>
        </w:rPr>
        <w:t>, les vendeurs comptaient exploiter principalement une installation de biorestauration utilisant des microorganismes pour la décontamination des sols, assortie d’un site d’enfouissement sécuritaire ayant la capacité de stocker les déchets dangereux qui ne se prêtent pas à la biorestauration. En février 2010, le permis d’enfouissement a été délivré pour une capacité de 750</w:t>
      </w:r>
      <w:r w:rsidR="00E6271F" w:rsidRPr="00B27419">
        <w:rPr>
          <w:rFonts w:cs="Times New Roman"/>
          <w:lang w:val="fr-CA"/>
        </w:rPr>
        <w:t xml:space="preserve"> </w:t>
      </w:r>
      <w:r w:rsidRPr="00B27419">
        <w:rPr>
          <w:rFonts w:cs="Times New Roman"/>
          <w:lang w:val="fr-CA"/>
        </w:rPr>
        <w:t>000</w:t>
      </w:r>
      <w:r w:rsidR="00E6271F" w:rsidRPr="00B27419">
        <w:rPr>
          <w:rFonts w:cs="Times New Roman"/>
          <w:lang w:val="fr-CA"/>
        </w:rPr>
        <w:t xml:space="preserve"> </w:t>
      </w:r>
      <w:r w:rsidRPr="00B27419">
        <w:rPr>
          <w:rFonts w:cs="Times New Roman"/>
          <w:lang w:val="fr-CA"/>
        </w:rPr>
        <w:t>tonnes.</w:t>
      </w:r>
    </w:p>
    <w:p w:rsidR="0039493A" w:rsidRPr="00B27419" w:rsidRDefault="0039493A" w:rsidP="00B27419">
      <w:pPr>
        <w:pStyle w:val="ParaNoNdepar-AltN"/>
        <w:rPr>
          <w:rFonts w:cs="Times New Roman"/>
          <w:lang w:val="fr-CA"/>
        </w:rPr>
      </w:pPr>
      <w:r w:rsidRPr="00B27419">
        <w:rPr>
          <w:rFonts w:cs="Times New Roman"/>
          <w:lang w:val="fr-CA"/>
        </w:rPr>
        <w:t xml:space="preserve">Peu de temps après, </w:t>
      </w:r>
      <w:proofErr w:type="spellStart"/>
      <w:r w:rsidRPr="00B27419">
        <w:rPr>
          <w:rFonts w:cs="Times New Roman"/>
          <w:lang w:val="fr-CA"/>
        </w:rPr>
        <w:t>Integrated</w:t>
      </w:r>
      <w:proofErr w:type="spellEnd"/>
      <w:r w:rsidRPr="00B27419">
        <w:rPr>
          <w:rFonts w:cs="Times New Roman"/>
          <w:lang w:val="fr-CA"/>
        </w:rPr>
        <w:t xml:space="preserve"> </w:t>
      </w:r>
      <w:proofErr w:type="spellStart"/>
      <w:r w:rsidRPr="00B27419">
        <w:rPr>
          <w:rFonts w:cs="Times New Roman"/>
          <w:lang w:val="fr-CA"/>
        </w:rPr>
        <w:t>Resources</w:t>
      </w:r>
      <w:proofErr w:type="spellEnd"/>
      <w:r w:rsidRPr="00B27419">
        <w:rPr>
          <w:rFonts w:cs="Times New Roman"/>
          <w:lang w:val="fr-CA"/>
        </w:rPr>
        <w:t xml:space="preserve"> Technologies Ltd. (</w:t>
      </w:r>
      <w:r w:rsidR="00B27419">
        <w:rPr>
          <w:rFonts w:cs="Times New Roman"/>
          <w:lang w:val="fr-CA"/>
        </w:rPr>
        <w:t>« </w:t>
      </w:r>
      <w:r w:rsidRPr="00B27419">
        <w:rPr>
          <w:rFonts w:cs="Times New Roman"/>
          <w:lang w:val="fr-CA"/>
        </w:rPr>
        <w:t>IRTL</w:t>
      </w:r>
      <w:r w:rsidR="00B27419">
        <w:rPr>
          <w:rFonts w:cs="Times New Roman"/>
          <w:lang w:val="fr-CA"/>
        </w:rPr>
        <w:t> »</w:t>
      </w:r>
      <w:r w:rsidRPr="00B27419">
        <w:rPr>
          <w:rFonts w:cs="Times New Roman"/>
          <w:lang w:val="fr-CA"/>
        </w:rPr>
        <w:t xml:space="preserve">) a offert d’acquérir Complete. Les vendeurs ont ensuite envisagé la possibilité de vendre à des tiers. Secure </w:t>
      </w:r>
      <w:proofErr w:type="spellStart"/>
      <w:r w:rsidRPr="00B27419">
        <w:rPr>
          <w:rFonts w:cs="Times New Roman"/>
          <w:lang w:val="fr-CA"/>
        </w:rPr>
        <w:t>Energy</w:t>
      </w:r>
      <w:proofErr w:type="spellEnd"/>
      <w:r w:rsidRPr="00B27419">
        <w:rPr>
          <w:rFonts w:cs="Times New Roman"/>
          <w:lang w:val="fr-CA"/>
        </w:rPr>
        <w:t xml:space="preserve"> Services (</w:t>
      </w:r>
      <w:r w:rsidR="00B27419">
        <w:rPr>
          <w:rFonts w:cs="Times New Roman"/>
          <w:lang w:val="fr-CA"/>
        </w:rPr>
        <w:t>« </w:t>
      </w:r>
      <w:r w:rsidRPr="00B27419">
        <w:rPr>
          <w:rFonts w:cs="Times New Roman"/>
          <w:lang w:val="fr-CA"/>
        </w:rPr>
        <w:t>SES</w:t>
      </w:r>
      <w:r w:rsidR="00B27419">
        <w:rPr>
          <w:rFonts w:cs="Times New Roman"/>
          <w:lang w:val="fr-CA"/>
        </w:rPr>
        <w:t> »</w:t>
      </w:r>
      <w:r w:rsidRPr="00B27419">
        <w:rPr>
          <w:rFonts w:cs="Times New Roman"/>
          <w:lang w:val="fr-CA"/>
        </w:rPr>
        <w:t xml:space="preserve">) s’est montrée intéressée, mais offrait un prix inférieur. Les vendeurs avaient décidé d’accepter l’offre d’IRTL quand elle l’a retirée en juin 2010 pour financement insuffisant. Dans une ultime tentative, les vendeurs ont engagé des pourparlers avec SES et </w:t>
      </w:r>
      <w:proofErr w:type="spellStart"/>
      <w:r w:rsidRPr="00B27419">
        <w:rPr>
          <w:rFonts w:cs="Times New Roman"/>
          <w:lang w:val="fr-CA"/>
        </w:rPr>
        <w:t>Tervita</w:t>
      </w:r>
      <w:proofErr w:type="spellEnd"/>
      <w:r w:rsidRPr="00B27419">
        <w:rPr>
          <w:rFonts w:cs="Times New Roman"/>
          <w:lang w:val="fr-CA"/>
        </w:rPr>
        <w:t xml:space="preserve"> Corp., dont la raison sociale </w:t>
      </w:r>
      <w:r w:rsidRPr="00B27419">
        <w:rPr>
          <w:rFonts w:cs="Times New Roman"/>
          <w:lang w:val="fr-CA"/>
        </w:rPr>
        <w:lastRenderedPageBreak/>
        <w:t>était alors CCS Corp. (ci</w:t>
      </w:r>
      <w:r w:rsidR="00E6271F" w:rsidRPr="00B27419">
        <w:rPr>
          <w:rFonts w:cs="Times New Roman"/>
          <w:lang w:val="fr-CA"/>
        </w:rPr>
        <w:t>-</w:t>
      </w:r>
      <w:r w:rsidRPr="00B27419">
        <w:rPr>
          <w:rFonts w:cs="Times New Roman"/>
          <w:lang w:val="fr-CA"/>
        </w:rPr>
        <w:t xml:space="preserve">après </w:t>
      </w:r>
      <w:r w:rsidR="00B27419">
        <w:rPr>
          <w:rFonts w:cs="Times New Roman"/>
          <w:lang w:val="fr-CA"/>
        </w:rPr>
        <w:t>« </w:t>
      </w:r>
      <w:proofErr w:type="spellStart"/>
      <w:r w:rsidRPr="00B27419">
        <w:rPr>
          <w:rFonts w:cs="Times New Roman"/>
          <w:lang w:val="fr-CA"/>
        </w:rPr>
        <w:t>Tervita</w:t>
      </w:r>
      <w:proofErr w:type="spellEnd"/>
      <w:r w:rsidRPr="00B27419">
        <w:rPr>
          <w:rFonts w:cs="Times New Roman"/>
          <w:lang w:val="fr-CA"/>
        </w:rPr>
        <w:t xml:space="preserve"> Corp.</w:t>
      </w:r>
      <w:r w:rsidR="00B27419">
        <w:rPr>
          <w:rFonts w:cs="Times New Roman"/>
          <w:lang w:val="fr-CA"/>
        </w:rPr>
        <w:t> »</w:t>
      </w:r>
      <w:r w:rsidRPr="00B27419">
        <w:rPr>
          <w:rFonts w:cs="Times New Roman"/>
          <w:lang w:val="fr-CA"/>
        </w:rPr>
        <w:t xml:space="preserve">). En juillet 2010, une entente est intervenue entre les vendeurs et </w:t>
      </w:r>
      <w:proofErr w:type="spellStart"/>
      <w:r w:rsidRPr="00B27419">
        <w:rPr>
          <w:rFonts w:cs="Times New Roman"/>
          <w:lang w:val="fr-CA"/>
        </w:rPr>
        <w:t>Tervita</w:t>
      </w:r>
      <w:proofErr w:type="spellEnd"/>
      <w:r w:rsidRPr="00B27419">
        <w:rPr>
          <w:rFonts w:cs="Times New Roman"/>
          <w:lang w:val="fr-CA"/>
        </w:rPr>
        <w:t xml:space="preserve"> Corp., qui ont signé la lettre d’intention. </w:t>
      </w:r>
    </w:p>
    <w:p w:rsidR="0039493A" w:rsidRPr="00B27419" w:rsidRDefault="0039493A" w:rsidP="00B27419">
      <w:pPr>
        <w:pStyle w:val="ParaNoNdepar-AltN"/>
        <w:rPr>
          <w:rFonts w:cs="Times New Roman"/>
          <w:lang w:val="fr-CA"/>
        </w:rPr>
      </w:pPr>
      <w:r w:rsidRPr="00B27419">
        <w:rPr>
          <w:rFonts w:cs="Times New Roman"/>
          <w:lang w:val="fr-CA"/>
        </w:rPr>
        <w:t xml:space="preserve">La vente des parts des vendeurs dans Complete (qui possède </w:t>
      </w:r>
      <w:proofErr w:type="spellStart"/>
      <w:r w:rsidRPr="00B27419">
        <w:rPr>
          <w:rFonts w:cs="Times New Roman"/>
          <w:lang w:val="fr-CA"/>
        </w:rPr>
        <w:t>Babkirk</w:t>
      </w:r>
      <w:proofErr w:type="spellEnd"/>
      <w:r w:rsidRPr="00B27419">
        <w:rPr>
          <w:rFonts w:cs="Times New Roman"/>
          <w:lang w:val="fr-CA"/>
        </w:rPr>
        <w:t xml:space="preserve"> et le site </w:t>
      </w:r>
      <w:proofErr w:type="spellStart"/>
      <w:r w:rsidRPr="00B27419">
        <w:rPr>
          <w:rFonts w:cs="Times New Roman"/>
          <w:lang w:val="fr-CA"/>
        </w:rPr>
        <w:t>Babkirk</w:t>
      </w:r>
      <w:proofErr w:type="spellEnd"/>
      <w:r w:rsidRPr="00B27419">
        <w:rPr>
          <w:rFonts w:cs="Times New Roman"/>
          <w:lang w:val="fr-CA"/>
        </w:rPr>
        <w:t>) a été conclue le 7</w:t>
      </w:r>
      <w:r w:rsidR="00E6271F" w:rsidRPr="00B27419">
        <w:rPr>
          <w:rFonts w:cs="Times New Roman"/>
          <w:lang w:val="fr-CA"/>
        </w:rPr>
        <w:t xml:space="preserve"> </w:t>
      </w:r>
      <w:r w:rsidRPr="00B27419">
        <w:rPr>
          <w:rFonts w:cs="Times New Roman"/>
          <w:lang w:val="fr-CA"/>
        </w:rPr>
        <w:t xml:space="preserve">janvier 2011. Or, auparavant, la commissaire de la concurrence avait informé les parties qu’elle s’opposait à cette opération, au motif qu’elle aurait vraisemblablement pour effet de nuire sensiblement à la concurrence dans les services d’enfouissement sécuritaire du </w:t>
      </w:r>
      <w:proofErr w:type="spellStart"/>
      <w:r w:rsidRPr="00B27419">
        <w:rPr>
          <w:rFonts w:cs="Times New Roman"/>
          <w:lang w:val="fr-CA"/>
        </w:rPr>
        <w:t>Nord</w:t>
      </w:r>
      <w:r w:rsidR="00E6271F" w:rsidRPr="00B27419">
        <w:rPr>
          <w:rFonts w:cs="Times New Roman"/>
          <w:lang w:val="fr-CA"/>
        </w:rPr>
        <w:t>-</w:t>
      </w:r>
      <w:r w:rsidRPr="00B27419">
        <w:rPr>
          <w:rFonts w:cs="Times New Roman"/>
          <w:lang w:val="fr-CA"/>
        </w:rPr>
        <w:t>Est</w:t>
      </w:r>
      <w:proofErr w:type="spellEnd"/>
      <w:r w:rsidRPr="00B27419">
        <w:rPr>
          <w:rFonts w:cs="Times New Roman"/>
          <w:lang w:val="fr-CA"/>
        </w:rPr>
        <w:t xml:space="preserve"> de la Colombie</w:t>
      </w:r>
      <w:r w:rsidR="00E6271F" w:rsidRPr="00B27419">
        <w:rPr>
          <w:rFonts w:cs="Times New Roman"/>
          <w:lang w:val="fr-CA"/>
        </w:rPr>
        <w:t>-</w:t>
      </w:r>
      <w:r w:rsidRPr="00B27419">
        <w:rPr>
          <w:rFonts w:cs="Times New Roman"/>
          <w:lang w:val="fr-CA"/>
        </w:rPr>
        <w:t>Britannique. Après la vente, la commissaire a demandé au Tribunal de la concurrence d’ordonner l’annulation de la transaction en vertu de l’art.</w:t>
      </w:r>
      <w:r w:rsidR="00E6271F" w:rsidRPr="00B27419">
        <w:rPr>
          <w:rFonts w:cs="Times New Roman"/>
          <w:lang w:val="fr-CA"/>
        </w:rPr>
        <w:t xml:space="preserve"> </w:t>
      </w:r>
      <w:r w:rsidRPr="00B27419">
        <w:rPr>
          <w:rFonts w:cs="Times New Roman"/>
          <w:lang w:val="fr-CA"/>
        </w:rPr>
        <w:t xml:space="preserve">92 de la </w:t>
      </w:r>
      <w:r w:rsidRPr="00B27419">
        <w:rPr>
          <w:rFonts w:cs="Times New Roman"/>
          <w:i/>
          <w:lang w:val="fr-CA"/>
        </w:rPr>
        <w:t>Loi sur la concurrence</w:t>
      </w:r>
      <w:r w:rsidRPr="00B27419">
        <w:rPr>
          <w:rFonts w:cs="Times New Roman"/>
          <w:lang w:val="fr-CA"/>
        </w:rPr>
        <w:t xml:space="preserve"> ou, à titre subsidiaire, d’ordonner à </w:t>
      </w:r>
      <w:proofErr w:type="spellStart"/>
      <w:r w:rsidRPr="00B27419">
        <w:rPr>
          <w:rFonts w:cs="Times New Roman"/>
          <w:lang w:val="fr-CA"/>
        </w:rPr>
        <w:t>Tervita</w:t>
      </w:r>
      <w:proofErr w:type="spellEnd"/>
      <w:r w:rsidRPr="00B27419">
        <w:rPr>
          <w:rFonts w:cs="Times New Roman"/>
          <w:lang w:val="fr-CA"/>
        </w:rPr>
        <w:t xml:space="preserve"> Corp.</w:t>
      </w:r>
      <w:r w:rsidR="00E6271F" w:rsidRPr="00B27419">
        <w:rPr>
          <w:rFonts w:cs="Times New Roman"/>
          <w:lang w:val="fr-CA"/>
        </w:rPr>
        <w:t xml:space="preserve"> </w:t>
      </w:r>
      <w:r w:rsidRPr="00B27419">
        <w:rPr>
          <w:rFonts w:cs="Times New Roman"/>
          <w:lang w:val="fr-CA"/>
        </w:rPr>
        <w:t xml:space="preserve">de se départir de Complete ou de </w:t>
      </w:r>
      <w:proofErr w:type="spellStart"/>
      <w:r w:rsidRPr="00B27419">
        <w:rPr>
          <w:rFonts w:cs="Times New Roman"/>
          <w:lang w:val="fr-CA"/>
        </w:rPr>
        <w:t>Babkirk</w:t>
      </w:r>
      <w:proofErr w:type="spellEnd"/>
      <w:r w:rsidRPr="00B27419">
        <w:rPr>
          <w:rFonts w:cs="Times New Roman"/>
          <w:lang w:val="fr-CA"/>
        </w:rPr>
        <w:t>.</w:t>
      </w:r>
    </w:p>
    <w:p w:rsidR="0039493A" w:rsidRPr="00B27419" w:rsidRDefault="0039493A" w:rsidP="00B27419">
      <w:pPr>
        <w:pStyle w:val="ParaNoNdepar-AltN"/>
        <w:tabs>
          <w:tab w:val="clear" w:pos="1294"/>
        </w:tabs>
        <w:rPr>
          <w:rFonts w:cs="Times New Roman"/>
          <w:lang w:val="fr-CA"/>
        </w:rPr>
      </w:pPr>
      <w:r w:rsidRPr="00B27419">
        <w:rPr>
          <w:rFonts w:cs="Times New Roman"/>
          <w:lang w:val="fr-CA"/>
        </w:rPr>
        <w:t xml:space="preserve">Les trois appelantes dans le présent pourvoi, </w:t>
      </w:r>
      <w:proofErr w:type="spellStart"/>
      <w:r w:rsidRPr="00B27419">
        <w:rPr>
          <w:rFonts w:cs="Times New Roman"/>
          <w:lang w:val="fr-CA"/>
        </w:rPr>
        <w:t>Tervita</w:t>
      </w:r>
      <w:proofErr w:type="spellEnd"/>
      <w:r w:rsidRPr="00B27419">
        <w:rPr>
          <w:rFonts w:cs="Times New Roman"/>
          <w:lang w:val="fr-CA"/>
        </w:rPr>
        <w:t xml:space="preserve"> Corp., Complete et </w:t>
      </w:r>
      <w:proofErr w:type="spellStart"/>
      <w:r w:rsidRPr="00B27419">
        <w:rPr>
          <w:rFonts w:cs="Times New Roman"/>
          <w:lang w:val="fr-CA"/>
        </w:rPr>
        <w:t>Babkirk</w:t>
      </w:r>
      <w:proofErr w:type="spellEnd"/>
      <w:r w:rsidRPr="00B27419">
        <w:rPr>
          <w:rFonts w:cs="Times New Roman"/>
          <w:lang w:val="fr-CA"/>
        </w:rPr>
        <w:t>, sont ci</w:t>
      </w:r>
      <w:r w:rsidR="00E6271F" w:rsidRPr="00B27419">
        <w:rPr>
          <w:rFonts w:cs="Times New Roman"/>
          <w:lang w:val="fr-CA"/>
        </w:rPr>
        <w:t>-</w:t>
      </w:r>
      <w:r w:rsidRPr="00B27419">
        <w:rPr>
          <w:rFonts w:cs="Times New Roman"/>
          <w:lang w:val="fr-CA"/>
        </w:rPr>
        <w:t xml:space="preserve">après appelées collectivement </w:t>
      </w:r>
      <w:r w:rsidR="00B27419">
        <w:rPr>
          <w:rFonts w:cs="Times New Roman"/>
          <w:lang w:val="fr-CA"/>
        </w:rPr>
        <w:t>« </w:t>
      </w:r>
      <w:proofErr w:type="spellStart"/>
      <w:r w:rsidRPr="00B27419">
        <w:rPr>
          <w:rFonts w:cs="Times New Roman"/>
          <w:lang w:val="fr-CA"/>
        </w:rPr>
        <w:t>Tervita</w:t>
      </w:r>
      <w:proofErr w:type="spellEnd"/>
      <w:r w:rsidR="00B27419">
        <w:rPr>
          <w:rFonts w:cs="Times New Roman"/>
          <w:lang w:val="fr-CA"/>
        </w:rPr>
        <w:t> »</w:t>
      </w:r>
      <w:r w:rsidRPr="00B27419">
        <w:rPr>
          <w:rFonts w:cs="Times New Roman"/>
          <w:lang w:val="fr-CA"/>
        </w:rPr>
        <w:t>.</w:t>
      </w:r>
    </w:p>
    <w:p w:rsidR="0039493A" w:rsidRPr="00B27419" w:rsidRDefault="0039493A" w:rsidP="00B27419">
      <w:pPr>
        <w:pStyle w:val="Title1LevelTitre1Niveau-AltL"/>
        <w:rPr>
          <w:rFonts w:cs="Times New Roman"/>
          <w:lang w:val="fr-CA"/>
        </w:rPr>
      </w:pPr>
      <w:bookmarkStart w:id="7" w:name="_Toc396299522"/>
      <w:bookmarkStart w:id="8" w:name="_Toc397586753"/>
      <w:bookmarkStart w:id="9" w:name="_Toc409593437"/>
      <w:r w:rsidRPr="00B27419">
        <w:rPr>
          <w:rFonts w:cs="Times New Roman"/>
          <w:lang w:val="fr-CA"/>
        </w:rPr>
        <w:t>Dispositions législatives</w:t>
      </w:r>
      <w:bookmarkEnd w:id="7"/>
      <w:bookmarkEnd w:id="8"/>
      <w:bookmarkEnd w:id="9"/>
    </w:p>
    <w:p w:rsidR="0039493A" w:rsidRPr="00B27419" w:rsidRDefault="0039493A" w:rsidP="00B27419">
      <w:pPr>
        <w:pStyle w:val="ParaNoNdepar-AltN"/>
        <w:rPr>
          <w:rFonts w:cs="Times New Roman"/>
          <w:lang w:val="fr-CA"/>
        </w:rPr>
      </w:pPr>
      <w:r w:rsidRPr="00B27419">
        <w:rPr>
          <w:rFonts w:cs="Times New Roman"/>
          <w:lang w:val="fr-CA"/>
        </w:rPr>
        <w:t xml:space="preserve">Les dispositions législatives pertinentes, dont </w:t>
      </w:r>
      <w:proofErr w:type="gramStart"/>
      <w:r w:rsidRPr="00B27419">
        <w:rPr>
          <w:rFonts w:cs="Times New Roman"/>
          <w:lang w:val="fr-CA"/>
        </w:rPr>
        <w:t>les art</w:t>
      </w:r>
      <w:proofErr w:type="gramEnd"/>
      <w:r w:rsidR="008E3BA9" w:rsidRPr="00B27419">
        <w:rPr>
          <w:rFonts w:cs="Times New Roman"/>
          <w:lang w:val="fr-CA"/>
        </w:rPr>
        <w:t>.</w:t>
      </w:r>
      <w:r w:rsidR="00E6271F" w:rsidRPr="00B27419">
        <w:rPr>
          <w:rFonts w:cs="Times New Roman"/>
          <w:lang w:val="fr-CA"/>
        </w:rPr>
        <w:t xml:space="preserve"> </w:t>
      </w:r>
      <w:r w:rsidRPr="00B27419">
        <w:rPr>
          <w:rFonts w:cs="Times New Roman"/>
          <w:lang w:val="fr-CA"/>
        </w:rPr>
        <w:t xml:space="preserve">92, 93 et 96 de la Loi, sont reproduites en annexe. </w:t>
      </w:r>
    </w:p>
    <w:p w:rsidR="0039493A" w:rsidRPr="00B27419" w:rsidRDefault="0039493A" w:rsidP="00B27419">
      <w:pPr>
        <w:pStyle w:val="Title1LevelTitre1Niveau-AltL"/>
        <w:rPr>
          <w:rFonts w:cs="Times New Roman"/>
          <w:lang w:val="fr-CA"/>
        </w:rPr>
      </w:pPr>
      <w:bookmarkStart w:id="10" w:name="_Toc396299523"/>
      <w:bookmarkStart w:id="11" w:name="_Toc397586754"/>
      <w:bookmarkStart w:id="12" w:name="_Toc409593438"/>
      <w:r w:rsidRPr="00B27419">
        <w:rPr>
          <w:rFonts w:cs="Times New Roman"/>
          <w:lang w:val="fr-CA"/>
        </w:rPr>
        <w:t>Historique judiciaire</w:t>
      </w:r>
      <w:bookmarkEnd w:id="10"/>
      <w:bookmarkEnd w:id="11"/>
      <w:bookmarkEnd w:id="12"/>
    </w:p>
    <w:p w:rsidR="0039493A" w:rsidRPr="00B27419" w:rsidRDefault="0039493A" w:rsidP="00B27419">
      <w:pPr>
        <w:pStyle w:val="Title2LevelTitre2Niveau"/>
        <w:rPr>
          <w:rFonts w:cs="Times New Roman"/>
          <w:lang w:val="fr-CA"/>
        </w:rPr>
      </w:pPr>
      <w:bookmarkStart w:id="13" w:name="_Toc396299524"/>
      <w:bookmarkStart w:id="14" w:name="_Toc397586755"/>
      <w:bookmarkStart w:id="15" w:name="_Toc409593439"/>
      <w:r w:rsidRPr="00B27419">
        <w:rPr>
          <w:rFonts w:cs="Times New Roman"/>
          <w:lang w:val="fr-CA"/>
        </w:rPr>
        <w:t>Tribunal de la concu</w:t>
      </w:r>
      <w:bookmarkEnd w:id="13"/>
      <w:bookmarkEnd w:id="14"/>
      <w:r w:rsidRPr="00B27419">
        <w:rPr>
          <w:rFonts w:cs="Times New Roman"/>
          <w:lang w:val="fr-CA"/>
        </w:rPr>
        <w:t xml:space="preserve">rrence, </w:t>
      </w:r>
      <w:bookmarkEnd w:id="15"/>
      <w:r w:rsidR="008E3BA9" w:rsidRPr="00B27419">
        <w:rPr>
          <w:rFonts w:cs="Times New Roman"/>
          <w:lang w:val="fr-CA"/>
        </w:rPr>
        <w:t>2012 CACT 14 (</w:t>
      </w:r>
      <w:proofErr w:type="spellStart"/>
      <w:r w:rsidR="008E3BA9" w:rsidRPr="00B27419">
        <w:rPr>
          <w:rFonts w:cs="Times New Roman"/>
          <w:lang w:val="fr-CA"/>
        </w:rPr>
        <w:t>CanLII</w:t>
      </w:r>
      <w:proofErr w:type="spellEnd"/>
      <w:r w:rsidR="008E3BA9" w:rsidRPr="00B27419">
        <w:rPr>
          <w:rFonts w:cs="Times New Roman"/>
          <w:lang w:val="fr-CA"/>
        </w:rPr>
        <w:t>)</w:t>
      </w:r>
    </w:p>
    <w:p w:rsidR="0039493A" w:rsidRPr="00B27419" w:rsidRDefault="0039493A" w:rsidP="00B27419">
      <w:pPr>
        <w:pStyle w:val="ParaNoNdepar-AltN"/>
        <w:rPr>
          <w:rFonts w:cs="Times New Roman"/>
          <w:lang w:val="fr-CA"/>
        </w:rPr>
      </w:pPr>
      <w:r w:rsidRPr="00B27419">
        <w:rPr>
          <w:rFonts w:cs="Times New Roman"/>
          <w:lang w:val="fr-CA"/>
        </w:rPr>
        <w:lastRenderedPageBreak/>
        <w:t>Le Tribunal</w:t>
      </w:r>
      <w:r w:rsidRPr="00B27419">
        <w:rPr>
          <w:rStyle w:val="SCCLowerCourtJudge"/>
          <w:rFonts w:cs="Times New Roman"/>
          <w:lang w:val="fr-CA"/>
        </w:rPr>
        <w:t xml:space="preserve"> a conclu, en vertu de l’art.</w:t>
      </w:r>
      <w:r w:rsidR="00E6271F" w:rsidRPr="00B27419">
        <w:rPr>
          <w:rStyle w:val="SCCLowerCourtJudge"/>
          <w:rFonts w:cs="Times New Roman"/>
          <w:lang w:val="fr-CA"/>
        </w:rPr>
        <w:t xml:space="preserve"> </w:t>
      </w:r>
      <w:r w:rsidRPr="00B27419">
        <w:rPr>
          <w:rStyle w:val="SCCLowerCourtJudge"/>
          <w:rFonts w:cs="Times New Roman"/>
          <w:lang w:val="fr-CA"/>
        </w:rPr>
        <w:t xml:space="preserve">92, que le fusionnement aurait vraisemblablement pour effet d’empêcher sensiblement la concurrence dans le marché en cause. Il a statué en outre que </w:t>
      </w:r>
      <w:proofErr w:type="spellStart"/>
      <w:r w:rsidRPr="00B27419">
        <w:rPr>
          <w:rFonts w:cs="Times New Roman"/>
          <w:lang w:val="fr-CA"/>
        </w:rPr>
        <w:t>Tervita</w:t>
      </w:r>
      <w:proofErr w:type="spellEnd"/>
      <w:r w:rsidRPr="00B27419">
        <w:rPr>
          <w:rFonts w:cs="Times New Roman"/>
          <w:lang w:val="fr-CA"/>
        </w:rPr>
        <w:t xml:space="preserve"> ne pouvait invoquer l’exception relative aux gains en efficience énoncée à l’art.</w:t>
      </w:r>
      <w:r w:rsidR="00E6271F" w:rsidRPr="00B27419">
        <w:rPr>
          <w:rFonts w:cs="Times New Roman"/>
          <w:lang w:val="fr-CA"/>
        </w:rPr>
        <w:t xml:space="preserve"> </w:t>
      </w:r>
      <w:r w:rsidRPr="00B27419">
        <w:rPr>
          <w:rFonts w:cs="Times New Roman"/>
          <w:lang w:val="fr-CA"/>
        </w:rPr>
        <w:t>96, en application de laquelle le fusionnement serait permis en dépit de l’art.</w:t>
      </w:r>
      <w:r w:rsidR="00E6271F" w:rsidRPr="00B27419">
        <w:rPr>
          <w:rFonts w:cs="Times New Roman"/>
          <w:lang w:val="fr-CA"/>
        </w:rPr>
        <w:t xml:space="preserve"> </w:t>
      </w:r>
      <w:r w:rsidRPr="00B27419">
        <w:rPr>
          <w:rFonts w:cs="Times New Roman"/>
          <w:lang w:val="fr-CA"/>
        </w:rPr>
        <w:t xml:space="preserve">92, car les gains en efficience engendrés ne surpassaient ou ne neutralisaient pas les effets anticoncurrentiels vraisemblables du fusionnement. Il a ordonné à </w:t>
      </w:r>
      <w:proofErr w:type="spellStart"/>
      <w:r w:rsidRPr="00B27419">
        <w:rPr>
          <w:rFonts w:cs="Times New Roman"/>
          <w:lang w:val="fr-CA"/>
        </w:rPr>
        <w:t>Tervita</w:t>
      </w:r>
      <w:proofErr w:type="spellEnd"/>
      <w:r w:rsidRPr="00B27419">
        <w:rPr>
          <w:rFonts w:cs="Times New Roman"/>
          <w:lang w:val="fr-CA"/>
        </w:rPr>
        <w:t xml:space="preserve"> de se départir de </w:t>
      </w:r>
      <w:proofErr w:type="spellStart"/>
      <w:r w:rsidRPr="00B27419">
        <w:rPr>
          <w:rFonts w:cs="Times New Roman"/>
          <w:lang w:val="fr-CA"/>
        </w:rPr>
        <w:t>Babkirk</w:t>
      </w:r>
      <w:proofErr w:type="spellEnd"/>
      <w:r w:rsidRPr="00B27419">
        <w:rPr>
          <w:rFonts w:cs="Times New Roman"/>
          <w:lang w:val="fr-CA"/>
        </w:rPr>
        <w:t>.</w:t>
      </w:r>
    </w:p>
    <w:p w:rsidR="0039493A" w:rsidRPr="00B27419" w:rsidRDefault="0039493A" w:rsidP="00B27419">
      <w:pPr>
        <w:pStyle w:val="Title3LevelTitre3Niveau"/>
        <w:rPr>
          <w:rFonts w:cs="Times New Roman"/>
          <w:lang w:val="fr-CA"/>
        </w:rPr>
      </w:pPr>
      <w:bookmarkStart w:id="16" w:name="_Toc396299525"/>
      <w:bookmarkStart w:id="17" w:name="_Toc397586756"/>
      <w:bookmarkStart w:id="18" w:name="_Toc409593440"/>
      <w:r w:rsidRPr="00B27419">
        <w:rPr>
          <w:rFonts w:cs="Times New Roman"/>
          <w:lang w:val="fr-CA"/>
        </w:rPr>
        <w:t>Article</w:t>
      </w:r>
      <w:r w:rsidR="00E6271F" w:rsidRPr="00B27419">
        <w:rPr>
          <w:rFonts w:cs="Times New Roman"/>
          <w:lang w:val="fr-CA"/>
        </w:rPr>
        <w:t xml:space="preserve"> </w:t>
      </w:r>
      <w:r w:rsidRPr="00B27419">
        <w:rPr>
          <w:rFonts w:cs="Times New Roman"/>
          <w:lang w:val="fr-CA"/>
        </w:rPr>
        <w:t>92</w:t>
      </w:r>
      <w:bookmarkEnd w:id="16"/>
      <w:bookmarkEnd w:id="17"/>
      <w:bookmarkEnd w:id="18"/>
    </w:p>
    <w:p w:rsidR="0039493A" w:rsidRPr="00B27419" w:rsidRDefault="0039493A" w:rsidP="00B27419">
      <w:pPr>
        <w:pStyle w:val="ParaNoNdepar-AltN"/>
        <w:tabs>
          <w:tab w:val="clear" w:pos="1294"/>
        </w:tabs>
        <w:rPr>
          <w:rFonts w:cs="Times New Roman"/>
          <w:lang w:val="fr-CA"/>
        </w:rPr>
      </w:pPr>
      <w:r w:rsidRPr="00B27419">
        <w:rPr>
          <w:rFonts w:cs="Times New Roman"/>
          <w:lang w:val="fr-CA"/>
        </w:rPr>
        <w:t xml:space="preserve">Le Tribunal a demandé s’il y aurait </w:t>
      </w:r>
      <w:r w:rsidR="00B27419">
        <w:rPr>
          <w:rFonts w:cs="Times New Roman"/>
          <w:lang w:val="fr-CA"/>
        </w:rPr>
        <w:t>« </w:t>
      </w:r>
      <w:r w:rsidRPr="00B27419">
        <w:rPr>
          <w:rFonts w:cs="Times New Roman"/>
          <w:lang w:val="fr-CA"/>
        </w:rPr>
        <w:t>vraisemblablement eu une concurrence réelle en l’absence du fusionnement</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129). Les parties étaient </w:t>
      </w:r>
      <w:r w:rsidR="00B27419">
        <w:rPr>
          <w:rFonts w:cs="Times New Roman"/>
          <w:lang w:val="fr-CA"/>
        </w:rPr>
        <w:t>« </w:t>
      </w:r>
      <w:r w:rsidRPr="00B27419">
        <w:rPr>
          <w:rFonts w:cs="Times New Roman"/>
          <w:lang w:val="fr-CA"/>
        </w:rPr>
        <w:t>essentiellement d’accord</w:t>
      </w:r>
      <w:r w:rsidR="00B27419">
        <w:rPr>
          <w:rFonts w:cs="Times New Roman"/>
          <w:lang w:val="fr-CA"/>
        </w:rPr>
        <w:t> »</w:t>
      </w:r>
      <w:r w:rsidRPr="00B27419">
        <w:rPr>
          <w:rFonts w:cs="Times New Roman"/>
          <w:lang w:val="fr-CA"/>
        </w:rPr>
        <w:t xml:space="preserve"> pour dire que la période à examiner pour déterminer l’état du marché en l’absence du fusionnement commençait à la fin de juillet</w:t>
      </w:r>
      <w:r w:rsidR="00E6271F" w:rsidRPr="00B27419">
        <w:rPr>
          <w:rFonts w:cs="Times New Roman"/>
          <w:lang w:val="fr-CA"/>
        </w:rPr>
        <w:t xml:space="preserve"> </w:t>
      </w:r>
      <w:r w:rsidRPr="00B27419">
        <w:rPr>
          <w:rFonts w:cs="Times New Roman"/>
          <w:lang w:val="fr-CA"/>
        </w:rPr>
        <w:t>2010 (par.</w:t>
      </w:r>
      <w:r w:rsidR="00E6271F" w:rsidRPr="00B27419">
        <w:rPr>
          <w:rFonts w:cs="Times New Roman"/>
          <w:lang w:val="fr-CA"/>
        </w:rPr>
        <w:t xml:space="preserve"> </w:t>
      </w:r>
      <w:r w:rsidRPr="00B27419">
        <w:rPr>
          <w:rFonts w:cs="Times New Roman"/>
          <w:lang w:val="fr-CA"/>
        </w:rPr>
        <w:t xml:space="preserve">131), car c’était l’époque à laquelle </w:t>
      </w:r>
      <w:proofErr w:type="spellStart"/>
      <w:r w:rsidRPr="00B27419">
        <w:rPr>
          <w:rFonts w:cs="Times New Roman"/>
          <w:lang w:val="fr-CA"/>
        </w:rPr>
        <w:t>Tervita</w:t>
      </w:r>
      <w:proofErr w:type="spellEnd"/>
      <w:r w:rsidRPr="00B27419">
        <w:rPr>
          <w:rFonts w:cs="Times New Roman"/>
          <w:lang w:val="fr-CA"/>
        </w:rPr>
        <w:t xml:space="preserve"> et les vendeurs avaient signé la lettre d’intention. Le Tribunal en a convenu. </w:t>
      </w:r>
    </w:p>
    <w:p w:rsidR="0039493A" w:rsidRPr="00B27419" w:rsidRDefault="0039493A" w:rsidP="00B27419">
      <w:pPr>
        <w:pStyle w:val="ParaNoNdepar-AltN"/>
        <w:tabs>
          <w:tab w:val="clear" w:pos="1294"/>
        </w:tabs>
        <w:rPr>
          <w:rFonts w:cs="Times New Roman"/>
          <w:lang w:val="fr-CA"/>
        </w:rPr>
      </w:pPr>
      <w:r w:rsidRPr="00B27419">
        <w:rPr>
          <w:rFonts w:cs="Times New Roman"/>
          <w:lang w:val="fr-CA"/>
        </w:rPr>
        <w:t xml:space="preserve">Selon le Tribunal, à la fin de juillet 2010, seuls deux scénarios réalistes pouvaient se présenter pour le site </w:t>
      </w:r>
      <w:proofErr w:type="spellStart"/>
      <w:r w:rsidRPr="00B27419">
        <w:rPr>
          <w:rFonts w:cs="Times New Roman"/>
          <w:lang w:val="fr-CA"/>
        </w:rPr>
        <w:t>Babkirk</w:t>
      </w:r>
      <w:proofErr w:type="spellEnd"/>
      <w:r w:rsidR="00E6271F" w:rsidRPr="00B27419">
        <w:rPr>
          <w:rFonts w:cs="Times New Roman"/>
          <w:lang w:val="fr-CA"/>
        </w:rPr>
        <w:t> :</w:t>
      </w:r>
    </w:p>
    <w:p w:rsidR="0039493A" w:rsidRPr="00B27419" w:rsidRDefault="0039493A" w:rsidP="00B27419">
      <w:pPr>
        <w:pStyle w:val="Citation-AltC"/>
        <w:numPr>
          <w:ilvl w:val="4"/>
          <w:numId w:val="12"/>
        </w:numPr>
        <w:spacing w:after="240"/>
        <w:ind w:left="1560"/>
        <w:contextualSpacing w:val="0"/>
        <w:rPr>
          <w:lang w:val="fr-CA"/>
        </w:rPr>
      </w:pPr>
      <w:r w:rsidRPr="00B27419">
        <w:rPr>
          <w:lang w:val="fr-CA"/>
        </w:rPr>
        <w:t>Les vendeurs auraient vendu à une société de déchets appelée [SES], laquelle aurait exploité un site d’enfouissement sécuritaire;</w:t>
      </w:r>
    </w:p>
    <w:p w:rsidR="0039493A" w:rsidRPr="00B27419" w:rsidRDefault="0039493A" w:rsidP="00B27419">
      <w:pPr>
        <w:pStyle w:val="Citation-AltC"/>
        <w:numPr>
          <w:ilvl w:val="4"/>
          <w:numId w:val="12"/>
        </w:numPr>
        <w:ind w:left="1555"/>
        <w:contextualSpacing w:val="0"/>
        <w:rPr>
          <w:lang w:val="fr-CA"/>
        </w:rPr>
      </w:pPr>
      <w:r w:rsidRPr="00B27419">
        <w:rPr>
          <w:lang w:val="fr-CA"/>
        </w:rPr>
        <w:t>Les vendeurs auraient exploité une installation de biorestauration ainsi qu’une demi</w:t>
      </w:r>
      <w:r w:rsidR="00E6271F" w:rsidRPr="00B27419">
        <w:rPr>
          <w:lang w:val="fr-CA"/>
        </w:rPr>
        <w:t>-</w:t>
      </w:r>
      <w:r w:rsidRPr="00B27419">
        <w:rPr>
          <w:lang w:val="fr-CA"/>
        </w:rPr>
        <w:t>cellule d’enfouissement sécuritaire</w:t>
      </w:r>
      <w:r w:rsidR="009840EE" w:rsidRPr="00B27419">
        <w:rPr>
          <w:lang w:val="fr-CA"/>
        </w:rPr>
        <w:t>. [par.</w:t>
      </w:r>
      <w:r w:rsidR="00E6271F" w:rsidRPr="00B27419">
        <w:rPr>
          <w:lang w:val="fr-CA"/>
        </w:rPr>
        <w:t xml:space="preserve"> </w:t>
      </w:r>
      <w:r w:rsidR="009840EE" w:rsidRPr="00B27419">
        <w:rPr>
          <w:lang w:val="fr-CA"/>
        </w:rPr>
        <w:t>132]</w:t>
      </w:r>
    </w:p>
    <w:p w:rsidR="0039493A" w:rsidRPr="00B27419" w:rsidRDefault="0039493A" w:rsidP="00B27419">
      <w:pPr>
        <w:pStyle w:val="ParaNoNdepar-AltN"/>
        <w:rPr>
          <w:rFonts w:cs="Times New Roman"/>
          <w:lang w:val="fr-CA"/>
        </w:rPr>
      </w:pPr>
      <w:r w:rsidRPr="00B27419">
        <w:rPr>
          <w:rFonts w:cs="Times New Roman"/>
          <w:lang w:val="fr-CA"/>
        </w:rPr>
        <w:lastRenderedPageBreak/>
        <w:t>Le Tribunal a conclu que, selon la prépondérance des probabilités, SES n’aurait à aucun moment à l’été de 2010 présenté une offre acceptable à l’égard du site Complete. Ainsi, de l’avis du Tribunal, les vendeurs auraient choisi la deuxième option</w:t>
      </w:r>
      <w:r w:rsidR="00E6271F" w:rsidRPr="00B27419">
        <w:rPr>
          <w:rFonts w:cs="Times New Roman"/>
          <w:lang w:val="fr-CA"/>
        </w:rPr>
        <w:t> :</w:t>
      </w:r>
      <w:r w:rsidRPr="00B27419">
        <w:rPr>
          <w:rFonts w:cs="Times New Roman"/>
          <w:lang w:val="fr-CA"/>
        </w:rPr>
        <w:t xml:space="preserve"> exploiter une installation de biorestauration au site </w:t>
      </w:r>
      <w:proofErr w:type="spellStart"/>
      <w:r w:rsidRPr="00B27419">
        <w:rPr>
          <w:rFonts w:cs="Times New Roman"/>
          <w:lang w:val="fr-CA"/>
        </w:rPr>
        <w:t>Babkirk</w:t>
      </w:r>
      <w:proofErr w:type="spellEnd"/>
      <w:r w:rsidRPr="00B27419">
        <w:rPr>
          <w:rFonts w:cs="Times New Roman"/>
          <w:lang w:val="fr-CA"/>
        </w:rPr>
        <w:t xml:space="preserve">. </w:t>
      </w:r>
    </w:p>
    <w:p w:rsidR="0039493A" w:rsidRPr="00B27419" w:rsidRDefault="0039493A" w:rsidP="00B27419">
      <w:pPr>
        <w:pStyle w:val="ParaNoNdepar-AltN"/>
        <w:tabs>
          <w:tab w:val="clear" w:pos="1294"/>
        </w:tabs>
        <w:rPr>
          <w:rFonts w:cs="Times New Roman"/>
          <w:lang w:val="fr-CA"/>
        </w:rPr>
      </w:pPr>
      <w:r w:rsidRPr="00B27419">
        <w:rPr>
          <w:rFonts w:cs="Times New Roman"/>
          <w:lang w:val="fr-CA"/>
        </w:rPr>
        <w:t xml:space="preserve">La biorestauration est une </w:t>
      </w:r>
      <w:r w:rsidR="00B27419">
        <w:rPr>
          <w:rFonts w:cs="Times New Roman"/>
          <w:lang w:val="fr-CA"/>
        </w:rPr>
        <w:t>« </w:t>
      </w:r>
      <w:r w:rsidRPr="00B27419">
        <w:rPr>
          <w:rFonts w:cs="Times New Roman"/>
          <w:lang w:val="fr-CA"/>
        </w:rPr>
        <w:t>méthode de traitement du sol qui fait appel à des microorganismes pour diminuer le degré de contamination</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42). Le Tribunal a conclu que les vendeurs auraient rendu l’installation de biorestauration pleinement opérationnelle au plus tard en octobre 2011, mais que celle</w:t>
      </w:r>
      <w:r w:rsidR="00E6271F" w:rsidRPr="00B27419">
        <w:rPr>
          <w:rFonts w:cs="Times New Roman"/>
          <w:lang w:val="fr-CA"/>
        </w:rPr>
        <w:t>-</w:t>
      </w:r>
      <w:r w:rsidRPr="00B27419">
        <w:rPr>
          <w:rFonts w:cs="Times New Roman"/>
          <w:lang w:val="fr-CA"/>
        </w:rPr>
        <w:t xml:space="preserve">ci ne se serait pas révélée rentable. Il était d’avis qu’il n’était </w:t>
      </w:r>
      <w:r w:rsidR="00B27419">
        <w:rPr>
          <w:rFonts w:cs="Times New Roman"/>
          <w:lang w:val="fr-CA"/>
        </w:rPr>
        <w:t>« </w:t>
      </w:r>
      <w:r w:rsidRPr="00B27419">
        <w:rPr>
          <w:rFonts w:cs="Times New Roman"/>
          <w:lang w:val="fr-CA"/>
        </w:rPr>
        <w:t>pas raisonnable de supposer [que les vendeurs] auraient été en mesure d’exploiter une installation non rentable après l’automne 2012</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206). En conséquence, selon le Tribunal, les vendeurs auraient opté pour l’enfouissement sécuritaire ou auraient vendu le site </w:t>
      </w:r>
      <w:proofErr w:type="spellStart"/>
      <w:r w:rsidRPr="00B27419">
        <w:rPr>
          <w:rFonts w:cs="Times New Roman"/>
          <w:lang w:val="fr-CA"/>
        </w:rPr>
        <w:t>Babkirk</w:t>
      </w:r>
      <w:proofErr w:type="spellEnd"/>
      <w:r w:rsidRPr="00B27419">
        <w:rPr>
          <w:rFonts w:cs="Times New Roman"/>
          <w:lang w:val="fr-CA"/>
        </w:rPr>
        <w:t xml:space="preserve"> à un acheteur, qui l’aurait exploité pour l’enfouissement sécuritaire. Quel que soit le scénario, </w:t>
      </w:r>
      <w:proofErr w:type="spellStart"/>
      <w:r w:rsidRPr="00B27419">
        <w:rPr>
          <w:rFonts w:cs="Times New Roman"/>
          <w:lang w:val="fr-CA"/>
        </w:rPr>
        <w:t>Tervita</w:t>
      </w:r>
      <w:proofErr w:type="spellEnd"/>
      <w:r w:rsidRPr="00B27419">
        <w:rPr>
          <w:rFonts w:cs="Times New Roman"/>
          <w:lang w:val="fr-CA"/>
        </w:rPr>
        <w:t xml:space="preserve"> et le site d’enfouissement sécuritaire à service complet </w:t>
      </w:r>
      <w:proofErr w:type="spellStart"/>
      <w:r w:rsidRPr="00B27419">
        <w:rPr>
          <w:rFonts w:cs="Times New Roman"/>
          <w:lang w:val="fr-CA"/>
        </w:rPr>
        <w:t>Babkirk</w:t>
      </w:r>
      <w:proofErr w:type="spellEnd"/>
      <w:r w:rsidRPr="00B27419">
        <w:rPr>
          <w:rFonts w:cs="Times New Roman"/>
          <w:lang w:val="fr-CA"/>
        </w:rPr>
        <w:t xml:space="preserve"> seraient devenus des concurrents </w:t>
      </w:r>
      <w:r w:rsidR="00B27419">
        <w:rPr>
          <w:rFonts w:cs="Times New Roman"/>
          <w:lang w:val="fr-CA"/>
        </w:rPr>
        <w:t>« </w:t>
      </w:r>
      <w:r w:rsidRPr="00B27419">
        <w:rPr>
          <w:rFonts w:cs="Times New Roman"/>
          <w:lang w:val="fr-CA"/>
        </w:rPr>
        <w:t>directs et importants</w:t>
      </w:r>
      <w:r w:rsidR="00B27419">
        <w:rPr>
          <w:rFonts w:cs="Times New Roman"/>
          <w:lang w:val="fr-CA"/>
        </w:rPr>
        <w:t> »</w:t>
      </w:r>
      <w:r w:rsidRPr="00B27419">
        <w:rPr>
          <w:rFonts w:cs="Times New Roman"/>
          <w:lang w:val="fr-CA"/>
        </w:rPr>
        <w:t xml:space="preserve"> au plus tard au printemps 2013 (par.</w:t>
      </w:r>
      <w:r w:rsidR="00E6271F" w:rsidRPr="00B27419">
        <w:rPr>
          <w:rFonts w:cs="Times New Roman"/>
          <w:lang w:val="fr-CA"/>
        </w:rPr>
        <w:t xml:space="preserve"> </w:t>
      </w:r>
      <w:r w:rsidRPr="00B27419">
        <w:rPr>
          <w:rFonts w:cs="Times New Roman"/>
          <w:lang w:val="fr-CA"/>
        </w:rPr>
        <w:t>2</w:t>
      </w:r>
      <w:r w:rsidR="009840EE" w:rsidRPr="00B27419">
        <w:rPr>
          <w:rFonts w:cs="Times New Roman"/>
          <w:lang w:val="fr-CA"/>
        </w:rPr>
        <w:t>07</w:t>
      </w:r>
      <w:r w:rsidRPr="00B27419">
        <w:rPr>
          <w:rFonts w:cs="Times New Roman"/>
          <w:lang w:val="fr-CA"/>
        </w:rPr>
        <w:t xml:space="preserve">). </w:t>
      </w:r>
    </w:p>
    <w:p w:rsidR="0039493A" w:rsidRPr="00B27419" w:rsidRDefault="0039493A" w:rsidP="00B27419">
      <w:pPr>
        <w:pStyle w:val="ParaNoNdepar-AltN"/>
        <w:rPr>
          <w:rFonts w:cs="Times New Roman"/>
          <w:lang w:val="fr-CA"/>
        </w:rPr>
      </w:pPr>
      <w:r w:rsidRPr="00B27419">
        <w:rPr>
          <w:rFonts w:cs="Times New Roman"/>
          <w:lang w:val="fr-CA"/>
        </w:rPr>
        <w:t xml:space="preserve">Le Tribunal a conclu que </w:t>
      </w:r>
      <w:proofErr w:type="spellStart"/>
      <w:r w:rsidRPr="00B27419">
        <w:rPr>
          <w:rFonts w:cs="Times New Roman"/>
          <w:lang w:val="fr-CA"/>
        </w:rPr>
        <w:t>Tervita</w:t>
      </w:r>
      <w:proofErr w:type="spellEnd"/>
      <w:r w:rsidRPr="00B27419">
        <w:rPr>
          <w:rFonts w:cs="Times New Roman"/>
          <w:lang w:val="fr-CA"/>
        </w:rPr>
        <w:t xml:space="preserve"> aurait selon toute vraisemblance continué d’exercer une puissance commerciale beaucoup plus importante grâce au fusionnement que sans le fusionnement. Il a conclu que l’absence de fusionnement se serait traduite par une diminution des droits d’élimination — que l’on appelle </w:t>
      </w:r>
      <w:r w:rsidR="00B27419">
        <w:rPr>
          <w:rFonts w:cs="Times New Roman"/>
          <w:lang w:val="fr-CA"/>
        </w:rPr>
        <w:t>« </w:t>
      </w:r>
      <w:r w:rsidRPr="00B27419">
        <w:rPr>
          <w:rFonts w:cs="Times New Roman"/>
          <w:lang w:val="fr-CA"/>
        </w:rPr>
        <w:t>redevances de déversement</w:t>
      </w:r>
      <w:r w:rsidR="00B27419">
        <w:rPr>
          <w:rFonts w:cs="Times New Roman"/>
          <w:lang w:val="fr-CA"/>
        </w:rPr>
        <w:t> »</w:t>
      </w:r>
      <w:r w:rsidRPr="00B27419">
        <w:rPr>
          <w:rFonts w:cs="Times New Roman"/>
          <w:lang w:val="fr-CA"/>
        </w:rPr>
        <w:t xml:space="preserve"> dans l’industrie — de 10</w:t>
      </w:r>
      <w:r w:rsidR="00E6271F" w:rsidRPr="00B27419">
        <w:rPr>
          <w:rFonts w:cs="Times New Roman"/>
          <w:lang w:val="fr-CA"/>
        </w:rPr>
        <w:t xml:space="preserve"> </w:t>
      </w:r>
      <w:r w:rsidRPr="00B27419">
        <w:rPr>
          <w:rFonts w:cs="Times New Roman"/>
          <w:lang w:val="fr-CA"/>
        </w:rPr>
        <w:t>p.</w:t>
      </w:r>
      <w:r w:rsidR="00E6271F" w:rsidRPr="00B27419">
        <w:rPr>
          <w:rFonts w:cs="Times New Roman"/>
          <w:lang w:val="fr-CA"/>
        </w:rPr>
        <w:t xml:space="preserve"> </w:t>
      </w:r>
      <w:r w:rsidRPr="00B27419">
        <w:rPr>
          <w:rFonts w:cs="Times New Roman"/>
          <w:lang w:val="fr-CA"/>
        </w:rPr>
        <w:t xml:space="preserve">100 dans la </w:t>
      </w:r>
      <w:r w:rsidR="00B27419">
        <w:rPr>
          <w:rFonts w:cs="Times New Roman"/>
          <w:lang w:val="fr-CA"/>
        </w:rPr>
        <w:t>« </w:t>
      </w:r>
      <w:r w:rsidRPr="00B27419">
        <w:rPr>
          <w:rFonts w:cs="Times New Roman"/>
          <w:lang w:val="fr-CA"/>
        </w:rPr>
        <w:t>région contestable</w:t>
      </w:r>
      <w:r w:rsidR="00B27419">
        <w:rPr>
          <w:rFonts w:cs="Times New Roman"/>
          <w:lang w:val="fr-CA"/>
        </w:rPr>
        <w:t> »</w:t>
      </w:r>
      <w:r w:rsidRPr="00B27419">
        <w:rPr>
          <w:rFonts w:cs="Times New Roman"/>
          <w:lang w:val="fr-CA"/>
        </w:rPr>
        <w:t xml:space="preserve"> (la zone pertinente pour ce marché) (par.</w:t>
      </w:r>
      <w:r w:rsidR="00E6271F" w:rsidRPr="00B27419">
        <w:rPr>
          <w:rFonts w:cs="Times New Roman"/>
          <w:lang w:val="fr-CA"/>
        </w:rPr>
        <w:t xml:space="preserve"> </w:t>
      </w:r>
      <w:r w:rsidRPr="00B27419">
        <w:rPr>
          <w:rFonts w:cs="Times New Roman"/>
          <w:lang w:val="fr-CA"/>
        </w:rPr>
        <w:t xml:space="preserve">229(iii)). </w:t>
      </w:r>
    </w:p>
    <w:p w:rsidR="0039493A" w:rsidRPr="00B27419" w:rsidRDefault="0039493A" w:rsidP="00B27419">
      <w:pPr>
        <w:pStyle w:val="ParaNoNdepar-AltN"/>
        <w:rPr>
          <w:rFonts w:cs="Times New Roman"/>
          <w:lang w:val="fr-CA"/>
        </w:rPr>
      </w:pPr>
      <w:r w:rsidRPr="00B27419">
        <w:rPr>
          <w:rFonts w:cs="Times New Roman"/>
          <w:lang w:val="fr-CA"/>
        </w:rPr>
        <w:lastRenderedPageBreak/>
        <w:t xml:space="preserve">Le Tribunal a conclu que le fusionnement aurait vraisemblablement pour effet d’empêcher sensiblement la concurrence. </w:t>
      </w:r>
    </w:p>
    <w:p w:rsidR="0039493A" w:rsidRPr="00B27419" w:rsidRDefault="0039493A" w:rsidP="00B27419">
      <w:pPr>
        <w:pStyle w:val="Title3LevelTitre3Niveau"/>
        <w:rPr>
          <w:rFonts w:cs="Times New Roman"/>
          <w:lang w:val="fr-CA"/>
        </w:rPr>
      </w:pPr>
      <w:bookmarkStart w:id="19" w:name="_Toc396299526"/>
      <w:bookmarkStart w:id="20" w:name="_Toc397586757"/>
      <w:bookmarkStart w:id="21" w:name="_Toc409593441"/>
      <w:r w:rsidRPr="00B27419">
        <w:rPr>
          <w:rFonts w:cs="Times New Roman"/>
          <w:lang w:val="fr-CA"/>
        </w:rPr>
        <w:t>Article</w:t>
      </w:r>
      <w:r w:rsidR="00E6271F" w:rsidRPr="00B27419">
        <w:rPr>
          <w:rFonts w:cs="Times New Roman"/>
          <w:lang w:val="fr-CA"/>
        </w:rPr>
        <w:t xml:space="preserve"> </w:t>
      </w:r>
      <w:r w:rsidRPr="00B27419">
        <w:rPr>
          <w:rFonts w:cs="Times New Roman"/>
          <w:lang w:val="fr-CA"/>
        </w:rPr>
        <w:t>96</w:t>
      </w:r>
      <w:bookmarkEnd w:id="19"/>
      <w:bookmarkEnd w:id="20"/>
      <w:bookmarkEnd w:id="21"/>
    </w:p>
    <w:p w:rsidR="0039493A" w:rsidRPr="00B27419" w:rsidRDefault="0039493A" w:rsidP="00B27419">
      <w:pPr>
        <w:pStyle w:val="ParaNoNdepar-AltN"/>
        <w:rPr>
          <w:rFonts w:cs="Times New Roman"/>
          <w:lang w:val="fr-CA"/>
        </w:rPr>
      </w:pPr>
      <w:r w:rsidRPr="00B27419">
        <w:rPr>
          <w:rFonts w:cs="Times New Roman"/>
          <w:lang w:val="fr-CA"/>
        </w:rPr>
        <w:t>La défense fondée sur les gains en efficience prévue à l’art.</w:t>
      </w:r>
      <w:r w:rsidR="00E6271F" w:rsidRPr="00B27419">
        <w:rPr>
          <w:rFonts w:cs="Times New Roman"/>
          <w:lang w:val="fr-CA"/>
        </w:rPr>
        <w:t xml:space="preserve"> </w:t>
      </w:r>
      <w:r w:rsidRPr="00B27419">
        <w:rPr>
          <w:rFonts w:cs="Times New Roman"/>
          <w:lang w:val="fr-CA"/>
        </w:rPr>
        <w:t>96 constitue une exception à l’application de l’art.</w:t>
      </w:r>
      <w:r w:rsidR="00E6271F" w:rsidRPr="00B27419">
        <w:rPr>
          <w:rFonts w:cs="Times New Roman"/>
          <w:lang w:val="fr-CA"/>
        </w:rPr>
        <w:t xml:space="preserve"> </w:t>
      </w:r>
      <w:r w:rsidRPr="00B27419">
        <w:rPr>
          <w:rFonts w:cs="Times New Roman"/>
          <w:lang w:val="fr-CA"/>
        </w:rPr>
        <w:t>92. Elle empêche le Tribunal de rendre une ordonnance interdisant un fusionnement dans les cas où il conclut que celui</w:t>
      </w:r>
      <w:r w:rsidR="00E6271F" w:rsidRPr="00B27419">
        <w:rPr>
          <w:rFonts w:cs="Times New Roman"/>
          <w:lang w:val="fr-CA"/>
        </w:rPr>
        <w:t>-</w:t>
      </w:r>
      <w:r w:rsidRPr="00B27419">
        <w:rPr>
          <w:rFonts w:cs="Times New Roman"/>
          <w:lang w:val="fr-CA"/>
        </w:rPr>
        <w:t>ci aura vraisemblablement pour effet d’entraîner des gains en efficience qui surpasseront et neutraliseront les effets anticoncurrentiels du fusionnement.</w:t>
      </w:r>
    </w:p>
    <w:p w:rsidR="0039493A" w:rsidRPr="00B27419" w:rsidRDefault="0039493A" w:rsidP="00B27419">
      <w:pPr>
        <w:pStyle w:val="ParaNoNdepar-AltN"/>
        <w:rPr>
          <w:rFonts w:cs="Times New Roman"/>
          <w:lang w:val="fr-CA"/>
        </w:rPr>
      </w:pPr>
      <w:r w:rsidRPr="00B27419">
        <w:rPr>
          <w:rFonts w:cs="Times New Roman"/>
          <w:lang w:val="fr-CA"/>
        </w:rPr>
        <w:t>Le Tribunal était d’avis que la commissaire ne s’était pas acquittée du fardeau de démontrer la mesure des effets anticoncurrentiels quantifiables. L’expert de la commissaire avait estimé seulement que le fusionnement empêcherait une baisse des prix de 10</w:t>
      </w:r>
      <w:r w:rsidR="00E6271F" w:rsidRPr="00B27419">
        <w:rPr>
          <w:rFonts w:cs="Times New Roman"/>
          <w:lang w:val="fr-CA"/>
        </w:rPr>
        <w:t xml:space="preserve"> </w:t>
      </w:r>
      <w:r w:rsidRPr="00B27419">
        <w:rPr>
          <w:rFonts w:cs="Times New Roman"/>
          <w:lang w:val="fr-CA"/>
        </w:rPr>
        <w:t>p.</w:t>
      </w:r>
      <w:r w:rsidR="00E6271F" w:rsidRPr="00B27419">
        <w:rPr>
          <w:rFonts w:cs="Times New Roman"/>
          <w:lang w:val="fr-CA"/>
        </w:rPr>
        <w:t xml:space="preserve"> </w:t>
      </w:r>
      <w:r w:rsidRPr="00B27419">
        <w:rPr>
          <w:rFonts w:cs="Times New Roman"/>
          <w:lang w:val="fr-CA"/>
        </w:rPr>
        <w:t xml:space="preserve">100, mais il n’a fourni aucune estimation quant au volume compte tenu de l’élasticité de la demande. Selon le Tribunal, </w:t>
      </w:r>
      <w:proofErr w:type="spellStart"/>
      <w:r w:rsidRPr="00B27419">
        <w:rPr>
          <w:rFonts w:cs="Times New Roman"/>
          <w:lang w:val="fr-CA"/>
        </w:rPr>
        <w:t>Tervita</w:t>
      </w:r>
      <w:proofErr w:type="spellEnd"/>
      <w:r w:rsidRPr="00B27419">
        <w:rPr>
          <w:rFonts w:cs="Times New Roman"/>
          <w:lang w:val="fr-CA"/>
        </w:rPr>
        <w:t xml:space="preserve"> n’était donc pas en mesure de déterminer si, suivant ses calculs, le total des gains en efficience surpassait les effets néfastes du fusionnement (par.</w:t>
      </w:r>
      <w:r w:rsidR="00E6271F" w:rsidRPr="00B27419">
        <w:rPr>
          <w:rFonts w:cs="Times New Roman"/>
          <w:lang w:val="fr-CA"/>
        </w:rPr>
        <w:t xml:space="preserve"> </w:t>
      </w:r>
      <w:r w:rsidRPr="00B27419">
        <w:rPr>
          <w:rFonts w:cs="Times New Roman"/>
          <w:lang w:val="fr-CA"/>
        </w:rPr>
        <w:t xml:space="preserve">246).  Il a cependant conclu que, </w:t>
      </w:r>
      <w:r w:rsidR="00B27419">
        <w:rPr>
          <w:rFonts w:cs="Times New Roman"/>
          <w:lang w:val="fr-CA"/>
        </w:rPr>
        <w:t>« </w:t>
      </w:r>
      <w:r w:rsidRPr="00B27419">
        <w:rPr>
          <w:rFonts w:cs="Times New Roman"/>
          <w:lang w:val="fr-CA"/>
        </w:rPr>
        <w:t>dans les circonstances inhabituelles de la présente affaire</w:t>
      </w:r>
      <w:r w:rsidR="00B27419">
        <w:rPr>
          <w:rFonts w:cs="Times New Roman"/>
          <w:lang w:val="fr-CA"/>
        </w:rPr>
        <w:t> »</w:t>
      </w:r>
      <w:r w:rsidRPr="00B27419">
        <w:rPr>
          <w:rFonts w:cs="Times New Roman"/>
          <w:lang w:val="fr-CA"/>
        </w:rPr>
        <w:t xml:space="preserve">, le fait que la commissaire n’avait pas quantifié les effets anticoncurrentiels du fusionnement n’avait causé aucun préjudice à </w:t>
      </w:r>
      <w:proofErr w:type="spellStart"/>
      <w:r w:rsidRPr="00B27419">
        <w:rPr>
          <w:rFonts w:cs="Times New Roman"/>
          <w:lang w:val="fr-CA"/>
        </w:rPr>
        <w:t>Tervita</w:t>
      </w:r>
      <w:proofErr w:type="spellEnd"/>
      <w:r w:rsidRPr="00B27419">
        <w:rPr>
          <w:rFonts w:cs="Times New Roman"/>
          <w:lang w:val="fr-CA"/>
        </w:rPr>
        <w:t>.  Cette dernière avait pu contester les conclusions de l’expert de la commissaire et opposer la défense fondée sur l’art.</w:t>
      </w:r>
      <w:r w:rsidR="00E6271F" w:rsidRPr="00B27419">
        <w:rPr>
          <w:rFonts w:cs="Times New Roman"/>
          <w:lang w:val="fr-CA"/>
        </w:rPr>
        <w:t xml:space="preserve"> </w:t>
      </w:r>
      <w:r w:rsidRPr="00B27419">
        <w:rPr>
          <w:rFonts w:cs="Times New Roman"/>
          <w:lang w:val="fr-CA"/>
        </w:rPr>
        <w:t>96 (par.</w:t>
      </w:r>
      <w:r w:rsidR="00E6271F" w:rsidRPr="00B27419">
        <w:rPr>
          <w:rFonts w:cs="Times New Roman"/>
          <w:lang w:val="fr-CA"/>
        </w:rPr>
        <w:t xml:space="preserve"> </w:t>
      </w:r>
      <w:r w:rsidRPr="00B27419">
        <w:rPr>
          <w:rFonts w:cs="Times New Roman"/>
          <w:lang w:val="fr-CA"/>
        </w:rPr>
        <w:t xml:space="preserve">246). Le Tribunal a admis, suivant la norme de la prépondérance des probabilités, l’estimation avancée </w:t>
      </w:r>
      <w:r w:rsidRPr="00B27419">
        <w:rPr>
          <w:rFonts w:cs="Times New Roman"/>
          <w:lang w:val="fr-CA"/>
        </w:rPr>
        <w:lastRenderedPageBreak/>
        <w:t>par l’expert de la commissaire au sujet de la valeur minimale de la perte sèche annuelle (par.</w:t>
      </w:r>
      <w:r w:rsidR="00E6271F" w:rsidRPr="00B27419">
        <w:rPr>
          <w:rFonts w:cs="Times New Roman"/>
          <w:lang w:val="fr-CA"/>
        </w:rPr>
        <w:t xml:space="preserve"> </w:t>
      </w:r>
      <w:r w:rsidRPr="00B27419">
        <w:rPr>
          <w:rFonts w:cs="Times New Roman"/>
          <w:lang w:val="fr-CA"/>
        </w:rPr>
        <w:t>301</w:t>
      </w:r>
      <w:r w:rsidR="00E6271F" w:rsidRPr="00B27419">
        <w:rPr>
          <w:rFonts w:cs="Times New Roman"/>
          <w:lang w:val="fr-CA"/>
        </w:rPr>
        <w:t>-</w:t>
      </w:r>
      <w:r w:rsidRPr="00B27419">
        <w:rPr>
          <w:rFonts w:cs="Times New Roman"/>
          <w:lang w:val="fr-CA"/>
        </w:rPr>
        <w:t>303).</w:t>
      </w:r>
    </w:p>
    <w:p w:rsidR="0039493A" w:rsidRPr="00B27419" w:rsidRDefault="0039493A" w:rsidP="00B27419">
      <w:pPr>
        <w:pStyle w:val="ParaNoNdepar-AltN"/>
        <w:rPr>
          <w:rFonts w:cs="Times New Roman"/>
          <w:lang w:val="fr-CA"/>
        </w:rPr>
      </w:pPr>
      <w:r w:rsidRPr="00B27419">
        <w:rPr>
          <w:rFonts w:cs="Times New Roman"/>
          <w:lang w:val="fr-CA"/>
        </w:rPr>
        <w:t xml:space="preserve">Le Tribunal a admis également ce qu’il a jugé être des effets anticoncurrentiels qualitatifs — à savoir d’une part les effets environnementaux de l’assainissement des lieux découlant de la réduction des prix et d’autre part les </w:t>
      </w:r>
      <w:r w:rsidR="00B27419">
        <w:rPr>
          <w:rFonts w:cs="Times New Roman"/>
          <w:lang w:val="fr-CA"/>
        </w:rPr>
        <w:t>« </w:t>
      </w:r>
      <w:r w:rsidRPr="00B27419">
        <w:rPr>
          <w:rFonts w:cs="Times New Roman"/>
          <w:lang w:val="fr-CA"/>
        </w:rPr>
        <w:t>propositions de valeur</w:t>
      </w:r>
      <w:r w:rsidR="00B27419">
        <w:rPr>
          <w:rFonts w:cs="Times New Roman"/>
          <w:lang w:val="fr-CA"/>
        </w:rPr>
        <w:t> »</w:t>
      </w:r>
      <w:r w:rsidRPr="00B27419">
        <w:rPr>
          <w:rFonts w:cs="Times New Roman"/>
          <w:lang w:val="fr-CA"/>
        </w:rPr>
        <w:t xml:space="preserve">, qui représentent les offres que </w:t>
      </w:r>
      <w:proofErr w:type="spellStart"/>
      <w:r w:rsidRPr="00B27419">
        <w:rPr>
          <w:rFonts w:cs="Times New Roman"/>
          <w:lang w:val="fr-CA"/>
        </w:rPr>
        <w:t>Tervita</w:t>
      </w:r>
      <w:proofErr w:type="spellEnd"/>
      <w:r w:rsidRPr="00B27419">
        <w:rPr>
          <w:rFonts w:cs="Times New Roman"/>
          <w:lang w:val="fr-CA"/>
        </w:rPr>
        <w:t xml:space="preserve"> aurait faites dans un contexte concurrentiel à certains clients et qui se seraient traduites pour eux par une baisse du coût total des services généraux d’élimination des déchets (par.</w:t>
      </w:r>
      <w:r w:rsidR="00E6271F" w:rsidRPr="00B27419">
        <w:rPr>
          <w:rFonts w:cs="Times New Roman"/>
          <w:lang w:val="fr-CA"/>
        </w:rPr>
        <w:t xml:space="preserve"> </w:t>
      </w:r>
      <w:r w:rsidRPr="00B27419">
        <w:rPr>
          <w:rFonts w:cs="Times New Roman"/>
          <w:lang w:val="fr-CA"/>
        </w:rPr>
        <w:t>306</w:t>
      </w:r>
      <w:r w:rsidR="00E6271F" w:rsidRPr="00B27419">
        <w:rPr>
          <w:rFonts w:cs="Times New Roman"/>
          <w:lang w:val="fr-CA"/>
        </w:rPr>
        <w:t>-</w:t>
      </w:r>
      <w:r w:rsidRPr="00B27419">
        <w:rPr>
          <w:rFonts w:cs="Times New Roman"/>
          <w:lang w:val="fr-CA"/>
        </w:rPr>
        <w:t>307).</w:t>
      </w:r>
    </w:p>
    <w:p w:rsidR="0039493A" w:rsidRPr="00B27419" w:rsidRDefault="0039493A" w:rsidP="00B27419">
      <w:pPr>
        <w:pStyle w:val="ParaNoNdepar-AltN"/>
        <w:rPr>
          <w:rFonts w:cs="Times New Roman"/>
          <w:lang w:val="fr-CA"/>
        </w:rPr>
      </w:pPr>
      <w:r w:rsidRPr="00B27419">
        <w:rPr>
          <w:rFonts w:cs="Times New Roman"/>
          <w:lang w:val="fr-CA"/>
        </w:rPr>
        <w:t xml:space="preserve">Le Tribunal a rejeté la plupart des gains en efficience invoqués par </w:t>
      </w:r>
      <w:proofErr w:type="spellStart"/>
      <w:r w:rsidRPr="00B27419">
        <w:rPr>
          <w:rFonts w:cs="Times New Roman"/>
          <w:lang w:val="fr-CA"/>
        </w:rPr>
        <w:t>Tervita</w:t>
      </w:r>
      <w:proofErr w:type="spellEnd"/>
      <w:r w:rsidRPr="00B27419">
        <w:rPr>
          <w:rFonts w:cs="Times New Roman"/>
          <w:lang w:val="fr-CA"/>
        </w:rPr>
        <w:t xml:space="preserve"> au motif que ceux</w:t>
      </w:r>
      <w:r w:rsidR="00E6271F" w:rsidRPr="00B27419">
        <w:rPr>
          <w:rFonts w:cs="Times New Roman"/>
          <w:lang w:val="fr-CA"/>
        </w:rPr>
        <w:t>-</w:t>
      </w:r>
      <w:r w:rsidRPr="00B27419">
        <w:rPr>
          <w:rFonts w:cs="Times New Roman"/>
          <w:lang w:val="fr-CA"/>
        </w:rPr>
        <w:t>ci se réaliseraient vraisemblablement même s’il prononçait l’ordonnance de dessaisissement (par.</w:t>
      </w:r>
      <w:r w:rsidR="00E6271F" w:rsidRPr="00B27419">
        <w:rPr>
          <w:rFonts w:cs="Times New Roman"/>
          <w:lang w:val="fr-CA"/>
        </w:rPr>
        <w:t xml:space="preserve"> </w:t>
      </w:r>
      <w:r w:rsidRPr="00B27419">
        <w:rPr>
          <w:rFonts w:cs="Times New Roman"/>
          <w:lang w:val="fr-CA"/>
        </w:rPr>
        <w:t xml:space="preserve">265). Le Tribunal a rejeté également les </w:t>
      </w:r>
      <w:r w:rsidR="00B27419">
        <w:rPr>
          <w:rFonts w:cs="Times New Roman"/>
          <w:lang w:val="fr-CA"/>
        </w:rPr>
        <w:t>« </w:t>
      </w:r>
      <w:r w:rsidRPr="00B27419">
        <w:rPr>
          <w:rFonts w:cs="Times New Roman"/>
          <w:lang w:val="fr-CA"/>
        </w:rPr>
        <w:t>gains en efficience liés à l’exécution de l’ordonnance</w:t>
      </w:r>
      <w:r w:rsidR="00B27419">
        <w:rPr>
          <w:rFonts w:cs="Times New Roman"/>
          <w:lang w:val="fr-CA"/>
        </w:rPr>
        <w:t> »</w:t>
      </w:r>
      <w:r w:rsidRPr="00B27419">
        <w:rPr>
          <w:rFonts w:cs="Times New Roman"/>
          <w:lang w:val="fr-CA"/>
        </w:rPr>
        <w:t xml:space="preserve"> </w:t>
      </w:r>
      <w:r w:rsidR="000B2799" w:rsidRPr="00B27419">
        <w:rPr>
          <w:rFonts w:cs="Times New Roman"/>
          <w:lang w:val="fr-CA"/>
        </w:rPr>
        <w:t>(</w:t>
      </w:r>
      <w:r w:rsidR="00B27419">
        <w:rPr>
          <w:rFonts w:cs="Times New Roman"/>
          <w:lang w:val="fr-CA"/>
        </w:rPr>
        <w:t>« </w:t>
      </w:r>
      <w:r w:rsidR="000B2799" w:rsidRPr="00B27419">
        <w:rPr>
          <w:rFonts w:cs="Times New Roman"/>
          <w:lang w:val="fr-CA"/>
        </w:rPr>
        <w:t>GEEO</w:t>
      </w:r>
      <w:r w:rsidR="00B27419">
        <w:rPr>
          <w:rFonts w:cs="Times New Roman"/>
          <w:lang w:val="fr-CA"/>
        </w:rPr>
        <w:t> »</w:t>
      </w:r>
      <w:r w:rsidR="000B2799" w:rsidRPr="00B27419">
        <w:rPr>
          <w:rFonts w:cs="Times New Roman"/>
          <w:lang w:val="fr-CA"/>
        </w:rPr>
        <w:t xml:space="preserve">) </w:t>
      </w:r>
      <w:r w:rsidRPr="00B27419">
        <w:rPr>
          <w:rFonts w:cs="Times New Roman"/>
          <w:lang w:val="fr-CA"/>
        </w:rPr>
        <w:t>— soit ceux associés au transport et à l’expansion du marché découlant du délai d’exécution de l’ordonnance de dessaisissement. Le Tribunal a conclu que les GEEO ne sont pas admissibles pour l’application de l’art.</w:t>
      </w:r>
      <w:r w:rsidR="00E6271F" w:rsidRPr="00B27419">
        <w:rPr>
          <w:rFonts w:cs="Times New Roman"/>
          <w:lang w:val="fr-CA"/>
        </w:rPr>
        <w:t xml:space="preserve"> </w:t>
      </w:r>
      <w:r w:rsidRPr="00B27419">
        <w:rPr>
          <w:rFonts w:cs="Times New Roman"/>
          <w:lang w:val="fr-CA"/>
        </w:rPr>
        <w:t>96, car accorder aux parties au fusionnement le bénéfice de ces gains en efficience irait à l’encontre des objectifs de la Loi (par.</w:t>
      </w:r>
      <w:r w:rsidR="00E6271F" w:rsidRPr="00B27419">
        <w:rPr>
          <w:rFonts w:cs="Times New Roman"/>
          <w:lang w:val="fr-CA"/>
        </w:rPr>
        <w:t xml:space="preserve"> </w:t>
      </w:r>
      <w:r w:rsidRPr="00B27419">
        <w:rPr>
          <w:rFonts w:cs="Times New Roman"/>
          <w:lang w:val="fr-CA"/>
        </w:rPr>
        <w:t xml:space="preserve">270). Le Tribunal a cependant admis les gains en efficience liés à la </w:t>
      </w:r>
      <w:r w:rsidR="00B27419">
        <w:rPr>
          <w:rFonts w:cs="Times New Roman"/>
          <w:lang w:val="fr-CA"/>
        </w:rPr>
        <w:t>« </w:t>
      </w:r>
      <w:r w:rsidRPr="00B27419">
        <w:rPr>
          <w:rFonts w:cs="Times New Roman"/>
          <w:lang w:val="fr-CA"/>
        </w:rPr>
        <w:t>baisse des coûts indirects</w:t>
      </w:r>
      <w:r w:rsidR="00B27419">
        <w:rPr>
          <w:rFonts w:cs="Times New Roman"/>
          <w:lang w:val="fr-CA"/>
        </w:rPr>
        <w:t> »</w:t>
      </w:r>
      <w:r w:rsidRPr="00B27419">
        <w:rPr>
          <w:rFonts w:cs="Times New Roman"/>
          <w:lang w:val="fr-CA"/>
        </w:rPr>
        <w:t xml:space="preserve"> avancés par </w:t>
      </w:r>
      <w:proofErr w:type="spellStart"/>
      <w:r w:rsidRPr="00B27419">
        <w:rPr>
          <w:rFonts w:cs="Times New Roman"/>
          <w:lang w:val="fr-CA"/>
        </w:rPr>
        <w:t>Tervita</w:t>
      </w:r>
      <w:proofErr w:type="spellEnd"/>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275).</w:t>
      </w:r>
    </w:p>
    <w:p w:rsidR="0039493A" w:rsidRPr="00B27419" w:rsidRDefault="0039493A" w:rsidP="00B27419">
      <w:pPr>
        <w:pStyle w:val="ParaNoNdepar-AltN"/>
        <w:tabs>
          <w:tab w:val="clear" w:pos="1294"/>
        </w:tabs>
        <w:rPr>
          <w:rFonts w:cs="Times New Roman"/>
          <w:lang w:val="fr-CA"/>
        </w:rPr>
      </w:pPr>
      <w:r w:rsidRPr="00B27419">
        <w:rPr>
          <w:rFonts w:cs="Times New Roman"/>
          <w:lang w:val="fr-CA"/>
        </w:rPr>
        <w:t xml:space="preserve">Le Tribunal a comparé les gains en efficience quantifiables établis aux effets anticoncurrentiels quantifiables qu’il a admis, concluant que les gains en efficience quantitatifs et qualitatifs ne </w:t>
      </w:r>
      <w:r w:rsidR="00B27419">
        <w:rPr>
          <w:rFonts w:cs="Times New Roman"/>
          <w:lang w:val="fr-CA"/>
        </w:rPr>
        <w:t>« </w:t>
      </w:r>
      <w:r w:rsidRPr="00B27419">
        <w:rPr>
          <w:rFonts w:cs="Times New Roman"/>
          <w:lang w:val="fr-CA"/>
        </w:rPr>
        <w:t>surpasseront</w:t>
      </w:r>
      <w:r w:rsidR="00B27419">
        <w:rPr>
          <w:rFonts w:cs="Times New Roman"/>
          <w:lang w:val="fr-CA"/>
        </w:rPr>
        <w:t> »</w:t>
      </w:r>
      <w:r w:rsidRPr="00B27419">
        <w:rPr>
          <w:rFonts w:cs="Times New Roman"/>
          <w:lang w:val="fr-CA"/>
        </w:rPr>
        <w:t xml:space="preserve"> vraisemblablement pas les </w:t>
      </w:r>
      <w:r w:rsidRPr="00B27419">
        <w:rPr>
          <w:rFonts w:cs="Times New Roman"/>
          <w:lang w:val="fr-CA"/>
        </w:rPr>
        <w:lastRenderedPageBreak/>
        <w:t>effets anticoncurrentiels quantitatifs et qualitatifs (par.</w:t>
      </w:r>
      <w:r w:rsidR="00E6271F" w:rsidRPr="00B27419">
        <w:rPr>
          <w:rFonts w:cs="Times New Roman"/>
          <w:lang w:val="fr-CA"/>
        </w:rPr>
        <w:t xml:space="preserve"> </w:t>
      </w:r>
      <w:r w:rsidRPr="00B27419">
        <w:rPr>
          <w:rFonts w:cs="Times New Roman"/>
          <w:lang w:val="fr-CA"/>
        </w:rPr>
        <w:t>313</w:t>
      </w:r>
      <w:r w:rsidR="00E6271F" w:rsidRPr="00B27419">
        <w:rPr>
          <w:rFonts w:cs="Times New Roman"/>
          <w:lang w:val="fr-CA"/>
        </w:rPr>
        <w:t>-</w:t>
      </w:r>
      <w:r w:rsidRPr="00B27419">
        <w:rPr>
          <w:rFonts w:cs="Times New Roman"/>
          <w:lang w:val="fr-CA"/>
        </w:rPr>
        <w:t>314). Il a fondé cette conclusion également sur le fait que, si l’ordonnance visée à l’art.</w:t>
      </w:r>
      <w:r w:rsidR="00E6271F" w:rsidRPr="00B27419">
        <w:rPr>
          <w:rFonts w:cs="Times New Roman"/>
          <w:lang w:val="fr-CA"/>
        </w:rPr>
        <w:t xml:space="preserve"> </w:t>
      </w:r>
      <w:r w:rsidRPr="00B27419">
        <w:rPr>
          <w:rFonts w:cs="Times New Roman"/>
          <w:lang w:val="fr-CA"/>
        </w:rPr>
        <w:t xml:space="preserve">92 n’était pas prononcée, le fusionnement maintiendrait une structure monopolistique dans le marché en question, de sorte qu’il empêcherait la réalisation des </w:t>
      </w:r>
      <w:r w:rsidR="00B27419">
        <w:rPr>
          <w:rFonts w:cs="Times New Roman"/>
          <w:lang w:val="fr-CA"/>
        </w:rPr>
        <w:t>« </w:t>
      </w:r>
      <w:r w:rsidRPr="00B27419">
        <w:rPr>
          <w:rFonts w:cs="Times New Roman"/>
          <w:lang w:val="fr-CA"/>
        </w:rPr>
        <w:t>avantages de la concurrence de manière impossible à prévoir</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317).</w:t>
      </w:r>
    </w:p>
    <w:p w:rsidR="0039493A" w:rsidRPr="00B27419" w:rsidRDefault="0039493A" w:rsidP="00B27419">
      <w:pPr>
        <w:pStyle w:val="ParaNoNdepar-AltN"/>
        <w:rPr>
          <w:rFonts w:cs="Times New Roman"/>
          <w:lang w:val="fr-CA"/>
        </w:rPr>
      </w:pPr>
      <w:r w:rsidRPr="00B27419">
        <w:rPr>
          <w:rFonts w:cs="Times New Roman"/>
          <w:lang w:val="fr-CA"/>
        </w:rPr>
        <w:t>Dans ses motifs concordants, le juge en chef</w:t>
      </w:r>
      <w:r w:rsidR="00E6271F" w:rsidRPr="00B27419">
        <w:rPr>
          <w:rFonts w:cs="Times New Roman"/>
          <w:lang w:val="fr-CA"/>
        </w:rPr>
        <w:t xml:space="preserve"> </w:t>
      </w:r>
      <w:r w:rsidRPr="00B27419">
        <w:rPr>
          <w:rFonts w:cs="Times New Roman"/>
          <w:lang w:val="fr-CA"/>
        </w:rPr>
        <w:t>Crampton</w:t>
      </w:r>
      <w:r w:rsidRPr="00B27419">
        <w:rPr>
          <w:rStyle w:val="FootnoteReference"/>
          <w:rFonts w:cs="Times New Roman"/>
          <w:lang w:val="fr-CA"/>
        </w:rPr>
        <w:footnoteReference w:id="1"/>
      </w:r>
      <w:r w:rsidRPr="00B27419">
        <w:rPr>
          <w:rFonts w:cs="Times New Roman"/>
          <w:lang w:val="fr-CA"/>
        </w:rPr>
        <w:t xml:space="preserve"> a affirmé qu’il est loisible au Tribunal, lorsque la preuve ne permet pas de quantifier, même grossièrement, des effets qui seraient normalement quantifiables, de leur attribuer une valeur qualitative (par.</w:t>
      </w:r>
      <w:r w:rsidR="00E6271F" w:rsidRPr="00B27419">
        <w:rPr>
          <w:rFonts w:cs="Times New Roman"/>
          <w:lang w:val="fr-CA"/>
        </w:rPr>
        <w:t xml:space="preserve"> </w:t>
      </w:r>
      <w:r w:rsidRPr="00B27419">
        <w:rPr>
          <w:rFonts w:cs="Times New Roman"/>
          <w:lang w:val="fr-CA"/>
        </w:rPr>
        <w:t>408).</w:t>
      </w:r>
    </w:p>
    <w:p w:rsidR="0039493A" w:rsidRPr="00B27419" w:rsidRDefault="0039493A" w:rsidP="00B27419">
      <w:pPr>
        <w:pStyle w:val="Title2LevelTitre2Niveau"/>
        <w:spacing w:before="0"/>
        <w:rPr>
          <w:rFonts w:cs="Times New Roman"/>
          <w:lang w:val="fr-CA"/>
        </w:rPr>
      </w:pPr>
      <w:bookmarkStart w:id="22" w:name="_Toc396299527"/>
      <w:bookmarkStart w:id="23" w:name="_Toc397586758"/>
      <w:bookmarkStart w:id="24" w:name="_Toc409593442"/>
      <w:r w:rsidRPr="00B27419">
        <w:rPr>
          <w:rFonts w:cs="Times New Roman"/>
          <w:lang w:val="fr-CA"/>
        </w:rPr>
        <w:t>Cour d’appel fédérale</w:t>
      </w:r>
      <w:bookmarkEnd w:id="22"/>
      <w:bookmarkEnd w:id="23"/>
      <w:r w:rsidRPr="00B27419">
        <w:rPr>
          <w:rFonts w:cs="Times New Roman"/>
          <w:lang w:val="fr-CA"/>
        </w:rPr>
        <w:t>, 2013 CAF 28</w:t>
      </w:r>
      <w:bookmarkEnd w:id="24"/>
      <w:r w:rsidR="0053527A" w:rsidRPr="00B27419">
        <w:rPr>
          <w:rFonts w:cs="Times New Roman"/>
          <w:lang w:val="fr-CA"/>
        </w:rPr>
        <w:t>, [2014] 2 R.C.F. 352</w:t>
      </w:r>
    </w:p>
    <w:p w:rsidR="0039493A" w:rsidRPr="00B27419" w:rsidRDefault="0039493A" w:rsidP="00B27419">
      <w:pPr>
        <w:pStyle w:val="ParaNoNdepar-AltN"/>
        <w:rPr>
          <w:rFonts w:cs="Times New Roman"/>
          <w:lang w:val="fr-CA"/>
        </w:rPr>
      </w:pPr>
      <w:proofErr w:type="spellStart"/>
      <w:r w:rsidRPr="00B27419">
        <w:rPr>
          <w:rFonts w:cs="Times New Roman"/>
          <w:lang w:val="fr-CA"/>
        </w:rPr>
        <w:t>Tervita</w:t>
      </w:r>
      <w:proofErr w:type="spellEnd"/>
      <w:r w:rsidRPr="00B27419">
        <w:rPr>
          <w:rFonts w:cs="Times New Roman"/>
          <w:lang w:val="fr-CA"/>
        </w:rPr>
        <w:t xml:space="preserve"> a contesté devant la Cour d’appel fédérale l’ordonnance de dessaisissement prononcée par le Tribunal.</w:t>
      </w:r>
      <w:r w:rsidR="00E6271F" w:rsidRPr="00B27419">
        <w:rPr>
          <w:rFonts w:cs="Times New Roman"/>
          <w:lang w:val="fr-CA"/>
        </w:rPr>
        <w:t xml:space="preserve"> </w:t>
      </w:r>
    </w:p>
    <w:p w:rsidR="0039493A" w:rsidRPr="00B27419" w:rsidRDefault="0039493A" w:rsidP="00B27419">
      <w:pPr>
        <w:pStyle w:val="ParaNoNdepar-AltN"/>
        <w:rPr>
          <w:rFonts w:cs="Times New Roman"/>
          <w:lang w:val="fr-CA"/>
        </w:rPr>
      </w:pPr>
      <w:r w:rsidRPr="00B27419">
        <w:rPr>
          <w:rFonts w:cs="Times New Roman"/>
          <w:lang w:val="fr-CA"/>
        </w:rPr>
        <w:t>Dans un premier temps, la Cour d’appel a déterminé que la norme de la décision correcte s’appliquait aux conclusions du Tribunal sur les questions de droit et que celle de la décision raisonnable s’appliquait à ses conclusions sur les questions de fait ou sur les questions mixtes de fait et de droit (par.</w:t>
      </w:r>
      <w:r w:rsidR="00E6271F" w:rsidRPr="00B27419">
        <w:rPr>
          <w:rFonts w:cs="Times New Roman"/>
          <w:lang w:val="fr-CA"/>
        </w:rPr>
        <w:t xml:space="preserve"> </w:t>
      </w:r>
      <w:r w:rsidRPr="00B27419">
        <w:rPr>
          <w:rFonts w:cs="Times New Roman"/>
          <w:lang w:val="fr-CA"/>
        </w:rPr>
        <w:t>52</w:t>
      </w:r>
      <w:r w:rsidR="00E6271F" w:rsidRPr="00B27419">
        <w:rPr>
          <w:rFonts w:cs="Times New Roman"/>
          <w:lang w:val="fr-CA"/>
        </w:rPr>
        <w:t>-</w:t>
      </w:r>
      <w:r w:rsidRPr="00B27419">
        <w:rPr>
          <w:rFonts w:cs="Times New Roman"/>
          <w:lang w:val="fr-CA"/>
        </w:rPr>
        <w:t>68).</w:t>
      </w:r>
    </w:p>
    <w:p w:rsidR="0039493A" w:rsidRPr="00B27419" w:rsidRDefault="0039493A" w:rsidP="00B27419">
      <w:pPr>
        <w:pStyle w:val="Title3LevelTitre3Niveau"/>
        <w:rPr>
          <w:rFonts w:cs="Times New Roman"/>
          <w:lang w:val="fr-CA"/>
        </w:rPr>
      </w:pPr>
      <w:bookmarkStart w:id="25" w:name="_Toc396299528"/>
      <w:bookmarkStart w:id="26" w:name="_Toc397586759"/>
      <w:bookmarkStart w:id="27" w:name="_Toc409593443"/>
      <w:r w:rsidRPr="00B27419">
        <w:rPr>
          <w:rFonts w:cs="Times New Roman"/>
          <w:lang w:val="fr-CA"/>
        </w:rPr>
        <w:t>Article</w:t>
      </w:r>
      <w:r w:rsidR="00E6271F" w:rsidRPr="00B27419">
        <w:rPr>
          <w:rFonts w:cs="Times New Roman"/>
          <w:lang w:val="fr-CA"/>
        </w:rPr>
        <w:t xml:space="preserve"> </w:t>
      </w:r>
      <w:r w:rsidRPr="00B27419">
        <w:rPr>
          <w:rFonts w:cs="Times New Roman"/>
          <w:lang w:val="fr-CA"/>
        </w:rPr>
        <w:t>92</w:t>
      </w:r>
      <w:bookmarkEnd w:id="25"/>
      <w:bookmarkEnd w:id="26"/>
      <w:bookmarkEnd w:id="27"/>
    </w:p>
    <w:p w:rsidR="0039493A" w:rsidRPr="00B27419" w:rsidRDefault="0039493A" w:rsidP="00B27419">
      <w:pPr>
        <w:pStyle w:val="ParaNoNdepar-AltN"/>
        <w:rPr>
          <w:rFonts w:cs="Times New Roman"/>
          <w:lang w:val="fr-CA"/>
        </w:rPr>
      </w:pPr>
      <w:r w:rsidRPr="00B27419">
        <w:rPr>
          <w:rFonts w:cs="Times New Roman"/>
          <w:lang w:val="fr-CA"/>
        </w:rPr>
        <w:lastRenderedPageBreak/>
        <w:t>La Cour d’appel fédérale a confirmé la conception du Tribunal, suivant laquelle l’analyse qu’appelle l’art.</w:t>
      </w:r>
      <w:r w:rsidR="00E6271F" w:rsidRPr="00B27419">
        <w:rPr>
          <w:rFonts w:cs="Times New Roman"/>
          <w:lang w:val="fr-CA"/>
        </w:rPr>
        <w:t xml:space="preserve"> </w:t>
      </w:r>
      <w:r w:rsidRPr="00B27419">
        <w:rPr>
          <w:rFonts w:cs="Times New Roman"/>
          <w:lang w:val="fr-CA"/>
        </w:rPr>
        <w:t xml:space="preserve">92 de la Loi est </w:t>
      </w:r>
      <w:r w:rsidR="00B27419">
        <w:rPr>
          <w:rFonts w:cs="Times New Roman"/>
          <w:lang w:val="fr-CA"/>
        </w:rPr>
        <w:t>« </w:t>
      </w:r>
      <w:r w:rsidRPr="00B27419">
        <w:rPr>
          <w:rFonts w:cs="Times New Roman"/>
          <w:lang w:val="fr-CA"/>
        </w:rPr>
        <w:t>nécessairement prospective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87). À son avis, c’est à bon droit que le Tribunal a envisagé </w:t>
      </w:r>
      <w:r w:rsidR="00B27419">
        <w:rPr>
          <w:rFonts w:cs="Times New Roman"/>
          <w:lang w:val="fr-CA"/>
        </w:rPr>
        <w:t>« </w:t>
      </w:r>
      <w:r w:rsidRPr="00B27419">
        <w:rPr>
          <w:rFonts w:cs="Times New Roman"/>
          <w:lang w:val="fr-CA"/>
        </w:rPr>
        <w:t xml:space="preserve">l’avenir afin de vérifier si la pénétration du marché [par le site </w:t>
      </w:r>
      <w:proofErr w:type="spellStart"/>
      <w:r w:rsidRPr="00B27419">
        <w:rPr>
          <w:rFonts w:cs="Times New Roman"/>
          <w:lang w:val="fr-CA"/>
        </w:rPr>
        <w:t>Babkirk</w:t>
      </w:r>
      <w:proofErr w:type="spellEnd"/>
      <w:r w:rsidRPr="00B27419">
        <w:rPr>
          <w:rFonts w:cs="Times New Roman"/>
          <w:lang w:val="fr-CA"/>
        </w:rPr>
        <w:t>] aurait eu lieu dans un délai raisonnable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88). Tout en reconnaissant que ce qui est susceptible de constituer un délai raisonnable </w:t>
      </w:r>
      <w:r w:rsidR="00B27419">
        <w:rPr>
          <w:rFonts w:cs="Times New Roman"/>
          <w:lang w:val="fr-CA"/>
        </w:rPr>
        <w:t>« </w:t>
      </w:r>
      <w:r w:rsidRPr="00B27419">
        <w:rPr>
          <w:rFonts w:cs="Times New Roman"/>
          <w:lang w:val="fr-CA"/>
        </w:rPr>
        <w:t>varie nécessairement d’une affaire à l’autre et dépend du type d’entreprise en cause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89), la cour a énoncé deux critères permettant de circonscrire ce concept</w:t>
      </w:r>
      <w:r w:rsidR="00E6271F" w:rsidRPr="00B27419">
        <w:rPr>
          <w:rFonts w:cs="Times New Roman"/>
          <w:lang w:val="fr-CA"/>
        </w:rPr>
        <w:t> :</w:t>
      </w:r>
    </w:p>
    <w:p w:rsidR="0039493A" w:rsidRPr="00B27419" w:rsidRDefault="00E03C81" w:rsidP="00B27419">
      <w:pPr>
        <w:pStyle w:val="Citation-AltC"/>
        <w:tabs>
          <w:tab w:val="left" w:pos="1560"/>
        </w:tabs>
        <w:spacing w:after="240" w:line="480" w:lineRule="auto"/>
        <w:ind w:left="720" w:hanging="720"/>
        <w:contextualSpacing w:val="0"/>
        <w:rPr>
          <w:lang w:val="fr-CA"/>
        </w:rPr>
      </w:pPr>
      <w:r w:rsidRPr="00B27419">
        <w:rPr>
          <w:lang w:val="fr-CA"/>
        </w:rPr>
        <w:t>(</w:t>
      </w:r>
      <w:r w:rsidR="0039493A" w:rsidRPr="00B27419">
        <w:rPr>
          <w:lang w:val="fr-CA"/>
        </w:rPr>
        <w:t>1)</w:t>
      </w:r>
      <w:r w:rsidR="0039493A" w:rsidRPr="00B27419">
        <w:rPr>
          <w:lang w:val="fr-CA"/>
        </w:rPr>
        <w:tab/>
      </w:r>
      <w:r w:rsidR="00B27419">
        <w:rPr>
          <w:lang w:val="fr-CA"/>
        </w:rPr>
        <w:t>« </w:t>
      </w:r>
      <w:r w:rsidR="0039493A" w:rsidRPr="00B27419">
        <w:rPr>
          <w:lang w:val="fr-CA"/>
        </w:rPr>
        <w:t>le délai doit être discernable</w:t>
      </w:r>
      <w:r w:rsidR="00B27419">
        <w:rPr>
          <w:lang w:val="fr-CA"/>
        </w:rPr>
        <w:t> »</w:t>
      </w:r>
      <w:r w:rsidR="0039493A" w:rsidRPr="00B27419">
        <w:rPr>
          <w:lang w:val="fr-CA"/>
        </w:rPr>
        <w:t xml:space="preserve"> (par.</w:t>
      </w:r>
      <w:r w:rsidR="00E6271F" w:rsidRPr="00B27419">
        <w:rPr>
          <w:lang w:val="fr-CA"/>
        </w:rPr>
        <w:t xml:space="preserve"> </w:t>
      </w:r>
      <w:r w:rsidR="0039493A" w:rsidRPr="00B27419">
        <w:rPr>
          <w:lang w:val="fr-CA"/>
        </w:rPr>
        <w:t xml:space="preserve">90), </w:t>
      </w:r>
    </w:p>
    <w:p w:rsidR="0039493A" w:rsidRPr="00B27419" w:rsidRDefault="00E03C81" w:rsidP="00B27419">
      <w:pPr>
        <w:pStyle w:val="Citation-AltC"/>
        <w:tabs>
          <w:tab w:val="left" w:pos="1560"/>
        </w:tabs>
        <w:spacing w:line="480" w:lineRule="auto"/>
        <w:ind w:left="720" w:hanging="720"/>
        <w:contextualSpacing w:val="0"/>
        <w:rPr>
          <w:lang w:val="fr-CA"/>
        </w:rPr>
      </w:pPr>
      <w:r w:rsidRPr="00B27419">
        <w:rPr>
          <w:lang w:val="fr-CA"/>
        </w:rPr>
        <w:t>(</w:t>
      </w:r>
      <w:r w:rsidR="0039493A" w:rsidRPr="00B27419">
        <w:rPr>
          <w:lang w:val="fr-CA"/>
        </w:rPr>
        <w:t>2)</w:t>
      </w:r>
      <w:r w:rsidR="0039493A" w:rsidRPr="00B27419">
        <w:rPr>
          <w:lang w:val="fr-CA"/>
        </w:rPr>
        <w:tab/>
      </w:r>
      <w:r w:rsidR="00B27419">
        <w:rPr>
          <w:lang w:val="fr-CA"/>
        </w:rPr>
        <w:t>« </w:t>
      </w:r>
      <w:r w:rsidR="0039493A" w:rsidRPr="00B27419">
        <w:rPr>
          <w:lang w:val="fr-CA"/>
        </w:rPr>
        <w:t>le délai de pénétration du marché devrait normalement s’inscrire dans la dimension temporelle des obstacles à la pénétration du marché en question</w:t>
      </w:r>
      <w:r w:rsidR="00B27419">
        <w:rPr>
          <w:lang w:val="fr-CA"/>
        </w:rPr>
        <w:t> »</w:t>
      </w:r>
      <w:r w:rsidR="0039493A" w:rsidRPr="00B27419">
        <w:rPr>
          <w:lang w:val="fr-CA"/>
        </w:rPr>
        <w:t xml:space="preserve"> (par.</w:t>
      </w:r>
      <w:r w:rsidR="00E6271F" w:rsidRPr="00B27419">
        <w:rPr>
          <w:lang w:val="fr-CA"/>
        </w:rPr>
        <w:t xml:space="preserve"> </w:t>
      </w:r>
      <w:r w:rsidR="0039493A" w:rsidRPr="00B27419">
        <w:rPr>
          <w:lang w:val="fr-CA"/>
        </w:rPr>
        <w:t>91).</w:t>
      </w:r>
    </w:p>
    <w:p w:rsidR="0039493A" w:rsidRPr="00B27419" w:rsidRDefault="0039493A" w:rsidP="00B27419">
      <w:pPr>
        <w:pStyle w:val="ParaNoNdepar-AltN"/>
        <w:rPr>
          <w:rFonts w:cs="Times New Roman"/>
          <w:lang w:val="fr-CA"/>
        </w:rPr>
      </w:pPr>
      <w:r w:rsidRPr="00B27419">
        <w:rPr>
          <w:rFonts w:cs="Times New Roman"/>
          <w:lang w:val="fr-CA"/>
        </w:rPr>
        <w:t xml:space="preserve">Ayant appliqué ces critères, la Cour d’appel fédérale est arrivée à la conclusion que le Tribunal </w:t>
      </w:r>
      <w:r w:rsidR="00B27419">
        <w:rPr>
          <w:rFonts w:cs="Times New Roman"/>
          <w:lang w:val="fr-CA"/>
        </w:rPr>
        <w:t>« </w:t>
      </w:r>
      <w:r w:rsidRPr="00B27419">
        <w:rPr>
          <w:rFonts w:cs="Times New Roman"/>
          <w:lang w:val="fr-CA"/>
        </w:rPr>
        <w:t xml:space="preserve">discernait un délai évident à l’intérieur duquel le site </w:t>
      </w:r>
      <w:proofErr w:type="spellStart"/>
      <w:r w:rsidRPr="00B27419">
        <w:rPr>
          <w:rFonts w:cs="Times New Roman"/>
          <w:lang w:val="fr-CA"/>
        </w:rPr>
        <w:t>Babkirk</w:t>
      </w:r>
      <w:proofErr w:type="spellEnd"/>
      <w:r w:rsidRPr="00B27419">
        <w:rPr>
          <w:rFonts w:cs="Times New Roman"/>
          <w:lang w:val="fr-CA"/>
        </w:rPr>
        <w:t xml:space="preserve"> pénétrerait le marché des sites d’enfouissement sécuritaires</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92) et que ce délai discernable </w:t>
      </w:r>
      <w:r w:rsidR="00B27419">
        <w:rPr>
          <w:rFonts w:cs="Times New Roman"/>
          <w:lang w:val="fr-CA"/>
        </w:rPr>
        <w:t>« </w:t>
      </w:r>
      <w:r w:rsidRPr="00B27419">
        <w:rPr>
          <w:rFonts w:cs="Times New Roman"/>
          <w:lang w:val="fr-CA"/>
        </w:rPr>
        <w:t>s’inscrivait résolument dans le cadre temporel des obstacles à la pénétration du marché</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94). </w:t>
      </w:r>
    </w:p>
    <w:p w:rsidR="0039493A" w:rsidRPr="00B27419" w:rsidRDefault="0039493A" w:rsidP="00B27419">
      <w:pPr>
        <w:pStyle w:val="ParaNoNdepar-AltN"/>
        <w:rPr>
          <w:rFonts w:cs="Times New Roman"/>
          <w:lang w:val="fr-CA"/>
        </w:rPr>
      </w:pPr>
      <w:r w:rsidRPr="00B27419">
        <w:rPr>
          <w:rFonts w:cs="Times New Roman"/>
          <w:lang w:val="fr-CA"/>
        </w:rPr>
        <w:t>La Cour d’appel fédérale a confirmé la conclusion du Tribunal selon laquelle le fusionnement proposé aurait vraisemblablement pour effet d’empêcher sensiblement la concurrence.</w:t>
      </w:r>
    </w:p>
    <w:p w:rsidR="0039493A" w:rsidRPr="00B27419" w:rsidRDefault="0039493A" w:rsidP="00B27419">
      <w:pPr>
        <w:pStyle w:val="Title3LevelTitre3Niveau"/>
        <w:rPr>
          <w:rFonts w:cs="Times New Roman"/>
          <w:lang w:val="fr-CA"/>
        </w:rPr>
      </w:pPr>
      <w:bookmarkStart w:id="28" w:name="_Toc396299529"/>
      <w:bookmarkStart w:id="29" w:name="_Toc397586760"/>
      <w:bookmarkStart w:id="30" w:name="_Toc409593444"/>
      <w:r w:rsidRPr="00B27419">
        <w:rPr>
          <w:rFonts w:cs="Times New Roman"/>
          <w:lang w:val="fr-CA"/>
        </w:rPr>
        <w:lastRenderedPageBreak/>
        <w:t>Article</w:t>
      </w:r>
      <w:r w:rsidR="00E6271F" w:rsidRPr="00B27419">
        <w:rPr>
          <w:rFonts w:cs="Times New Roman"/>
          <w:lang w:val="fr-CA"/>
        </w:rPr>
        <w:t xml:space="preserve"> </w:t>
      </w:r>
      <w:r w:rsidRPr="00B27419">
        <w:rPr>
          <w:rFonts w:cs="Times New Roman"/>
          <w:lang w:val="fr-CA"/>
        </w:rPr>
        <w:t>96</w:t>
      </w:r>
      <w:bookmarkEnd w:id="28"/>
      <w:bookmarkEnd w:id="29"/>
      <w:bookmarkEnd w:id="30"/>
    </w:p>
    <w:p w:rsidR="0039493A" w:rsidRPr="00B27419" w:rsidRDefault="0039493A" w:rsidP="00B27419">
      <w:pPr>
        <w:pStyle w:val="ParaNoNdepar-AltN"/>
        <w:rPr>
          <w:rFonts w:cs="Times New Roman"/>
          <w:lang w:val="fr-CA"/>
        </w:rPr>
      </w:pPr>
      <w:r w:rsidRPr="00B27419">
        <w:rPr>
          <w:rFonts w:cs="Times New Roman"/>
          <w:lang w:val="fr-CA"/>
        </w:rPr>
        <w:t xml:space="preserve">Selon la Cour d’appel fédérale, c’est à tort que le Tribunal a permis à la commissaire de produire en réplique un rapport d’expert énonçant une </w:t>
      </w:r>
      <w:r w:rsidR="00B27419">
        <w:rPr>
          <w:rFonts w:cs="Times New Roman"/>
          <w:lang w:val="fr-CA"/>
        </w:rPr>
        <w:t>« </w:t>
      </w:r>
      <w:r w:rsidRPr="00B27419">
        <w:rPr>
          <w:rFonts w:cs="Times New Roman"/>
          <w:lang w:val="fr-CA"/>
        </w:rPr>
        <w:t>estimation approximative</w:t>
      </w:r>
      <w:r w:rsidR="00B27419">
        <w:rPr>
          <w:rFonts w:cs="Times New Roman"/>
          <w:lang w:val="fr-CA"/>
        </w:rPr>
        <w:t> »</w:t>
      </w:r>
      <w:r w:rsidRPr="00B27419">
        <w:rPr>
          <w:rFonts w:cs="Times New Roman"/>
          <w:lang w:val="fr-CA"/>
        </w:rPr>
        <w:t xml:space="preserve"> de la perte sèche découlant du fusionnement pour s’acquitter de son fardeau de prouver les effets anticoncurrentiels quantifiables (par.</w:t>
      </w:r>
      <w:r w:rsidR="00E6271F" w:rsidRPr="00B27419">
        <w:rPr>
          <w:rFonts w:cs="Times New Roman"/>
          <w:lang w:val="fr-CA"/>
        </w:rPr>
        <w:t xml:space="preserve"> </w:t>
      </w:r>
      <w:r w:rsidRPr="00B27419">
        <w:rPr>
          <w:rFonts w:cs="Times New Roman"/>
          <w:lang w:val="fr-CA"/>
        </w:rPr>
        <w:t xml:space="preserve">128). </w:t>
      </w:r>
      <w:proofErr w:type="spellStart"/>
      <w:r w:rsidRPr="00B27419">
        <w:rPr>
          <w:rFonts w:cs="Times New Roman"/>
          <w:lang w:val="fr-CA"/>
        </w:rPr>
        <w:t>Tervita</w:t>
      </w:r>
      <w:proofErr w:type="spellEnd"/>
      <w:r w:rsidRPr="00B27419">
        <w:rPr>
          <w:rFonts w:cs="Times New Roman"/>
          <w:lang w:val="fr-CA"/>
        </w:rPr>
        <w:t xml:space="preserve"> a subi un préjudice du fait que le Tribunal a admis la méthodologie </w:t>
      </w:r>
      <w:r w:rsidR="00B27419">
        <w:rPr>
          <w:rFonts w:cs="Times New Roman"/>
          <w:lang w:val="fr-CA"/>
        </w:rPr>
        <w:t>« </w:t>
      </w:r>
      <w:r w:rsidRPr="00B27419">
        <w:rPr>
          <w:rFonts w:cs="Times New Roman"/>
          <w:lang w:val="fr-CA"/>
        </w:rPr>
        <w:t>clairement déficiente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124) de l’expert de la commissaire, qui ne permettait pas le calcul de la perte sèche (par.</w:t>
      </w:r>
      <w:r w:rsidR="00E6271F" w:rsidRPr="00B27419">
        <w:rPr>
          <w:rFonts w:cs="Times New Roman"/>
          <w:lang w:val="fr-CA"/>
        </w:rPr>
        <w:t xml:space="preserve"> </w:t>
      </w:r>
      <w:r w:rsidRPr="00B27419">
        <w:rPr>
          <w:rFonts w:cs="Times New Roman"/>
          <w:lang w:val="fr-CA"/>
        </w:rPr>
        <w:t>123</w:t>
      </w:r>
      <w:r w:rsidR="00E6271F" w:rsidRPr="00B27419">
        <w:rPr>
          <w:rFonts w:cs="Times New Roman"/>
          <w:lang w:val="fr-CA"/>
        </w:rPr>
        <w:t>-</w:t>
      </w:r>
      <w:r w:rsidRPr="00B27419">
        <w:rPr>
          <w:rFonts w:cs="Times New Roman"/>
          <w:lang w:val="fr-CA"/>
        </w:rPr>
        <w:t xml:space="preserve">125). Même s’il incombe à </w:t>
      </w:r>
      <w:proofErr w:type="spellStart"/>
      <w:r w:rsidRPr="00B27419">
        <w:rPr>
          <w:rFonts w:cs="Times New Roman"/>
          <w:lang w:val="fr-CA"/>
        </w:rPr>
        <w:t>Tervita</w:t>
      </w:r>
      <w:proofErr w:type="spellEnd"/>
      <w:r w:rsidRPr="00B27419">
        <w:rPr>
          <w:rFonts w:cs="Times New Roman"/>
          <w:lang w:val="fr-CA"/>
        </w:rPr>
        <w:t xml:space="preserve"> d’établir que les gains en efficience surpassent et neutralisent les effets anticoncurrentiels, cela </w:t>
      </w:r>
      <w:r w:rsidR="00B27419">
        <w:rPr>
          <w:rFonts w:cs="Times New Roman"/>
          <w:lang w:val="fr-CA"/>
        </w:rPr>
        <w:t>« </w:t>
      </w:r>
      <w:r w:rsidRPr="00B27419">
        <w:rPr>
          <w:rFonts w:cs="Times New Roman"/>
          <w:lang w:val="fr-CA"/>
        </w:rPr>
        <w:t>ne dégage nullement la commissaire du fardeau de prouver les effets anticoncurrentiels et de les quantifier autant que possible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127).  </w:t>
      </w:r>
    </w:p>
    <w:p w:rsidR="0039493A" w:rsidRPr="00B27419" w:rsidRDefault="0039493A" w:rsidP="00B27419">
      <w:pPr>
        <w:pStyle w:val="ParaNoNdepar-AltN"/>
        <w:rPr>
          <w:rFonts w:cs="Times New Roman"/>
          <w:lang w:val="fr-CA"/>
        </w:rPr>
      </w:pPr>
      <w:r w:rsidRPr="00B27419">
        <w:rPr>
          <w:rFonts w:cs="Times New Roman"/>
          <w:lang w:val="fr-CA"/>
        </w:rPr>
        <w:t>La Cour d’appel fédérale a souscrit à la conclusion du Tribunal selon laquelle prendre en considération les gains en efficience liés à l’exécution d’une ordonnance serait contraire à l’objectif global de la Loi (par.</w:t>
      </w:r>
      <w:r w:rsidR="00E6271F" w:rsidRPr="00B27419">
        <w:rPr>
          <w:rFonts w:cs="Times New Roman"/>
          <w:lang w:val="fr-CA"/>
        </w:rPr>
        <w:t xml:space="preserve"> </w:t>
      </w:r>
      <w:r w:rsidRPr="00B27419">
        <w:rPr>
          <w:rFonts w:cs="Times New Roman"/>
          <w:lang w:val="fr-CA"/>
        </w:rPr>
        <w:t xml:space="preserve">135). De plus, </w:t>
      </w:r>
      <w:proofErr w:type="spellStart"/>
      <w:r w:rsidRPr="00B27419">
        <w:rPr>
          <w:rFonts w:cs="Times New Roman"/>
          <w:lang w:val="fr-CA"/>
        </w:rPr>
        <w:t>Tervita</w:t>
      </w:r>
      <w:proofErr w:type="spellEnd"/>
      <w:r w:rsidRPr="00B27419">
        <w:rPr>
          <w:rFonts w:cs="Times New Roman"/>
          <w:lang w:val="fr-CA"/>
        </w:rPr>
        <w:t xml:space="preserve"> n’ayant pas encore entrepris la construction ou l’exploitation du site </w:t>
      </w:r>
      <w:proofErr w:type="spellStart"/>
      <w:r w:rsidRPr="00B27419">
        <w:rPr>
          <w:rFonts w:cs="Times New Roman"/>
          <w:lang w:val="fr-CA"/>
        </w:rPr>
        <w:t>Babkirk</w:t>
      </w:r>
      <w:proofErr w:type="spellEnd"/>
      <w:r w:rsidRPr="00B27419">
        <w:rPr>
          <w:rFonts w:cs="Times New Roman"/>
          <w:lang w:val="fr-CA"/>
        </w:rPr>
        <w:t>, ces gains ne s’étaient pas matérialisés et ne se matérialiseraient jamais (par.</w:t>
      </w:r>
      <w:r w:rsidR="00E6271F" w:rsidRPr="00B27419">
        <w:rPr>
          <w:rFonts w:cs="Times New Roman"/>
          <w:lang w:val="fr-CA"/>
        </w:rPr>
        <w:t xml:space="preserve"> </w:t>
      </w:r>
      <w:r w:rsidRPr="00B27419">
        <w:rPr>
          <w:rFonts w:cs="Times New Roman"/>
          <w:lang w:val="fr-CA"/>
        </w:rPr>
        <w:t xml:space="preserve">138). </w:t>
      </w:r>
    </w:p>
    <w:p w:rsidR="0039493A" w:rsidRPr="00B27419" w:rsidRDefault="0039493A" w:rsidP="00B27419">
      <w:pPr>
        <w:pStyle w:val="ParaNoNdepar-AltN"/>
        <w:rPr>
          <w:rFonts w:cs="Times New Roman"/>
          <w:lang w:val="fr-CA"/>
        </w:rPr>
      </w:pPr>
      <w:r w:rsidRPr="00B27419">
        <w:rPr>
          <w:rFonts w:cs="Times New Roman"/>
          <w:lang w:val="fr-CA"/>
        </w:rPr>
        <w:t>La Cour d’appel fédérale a conclu que le Tribunal avait généralement énoncé le bon critère pour la pondération finale qu’appelle l’art.</w:t>
      </w:r>
      <w:r w:rsidR="00E6271F" w:rsidRPr="00B27419">
        <w:rPr>
          <w:rFonts w:cs="Times New Roman"/>
          <w:lang w:val="fr-CA"/>
        </w:rPr>
        <w:t xml:space="preserve"> </w:t>
      </w:r>
      <w:r w:rsidRPr="00B27419">
        <w:rPr>
          <w:rFonts w:cs="Times New Roman"/>
          <w:lang w:val="fr-CA"/>
        </w:rPr>
        <w:t>96 (par.</w:t>
      </w:r>
      <w:r w:rsidR="00E6271F" w:rsidRPr="00B27419">
        <w:rPr>
          <w:rFonts w:cs="Times New Roman"/>
          <w:lang w:val="fr-CA"/>
        </w:rPr>
        <w:t xml:space="preserve"> </w:t>
      </w:r>
      <w:r w:rsidRPr="00B27419">
        <w:rPr>
          <w:rFonts w:cs="Times New Roman"/>
          <w:lang w:val="fr-CA"/>
        </w:rPr>
        <w:t xml:space="preserve">146), mais que sa méthodologie était trop subjective. Les gains en efficience et les effets anticoncurrentiels devraient être quantifiés chaque fois qu’il est raisonnablement possible de le faire, et la valeur accordée aux effets qualitatifs qu’il est impossible de </w:t>
      </w:r>
      <w:r w:rsidRPr="00B27419">
        <w:rPr>
          <w:rFonts w:cs="Times New Roman"/>
          <w:lang w:val="fr-CA"/>
        </w:rPr>
        <w:lastRenderedPageBreak/>
        <w:t>quantifier doit être raisonnable (par.</w:t>
      </w:r>
      <w:r w:rsidR="00E6271F" w:rsidRPr="00B27419">
        <w:rPr>
          <w:rFonts w:cs="Times New Roman"/>
          <w:lang w:val="fr-CA"/>
        </w:rPr>
        <w:t xml:space="preserve"> </w:t>
      </w:r>
      <w:r w:rsidRPr="00B27419">
        <w:rPr>
          <w:rFonts w:cs="Times New Roman"/>
          <w:lang w:val="fr-CA"/>
        </w:rPr>
        <w:t>148). De l’avis de la cour, le Tribunal s’était trompé à certains égards. Entre autres, il avait pris en considération des effets environnementaux qualitatifs que n’admet pas l’art.</w:t>
      </w:r>
      <w:r w:rsidR="00E6271F" w:rsidRPr="00B27419">
        <w:rPr>
          <w:rFonts w:cs="Times New Roman"/>
          <w:lang w:val="fr-CA"/>
        </w:rPr>
        <w:t xml:space="preserve"> </w:t>
      </w:r>
      <w:r w:rsidRPr="00B27419">
        <w:rPr>
          <w:rFonts w:cs="Times New Roman"/>
          <w:lang w:val="fr-CA"/>
        </w:rPr>
        <w:t>96 (par.</w:t>
      </w:r>
      <w:r w:rsidR="00E6271F" w:rsidRPr="00B27419">
        <w:rPr>
          <w:rFonts w:cs="Times New Roman"/>
          <w:lang w:val="fr-CA"/>
        </w:rPr>
        <w:t xml:space="preserve"> </w:t>
      </w:r>
      <w:r w:rsidRPr="00B27419">
        <w:rPr>
          <w:rFonts w:cs="Times New Roman"/>
          <w:lang w:val="fr-CA"/>
        </w:rPr>
        <w:t>155</w:t>
      </w:r>
      <w:r w:rsidR="00E6271F" w:rsidRPr="00B27419">
        <w:rPr>
          <w:rFonts w:cs="Times New Roman"/>
          <w:lang w:val="fr-CA"/>
        </w:rPr>
        <w:t>-</w:t>
      </w:r>
      <w:r w:rsidRPr="00B27419">
        <w:rPr>
          <w:rFonts w:cs="Times New Roman"/>
          <w:lang w:val="fr-CA"/>
        </w:rPr>
        <w:t>156), il avait compté la réduction des coûts d’assainissement des lieux à la fois dans les effets qualitatifs et dans son analyse déficiente de la perte sèche (par.</w:t>
      </w:r>
      <w:r w:rsidR="00E6271F" w:rsidRPr="00B27419">
        <w:rPr>
          <w:rFonts w:cs="Times New Roman"/>
          <w:lang w:val="fr-CA"/>
        </w:rPr>
        <w:t xml:space="preserve"> </w:t>
      </w:r>
      <w:r w:rsidRPr="00B27419">
        <w:rPr>
          <w:rFonts w:cs="Times New Roman"/>
          <w:lang w:val="fr-CA"/>
        </w:rPr>
        <w:t xml:space="preserve">157) et il avait tenu le monopole détenu par </w:t>
      </w:r>
      <w:proofErr w:type="spellStart"/>
      <w:r w:rsidRPr="00B27419">
        <w:rPr>
          <w:rFonts w:cs="Times New Roman"/>
          <w:lang w:val="fr-CA"/>
        </w:rPr>
        <w:t>Tervita</w:t>
      </w:r>
      <w:proofErr w:type="spellEnd"/>
      <w:r w:rsidRPr="00B27419">
        <w:rPr>
          <w:rFonts w:cs="Times New Roman"/>
          <w:lang w:val="fr-CA"/>
        </w:rPr>
        <w:t xml:space="preserve"> Corp. pour un effet anticoncurrentiel distinct (par.</w:t>
      </w:r>
      <w:r w:rsidR="00E6271F" w:rsidRPr="00B27419">
        <w:rPr>
          <w:rFonts w:cs="Times New Roman"/>
          <w:lang w:val="fr-CA"/>
        </w:rPr>
        <w:t xml:space="preserve"> </w:t>
      </w:r>
      <w:r w:rsidRPr="00B27419">
        <w:rPr>
          <w:rFonts w:cs="Times New Roman"/>
          <w:lang w:val="fr-CA"/>
        </w:rPr>
        <w:t>159</w:t>
      </w:r>
      <w:r w:rsidR="00E6271F" w:rsidRPr="00B27419">
        <w:rPr>
          <w:rFonts w:cs="Times New Roman"/>
          <w:lang w:val="fr-CA"/>
        </w:rPr>
        <w:t>-</w:t>
      </w:r>
      <w:r w:rsidRPr="00B27419">
        <w:rPr>
          <w:rFonts w:cs="Times New Roman"/>
          <w:lang w:val="fr-CA"/>
        </w:rPr>
        <w:t>161).</w:t>
      </w:r>
    </w:p>
    <w:p w:rsidR="0039493A" w:rsidRPr="00B27419" w:rsidRDefault="0039493A" w:rsidP="00B27419">
      <w:pPr>
        <w:pStyle w:val="ParaNoNdepar-AltN"/>
        <w:rPr>
          <w:rFonts w:cs="Times New Roman"/>
          <w:lang w:val="fr-CA"/>
        </w:rPr>
      </w:pPr>
      <w:r w:rsidRPr="00B27419">
        <w:rPr>
          <w:rFonts w:cs="Times New Roman"/>
          <w:lang w:val="fr-CA"/>
        </w:rPr>
        <w:t xml:space="preserve">Ayant procédé à une nouvelle appréciation de la question, la Cour d’appel fédérale a conclu qu’il fallait donner aux effets anticoncurrentiels quantitatifs du fusionnement qui n’avaient pas été quantifiés par la commissaire, non pas une valeur nulle, mais une valeur </w:t>
      </w:r>
      <w:r w:rsidR="00B27419">
        <w:rPr>
          <w:rFonts w:cs="Times New Roman"/>
          <w:lang w:val="fr-CA"/>
        </w:rPr>
        <w:t>« </w:t>
      </w:r>
      <w:r w:rsidRPr="00B27419">
        <w:rPr>
          <w:rFonts w:cs="Times New Roman"/>
          <w:lang w:val="fr-CA"/>
        </w:rPr>
        <w:t>indéterminée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130). Dans la présente affaire, le fusionnement a seulement engendré des gains en efficience négligeables tout en renforçant la situation de monopole dans le secteur (par.</w:t>
      </w:r>
      <w:r w:rsidR="00E6271F" w:rsidRPr="00B27419">
        <w:rPr>
          <w:rFonts w:cs="Times New Roman"/>
          <w:lang w:val="fr-CA"/>
        </w:rPr>
        <w:t xml:space="preserve"> </w:t>
      </w:r>
      <w:r w:rsidRPr="00B27419">
        <w:rPr>
          <w:rFonts w:cs="Times New Roman"/>
          <w:lang w:val="fr-CA"/>
        </w:rPr>
        <w:t>169). La cour a statué qu’un fusionnement anticoncurrentiel ne peut être approuvé sous le régime de l’art.</w:t>
      </w:r>
      <w:r w:rsidR="00E6271F" w:rsidRPr="00B27419">
        <w:rPr>
          <w:rFonts w:cs="Times New Roman"/>
          <w:lang w:val="fr-CA"/>
        </w:rPr>
        <w:t xml:space="preserve"> </w:t>
      </w:r>
      <w:r w:rsidRPr="00B27419">
        <w:rPr>
          <w:rFonts w:cs="Times New Roman"/>
          <w:lang w:val="fr-CA"/>
        </w:rPr>
        <w:t>96 s’il permet seulement de réaliser des gains en efficience négligeables ou insignifiants (par.</w:t>
      </w:r>
      <w:r w:rsidR="00E6271F" w:rsidRPr="00B27419">
        <w:rPr>
          <w:rFonts w:cs="Times New Roman"/>
          <w:lang w:val="fr-CA"/>
        </w:rPr>
        <w:t xml:space="preserve"> </w:t>
      </w:r>
      <w:r w:rsidRPr="00B27419">
        <w:rPr>
          <w:rFonts w:cs="Times New Roman"/>
          <w:lang w:val="fr-CA"/>
        </w:rPr>
        <w:t>170</w:t>
      </w:r>
      <w:r w:rsidR="00E6271F" w:rsidRPr="00B27419">
        <w:rPr>
          <w:rFonts w:cs="Times New Roman"/>
          <w:lang w:val="fr-CA"/>
        </w:rPr>
        <w:t>-</w:t>
      </w:r>
      <w:r w:rsidRPr="00B27419">
        <w:rPr>
          <w:rFonts w:cs="Times New Roman"/>
          <w:lang w:val="fr-CA"/>
        </w:rPr>
        <w:t>172). Cette conclusion se trouve confirmée ici parce qu’</w:t>
      </w:r>
      <w:r w:rsidR="00B27419">
        <w:rPr>
          <w:rFonts w:cs="Times New Roman"/>
          <w:lang w:val="fr-CA"/>
        </w:rPr>
        <w:t>« </w:t>
      </w:r>
      <w:r w:rsidRPr="00B27419">
        <w:rPr>
          <w:rFonts w:cs="Times New Roman"/>
          <w:lang w:val="fr-CA"/>
        </w:rPr>
        <w:t>un monopole préexistant comme celui dont il s’agit en l’espèce aura habituellement pour effet d’amplifier les effets anticoncurrentiels d’un fusionnement</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173). </w:t>
      </w:r>
    </w:p>
    <w:p w:rsidR="0039493A" w:rsidRPr="00B27419" w:rsidRDefault="0039493A" w:rsidP="00B27419">
      <w:pPr>
        <w:pStyle w:val="ParaNoNdepar-AltN"/>
        <w:rPr>
          <w:rFonts w:cs="Times New Roman"/>
          <w:lang w:val="fr-CA"/>
        </w:rPr>
      </w:pPr>
      <w:r w:rsidRPr="00B27419">
        <w:rPr>
          <w:rFonts w:cs="Times New Roman"/>
          <w:lang w:val="fr-CA"/>
        </w:rPr>
        <w:t xml:space="preserve">La Cour d’appel fédérale a rejeté l’appel de </w:t>
      </w:r>
      <w:proofErr w:type="spellStart"/>
      <w:r w:rsidRPr="00B27419">
        <w:rPr>
          <w:rFonts w:cs="Times New Roman"/>
          <w:lang w:val="fr-CA"/>
        </w:rPr>
        <w:t>Tervita</w:t>
      </w:r>
      <w:proofErr w:type="spellEnd"/>
      <w:r w:rsidRPr="00B27419">
        <w:rPr>
          <w:rFonts w:cs="Times New Roman"/>
          <w:lang w:val="fr-CA"/>
        </w:rPr>
        <w:t>.</w:t>
      </w:r>
    </w:p>
    <w:p w:rsidR="0039493A" w:rsidRPr="00B27419" w:rsidRDefault="0039493A" w:rsidP="00B27419">
      <w:pPr>
        <w:pStyle w:val="Title1LevelTitre1Niveau-AltL"/>
        <w:rPr>
          <w:rFonts w:cs="Times New Roman"/>
          <w:lang w:val="fr-CA"/>
        </w:rPr>
      </w:pPr>
      <w:bookmarkStart w:id="31" w:name="_Toc396299530"/>
      <w:bookmarkStart w:id="32" w:name="_Toc397586761"/>
      <w:bookmarkStart w:id="33" w:name="_Toc409593445"/>
      <w:r w:rsidRPr="00B27419">
        <w:rPr>
          <w:rFonts w:cs="Times New Roman"/>
          <w:lang w:val="fr-CA"/>
        </w:rPr>
        <w:t>Questions en litige</w:t>
      </w:r>
      <w:bookmarkEnd w:id="31"/>
      <w:bookmarkEnd w:id="32"/>
      <w:bookmarkEnd w:id="33"/>
    </w:p>
    <w:p w:rsidR="0039493A" w:rsidRPr="00B27419" w:rsidRDefault="0039493A" w:rsidP="00B27419">
      <w:pPr>
        <w:pStyle w:val="ParaNoNdepar-AltN"/>
        <w:rPr>
          <w:rFonts w:cs="Times New Roman"/>
          <w:lang w:val="fr-CA"/>
        </w:rPr>
      </w:pPr>
      <w:r w:rsidRPr="00B27419">
        <w:rPr>
          <w:rFonts w:cs="Times New Roman"/>
          <w:lang w:val="fr-CA"/>
        </w:rPr>
        <w:t>Trois questions sont soulevées dans le présent pourvoi</w:t>
      </w:r>
      <w:r w:rsidR="00E6271F" w:rsidRPr="00B27419">
        <w:rPr>
          <w:rFonts w:cs="Times New Roman"/>
          <w:lang w:val="fr-CA"/>
        </w:rPr>
        <w:t> :</w:t>
      </w:r>
    </w:p>
    <w:p w:rsidR="0039493A" w:rsidRPr="00B27419" w:rsidRDefault="0039493A" w:rsidP="00B27419">
      <w:pPr>
        <w:pStyle w:val="Citation-AltC"/>
        <w:numPr>
          <w:ilvl w:val="6"/>
          <w:numId w:val="1"/>
        </w:numPr>
        <w:spacing w:before="480" w:after="480" w:line="480" w:lineRule="auto"/>
        <w:ind w:left="720" w:hanging="720"/>
        <w:contextualSpacing w:val="0"/>
        <w:rPr>
          <w:lang w:val="fr-CA"/>
        </w:rPr>
      </w:pPr>
      <w:r w:rsidRPr="00B27419">
        <w:rPr>
          <w:lang w:val="fr-CA"/>
        </w:rPr>
        <w:lastRenderedPageBreak/>
        <w:t>Quelle est la norme de contrôle applicable?</w:t>
      </w:r>
    </w:p>
    <w:p w:rsidR="0039493A" w:rsidRPr="00B27419" w:rsidRDefault="0039493A" w:rsidP="00B27419">
      <w:pPr>
        <w:pStyle w:val="Citation-AltC"/>
        <w:numPr>
          <w:ilvl w:val="6"/>
          <w:numId w:val="1"/>
        </w:numPr>
        <w:spacing w:before="480" w:after="480" w:line="480" w:lineRule="auto"/>
        <w:ind w:left="720" w:hanging="720"/>
        <w:contextualSpacing w:val="0"/>
        <w:rPr>
          <w:lang w:val="fr-CA"/>
        </w:rPr>
      </w:pPr>
      <w:r w:rsidRPr="00B27419">
        <w:rPr>
          <w:lang w:val="fr-CA"/>
        </w:rPr>
        <w:t>Quel critère juridique permet de déterminer dans quel cas un fusionnement a pour effet d’empêcher sensiblement la concurrence au sens où il faut entendre cette expression pour l’application du par.</w:t>
      </w:r>
      <w:r w:rsidR="00E6271F" w:rsidRPr="00B27419">
        <w:rPr>
          <w:lang w:val="fr-CA"/>
        </w:rPr>
        <w:t xml:space="preserve"> </w:t>
      </w:r>
      <w:r w:rsidRPr="00B27419">
        <w:rPr>
          <w:lang w:val="fr-CA"/>
        </w:rPr>
        <w:t xml:space="preserve">92(1) de la Loi? </w:t>
      </w:r>
    </w:p>
    <w:p w:rsidR="0039493A" w:rsidRPr="00B27419" w:rsidRDefault="0039493A" w:rsidP="00B27419">
      <w:pPr>
        <w:pStyle w:val="Citation-AltC"/>
        <w:numPr>
          <w:ilvl w:val="6"/>
          <w:numId w:val="1"/>
        </w:numPr>
        <w:spacing w:before="480" w:after="480" w:line="480" w:lineRule="auto"/>
        <w:ind w:left="720" w:hanging="720"/>
        <w:contextualSpacing w:val="0"/>
        <w:rPr>
          <w:lang w:val="fr-CA"/>
        </w:rPr>
      </w:pPr>
      <w:r w:rsidRPr="00B27419">
        <w:rPr>
          <w:lang w:val="fr-CA"/>
        </w:rPr>
        <w:t>Comment faut</w:t>
      </w:r>
      <w:r w:rsidR="00E6271F" w:rsidRPr="00B27419">
        <w:rPr>
          <w:lang w:val="fr-CA"/>
        </w:rPr>
        <w:t>-</w:t>
      </w:r>
      <w:r w:rsidRPr="00B27419">
        <w:rPr>
          <w:lang w:val="fr-CA"/>
        </w:rPr>
        <w:t>il envisager la défense fondée sur les gains en efficience prévue à l’art.</w:t>
      </w:r>
      <w:r w:rsidR="00E6271F" w:rsidRPr="00B27419">
        <w:rPr>
          <w:lang w:val="fr-CA"/>
        </w:rPr>
        <w:t xml:space="preserve"> </w:t>
      </w:r>
      <w:r w:rsidRPr="00B27419">
        <w:rPr>
          <w:lang w:val="fr-CA"/>
        </w:rPr>
        <w:t>96 de la Loi et, à cet égard</w:t>
      </w:r>
      <w:r w:rsidR="00E6271F" w:rsidRPr="00B27419">
        <w:rPr>
          <w:lang w:val="fr-CA"/>
        </w:rPr>
        <w:t> :</w:t>
      </w:r>
    </w:p>
    <w:p w:rsidR="0039493A" w:rsidRPr="00B27419" w:rsidRDefault="0039493A" w:rsidP="00B27419">
      <w:pPr>
        <w:pStyle w:val="Citation-AltC"/>
        <w:numPr>
          <w:ilvl w:val="7"/>
          <w:numId w:val="1"/>
        </w:numPr>
        <w:spacing w:before="480" w:after="480" w:line="480" w:lineRule="auto"/>
        <w:ind w:left="1440" w:hanging="720"/>
        <w:contextualSpacing w:val="0"/>
        <w:rPr>
          <w:lang w:val="fr-CA"/>
        </w:rPr>
      </w:pPr>
      <w:r w:rsidRPr="00B27419">
        <w:rPr>
          <w:lang w:val="fr-CA"/>
        </w:rPr>
        <w:t>Les gains en efficience liés à l’exécution d’une ordonnance comptent</w:t>
      </w:r>
      <w:r w:rsidR="00E6271F" w:rsidRPr="00B27419">
        <w:rPr>
          <w:lang w:val="fr-CA"/>
        </w:rPr>
        <w:t>-</w:t>
      </w:r>
      <w:r w:rsidRPr="00B27419">
        <w:rPr>
          <w:lang w:val="fr-CA"/>
        </w:rPr>
        <w:t>ils dans la pondération?</w:t>
      </w:r>
    </w:p>
    <w:p w:rsidR="0039493A" w:rsidRPr="00B27419" w:rsidRDefault="0039493A" w:rsidP="00B27419">
      <w:pPr>
        <w:pStyle w:val="Citation-AltC"/>
        <w:numPr>
          <w:ilvl w:val="7"/>
          <w:numId w:val="1"/>
        </w:numPr>
        <w:spacing w:before="480" w:after="480" w:line="480" w:lineRule="auto"/>
        <w:ind w:left="1440" w:hanging="720"/>
        <w:contextualSpacing w:val="0"/>
        <w:rPr>
          <w:lang w:val="fr-CA"/>
        </w:rPr>
      </w:pPr>
      <w:r w:rsidRPr="00B27419">
        <w:rPr>
          <w:lang w:val="fr-CA"/>
        </w:rPr>
        <w:t>Comment faut</w:t>
      </w:r>
      <w:r w:rsidR="00E6271F" w:rsidRPr="00B27419">
        <w:rPr>
          <w:lang w:val="fr-CA"/>
        </w:rPr>
        <w:t>-</w:t>
      </w:r>
      <w:r w:rsidRPr="00B27419">
        <w:rPr>
          <w:lang w:val="fr-CA"/>
        </w:rPr>
        <w:t>il envisager la condition selon laquelle les gains en efficience doivent surpasser et neutraliser les effets anticoncurrentiels?</w:t>
      </w:r>
    </w:p>
    <w:p w:rsidR="0039493A" w:rsidRPr="00B27419" w:rsidRDefault="0039493A" w:rsidP="00B27419">
      <w:pPr>
        <w:pStyle w:val="Title1LevelTitre1Niveau-AltL"/>
        <w:spacing w:before="0"/>
        <w:rPr>
          <w:rFonts w:cs="Times New Roman"/>
          <w:lang w:val="fr-CA"/>
        </w:rPr>
      </w:pPr>
      <w:bookmarkStart w:id="34" w:name="_Toc396299531"/>
      <w:bookmarkStart w:id="35" w:name="_Toc397586762"/>
      <w:bookmarkStart w:id="36" w:name="_Toc409593446"/>
      <w:r w:rsidRPr="00B27419">
        <w:rPr>
          <w:rFonts w:cs="Times New Roman"/>
          <w:lang w:val="fr-CA"/>
        </w:rPr>
        <w:t>Analyse</w:t>
      </w:r>
      <w:bookmarkEnd w:id="34"/>
      <w:bookmarkEnd w:id="35"/>
      <w:bookmarkEnd w:id="36"/>
    </w:p>
    <w:p w:rsidR="0039493A" w:rsidRPr="00B27419" w:rsidRDefault="0039493A" w:rsidP="00B27419">
      <w:pPr>
        <w:pStyle w:val="Title2LevelTitre2Niveau"/>
        <w:rPr>
          <w:rFonts w:cs="Times New Roman"/>
          <w:lang w:val="fr-CA"/>
        </w:rPr>
      </w:pPr>
      <w:bookmarkStart w:id="37" w:name="_Toc409593447"/>
      <w:bookmarkStart w:id="38" w:name="_Toc396299533"/>
      <w:bookmarkStart w:id="39" w:name="_Toc397586764"/>
      <w:r w:rsidRPr="00B27419">
        <w:rPr>
          <w:rFonts w:cs="Times New Roman"/>
          <w:lang w:val="fr-CA"/>
        </w:rPr>
        <w:t>Norme de contrôle</w:t>
      </w:r>
      <w:bookmarkEnd w:id="37"/>
    </w:p>
    <w:p w:rsidR="0039493A" w:rsidRPr="00B27419" w:rsidRDefault="0039493A" w:rsidP="00B27419">
      <w:pPr>
        <w:pStyle w:val="ParaNoNdepar-AltN"/>
        <w:rPr>
          <w:rFonts w:eastAsia="Times New Roman" w:cs="Times New Roman"/>
          <w:szCs w:val="24"/>
          <w:lang w:val="fr-CA"/>
        </w:rPr>
      </w:pPr>
      <w:r w:rsidRPr="00B27419">
        <w:rPr>
          <w:rFonts w:cs="Times New Roman"/>
          <w:lang w:val="fr-CA"/>
        </w:rPr>
        <w:t xml:space="preserve">Les parties sont d’accord pour dire que la Cour d’appel fédérale a bien appliqué la norme de contrôle de la décision correcte à l’égard des conclusions du Tribunal sur les questions de droit. J’en conviens, la norme de contrôle applicable dans la présente affaire est celle de la décision correcte. </w:t>
      </w:r>
    </w:p>
    <w:p w:rsidR="0039493A" w:rsidRPr="00B27419" w:rsidRDefault="0039493A" w:rsidP="00B27419">
      <w:pPr>
        <w:pStyle w:val="ParaNoNdepar-AltN"/>
        <w:rPr>
          <w:rFonts w:eastAsia="Times New Roman" w:cs="Times New Roman"/>
          <w:szCs w:val="24"/>
          <w:lang w:val="fr-CA"/>
        </w:rPr>
      </w:pPr>
      <w:r w:rsidRPr="00B27419">
        <w:rPr>
          <w:rFonts w:cs="Times New Roman"/>
          <w:lang w:val="fr-CA"/>
        </w:rPr>
        <w:lastRenderedPageBreak/>
        <w:t>Les questions en litige sont des questions de droit qui concernent la loi constitutive du Tribunal.</w:t>
      </w:r>
      <w:r w:rsidR="00E6271F" w:rsidRPr="00B27419">
        <w:rPr>
          <w:rFonts w:cs="Times New Roman"/>
          <w:lang w:val="fr-CA"/>
        </w:rPr>
        <w:t xml:space="preserve"> </w:t>
      </w:r>
      <w:r w:rsidRPr="00B27419">
        <w:rPr>
          <w:rFonts w:cs="Times New Roman"/>
          <w:lang w:val="fr-CA"/>
        </w:rPr>
        <w:t>La norme de contrôle de la décision raisonnable est présumée applicable (</w:t>
      </w:r>
      <w:proofErr w:type="spellStart"/>
      <w:r w:rsidRPr="00B27419">
        <w:rPr>
          <w:rFonts w:cs="Times New Roman"/>
          <w:i/>
          <w:lang w:val="fr-CA"/>
        </w:rPr>
        <w:t>Dunsmuir</w:t>
      </w:r>
      <w:proofErr w:type="spellEnd"/>
      <w:r w:rsidRPr="00B27419">
        <w:rPr>
          <w:rFonts w:cs="Times New Roman"/>
          <w:i/>
          <w:lang w:val="fr-CA"/>
        </w:rPr>
        <w:t xml:space="preserve"> c. Nouveau</w:t>
      </w:r>
      <w:r w:rsidR="00E6271F" w:rsidRPr="00B27419">
        <w:rPr>
          <w:rFonts w:cs="Times New Roman"/>
          <w:i/>
          <w:lang w:val="fr-CA"/>
        </w:rPr>
        <w:t>-</w:t>
      </w:r>
      <w:r w:rsidRPr="00B27419">
        <w:rPr>
          <w:rFonts w:cs="Times New Roman"/>
          <w:i/>
          <w:lang w:val="fr-CA"/>
        </w:rPr>
        <w:t>Brunswick</w:t>
      </w:r>
      <w:r w:rsidRPr="00B27419">
        <w:rPr>
          <w:rFonts w:cs="Times New Roman"/>
          <w:lang w:val="fr-CA"/>
        </w:rPr>
        <w:t>, 2008 CSC 9, [2008] 1 R.C.S. 190, par.</w:t>
      </w:r>
      <w:r w:rsidR="00E6271F" w:rsidRPr="00B27419">
        <w:rPr>
          <w:rFonts w:cs="Times New Roman"/>
          <w:lang w:val="fr-CA"/>
        </w:rPr>
        <w:t xml:space="preserve"> </w:t>
      </w:r>
      <w:r w:rsidRPr="00B27419">
        <w:rPr>
          <w:rFonts w:cs="Times New Roman"/>
          <w:lang w:val="fr-CA"/>
        </w:rPr>
        <w:t xml:space="preserve">54; </w:t>
      </w:r>
      <w:r w:rsidRPr="00B27419">
        <w:rPr>
          <w:rFonts w:cs="Times New Roman"/>
          <w:i/>
          <w:lang w:val="fr-CA"/>
        </w:rPr>
        <w:t>Smith c. Alliance Pipeline Ltd.</w:t>
      </w:r>
      <w:r w:rsidRPr="00B27419">
        <w:rPr>
          <w:rFonts w:cs="Times New Roman"/>
          <w:lang w:val="fr-CA"/>
        </w:rPr>
        <w:t>, 2011 CSC 7, [2011] 1 R.C.S. 160, par.</w:t>
      </w:r>
      <w:r w:rsidR="00E6271F" w:rsidRPr="00B27419">
        <w:rPr>
          <w:rFonts w:cs="Times New Roman"/>
          <w:lang w:val="fr-CA"/>
        </w:rPr>
        <w:t xml:space="preserve"> </w:t>
      </w:r>
      <w:r w:rsidRPr="00B27419">
        <w:rPr>
          <w:rFonts w:cs="Times New Roman"/>
          <w:lang w:val="fr-CA"/>
        </w:rPr>
        <w:t>28, le juge</w:t>
      </w:r>
      <w:r w:rsidR="00E6271F" w:rsidRPr="00B27419">
        <w:rPr>
          <w:rFonts w:cs="Times New Roman"/>
          <w:lang w:val="fr-CA"/>
        </w:rPr>
        <w:t xml:space="preserve"> </w:t>
      </w:r>
      <w:r w:rsidRPr="00B27419">
        <w:rPr>
          <w:rFonts w:cs="Times New Roman"/>
          <w:lang w:val="fr-CA"/>
        </w:rPr>
        <w:t xml:space="preserve">Fish; </w:t>
      </w:r>
      <w:r w:rsidRPr="00B27419">
        <w:rPr>
          <w:rFonts w:cs="Times New Roman"/>
          <w:i/>
          <w:lang w:val="fr-CA"/>
        </w:rPr>
        <w:t xml:space="preserve">Alberta (Information and </w:t>
      </w:r>
      <w:proofErr w:type="spellStart"/>
      <w:r w:rsidRPr="00B27419">
        <w:rPr>
          <w:rFonts w:cs="Times New Roman"/>
          <w:i/>
          <w:lang w:val="fr-CA"/>
        </w:rPr>
        <w:t>Privacy</w:t>
      </w:r>
      <w:proofErr w:type="spellEnd"/>
      <w:r w:rsidRPr="00B27419">
        <w:rPr>
          <w:rFonts w:cs="Times New Roman"/>
          <w:i/>
          <w:lang w:val="fr-CA"/>
        </w:rPr>
        <w:t xml:space="preserve"> </w:t>
      </w:r>
      <w:proofErr w:type="spellStart"/>
      <w:r w:rsidRPr="00B27419">
        <w:rPr>
          <w:rFonts w:cs="Times New Roman"/>
          <w:i/>
          <w:lang w:val="fr-CA"/>
        </w:rPr>
        <w:t>Commissioner</w:t>
      </w:r>
      <w:proofErr w:type="spellEnd"/>
      <w:r w:rsidRPr="00B27419">
        <w:rPr>
          <w:rFonts w:cs="Times New Roman"/>
          <w:i/>
          <w:lang w:val="fr-CA"/>
        </w:rPr>
        <w:t xml:space="preserve">) c. Alberta </w:t>
      </w:r>
      <w:proofErr w:type="spellStart"/>
      <w:r w:rsidRPr="00B27419">
        <w:rPr>
          <w:rFonts w:cs="Times New Roman"/>
          <w:i/>
          <w:lang w:val="fr-CA"/>
        </w:rPr>
        <w:t>Teachers</w:t>
      </w:r>
      <w:proofErr w:type="spellEnd"/>
      <w:r w:rsidRPr="00B27419">
        <w:rPr>
          <w:rFonts w:cs="Times New Roman"/>
          <w:i/>
          <w:lang w:val="fr-CA"/>
        </w:rPr>
        <w:t>’ Association</w:t>
      </w:r>
      <w:r w:rsidRPr="00B27419">
        <w:rPr>
          <w:rFonts w:cs="Times New Roman"/>
          <w:lang w:val="fr-CA"/>
        </w:rPr>
        <w:t>, 2011 CSC 61, [2011] 3 R.C.S. 654, par.</w:t>
      </w:r>
      <w:r w:rsidR="00E6271F" w:rsidRPr="00B27419">
        <w:rPr>
          <w:rFonts w:cs="Times New Roman"/>
          <w:lang w:val="fr-CA"/>
        </w:rPr>
        <w:t xml:space="preserve"> </w:t>
      </w:r>
      <w:r w:rsidRPr="00B27419">
        <w:rPr>
          <w:rFonts w:cs="Times New Roman"/>
          <w:lang w:val="fr-CA"/>
        </w:rPr>
        <w:t xml:space="preserve">30). Or, dans la présente affaire, cette présomption est réfutée. </w:t>
      </w:r>
    </w:p>
    <w:p w:rsidR="0039493A" w:rsidRPr="00B27419" w:rsidRDefault="0039493A" w:rsidP="00B27419">
      <w:pPr>
        <w:pStyle w:val="ParaNoNdepar-AltN"/>
        <w:rPr>
          <w:rFonts w:eastAsia="Times New Roman" w:cs="Times New Roman"/>
          <w:szCs w:val="24"/>
          <w:lang w:val="fr-CA"/>
        </w:rPr>
      </w:pPr>
      <w:r w:rsidRPr="00B27419">
        <w:rPr>
          <w:rFonts w:cs="Times New Roman"/>
          <w:lang w:val="fr-CA"/>
        </w:rPr>
        <w:t xml:space="preserve">Les décisions ou ordonnances du Tribunal sur les questions de droit sont susceptibles d’appel de plein droit tout comme </w:t>
      </w:r>
      <w:r w:rsidR="00B27419">
        <w:rPr>
          <w:rFonts w:cs="Times New Roman"/>
          <w:lang w:val="fr-CA"/>
        </w:rPr>
        <w:t>« </w:t>
      </w:r>
      <w:r w:rsidRPr="00B27419">
        <w:rPr>
          <w:rFonts w:cs="Times New Roman"/>
          <w:lang w:val="fr-CA"/>
        </w:rPr>
        <w:t>s’il s’agissait de jugements de la Cour fédérale</w:t>
      </w:r>
      <w:r w:rsidR="00B27419">
        <w:rPr>
          <w:rFonts w:cs="Times New Roman"/>
          <w:lang w:val="fr-CA"/>
        </w:rPr>
        <w:t> »</w:t>
      </w:r>
      <w:r w:rsidRPr="00B27419">
        <w:rPr>
          <w:rFonts w:cs="Times New Roman"/>
          <w:lang w:val="fr-CA"/>
        </w:rPr>
        <w:t>, alors que l’appel sur des questions de fait est subordonné à l’autorisation de la Cour d’appel fédérale (</w:t>
      </w:r>
      <w:r w:rsidRPr="00B27419">
        <w:rPr>
          <w:rFonts w:cs="Times New Roman"/>
          <w:i/>
          <w:lang w:val="fr-CA"/>
        </w:rPr>
        <w:t>Loi sur le Tribunal de la concurrence</w:t>
      </w:r>
      <w:r w:rsidRPr="00B27419">
        <w:rPr>
          <w:rFonts w:cs="Times New Roman"/>
          <w:lang w:val="fr-CA"/>
        </w:rPr>
        <w:t>, L.R.C. 1985, c.</w:t>
      </w:r>
      <w:r w:rsidR="00E6271F" w:rsidRPr="00B27419">
        <w:rPr>
          <w:rFonts w:cs="Times New Roman"/>
          <w:lang w:val="fr-CA"/>
        </w:rPr>
        <w:t xml:space="preserve"> </w:t>
      </w:r>
      <w:r w:rsidRPr="00B27419">
        <w:rPr>
          <w:rFonts w:cs="Times New Roman"/>
          <w:lang w:val="fr-CA"/>
        </w:rPr>
        <w:t>19 (2</w:t>
      </w:r>
      <w:r w:rsidRPr="00B27419">
        <w:rPr>
          <w:rFonts w:cs="Times New Roman"/>
          <w:vertAlign w:val="superscript"/>
          <w:lang w:val="fr-CA"/>
        </w:rPr>
        <w:t>e</w:t>
      </w:r>
      <w:r w:rsidR="00E6271F" w:rsidRPr="00B27419">
        <w:rPr>
          <w:rFonts w:cs="Times New Roman"/>
          <w:lang w:val="fr-CA"/>
        </w:rPr>
        <w:t xml:space="preserve"> </w:t>
      </w:r>
      <w:r w:rsidRPr="00B27419">
        <w:rPr>
          <w:rFonts w:cs="Times New Roman"/>
          <w:lang w:val="fr-CA"/>
        </w:rPr>
        <w:t>suppl.), par.</w:t>
      </w:r>
      <w:r w:rsidR="00E6271F" w:rsidRPr="00B27419">
        <w:rPr>
          <w:rFonts w:cs="Times New Roman"/>
          <w:lang w:val="fr-CA"/>
        </w:rPr>
        <w:t xml:space="preserve"> </w:t>
      </w:r>
      <w:r w:rsidRPr="00B27419">
        <w:rPr>
          <w:rFonts w:cs="Times New Roman"/>
          <w:lang w:val="fr-CA"/>
        </w:rPr>
        <w:t>13(1)). Cette dernière</w:t>
      </w:r>
      <w:r w:rsidRPr="00B27419">
        <w:rPr>
          <w:rFonts w:eastAsia="Times New Roman" w:cs="Times New Roman"/>
          <w:szCs w:val="24"/>
          <w:lang w:val="fr-CA"/>
        </w:rPr>
        <w:t xml:space="preserve"> a statué dans tous les cas que la norme de la décision correcte s’applique aux questions de droit soulevées dans les décisions du Tribunal (voir </w:t>
      </w:r>
      <w:r w:rsidRPr="00B27419">
        <w:rPr>
          <w:rFonts w:eastAsia="Times New Roman" w:cs="Times New Roman"/>
          <w:i/>
          <w:szCs w:val="24"/>
          <w:lang w:val="fr-CA"/>
        </w:rPr>
        <w:t>Canada (Commissaire de la concurrence)</w:t>
      </w:r>
      <w:r w:rsidRPr="00B27419">
        <w:rPr>
          <w:rFonts w:eastAsia="Times New Roman" w:cs="Times New Roman"/>
          <w:szCs w:val="24"/>
          <w:lang w:val="fr-CA"/>
        </w:rPr>
        <w:t xml:space="preserve"> </w:t>
      </w:r>
      <w:r w:rsidRPr="00B27419">
        <w:rPr>
          <w:rFonts w:eastAsia="Times New Roman" w:cs="Times New Roman"/>
          <w:i/>
          <w:szCs w:val="24"/>
          <w:lang w:val="fr-CA"/>
        </w:rPr>
        <w:t>c.</w:t>
      </w:r>
      <w:r w:rsidRPr="00B27419">
        <w:rPr>
          <w:rFonts w:eastAsia="Times New Roman" w:cs="Times New Roman"/>
          <w:szCs w:val="24"/>
          <w:lang w:val="fr-CA"/>
        </w:rPr>
        <w:t xml:space="preserve"> </w:t>
      </w:r>
      <w:r w:rsidRPr="00B27419">
        <w:rPr>
          <w:rFonts w:cs="Times New Roman"/>
          <w:i/>
          <w:lang w:val="fr-CA"/>
        </w:rPr>
        <w:t>Supérieur Propane Inc.</w:t>
      </w:r>
      <w:r w:rsidRPr="00B27419">
        <w:rPr>
          <w:rFonts w:cs="Times New Roman"/>
          <w:lang w:val="fr-CA"/>
        </w:rPr>
        <w:t>, 2001 CAF 104, [2001] 3 C.F. 185 (</w:t>
      </w:r>
      <w:r w:rsidR="00B27419">
        <w:rPr>
          <w:rFonts w:cs="Times New Roman"/>
          <w:lang w:val="fr-CA"/>
        </w:rPr>
        <w:t>« </w:t>
      </w:r>
      <w:r w:rsidRPr="00B27419">
        <w:rPr>
          <w:rFonts w:eastAsia="Times New Roman" w:cs="Times New Roman"/>
          <w:i/>
          <w:szCs w:val="24"/>
          <w:lang w:val="fr-CA"/>
        </w:rPr>
        <w:t>Supérieur Propane</w:t>
      </w:r>
      <w:r w:rsidR="00E6271F" w:rsidRPr="00B27419">
        <w:rPr>
          <w:rFonts w:eastAsia="Times New Roman" w:cs="Times New Roman"/>
          <w:i/>
          <w:szCs w:val="24"/>
          <w:lang w:val="fr-CA"/>
        </w:rPr>
        <w:t xml:space="preserve"> </w:t>
      </w:r>
      <w:r w:rsidRPr="00B27419">
        <w:rPr>
          <w:rFonts w:eastAsia="Times New Roman" w:cs="Times New Roman"/>
          <w:i/>
          <w:szCs w:val="24"/>
          <w:lang w:val="fr-CA"/>
        </w:rPr>
        <w:t>II</w:t>
      </w:r>
      <w:r w:rsidR="00B27419">
        <w:rPr>
          <w:rFonts w:eastAsia="Times New Roman" w:cs="Times New Roman"/>
          <w:szCs w:val="24"/>
          <w:lang w:val="fr-CA"/>
        </w:rPr>
        <w:t> »</w:t>
      </w:r>
      <w:r w:rsidRPr="00B27419">
        <w:rPr>
          <w:rFonts w:eastAsia="Times New Roman" w:cs="Times New Roman"/>
          <w:szCs w:val="24"/>
          <w:lang w:val="fr-CA"/>
        </w:rPr>
        <w:t>), par.</w:t>
      </w:r>
      <w:r w:rsidR="00E6271F" w:rsidRPr="00B27419">
        <w:rPr>
          <w:rFonts w:eastAsia="Times New Roman" w:cs="Times New Roman"/>
          <w:szCs w:val="24"/>
          <w:lang w:val="fr-CA"/>
        </w:rPr>
        <w:t xml:space="preserve"> </w:t>
      </w:r>
      <w:r w:rsidRPr="00B27419">
        <w:rPr>
          <w:rFonts w:eastAsia="Times New Roman" w:cs="Times New Roman"/>
          <w:szCs w:val="24"/>
          <w:lang w:val="fr-CA"/>
        </w:rPr>
        <w:t>59</w:t>
      </w:r>
      <w:r w:rsidR="00E6271F" w:rsidRPr="00B27419">
        <w:rPr>
          <w:rFonts w:eastAsia="Times New Roman" w:cs="Times New Roman"/>
          <w:szCs w:val="24"/>
          <w:lang w:val="fr-CA"/>
        </w:rPr>
        <w:t>-</w:t>
      </w:r>
      <w:r w:rsidRPr="00B27419">
        <w:rPr>
          <w:rFonts w:eastAsia="Times New Roman" w:cs="Times New Roman"/>
          <w:szCs w:val="24"/>
          <w:lang w:val="fr-CA"/>
        </w:rPr>
        <w:t xml:space="preserve">91; voir aussi </w:t>
      </w:r>
      <w:r w:rsidRPr="00B27419">
        <w:rPr>
          <w:rFonts w:eastAsia="Times New Roman" w:cs="Times New Roman"/>
          <w:i/>
          <w:szCs w:val="24"/>
          <w:lang w:val="fr-CA"/>
        </w:rPr>
        <w:t>Air Canada c. Canada (Commissaire de la concurrence)</w:t>
      </w:r>
      <w:r w:rsidRPr="00B27419">
        <w:rPr>
          <w:rFonts w:eastAsia="Times New Roman" w:cs="Times New Roman"/>
          <w:szCs w:val="24"/>
          <w:lang w:val="fr-CA"/>
        </w:rPr>
        <w:t>, 2002 CAF 121, [2002] 4 C.F. 598, par.</w:t>
      </w:r>
      <w:r w:rsidR="00E6271F" w:rsidRPr="00B27419">
        <w:rPr>
          <w:rFonts w:eastAsia="Times New Roman" w:cs="Times New Roman"/>
          <w:szCs w:val="24"/>
          <w:lang w:val="fr-CA"/>
        </w:rPr>
        <w:t xml:space="preserve"> </w:t>
      </w:r>
      <w:r w:rsidRPr="00B27419">
        <w:rPr>
          <w:rFonts w:eastAsia="Times New Roman" w:cs="Times New Roman"/>
          <w:szCs w:val="24"/>
          <w:lang w:val="fr-CA"/>
        </w:rPr>
        <w:t xml:space="preserve">43; </w:t>
      </w:r>
      <w:r w:rsidR="00225F90" w:rsidRPr="00225F90">
        <w:rPr>
          <w:rFonts w:eastAsia="Times New Roman" w:cs="Times New Roman"/>
          <w:i/>
          <w:szCs w:val="24"/>
          <w:lang w:val="fr-CA"/>
        </w:rPr>
        <w:t>Canada (</w:t>
      </w:r>
      <w:r w:rsidR="009B761F">
        <w:rPr>
          <w:rFonts w:eastAsia="Times New Roman" w:cs="Times New Roman"/>
          <w:i/>
          <w:szCs w:val="24"/>
          <w:lang w:val="fr-CA"/>
        </w:rPr>
        <w:t>Commissaire de la concurrence</w:t>
      </w:r>
      <w:r w:rsidR="00225F90">
        <w:rPr>
          <w:rFonts w:eastAsia="Times New Roman" w:cs="Times New Roman"/>
          <w:i/>
          <w:szCs w:val="24"/>
          <w:lang w:val="fr-CA"/>
        </w:rPr>
        <w:t>)</w:t>
      </w:r>
      <w:r w:rsidRPr="00B27419">
        <w:rPr>
          <w:rFonts w:eastAsia="Times New Roman" w:cs="Times New Roman"/>
          <w:i/>
          <w:szCs w:val="24"/>
          <w:lang w:val="fr-CA"/>
        </w:rPr>
        <w:t xml:space="preserve"> c. Tuyauteries Canada </w:t>
      </w:r>
      <w:proofErr w:type="spellStart"/>
      <w:r w:rsidRPr="00B27419">
        <w:rPr>
          <w:rFonts w:eastAsia="Times New Roman" w:cs="Times New Roman"/>
          <w:i/>
          <w:szCs w:val="24"/>
          <w:lang w:val="fr-CA"/>
        </w:rPr>
        <w:t>Ltée</w:t>
      </w:r>
      <w:proofErr w:type="spellEnd"/>
      <w:r w:rsidRPr="00B27419">
        <w:rPr>
          <w:rFonts w:eastAsia="Times New Roman" w:cs="Times New Roman"/>
          <w:szCs w:val="24"/>
          <w:lang w:val="fr-CA"/>
        </w:rPr>
        <w:t>, 2006 CAF 233, [2007] 2 R.C.F. 3, par.</w:t>
      </w:r>
      <w:r w:rsidR="00E6271F" w:rsidRPr="00B27419">
        <w:rPr>
          <w:rFonts w:eastAsia="Times New Roman" w:cs="Times New Roman"/>
          <w:szCs w:val="24"/>
          <w:lang w:val="fr-CA"/>
        </w:rPr>
        <w:t xml:space="preserve"> </w:t>
      </w:r>
      <w:r w:rsidRPr="00B27419">
        <w:rPr>
          <w:rFonts w:eastAsia="Times New Roman" w:cs="Times New Roman"/>
          <w:szCs w:val="24"/>
          <w:lang w:val="fr-CA"/>
        </w:rPr>
        <w:t xml:space="preserve">34; </w:t>
      </w:r>
      <w:r w:rsidRPr="00B27419">
        <w:rPr>
          <w:rFonts w:eastAsia="Times New Roman" w:cs="Times New Roman"/>
          <w:i/>
          <w:szCs w:val="24"/>
          <w:lang w:val="fr-CA"/>
        </w:rPr>
        <w:t>Commissaire de la conc</w:t>
      </w:r>
      <w:r w:rsidR="00E03C81" w:rsidRPr="00B27419">
        <w:rPr>
          <w:rFonts w:eastAsia="Times New Roman" w:cs="Times New Roman"/>
          <w:i/>
          <w:szCs w:val="24"/>
          <w:lang w:val="fr-CA"/>
        </w:rPr>
        <w:t xml:space="preserve">urrence c. Brassage </w:t>
      </w:r>
      <w:proofErr w:type="spellStart"/>
      <w:r w:rsidR="00E03C81" w:rsidRPr="00B27419">
        <w:rPr>
          <w:rFonts w:eastAsia="Times New Roman" w:cs="Times New Roman"/>
          <w:i/>
          <w:szCs w:val="24"/>
          <w:lang w:val="fr-CA"/>
        </w:rPr>
        <w:t>Labatt</w:t>
      </w:r>
      <w:proofErr w:type="spellEnd"/>
      <w:r w:rsidR="00E03C81" w:rsidRPr="00B27419">
        <w:rPr>
          <w:rFonts w:eastAsia="Times New Roman" w:cs="Times New Roman"/>
          <w:i/>
          <w:szCs w:val="24"/>
          <w:lang w:val="fr-CA"/>
        </w:rPr>
        <w:t xml:space="preserve"> </w:t>
      </w:r>
      <w:proofErr w:type="spellStart"/>
      <w:r w:rsidR="00E03C81" w:rsidRPr="00B27419">
        <w:rPr>
          <w:rFonts w:eastAsia="Times New Roman" w:cs="Times New Roman"/>
          <w:i/>
          <w:szCs w:val="24"/>
          <w:lang w:val="fr-CA"/>
        </w:rPr>
        <w:t>L</w:t>
      </w:r>
      <w:r w:rsidRPr="00B27419">
        <w:rPr>
          <w:rFonts w:eastAsia="Times New Roman" w:cs="Times New Roman"/>
          <w:i/>
          <w:szCs w:val="24"/>
          <w:lang w:val="fr-CA"/>
        </w:rPr>
        <w:t>tée</w:t>
      </w:r>
      <w:proofErr w:type="spellEnd"/>
      <w:r w:rsidRPr="00B27419">
        <w:rPr>
          <w:rFonts w:eastAsia="Times New Roman" w:cs="Times New Roman"/>
          <w:szCs w:val="24"/>
          <w:lang w:val="fr-CA"/>
        </w:rPr>
        <w:t>, 2008 CAF 22, par.</w:t>
      </w:r>
      <w:r w:rsidR="00E6271F" w:rsidRPr="00B27419">
        <w:rPr>
          <w:rFonts w:eastAsia="Times New Roman" w:cs="Times New Roman"/>
          <w:szCs w:val="24"/>
          <w:lang w:val="fr-CA"/>
        </w:rPr>
        <w:t xml:space="preserve"> </w:t>
      </w:r>
      <w:r w:rsidRPr="00B27419">
        <w:rPr>
          <w:rFonts w:eastAsia="Times New Roman" w:cs="Times New Roman"/>
          <w:szCs w:val="24"/>
          <w:lang w:val="fr-CA"/>
        </w:rPr>
        <w:t xml:space="preserve">5). </w:t>
      </w:r>
    </w:p>
    <w:p w:rsidR="0039493A" w:rsidRPr="00B27419" w:rsidRDefault="0039493A" w:rsidP="00B27419">
      <w:pPr>
        <w:pStyle w:val="ParaNoNdepar-AltN"/>
        <w:rPr>
          <w:rFonts w:eastAsia="Times New Roman" w:cs="Times New Roman"/>
          <w:szCs w:val="24"/>
          <w:lang w:val="fr-CA"/>
        </w:rPr>
      </w:pPr>
      <w:r w:rsidRPr="00B27419">
        <w:rPr>
          <w:rFonts w:eastAsia="Times New Roman" w:cs="Times New Roman"/>
          <w:szCs w:val="24"/>
          <w:lang w:val="fr-CA"/>
        </w:rPr>
        <w:t xml:space="preserve">En concluant que la présomption d’application de la norme de la décision raisonnable n’avait pas été réfutée, la juge Abella reconnaît que le libellé des dispositions prévoyant le droit d’appel qui étaient en cause dans les affaires </w:t>
      </w:r>
      <w:proofErr w:type="spellStart"/>
      <w:r w:rsidRPr="00B27419">
        <w:rPr>
          <w:rFonts w:eastAsia="Times New Roman" w:cs="Times New Roman"/>
          <w:i/>
          <w:szCs w:val="24"/>
          <w:lang w:val="fr-CA"/>
        </w:rPr>
        <w:t>Pezim</w:t>
      </w:r>
      <w:proofErr w:type="spellEnd"/>
      <w:r w:rsidRPr="00B27419">
        <w:rPr>
          <w:rFonts w:eastAsia="Times New Roman" w:cs="Times New Roman"/>
          <w:i/>
          <w:szCs w:val="24"/>
          <w:lang w:val="fr-CA"/>
        </w:rPr>
        <w:t xml:space="preserve"> </w:t>
      </w:r>
      <w:r w:rsidRPr="00B27419">
        <w:rPr>
          <w:rFonts w:cs="Times New Roman"/>
          <w:i/>
          <w:szCs w:val="24"/>
          <w:lang w:val="fr-CA"/>
        </w:rPr>
        <w:t xml:space="preserve">c. </w:t>
      </w:r>
      <w:r w:rsidRPr="00B27419">
        <w:rPr>
          <w:rFonts w:cs="Times New Roman"/>
          <w:i/>
          <w:szCs w:val="24"/>
          <w:lang w:val="fr-CA"/>
        </w:rPr>
        <w:lastRenderedPageBreak/>
        <w:t>Colombie</w:t>
      </w:r>
      <w:r w:rsidR="00E6271F" w:rsidRPr="00B27419">
        <w:rPr>
          <w:rFonts w:cs="Times New Roman"/>
          <w:i/>
          <w:szCs w:val="24"/>
          <w:lang w:val="fr-CA"/>
        </w:rPr>
        <w:t>-</w:t>
      </w:r>
      <w:r w:rsidRPr="00B27419">
        <w:rPr>
          <w:rFonts w:cs="Times New Roman"/>
          <w:i/>
          <w:szCs w:val="24"/>
          <w:lang w:val="fr-CA"/>
        </w:rPr>
        <w:t>Britannique (</w:t>
      </w:r>
      <w:proofErr w:type="spellStart"/>
      <w:r w:rsidRPr="00B27419">
        <w:rPr>
          <w:rFonts w:cs="Times New Roman"/>
          <w:i/>
          <w:szCs w:val="24"/>
          <w:lang w:val="fr-CA"/>
        </w:rPr>
        <w:t>Superintendent</w:t>
      </w:r>
      <w:proofErr w:type="spellEnd"/>
      <w:r w:rsidRPr="00B27419">
        <w:rPr>
          <w:rFonts w:cs="Times New Roman"/>
          <w:i/>
          <w:szCs w:val="24"/>
          <w:lang w:val="fr-CA"/>
        </w:rPr>
        <w:t xml:space="preserve"> of Brokers)</w:t>
      </w:r>
      <w:r w:rsidRPr="00B27419">
        <w:rPr>
          <w:rFonts w:cs="Times New Roman"/>
          <w:szCs w:val="24"/>
          <w:lang w:val="fr-CA"/>
        </w:rPr>
        <w:t>, [1994] 2 R.C.S. 557</w:t>
      </w:r>
      <w:r w:rsidR="00AE38AC" w:rsidRPr="00B27419">
        <w:rPr>
          <w:rFonts w:eastAsia="Times New Roman" w:cs="Times New Roman"/>
          <w:szCs w:val="24"/>
          <w:lang w:val="fr-CA"/>
        </w:rPr>
        <w:t>;</w:t>
      </w:r>
      <w:r w:rsidRPr="00B27419">
        <w:rPr>
          <w:rFonts w:eastAsia="Times New Roman" w:cs="Times New Roman"/>
          <w:szCs w:val="24"/>
          <w:lang w:val="fr-CA"/>
        </w:rPr>
        <w:t xml:space="preserve"> </w:t>
      </w:r>
      <w:proofErr w:type="spellStart"/>
      <w:r w:rsidRPr="00B27419">
        <w:rPr>
          <w:rFonts w:eastAsia="Times New Roman" w:cs="Times New Roman"/>
          <w:i/>
          <w:szCs w:val="24"/>
          <w:lang w:val="fr-CA"/>
        </w:rPr>
        <w:t>McLean</w:t>
      </w:r>
      <w:proofErr w:type="spellEnd"/>
      <w:r w:rsidRPr="00B27419">
        <w:rPr>
          <w:rFonts w:eastAsia="Times New Roman" w:cs="Times New Roman"/>
          <w:i/>
          <w:szCs w:val="24"/>
          <w:lang w:val="fr-CA"/>
        </w:rPr>
        <w:t xml:space="preserve"> </w:t>
      </w:r>
      <w:r w:rsidRPr="00B27419">
        <w:rPr>
          <w:rFonts w:cs="Times New Roman"/>
          <w:i/>
          <w:szCs w:val="24"/>
          <w:lang w:val="fr-CA"/>
        </w:rPr>
        <w:t>c. Colombie</w:t>
      </w:r>
      <w:r w:rsidR="00E6271F" w:rsidRPr="00B27419">
        <w:rPr>
          <w:rFonts w:cs="Times New Roman"/>
          <w:i/>
          <w:szCs w:val="24"/>
          <w:lang w:val="fr-CA"/>
        </w:rPr>
        <w:t>-</w:t>
      </w:r>
      <w:r w:rsidRPr="00B27419">
        <w:rPr>
          <w:rFonts w:cs="Times New Roman"/>
          <w:i/>
          <w:szCs w:val="24"/>
          <w:lang w:val="fr-CA"/>
        </w:rPr>
        <w:t>Britannique (Securities Commission)</w:t>
      </w:r>
      <w:r w:rsidRPr="00B27419">
        <w:rPr>
          <w:rFonts w:cs="Times New Roman"/>
          <w:szCs w:val="24"/>
          <w:lang w:val="fr-CA"/>
        </w:rPr>
        <w:t>, 2013 CSC 67, [2013] 3 R.C.S. 895</w:t>
      </w:r>
      <w:r w:rsidR="009B761F">
        <w:rPr>
          <w:rFonts w:cs="Times New Roman"/>
          <w:szCs w:val="24"/>
          <w:lang w:val="fr-CA"/>
        </w:rPr>
        <w:t>;</w:t>
      </w:r>
      <w:r w:rsidRPr="00B27419">
        <w:rPr>
          <w:rFonts w:eastAsia="Times New Roman" w:cs="Times New Roman"/>
          <w:szCs w:val="24"/>
          <w:lang w:val="fr-CA"/>
        </w:rPr>
        <w:t xml:space="preserve"> et </w:t>
      </w:r>
      <w:r w:rsidRPr="00B27419">
        <w:rPr>
          <w:rFonts w:eastAsia="Times New Roman" w:cs="Times New Roman"/>
          <w:i/>
          <w:szCs w:val="24"/>
          <w:lang w:val="fr-CA"/>
        </w:rPr>
        <w:t>Smith</w:t>
      </w:r>
      <w:r w:rsidRPr="00B27419">
        <w:rPr>
          <w:rFonts w:eastAsia="Times New Roman" w:cs="Times New Roman"/>
          <w:szCs w:val="24"/>
          <w:lang w:val="fr-CA"/>
        </w:rPr>
        <w:t xml:space="preserve"> se distingue du libellé sur lequel porte le présent litige. Or, elle est d’avis que la formulation </w:t>
      </w:r>
      <w:r w:rsidR="00B27419">
        <w:rPr>
          <w:rFonts w:eastAsia="Times New Roman" w:cs="Times New Roman"/>
          <w:szCs w:val="24"/>
          <w:lang w:val="fr-CA"/>
        </w:rPr>
        <w:t>« </w:t>
      </w:r>
      <w:r w:rsidRPr="00B27419">
        <w:rPr>
          <w:rFonts w:eastAsia="Times New Roman" w:cs="Times New Roman"/>
          <w:szCs w:val="24"/>
          <w:lang w:val="fr-CA"/>
        </w:rPr>
        <w:t xml:space="preserve">ne diffère </w:t>
      </w:r>
      <w:r w:rsidRPr="00B27419">
        <w:rPr>
          <w:rFonts w:cs="Times New Roman"/>
          <w:szCs w:val="24"/>
          <w:lang w:val="fr-CA"/>
        </w:rPr>
        <w:t>pas suffisamment pour saper le principe établi, à savoir que la déférence s’impose à l’égard de l’interprétation par un tribunal expert de sa loi constitutive</w:t>
      </w:r>
      <w:r w:rsidR="00B27419">
        <w:rPr>
          <w:rFonts w:cs="Times New Roman"/>
          <w:szCs w:val="24"/>
          <w:lang w:val="fr-CA"/>
        </w:rPr>
        <w:t> »</w:t>
      </w:r>
      <w:r w:rsidRPr="00B27419">
        <w:rPr>
          <w:rFonts w:cs="Times New Roman"/>
          <w:szCs w:val="24"/>
          <w:lang w:val="fr-CA"/>
        </w:rPr>
        <w:t xml:space="preserve"> (par.</w:t>
      </w:r>
      <w:r w:rsidR="00E6271F" w:rsidRPr="00B27419">
        <w:rPr>
          <w:rFonts w:cs="Times New Roman"/>
          <w:szCs w:val="24"/>
          <w:lang w:val="fr-CA"/>
        </w:rPr>
        <w:t xml:space="preserve"> </w:t>
      </w:r>
      <w:r w:rsidRPr="00B27419">
        <w:rPr>
          <w:rFonts w:cs="Times New Roman"/>
          <w:szCs w:val="24"/>
          <w:lang w:val="fr-CA"/>
        </w:rPr>
        <w:t xml:space="preserve">179). </w:t>
      </w:r>
    </w:p>
    <w:p w:rsidR="0039493A" w:rsidRPr="00B27419" w:rsidRDefault="0039493A" w:rsidP="00B27419">
      <w:pPr>
        <w:pStyle w:val="ParaNoNdepar-AltN"/>
        <w:rPr>
          <w:rFonts w:eastAsia="Times New Roman" w:cs="Times New Roman"/>
          <w:szCs w:val="24"/>
          <w:lang w:val="fr-CA"/>
        </w:rPr>
      </w:pPr>
      <w:r w:rsidRPr="00B27419">
        <w:rPr>
          <w:rFonts w:eastAsia="Times New Roman" w:cs="Times New Roman"/>
          <w:szCs w:val="24"/>
          <w:lang w:val="fr-CA"/>
        </w:rPr>
        <w:t xml:space="preserve">Je ferai observer que la différence entre le libellé de la </w:t>
      </w:r>
      <w:r w:rsidRPr="00B27419">
        <w:rPr>
          <w:rFonts w:eastAsia="Times New Roman" w:cs="Times New Roman"/>
          <w:i/>
          <w:szCs w:val="24"/>
          <w:lang w:val="fr-CA"/>
        </w:rPr>
        <w:t>Loi sur le Tribunal de la concurrence</w:t>
      </w:r>
      <w:r w:rsidRPr="00B27419">
        <w:rPr>
          <w:rFonts w:eastAsia="Times New Roman" w:cs="Times New Roman"/>
          <w:szCs w:val="24"/>
          <w:lang w:val="fr-CA"/>
        </w:rPr>
        <w:t xml:space="preserve"> et celui des lois qu’invoque ma collègue est importante. La disposition en cause dans les affaires </w:t>
      </w:r>
      <w:proofErr w:type="spellStart"/>
      <w:r w:rsidRPr="00B27419">
        <w:rPr>
          <w:rFonts w:eastAsia="Times New Roman" w:cs="Times New Roman"/>
          <w:i/>
          <w:szCs w:val="24"/>
          <w:lang w:val="fr-CA"/>
        </w:rPr>
        <w:t>Pezim</w:t>
      </w:r>
      <w:proofErr w:type="spellEnd"/>
      <w:r w:rsidRPr="00B27419">
        <w:rPr>
          <w:rFonts w:eastAsia="Times New Roman" w:cs="Times New Roman"/>
          <w:szCs w:val="24"/>
          <w:lang w:val="fr-CA"/>
        </w:rPr>
        <w:t xml:space="preserve"> et </w:t>
      </w:r>
      <w:proofErr w:type="spellStart"/>
      <w:r w:rsidRPr="00B27419">
        <w:rPr>
          <w:rFonts w:eastAsia="Times New Roman" w:cs="Times New Roman"/>
          <w:i/>
          <w:szCs w:val="24"/>
          <w:lang w:val="fr-CA"/>
        </w:rPr>
        <w:t>McLean</w:t>
      </w:r>
      <w:proofErr w:type="spellEnd"/>
      <w:r w:rsidRPr="00B27419">
        <w:rPr>
          <w:rFonts w:eastAsia="Times New Roman" w:cs="Times New Roman"/>
          <w:szCs w:val="24"/>
          <w:lang w:val="fr-CA"/>
        </w:rPr>
        <w:t xml:space="preserve"> prévoit qu’une personne </w:t>
      </w:r>
      <w:r w:rsidR="00AE38AC" w:rsidRPr="00B27419">
        <w:rPr>
          <w:rFonts w:eastAsia="Times New Roman" w:cs="Times New Roman"/>
          <w:szCs w:val="24"/>
          <w:lang w:val="fr-CA"/>
        </w:rPr>
        <w:t>touchée par une décision de la C</w:t>
      </w:r>
      <w:r w:rsidRPr="00B27419">
        <w:rPr>
          <w:rFonts w:eastAsia="Times New Roman" w:cs="Times New Roman"/>
          <w:szCs w:val="24"/>
          <w:lang w:val="fr-CA"/>
        </w:rPr>
        <w:t>ommission des valeurs mobilières de la Colombie</w:t>
      </w:r>
      <w:r w:rsidR="00E6271F" w:rsidRPr="00B27419">
        <w:rPr>
          <w:rFonts w:eastAsia="Times New Roman" w:cs="Times New Roman"/>
          <w:szCs w:val="24"/>
          <w:lang w:val="fr-CA"/>
        </w:rPr>
        <w:t>-</w:t>
      </w:r>
      <w:r w:rsidRPr="00B27419">
        <w:rPr>
          <w:rFonts w:eastAsia="Times New Roman" w:cs="Times New Roman"/>
          <w:szCs w:val="24"/>
          <w:lang w:val="fr-CA"/>
        </w:rPr>
        <w:t>Britannique [</w:t>
      </w:r>
      <w:r w:rsidRPr="00B27419">
        <w:rPr>
          <w:rFonts w:eastAsia="Times New Roman" w:cs="Times New Roman"/>
          <w:smallCaps/>
          <w:szCs w:val="24"/>
          <w:lang w:val="fr-CA"/>
        </w:rPr>
        <w:t>traduction</w:t>
      </w:r>
      <w:r w:rsidRPr="00B27419">
        <w:rPr>
          <w:rFonts w:eastAsia="Times New Roman" w:cs="Times New Roman"/>
          <w:szCs w:val="24"/>
          <w:lang w:val="fr-CA"/>
        </w:rPr>
        <w:t xml:space="preserve">] </w:t>
      </w:r>
      <w:r w:rsidR="00B27419">
        <w:rPr>
          <w:rFonts w:eastAsia="Times New Roman" w:cs="Times New Roman"/>
          <w:szCs w:val="24"/>
          <w:lang w:val="fr-CA"/>
        </w:rPr>
        <w:t>« </w:t>
      </w:r>
      <w:r w:rsidRPr="00B27419">
        <w:rPr>
          <w:rFonts w:eastAsia="Times New Roman" w:cs="Times New Roman"/>
          <w:szCs w:val="24"/>
          <w:lang w:val="fr-CA"/>
        </w:rPr>
        <w:t>peut, avec autorisation, interjeter appel devant la Cour d’appel</w:t>
      </w:r>
      <w:r w:rsidR="00B27419">
        <w:rPr>
          <w:rFonts w:eastAsia="Times New Roman" w:cs="Times New Roman"/>
          <w:szCs w:val="24"/>
          <w:lang w:val="fr-CA"/>
        </w:rPr>
        <w:t> »</w:t>
      </w:r>
      <w:r w:rsidRPr="00B27419">
        <w:rPr>
          <w:rFonts w:eastAsia="Times New Roman" w:cs="Times New Roman"/>
          <w:szCs w:val="24"/>
          <w:lang w:val="fr-CA"/>
        </w:rPr>
        <w:t xml:space="preserve"> (</w:t>
      </w:r>
      <w:r w:rsidRPr="00B27419">
        <w:rPr>
          <w:rFonts w:eastAsia="Times New Roman" w:cs="Times New Roman"/>
          <w:i/>
          <w:iCs/>
          <w:szCs w:val="24"/>
          <w:lang w:val="fr-CA"/>
        </w:rPr>
        <w:t xml:space="preserve">Securities </w:t>
      </w:r>
      <w:proofErr w:type="spellStart"/>
      <w:r w:rsidRPr="00B27419">
        <w:rPr>
          <w:rFonts w:eastAsia="Times New Roman" w:cs="Times New Roman"/>
          <w:i/>
          <w:iCs/>
          <w:szCs w:val="24"/>
          <w:lang w:val="fr-CA"/>
        </w:rPr>
        <w:t>Act</w:t>
      </w:r>
      <w:proofErr w:type="spellEnd"/>
      <w:r w:rsidRPr="00B27419">
        <w:rPr>
          <w:rFonts w:eastAsia="Times New Roman" w:cs="Times New Roman"/>
          <w:szCs w:val="24"/>
          <w:lang w:val="fr-CA"/>
        </w:rPr>
        <w:t>, S.B.C. 1985, c.</w:t>
      </w:r>
      <w:r w:rsidR="00E6271F" w:rsidRPr="00B27419">
        <w:rPr>
          <w:rFonts w:eastAsia="Times New Roman" w:cs="Times New Roman"/>
          <w:szCs w:val="24"/>
          <w:lang w:val="fr-CA"/>
        </w:rPr>
        <w:t xml:space="preserve"> </w:t>
      </w:r>
      <w:r w:rsidRPr="00B27419">
        <w:rPr>
          <w:rFonts w:eastAsia="Times New Roman" w:cs="Times New Roman"/>
          <w:szCs w:val="24"/>
          <w:lang w:val="fr-CA"/>
        </w:rPr>
        <w:t>83, par.</w:t>
      </w:r>
      <w:r w:rsidR="00E6271F" w:rsidRPr="00B27419">
        <w:rPr>
          <w:rFonts w:eastAsia="Times New Roman" w:cs="Times New Roman"/>
          <w:szCs w:val="24"/>
          <w:lang w:val="fr-CA"/>
        </w:rPr>
        <w:t xml:space="preserve"> </w:t>
      </w:r>
      <w:r w:rsidRPr="00B27419">
        <w:rPr>
          <w:rFonts w:eastAsia="Times New Roman" w:cs="Times New Roman"/>
          <w:szCs w:val="24"/>
          <w:lang w:val="fr-CA"/>
        </w:rPr>
        <w:t xml:space="preserve">149(1), plus tard </w:t>
      </w:r>
      <w:r w:rsidRPr="00B27419">
        <w:rPr>
          <w:rFonts w:eastAsia="Times New Roman" w:cs="Times New Roman"/>
          <w:i/>
          <w:szCs w:val="24"/>
          <w:lang w:val="fr-CA"/>
        </w:rPr>
        <w:t xml:space="preserve">Securities </w:t>
      </w:r>
      <w:proofErr w:type="spellStart"/>
      <w:r w:rsidRPr="00B27419">
        <w:rPr>
          <w:rFonts w:eastAsia="Times New Roman" w:cs="Times New Roman"/>
          <w:i/>
          <w:szCs w:val="24"/>
          <w:lang w:val="fr-CA"/>
        </w:rPr>
        <w:t>Act</w:t>
      </w:r>
      <w:proofErr w:type="spellEnd"/>
      <w:r w:rsidRPr="00B27419">
        <w:rPr>
          <w:rFonts w:eastAsia="Times New Roman" w:cs="Times New Roman"/>
          <w:szCs w:val="24"/>
          <w:lang w:val="fr-CA"/>
        </w:rPr>
        <w:t xml:space="preserve">, </w:t>
      </w:r>
      <w:r w:rsidR="00701481">
        <w:rPr>
          <w:rFonts w:eastAsia="Times New Roman" w:cs="Times New Roman"/>
          <w:szCs w:val="24"/>
          <w:lang w:val="fr-CA"/>
        </w:rPr>
        <w:t>R.</w:t>
      </w:r>
      <w:r w:rsidRPr="00B27419">
        <w:rPr>
          <w:rFonts w:eastAsia="Times New Roman" w:cs="Times New Roman"/>
          <w:szCs w:val="24"/>
          <w:lang w:val="fr-CA"/>
        </w:rPr>
        <w:t>S.B.C. 1996, c.</w:t>
      </w:r>
      <w:r w:rsidR="00E6271F" w:rsidRPr="00B27419">
        <w:rPr>
          <w:rFonts w:eastAsia="Times New Roman" w:cs="Times New Roman"/>
          <w:szCs w:val="24"/>
          <w:lang w:val="fr-CA"/>
        </w:rPr>
        <w:t xml:space="preserve"> </w:t>
      </w:r>
      <w:r w:rsidRPr="00B27419">
        <w:rPr>
          <w:rFonts w:eastAsia="Times New Roman" w:cs="Times New Roman"/>
          <w:szCs w:val="24"/>
          <w:lang w:val="fr-CA"/>
        </w:rPr>
        <w:t>418, par.</w:t>
      </w:r>
      <w:r w:rsidR="00E6271F" w:rsidRPr="00B27419">
        <w:rPr>
          <w:rFonts w:eastAsia="Times New Roman" w:cs="Times New Roman"/>
          <w:szCs w:val="24"/>
          <w:lang w:val="fr-CA"/>
        </w:rPr>
        <w:t xml:space="preserve"> </w:t>
      </w:r>
      <w:r w:rsidRPr="00B27419">
        <w:rPr>
          <w:rFonts w:eastAsia="Times New Roman" w:cs="Times New Roman"/>
          <w:szCs w:val="24"/>
          <w:lang w:val="fr-CA"/>
        </w:rPr>
        <w:t xml:space="preserve">167(1)). La disposition de la </w:t>
      </w:r>
      <w:r w:rsidRPr="00B27419">
        <w:rPr>
          <w:rFonts w:eastAsia="Times New Roman" w:cs="Times New Roman"/>
          <w:i/>
          <w:szCs w:val="24"/>
          <w:lang w:val="fr-CA"/>
        </w:rPr>
        <w:t>Loi sur l’Office national de l’énergie</w:t>
      </w:r>
      <w:r w:rsidRPr="00B27419">
        <w:rPr>
          <w:rFonts w:eastAsia="Times New Roman" w:cs="Times New Roman"/>
          <w:szCs w:val="24"/>
          <w:lang w:val="fr-CA"/>
        </w:rPr>
        <w:t>, L.R.C. 1985, c.</w:t>
      </w:r>
      <w:r w:rsidR="00E6271F" w:rsidRPr="00B27419">
        <w:rPr>
          <w:rFonts w:eastAsia="Times New Roman" w:cs="Times New Roman"/>
          <w:szCs w:val="24"/>
          <w:lang w:val="fr-CA"/>
        </w:rPr>
        <w:t xml:space="preserve"> </w:t>
      </w:r>
      <w:r w:rsidRPr="00B27419">
        <w:rPr>
          <w:rFonts w:eastAsia="Times New Roman" w:cs="Times New Roman"/>
          <w:szCs w:val="24"/>
          <w:lang w:val="fr-CA"/>
        </w:rPr>
        <w:t>N</w:t>
      </w:r>
      <w:r w:rsidR="00E6271F" w:rsidRPr="00B27419">
        <w:rPr>
          <w:rFonts w:eastAsia="Times New Roman" w:cs="Times New Roman"/>
          <w:szCs w:val="24"/>
          <w:lang w:val="fr-CA"/>
        </w:rPr>
        <w:t>-</w:t>
      </w:r>
      <w:r w:rsidRPr="00B27419">
        <w:rPr>
          <w:rFonts w:eastAsia="Times New Roman" w:cs="Times New Roman"/>
          <w:szCs w:val="24"/>
          <w:lang w:val="fr-CA"/>
        </w:rPr>
        <w:t xml:space="preserve">7, dont il est question dans l’affaire </w:t>
      </w:r>
      <w:r w:rsidRPr="00B27419">
        <w:rPr>
          <w:rFonts w:eastAsia="Times New Roman" w:cs="Times New Roman"/>
          <w:i/>
          <w:szCs w:val="24"/>
          <w:lang w:val="fr-CA"/>
        </w:rPr>
        <w:t>Smith</w:t>
      </w:r>
      <w:r w:rsidRPr="00B27419">
        <w:rPr>
          <w:rFonts w:eastAsia="Times New Roman" w:cs="Times New Roman"/>
          <w:szCs w:val="24"/>
          <w:lang w:val="fr-CA"/>
        </w:rPr>
        <w:t xml:space="preserve"> est ainsi rédigée</w:t>
      </w:r>
      <w:r w:rsidR="00E6271F" w:rsidRPr="00B27419">
        <w:rPr>
          <w:rFonts w:eastAsia="Times New Roman" w:cs="Times New Roman"/>
          <w:szCs w:val="24"/>
          <w:lang w:val="fr-CA"/>
        </w:rPr>
        <w:t> :</w:t>
      </w:r>
      <w:r w:rsidRPr="00B27419">
        <w:rPr>
          <w:rFonts w:eastAsia="Times New Roman" w:cs="Times New Roman"/>
          <w:szCs w:val="24"/>
          <w:lang w:val="fr-CA"/>
        </w:rPr>
        <w:t xml:space="preserve"> </w:t>
      </w:r>
      <w:r w:rsidR="00B27419">
        <w:rPr>
          <w:rFonts w:eastAsia="Times New Roman" w:cs="Times New Roman"/>
          <w:szCs w:val="24"/>
          <w:lang w:val="fr-CA"/>
        </w:rPr>
        <w:t>« </w:t>
      </w:r>
      <w:r w:rsidRPr="00B27419">
        <w:rPr>
          <w:rFonts w:eastAsia="Times New Roman" w:cs="Times New Roman"/>
          <w:szCs w:val="24"/>
          <w:lang w:val="fr-CA"/>
        </w:rPr>
        <w:t>Appel d’une décision ou d’une ordonnance du comité d’arbitrage peut être interjeté, sur une question de droit ou de compétence, devant la Cour fédérale</w:t>
      </w:r>
      <w:r w:rsidR="00E6271F" w:rsidRPr="00B27419">
        <w:rPr>
          <w:rFonts w:eastAsia="Times New Roman" w:cs="Times New Roman"/>
          <w:szCs w:val="24"/>
          <w:lang w:val="fr-CA"/>
        </w:rPr>
        <w:t xml:space="preserve"> </w:t>
      </w:r>
      <w:r w:rsidR="00AE38AC" w:rsidRPr="00B27419">
        <w:rPr>
          <w:rFonts w:eastAsia="Times New Roman" w:cs="Times New Roman"/>
          <w:szCs w:val="24"/>
          <w:lang w:val="fr-CA"/>
        </w:rPr>
        <w:t>. . .</w:t>
      </w:r>
      <w:r w:rsidR="00B27419">
        <w:rPr>
          <w:rFonts w:eastAsia="Times New Roman" w:cs="Times New Roman"/>
          <w:szCs w:val="24"/>
          <w:lang w:val="fr-CA"/>
        </w:rPr>
        <w:t> »</w:t>
      </w:r>
      <w:r w:rsidRPr="00B27419">
        <w:rPr>
          <w:rFonts w:eastAsia="Times New Roman" w:cs="Times New Roman"/>
          <w:szCs w:val="24"/>
          <w:lang w:val="fr-CA"/>
        </w:rPr>
        <w:t xml:space="preserve"> (art.</w:t>
      </w:r>
      <w:r w:rsidR="00E6271F" w:rsidRPr="00B27419">
        <w:rPr>
          <w:rFonts w:eastAsia="Times New Roman" w:cs="Times New Roman"/>
          <w:szCs w:val="24"/>
          <w:lang w:val="fr-CA"/>
        </w:rPr>
        <w:t xml:space="preserve"> </w:t>
      </w:r>
      <w:r w:rsidRPr="00B27419">
        <w:rPr>
          <w:rFonts w:eastAsia="Times New Roman" w:cs="Times New Roman"/>
          <w:szCs w:val="24"/>
          <w:lang w:val="fr-CA"/>
        </w:rPr>
        <w:t xml:space="preserve">101). En revanche, la </w:t>
      </w:r>
      <w:r w:rsidRPr="00B27419">
        <w:rPr>
          <w:rFonts w:eastAsia="Times New Roman" w:cs="Times New Roman"/>
          <w:i/>
          <w:szCs w:val="24"/>
          <w:lang w:val="fr-CA"/>
        </w:rPr>
        <w:t>Loi sur le Tribunal de la concurrence</w:t>
      </w:r>
      <w:r w:rsidRPr="00B27419">
        <w:rPr>
          <w:rFonts w:eastAsia="Times New Roman" w:cs="Times New Roman"/>
          <w:szCs w:val="24"/>
          <w:lang w:val="fr-CA"/>
        </w:rPr>
        <w:t xml:space="preserve"> prévoit</w:t>
      </w:r>
      <w:r w:rsidR="00E6271F" w:rsidRPr="00B27419">
        <w:rPr>
          <w:rFonts w:eastAsia="Times New Roman" w:cs="Times New Roman"/>
          <w:szCs w:val="24"/>
          <w:lang w:val="fr-CA"/>
        </w:rPr>
        <w:t> :</w:t>
      </w:r>
      <w:r w:rsidRPr="00B27419">
        <w:rPr>
          <w:rFonts w:eastAsia="Times New Roman" w:cs="Times New Roman"/>
          <w:szCs w:val="24"/>
          <w:lang w:val="fr-CA"/>
        </w:rPr>
        <w:t xml:space="preserve"> </w:t>
      </w:r>
      <w:r w:rsidR="00B27419">
        <w:rPr>
          <w:rFonts w:eastAsia="Times New Roman" w:cs="Times New Roman"/>
          <w:szCs w:val="24"/>
          <w:lang w:val="fr-CA"/>
        </w:rPr>
        <w:t>« </w:t>
      </w:r>
      <w:r w:rsidR="00AE38AC" w:rsidRPr="00B27419">
        <w:rPr>
          <w:rFonts w:eastAsia="Times New Roman" w:cs="Times New Roman"/>
          <w:szCs w:val="24"/>
          <w:lang w:val="fr-CA"/>
        </w:rPr>
        <w:t xml:space="preserve">. . . </w:t>
      </w:r>
      <w:r w:rsidRPr="00B27419">
        <w:rPr>
          <w:rFonts w:eastAsia="Times New Roman" w:cs="Times New Roman"/>
          <w:szCs w:val="24"/>
          <w:lang w:val="fr-CA"/>
        </w:rPr>
        <w:t>les décisions ou ordonnances du Tribunal [.</w:t>
      </w:r>
      <w:r w:rsidR="00E6271F" w:rsidRPr="00B27419">
        <w:rPr>
          <w:rFonts w:eastAsia="Times New Roman" w:cs="Times New Roman"/>
          <w:szCs w:val="24"/>
          <w:lang w:val="fr-CA"/>
        </w:rPr>
        <w:t xml:space="preserve"> </w:t>
      </w:r>
      <w:r w:rsidRPr="00B27419">
        <w:rPr>
          <w:rFonts w:eastAsia="Times New Roman" w:cs="Times New Roman"/>
          <w:szCs w:val="24"/>
          <w:lang w:val="fr-CA"/>
        </w:rPr>
        <w:t>.</w:t>
      </w:r>
      <w:r w:rsidR="00E6271F" w:rsidRPr="00B27419">
        <w:rPr>
          <w:rFonts w:eastAsia="Times New Roman" w:cs="Times New Roman"/>
          <w:szCs w:val="24"/>
          <w:lang w:val="fr-CA"/>
        </w:rPr>
        <w:t xml:space="preserve"> </w:t>
      </w:r>
      <w:r w:rsidRPr="00B27419">
        <w:rPr>
          <w:rFonts w:eastAsia="Times New Roman" w:cs="Times New Roman"/>
          <w:szCs w:val="24"/>
          <w:lang w:val="fr-CA"/>
        </w:rPr>
        <w:t xml:space="preserve">.] sont susceptibles d’appel devant la Cour d’appel fédérale </w:t>
      </w:r>
      <w:r w:rsidRPr="00B27419">
        <w:rPr>
          <w:rFonts w:eastAsia="Times New Roman" w:cs="Times New Roman"/>
          <w:szCs w:val="24"/>
          <w:u w:val="single"/>
          <w:lang w:val="fr-CA"/>
        </w:rPr>
        <w:t>tout comme s’il s’agissait de jugements de la Cour fédérale</w:t>
      </w:r>
      <w:r w:rsidR="00B27419">
        <w:rPr>
          <w:rFonts w:eastAsia="Times New Roman" w:cs="Times New Roman"/>
          <w:szCs w:val="24"/>
          <w:lang w:val="fr-CA"/>
        </w:rPr>
        <w:t> »</w:t>
      </w:r>
      <w:r w:rsidR="00634F50" w:rsidRPr="00B27419">
        <w:rPr>
          <w:rFonts w:eastAsia="Times New Roman" w:cs="Times New Roman"/>
          <w:szCs w:val="24"/>
          <w:lang w:val="fr-CA"/>
        </w:rPr>
        <w:t xml:space="preserve"> </w:t>
      </w:r>
      <w:r w:rsidRPr="00B27419">
        <w:rPr>
          <w:rFonts w:eastAsia="Times New Roman" w:cs="Times New Roman"/>
          <w:szCs w:val="24"/>
          <w:lang w:val="fr-CA"/>
        </w:rPr>
        <w:t>(par.</w:t>
      </w:r>
      <w:r w:rsidR="00E6271F" w:rsidRPr="00B27419">
        <w:rPr>
          <w:rFonts w:eastAsia="Times New Roman" w:cs="Times New Roman"/>
          <w:szCs w:val="24"/>
          <w:lang w:val="fr-CA"/>
        </w:rPr>
        <w:t xml:space="preserve"> </w:t>
      </w:r>
      <w:r w:rsidRPr="00B27419">
        <w:rPr>
          <w:rFonts w:eastAsia="Times New Roman" w:cs="Times New Roman"/>
          <w:szCs w:val="24"/>
          <w:lang w:val="fr-CA"/>
        </w:rPr>
        <w:t>13(1)).</w:t>
      </w:r>
    </w:p>
    <w:p w:rsidR="0039493A" w:rsidRPr="00B27419" w:rsidRDefault="0039493A" w:rsidP="00B27419">
      <w:pPr>
        <w:pStyle w:val="ParaNoNdepar-AltN"/>
        <w:rPr>
          <w:rFonts w:eastAsia="Times New Roman" w:cs="Times New Roman"/>
          <w:szCs w:val="24"/>
          <w:lang w:val="fr-CA"/>
        </w:rPr>
      </w:pPr>
      <w:r w:rsidRPr="00B27419">
        <w:rPr>
          <w:rFonts w:eastAsia="Times New Roman" w:cs="Times New Roman"/>
          <w:szCs w:val="24"/>
          <w:lang w:val="fr-CA"/>
        </w:rPr>
        <w:t xml:space="preserve">Dans les affaires </w:t>
      </w:r>
      <w:proofErr w:type="spellStart"/>
      <w:r w:rsidRPr="00B27419">
        <w:rPr>
          <w:rFonts w:eastAsia="Times New Roman" w:cs="Times New Roman"/>
          <w:i/>
          <w:szCs w:val="24"/>
          <w:lang w:val="fr-CA"/>
        </w:rPr>
        <w:t>Pezim</w:t>
      </w:r>
      <w:proofErr w:type="spellEnd"/>
      <w:r w:rsidRPr="00B27419">
        <w:rPr>
          <w:rFonts w:eastAsia="Times New Roman" w:cs="Times New Roman"/>
          <w:szCs w:val="24"/>
          <w:lang w:val="fr-CA"/>
        </w:rPr>
        <w:t xml:space="preserve">, </w:t>
      </w:r>
      <w:proofErr w:type="spellStart"/>
      <w:r w:rsidRPr="00B27419">
        <w:rPr>
          <w:rFonts w:eastAsia="Times New Roman" w:cs="Times New Roman"/>
          <w:i/>
          <w:szCs w:val="24"/>
          <w:lang w:val="fr-CA"/>
        </w:rPr>
        <w:t>McLean</w:t>
      </w:r>
      <w:proofErr w:type="spellEnd"/>
      <w:r w:rsidRPr="00B27419">
        <w:rPr>
          <w:rFonts w:eastAsia="Times New Roman" w:cs="Times New Roman"/>
          <w:szCs w:val="24"/>
          <w:lang w:val="fr-CA"/>
        </w:rPr>
        <w:t xml:space="preserve"> et </w:t>
      </w:r>
      <w:r w:rsidRPr="00B27419">
        <w:rPr>
          <w:rFonts w:eastAsia="Times New Roman" w:cs="Times New Roman"/>
          <w:i/>
          <w:szCs w:val="24"/>
          <w:lang w:val="fr-CA"/>
        </w:rPr>
        <w:t>Smith</w:t>
      </w:r>
      <w:r w:rsidRPr="00B27419">
        <w:rPr>
          <w:rFonts w:eastAsia="Times New Roman" w:cs="Times New Roman"/>
          <w:szCs w:val="24"/>
          <w:lang w:val="fr-CA"/>
        </w:rPr>
        <w:t xml:space="preserve">, les dispositions légales en cause ne prévoyaient pas qu’en cas d’appel, la décision administrative devait être </w:t>
      </w:r>
      <w:r w:rsidRPr="00B27419">
        <w:rPr>
          <w:rFonts w:eastAsia="Times New Roman" w:cs="Times New Roman"/>
          <w:szCs w:val="24"/>
          <w:lang w:val="fr-CA"/>
        </w:rPr>
        <w:lastRenderedPageBreak/>
        <w:t xml:space="preserve">traitée comme si elle émanait d’une cour de justice plutôt que d’un tribunal administratif. La disposition d’appel de la </w:t>
      </w:r>
      <w:r w:rsidRPr="00B27419">
        <w:rPr>
          <w:rFonts w:eastAsia="Times New Roman" w:cs="Times New Roman"/>
          <w:i/>
          <w:szCs w:val="24"/>
          <w:lang w:val="fr-CA"/>
        </w:rPr>
        <w:t>Loi sur le Tribunal de la concurrence</w:t>
      </w:r>
      <w:r w:rsidRPr="00B27419">
        <w:rPr>
          <w:rFonts w:eastAsia="Times New Roman" w:cs="Times New Roman"/>
          <w:szCs w:val="24"/>
          <w:lang w:val="fr-CA"/>
        </w:rPr>
        <w:t xml:space="preserve"> témoigne de l’intention claire du législateur de ne pas imposer la retenue judiciaire dans le contrôle des décisions du Tribunal, ce qui appuie la thèse selon laquelle la norme de la décision correcte s’applique aux questions de droit et celle de la décision raisonnable aux questions mixtes de droit et de fait et aux questions de fait. En l’espèce, la présomption suivant laquelle les questions de droit qui concernent la loi constitutive du Tribunal sont assujetties à la norme de la décision raisonnable est réfutée. </w:t>
      </w:r>
    </w:p>
    <w:p w:rsidR="0039493A" w:rsidRPr="00B27419" w:rsidRDefault="0039493A" w:rsidP="00B27419">
      <w:pPr>
        <w:pStyle w:val="ParaNoNdepar-AltN"/>
        <w:rPr>
          <w:rFonts w:eastAsia="Times New Roman" w:cs="Times New Roman"/>
          <w:szCs w:val="24"/>
          <w:lang w:val="fr-CA"/>
        </w:rPr>
      </w:pPr>
      <w:r w:rsidRPr="00B27419">
        <w:rPr>
          <w:rFonts w:cs="Times New Roman"/>
          <w:lang w:val="fr-CA"/>
        </w:rPr>
        <w:t xml:space="preserve">Je partage également l’avis de la Cour d’appel fédérale pour qui la norme de contrôle applicable aux questions mixtes de fait et de droit et aux questions de fait est celle de la décision raisonnable. C’est généralement </w:t>
      </w:r>
      <w:r w:rsidR="00B27419">
        <w:rPr>
          <w:rFonts w:cs="Times New Roman"/>
          <w:lang w:val="fr-CA"/>
        </w:rPr>
        <w:t>« </w:t>
      </w:r>
      <w:r w:rsidRPr="00B27419">
        <w:rPr>
          <w:rFonts w:cs="Times New Roman"/>
          <w:lang w:val="fr-CA"/>
        </w:rPr>
        <w:t>la norme de la décision raisonnable qui s’applique</w:t>
      </w:r>
      <w:r w:rsidR="00B27419">
        <w:rPr>
          <w:rFonts w:cs="Times New Roman"/>
          <w:lang w:val="fr-CA"/>
        </w:rPr>
        <w:t> »</w:t>
      </w:r>
      <w:r w:rsidRPr="00B27419">
        <w:rPr>
          <w:rFonts w:cs="Times New Roman"/>
          <w:lang w:val="fr-CA"/>
        </w:rPr>
        <w:t xml:space="preserve"> aux questions de fait ou mixtes de fait et de droit (</w:t>
      </w:r>
      <w:r w:rsidRPr="00B27419">
        <w:rPr>
          <w:rFonts w:cs="Times New Roman"/>
          <w:i/>
          <w:lang w:val="fr-CA"/>
        </w:rPr>
        <w:t>Smith</w:t>
      </w:r>
      <w:r w:rsidRPr="00B27419">
        <w:rPr>
          <w:rFonts w:cs="Times New Roman"/>
          <w:lang w:val="fr-CA"/>
        </w:rPr>
        <w:t>, par.</w:t>
      </w:r>
      <w:r w:rsidR="00E6271F" w:rsidRPr="00B27419">
        <w:rPr>
          <w:rFonts w:cs="Times New Roman"/>
          <w:lang w:val="fr-CA"/>
        </w:rPr>
        <w:t xml:space="preserve"> </w:t>
      </w:r>
      <w:r w:rsidRPr="00B27419">
        <w:rPr>
          <w:rFonts w:cs="Times New Roman"/>
          <w:lang w:val="fr-CA"/>
        </w:rPr>
        <w:t>26). Dans la présente affaire, rien n’indique que cette présomption doive être réfutée.</w:t>
      </w:r>
    </w:p>
    <w:p w:rsidR="0039493A" w:rsidRPr="00B27419" w:rsidRDefault="0039493A" w:rsidP="00B27419">
      <w:pPr>
        <w:pStyle w:val="Title2LevelTitre2Niveau"/>
        <w:rPr>
          <w:rFonts w:cs="Times New Roman"/>
          <w:lang w:val="fr-CA"/>
        </w:rPr>
      </w:pPr>
      <w:bookmarkStart w:id="40" w:name="_Toc409593448"/>
      <w:r w:rsidRPr="00B27419">
        <w:rPr>
          <w:rFonts w:cs="Times New Roman"/>
          <w:lang w:val="fr-CA"/>
        </w:rPr>
        <w:t>Cadre analytique applicable à l’examen du fusionnement prévu par l’art</w:t>
      </w:r>
      <w:r w:rsidR="007063AC" w:rsidRPr="00B27419">
        <w:rPr>
          <w:rFonts w:cs="Times New Roman"/>
          <w:lang w:val="fr-CA"/>
        </w:rPr>
        <w:t>.</w:t>
      </w:r>
      <w:r w:rsidR="00E6271F" w:rsidRPr="00B27419">
        <w:rPr>
          <w:rFonts w:cs="Times New Roman"/>
          <w:lang w:val="fr-CA"/>
        </w:rPr>
        <w:t xml:space="preserve"> </w:t>
      </w:r>
      <w:r w:rsidRPr="00B27419">
        <w:rPr>
          <w:rFonts w:cs="Times New Roman"/>
          <w:lang w:val="fr-CA"/>
        </w:rPr>
        <w:t>92 de la Loi</w:t>
      </w:r>
      <w:bookmarkEnd w:id="38"/>
      <w:bookmarkEnd w:id="39"/>
      <w:bookmarkEnd w:id="40"/>
    </w:p>
    <w:p w:rsidR="0039493A" w:rsidRPr="00B27419" w:rsidRDefault="0039493A" w:rsidP="00B27419">
      <w:pPr>
        <w:pStyle w:val="ParaNoNdepar-AltN"/>
        <w:rPr>
          <w:rFonts w:cs="Times New Roman"/>
          <w:lang w:val="fr-CA"/>
        </w:rPr>
      </w:pPr>
      <w:r w:rsidRPr="00B27419">
        <w:rPr>
          <w:rFonts w:cs="Times New Roman"/>
          <w:lang w:val="fr-CA"/>
        </w:rPr>
        <w:t>Avant toute chose, il serait utile de donner un aperçu du processus légal d’examen du fusionnement.</w:t>
      </w:r>
    </w:p>
    <w:p w:rsidR="0039493A" w:rsidRPr="00B27419" w:rsidRDefault="0039493A" w:rsidP="00B27419">
      <w:pPr>
        <w:pStyle w:val="Title3LevelTitre3Niveau"/>
        <w:rPr>
          <w:rFonts w:cs="Times New Roman"/>
          <w:lang w:val="fr-CA"/>
        </w:rPr>
      </w:pPr>
      <w:bookmarkStart w:id="41" w:name="_Toc396299534"/>
      <w:bookmarkStart w:id="42" w:name="_Toc397586765"/>
      <w:bookmarkStart w:id="43" w:name="_Toc409593449"/>
      <w:r w:rsidRPr="00B27419">
        <w:rPr>
          <w:rFonts w:cs="Times New Roman"/>
          <w:lang w:val="fr-CA"/>
        </w:rPr>
        <w:t>Examen du fusionnement</w:t>
      </w:r>
      <w:r w:rsidR="00E6271F" w:rsidRPr="00B27419">
        <w:rPr>
          <w:rFonts w:cs="Times New Roman"/>
          <w:lang w:val="fr-CA"/>
        </w:rPr>
        <w:t> :</w:t>
      </w:r>
      <w:r w:rsidRPr="00B27419">
        <w:rPr>
          <w:rFonts w:cs="Times New Roman"/>
          <w:lang w:val="fr-CA"/>
        </w:rPr>
        <w:t xml:space="preserve"> aperçu</w:t>
      </w:r>
      <w:bookmarkEnd w:id="41"/>
      <w:bookmarkEnd w:id="42"/>
      <w:bookmarkEnd w:id="43"/>
    </w:p>
    <w:p w:rsidR="0039493A" w:rsidRPr="00B27419" w:rsidRDefault="0039493A" w:rsidP="00B27419">
      <w:pPr>
        <w:pStyle w:val="ParaNoNdepar-AltN"/>
        <w:rPr>
          <w:rFonts w:cs="Times New Roman"/>
          <w:lang w:val="fr-CA"/>
        </w:rPr>
      </w:pPr>
      <w:r w:rsidRPr="00B27419">
        <w:rPr>
          <w:rFonts w:cs="Times New Roman"/>
          <w:lang w:val="fr-CA"/>
        </w:rPr>
        <w:lastRenderedPageBreak/>
        <w:t>L’examen du fusionnement est effectué sous le régime de l’art.</w:t>
      </w:r>
      <w:r w:rsidR="00E6271F" w:rsidRPr="00B27419">
        <w:rPr>
          <w:rFonts w:cs="Times New Roman"/>
          <w:lang w:val="fr-CA"/>
        </w:rPr>
        <w:t xml:space="preserve"> </w:t>
      </w:r>
      <w:r w:rsidRPr="00B27419">
        <w:rPr>
          <w:rFonts w:cs="Times New Roman"/>
          <w:lang w:val="fr-CA"/>
        </w:rPr>
        <w:t>92 de la Loi. Le fusionnement est [</w:t>
      </w:r>
      <w:r w:rsidR="00A241E6" w:rsidRPr="00B27419">
        <w:rPr>
          <w:rFonts w:cs="Times New Roman"/>
          <w:smallCaps/>
          <w:sz w:val="22"/>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l’acquisition du contrôle sur une partie ou la totalité de l’entreprise d’autrui ou d’une participation importante dans celle</w:t>
      </w:r>
      <w:r w:rsidR="00E6271F" w:rsidRPr="00B27419">
        <w:rPr>
          <w:rFonts w:cs="Times New Roman"/>
          <w:lang w:val="fr-CA"/>
        </w:rPr>
        <w:t>-</w:t>
      </w:r>
      <w:r w:rsidRPr="00B27419">
        <w:rPr>
          <w:rFonts w:cs="Times New Roman"/>
          <w:lang w:val="fr-CA"/>
        </w:rPr>
        <w:t>ci</w:t>
      </w:r>
      <w:r w:rsidR="00B27419">
        <w:rPr>
          <w:rFonts w:cs="Times New Roman"/>
          <w:lang w:val="fr-CA"/>
        </w:rPr>
        <w:t> »</w:t>
      </w:r>
      <w:r w:rsidRPr="00B27419">
        <w:rPr>
          <w:rFonts w:cs="Times New Roman"/>
          <w:lang w:val="fr-CA"/>
        </w:rPr>
        <w:t xml:space="preserve"> (B.</w:t>
      </w:r>
      <w:r w:rsidR="00E6271F" w:rsidRPr="00B27419">
        <w:rPr>
          <w:rFonts w:cs="Times New Roman"/>
          <w:lang w:val="fr-CA"/>
        </w:rPr>
        <w:t xml:space="preserve"> </w:t>
      </w:r>
      <w:r w:rsidRPr="00B27419">
        <w:rPr>
          <w:rFonts w:cs="Times New Roman"/>
          <w:lang w:val="fr-CA"/>
        </w:rPr>
        <w:t>A.</w:t>
      </w:r>
      <w:r w:rsidR="00E6271F" w:rsidRPr="00B27419">
        <w:rPr>
          <w:rFonts w:cs="Times New Roman"/>
          <w:lang w:val="fr-CA"/>
        </w:rPr>
        <w:t xml:space="preserve"> </w:t>
      </w:r>
      <w:proofErr w:type="spellStart"/>
      <w:r w:rsidRPr="00B27419">
        <w:rPr>
          <w:rFonts w:cs="Times New Roman"/>
          <w:lang w:val="fr-CA"/>
        </w:rPr>
        <w:t>Facey</w:t>
      </w:r>
      <w:proofErr w:type="spellEnd"/>
      <w:r w:rsidRPr="00B27419">
        <w:rPr>
          <w:rFonts w:cs="Times New Roman"/>
          <w:lang w:val="fr-CA"/>
        </w:rPr>
        <w:t xml:space="preserve"> et D.</w:t>
      </w:r>
      <w:r w:rsidR="00E6271F" w:rsidRPr="00B27419">
        <w:rPr>
          <w:rFonts w:cs="Times New Roman"/>
          <w:lang w:val="fr-CA"/>
        </w:rPr>
        <w:t xml:space="preserve"> </w:t>
      </w:r>
      <w:r w:rsidRPr="00B27419">
        <w:rPr>
          <w:rFonts w:cs="Times New Roman"/>
          <w:lang w:val="fr-CA"/>
        </w:rPr>
        <w:t>H.</w:t>
      </w:r>
      <w:r w:rsidR="00E6271F" w:rsidRPr="00B27419">
        <w:rPr>
          <w:rFonts w:cs="Times New Roman"/>
          <w:lang w:val="fr-CA"/>
        </w:rPr>
        <w:t xml:space="preserve"> </w:t>
      </w:r>
      <w:proofErr w:type="spellStart"/>
      <w:r w:rsidRPr="00B27419">
        <w:rPr>
          <w:rFonts w:cs="Times New Roman"/>
          <w:lang w:val="fr-CA"/>
        </w:rPr>
        <w:t>Assaf</w:t>
      </w:r>
      <w:proofErr w:type="spellEnd"/>
      <w:r w:rsidRPr="00B27419">
        <w:rPr>
          <w:rFonts w:cs="Times New Roman"/>
          <w:lang w:val="fr-CA"/>
        </w:rPr>
        <w:t xml:space="preserve">, </w:t>
      </w:r>
      <w:proofErr w:type="spellStart"/>
      <w:r w:rsidRPr="00B27419">
        <w:rPr>
          <w:rFonts w:cs="Times New Roman"/>
          <w:i/>
          <w:lang w:val="fr-CA"/>
        </w:rPr>
        <w:t>Competition</w:t>
      </w:r>
      <w:proofErr w:type="spellEnd"/>
      <w:r w:rsidRPr="00B27419">
        <w:rPr>
          <w:rFonts w:cs="Times New Roman"/>
          <w:i/>
          <w:lang w:val="fr-CA"/>
        </w:rPr>
        <w:t xml:space="preserve"> and Antitrust Law</w:t>
      </w:r>
      <w:r w:rsidR="00E6271F" w:rsidRPr="00B27419">
        <w:rPr>
          <w:rFonts w:cs="Times New Roman"/>
          <w:i/>
          <w:lang w:val="fr-CA"/>
        </w:rPr>
        <w:t> :</w:t>
      </w:r>
      <w:r w:rsidRPr="00B27419">
        <w:rPr>
          <w:rFonts w:cs="Times New Roman"/>
          <w:i/>
          <w:lang w:val="fr-CA"/>
        </w:rPr>
        <w:t xml:space="preserve"> Canada and the United States</w:t>
      </w:r>
      <w:r w:rsidRPr="00B27419">
        <w:rPr>
          <w:rFonts w:cs="Times New Roman"/>
          <w:lang w:val="fr-CA"/>
        </w:rPr>
        <w:t xml:space="preserve"> (4</w:t>
      </w:r>
      <w:r w:rsidRPr="00B27419">
        <w:rPr>
          <w:rFonts w:cs="Times New Roman"/>
          <w:vertAlign w:val="superscript"/>
          <w:lang w:val="fr-CA"/>
        </w:rPr>
        <w:t>e</w:t>
      </w:r>
      <w:r w:rsidR="00E6271F" w:rsidRPr="00B27419">
        <w:rPr>
          <w:rFonts w:cs="Times New Roman"/>
          <w:lang w:val="fr-CA"/>
        </w:rPr>
        <w:t xml:space="preserve"> </w:t>
      </w:r>
      <w:r w:rsidRPr="00B27419">
        <w:rPr>
          <w:rFonts w:cs="Times New Roman"/>
          <w:lang w:val="fr-CA"/>
        </w:rPr>
        <w:t>éd. 2014), p.</w:t>
      </w:r>
      <w:r w:rsidR="00E6271F" w:rsidRPr="00B27419">
        <w:rPr>
          <w:rFonts w:cs="Times New Roman"/>
          <w:lang w:val="fr-CA"/>
        </w:rPr>
        <w:t xml:space="preserve"> </w:t>
      </w:r>
      <w:r w:rsidRPr="00B27419">
        <w:rPr>
          <w:rFonts w:cs="Times New Roman"/>
          <w:lang w:val="fr-CA"/>
        </w:rPr>
        <w:t>205). L’article</w:t>
      </w:r>
      <w:r w:rsidR="00E6271F" w:rsidRPr="00B27419">
        <w:rPr>
          <w:rFonts w:cs="Times New Roman"/>
          <w:lang w:val="fr-CA"/>
        </w:rPr>
        <w:t xml:space="preserve"> </w:t>
      </w:r>
      <w:r w:rsidRPr="00B27419">
        <w:rPr>
          <w:rFonts w:cs="Times New Roman"/>
          <w:lang w:val="fr-CA"/>
        </w:rPr>
        <w:t>91 de la Loi définit le fusionnement dans les termes suivants</w:t>
      </w:r>
      <w:r w:rsidR="00E6271F" w:rsidRPr="00B27419">
        <w:rPr>
          <w:rFonts w:cs="Times New Roman"/>
          <w:lang w:val="fr-CA"/>
        </w:rPr>
        <w:t> :</w:t>
      </w:r>
    </w:p>
    <w:p w:rsidR="0039493A" w:rsidRPr="00B27419" w:rsidRDefault="0039493A" w:rsidP="00B27419">
      <w:pPr>
        <w:pStyle w:val="Citation-AltC"/>
        <w:ind w:hanging="1166"/>
        <w:contextualSpacing w:val="0"/>
        <w:rPr>
          <w:lang w:val="fr-CA"/>
        </w:rPr>
      </w:pPr>
      <w:r w:rsidRPr="00B27419">
        <w:rPr>
          <w:b/>
          <w:lang w:val="fr-CA"/>
        </w:rPr>
        <w:tab/>
      </w:r>
      <w:r w:rsidRPr="00B27419">
        <w:rPr>
          <w:b/>
          <w:lang w:val="fr-CA"/>
        </w:rPr>
        <w:tab/>
        <w:t>91. [</w:t>
      </w:r>
      <w:r w:rsidRPr="00B27419">
        <w:rPr>
          <w:lang w:val="fr-CA"/>
        </w:rPr>
        <w:t xml:space="preserve">Définition de </w:t>
      </w:r>
      <w:r w:rsidR="00B27419">
        <w:rPr>
          <w:lang w:val="fr-CA"/>
        </w:rPr>
        <w:t>« </w:t>
      </w:r>
      <w:r w:rsidRPr="00B27419">
        <w:rPr>
          <w:lang w:val="fr-CA"/>
        </w:rPr>
        <w:t>fusionnement</w:t>
      </w:r>
      <w:r w:rsidR="00B27419">
        <w:rPr>
          <w:lang w:val="fr-CA"/>
        </w:rPr>
        <w:t> »</w:t>
      </w:r>
      <w:r w:rsidRPr="00B27419">
        <w:rPr>
          <w:lang w:val="fr-CA"/>
        </w:rPr>
        <w:t xml:space="preserve">] Pour l’application des articles 92 à 100, </w:t>
      </w:r>
      <w:r w:rsidR="00B27419">
        <w:rPr>
          <w:rStyle w:val="HTMLDefinition"/>
          <w:lang w:val="fr-CA"/>
        </w:rPr>
        <w:t>« </w:t>
      </w:r>
      <w:r w:rsidRPr="00B27419">
        <w:rPr>
          <w:rStyle w:val="HTMLDefinition"/>
          <w:lang w:val="fr-CA"/>
        </w:rPr>
        <w:t>fusionnement</w:t>
      </w:r>
      <w:r w:rsidR="00B27419">
        <w:rPr>
          <w:rStyle w:val="HTMLDefinition"/>
          <w:lang w:val="fr-CA"/>
        </w:rPr>
        <w:t> »</w:t>
      </w:r>
      <w:r w:rsidRPr="00B27419">
        <w:rPr>
          <w:lang w:val="fr-CA"/>
        </w:rPr>
        <w:t xml:space="preserve"> désigne l’acquisition ou l’établissement, par une ou plusieurs personnes, directement ou indirectement, soit par achat ou location d’actions ou d’éléments d’actif, soit par fusion, association d’intérêts ou autrement, du contrôle sur la totalité ou quelque partie d’une entreprise d’un concurrent, d’un fournisseur, d’un client, ou d’une autre personne, ou encore d’un intérêt relativement important dans la totalité ou quelque partie d’une telle entreprise.</w:t>
      </w:r>
    </w:p>
    <w:p w:rsidR="0039493A" w:rsidRPr="00B27419" w:rsidRDefault="0039493A" w:rsidP="00B27419">
      <w:pPr>
        <w:pStyle w:val="ParaNoNdepar-AltN"/>
        <w:rPr>
          <w:rFonts w:cs="Times New Roman"/>
          <w:lang w:val="fr-CA"/>
        </w:rPr>
      </w:pPr>
      <w:r w:rsidRPr="00B27419">
        <w:rPr>
          <w:rFonts w:cs="Times New Roman"/>
          <w:lang w:val="fr-CA"/>
        </w:rPr>
        <w:t>L’examen vise à déterminer les fusionnements qui auront des effets anticoncurrentiels (</w:t>
      </w:r>
      <w:proofErr w:type="spellStart"/>
      <w:r w:rsidRPr="00B27419">
        <w:rPr>
          <w:rFonts w:cs="Times New Roman"/>
          <w:lang w:val="fr-CA"/>
        </w:rPr>
        <w:t>Facey</w:t>
      </w:r>
      <w:proofErr w:type="spellEnd"/>
      <w:r w:rsidRPr="00B27419">
        <w:rPr>
          <w:rFonts w:cs="Times New Roman"/>
          <w:lang w:val="fr-CA"/>
        </w:rPr>
        <w:t xml:space="preserve"> et </w:t>
      </w:r>
      <w:proofErr w:type="spellStart"/>
      <w:r w:rsidRPr="00B27419">
        <w:rPr>
          <w:rFonts w:cs="Times New Roman"/>
          <w:lang w:val="fr-CA"/>
        </w:rPr>
        <w:t>Assaf</w:t>
      </w:r>
      <w:proofErr w:type="spellEnd"/>
      <w:r w:rsidRPr="00B27419">
        <w:rPr>
          <w:rFonts w:cs="Times New Roman"/>
          <w:lang w:val="fr-CA"/>
        </w:rPr>
        <w:t>, p.</w:t>
      </w:r>
      <w:r w:rsidR="00E6271F" w:rsidRPr="00B27419">
        <w:rPr>
          <w:rFonts w:cs="Times New Roman"/>
          <w:lang w:val="fr-CA"/>
        </w:rPr>
        <w:t xml:space="preserve"> </w:t>
      </w:r>
      <w:r w:rsidRPr="00B27419">
        <w:rPr>
          <w:rFonts w:cs="Times New Roman"/>
          <w:lang w:val="fr-CA"/>
        </w:rPr>
        <w:t>209). Aux termes de l’art.</w:t>
      </w:r>
      <w:r w:rsidR="00E6271F" w:rsidRPr="00B27419">
        <w:rPr>
          <w:rFonts w:cs="Times New Roman"/>
          <w:lang w:val="fr-CA"/>
        </w:rPr>
        <w:t xml:space="preserve"> </w:t>
      </w:r>
      <w:r w:rsidRPr="00B27419">
        <w:rPr>
          <w:rFonts w:cs="Times New Roman"/>
          <w:lang w:val="fr-CA"/>
        </w:rPr>
        <w:t>92, un effet anticoncurrentiel empêche ou diminue sensiblement la concurrence. Le paragraphe</w:t>
      </w:r>
      <w:r w:rsidR="00E6271F" w:rsidRPr="00B27419">
        <w:rPr>
          <w:rFonts w:cs="Times New Roman"/>
          <w:lang w:val="fr-CA"/>
        </w:rPr>
        <w:t xml:space="preserve"> </w:t>
      </w:r>
      <w:r w:rsidRPr="00B27419">
        <w:rPr>
          <w:rFonts w:cs="Times New Roman"/>
          <w:lang w:val="fr-CA"/>
        </w:rPr>
        <w:t>92(1) confère au Tribunal le pouvoir de prononcer une ordonnance de réparation lorsqu’il conclut qu’un fusionnement empêche ou diminue sensiblement la concurrence.</w:t>
      </w:r>
    </w:p>
    <w:p w:rsidR="0039493A" w:rsidRPr="00B27419" w:rsidRDefault="0039493A" w:rsidP="00B27419">
      <w:pPr>
        <w:pStyle w:val="ParaNoNdepar-AltN"/>
        <w:rPr>
          <w:rFonts w:cs="Times New Roman"/>
          <w:lang w:val="fr-CA"/>
        </w:rPr>
      </w:pPr>
      <w:r w:rsidRPr="00B27419">
        <w:rPr>
          <w:rFonts w:cs="Times New Roman"/>
          <w:lang w:val="fr-CA"/>
        </w:rPr>
        <w:t>De manière générale, il ne sera satisfait à la norme de l’empêchement ou de la diminution sensible que si un fusionnement a vraisemblablement pour effet de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créer, de maintenir ou d’accroître la capacité de l’entité fusionnée d’exercer une puissance commerciale, unilatéralement ou de concert avec d’autres entreprises</w:t>
      </w:r>
      <w:r w:rsidR="00B27419">
        <w:rPr>
          <w:rFonts w:cs="Times New Roman"/>
          <w:lang w:val="fr-CA"/>
        </w:rPr>
        <w:t> »</w:t>
      </w:r>
      <w:r w:rsidRPr="00B27419">
        <w:rPr>
          <w:rFonts w:cs="Times New Roman"/>
          <w:lang w:val="fr-CA"/>
        </w:rPr>
        <w:t xml:space="preserve"> (O.</w:t>
      </w:r>
      <w:r w:rsidR="00E6271F" w:rsidRPr="00B27419">
        <w:rPr>
          <w:rFonts w:cs="Times New Roman"/>
          <w:lang w:val="fr-CA"/>
        </w:rPr>
        <w:t xml:space="preserve"> </w:t>
      </w:r>
      <w:proofErr w:type="spellStart"/>
      <w:r w:rsidRPr="00B27419">
        <w:rPr>
          <w:rFonts w:cs="Times New Roman"/>
          <w:lang w:val="fr-CA"/>
        </w:rPr>
        <w:t>Wakil</w:t>
      </w:r>
      <w:proofErr w:type="spellEnd"/>
      <w:r w:rsidRPr="00B27419">
        <w:rPr>
          <w:rFonts w:cs="Times New Roman"/>
          <w:lang w:val="fr-CA"/>
        </w:rPr>
        <w:t xml:space="preserve">, </w:t>
      </w:r>
      <w:r w:rsidRPr="00B27419">
        <w:rPr>
          <w:rFonts w:cs="Times New Roman"/>
          <w:i/>
          <w:lang w:val="fr-CA"/>
        </w:rPr>
        <w:t xml:space="preserve">The 2014 </w:t>
      </w:r>
      <w:proofErr w:type="spellStart"/>
      <w:r w:rsidRPr="00B27419">
        <w:rPr>
          <w:rFonts w:cs="Times New Roman"/>
          <w:i/>
          <w:lang w:val="fr-CA"/>
        </w:rPr>
        <w:t>Annotated</w:t>
      </w:r>
      <w:proofErr w:type="spellEnd"/>
      <w:r w:rsidRPr="00B27419">
        <w:rPr>
          <w:rFonts w:cs="Times New Roman"/>
          <w:i/>
          <w:lang w:val="fr-CA"/>
        </w:rPr>
        <w:t xml:space="preserve"> </w:t>
      </w:r>
      <w:proofErr w:type="spellStart"/>
      <w:r w:rsidRPr="00B27419">
        <w:rPr>
          <w:rFonts w:cs="Times New Roman"/>
          <w:i/>
          <w:lang w:val="fr-CA"/>
        </w:rPr>
        <w:t>Competition</w:t>
      </w:r>
      <w:proofErr w:type="spellEnd"/>
      <w:r w:rsidRPr="00B27419">
        <w:rPr>
          <w:rFonts w:cs="Times New Roman"/>
          <w:i/>
          <w:lang w:val="fr-CA"/>
        </w:rPr>
        <w:t xml:space="preserve"> </w:t>
      </w:r>
      <w:proofErr w:type="spellStart"/>
      <w:r w:rsidRPr="00B27419">
        <w:rPr>
          <w:rFonts w:cs="Times New Roman"/>
          <w:i/>
          <w:lang w:val="fr-CA"/>
        </w:rPr>
        <w:t>Act</w:t>
      </w:r>
      <w:proofErr w:type="spellEnd"/>
      <w:r w:rsidRPr="00B27419">
        <w:rPr>
          <w:rFonts w:cs="Times New Roman"/>
          <w:lang w:val="fr-CA"/>
        </w:rPr>
        <w:t xml:space="preserve"> (2013), p.</w:t>
      </w:r>
      <w:r w:rsidR="00E6271F" w:rsidRPr="00B27419">
        <w:rPr>
          <w:rFonts w:cs="Times New Roman"/>
          <w:lang w:val="fr-CA"/>
        </w:rPr>
        <w:t xml:space="preserve"> </w:t>
      </w:r>
      <w:r w:rsidRPr="00B27419">
        <w:rPr>
          <w:rFonts w:cs="Times New Roman"/>
          <w:lang w:val="fr-CA"/>
        </w:rPr>
        <w:t xml:space="preserve">246). La </w:t>
      </w:r>
      <w:r w:rsidRPr="00B27419">
        <w:rPr>
          <w:rFonts w:cs="Times New Roman"/>
          <w:lang w:val="fr-CA"/>
        </w:rPr>
        <w:lastRenderedPageBreak/>
        <w:t xml:space="preserve">puissance commerciale s’entend de la capacité </w:t>
      </w:r>
      <w:r w:rsidR="00B27419">
        <w:rPr>
          <w:rFonts w:cs="Times New Roman"/>
          <w:lang w:val="fr-CA"/>
        </w:rPr>
        <w:t>« </w:t>
      </w:r>
      <w:r w:rsidRPr="00B27419">
        <w:rPr>
          <w:rFonts w:cs="Times New Roman"/>
          <w:sz w:val="23"/>
          <w:szCs w:val="23"/>
          <w:lang w:val="fr-CA"/>
        </w:rPr>
        <w:t>d’exercer avec profit une influence sur les prix, la qualité, la variété, le service, la publicité, l’innovation et les autres dimensions de la concurrence</w:t>
      </w:r>
      <w:r w:rsidR="00B27419">
        <w:rPr>
          <w:rFonts w:cs="Times New Roman"/>
          <w:lang w:val="fr-CA"/>
        </w:rPr>
        <w:t> »</w:t>
      </w:r>
      <w:r w:rsidRPr="00B27419">
        <w:rPr>
          <w:rFonts w:cs="Times New Roman"/>
          <w:lang w:val="fr-CA"/>
        </w:rPr>
        <w:t xml:space="preserve"> (</w:t>
      </w:r>
      <w:r w:rsidRPr="00B27419">
        <w:rPr>
          <w:rFonts w:cs="Times New Roman"/>
          <w:i/>
          <w:lang w:val="fr-CA"/>
        </w:rPr>
        <w:t xml:space="preserve">Canada (Commissaire de la concurrence) c. Canadian </w:t>
      </w:r>
      <w:proofErr w:type="spellStart"/>
      <w:r w:rsidRPr="00B27419">
        <w:rPr>
          <w:rFonts w:cs="Times New Roman"/>
          <w:i/>
          <w:lang w:val="fr-CA"/>
        </w:rPr>
        <w:t>Waste</w:t>
      </w:r>
      <w:proofErr w:type="spellEnd"/>
      <w:r w:rsidRPr="00B27419">
        <w:rPr>
          <w:rFonts w:cs="Times New Roman"/>
          <w:i/>
          <w:lang w:val="fr-CA"/>
        </w:rPr>
        <w:t xml:space="preserve"> Services Holdings Inc.</w:t>
      </w:r>
      <w:r w:rsidRPr="00B27419">
        <w:rPr>
          <w:rFonts w:cs="Times New Roman"/>
          <w:lang w:val="fr-CA"/>
        </w:rPr>
        <w:t xml:space="preserve">, </w:t>
      </w:r>
      <w:r w:rsidR="00FF1FEF">
        <w:rPr>
          <w:rFonts w:cs="Times New Roman"/>
          <w:lang w:val="fr-CA"/>
        </w:rPr>
        <w:t xml:space="preserve">2001 </w:t>
      </w:r>
      <w:proofErr w:type="spellStart"/>
      <w:r w:rsidR="00FF1FEF">
        <w:rPr>
          <w:rFonts w:cs="Times New Roman"/>
          <w:lang w:val="fr-CA"/>
        </w:rPr>
        <w:t>Trib</w:t>
      </w:r>
      <w:proofErr w:type="spellEnd"/>
      <w:r w:rsidR="00FF1FEF">
        <w:rPr>
          <w:rFonts w:cs="Times New Roman"/>
          <w:lang w:val="fr-CA"/>
        </w:rPr>
        <w:t xml:space="preserve">. </w:t>
      </w:r>
      <w:proofErr w:type="spellStart"/>
      <w:r w:rsidR="00FF1FEF">
        <w:rPr>
          <w:rFonts w:cs="Times New Roman"/>
          <w:lang w:val="fr-CA"/>
        </w:rPr>
        <w:t>conc</w:t>
      </w:r>
      <w:proofErr w:type="spellEnd"/>
      <w:r w:rsidR="00FF1FEF">
        <w:rPr>
          <w:rFonts w:cs="Times New Roman"/>
          <w:lang w:val="fr-CA"/>
        </w:rPr>
        <w:t xml:space="preserve">. 3, </w:t>
      </w:r>
      <w:r w:rsidRPr="00B27419">
        <w:rPr>
          <w:rFonts w:cs="Times New Roman"/>
          <w:lang w:val="fr-CA"/>
        </w:rPr>
        <w:t>[2001] D.T.C.C. n</w:t>
      </w:r>
      <w:r w:rsidRPr="00B27419">
        <w:rPr>
          <w:rFonts w:cs="Times New Roman"/>
          <w:vertAlign w:val="superscript"/>
          <w:lang w:val="fr-CA"/>
        </w:rPr>
        <w:t>o</w:t>
      </w:r>
      <w:r w:rsidR="00E6271F" w:rsidRPr="00B27419">
        <w:rPr>
          <w:rFonts w:cs="Times New Roman"/>
          <w:lang w:val="fr-CA"/>
        </w:rPr>
        <w:t xml:space="preserve"> </w:t>
      </w:r>
      <w:r w:rsidRPr="00B27419">
        <w:rPr>
          <w:rFonts w:cs="Times New Roman"/>
          <w:lang w:val="fr-CA"/>
        </w:rPr>
        <w:t>3 (QL), par.</w:t>
      </w:r>
      <w:r w:rsidR="00E6271F" w:rsidRPr="00B27419">
        <w:rPr>
          <w:rFonts w:cs="Times New Roman"/>
          <w:lang w:val="fr-CA"/>
        </w:rPr>
        <w:t xml:space="preserve"> </w:t>
      </w:r>
      <w:r w:rsidRPr="00B27419">
        <w:rPr>
          <w:rFonts w:cs="Times New Roman"/>
          <w:lang w:val="fr-CA"/>
        </w:rPr>
        <w:t xml:space="preserve">7, </w:t>
      </w:r>
      <w:proofErr w:type="spellStart"/>
      <w:r w:rsidRPr="00B27419">
        <w:rPr>
          <w:rFonts w:cs="Times New Roman"/>
          <w:lang w:val="fr-CA"/>
        </w:rPr>
        <w:t>conf</w:t>
      </w:r>
      <w:proofErr w:type="spellEnd"/>
      <w:r w:rsidRPr="00B27419">
        <w:rPr>
          <w:rFonts w:cs="Times New Roman"/>
          <w:lang w:val="fr-CA"/>
        </w:rPr>
        <w:t>. par 2003 CAF</w:t>
      </w:r>
      <w:r w:rsidR="00E6271F" w:rsidRPr="00B27419">
        <w:rPr>
          <w:rFonts w:cs="Times New Roman"/>
          <w:lang w:val="fr-CA"/>
        </w:rPr>
        <w:t xml:space="preserve"> </w:t>
      </w:r>
      <w:r w:rsidRPr="00B27419">
        <w:rPr>
          <w:rFonts w:cs="Times New Roman"/>
          <w:lang w:val="fr-CA"/>
        </w:rPr>
        <w:t xml:space="preserve">131, autorisation </w:t>
      </w:r>
      <w:r w:rsidR="00A241E6" w:rsidRPr="00B27419">
        <w:rPr>
          <w:rFonts w:cs="Times New Roman"/>
          <w:lang w:val="fr-CA"/>
        </w:rPr>
        <w:t>d’appel</w:t>
      </w:r>
      <w:r w:rsidRPr="00B27419">
        <w:rPr>
          <w:rFonts w:cs="Times New Roman"/>
          <w:lang w:val="fr-CA"/>
        </w:rPr>
        <w:t xml:space="preserve"> refusée, [2004] 1 R.C.S. vii). Autrement dit, elle s’entend de </w:t>
      </w:r>
      <w:r w:rsidR="00B27419">
        <w:rPr>
          <w:rFonts w:cs="Times New Roman"/>
          <w:lang w:val="fr-CA"/>
        </w:rPr>
        <w:t>« </w:t>
      </w:r>
      <w:r w:rsidRPr="00B27419">
        <w:rPr>
          <w:rFonts w:cs="Times New Roman"/>
          <w:sz w:val="23"/>
          <w:szCs w:val="23"/>
          <w:lang w:val="fr-CA"/>
        </w:rPr>
        <w:t>la capacité de maintenir des prix plus élevés que le niveau concurrentiel pendant une longue période, sans que cette pratique soit non rentable</w:t>
      </w:r>
      <w:r w:rsidR="00B27419">
        <w:rPr>
          <w:rFonts w:cs="Times New Roman"/>
          <w:lang w:val="fr-CA"/>
        </w:rPr>
        <w:t> »</w:t>
      </w:r>
      <w:r w:rsidRPr="00B27419">
        <w:rPr>
          <w:rFonts w:cs="Times New Roman"/>
          <w:lang w:val="fr-CA"/>
        </w:rPr>
        <w:t xml:space="preserve"> (</w:t>
      </w:r>
      <w:r w:rsidRPr="00B27419">
        <w:rPr>
          <w:rFonts w:cs="Times New Roman"/>
          <w:i/>
          <w:lang w:val="fr-CA"/>
        </w:rPr>
        <w:t>Direc</w:t>
      </w:r>
      <w:r w:rsidR="00A241E6" w:rsidRPr="00B27419">
        <w:rPr>
          <w:rFonts w:cs="Times New Roman"/>
          <w:i/>
          <w:lang w:val="fr-CA"/>
        </w:rPr>
        <w:t>teur des enquêtes et recherches</w:t>
      </w:r>
      <w:r w:rsidRPr="00B27419">
        <w:rPr>
          <w:rFonts w:cs="Times New Roman"/>
          <w:i/>
          <w:lang w:val="fr-CA"/>
        </w:rPr>
        <w:t xml:space="preserve"> c. </w:t>
      </w:r>
      <w:proofErr w:type="spellStart"/>
      <w:r w:rsidRPr="00B27419">
        <w:rPr>
          <w:rFonts w:cs="Times New Roman"/>
          <w:i/>
          <w:lang w:val="fr-CA"/>
        </w:rPr>
        <w:t>Hillsdown</w:t>
      </w:r>
      <w:proofErr w:type="spellEnd"/>
      <w:r w:rsidRPr="00B27419">
        <w:rPr>
          <w:rFonts w:cs="Times New Roman"/>
          <w:i/>
          <w:lang w:val="fr-CA"/>
        </w:rPr>
        <w:t xml:space="preserve"> Holdings Ltd.</w:t>
      </w:r>
      <w:r w:rsidRPr="00B27419">
        <w:rPr>
          <w:rFonts w:cs="Times New Roman"/>
          <w:lang w:val="fr-CA"/>
        </w:rPr>
        <w:t xml:space="preserve">, 1992 </w:t>
      </w:r>
      <w:proofErr w:type="spellStart"/>
      <w:r w:rsidRPr="00B27419">
        <w:rPr>
          <w:rFonts w:cs="Times New Roman"/>
          <w:lang w:val="fr-CA"/>
        </w:rPr>
        <w:t>CanLII</w:t>
      </w:r>
      <w:proofErr w:type="spellEnd"/>
      <w:r w:rsidRPr="00B27419">
        <w:rPr>
          <w:rFonts w:cs="Times New Roman"/>
          <w:lang w:val="fr-CA"/>
        </w:rPr>
        <w:t xml:space="preserve"> 1901 (</w:t>
      </w:r>
      <w:proofErr w:type="spellStart"/>
      <w:r w:rsidRPr="00B27419">
        <w:rPr>
          <w:rFonts w:cs="Times New Roman"/>
          <w:lang w:val="fr-CA"/>
        </w:rPr>
        <w:t>Trib</w:t>
      </w:r>
      <w:proofErr w:type="spellEnd"/>
      <w:r w:rsidR="00A241E6" w:rsidRPr="00B27419">
        <w:rPr>
          <w:rFonts w:cs="Times New Roman"/>
          <w:lang w:val="fr-CA"/>
        </w:rPr>
        <w:t>.</w:t>
      </w:r>
      <w:r w:rsidRPr="00B27419">
        <w:rPr>
          <w:rFonts w:cs="Times New Roman"/>
          <w:lang w:val="fr-CA"/>
        </w:rPr>
        <w:t xml:space="preserve"> </w:t>
      </w:r>
      <w:proofErr w:type="spellStart"/>
      <w:r w:rsidR="00A241E6" w:rsidRPr="00B27419">
        <w:rPr>
          <w:rFonts w:cs="Times New Roman"/>
          <w:lang w:val="fr-CA"/>
        </w:rPr>
        <w:t>c</w:t>
      </w:r>
      <w:r w:rsidRPr="00B27419">
        <w:rPr>
          <w:rFonts w:cs="Times New Roman"/>
          <w:lang w:val="fr-CA"/>
        </w:rPr>
        <w:t>onc</w:t>
      </w:r>
      <w:proofErr w:type="spellEnd"/>
      <w:r w:rsidR="00A241E6" w:rsidRPr="00B27419">
        <w:rPr>
          <w:rFonts w:cs="Times New Roman"/>
          <w:lang w:val="fr-CA"/>
        </w:rPr>
        <w:t>.</w:t>
      </w:r>
      <w:r w:rsidRPr="00B27419">
        <w:rPr>
          <w:rFonts w:cs="Times New Roman"/>
          <w:lang w:val="fr-CA"/>
        </w:rPr>
        <w:t>), p.</w:t>
      </w:r>
      <w:r w:rsidR="00E6271F" w:rsidRPr="00B27419">
        <w:rPr>
          <w:rFonts w:cs="Times New Roman"/>
          <w:lang w:val="fr-CA"/>
        </w:rPr>
        <w:t xml:space="preserve"> </w:t>
      </w:r>
      <w:r w:rsidRPr="00B27419">
        <w:rPr>
          <w:rFonts w:cs="Times New Roman"/>
          <w:lang w:val="fr-CA"/>
        </w:rPr>
        <w:t xml:space="preserve">49), où </w:t>
      </w:r>
      <w:r w:rsidR="00B27419">
        <w:rPr>
          <w:rFonts w:cs="Times New Roman"/>
          <w:lang w:val="fr-CA"/>
        </w:rPr>
        <w:t>« </w:t>
      </w:r>
      <w:r w:rsidRPr="00B27419">
        <w:rPr>
          <w:rFonts w:cs="Times New Roman"/>
          <w:lang w:val="fr-CA"/>
        </w:rPr>
        <w:t>prix</w:t>
      </w:r>
      <w:r w:rsidR="00B27419">
        <w:rPr>
          <w:rFonts w:cs="Times New Roman"/>
          <w:lang w:val="fr-CA"/>
        </w:rPr>
        <w:t> »</w:t>
      </w:r>
      <w:r w:rsidRPr="00B27419">
        <w:rPr>
          <w:rFonts w:cs="Times New Roman"/>
          <w:lang w:val="fr-CA"/>
        </w:rPr>
        <w:t xml:space="preserve"> est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généralement le terme qui regroupe tous les aspects des activités d’une entreprise qui ont une incidence sur les acheteurs</w:t>
      </w:r>
      <w:r w:rsidR="00B27419">
        <w:rPr>
          <w:rFonts w:cs="Times New Roman"/>
          <w:lang w:val="fr-CA"/>
        </w:rPr>
        <w:t> »</w:t>
      </w:r>
      <w:r w:rsidRPr="00B27419">
        <w:rPr>
          <w:rFonts w:cs="Times New Roman"/>
          <w:lang w:val="fr-CA"/>
        </w:rPr>
        <w:t xml:space="preserve"> (J.</w:t>
      </w:r>
      <w:r w:rsidR="00E6271F" w:rsidRPr="00B27419">
        <w:rPr>
          <w:rFonts w:cs="Times New Roman"/>
          <w:lang w:val="fr-CA"/>
        </w:rPr>
        <w:t xml:space="preserve"> </w:t>
      </w:r>
      <w:r w:rsidRPr="00B27419">
        <w:rPr>
          <w:rFonts w:cs="Times New Roman"/>
          <w:lang w:val="fr-CA"/>
        </w:rPr>
        <w:t>B.</w:t>
      </w:r>
      <w:r w:rsidR="00E6271F" w:rsidRPr="00B27419">
        <w:rPr>
          <w:rFonts w:cs="Times New Roman"/>
          <w:lang w:val="fr-CA"/>
        </w:rPr>
        <w:t xml:space="preserve"> </w:t>
      </w:r>
      <w:proofErr w:type="spellStart"/>
      <w:r w:rsidRPr="00B27419">
        <w:rPr>
          <w:rFonts w:cs="Times New Roman"/>
          <w:lang w:val="fr-CA"/>
        </w:rPr>
        <w:t>Musgrove</w:t>
      </w:r>
      <w:proofErr w:type="spellEnd"/>
      <w:r w:rsidRPr="00B27419">
        <w:rPr>
          <w:rFonts w:cs="Times New Roman"/>
          <w:lang w:val="fr-CA"/>
        </w:rPr>
        <w:t>, J.</w:t>
      </w:r>
      <w:r w:rsidR="00E6271F" w:rsidRPr="00B27419">
        <w:rPr>
          <w:rFonts w:cs="Times New Roman"/>
          <w:lang w:val="fr-CA"/>
        </w:rPr>
        <w:t xml:space="preserve"> </w:t>
      </w:r>
      <w:proofErr w:type="spellStart"/>
      <w:r w:rsidRPr="00B27419">
        <w:rPr>
          <w:rFonts w:cs="Times New Roman"/>
          <w:lang w:val="fr-CA"/>
        </w:rPr>
        <w:t>MacNeil</w:t>
      </w:r>
      <w:proofErr w:type="spellEnd"/>
      <w:r w:rsidRPr="00B27419">
        <w:rPr>
          <w:rFonts w:cs="Times New Roman"/>
          <w:lang w:val="fr-CA"/>
        </w:rPr>
        <w:t xml:space="preserve"> et M.</w:t>
      </w:r>
      <w:r w:rsidR="00E6271F" w:rsidRPr="00B27419">
        <w:rPr>
          <w:rFonts w:cs="Times New Roman"/>
          <w:lang w:val="fr-CA"/>
        </w:rPr>
        <w:t xml:space="preserve"> </w:t>
      </w:r>
      <w:r w:rsidRPr="00B27419">
        <w:rPr>
          <w:rFonts w:cs="Times New Roman"/>
          <w:lang w:val="fr-CA"/>
        </w:rPr>
        <w:t xml:space="preserve">Osborne, </w:t>
      </w:r>
      <w:proofErr w:type="spellStart"/>
      <w:r w:rsidR="00A241E6" w:rsidRPr="00B27419">
        <w:rPr>
          <w:rFonts w:cs="Times New Roman"/>
          <w:lang w:val="fr-CA"/>
        </w:rPr>
        <w:t>dir</w:t>
      </w:r>
      <w:proofErr w:type="spellEnd"/>
      <w:r w:rsidRPr="00B27419">
        <w:rPr>
          <w:rFonts w:cs="Times New Roman"/>
          <w:lang w:val="fr-CA"/>
        </w:rPr>
        <w:t xml:space="preserve">., </w:t>
      </w:r>
      <w:r w:rsidRPr="00B27419">
        <w:rPr>
          <w:rFonts w:cs="Times New Roman"/>
          <w:i/>
          <w:lang w:val="fr-CA"/>
        </w:rPr>
        <w:t xml:space="preserve">Fundamentals of Canadian </w:t>
      </w:r>
      <w:proofErr w:type="spellStart"/>
      <w:r w:rsidRPr="00B27419">
        <w:rPr>
          <w:rFonts w:cs="Times New Roman"/>
          <w:i/>
          <w:lang w:val="fr-CA"/>
        </w:rPr>
        <w:t>Competition</w:t>
      </w:r>
      <w:proofErr w:type="spellEnd"/>
      <w:r w:rsidRPr="00B27419">
        <w:rPr>
          <w:rFonts w:cs="Times New Roman"/>
          <w:i/>
          <w:lang w:val="fr-CA"/>
        </w:rPr>
        <w:t xml:space="preserve"> Law</w:t>
      </w:r>
      <w:r w:rsidRPr="00B27419">
        <w:rPr>
          <w:rFonts w:cs="Times New Roman"/>
          <w:lang w:val="fr-CA"/>
        </w:rPr>
        <w:t xml:space="preserve"> (2</w:t>
      </w:r>
      <w:r w:rsidRPr="00B27419">
        <w:rPr>
          <w:rFonts w:cs="Times New Roman"/>
          <w:vertAlign w:val="superscript"/>
          <w:lang w:val="fr-CA"/>
        </w:rPr>
        <w:t>e</w:t>
      </w:r>
      <w:r w:rsidR="00E6271F" w:rsidRPr="00B27419">
        <w:rPr>
          <w:rFonts w:cs="Times New Roman"/>
          <w:lang w:val="fr-CA"/>
        </w:rPr>
        <w:t xml:space="preserve"> </w:t>
      </w:r>
      <w:r w:rsidRPr="00B27419">
        <w:rPr>
          <w:rFonts w:cs="Times New Roman"/>
          <w:lang w:val="fr-CA"/>
        </w:rPr>
        <w:t>éd. 2010), p.</w:t>
      </w:r>
      <w:r w:rsidR="00E6271F" w:rsidRPr="00B27419">
        <w:rPr>
          <w:rFonts w:cs="Times New Roman"/>
          <w:lang w:val="fr-CA"/>
        </w:rPr>
        <w:t xml:space="preserve"> </w:t>
      </w:r>
      <w:r w:rsidRPr="00B27419">
        <w:rPr>
          <w:rFonts w:cs="Times New Roman"/>
          <w:lang w:val="fr-CA"/>
        </w:rPr>
        <w:t>29). Le fusionnement qui n’a aucun effet ou n’aura vraisemblablement aucun effet sur la puissance commerciale ne met généralement pas en jeu l’art.</w:t>
      </w:r>
      <w:r w:rsidR="00E6271F" w:rsidRPr="00B27419">
        <w:rPr>
          <w:rFonts w:cs="Times New Roman"/>
          <w:lang w:val="fr-CA"/>
        </w:rPr>
        <w:t xml:space="preserve"> </w:t>
      </w:r>
      <w:r w:rsidRPr="00B27419">
        <w:rPr>
          <w:rFonts w:cs="Times New Roman"/>
          <w:lang w:val="fr-CA"/>
        </w:rPr>
        <w:t>92 (B.</w:t>
      </w:r>
      <w:r w:rsidR="00E6271F" w:rsidRPr="00B27419">
        <w:rPr>
          <w:rFonts w:cs="Times New Roman"/>
          <w:lang w:val="fr-CA"/>
        </w:rPr>
        <w:t xml:space="preserve"> </w:t>
      </w:r>
      <w:r w:rsidRPr="00B27419">
        <w:rPr>
          <w:rFonts w:cs="Times New Roman"/>
          <w:lang w:val="fr-CA"/>
        </w:rPr>
        <w:t>A.</w:t>
      </w:r>
      <w:r w:rsidR="00E6271F" w:rsidRPr="00B27419">
        <w:rPr>
          <w:rFonts w:cs="Times New Roman"/>
          <w:lang w:val="fr-CA"/>
        </w:rPr>
        <w:t xml:space="preserve"> </w:t>
      </w:r>
      <w:proofErr w:type="spellStart"/>
      <w:r w:rsidRPr="00B27419">
        <w:rPr>
          <w:rFonts w:cs="Times New Roman"/>
          <w:lang w:val="fr-CA"/>
        </w:rPr>
        <w:t>Facey</w:t>
      </w:r>
      <w:proofErr w:type="spellEnd"/>
      <w:r w:rsidRPr="00B27419">
        <w:rPr>
          <w:rFonts w:cs="Times New Roman"/>
          <w:lang w:val="fr-CA"/>
        </w:rPr>
        <w:t xml:space="preserve"> et C.</w:t>
      </w:r>
      <w:r w:rsidR="00E6271F" w:rsidRPr="00B27419">
        <w:rPr>
          <w:rFonts w:cs="Times New Roman"/>
          <w:lang w:val="fr-CA"/>
        </w:rPr>
        <w:t xml:space="preserve"> </w:t>
      </w:r>
      <w:r w:rsidRPr="00B27419">
        <w:rPr>
          <w:rFonts w:cs="Times New Roman"/>
          <w:lang w:val="fr-CA"/>
        </w:rPr>
        <w:t xml:space="preserve">Brown, </w:t>
      </w:r>
      <w:proofErr w:type="spellStart"/>
      <w:r w:rsidRPr="00B27419">
        <w:rPr>
          <w:rFonts w:cs="Times New Roman"/>
          <w:i/>
          <w:lang w:val="fr-CA"/>
        </w:rPr>
        <w:t>Competition</w:t>
      </w:r>
      <w:proofErr w:type="spellEnd"/>
      <w:r w:rsidRPr="00B27419">
        <w:rPr>
          <w:rFonts w:cs="Times New Roman"/>
          <w:i/>
          <w:lang w:val="fr-CA"/>
        </w:rPr>
        <w:t xml:space="preserve"> and Antitrust </w:t>
      </w:r>
      <w:proofErr w:type="spellStart"/>
      <w:r w:rsidRPr="00B27419">
        <w:rPr>
          <w:rFonts w:cs="Times New Roman"/>
          <w:i/>
          <w:lang w:val="fr-CA"/>
        </w:rPr>
        <w:t>Laws</w:t>
      </w:r>
      <w:proofErr w:type="spellEnd"/>
      <w:r w:rsidRPr="00B27419">
        <w:rPr>
          <w:rFonts w:cs="Times New Roman"/>
          <w:i/>
          <w:lang w:val="fr-CA"/>
        </w:rPr>
        <w:t xml:space="preserve"> in </w:t>
      </w:r>
      <w:r w:rsidR="00A241E6" w:rsidRPr="00B27419">
        <w:rPr>
          <w:rFonts w:cs="Times New Roman"/>
          <w:i/>
          <w:lang w:val="fr-CA"/>
        </w:rPr>
        <w:t>Canada</w:t>
      </w:r>
      <w:r w:rsidR="00E6271F" w:rsidRPr="00B27419">
        <w:rPr>
          <w:rFonts w:cs="Times New Roman"/>
          <w:i/>
          <w:lang w:val="fr-CA"/>
        </w:rPr>
        <w:t> :</w:t>
      </w:r>
      <w:r w:rsidRPr="00B27419">
        <w:rPr>
          <w:rFonts w:cs="Times New Roman"/>
          <w:i/>
          <w:lang w:val="fr-CA"/>
        </w:rPr>
        <w:t xml:space="preserve"> </w:t>
      </w:r>
      <w:proofErr w:type="spellStart"/>
      <w:r w:rsidRPr="00B27419">
        <w:rPr>
          <w:rFonts w:cs="Times New Roman"/>
          <w:i/>
          <w:lang w:val="fr-CA"/>
        </w:rPr>
        <w:t>Mergers</w:t>
      </w:r>
      <w:proofErr w:type="spellEnd"/>
      <w:r w:rsidRPr="00B27419">
        <w:rPr>
          <w:rFonts w:cs="Times New Roman"/>
          <w:i/>
          <w:lang w:val="fr-CA"/>
        </w:rPr>
        <w:t xml:space="preserve">, Joint </w:t>
      </w:r>
      <w:proofErr w:type="spellStart"/>
      <w:r w:rsidRPr="00B27419">
        <w:rPr>
          <w:rFonts w:cs="Times New Roman"/>
          <w:i/>
          <w:lang w:val="fr-CA"/>
        </w:rPr>
        <w:t>Ventures</w:t>
      </w:r>
      <w:proofErr w:type="spellEnd"/>
      <w:r w:rsidRPr="00B27419">
        <w:rPr>
          <w:rFonts w:cs="Times New Roman"/>
          <w:i/>
          <w:lang w:val="fr-CA"/>
        </w:rPr>
        <w:t xml:space="preserve"> and </w:t>
      </w:r>
      <w:proofErr w:type="spellStart"/>
      <w:r w:rsidRPr="00B27419">
        <w:rPr>
          <w:rFonts w:cs="Times New Roman"/>
          <w:i/>
          <w:lang w:val="fr-CA"/>
        </w:rPr>
        <w:t>Competitor</w:t>
      </w:r>
      <w:proofErr w:type="spellEnd"/>
      <w:r w:rsidRPr="00B27419">
        <w:rPr>
          <w:rFonts w:cs="Times New Roman"/>
          <w:i/>
          <w:lang w:val="fr-CA"/>
        </w:rPr>
        <w:t xml:space="preserve"> Collaborations</w:t>
      </w:r>
      <w:r w:rsidRPr="00B27419">
        <w:rPr>
          <w:rFonts w:cs="Times New Roman"/>
          <w:lang w:val="fr-CA"/>
        </w:rPr>
        <w:t xml:space="preserve"> (2013), p.</w:t>
      </w:r>
      <w:r w:rsidR="00E6271F" w:rsidRPr="00B27419">
        <w:rPr>
          <w:rFonts w:cs="Times New Roman"/>
          <w:lang w:val="fr-CA"/>
        </w:rPr>
        <w:t xml:space="preserve"> </w:t>
      </w:r>
      <w:r w:rsidRPr="00B27419">
        <w:rPr>
          <w:rFonts w:cs="Times New Roman"/>
          <w:lang w:val="fr-CA"/>
        </w:rPr>
        <w:t xml:space="preserve">141). </w:t>
      </w:r>
    </w:p>
    <w:p w:rsidR="0039493A" w:rsidRPr="00B27419" w:rsidRDefault="0039493A" w:rsidP="00B27419">
      <w:pPr>
        <w:pStyle w:val="ParaNoNdepar-AltN"/>
        <w:rPr>
          <w:rFonts w:cs="Times New Roman"/>
          <w:lang w:val="fr-CA"/>
        </w:rPr>
      </w:pPr>
      <w:r w:rsidRPr="00B27419">
        <w:rPr>
          <w:rFonts w:cs="Times New Roman"/>
          <w:lang w:val="fr-CA"/>
        </w:rPr>
        <w:t xml:space="preserve">L’effet vraisemblable du fusionnement sur la puissance commerciale permet de déterminer si ce dernier aura vraisemblablement un effet </w:t>
      </w:r>
      <w:r w:rsidR="00B27419">
        <w:rPr>
          <w:rFonts w:cs="Times New Roman"/>
          <w:lang w:val="fr-CA"/>
        </w:rPr>
        <w:t>« </w:t>
      </w:r>
      <w:r w:rsidRPr="00B27419">
        <w:rPr>
          <w:rFonts w:cs="Times New Roman"/>
          <w:lang w:val="fr-CA"/>
        </w:rPr>
        <w:t>sensible</w:t>
      </w:r>
      <w:r w:rsidR="00B27419">
        <w:rPr>
          <w:rFonts w:cs="Times New Roman"/>
          <w:lang w:val="fr-CA"/>
        </w:rPr>
        <w:t> »</w:t>
      </w:r>
      <w:r w:rsidRPr="00B27419">
        <w:rPr>
          <w:rFonts w:cs="Times New Roman"/>
          <w:lang w:val="fr-CA"/>
        </w:rPr>
        <w:t xml:space="preserve"> sur la concurrence. Le degré et la durée de l’exercice de la puissance commerciale sont des éléments clés dans l’analyse permettant de déterminer si le fusionnement aura pour effet de diminuer sensiblement la concurrence (</w:t>
      </w:r>
      <w:proofErr w:type="spellStart"/>
      <w:r w:rsidRPr="00B27419">
        <w:rPr>
          <w:rFonts w:cs="Times New Roman"/>
          <w:i/>
          <w:lang w:val="fr-CA"/>
        </w:rPr>
        <w:t>Hillsdown</w:t>
      </w:r>
      <w:proofErr w:type="spellEnd"/>
      <w:r w:rsidRPr="00B27419">
        <w:rPr>
          <w:rFonts w:cs="Times New Roman"/>
          <w:lang w:val="fr-CA"/>
        </w:rPr>
        <w:t>, p.</w:t>
      </w:r>
      <w:r w:rsidR="00E6271F" w:rsidRPr="00B27419">
        <w:rPr>
          <w:rFonts w:cs="Times New Roman"/>
          <w:lang w:val="fr-CA"/>
        </w:rPr>
        <w:t xml:space="preserve"> </w:t>
      </w:r>
      <w:r w:rsidRPr="00B27419">
        <w:rPr>
          <w:rFonts w:cs="Times New Roman"/>
          <w:lang w:val="fr-CA"/>
        </w:rPr>
        <w:t xml:space="preserve">78). Rien n’interdit que ces éléments soient également pris en considération pour déterminer s’il y aura empêchement. </w:t>
      </w:r>
    </w:p>
    <w:p w:rsidR="0039493A" w:rsidRPr="00B27419" w:rsidRDefault="0039493A" w:rsidP="00B27419">
      <w:pPr>
        <w:pStyle w:val="ParaNoNdepar-AltN"/>
        <w:rPr>
          <w:rFonts w:cs="Times New Roman"/>
          <w:lang w:val="fr-CA"/>
        </w:rPr>
      </w:pPr>
      <w:r w:rsidRPr="00B27419">
        <w:rPr>
          <w:rFonts w:cs="Times New Roman"/>
          <w:lang w:val="fr-CA"/>
        </w:rPr>
        <w:lastRenderedPageBreak/>
        <w:t xml:space="preserve">Ce que l’on peut qualifier de </w:t>
      </w:r>
      <w:r w:rsidR="00B27419">
        <w:rPr>
          <w:rFonts w:cs="Times New Roman"/>
          <w:lang w:val="fr-CA"/>
        </w:rPr>
        <w:t>« </w:t>
      </w:r>
      <w:r w:rsidRPr="00B27419">
        <w:rPr>
          <w:rFonts w:cs="Times New Roman"/>
          <w:lang w:val="fr-CA"/>
        </w:rPr>
        <w:t>sensible</w:t>
      </w:r>
      <w:r w:rsidR="00B27419">
        <w:rPr>
          <w:rFonts w:cs="Times New Roman"/>
          <w:lang w:val="fr-CA"/>
        </w:rPr>
        <w:t> »</w:t>
      </w:r>
      <w:r w:rsidRPr="00B27419">
        <w:rPr>
          <w:rFonts w:cs="Times New Roman"/>
          <w:lang w:val="fr-CA"/>
        </w:rPr>
        <w:t xml:space="preserve"> variera d’une affaire à l’autre. Le Tribunal n’a pas jugé utile d’appliquer un critère numérique strict</w:t>
      </w:r>
      <w:r w:rsidR="00E6271F" w:rsidRPr="00B27419">
        <w:rPr>
          <w:rFonts w:cs="Times New Roman"/>
          <w:lang w:val="fr-CA"/>
        </w:rPr>
        <w:t> :</w:t>
      </w:r>
    </w:p>
    <w:p w:rsidR="0039493A" w:rsidRPr="00B27419" w:rsidRDefault="0039493A" w:rsidP="00B27419">
      <w:pPr>
        <w:pStyle w:val="Citation-AltC"/>
        <w:spacing w:after="240"/>
        <w:ind w:hanging="1166"/>
        <w:contextualSpacing w:val="0"/>
        <w:rPr>
          <w:lang w:val="fr-CA"/>
        </w:rPr>
      </w:pPr>
      <w:r w:rsidRPr="00B27419">
        <w:rPr>
          <w:sz w:val="23"/>
          <w:szCs w:val="23"/>
          <w:lang w:val="fr-CA"/>
        </w:rPr>
        <w:tab/>
        <w:t xml:space="preserve">Ce qui constituera vraisemblablement une diminution </w:t>
      </w:r>
      <w:r w:rsidR="00B27419">
        <w:rPr>
          <w:sz w:val="23"/>
          <w:szCs w:val="23"/>
          <w:lang w:val="fr-CA"/>
        </w:rPr>
        <w:t>« </w:t>
      </w:r>
      <w:r w:rsidRPr="00B27419">
        <w:rPr>
          <w:sz w:val="23"/>
          <w:szCs w:val="23"/>
          <w:lang w:val="fr-CA"/>
        </w:rPr>
        <w:t>sensible</w:t>
      </w:r>
      <w:r w:rsidR="00B27419">
        <w:rPr>
          <w:sz w:val="23"/>
          <w:szCs w:val="23"/>
          <w:lang w:val="fr-CA"/>
        </w:rPr>
        <w:t> »</w:t>
      </w:r>
      <w:r w:rsidRPr="00B27419">
        <w:rPr>
          <w:sz w:val="23"/>
          <w:szCs w:val="23"/>
          <w:lang w:val="fr-CA"/>
        </w:rPr>
        <w:t xml:space="preserve"> dépendra des circonstances dans chaque cas</w:t>
      </w:r>
      <w:r w:rsidR="00A241E6" w:rsidRPr="00B27419">
        <w:rPr>
          <w:sz w:val="23"/>
          <w:szCs w:val="23"/>
          <w:lang w:val="fr-CA"/>
        </w:rPr>
        <w:t>.</w:t>
      </w:r>
      <w:r w:rsidRPr="00B27419">
        <w:rPr>
          <w:sz w:val="23"/>
          <w:szCs w:val="23"/>
          <w:lang w:val="fr-CA"/>
        </w:rPr>
        <w:t xml:space="preserve"> [.</w:t>
      </w:r>
      <w:r w:rsidR="00E6271F" w:rsidRPr="00B27419">
        <w:rPr>
          <w:sz w:val="23"/>
          <w:szCs w:val="23"/>
          <w:lang w:val="fr-CA"/>
        </w:rPr>
        <w:t xml:space="preserve"> </w:t>
      </w:r>
      <w:r w:rsidRPr="00B27419">
        <w:rPr>
          <w:sz w:val="23"/>
          <w:szCs w:val="23"/>
          <w:lang w:val="fr-CA"/>
        </w:rPr>
        <w:t>.</w:t>
      </w:r>
      <w:r w:rsidR="00E6271F" w:rsidRPr="00B27419">
        <w:rPr>
          <w:sz w:val="23"/>
          <w:szCs w:val="23"/>
          <w:lang w:val="fr-CA"/>
        </w:rPr>
        <w:t xml:space="preserve"> </w:t>
      </w:r>
      <w:r w:rsidRPr="00B27419">
        <w:rPr>
          <w:sz w:val="23"/>
          <w:szCs w:val="23"/>
          <w:lang w:val="fr-CA"/>
        </w:rPr>
        <w:t>.] On a proposé plusieurs critères</w:t>
      </w:r>
      <w:r w:rsidR="00E6271F" w:rsidRPr="00B27419">
        <w:rPr>
          <w:sz w:val="23"/>
          <w:szCs w:val="23"/>
          <w:lang w:val="fr-CA"/>
        </w:rPr>
        <w:t> :</w:t>
      </w:r>
      <w:r w:rsidRPr="00B27419">
        <w:rPr>
          <w:sz w:val="23"/>
          <w:szCs w:val="23"/>
          <w:lang w:val="fr-CA"/>
        </w:rPr>
        <w:t xml:space="preserve"> hausse de prix vraisemblable de 5</w:t>
      </w:r>
      <w:r w:rsidR="00E6271F" w:rsidRPr="00B27419">
        <w:rPr>
          <w:sz w:val="23"/>
          <w:szCs w:val="23"/>
          <w:lang w:val="fr-CA"/>
        </w:rPr>
        <w:t xml:space="preserve"> </w:t>
      </w:r>
      <w:r w:rsidRPr="00B27419">
        <w:rPr>
          <w:sz w:val="23"/>
          <w:szCs w:val="23"/>
          <w:lang w:val="fr-CA"/>
        </w:rPr>
        <w:t>% pouvant être maintenue pendant un an; hausse de prix de 5</w:t>
      </w:r>
      <w:r w:rsidR="00E6271F" w:rsidRPr="00B27419">
        <w:rPr>
          <w:sz w:val="23"/>
          <w:szCs w:val="23"/>
          <w:lang w:val="fr-CA"/>
        </w:rPr>
        <w:t xml:space="preserve"> </w:t>
      </w:r>
      <w:r w:rsidRPr="00B27419">
        <w:rPr>
          <w:sz w:val="23"/>
          <w:szCs w:val="23"/>
          <w:lang w:val="fr-CA"/>
        </w:rPr>
        <w:t>% pouvant être maintenue pendant plus de deux ans; hausse de prix faible, mais notable, et non transitoire. Le Tribunal ne juge pas utile d’utiliser des critères numériques stricts, bien que ceux</w:t>
      </w:r>
      <w:r w:rsidR="00E6271F" w:rsidRPr="00B27419">
        <w:rPr>
          <w:sz w:val="23"/>
          <w:szCs w:val="23"/>
          <w:lang w:val="fr-CA"/>
        </w:rPr>
        <w:t>-</w:t>
      </w:r>
      <w:r w:rsidRPr="00B27419">
        <w:rPr>
          <w:sz w:val="23"/>
          <w:szCs w:val="23"/>
          <w:lang w:val="fr-CA"/>
        </w:rPr>
        <w:t>ci puissent être utiles pour des fins d’application.</w:t>
      </w:r>
      <w:r w:rsidRPr="00B27419">
        <w:rPr>
          <w:lang w:val="fr-CA"/>
        </w:rPr>
        <w:t xml:space="preserve"> </w:t>
      </w:r>
    </w:p>
    <w:p w:rsidR="0039493A" w:rsidRPr="00B27419" w:rsidRDefault="0039493A" w:rsidP="00B27419">
      <w:pPr>
        <w:pStyle w:val="Citation-AltC"/>
        <w:ind w:hanging="1166"/>
        <w:contextualSpacing w:val="0"/>
        <w:rPr>
          <w:lang w:val="fr-CA"/>
        </w:rPr>
      </w:pPr>
      <w:r w:rsidRPr="00B27419">
        <w:rPr>
          <w:lang w:val="fr-CA"/>
        </w:rPr>
        <w:t>(</w:t>
      </w:r>
      <w:proofErr w:type="spellStart"/>
      <w:r w:rsidRPr="00B27419">
        <w:rPr>
          <w:i/>
          <w:lang w:val="fr-CA"/>
        </w:rPr>
        <w:t>Hillsdown</w:t>
      </w:r>
      <w:proofErr w:type="spellEnd"/>
      <w:r w:rsidR="00A241E6" w:rsidRPr="00B27419">
        <w:rPr>
          <w:lang w:val="fr-CA"/>
        </w:rPr>
        <w:t>, p.</w:t>
      </w:r>
      <w:r w:rsidR="00E6271F" w:rsidRPr="00B27419">
        <w:rPr>
          <w:lang w:val="fr-CA"/>
        </w:rPr>
        <w:t xml:space="preserve"> </w:t>
      </w:r>
      <w:r w:rsidR="00A241E6" w:rsidRPr="00B27419">
        <w:rPr>
          <w:lang w:val="fr-CA"/>
        </w:rPr>
        <w:t>78)</w:t>
      </w:r>
    </w:p>
    <w:p w:rsidR="0039493A" w:rsidRPr="00B27419" w:rsidRDefault="0039493A" w:rsidP="00B27419">
      <w:pPr>
        <w:pStyle w:val="ParaNoNdepar-AltN"/>
        <w:rPr>
          <w:rFonts w:cs="Times New Roman"/>
          <w:lang w:val="fr-CA"/>
        </w:rPr>
      </w:pPr>
      <w:r w:rsidRPr="00B27419">
        <w:rPr>
          <w:rFonts w:cs="Times New Roman"/>
          <w:lang w:val="fr-CA"/>
        </w:rPr>
        <w:t>S’il conclut que le fusionnement diminue ou empêche sensiblement ou aura vraisemblablement pour effet de diminuer ou d’empêcher sensiblement la concurrence, le Tribunal est habilité par les al.</w:t>
      </w:r>
      <w:r w:rsidR="00E6271F" w:rsidRPr="00B27419">
        <w:rPr>
          <w:rFonts w:cs="Times New Roman"/>
          <w:lang w:val="fr-CA"/>
        </w:rPr>
        <w:t xml:space="preserve"> </w:t>
      </w:r>
      <w:r w:rsidRPr="00B27419">
        <w:rPr>
          <w:rFonts w:cs="Times New Roman"/>
          <w:lang w:val="fr-CA"/>
        </w:rPr>
        <w:t>92(1)</w:t>
      </w:r>
      <w:r w:rsidRPr="00B27419">
        <w:rPr>
          <w:rFonts w:cs="Times New Roman"/>
          <w:i/>
          <w:lang w:val="fr-CA"/>
        </w:rPr>
        <w:t>e</w:t>
      </w:r>
      <w:r w:rsidRPr="00B27419">
        <w:rPr>
          <w:rFonts w:cs="Times New Roman"/>
          <w:lang w:val="fr-CA"/>
        </w:rPr>
        <w:t xml:space="preserve">) et </w:t>
      </w:r>
      <w:r w:rsidRPr="00B27419">
        <w:rPr>
          <w:rFonts w:cs="Times New Roman"/>
          <w:i/>
          <w:lang w:val="fr-CA"/>
        </w:rPr>
        <w:t>f</w:t>
      </w:r>
      <w:r w:rsidRPr="00B27419">
        <w:rPr>
          <w:rFonts w:cs="Times New Roman"/>
          <w:lang w:val="fr-CA"/>
        </w:rPr>
        <w:t>) à prononcer une ordonnance de réparation. Il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peut interdire aux parties de procéder au fusionnement en tout ou en partie ou encore ordonner que le fusionnement réalisé soit dissous ou que l’on se départisse d’éléments d’actif ou d’actions</w:t>
      </w:r>
      <w:r w:rsidR="00B27419">
        <w:rPr>
          <w:rFonts w:cs="Times New Roman"/>
          <w:lang w:val="fr-CA"/>
        </w:rPr>
        <w:t> »</w:t>
      </w:r>
      <w:r w:rsidRPr="00B27419">
        <w:rPr>
          <w:rFonts w:cs="Times New Roman"/>
          <w:lang w:val="fr-CA"/>
        </w:rPr>
        <w:t xml:space="preserve"> (</w:t>
      </w:r>
      <w:proofErr w:type="spellStart"/>
      <w:r w:rsidRPr="00B27419">
        <w:rPr>
          <w:rFonts w:cs="Times New Roman"/>
          <w:lang w:val="fr-CA"/>
        </w:rPr>
        <w:t>Musgrove</w:t>
      </w:r>
      <w:proofErr w:type="spellEnd"/>
      <w:r w:rsidRPr="00B27419">
        <w:rPr>
          <w:rFonts w:cs="Times New Roman"/>
          <w:lang w:val="fr-CA"/>
        </w:rPr>
        <w:t xml:space="preserve">, </w:t>
      </w:r>
      <w:proofErr w:type="spellStart"/>
      <w:r w:rsidRPr="00B27419">
        <w:rPr>
          <w:rFonts w:cs="Times New Roman"/>
          <w:lang w:val="fr-CA"/>
        </w:rPr>
        <w:t>MacNeil</w:t>
      </w:r>
      <w:proofErr w:type="spellEnd"/>
      <w:r w:rsidRPr="00B27419">
        <w:rPr>
          <w:rFonts w:cs="Times New Roman"/>
          <w:lang w:val="fr-CA"/>
        </w:rPr>
        <w:t xml:space="preserve"> et Osborne, p.</w:t>
      </w:r>
      <w:r w:rsidR="00E6271F" w:rsidRPr="00B27419">
        <w:rPr>
          <w:rFonts w:cs="Times New Roman"/>
          <w:lang w:val="fr-CA"/>
        </w:rPr>
        <w:t xml:space="preserve"> </w:t>
      </w:r>
      <w:r w:rsidRPr="00B27419">
        <w:rPr>
          <w:rFonts w:cs="Times New Roman"/>
          <w:lang w:val="fr-CA"/>
        </w:rPr>
        <w:t xml:space="preserve">185). </w:t>
      </w:r>
    </w:p>
    <w:p w:rsidR="0039493A" w:rsidRPr="00B27419" w:rsidRDefault="0039493A" w:rsidP="00B27419">
      <w:pPr>
        <w:pStyle w:val="ParaNoNdepar-AltN"/>
        <w:rPr>
          <w:rFonts w:cs="Times New Roman"/>
          <w:lang w:val="fr-CA"/>
        </w:rPr>
      </w:pPr>
      <w:r w:rsidRPr="00B27419">
        <w:rPr>
          <w:rFonts w:cs="Times New Roman"/>
          <w:lang w:val="fr-CA"/>
        </w:rPr>
        <w:t>Le pouvoir de prononcer une ordonnance de réparation est assorti d’exceptions (voir les art.</w:t>
      </w:r>
      <w:r w:rsidR="00E6271F" w:rsidRPr="00B27419">
        <w:rPr>
          <w:rFonts w:cs="Times New Roman"/>
          <w:lang w:val="fr-CA"/>
        </w:rPr>
        <w:t xml:space="preserve"> </w:t>
      </w:r>
      <w:r w:rsidRPr="00B27419">
        <w:rPr>
          <w:rFonts w:cs="Times New Roman"/>
          <w:lang w:val="fr-CA"/>
        </w:rPr>
        <w:t>94 à 96 de la Loi). Dans le cadre du présent pourvoi, seul est pertinent l’art.</w:t>
      </w:r>
      <w:r w:rsidR="00E6271F" w:rsidRPr="00B27419">
        <w:rPr>
          <w:rFonts w:cs="Times New Roman"/>
          <w:lang w:val="fr-CA"/>
        </w:rPr>
        <w:t xml:space="preserve"> </w:t>
      </w:r>
      <w:r w:rsidRPr="00B27419">
        <w:rPr>
          <w:rFonts w:cs="Times New Roman"/>
          <w:lang w:val="fr-CA"/>
        </w:rPr>
        <w:t xml:space="preserve">96, qui </w:t>
      </w:r>
      <w:proofErr w:type="gramStart"/>
      <w:r w:rsidRPr="00B27419">
        <w:rPr>
          <w:rFonts w:cs="Times New Roman"/>
          <w:lang w:val="fr-CA"/>
        </w:rPr>
        <w:t>prévoit</w:t>
      </w:r>
      <w:proofErr w:type="gramEnd"/>
      <w:r w:rsidRPr="00B27419">
        <w:rPr>
          <w:rFonts w:cs="Times New Roman"/>
          <w:lang w:val="fr-CA"/>
        </w:rPr>
        <w:t xml:space="preserve"> le moyen de défense que l’on dit fondé sur les gains en efficience. À la conclusion selon laquelle le fusionnement satisfait aux critères énoncés au par.</w:t>
      </w:r>
      <w:r w:rsidR="00E6271F" w:rsidRPr="00B27419">
        <w:rPr>
          <w:rFonts w:cs="Times New Roman"/>
          <w:lang w:val="fr-CA"/>
        </w:rPr>
        <w:t xml:space="preserve"> </w:t>
      </w:r>
      <w:r w:rsidRPr="00B27419">
        <w:rPr>
          <w:rFonts w:cs="Times New Roman"/>
          <w:lang w:val="fr-CA"/>
        </w:rPr>
        <w:t>92(1)</w:t>
      </w:r>
      <w:r w:rsidR="00A241E6" w:rsidRPr="00B27419">
        <w:rPr>
          <w:rFonts w:cs="Times New Roman"/>
          <w:lang w:val="fr-CA"/>
        </w:rPr>
        <w:t>,</w:t>
      </w:r>
      <w:r w:rsidRPr="00B27419">
        <w:rPr>
          <w:rFonts w:cs="Times New Roman"/>
          <w:lang w:val="fr-CA"/>
        </w:rPr>
        <w:t xml:space="preserve"> les parties au fusionnement peuvent opposer l’art.</w:t>
      </w:r>
      <w:r w:rsidR="00E6271F" w:rsidRPr="00B27419">
        <w:rPr>
          <w:rFonts w:cs="Times New Roman"/>
          <w:lang w:val="fr-CA"/>
        </w:rPr>
        <w:t xml:space="preserve"> </w:t>
      </w:r>
      <w:r w:rsidRPr="00B27419">
        <w:rPr>
          <w:rFonts w:cs="Times New Roman"/>
          <w:lang w:val="fr-CA"/>
        </w:rPr>
        <w:t>96 pour faire obstacle à l’ordonnance de réparation prévue à l’art.</w:t>
      </w:r>
      <w:r w:rsidR="00E6271F" w:rsidRPr="00B27419">
        <w:rPr>
          <w:rFonts w:cs="Times New Roman"/>
          <w:lang w:val="fr-CA"/>
        </w:rPr>
        <w:t xml:space="preserve"> </w:t>
      </w:r>
      <w:r w:rsidRPr="00B27419">
        <w:rPr>
          <w:rFonts w:cs="Times New Roman"/>
          <w:lang w:val="fr-CA"/>
        </w:rPr>
        <w:t>92. Ainsi, aux termes de l’art.</w:t>
      </w:r>
      <w:r w:rsidR="00E6271F" w:rsidRPr="00B27419">
        <w:rPr>
          <w:rFonts w:cs="Times New Roman"/>
          <w:lang w:val="fr-CA"/>
        </w:rPr>
        <w:t xml:space="preserve"> </w:t>
      </w:r>
      <w:r w:rsidRPr="00B27419">
        <w:rPr>
          <w:rFonts w:cs="Times New Roman"/>
          <w:lang w:val="fr-CA"/>
        </w:rPr>
        <w:t xml:space="preserve">96, l’ordonnance n’est pas rendue s’il est conclu que le fusionnement entraînera </w:t>
      </w:r>
      <w:r w:rsidRPr="00B27419">
        <w:rPr>
          <w:rFonts w:cs="Times New Roman"/>
          <w:lang w:val="fr-CA"/>
        </w:rPr>
        <w:lastRenderedPageBreak/>
        <w:t xml:space="preserve">vraisemblablement des gains en efficience qui surpasseront et neutraliseront les effets anticoncurrentiels. </w:t>
      </w:r>
    </w:p>
    <w:p w:rsidR="0039493A" w:rsidRPr="00B27419" w:rsidRDefault="0039493A" w:rsidP="00B27419">
      <w:pPr>
        <w:pStyle w:val="Title3LevelTitre3Niveau"/>
        <w:rPr>
          <w:rFonts w:cs="Times New Roman"/>
          <w:lang w:val="fr-CA"/>
        </w:rPr>
      </w:pPr>
      <w:bookmarkStart w:id="44" w:name="_Toc396299535"/>
      <w:bookmarkStart w:id="45" w:name="_Toc397586766"/>
      <w:bookmarkStart w:id="46" w:name="_Toc409593450"/>
      <w:r w:rsidRPr="00B27419">
        <w:rPr>
          <w:rFonts w:cs="Times New Roman"/>
          <w:lang w:val="fr-CA"/>
        </w:rPr>
        <w:t>Le fusionnement aura</w:t>
      </w:r>
      <w:r w:rsidR="00E6271F" w:rsidRPr="00B27419">
        <w:rPr>
          <w:rFonts w:cs="Times New Roman"/>
          <w:lang w:val="fr-CA"/>
        </w:rPr>
        <w:t>-</w:t>
      </w:r>
      <w:r w:rsidRPr="00B27419">
        <w:rPr>
          <w:rFonts w:cs="Times New Roman"/>
          <w:lang w:val="fr-CA"/>
        </w:rPr>
        <w:t>t</w:t>
      </w:r>
      <w:r w:rsidR="00E6271F" w:rsidRPr="00B27419">
        <w:rPr>
          <w:rFonts w:cs="Times New Roman"/>
          <w:lang w:val="fr-CA"/>
        </w:rPr>
        <w:t>-</w:t>
      </w:r>
      <w:r w:rsidRPr="00B27419">
        <w:rPr>
          <w:rFonts w:cs="Times New Roman"/>
          <w:lang w:val="fr-CA"/>
        </w:rPr>
        <w:t xml:space="preserve">il vraisemblablement pour effet de diminuer ou d’empêcher sensiblement </w:t>
      </w:r>
      <w:bookmarkEnd w:id="44"/>
      <w:bookmarkEnd w:id="45"/>
      <w:r w:rsidRPr="00B27419">
        <w:rPr>
          <w:rFonts w:cs="Times New Roman"/>
          <w:lang w:val="fr-CA"/>
        </w:rPr>
        <w:t>la concurrence?</w:t>
      </w:r>
      <w:bookmarkEnd w:id="46"/>
    </w:p>
    <w:p w:rsidR="0039493A" w:rsidRPr="00B27419" w:rsidRDefault="0039493A" w:rsidP="00B27419">
      <w:pPr>
        <w:pStyle w:val="Title5LevelTitre5Niveau"/>
        <w:tabs>
          <w:tab w:val="clear" w:pos="1620"/>
          <w:tab w:val="clear" w:pos="6912"/>
          <w:tab w:val="left" w:pos="540"/>
          <w:tab w:val="num" w:pos="1080"/>
        </w:tabs>
        <w:ind w:hanging="6372"/>
        <w:rPr>
          <w:i/>
          <w:u w:val="none"/>
          <w:lang w:val="fr-CA"/>
        </w:rPr>
      </w:pPr>
      <w:bookmarkStart w:id="47" w:name="_Toc396299536"/>
      <w:bookmarkStart w:id="48" w:name="_Toc397586767"/>
      <w:bookmarkStart w:id="49" w:name="_Toc409593451"/>
      <w:r w:rsidRPr="00B27419">
        <w:rPr>
          <w:i/>
          <w:u w:val="none"/>
          <w:lang w:val="fr-CA"/>
        </w:rPr>
        <w:t>Analyse axée sur l’absence hypothétique</w:t>
      </w:r>
      <w:bookmarkEnd w:id="47"/>
      <w:bookmarkEnd w:id="48"/>
      <w:bookmarkEnd w:id="49"/>
    </w:p>
    <w:p w:rsidR="0039493A" w:rsidRPr="00B27419" w:rsidRDefault="0039493A" w:rsidP="00B27419">
      <w:pPr>
        <w:pStyle w:val="ParaNoNdepar-AltN"/>
        <w:rPr>
          <w:rFonts w:cs="Times New Roman"/>
          <w:lang w:val="fr-CA"/>
        </w:rPr>
      </w:pPr>
      <w:r w:rsidRPr="00B27419">
        <w:rPr>
          <w:rFonts w:cs="Times New Roman"/>
          <w:lang w:val="fr-CA"/>
        </w:rPr>
        <w:t>Appliquant l’arrêt</w:t>
      </w:r>
      <w:r w:rsidRPr="00B27419">
        <w:rPr>
          <w:rFonts w:cs="Times New Roman"/>
          <w:i/>
          <w:lang w:val="fr-CA"/>
        </w:rPr>
        <w:t xml:space="preserve"> Tuyauteries Canada</w:t>
      </w:r>
      <w:r w:rsidRPr="00B27419">
        <w:rPr>
          <w:rFonts w:cs="Times New Roman"/>
          <w:lang w:val="fr-CA"/>
        </w:rPr>
        <w:t xml:space="preserve">, le Tribunal a recouru au critère de l’absence hypothétique pour examiner le fusionnement dans la présente affaire. </w:t>
      </w:r>
    </w:p>
    <w:p w:rsidR="0039493A" w:rsidRPr="00B27419" w:rsidRDefault="0039493A" w:rsidP="00B27419">
      <w:pPr>
        <w:pStyle w:val="ParaNoNdepar-AltN"/>
        <w:rPr>
          <w:rFonts w:cs="Times New Roman"/>
          <w:lang w:val="fr-CA"/>
        </w:rPr>
      </w:pPr>
      <w:r w:rsidRPr="00B27419">
        <w:rPr>
          <w:rFonts w:cs="Times New Roman"/>
          <w:lang w:val="fr-CA"/>
        </w:rPr>
        <w:t xml:space="preserve">L’affaire </w:t>
      </w:r>
      <w:r w:rsidRPr="00B27419">
        <w:rPr>
          <w:rFonts w:cs="Times New Roman"/>
          <w:i/>
          <w:lang w:val="fr-CA"/>
        </w:rPr>
        <w:t>Tuyauteries Canada</w:t>
      </w:r>
      <w:r w:rsidRPr="00B27419">
        <w:rPr>
          <w:rFonts w:cs="Times New Roman"/>
          <w:lang w:val="fr-CA"/>
        </w:rPr>
        <w:t xml:space="preserve"> portait sur un abus de position dominante au sens de l’al.</w:t>
      </w:r>
      <w:r w:rsidR="00E6271F" w:rsidRPr="00B27419">
        <w:rPr>
          <w:rFonts w:cs="Times New Roman"/>
          <w:lang w:val="fr-CA"/>
        </w:rPr>
        <w:t xml:space="preserve"> </w:t>
      </w:r>
      <w:r w:rsidRPr="00B27419">
        <w:rPr>
          <w:rFonts w:cs="Times New Roman"/>
          <w:lang w:val="fr-CA"/>
        </w:rPr>
        <w:t>79(1)</w:t>
      </w:r>
      <w:r w:rsidRPr="00B27419">
        <w:rPr>
          <w:rFonts w:cs="Times New Roman"/>
          <w:i/>
          <w:lang w:val="fr-CA"/>
        </w:rPr>
        <w:t>c</w:t>
      </w:r>
      <w:r w:rsidRPr="00B27419">
        <w:rPr>
          <w:rFonts w:cs="Times New Roman"/>
          <w:lang w:val="fr-CA"/>
        </w:rPr>
        <w:t>) de la Loi. Les termes de l’al.</w:t>
      </w:r>
      <w:r w:rsidR="00E6271F" w:rsidRPr="00B27419">
        <w:rPr>
          <w:rFonts w:cs="Times New Roman"/>
          <w:lang w:val="fr-CA"/>
        </w:rPr>
        <w:t xml:space="preserve"> </w:t>
      </w:r>
      <w:r w:rsidRPr="00B27419">
        <w:rPr>
          <w:rFonts w:cs="Times New Roman"/>
          <w:lang w:val="fr-CA"/>
        </w:rPr>
        <w:t>79(1)</w:t>
      </w:r>
      <w:r w:rsidRPr="00B27419">
        <w:rPr>
          <w:rFonts w:cs="Times New Roman"/>
          <w:i/>
          <w:lang w:val="fr-CA"/>
        </w:rPr>
        <w:t>c</w:t>
      </w:r>
      <w:r w:rsidRPr="00B27419">
        <w:rPr>
          <w:rFonts w:cs="Times New Roman"/>
          <w:lang w:val="fr-CA"/>
        </w:rPr>
        <w:t xml:space="preserve">) — </w:t>
      </w:r>
      <w:r w:rsidR="00B27419">
        <w:rPr>
          <w:rFonts w:cs="Times New Roman"/>
          <w:lang w:val="fr-CA"/>
        </w:rPr>
        <w:t>« </w:t>
      </w:r>
      <w:r w:rsidRPr="00B27419">
        <w:rPr>
          <w:rFonts w:cs="Times New Roman"/>
          <w:lang w:val="fr-CA"/>
        </w:rPr>
        <w:t>la pratique a, a eu ou aura vraisemblablement pour effet d’empêcher ou de diminuer sensiblement la concurrence dans un marché</w:t>
      </w:r>
      <w:r w:rsidR="00B27419">
        <w:rPr>
          <w:rFonts w:cs="Times New Roman"/>
          <w:lang w:val="fr-CA"/>
        </w:rPr>
        <w:t> »</w:t>
      </w:r>
      <w:r w:rsidRPr="00B27419">
        <w:rPr>
          <w:rFonts w:cs="Times New Roman"/>
          <w:lang w:val="fr-CA"/>
        </w:rPr>
        <w:t xml:space="preserve"> — se rapprochent de très près de ceux du par.</w:t>
      </w:r>
      <w:r w:rsidR="00E6271F" w:rsidRPr="00B27419">
        <w:rPr>
          <w:rFonts w:cs="Times New Roman"/>
          <w:lang w:val="fr-CA"/>
        </w:rPr>
        <w:t xml:space="preserve"> </w:t>
      </w:r>
      <w:r w:rsidRPr="00B27419">
        <w:rPr>
          <w:rFonts w:cs="Times New Roman"/>
          <w:lang w:val="fr-CA"/>
        </w:rPr>
        <w:t xml:space="preserve">92(1) — </w:t>
      </w:r>
      <w:r w:rsidR="00B27419">
        <w:rPr>
          <w:rFonts w:cs="Times New Roman"/>
          <w:lang w:val="fr-CA"/>
        </w:rPr>
        <w:t>« </w:t>
      </w:r>
      <w:r w:rsidRPr="00B27419">
        <w:rPr>
          <w:rFonts w:cs="Times New Roman"/>
          <w:lang w:val="fr-CA"/>
        </w:rPr>
        <w:t xml:space="preserve">empêche ou diminue </w:t>
      </w:r>
      <w:r w:rsidR="00701481">
        <w:rPr>
          <w:rFonts w:cs="Times New Roman"/>
          <w:lang w:val="fr-CA"/>
        </w:rPr>
        <w:t>[</w:t>
      </w:r>
      <w:r w:rsidRPr="00B27419">
        <w:rPr>
          <w:rFonts w:cs="Times New Roman"/>
          <w:lang w:val="fr-CA"/>
        </w:rPr>
        <w:t>.</w:t>
      </w:r>
      <w:r w:rsidR="00E6271F" w:rsidRPr="00B27419">
        <w:rPr>
          <w:rFonts w:cs="Times New Roman"/>
          <w:lang w:val="fr-CA"/>
        </w:rPr>
        <w:t xml:space="preserve"> </w:t>
      </w:r>
      <w:r w:rsidRPr="00B27419">
        <w:rPr>
          <w:rFonts w:cs="Times New Roman"/>
          <w:lang w:val="fr-CA"/>
        </w:rPr>
        <w:t>.</w:t>
      </w:r>
      <w:r w:rsidR="00E6271F" w:rsidRPr="00B27419">
        <w:rPr>
          <w:rFonts w:cs="Times New Roman"/>
          <w:lang w:val="fr-CA"/>
        </w:rPr>
        <w:t xml:space="preserve"> </w:t>
      </w:r>
      <w:r w:rsidRPr="00B27419">
        <w:rPr>
          <w:rFonts w:cs="Times New Roman"/>
          <w:lang w:val="fr-CA"/>
        </w:rPr>
        <w:t>.</w:t>
      </w:r>
      <w:r w:rsidR="00701481">
        <w:rPr>
          <w:rFonts w:cs="Times New Roman"/>
          <w:lang w:val="fr-CA"/>
        </w:rPr>
        <w:t>]</w:t>
      </w:r>
      <w:r w:rsidRPr="00B27419">
        <w:rPr>
          <w:rFonts w:cs="Times New Roman"/>
          <w:lang w:val="fr-CA"/>
        </w:rPr>
        <w:t xml:space="preserve"> vraisemblablement</w:t>
      </w:r>
      <w:r w:rsidR="00B27419">
        <w:rPr>
          <w:rFonts w:cs="Times New Roman"/>
          <w:lang w:val="fr-CA"/>
        </w:rPr>
        <w:t> »</w:t>
      </w:r>
      <w:r w:rsidRPr="00B27419">
        <w:rPr>
          <w:rFonts w:cs="Times New Roman"/>
          <w:lang w:val="fr-CA"/>
        </w:rPr>
        <w:t xml:space="preserve"> — et évoquent les mêmes idées. Dans cette affaire, la Cour d’appel fédérale a appliqué le critère de l’absence hypothétique</w:t>
      </w:r>
      <w:r w:rsidR="00E6271F" w:rsidRPr="00B27419">
        <w:rPr>
          <w:rFonts w:cs="Times New Roman"/>
          <w:lang w:val="fr-CA"/>
        </w:rPr>
        <w:t> :</w:t>
      </w:r>
    </w:p>
    <w:p w:rsidR="0039493A" w:rsidRPr="00B27419" w:rsidRDefault="0039493A" w:rsidP="00B27419">
      <w:pPr>
        <w:pStyle w:val="Citation-AltC"/>
        <w:spacing w:after="240"/>
        <w:ind w:hanging="1166"/>
        <w:contextualSpacing w:val="0"/>
        <w:rPr>
          <w:lang w:val="fr-CA"/>
        </w:rPr>
      </w:pPr>
      <w:r w:rsidRPr="00B27419">
        <w:rPr>
          <w:lang w:val="fr-CA"/>
        </w:rPr>
        <w:tab/>
        <w:t>.</w:t>
      </w:r>
      <w:r w:rsidR="00E6271F" w:rsidRPr="00B27419">
        <w:rPr>
          <w:lang w:val="fr-CA"/>
        </w:rPr>
        <w:t xml:space="preserve"> </w:t>
      </w:r>
      <w:r w:rsidRPr="00B27419">
        <w:rPr>
          <w:lang w:val="fr-CA"/>
        </w:rPr>
        <w:t>.</w:t>
      </w:r>
      <w:r w:rsidR="00E6271F" w:rsidRPr="00B27419">
        <w:rPr>
          <w:lang w:val="fr-CA"/>
        </w:rPr>
        <w:t xml:space="preserve"> </w:t>
      </w:r>
      <w:r w:rsidRPr="00B27419">
        <w:rPr>
          <w:lang w:val="fr-CA"/>
        </w:rPr>
        <w:t>.</w:t>
      </w:r>
      <w:r w:rsidRPr="00B27419">
        <w:rPr>
          <w:spacing w:val="-3"/>
          <w:lang w:val="fr-CA"/>
        </w:rPr>
        <w:t xml:space="preserve"> le Tribunal doit comparer le niveau de concurrence sur le marché caractérisé par la présence de la pratique attaquée au niveau qui existerait en l’absence de cette pratique, pour ensuite établir si la concurrence est empêchée ou diminuée </w:t>
      </w:r>
      <w:r w:rsidR="00B27419">
        <w:rPr>
          <w:spacing w:val="-3"/>
          <w:lang w:val="fr-CA"/>
        </w:rPr>
        <w:t>« </w:t>
      </w:r>
      <w:r w:rsidRPr="00B27419">
        <w:rPr>
          <w:spacing w:val="-3"/>
          <w:lang w:val="fr-CA"/>
        </w:rPr>
        <w:t>sensiblement</w:t>
      </w:r>
      <w:r w:rsidR="00B27419">
        <w:rPr>
          <w:spacing w:val="-3"/>
          <w:lang w:val="fr-CA"/>
        </w:rPr>
        <w:t> »</w:t>
      </w:r>
      <w:r w:rsidRPr="00B27419">
        <w:rPr>
          <w:spacing w:val="-3"/>
          <w:lang w:val="fr-CA"/>
        </w:rPr>
        <w:t>, en supposant qu’elle le soit tant soit peu</w:t>
      </w:r>
      <w:r w:rsidR="00A241E6" w:rsidRPr="00B27419">
        <w:rPr>
          <w:lang w:val="fr-CA"/>
        </w:rPr>
        <w:t>.</w:t>
      </w:r>
      <w:r w:rsidR="00E6271F" w:rsidRPr="00B27419">
        <w:rPr>
          <w:lang w:val="fr-CA"/>
        </w:rPr>
        <w:t xml:space="preserve"> </w:t>
      </w:r>
      <w:r w:rsidR="00A241E6" w:rsidRPr="00B27419">
        <w:rPr>
          <w:lang w:val="fr-CA"/>
        </w:rPr>
        <w:t>.</w:t>
      </w:r>
      <w:r w:rsidR="00E6271F" w:rsidRPr="00B27419">
        <w:rPr>
          <w:lang w:val="fr-CA"/>
        </w:rPr>
        <w:t xml:space="preserve"> </w:t>
      </w:r>
      <w:r w:rsidR="00A241E6" w:rsidRPr="00B27419">
        <w:rPr>
          <w:lang w:val="fr-CA"/>
        </w:rPr>
        <w:t>.</w:t>
      </w:r>
    </w:p>
    <w:p w:rsidR="0039493A" w:rsidRPr="00B27419" w:rsidRDefault="0039493A" w:rsidP="00B27419">
      <w:pPr>
        <w:pStyle w:val="Citation-AltC"/>
        <w:ind w:hanging="1166"/>
        <w:contextualSpacing w:val="0"/>
        <w:rPr>
          <w:lang w:val="fr-CA"/>
        </w:rPr>
      </w:pPr>
      <w:r w:rsidRPr="00B27419">
        <w:rPr>
          <w:spacing w:val="-3"/>
          <w:lang w:val="fr-CA"/>
        </w:rPr>
        <w:tab/>
      </w:r>
      <w:r w:rsidR="00A241E6" w:rsidRPr="00B27419">
        <w:rPr>
          <w:spacing w:val="-3"/>
          <w:lang w:val="fr-CA"/>
        </w:rPr>
        <w:tab/>
      </w:r>
      <w:r w:rsidRPr="00B27419">
        <w:rPr>
          <w:spacing w:val="-3"/>
          <w:lang w:val="fr-CA"/>
        </w:rPr>
        <w:t>Or, l’interprétation comparative que je viens de décrire est à mon sens équivalente au critère de l’</w:t>
      </w:r>
      <w:r w:rsidR="00B27419">
        <w:rPr>
          <w:spacing w:val="-3"/>
          <w:lang w:val="fr-CA"/>
        </w:rPr>
        <w:t>« </w:t>
      </w:r>
      <w:r w:rsidRPr="00B27419">
        <w:rPr>
          <w:spacing w:val="-3"/>
          <w:lang w:val="fr-CA"/>
        </w:rPr>
        <w:t>absence hypothétique</w:t>
      </w:r>
      <w:r w:rsidR="00B27419">
        <w:rPr>
          <w:spacing w:val="-3"/>
          <w:lang w:val="fr-CA"/>
        </w:rPr>
        <w:t> »</w:t>
      </w:r>
      <w:r w:rsidRPr="00B27419">
        <w:rPr>
          <w:spacing w:val="-3"/>
          <w:lang w:val="fr-CA"/>
        </w:rPr>
        <w:t xml:space="preserve"> proposé par l’appelante.</w:t>
      </w:r>
      <w:r w:rsidRPr="00B27419">
        <w:rPr>
          <w:lang w:val="fr-CA"/>
        </w:rPr>
        <w:t xml:space="preserve">  [par.</w:t>
      </w:r>
      <w:r w:rsidR="00E6271F" w:rsidRPr="00B27419">
        <w:rPr>
          <w:lang w:val="fr-CA"/>
        </w:rPr>
        <w:t xml:space="preserve"> </w:t>
      </w:r>
      <w:r w:rsidRPr="00B27419">
        <w:rPr>
          <w:lang w:val="fr-CA"/>
        </w:rPr>
        <w:t>37</w:t>
      </w:r>
      <w:r w:rsidR="00E6271F" w:rsidRPr="00B27419">
        <w:rPr>
          <w:lang w:val="fr-CA"/>
        </w:rPr>
        <w:t>-</w:t>
      </w:r>
      <w:r w:rsidRPr="00B27419">
        <w:rPr>
          <w:lang w:val="fr-CA"/>
        </w:rPr>
        <w:t>38]</w:t>
      </w:r>
    </w:p>
    <w:p w:rsidR="0039493A" w:rsidRPr="00B27419" w:rsidRDefault="0039493A" w:rsidP="00B27419">
      <w:pPr>
        <w:pStyle w:val="ParaNoNdepar-AltN"/>
        <w:rPr>
          <w:rFonts w:cs="Times New Roman"/>
          <w:lang w:val="fr-CA"/>
        </w:rPr>
      </w:pPr>
      <w:r w:rsidRPr="00B27419">
        <w:rPr>
          <w:rFonts w:cs="Times New Roman"/>
          <w:lang w:val="fr-CA"/>
        </w:rPr>
        <w:lastRenderedPageBreak/>
        <w:t>Le paragraphe</w:t>
      </w:r>
      <w:r w:rsidR="00E6271F" w:rsidRPr="00B27419">
        <w:rPr>
          <w:rFonts w:cs="Times New Roman"/>
          <w:lang w:val="fr-CA"/>
        </w:rPr>
        <w:t xml:space="preserve"> </w:t>
      </w:r>
      <w:r w:rsidRPr="00B27419">
        <w:rPr>
          <w:rFonts w:cs="Times New Roman"/>
          <w:lang w:val="fr-CA"/>
        </w:rPr>
        <w:t>92(1) appelle une analyse comparative similaire. De par sa nature, l’examen du fusionnement emporte l’examen d’un scénario conjectural</w:t>
      </w:r>
      <w:r w:rsidR="00E6271F" w:rsidRPr="00B27419">
        <w:rPr>
          <w:rFonts w:cs="Times New Roman"/>
          <w:lang w:val="fr-CA"/>
        </w:rPr>
        <w:t> :</w:t>
      </w:r>
      <w:r w:rsidRPr="00B27419">
        <w:rPr>
          <w:rFonts w:cs="Times New Roman"/>
          <w:lang w:val="fr-CA"/>
        </w:rPr>
        <w:t xml:space="preserve">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w:t>
      </w:r>
      <w:r w:rsidR="00E6271F" w:rsidRPr="00B27419">
        <w:rPr>
          <w:rFonts w:cs="Times New Roman"/>
          <w:lang w:val="fr-CA"/>
        </w:rPr>
        <w:t xml:space="preserve"> </w:t>
      </w:r>
      <w:r w:rsidRPr="00B27419">
        <w:rPr>
          <w:rFonts w:cs="Times New Roman"/>
          <w:lang w:val="fr-CA"/>
        </w:rPr>
        <w:t>.</w:t>
      </w:r>
      <w:r w:rsidR="00E6271F" w:rsidRPr="00B27419">
        <w:rPr>
          <w:rFonts w:cs="Times New Roman"/>
          <w:lang w:val="fr-CA"/>
        </w:rPr>
        <w:t xml:space="preserve"> </w:t>
      </w:r>
      <w:r w:rsidRPr="00B27419">
        <w:rPr>
          <w:rFonts w:cs="Times New Roman"/>
          <w:lang w:val="fr-CA"/>
        </w:rPr>
        <w:t>. le fusionnement permettra</w:t>
      </w:r>
      <w:r w:rsidR="00E6271F" w:rsidRPr="00B27419">
        <w:rPr>
          <w:rFonts w:cs="Times New Roman"/>
          <w:lang w:val="fr-CA"/>
        </w:rPr>
        <w:t>-</w:t>
      </w:r>
      <w:r w:rsidRPr="00B27419">
        <w:rPr>
          <w:rFonts w:cs="Times New Roman"/>
          <w:lang w:val="fr-CA"/>
        </w:rPr>
        <w:t>t</w:t>
      </w:r>
      <w:r w:rsidR="00E6271F" w:rsidRPr="00B27419">
        <w:rPr>
          <w:rFonts w:cs="Times New Roman"/>
          <w:lang w:val="fr-CA"/>
        </w:rPr>
        <w:t>-</w:t>
      </w:r>
      <w:r w:rsidRPr="00B27419">
        <w:rPr>
          <w:rFonts w:cs="Times New Roman"/>
          <w:lang w:val="fr-CA"/>
        </w:rPr>
        <w:t>il à l’entité fusionnée d’empêcher ou de diminuer sensiblement la concurrence par rapport à l’état de fait antérieur au fusionnement et qui sert de repère</w:t>
      </w:r>
      <w:r w:rsidR="00B27419">
        <w:rPr>
          <w:rFonts w:cs="Times New Roman"/>
          <w:lang w:val="fr-CA"/>
        </w:rPr>
        <w:t> »</w:t>
      </w:r>
      <w:r w:rsidRPr="00B27419">
        <w:rPr>
          <w:rFonts w:cs="Times New Roman"/>
          <w:lang w:val="fr-CA"/>
        </w:rPr>
        <w:t xml:space="preserve"> (</w:t>
      </w:r>
      <w:proofErr w:type="spellStart"/>
      <w:r w:rsidRPr="00B27419">
        <w:rPr>
          <w:rFonts w:cs="Times New Roman"/>
          <w:lang w:val="fr-CA"/>
        </w:rPr>
        <w:t>Facey</w:t>
      </w:r>
      <w:proofErr w:type="spellEnd"/>
      <w:r w:rsidRPr="00B27419">
        <w:rPr>
          <w:rFonts w:cs="Times New Roman"/>
          <w:lang w:val="fr-CA"/>
        </w:rPr>
        <w:t xml:space="preserve"> et Brown, p.</w:t>
      </w:r>
      <w:r w:rsidR="00E6271F" w:rsidRPr="00B27419">
        <w:rPr>
          <w:rFonts w:cs="Times New Roman"/>
          <w:lang w:val="fr-CA"/>
        </w:rPr>
        <w:t xml:space="preserve"> </w:t>
      </w:r>
      <w:r w:rsidRPr="00B27419">
        <w:rPr>
          <w:rFonts w:cs="Times New Roman"/>
          <w:lang w:val="fr-CA"/>
        </w:rPr>
        <w:t>205). Le critère de l’absence hypothétique est le cadre analytique qu’il convient d’appliquer sous le régime de l’art.</w:t>
      </w:r>
      <w:r w:rsidR="00E6271F" w:rsidRPr="00B27419">
        <w:rPr>
          <w:rFonts w:cs="Times New Roman"/>
          <w:lang w:val="fr-CA"/>
        </w:rPr>
        <w:t xml:space="preserve"> </w:t>
      </w:r>
      <w:r w:rsidRPr="00B27419">
        <w:rPr>
          <w:rFonts w:cs="Times New Roman"/>
          <w:lang w:val="fr-CA"/>
        </w:rPr>
        <w:t xml:space="preserve">92. </w:t>
      </w:r>
    </w:p>
    <w:p w:rsidR="0039493A" w:rsidRPr="00B27419" w:rsidRDefault="0039493A" w:rsidP="00B27419">
      <w:pPr>
        <w:pStyle w:val="Title5LevelTitre5Niveau"/>
        <w:tabs>
          <w:tab w:val="clear" w:pos="1620"/>
          <w:tab w:val="clear" w:pos="6912"/>
          <w:tab w:val="left" w:pos="1080"/>
        </w:tabs>
        <w:ind w:left="1080" w:hanging="540"/>
        <w:rPr>
          <w:rFonts w:cs="Times New Roman"/>
          <w:i/>
          <w:u w:val="none"/>
          <w:lang w:val="fr-CA"/>
        </w:rPr>
      </w:pPr>
      <w:bookmarkStart w:id="50" w:name="_Toc396299537"/>
      <w:bookmarkStart w:id="51" w:name="_Toc397586768"/>
      <w:bookmarkStart w:id="52" w:name="_Toc409593452"/>
      <w:r w:rsidRPr="00B27419">
        <w:rPr>
          <w:rFonts w:cs="Times New Roman"/>
          <w:i/>
          <w:u w:val="none"/>
          <w:lang w:val="fr-CA"/>
        </w:rPr>
        <w:t>L’analyse axée sur l’absence hypothétique qu’appelle le par</w:t>
      </w:r>
      <w:r w:rsidR="00EC3259" w:rsidRPr="00B27419">
        <w:rPr>
          <w:rFonts w:cs="Times New Roman"/>
          <w:i/>
          <w:u w:val="none"/>
          <w:lang w:val="fr-CA"/>
        </w:rPr>
        <w:t>.</w:t>
      </w:r>
      <w:r w:rsidR="00E6271F" w:rsidRPr="00B27419">
        <w:rPr>
          <w:rFonts w:cs="Times New Roman"/>
          <w:i/>
          <w:u w:val="none"/>
          <w:lang w:val="fr-CA"/>
        </w:rPr>
        <w:t xml:space="preserve"> </w:t>
      </w:r>
      <w:r w:rsidRPr="00B27419">
        <w:rPr>
          <w:rFonts w:cs="Times New Roman"/>
          <w:i/>
          <w:u w:val="none"/>
          <w:lang w:val="fr-CA"/>
        </w:rPr>
        <w:t>92(1) est prospective</w:t>
      </w:r>
      <w:bookmarkEnd w:id="50"/>
      <w:bookmarkEnd w:id="51"/>
      <w:bookmarkEnd w:id="52"/>
    </w:p>
    <w:p w:rsidR="0039493A" w:rsidRPr="00B27419" w:rsidRDefault="0039493A" w:rsidP="00B27419">
      <w:pPr>
        <w:pStyle w:val="ParaNoNdepar-AltN"/>
        <w:rPr>
          <w:rFonts w:cs="Times New Roman"/>
          <w:lang w:val="fr-CA"/>
        </w:rPr>
      </w:pPr>
      <w:r w:rsidRPr="00B27419">
        <w:rPr>
          <w:rFonts w:cs="Times New Roman"/>
          <w:lang w:val="fr-CA"/>
        </w:rPr>
        <w:t>Le libellé de la Loi et la nature de l’analyse axée sur l’absence hypothétique à laquelle il faut procéder dans le cadre de l’examen du fusionnement sous le régime de l’art.</w:t>
      </w:r>
      <w:r w:rsidR="00E6271F" w:rsidRPr="00B27419">
        <w:rPr>
          <w:rFonts w:cs="Times New Roman"/>
          <w:lang w:val="fr-CA"/>
        </w:rPr>
        <w:t xml:space="preserve"> </w:t>
      </w:r>
      <w:r w:rsidRPr="00B27419">
        <w:rPr>
          <w:rFonts w:cs="Times New Roman"/>
          <w:lang w:val="fr-CA"/>
        </w:rPr>
        <w:t>92 commandent une démarche prospective.</w:t>
      </w:r>
    </w:p>
    <w:p w:rsidR="0039493A" w:rsidRPr="00B27419" w:rsidRDefault="0039493A" w:rsidP="00B27419">
      <w:pPr>
        <w:pStyle w:val="ParaNoNdepar-AltN"/>
        <w:rPr>
          <w:rFonts w:cs="Times New Roman"/>
          <w:lang w:val="fr-CA"/>
        </w:rPr>
      </w:pPr>
      <w:r w:rsidRPr="00B27419">
        <w:rPr>
          <w:rFonts w:cs="Times New Roman"/>
          <w:lang w:val="fr-CA"/>
        </w:rPr>
        <w:t xml:space="preserve">Le Tribunal est appelé à déterminer si </w:t>
      </w:r>
      <w:r w:rsidR="00B27419">
        <w:rPr>
          <w:rFonts w:cs="Times New Roman"/>
          <w:lang w:val="fr-CA"/>
        </w:rPr>
        <w:t>« </w:t>
      </w:r>
      <w:r w:rsidRPr="00B27419">
        <w:rPr>
          <w:rFonts w:cs="Times New Roman"/>
          <w:lang w:val="fr-CA"/>
        </w:rPr>
        <w:t xml:space="preserve">un fusionnement réalisé ou proposé empêche ou diminue sensiblement la concurrence, </w:t>
      </w:r>
      <w:r w:rsidRPr="00B27419">
        <w:rPr>
          <w:rFonts w:cs="Times New Roman"/>
          <w:u w:val="single"/>
          <w:lang w:val="fr-CA"/>
        </w:rPr>
        <w:t>ou aura vraisemblablement cet effet</w:t>
      </w:r>
      <w:r w:rsidR="00B27419">
        <w:rPr>
          <w:rFonts w:cs="Times New Roman"/>
          <w:lang w:val="fr-CA"/>
        </w:rPr>
        <w:t> »</w:t>
      </w:r>
      <w:r w:rsidRPr="00B27419">
        <w:rPr>
          <w:rFonts w:cs="Times New Roman"/>
          <w:lang w:val="fr-CA"/>
        </w:rPr>
        <w:t xml:space="preserve">. Si le temps présent des verbes </w:t>
      </w:r>
      <w:r w:rsidR="00B27419">
        <w:rPr>
          <w:rFonts w:cs="Times New Roman"/>
          <w:lang w:val="fr-CA"/>
        </w:rPr>
        <w:t>« </w:t>
      </w:r>
      <w:r w:rsidRPr="00B27419">
        <w:rPr>
          <w:rFonts w:cs="Times New Roman"/>
          <w:lang w:val="fr-CA"/>
        </w:rPr>
        <w:t>empêche ou diminue</w:t>
      </w:r>
      <w:r w:rsidR="00B27419">
        <w:rPr>
          <w:rFonts w:cs="Times New Roman"/>
          <w:lang w:val="fr-CA"/>
        </w:rPr>
        <w:t> »</w:t>
      </w:r>
      <w:r w:rsidRPr="00B27419">
        <w:rPr>
          <w:rFonts w:cs="Times New Roman"/>
          <w:lang w:val="fr-CA"/>
        </w:rPr>
        <w:t xml:space="preserve"> renvoie aux circonstances actuelles, l’emploi du futur dans </w:t>
      </w:r>
      <w:r w:rsidR="00B27419">
        <w:rPr>
          <w:rFonts w:cs="Times New Roman"/>
          <w:lang w:val="fr-CA"/>
        </w:rPr>
        <w:t>« </w:t>
      </w:r>
      <w:r w:rsidRPr="00B27419">
        <w:rPr>
          <w:rFonts w:cs="Times New Roman"/>
          <w:lang w:val="fr-CA"/>
        </w:rPr>
        <w:t>aura vraisemblablement</w:t>
      </w:r>
      <w:r w:rsidR="00B27419">
        <w:rPr>
          <w:rFonts w:cs="Times New Roman"/>
          <w:lang w:val="fr-CA"/>
        </w:rPr>
        <w:t> »</w:t>
      </w:r>
      <w:r w:rsidRPr="00B27419">
        <w:rPr>
          <w:rFonts w:cs="Times New Roman"/>
          <w:lang w:val="fr-CA"/>
        </w:rPr>
        <w:t xml:space="preserve"> annonce un acte qui se produira à l’avenir. Le libellé de la version anglaise de la disposition a le même effet. </w:t>
      </w:r>
      <w:r w:rsidRPr="00D04AE4">
        <w:rPr>
          <w:rFonts w:cs="Times New Roman"/>
          <w:lang w:val="en-US"/>
        </w:rPr>
        <w:t xml:space="preserve">Elle </w:t>
      </w:r>
      <w:proofErr w:type="spellStart"/>
      <w:r w:rsidRPr="00D04AE4">
        <w:rPr>
          <w:rFonts w:cs="Times New Roman"/>
          <w:lang w:val="en-US"/>
        </w:rPr>
        <w:t>est</w:t>
      </w:r>
      <w:proofErr w:type="spellEnd"/>
      <w:r w:rsidRPr="00D04AE4">
        <w:rPr>
          <w:rFonts w:cs="Times New Roman"/>
          <w:lang w:val="en-US"/>
        </w:rPr>
        <w:t xml:space="preserve"> </w:t>
      </w:r>
      <w:proofErr w:type="spellStart"/>
      <w:r w:rsidRPr="00D04AE4">
        <w:rPr>
          <w:rFonts w:cs="Times New Roman"/>
          <w:lang w:val="en-US"/>
        </w:rPr>
        <w:t>ainsi</w:t>
      </w:r>
      <w:proofErr w:type="spellEnd"/>
      <w:r w:rsidRPr="00D04AE4">
        <w:rPr>
          <w:rFonts w:cs="Times New Roman"/>
          <w:lang w:val="en-US"/>
        </w:rPr>
        <w:t xml:space="preserve"> </w:t>
      </w:r>
      <w:proofErr w:type="spellStart"/>
      <w:proofErr w:type="gramStart"/>
      <w:r w:rsidRPr="00D04AE4">
        <w:rPr>
          <w:rFonts w:cs="Times New Roman"/>
          <w:lang w:val="en-US"/>
        </w:rPr>
        <w:t>rédigée</w:t>
      </w:r>
      <w:proofErr w:type="spellEnd"/>
      <w:r w:rsidR="00E6271F" w:rsidRPr="00D04AE4">
        <w:rPr>
          <w:rFonts w:cs="Times New Roman"/>
          <w:lang w:val="en-US"/>
        </w:rPr>
        <w:t> :</w:t>
      </w:r>
      <w:proofErr w:type="gramEnd"/>
      <w:r w:rsidRPr="00D04AE4">
        <w:rPr>
          <w:rFonts w:cs="Times New Roman"/>
          <w:lang w:val="en-US"/>
        </w:rPr>
        <w:t xml:space="preserve"> </w:t>
      </w:r>
      <w:r w:rsidR="00B27419" w:rsidRPr="00D04AE4">
        <w:rPr>
          <w:rFonts w:cs="Times New Roman"/>
          <w:lang w:val="en-US"/>
        </w:rPr>
        <w:t>« </w:t>
      </w:r>
      <w:r w:rsidR="00EC3259" w:rsidRPr="00D04AE4">
        <w:rPr>
          <w:rFonts w:cs="Times New Roman"/>
          <w:lang w:val="en-US"/>
        </w:rPr>
        <w:t xml:space="preserve">. . . </w:t>
      </w:r>
      <w:r w:rsidRPr="00D04AE4">
        <w:rPr>
          <w:rFonts w:cs="Times New Roman"/>
          <w:i/>
          <w:lang w:val="en-US"/>
        </w:rPr>
        <w:t xml:space="preserve">a merger or proposed merger prevents or lessens, </w:t>
      </w:r>
      <w:r w:rsidRPr="00D04AE4">
        <w:rPr>
          <w:rFonts w:cs="Times New Roman"/>
          <w:i/>
          <w:u w:val="single"/>
          <w:lang w:val="en-US"/>
        </w:rPr>
        <w:t>or is likely to prevent or lessen</w:t>
      </w:r>
      <w:r w:rsidRPr="00D04AE4">
        <w:rPr>
          <w:rFonts w:cs="Times New Roman"/>
          <w:i/>
          <w:lang w:val="en-US"/>
        </w:rPr>
        <w:t>, competition substantially</w:t>
      </w:r>
      <w:r w:rsidR="00B27419" w:rsidRPr="00D04AE4">
        <w:rPr>
          <w:rFonts w:cs="Times New Roman"/>
          <w:lang w:val="en-US"/>
        </w:rPr>
        <w:t> »</w:t>
      </w:r>
      <w:r w:rsidRPr="00D04AE4">
        <w:rPr>
          <w:rFonts w:cs="Times New Roman"/>
          <w:lang w:val="en-US"/>
        </w:rPr>
        <w:t xml:space="preserve">. </w:t>
      </w:r>
      <w:r w:rsidRPr="00B27419">
        <w:rPr>
          <w:rFonts w:cs="Times New Roman"/>
          <w:lang w:val="fr-CA"/>
        </w:rPr>
        <w:t xml:space="preserve">L’expression </w:t>
      </w:r>
      <w:r w:rsidR="00B27419">
        <w:rPr>
          <w:rFonts w:cs="Times New Roman"/>
          <w:lang w:val="fr-CA"/>
        </w:rPr>
        <w:t>« </w:t>
      </w:r>
      <w:proofErr w:type="spellStart"/>
      <w:r w:rsidRPr="00B27419">
        <w:rPr>
          <w:rFonts w:cs="Times New Roman"/>
          <w:i/>
          <w:lang w:val="fr-CA"/>
        </w:rPr>
        <w:t>is</w:t>
      </w:r>
      <w:proofErr w:type="spellEnd"/>
      <w:r w:rsidRPr="00B27419">
        <w:rPr>
          <w:rFonts w:cs="Times New Roman"/>
          <w:i/>
          <w:lang w:val="fr-CA"/>
        </w:rPr>
        <w:t xml:space="preserve"> </w:t>
      </w:r>
      <w:proofErr w:type="spellStart"/>
      <w:r w:rsidRPr="00B27419">
        <w:rPr>
          <w:rFonts w:cs="Times New Roman"/>
          <w:i/>
          <w:lang w:val="fr-CA"/>
        </w:rPr>
        <w:t>likely</w:t>
      </w:r>
      <w:proofErr w:type="spellEnd"/>
      <w:r w:rsidRPr="00B27419">
        <w:rPr>
          <w:rFonts w:cs="Times New Roman"/>
          <w:i/>
          <w:lang w:val="fr-CA"/>
        </w:rPr>
        <w:t xml:space="preserve"> to </w:t>
      </w:r>
      <w:proofErr w:type="spellStart"/>
      <w:r w:rsidRPr="00B27419">
        <w:rPr>
          <w:rFonts w:cs="Times New Roman"/>
          <w:i/>
          <w:lang w:val="fr-CA"/>
        </w:rPr>
        <w:t>prevent</w:t>
      </w:r>
      <w:proofErr w:type="spellEnd"/>
      <w:r w:rsidRPr="00B27419">
        <w:rPr>
          <w:rFonts w:cs="Times New Roman"/>
          <w:i/>
          <w:lang w:val="fr-CA"/>
        </w:rPr>
        <w:t xml:space="preserve"> or </w:t>
      </w:r>
      <w:proofErr w:type="spellStart"/>
      <w:r w:rsidRPr="00B27419">
        <w:rPr>
          <w:rFonts w:cs="Times New Roman"/>
          <w:i/>
          <w:lang w:val="fr-CA"/>
        </w:rPr>
        <w:t>lessen</w:t>
      </w:r>
      <w:proofErr w:type="spellEnd"/>
      <w:r w:rsidR="00B27419">
        <w:rPr>
          <w:rFonts w:cs="Times New Roman"/>
          <w:lang w:val="fr-CA"/>
        </w:rPr>
        <w:t> »</w:t>
      </w:r>
      <w:r w:rsidRPr="00B27419">
        <w:rPr>
          <w:rFonts w:cs="Times New Roman"/>
          <w:lang w:val="fr-CA"/>
        </w:rPr>
        <w:t xml:space="preserve"> dans son sens ordinaire indique quant à elle des actes futurs. Le texte anglais et le texte français permettent tous deux une analyse prospective. Cette proposition ne suscite aucune </w:t>
      </w:r>
      <w:r w:rsidRPr="00B27419">
        <w:rPr>
          <w:rFonts w:cs="Times New Roman"/>
          <w:lang w:val="fr-CA"/>
        </w:rPr>
        <w:lastRenderedPageBreak/>
        <w:t xml:space="preserve">controverse. Les deux parties au présent pourvoi reconnaissent qu’une analyse prospective est de mise.  </w:t>
      </w:r>
    </w:p>
    <w:p w:rsidR="0039493A" w:rsidRPr="00B27419" w:rsidRDefault="0039493A" w:rsidP="00B27419">
      <w:pPr>
        <w:pStyle w:val="Title5LevelTitre5Niveau"/>
        <w:tabs>
          <w:tab w:val="clear" w:pos="1620"/>
          <w:tab w:val="clear" w:pos="6912"/>
          <w:tab w:val="left" w:pos="1080"/>
        </w:tabs>
        <w:ind w:left="1080" w:hanging="540"/>
        <w:rPr>
          <w:rFonts w:cs="Times New Roman"/>
          <w:i/>
          <w:u w:val="none"/>
          <w:lang w:val="fr-CA"/>
        </w:rPr>
      </w:pPr>
      <w:bookmarkStart w:id="53" w:name="_Toc396299538"/>
      <w:bookmarkStart w:id="54" w:name="_Toc397586769"/>
      <w:bookmarkStart w:id="55" w:name="_Toc409593453"/>
      <w:r w:rsidRPr="00B27419">
        <w:rPr>
          <w:rFonts w:cs="Times New Roman"/>
          <w:i/>
          <w:u w:val="none"/>
          <w:lang w:val="fr-CA"/>
        </w:rPr>
        <w:t xml:space="preserve">Similarités et différences entre les </w:t>
      </w:r>
      <w:r w:rsidRPr="00B27419">
        <w:rPr>
          <w:i/>
          <w:u w:val="none"/>
          <w:lang w:val="fr-CA"/>
        </w:rPr>
        <w:t>volets</w:t>
      </w:r>
      <w:r w:rsidRPr="00B27419">
        <w:rPr>
          <w:rFonts w:cs="Times New Roman"/>
          <w:i/>
          <w:u w:val="none"/>
          <w:lang w:val="fr-CA"/>
        </w:rPr>
        <w:t xml:space="preserve"> relatifs à la </w:t>
      </w:r>
      <w:r w:rsidR="00B27419">
        <w:rPr>
          <w:rFonts w:cs="Times New Roman"/>
          <w:i/>
          <w:u w:val="none"/>
          <w:lang w:val="fr-CA"/>
        </w:rPr>
        <w:t>« </w:t>
      </w:r>
      <w:r w:rsidRPr="00B27419">
        <w:rPr>
          <w:rFonts w:cs="Times New Roman"/>
          <w:i/>
          <w:u w:val="none"/>
          <w:lang w:val="fr-CA"/>
        </w:rPr>
        <w:t>diminution</w:t>
      </w:r>
      <w:r w:rsidR="00B27419">
        <w:rPr>
          <w:rFonts w:cs="Times New Roman"/>
          <w:i/>
          <w:u w:val="none"/>
          <w:lang w:val="fr-CA"/>
        </w:rPr>
        <w:t> »</w:t>
      </w:r>
      <w:r w:rsidRPr="00B27419">
        <w:rPr>
          <w:rFonts w:cs="Times New Roman"/>
          <w:i/>
          <w:u w:val="none"/>
          <w:lang w:val="fr-CA"/>
        </w:rPr>
        <w:t xml:space="preserve"> et à l’</w:t>
      </w:r>
      <w:r w:rsidR="00B27419">
        <w:rPr>
          <w:rFonts w:cs="Times New Roman"/>
          <w:i/>
          <w:u w:val="none"/>
          <w:lang w:val="fr-CA"/>
        </w:rPr>
        <w:t>« </w:t>
      </w:r>
      <w:r w:rsidRPr="00B27419">
        <w:rPr>
          <w:rFonts w:cs="Times New Roman"/>
          <w:i/>
          <w:u w:val="none"/>
          <w:lang w:val="fr-CA"/>
        </w:rPr>
        <w:t>empêchement</w:t>
      </w:r>
      <w:r w:rsidR="00B27419">
        <w:rPr>
          <w:rFonts w:cs="Times New Roman"/>
          <w:i/>
          <w:u w:val="none"/>
          <w:lang w:val="fr-CA"/>
        </w:rPr>
        <w:t> »</w:t>
      </w:r>
      <w:r w:rsidRPr="00B27419">
        <w:rPr>
          <w:rFonts w:cs="Times New Roman"/>
          <w:i/>
          <w:u w:val="none"/>
          <w:lang w:val="fr-CA"/>
        </w:rPr>
        <w:t xml:space="preserve"> de </w:t>
      </w:r>
      <w:r w:rsidRPr="00B27419">
        <w:rPr>
          <w:i/>
          <w:u w:val="none"/>
          <w:lang w:val="fr-CA"/>
        </w:rPr>
        <w:t>l’art</w:t>
      </w:r>
      <w:r w:rsidR="00EC3259" w:rsidRPr="00B27419">
        <w:rPr>
          <w:i/>
          <w:u w:val="none"/>
          <w:lang w:val="fr-CA"/>
        </w:rPr>
        <w:t>.</w:t>
      </w:r>
      <w:r w:rsidR="00E6271F" w:rsidRPr="00B27419">
        <w:rPr>
          <w:rFonts w:cs="Times New Roman"/>
          <w:i/>
          <w:u w:val="none"/>
          <w:lang w:val="fr-CA"/>
        </w:rPr>
        <w:t xml:space="preserve"> </w:t>
      </w:r>
      <w:r w:rsidRPr="00B27419">
        <w:rPr>
          <w:rFonts w:cs="Times New Roman"/>
          <w:i/>
          <w:u w:val="none"/>
          <w:lang w:val="fr-CA"/>
        </w:rPr>
        <w:t>92</w:t>
      </w:r>
      <w:bookmarkEnd w:id="53"/>
      <w:bookmarkEnd w:id="54"/>
      <w:bookmarkEnd w:id="55"/>
    </w:p>
    <w:p w:rsidR="0039493A" w:rsidRPr="00B27419" w:rsidRDefault="0039493A" w:rsidP="00B27419">
      <w:pPr>
        <w:pStyle w:val="ParaNoNdepar-AltN"/>
        <w:rPr>
          <w:rFonts w:cs="Times New Roman"/>
          <w:lang w:val="fr-CA"/>
        </w:rPr>
      </w:pPr>
      <w:r w:rsidRPr="00B27419">
        <w:rPr>
          <w:rFonts w:cs="Times New Roman"/>
          <w:lang w:val="fr-CA"/>
        </w:rPr>
        <w:t>Dans les motifs concordants qu’il a rédigés pour le Tribunal, le juge en chef</w:t>
      </w:r>
      <w:r w:rsidR="00E6271F" w:rsidRPr="00B27419">
        <w:rPr>
          <w:rFonts w:cs="Times New Roman"/>
          <w:lang w:val="fr-CA"/>
        </w:rPr>
        <w:t xml:space="preserve"> </w:t>
      </w:r>
      <w:r w:rsidRPr="00B27419">
        <w:rPr>
          <w:rFonts w:cs="Times New Roman"/>
          <w:lang w:val="fr-CA"/>
        </w:rPr>
        <w:t xml:space="preserve">Crampton a conclu que les points sur lesquels porte l’examen d’un fusionnement sont </w:t>
      </w:r>
      <w:r w:rsidR="00B27419">
        <w:rPr>
          <w:rFonts w:cs="Times New Roman"/>
          <w:lang w:val="fr-CA"/>
        </w:rPr>
        <w:t>« </w:t>
      </w:r>
      <w:r w:rsidRPr="00B27419">
        <w:rPr>
          <w:rFonts w:cs="Times New Roman"/>
          <w:lang w:val="fr-CA"/>
        </w:rPr>
        <w:t>fondamentalement les mêmes</w:t>
      </w:r>
      <w:r w:rsidR="00B27419">
        <w:rPr>
          <w:rFonts w:cs="Times New Roman"/>
          <w:lang w:val="fr-CA"/>
        </w:rPr>
        <w:t> »</w:t>
      </w:r>
      <w:r w:rsidRPr="00B27419">
        <w:rPr>
          <w:rFonts w:cs="Times New Roman"/>
          <w:lang w:val="fr-CA"/>
        </w:rPr>
        <w:t xml:space="preserve">, qu’il s’agisse du volet relatif à la </w:t>
      </w:r>
      <w:r w:rsidR="00B27419">
        <w:rPr>
          <w:rFonts w:cs="Times New Roman"/>
          <w:lang w:val="fr-CA"/>
        </w:rPr>
        <w:t>« </w:t>
      </w:r>
      <w:r w:rsidRPr="00B27419">
        <w:rPr>
          <w:rFonts w:cs="Times New Roman"/>
          <w:lang w:val="fr-CA"/>
        </w:rPr>
        <w:t>diminution</w:t>
      </w:r>
      <w:r w:rsidR="00B27419">
        <w:rPr>
          <w:rFonts w:cs="Times New Roman"/>
          <w:lang w:val="fr-CA"/>
        </w:rPr>
        <w:t> »</w:t>
      </w:r>
      <w:r w:rsidRPr="00B27419">
        <w:rPr>
          <w:rFonts w:cs="Times New Roman"/>
          <w:lang w:val="fr-CA"/>
        </w:rPr>
        <w:t xml:space="preserve"> ou de celui relatif à l’</w:t>
      </w:r>
      <w:r w:rsidR="00B27419">
        <w:rPr>
          <w:rFonts w:cs="Times New Roman"/>
          <w:lang w:val="fr-CA"/>
        </w:rPr>
        <w:t>« </w:t>
      </w:r>
      <w:r w:rsidRPr="00B27419">
        <w:rPr>
          <w:rFonts w:cs="Times New Roman"/>
          <w:lang w:val="fr-CA"/>
        </w:rPr>
        <w:t>empêchement</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367). Quel que soit le volet, il s’agit de déterminer </w:t>
      </w:r>
      <w:r w:rsidR="00B27419">
        <w:rPr>
          <w:rFonts w:cs="Times New Roman"/>
          <w:lang w:val="fr-CA"/>
        </w:rPr>
        <w:t>« </w:t>
      </w:r>
      <w:r w:rsidRPr="00B27419">
        <w:rPr>
          <w:rFonts w:cs="Times New Roman"/>
          <w:sz w:val="23"/>
          <w:szCs w:val="23"/>
          <w:lang w:val="fr-CA"/>
        </w:rPr>
        <w:t>si l’entité fusionnée sera vraisemblablement en mesure d’exercer une puissance commerciale beaucoup plus importante qu’en l’absence de fusionnement</w:t>
      </w:r>
      <w:r w:rsidR="00B27419">
        <w:rPr>
          <w:rFonts w:cs="Times New Roman"/>
          <w:lang w:val="fr-CA"/>
        </w:rPr>
        <w:t> »</w:t>
      </w:r>
      <w:r w:rsidRPr="00B27419">
        <w:rPr>
          <w:rFonts w:cs="Times New Roman"/>
          <w:lang w:val="fr-CA"/>
        </w:rPr>
        <w:t xml:space="preserve"> (</w:t>
      </w:r>
      <w:r w:rsidRPr="00B27419">
        <w:rPr>
          <w:rFonts w:cs="Times New Roman"/>
          <w:i/>
          <w:lang w:val="fr-CA"/>
        </w:rPr>
        <w:t>ibid</w:t>
      </w:r>
      <w:r w:rsidRPr="00B27419">
        <w:rPr>
          <w:rFonts w:cs="Times New Roman"/>
          <w:lang w:val="fr-CA"/>
        </w:rPr>
        <w:t xml:space="preserve">.). Dans un cas comme dans l’autre, il est question de diminuer ou d’empêcher </w:t>
      </w:r>
      <w:r w:rsidR="00B27419">
        <w:rPr>
          <w:rFonts w:cs="Times New Roman"/>
          <w:lang w:val="fr-CA"/>
        </w:rPr>
        <w:t>« </w:t>
      </w:r>
      <w:r w:rsidRPr="00B27419">
        <w:rPr>
          <w:rFonts w:cs="Times New Roman"/>
          <w:lang w:val="fr-CA"/>
        </w:rPr>
        <w:t>sensiblement</w:t>
      </w:r>
      <w:r w:rsidR="00B27419">
        <w:rPr>
          <w:rFonts w:cs="Times New Roman"/>
          <w:lang w:val="fr-CA"/>
        </w:rPr>
        <w:t> »</w:t>
      </w:r>
      <w:r w:rsidRPr="00B27419">
        <w:rPr>
          <w:rFonts w:cs="Times New Roman"/>
          <w:lang w:val="fr-CA"/>
        </w:rPr>
        <w:t xml:space="preserve"> (</w:t>
      </w:r>
      <w:r w:rsidRPr="00B27419">
        <w:rPr>
          <w:rFonts w:cs="Times New Roman"/>
          <w:i/>
          <w:lang w:val="fr-CA"/>
        </w:rPr>
        <w:t>Canada (Commissaire de la concurrence) c. Supérieur Propane Inc.</w:t>
      </w:r>
      <w:r w:rsidRPr="00B27419">
        <w:rPr>
          <w:rFonts w:cs="Times New Roman"/>
          <w:lang w:val="fr-CA"/>
        </w:rPr>
        <w:t xml:space="preserve">, </w:t>
      </w:r>
      <w:r w:rsidR="00FF1FEF">
        <w:rPr>
          <w:rFonts w:cs="Times New Roman"/>
          <w:lang w:val="fr-CA"/>
        </w:rPr>
        <w:t xml:space="preserve">2000 </w:t>
      </w:r>
      <w:proofErr w:type="spellStart"/>
      <w:r w:rsidR="00FF1FEF">
        <w:rPr>
          <w:rFonts w:cs="Times New Roman"/>
          <w:lang w:val="fr-CA"/>
        </w:rPr>
        <w:t>Trib</w:t>
      </w:r>
      <w:proofErr w:type="spellEnd"/>
      <w:r w:rsidR="00FF1FEF">
        <w:rPr>
          <w:rFonts w:cs="Times New Roman"/>
          <w:lang w:val="fr-CA"/>
        </w:rPr>
        <w:t xml:space="preserve">. </w:t>
      </w:r>
      <w:proofErr w:type="spellStart"/>
      <w:r w:rsidR="00FF1FEF">
        <w:rPr>
          <w:rFonts w:cs="Times New Roman"/>
          <w:lang w:val="fr-CA"/>
        </w:rPr>
        <w:t>conc</w:t>
      </w:r>
      <w:proofErr w:type="spellEnd"/>
      <w:r w:rsidR="00FF1FEF">
        <w:rPr>
          <w:rFonts w:cs="Times New Roman"/>
          <w:lang w:val="fr-CA"/>
        </w:rPr>
        <w:t xml:space="preserve">. 15, </w:t>
      </w:r>
      <w:r w:rsidRPr="00B27419">
        <w:rPr>
          <w:rFonts w:cs="Times New Roman"/>
          <w:lang w:val="fr-CA"/>
        </w:rPr>
        <w:t>[2000] D.T.C.C. n</w:t>
      </w:r>
      <w:r w:rsidRPr="00B27419">
        <w:rPr>
          <w:rFonts w:cs="Times New Roman"/>
          <w:vertAlign w:val="superscript"/>
          <w:lang w:val="fr-CA"/>
        </w:rPr>
        <w:t>o</w:t>
      </w:r>
      <w:r w:rsidR="00E6271F" w:rsidRPr="00B27419">
        <w:rPr>
          <w:rFonts w:cs="Times New Roman"/>
          <w:lang w:val="fr-CA"/>
        </w:rPr>
        <w:t xml:space="preserve"> </w:t>
      </w:r>
      <w:r w:rsidRPr="00B27419">
        <w:rPr>
          <w:rFonts w:cs="Times New Roman"/>
          <w:lang w:val="fr-CA"/>
        </w:rPr>
        <w:t>15 (QL)</w:t>
      </w:r>
      <w:r w:rsidR="00E6271F" w:rsidRPr="00B27419">
        <w:rPr>
          <w:rFonts w:cs="Times New Roman"/>
          <w:lang w:val="fr-CA"/>
        </w:rPr>
        <w:t xml:space="preserve"> </w:t>
      </w:r>
      <w:r w:rsidRPr="00B27419">
        <w:rPr>
          <w:rFonts w:cs="Times New Roman"/>
          <w:lang w:val="fr-CA"/>
        </w:rPr>
        <w:t>(</w:t>
      </w:r>
      <w:r w:rsidR="00B27419">
        <w:rPr>
          <w:rFonts w:cs="Times New Roman"/>
          <w:lang w:val="fr-CA"/>
        </w:rPr>
        <w:t>«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w:t>
      </w:r>
      <w:r w:rsidR="00B27419">
        <w:rPr>
          <w:rFonts w:cs="Times New Roman"/>
          <w:i/>
          <w:lang w:val="fr-CA"/>
        </w:rPr>
        <w:t> </w:t>
      </w:r>
      <w:r w:rsidR="00B27419" w:rsidRPr="00B27419">
        <w:rPr>
          <w:rFonts w:cs="Times New Roman"/>
          <w:lang w:val="fr-CA"/>
        </w:rPr>
        <w:t>»</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48). En outre, l’analyse, peu importe qu’elle cherche à déterminer s’il y aura </w:t>
      </w:r>
      <w:r w:rsidR="00B27419">
        <w:rPr>
          <w:rFonts w:cs="Times New Roman"/>
          <w:lang w:val="fr-CA"/>
        </w:rPr>
        <w:t>« </w:t>
      </w:r>
      <w:r w:rsidRPr="00B27419">
        <w:rPr>
          <w:rFonts w:cs="Times New Roman"/>
          <w:lang w:val="fr-CA"/>
        </w:rPr>
        <w:t>diminution</w:t>
      </w:r>
      <w:r w:rsidR="00B27419">
        <w:rPr>
          <w:rFonts w:cs="Times New Roman"/>
          <w:lang w:val="fr-CA"/>
        </w:rPr>
        <w:t> »</w:t>
      </w:r>
      <w:r w:rsidRPr="00B27419">
        <w:rPr>
          <w:rFonts w:cs="Times New Roman"/>
          <w:lang w:val="fr-CA"/>
        </w:rPr>
        <w:t xml:space="preserve"> ou </w:t>
      </w:r>
      <w:r w:rsidR="00B27419">
        <w:rPr>
          <w:rFonts w:cs="Times New Roman"/>
          <w:lang w:val="fr-CA"/>
        </w:rPr>
        <w:t>« </w:t>
      </w:r>
      <w:r w:rsidRPr="00B27419">
        <w:rPr>
          <w:rFonts w:cs="Times New Roman"/>
          <w:lang w:val="fr-CA"/>
        </w:rPr>
        <w:t>empêchement</w:t>
      </w:r>
      <w:r w:rsidR="00B27419">
        <w:rPr>
          <w:rFonts w:cs="Times New Roman"/>
          <w:lang w:val="fr-CA"/>
        </w:rPr>
        <w:t> »</w:t>
      </w:r>
      <w:r w:rsidRPr="00B27419">
        <w:rPr>
          <w:rFonts w:cs="Times New Roman"/>
          <w:lang w:val="fr-CA"/>
        </w:rPr>
        <w:t xml:space="preserve">, est prospective. </w:t>
      </w:r>
    </w:p>
    <w:p w:rsidR="0039493A" w:rsidRPr="00B27419" w:rsidRDefault="0039493A" w:rsidP="00B27419">
      <w:pPr>
        <w:pStyle w:val="ParaNoNdepar-AltN"/>
        <w:rPr>
          <w:rFonts w:cs="Times New Roman"/>
          <w:lang w:val="fr-CA"/>
        </w:rPr>
      </w:pPr>
      <w:r w:rsidRPr="00B27419">
        <w:rPr>
          <w:rFonts w:cs="Times New Roman"/>
          <w:lang w:val="fr-CA"/>
        </w:rPr>
        <w:t>Les deux volets diffèrent cependant à certains égards. Pour déterminer s’il y a diminution sensible de la concurrence, il faut demander si l’entité fusionnée accroîtra sa puissance commerciale. Dans le cas de l’empêchement, la question est celle de savoir si l’entité fusionnée conservera sa puissance commerciale. Pour reprendre les propos du juge en chef Crampton dans ses motifs concordants</w:t>
      </w:r>
      <w:r w:rsidR="00E6271F" w:rsidRPr="00B27419">
        <w:rPr>
          <w:rFonts w:cs="Times New Roman"/>
          <w:lang w:val="fr-CA"/>
        </w:rPr>
        <w:t> :</w:t>
      </w:r>
    </w:p>
    <w:p w:rsidR="0039493A" w:rsidRPr="00B27419" w:rsidRDefault="0039493A" w:rsidP="00B27419">
      <w:pPr>
        <w:pStyle w:val="Citation-AltC"/>
        <w:tabs>
          <w:tab w:val="left" w:pos="1560"/>
        </w:tabs>
        <w:spacing w:after="240"/>
        <w:ind w:hanging="1166"/>
        <w:contextualSpacing w:val="0"/>
        <w:rPr>
          <w:lang w:val="fr-CA"/>
        </w:rPr>
      </w:pPr>
      <w:r w:rsidRPr="00B27419">
        <w:rPr>
          <w:sz w:val="23"/>
          <w:szCs w:val="23"/>
          <w:lang w:val="fr-CA"/>
        </w:rPr>
        <w:lastRenderedPageBreak/>
        <w:tab/>
      </w:r>
      <w:r w:rsidRPr="00B27419">
        <w:rPr>
          <w:sz w:val="23"/>
          <w:szCs w:val="23"/>
          <w:lang w:val="fr-CA"/>
        </w:rPr>
        <w:tab/>
        <w:t xml:space="preserve">Pour déterminer si le fusionnement aura vraisemblablement pour effet de </w:t>
      </w:r>
      <w:r w:rsidRPr="00B27419">
        <w:rPr>
          <w:i/>
          <w:iCs/>
          <w:sz w:val="23"/>
          <w:szCs w:val="23"/>
          <w:lang w:val="fr-CA"/>
        </w:rPr>
        <w:t xml:space="preserve">diminuer </w:t>
      </w:r>
      <w:r w:rsidRPr="00B27419">
        <w:rPr>
          <w:sz w:val="23"/>
          <w:szCs w:val="23"/>
          <w:lang w:val="fr-CA"/>
        </w:rPr>
        <w:t>la concurrence, le Tribunal s’en tiendra à déterminer si le fusionnement aura vraisemblablement pour effet de rendre plus facile l’exercice d’une nouvelle ou d’une plus grande puissance commerciale par l’entité issue du fusionnement qu’elle ait agi seule ou en interdépendance avec d’autres entreprises rivales. Pour déterminer si le fusionnement aura vraisemblablement pour effet d’</w:t>
      </w:r>
      <w:r w:rsidR="00B27419">
        <w:rPr>
          <w:sz w:val="23"/>
          <w:szCs w:val="23"/>
          <w:lang w:val="fr-CA"/>
        </w:rPr>
        <w:t>« </w:t>
      </w:r>
      <w:r w:rsidRPr="00B27419">
        <w:rPr>
          <w:i/>
          <w:iCs/>
          <w:sz w:val="23"/>
          <w:szCs w:val="23"/>
          <w:lang w:val="fr-CA"/>
        </w:rPr>
        <w:t>empêcher</w:t>
      </w:r>
      <w:r w:rsidR="00B27419">
        <w:rPr>
          <w:i/>
          <w:iCs/>
          <w:sz w:val="23"/>
          <w:szCs w:val="23"/>
          <w:lang w:val="fr-CA"/>
        </w:rPr>
        <w:t> </w:t>
      </w:r>
      <w:r w:rsidR="00B27419" w:rsidRPr="00701481">
        <w:rPr>
          <w:iCs/>
          <w:sz w:val="23"/>
          <w:szCs w:val="23"/>
          <w:lang w:val="fr-CA"/>
        </w:rPr>
        <w:t>»</w:t>
      </w:r>
      <w:r w:rsidRPr="00B27419">
        <w:rPr>
          <w:sz w:val="23"/>
          <w:szCs w:val="23"/>
          <w:lang w:val="fr-CA"/>
        </w:rPr>
        <w:t xml:space="preserve"> la concurrence, le Tribunal cherchera à savoir si le fusionnement aura vraisemblablement pour effet de préserver la puissance commerciale de l’une des parties fusionnantes ou des deux, en empêchant l’érosion de cette puissance commerciale qui se serait vraisemblablement produite en l’absence de fusionnement</w:t>
      </w:r>
      <w:r w:rsidR="00B06A51" w:rsidRPr="00B27419">
        <w:rPr>
          <w:sz w:val="23"/>
          <w:szCs w:val="23"/>
          <w:lang w:val="fr-CA"/>
        </w:rPr>
        <w:t xml:space="preserve">. </w:t>
      </w:r>
      <w:r w:rsidRPr="00B27419">
        <w:rPr>
          <w:lang w:val="fr-CA"/>
        </w:rPr>
        <w:t xml:space="preserve"> [En italique dans l’original.]</w:t>
      </w:r>
    </w:p>
    <w:p w:rsidR="0039493A" w:rsidRPr="00B27419" w:rsidRDefault="0039493A" w:rsidP="00B27419">
      <w:pPr>
        <w:pStyle w:val="Citation-AltC"/>
        <w:ind w:hanging="1166"/>
        <w:contextualSpacing w:val="0"/>
        <w:rPr>
          <w:lang w:val="fr-CA"/>
        </w:rPr>
      </w:pPr>
      <w:r w:rsidRPr="00B27419">
        <w:rPr>
          <w:lang w:val="fr-CA"/>
        </w:rPr>
        <w:t>(D</w:t>
      </w:r>
      <w:r w:rsidR="00B06A51" w:rsidRPr="00B27419">
        <w:rPr>
          <w:lang w:val="fr-CA"/>
        </w:rPr>
        <w:t>écision du Tribunal, par.</w:t>
      </w:r>
      <w:r w:rsidR="00E6271F" w:rsidRPr="00B27419">
        <w:rPr>
          <w:lang w:val="fr-CA"/>
        </w:rPr>
        <w:t xml:space="preserve"> </w:t>
      </w:r>
      <w:r w:rsidR="00B06A51" w:rsidRPr="00B27419">
        <w:rPr>
          <w:lang w:val="fr-CA"/>
        </w:rPr>
        <w:t>368)</w:t>
      </w:r>
    </w:p>
    <w:p w:rsidR="0039493A" w:rsidRPr="00B27419" w:rsidRDefault="0039493A" w:rsidP="00B27419">
      <w:pPr>
        <w:pStyle w:val="Title2LevelTitre2Niveau"/>
        <w:rPr>
          <w:rFonts w:cs="Times New Roman"/>
          <w:lang w:val="fr-CA"/>
        </w:rPr>
      </w:pPr>
      <w:bookmarkStart w:id="56" w:name="_Toc396299539"/>
      <w:bookmarkStart w:id="57" w:name="_Toc397586770"/>
      <w:bookmarkStart w:id="58" w:name="_Toc409593454"/>
      <w:r w:rsidRPr="00B27419">
        <w:rPr>
          <w:rFonts w:cs="Times New Roman"/>
          <w:lang w:val="fr-CA"/>
        </w:rPr>
        <w:t>Volet relatif à l’</w:t>
      </w:r>
      <w:r w:rsidR="00B27419">
        <w:rPr>
          <w:rFonts w:cs="Times New Roman"/>
          <w:lang w:val="fr-CA"/>
        </w:rPr>
        <w:t>« </w:t>
      </w:r>
      <w:r w:rsidRPr="00B27419">
        <w:rPr>
          <w:rFonts w:cs="Times New Roman"/>
          <w:lang w:val="fr-CA"/>
        </w:rPr>
        <w:t>empêchement</w:t>
      </w:r>
      <w:r w:rsidR="00B27419">
        <w:rPr>
          <w:rFonts w:cs="Times New Roman"/>
          <w:lang w:val="fr-CA"/>
        </w:rPr>
        <w:t> »</w:t>
      </w:r>
      <w:r w:rsidRPr="00B27419">
        <w:rPr>
          <w:rFonts w:cs="Times New Roman"/>
          <w:lang w:val="fr-CA"/>
        </w:rPr>
        <w:t xml:space="preserve"> du par</w:t>
      </w:r>
      <w:r w:rsidR="00B06A51" w:rsidRPr="00B27419">
        <w:rPr>
          <w:rFonts w:cs="Times New Roman"/>
          <w:lang w:val="fr-CA"/>
        </w:rPr>
        <w:t>.</w:t>
      </w:r>
      <w:r w:rsidR="00E6271F" w:rsidRPr="00B27419">
        <w:rPr>
          <w:rFonts w:cs="Times New Roman"/>
          <w:lang w:val="fr-CA"/>
        </w:rPr>
        <w:t xml:space="preserve"> </w:t>
      </w:r>
      <w:r w:rsidRPr="00B27419">
        <w:rPr>
          <w:rFonts w:cs="Times New Roman"/>
          <w:lang w:val="fr-CA"/>
        </w:rPr>
        <w:t>92(1)</w:t>
      </w:r>
      <w:bookmarkEnd w:id="56"/>
      <w:bookmarkEnd w:id="57"/>
      <w:bookmarkEnd w:id="58"/>
    </w:p>
    <w:p w:rsidR="0039493A" w:rsidRPr="00B27419" w:rsidRDefault="0039493A" w:rsidP="00B27419">
      <w:pPr>
        <w:pStyle w:val="ParaNoNdepar-AltN"/>
        <w:rPr>
          <w:rFonts w:cs="Times New Roman"/>
          <w:lang w:val="fr-CA"/>
        </w:rPr>
      </w:pPr>
      <w:r w:rsidRPr="00B27419">
        <w:rPr>
          <w:rFonts w:cs="Times New Roman"/>
          <w:lang w:val="fr-CA"/>
        </w:rPr>
        <w:t>Bien que la Cour ait eu l’occasion de se pencher sur le volet du par.</w:t>
      </w:r>
      <w:r w:rsidR="00E6271F" w:rsidRPr="00B27419">
        <w:rPr>
          <w:rFonts w:cs="Times New Roman"/>
          <w:lang w:val="fr-CA"/>
        </w:rPr>
        <w:t xml:space="preserve"> </w:t>
      </w:r>
      <w:r w:rsidRPr="00B27419">
        <w:rPr>
          <w:rFonts w:cs="Times New Roman"/>
          <w:lang w:val="fr-CA"/>
        </w:rPr>
        <w:t xml:space="preserve">92(1) relatif à la </w:t>
      </w:r>
      <w:r w:rsidR="00B27419">
        <w:rPr>
          <w:rFonts w:cs="Times New Roman"/>
          <w:lang w:val="fr-CA"/>
        </w:rPr>
        <w:t>« </w:t>
      </w:r>
      <w:r w:rsidRPr="00B27419">
        <w:rPr>
          <w:rFonts w:cs="Times New Roman"/>
          <w:lang w:val="fr-CA"/>
        </w:rPr>
        <w:t>diminution</w:t>
      </w:r>
      <w:r w:rsidR="00B27419">
        <w:rPr>
          <w:rFonts w:cs="Times New Roman"/>
          <w:lang w:val="fr-CA"/>
        </w:rPr>
        <w:t> »</w:t>
      </w:r>
      <w:r w:rsidRPr="00B27419">
        <w:rPr>
          <w:rFonts w:cs="Times New Roman"/>
          <w:lang w:val="fr-CA"/>
        </w:rPr>
        <w:t xml:space="preserve"> dans l’affaire </w:t>
      </w:r>
      <w:r w:rsidRPr="00B27419">
        <w:rPr>
          <w:rFonts w:cs="Times New Roman"/>
          <w:i/>
          <w:lang w:val="fr-CA"/>
        </w:rPr>
        <w:t xml:space="preserve">Canada (Directeur des enquêtes et recherches) c. </w:t>
      </w:r>
      <w:proofErr w:type="spellStart"/>
      <w:r w:rsidRPr="00B27419">
        <w:rPr>
          <w:rFonts w:cs="Times New Roman"/>
          <w:i/>
          <w:lang w:val="fr-CA"/>
        </w:rPr>
        <w:t>Southam</w:t>
      </w:r>
      <w:proofErr w:type="spellEnd"/>
      <w:r w:rsidRPr="00B27419">
        <w:rPr>
          <w:rFonts w:cs="Times New Roman"/>
          <w:i/>
          <w:lang w:val="fr-CA"/>
        </w:rPr>
        <w:t xml:space="preserve"> Inc.</w:t>
      </w:r>
      <w:r w:rsidRPr="00B27419">
        <w:rPr>
          <w:rFonts w:cs="Times New Roman"/>
          <w:lang w:val="fr-CA"/>
        </w:rPr>
        <w:t>, [1997] 1 R.C.S. 748, c’est la première fois qu’elle examine le volet relatif à l’</w:t>
      </w:r>
      <w:r w:rsidR="00B27419">
        <w:rPr>
          <w:rFonts w:cs="Times New Roman"/>
          <w:lang w:val="fr-CA"/>
        </w:rPr>
        <w:t>« </w:t>
      </w:r>
      <w:r w:rsidRPr="00B27419">
        <w:rPr>
          <w:rFonts w:cs="Times New Roman"/>
          <w:lang w:val="fr-CA"/>
        </w:rPr>
        <w:t>empêchement</w:t>
      </w:r>
      <w:r w:rsidR="00B27419">
        <w:rPr>
          <w:rFonts w:cs="Times New Roman"/>
          <w:lang w:val="fr-CA"/>
        </w:rPr>
        <w:t> »</w:t>
      </w:r>
      <w:r w:rsidRPr="00B27419">
        <w:rPr>
          <w:rFonts w:cs="Times New Roman"/>
          <w:lang w:val="fr-CA"/>
        </w:rPr>
        <w:t xml:space="preserve">. </w:t>
      </w:r>
    </w:p>
    <w:p w:rsidR="0039493A" w:rsidRPr="00B27419" w:rsidRDefault="0039493A" w:rsidP="00B27419">
      <w:pPr>
        <w:pStyle w:val="ParaNoNdepar-AltN"/>
        <w:rPr>
          <w:rFonts w:cs="Times New Roman"/>
          <w:lang w:val="fr-CA"/>
        </w:rPr>
      </w:pPr>
      <w:proofErr w:type="spellStart"/>
      <w:r w:rsidRPr="00B27419">
        <w:rPr>
          <w:rFonts w:cs="Times New Roman"/>
          <w:lang w:val="fr-CA"/>
        </w:rPr>
        <w:t>Tervita</w:t>
      </w:r>
      <w:proofErr w:type="spellEnd"/>
      <w:r w:rsidRPr="00B27419">
        <w:rPr>
          <w:rFonts w:cs="Times New Roman"/>
          <w:lang w:val="fr-CA"/>
        </w:rPr>
        <w:t xml:space="preserve"> demande que le critère juridique applicable au volet relatif à l’</w:t>
      </w:r>
      <w:r w:rsidR="00B27419">
        <w:rPr>
          <w:rFonts w:cs="Times New Roman"/>
          <w:lang w:val="fr-CA"/>
        </w:rPr>
        <w:t>« </w:t>
      </w:r>
      <w:r w:rsidRPr="00B27419">
        <w:rPr>
          <w:rFonts w:cs="Times New Roman"/>
          <w:lang w:val="fr-CA"/>
        </w:rPr>
        <w:t>empêchement</w:t>
      </w:r>
      <w:r w:rsidR="00B27419">
        <w:rPr>
          <w:rFonts w:cs="Times New Roman"/>
          <w:lang w:val="fr-CA"/>
        </w:rPr>
        <w:t> »</w:t>
      </w:r>
      <w:r w:rsidRPr="00B27419">
        <w:rPr>
          <w:rFonts w:cs="Times New Roman"/>
          <w:lang w:val="fr-CA"/>
        </w:rPr>
        <w:t xml:space="preserve"> soit clarifié. À son avis, le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Tribunal a appliqué erronément le critère juridique servant à déterminer s’il y a empêchement sensible de la concurrence</w:t>
      </w:r>
      <w:r w:rsidR="00B27419">
        <w:rPr>
          <w:rFonts w:cs="Times New Roman"/>
          <w:lang w:val="fr-CA"/>
        </w:rPr>
        <w:t> »</w:t>
      </w:r>
      <w:r w:rsidRPr="00B27419">
        <w:rPr>
          <w:rFonts w:cs="Times New Roman"/>
          <w:lang w:val="fr-CA"/>
        </w:rPr>
        <w:t xml:space="preserve"> (</w:t>
      </w:r>
      <w:proofErr w:type="gramStart"/>
      <w:r w:rsidRPr="00B27419">
        <w:rPr>
          <w:rFonts w:cs="Times New Roman"/>
          <w:lang w:val="fr-CA"/>
        </w:rPr>
        <w:t>m.a.,</w:t>
      </w:r>
      <w:proofErr w:type="gramEnd"/>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59). Elle soutient en outre que </w:t>
      </w:r>
      <w:r w:rsidR="00B27419">
        <w:rPr>
          <w:rFonts w:cs="Times New Roman"/>
          <w:lang w:val="fr-CA"/>
        </w:rPr>
        <w:t>« </w:t>
      </w:r>
      <w:r w:rsidRPr="00B27419">
        <w:rPr>
          <w:rFonts w:cs="Times New Roman"/>
          <w:lang w:val="fr-CA"/>
        </w:rPr>
        <w:t>la Loi oblige le Tribunal à faire porter son analyse sur le fusionnement en question</w:t>
      </w:r>
      <w:r w:rsidR="00B27419">
        <w:rPr>
          <w:rFonts w:cs="Times New Roman"/>
          <w:lang w:val="fr-CA"/>
        </w:rPr>
        <w:t> »</w:t>
      </w:r>
      <w:r w:rsidRPr="00B27419">
        <w:rPr>
          <w:rFonts w:cs="Times New Roman"/>
          <w:lang w:val="fr-CA"/>
        </w:rPr>
        <w:t xml:space="preserve"> (</w:t>
      </w:r>
      <w:r w:rsidRPr="00B27419">
        <w:rPr>
          <w:rFonts w:cs="Times New Roman"/>
          <w:i/>
          <w:lang w:val="fr-CA"/>
        </w:rPr>
        <w:t>ibid</w:t>
      </w:r>
      <w:r w:rsidRPr="00B27419">
        <w:rPr>
          <w:rFonts w:cs="Times New Roman"/>
          <w:lang w:val="fr-CA"/>
        </w:rPr>
        <w:t>.). Si elle reconnaît que l’art.</w:t>
      </w:r>
      <w:r w:rsidR="00E6271F" w:rsidRPr="00B27419">
        <w:rPr>
          <w:rFonts w:cs="Times New Roman"/>
          <w:lang w:val="fr-CA"/>
        </w:rPr>
        <w:t xml:space="preserve"> </w:t>
      </w:r>
      <w:r w:rsidRPr="00B27419">
        <w:rPr>
          <w:rFonts w:cs="Times New Roman"/>
          <w:lang w:val="fr-CA"/>
        </w:rPr>
        <w:t xml:space="preserve">92 commande une analyse prospective, elle soutient cependant que ce qui doit être projeté dans l’avenir, ce sont les parties au fusionnement dans leur état actuel ― y compris leurs éléments d’actif, leurs plans et leurs activités à la date du fusionnement. </w:t>
      </w:r>
      <w:proofErr w:type="spellStart"/>
      <w:r w:rsidRPr="00B27419">
        <w:rPr>
          <w:rFonts w:cs="Times New Roman"/>
          <w:lang w:val="fr-CA"/>
        </w:rPr>
        <w:t>Tervita</w:t>
      </w:r>
      <w:proofErr w:type="spellEnd"/>
      <w:r w:rsidRPr="00B27419">
        <w:rPr>
          <w:rFonts w:cs="Times New Roman"/>
          <w:lang w:val="fr-CA"/>
        </w:rPr>
        <w:t xml:space="preserve"> fait valoir que la Loi ne permet pas au Tribunal de faire des </w:t>
      </w:r>
      <w:r w:rsidRPr="00B27419">
        <w:rPr>
          <w:rFonts w:cs="Times New Roman"/>
          <w:lang w:val="fr-CA"/>
        </w:rPr>
        <w:lastRenderedPageBreak/>
        <w:t>conjectures comme, soutient</w:t>
      </w:r>
      <w:r w:rsidR="00E6271F" w:rsidRPr="00B27419">
        <w:rPr>
          <w:rFonts w:cs="Times New Roman"/>
          <w:lang w:val="fr-CA"/>
        </w:rPr>
        <w:t>-</w:t>
      </w:r>
      <w:r w:rsidRPr="00B27419">
        <w:rPr>
          <w:rFonts w:cs="Times New Roman"/>
          <w:lang w:val="fr-CA"/>
        </w:rPr>
        <w:t xml:space="preserve">elle, il l’a fait dans la présente affaire, et que son </w:t>
      </w:r>
      <w:r w:rsidR="00B27419">
        <w:rPr>
          <w:rFonts w:cs="Times New Roman"/>
          <w:lang w:val="fr-CA"/>
        </w:rPr>
        <w:t>« </w:t>
      </w:r>
      <w:r w:rsidRPr="00B27419">
        <w:rPr>
          <w:rFonts w:cs="Times New Roman"/>
          <w:lang w:val="fr-CA"/>
        </w:rPr>
        <w:t>erreur fondamentale</w:t>
      </w:r>
      <w:r w:rsidR="00B27419">
        <w:rPr>
          <w:rFonts w:cs="Times New Roman"/>
          <w:lang w:val="fr-CA"/>
        </w:rPr>
        <w:t> »</w:t>
      </w:r>
      <w:r w:rsidRPr="00B27419">
        <w:rPr>
          <w:rFonts w:cs="Times New Roman"/>
          <w:lang w:val="fr-CA"/>
        </w:rPr>
        <w:t xml:space="preserve"> tient au fait qu’il s’est concentré </w:t>
      </w:r>
      <w:r w:rsidR="00B27419">
        <w:rPr>
          <w:rFonts w:cs="Times New Roman"/>
          <w:lang w:val="fr-CA"/>
        </w:rPr>
        <w:t>« </w:t>
      </w:r>
      <w:r w:rsidRPr="00B27419">
        <w:rPr>
          <w:rFonts w:cs="Times New Roman"/>
          <w:lang w:val="fr-CA"/>
        </w:rPr>
        <w:t xml:space="preserve">non pas sur le fusionnement entre </w:t>
      </w:r>
      <w:proofErr w:type="spellStart"/>
      <w:r w:rsidRPr="00B27419">
        <w:rPr>
          <w:rFonts w:cs="Times New Roman"/>
          <w:lang w:val="fr-CA"/>
        </w:rPr>
        <w:t>Tervita</w:t>
      </w:r>
      <w:proofErr w:type="spellEnd"/>
      <w:r w:rsidRPr="00B27419">
        <w:rPr>
          <w:rFonts w:cs="Times New Roman"/>
          <w:lang w:val="fr-CA"/>
        </w:rPr>
        <w:t xml:space="preserve"> et [les vendeurs], mais sur la manière dont la concurrence pourrait s’être développée au fil des ans</w:t>
      </w:r>
      <w:r w:rsidR="00B27419">
        <w:rPr>
          <w:rFonts w:cs="Times New Roman"/>
          <w:lang w:val="fr-CA"/>
        </w:rPr>
        <w:t> »</w:t>
      </w:r>
      <w:r w:rsidRPr="00B27419">
        <w:rPr>
          <w:rFonts w:cs="Times New Roman"/>
          <w:lang w:val="fr-CA"/>
        </w:rPr>
        <w:t xml:space="preserve"> (m.a., par.</w:t>
      </w:r>
      <w:r w:rsidR="00E6271F" w:rsidRPr="00B27419">
        <w:rPr>
          <w:rFonts w:cs="Times New Roman"/>
          <w:lang w:val="fr-CA"/>
        </w:rPr>
        <w:t xml:space="preserve"> </w:t>
      </w:r>
      <w:r w:rsidRPr="00B27419">
        <w:rPr>
          <w:rFonts w:cs="Times New Roman"/>
          <w:lang w:val="fr-CA"/>
        </w:rPr>
        <w:t>71).</w:t>
      </w:r>
    </w:p>
    <w:p w:rsidR="0039493A" w:rsidRPr="00B27419" w:rsidRDefault="0039493A" w:rsidP="00B27419">
      <w:pPr>
        <w:pStyle w:val="ParaNoNdepar-AltN"/>
        <w:rPr>
          <w:rFonts w:cs="Times New Roman"/>
          <w:lang w:val="fr-CA"/>
        </w:rPr>
      </w:pPr>
      <w:r w:rsidRPr="00B27419">
        <w:rPr>
          <w:rFonts w:cs="Times New Roman"/>
          <w:lang w:val="fr-CA"/>
        </w:rPr>
        <w:t xml:space="preserve">Si je comprends bien, </w:t>
      </w:r>
      <w:proofErr w:type="spellStart"/>
      <w:proofErr w:type="gramStart"/>
      <w:r w:rsidRPr="00B27419">
        <w:rPr>
          <w:rFonts w:cs="Times New Roman"/>
          <w:lang w:val="fr-CA"/>
        </w:rPr>
        <w:t>Tervita</w:t>
      </w:r>
      <w:proofErr w:type="spellEnd"/>
      <w:r w:rsidRPr="00B27419">
        <w:rPr>
          <w:rFonts w:cs="Times New Roman"/>
          <w:lang w:val="fr-CA"/>
        </w:rPr>
        <w:t xml:space="preserve"> soutient</w:t>
      </w:r>
      <w:proofErr w:type="gramEnd"/>
      <w:r w:rsidRPr="00B27419">
        <w:rPr>
          <w:rFonts w:cs="Times New Roman"/>
          <w:lang w:val="fr-CA"/>
        </w:rPr>
        <w:t xml:space="preserve"> que le libellé de l’art.</w:t>
      </w:r>
      <w:r w:rsidR="00E6271F" w:rsidRPr="00B27419">
        <w:rPr>
          <w:rFonts w:cs="Times New Roman"/>
          <w:lang w:val="fr-CA"/>
        </w:rPr>
        <w:t xml:space="preserve"> </w:t>
      </w:r>
      <w:r w:rsidRPr="00B27419">
        <w:rPr>
          <w:rFonts w:cs="Times New Roman"/>
          <w:lang w:val="fr-CA"/>
        </w:rPr>
        <w:t xml:space="preserve">92 </w:t>
      </w:r>
      <w:proofErr w:type="gramStart"/>
      <w:r w:rsidRPr="00B27419">
        <w:rPr>
          <w:rFonts w:cs="Times New Roman"/>
          <w:lang w:val="fr-CA"/>
        </w:rPr>
        <w:t>limite</w:t>
      </w:r>
      <w:proofErr w:type="gramEnd"/>
      <w:r w:rsidRPr="00B27419">
        <w:rPr>
          <w:rFonts w:cs="Times New Roman"/>
          <w:lang w:val="fr-CA"/>
        </w:rPr>
        <w:t xml:space="preserve"> essentiellement l’analyse à la question de savoir si le site </w:t>
      </w:r>
      <w:proofErr w:type="spellStart"/>
      <w:r w:rsidRPr="00B27419">
        <w:rPr>
          <w:rFonts w:cs="Times New Roman"/>
          <w:lang w:val="fr-CA"/>
        </w:rPr>
        <w:t>Babkirk</w:t>
      </w:r>
      <w:proofErr w:type="spellEnd"/>
      <w:r w:rsidRPr="00B27419">
        <w:rPr>
          <w:rFonts w:cs="Times New Roman"/>
          <w:lang w:val="fr-CA"/>
        </w:rPr>
        <w:t xml:space="preserve"> était un nouveau concurrent viable dans le marché de l’enfouissement sécuritaire à la date de son acquisition par </w:t>
      </w:r>
      <w:proofErr w:type="spellStart"/>
      <w:r w:rsidRPr="00B27419">
        <w:rPr>
          <w:rFonts w:cs="Times New Roman"/>
          <w:lang w:val="fr-CA"/>
        </w:rPr>
        <w:t>Tervita</w:t>
      </w:r>
      <w:proofErr w:type="spellEnd"/>
      <w:r w:rsidRPr="00B27419">
        <w:rPr>
          <w:rFonts w:cs="Times New Roman"/>
          <w:lang w:val="fr-CA"/>
        </w:rPr>
        <w:t xml:space="preserve">. Autrement dit, selon elle, pour établir que le fusionnement aura vraisemblablement pour effet d’empêcher sensiblement la concurrence, une partie au fusionnement doit constituer un concurrent éventuel compte tenu de ses éléments d’actif, de ses plans et de ses activités à la date du fusionnement. </w:t>
      </w:r>
    </w:p>
    <w:p w:rsidR="0039493A" w:rsidRPr="00B27419" w:rsidRDefault="0039493A" w:rsidP="00B27419">
      <w:pPr>
        <w:pStyle w:val="ParaNoNdepar-AltN"/>
        <w:rPr>
          <w:rFonts w:cs="Times New Roman"/>
          <w:lang w:val="fr-CA"/>
        </w:rPr>
      </w:pPr>
      <w:r w:rsidRPr="00B27419">
        <w:rPr>
          <w:rFonts w:cs="Times New Roman"/>
          <w:lang w:val="fr-CA"/>
        </w:rPr>
        <w:t>Pour les motifs qui suivent, je ne suis pas d’accord. En revanche, je partage l’avis de la commissaire selon lequel le libellé de l’art.</w:t>
      </w:r>
      <w:r w:rsidR="00E6271F" w:rsidRPr="00B27419">
        <w:rPr>
          <w:rFonts w:cs="Times New Roman"/>
          <w:lang w:val="fr-CA"/>
        </w:rPr>
        <w:t xml:space="preserve"> </w:t>
      </w:r>
      <w:r w:rsidRPr="00B27419">
        <w:rPr>
          <w:rFonts w:cs="Times New Roman"/>
          <w:lang w:val="fr-CA"/>
        </w:rPr>
        <w:t xml:space="preserve">92 appuie généralement l’analyse et les conclusions du Tribunal et de la Cour d’appel fédérale sur cette disposition. </w:t>
      </w:r>
    </w:p>
    <w:p w:rsidR="0039493A" w:rsidRPr="00B27419" w:rsidRDefault="0039493A" w:rsidP="00B27419">
      <w:pPr>
        <w:pStyle w:val="Title3LevelTitre3Niveau"/>
        <w:rPr>
          <w:rFonts w:cs="Times New Roman"/>
          <w:lang w:val="fr-CA"/>
        </w:rPr>
      </w:pPr>
      <w:bookmarkStart w:id="59" w:name="_Toc396299540"/>
      <w:bookmarkStart w:id="60" w:name="_Toc397586771"/>
      <w:bookmarkStart w:id="61" w:name="_Toc409593455"/>
      <w:r w:rsidRPr="00B27419">
        <w:rPr>
          <w:rFonts w:cs="Times New Roman"/>
          <w:lang w:val="fr-CA"/>
        </w:rPr>
        <w:t>Le droi</w:t>
      </w:r>
      <w:bookmarkEnd w:id="59"/>
      <w:bookmarkEnd w:id="60"/>
      <w:r w:rsidRPr="00B27419">
        <w:rPr>
          <w:rFonts w:cs="Times New Roman"/>
          <w:lang w:val="fr-CA"/>
        </w:rPr>
        <w:t>t</w:t>
      </w:r>
      <w:bookmarkEnd w:id="61"/>
    </w:p>
    <w:p w:rsidR="0039493A" w:rsidRPr="00B27419" w:rsidRDefault="0039493A" w:rsidP="00B27419">
      <w:pPr>
        <w:pStyle w:val="ParaNoNdepar-AltN"/>
        <w:rPr>
          <w:rFonts w:cs="Times New Roman"/>
          <w:lang w:val="fr-CA"/>
        </w:rPr>
      </w:pPr>
      <w:r w:rsidRPr="00B27419">
        <w:rPr>
          <w:rFonts w:cs="Times New Roman"/>
          <w:lang w:val="fr-CA"/>
        </w:rPr>
        <w:t>Le volet de l’art.</w:t>
      </w:r>
      <w:r w:rsidR="00E6271F" w:rsidRPr="00B27419">
        <w:rPr>
          <w:rFonts w:cs="Times New Roman"/>
          <w:lang w:val="fr-CA"/>
        </w:rPr>
        <w:t xml:space="preserve"> </w:t>
      </w:r>
      <w:r w:rsidRPr="00B27419">
        <w:rPr>
          <w:rFonts w:cs="Times New Roman"/>
          <w:lang w:val="fr-CA"/>
        </w:rPr>
        <w:t xml:space="preserve">92 </w:t>
      </w:r>
      <w:proofErr w:type="gramStart"/>
      <w:r w:rsidRPr="00B27419">
        <w:rPr>
          <w:rFonts w:cs="Times New Roman"/>
          <w:lang w:val="fr-CA"/>
        </w:rPr>
        <w:t>relatif</w:t>
      </w:r>
      <w:proofErr w:type="gramEnd"/>
      <w:r w:rsidRPr="00B27419">
        <w:rPr>
          <w:rFonts w:cs="Times New Roman"/>
          <w:lang w:val="fr-CA"/>
        </w:rPr>
        <w:t xml:space="preserve"> à l’</w:t>
      </w:r>
      <w:r w:rsidR="00B27419">
        <w:rPr>
          <w:rFonts w:cs="Times New Roman"/>
          <w:lang w:val="fr-CA"/>
        </w:rPr>
        <w:t>« </w:t>
      </w:r>
      <w:r w:rsidRPr="00B27419">
        <w:rPr>
          <w:rFonts w:cs="Times New Roman"/>
          <w:lang w:val="fr-CA"/>
        </w:rPr>
        <w:t>empêchement</w:t>
      </w:r>
      <w:r w:rsidR="00B27419">
        <w:rPr>
          <w:rFonts w:cs="Times New Roman"/>
          <w:lang w:val="fr-CA"/>
        </w:rPr>
        <w:t> »</w:t>
      </w:r>
      <w:r w:rsidRPr="00B27419">
        <w:rPr>
          <w:rFonts w:cs="Times New Roman"/>
          <w:lang w:val="fr-CA"/>
        </w:rPr>
        <w:t xml:space="preserve"> vise à prévenir qu’une entreprise possédant une puissance commerciale procède à un fusionnement pour empêcher la concurrence susceptible par ailleurs de s’exercer dans un marché contestable. L’analyse qu’il commande envisage l’état du marché, n’eût été le </w:t>
      </w:r>
      <w:r w:rsidRPr="00B27419">
        <w:rPr>
          <w:rFonts w:cs="Times New Roman"/>
          <w:lang w:val="fr-CA"/>
        </w:rPr>
        <w:lastRenderedPageBreak/>
        <w:t xml:space="preserve">fusionnement, pour apprécier le paysage concurrentiel qui existerait vraisemblablement si le fusionnement n’avait pas eu lieu. Elle détermine le concurrent éventuel, la probabilité qu’il entre dans le marché en l’absence du fusionnement et la probabilité qu’il y ait un effet sensible. </w:t>
      </w:r>
    </w:p>
    <w:p w:rsidR="0039493A" w:rsidRPr="00B27419" w:rsidRDefault="0039493A" w:rsidP="00B27419">
      <w:pPr>
        <w:pStyle w:val="Title4LevelTitre4Niveau"/>
        <w:tabs>
          <w:tab w:val="clear" w:pos="6480"/>
        </w:tabs>
        <w:ind w:left="1080" w:hanging="540"/>
        <w:rPr>
          <w:rFonts w:cs="Times New Roman"/>
          <w:lang w:val="fr-CA"/>
        </w:rPr>
      </w:pPr>
      <w:bookmarkStart w:id="62" w:name="_Toc396299541"/>
      <w:bookmarkStart w:id="63" w:name="_Toc397586772"/>
      <w:bookmarkStart w:id="64" w:name="_Toc409593456"/>
      <w:r w:rsidRPr="00B27419">
        <w:rPr>
          <w:rFonts w:cs="Times New Roman"/>
          <w:lang w:val="fr-CA"/>
        </w:rPr>
        <w:t>Déterminer le concurrent éventuel</w:t>
      </w:r>
      <w:bookmarkEnd w:id="62"/>
      <w:bookmarkEnd w:id="63"/>
      <w:bookmarkEnd w:id="64"/>
    </w:p>
    <w:p w:rsidR="0039493A" w:rsidRPr="00B27419" w:rsidRDefault="0039493A" w:rsidP="00B27419">
      <w:pPr>
        <w:pStyle w:val="ParaNoNdepar-AltN"/>
        <w:rPr>
          <w:rFonts w:cs="Times New Roman"/>
          <w:lang w:val="fr-CA"/>
        </w:rPr>
      </w:pPr>
      <w:r w:rsidRPr="00B27419">
        <w:rPr>
          <w:rFonts w:cs="Times New Roman"/>
          <w:lang w:val="fr-CA"/>
        </w:rPr>
        <w:t>La première étape consiste à déterminer l’entreprise — ou les entreprises — que le fusionnement empêcherait d’entrer dans le marché de manière indépendante, c.</w:t>
      </w:r>
      <w:r w:rsidR="00E6271F" w:rsidRPr="00B27419">
        <w:rPr>
          <w:rFonts w:cs="Times New Roman"/>
          <w:lang w:val="fr-CA"/>
        </w:rPr>
        <w:t>-</w:t>
      </w:r>
      <w:r w:rsidRPr="00B27419">
        <w:rPr>
          <w:rFonts w:cs="Times New Roman"/>
          <w:lang w:val="fr-CA"/>
        </w:rPr>
        <w:t>à</w:t>
      </w:r>
      <w:r w:rsidR="00E6271F" w:rsidRPr="00B27419">
        <w:rPr>
          <w:rFonts w:cs="Times New Roman"/>
          <w:lang w:val="fr-CA"/>
        </w:rPr>
        <w:t>-</w:t>
      </w:r>
      <w:r w:rsidRPr="00B27419">
        <w:rPr>
          <w:rFonts w:cs="Times New Roman"/>
          <w:lang w:val="fr-CA"/>
        </w:rPr>
        <w:t xml:space="preserve">d. le concurrent éventuel. Selon la jurisprudence qui porte sur le droit de la concurrence, il y a </w:t>
      </w:r>
      <w:r w:rsidR="00B27419">
        <w:rPr>
          <w:rFonts w:cs="Times New Roman"/>
          <w:lang w:val="fr-CA"/>
        </w:rPr>
        <w:t>« </w:t>
      </w:r>
      <w:r w:rsidRPr="00B27419">
        <w:rPr>
          <w:rFonts w:cs="Times New Roman"/>
          <w:lang w:val="fr-CA"/>
        </w:rPr>
        <w:t>entrée dans le marché</w:t>
      </w:r>
      <w:r w:rsidR="00B27419">
        <w:rPr>
          <w:rFonts w:cs="Times New Roman"/>
          <w:lang w:val="fr-CA"/>
        </w:rPr>
        <w:t> »</w:t>
      </w:r>
      <w:r w:rsidRPr="00B27419">
        <w:rPr>
          <w:rFonts w:cs="Times New Roman"/>
          <w:lang w:val="fr-CA"/>
        </w:rPr>
        <w:t xml:space="preserve"> quand </w:t>
      </w:r>
      <w:r w:rsidR="00B27419">
        <w:rPr>
          <w:rFonts w:cs="Times New Roman"/>
          <w:lang w:val="fr-CA"/>
        </w:rPr>
        <w:t>« </w:t>
      </w:r>
      <w:r w:rsidRPr="00B27419">
        <w:rPr>
          <w:rFonts w:cs="Times New Roman"/>
          <w:lang w:val="fr-CA"/>
        </w:rPr>
        <w:t xml:space="preserve">une nouvelle </w:t>
      </w:r>
      <w:r w:rsidRPr="00B27419">
        <w:rPr>
          <w:rFonts w:cs="Times New Roman"/>
          <w:sz w:val="23"/>
          <w:szCs w:val="23"/>
          <w:lang w:val="fr-CA"/>
        </w:rPr>
        <w:t>firme s’établit dans le marché, qu’elle soit complètement nouvelle venue dans l’industrie ou nouvelle venue dans la région géographique [</w:t>
      </w:r>
      <w:r w:rsidRPr="00B27419">
        <w:rPr>
          <w:rFonts w:cs="Times New Roman"/>
          <w:lang w:val="fr-CA"/>
        </w:rPr>
        <w:t>.</w:t>
      </w:r>
      <w:r w:rsidR="00E6271F" w:rsidRPr="00B27419">
        <w:rPr>
          <w:rFonts w:cs="Times New Roman"/>
          <w:lang w:val="fr-CA"/>
        </w:rPr>
        <w:t xml:space="preserve"> </w:t>
      </w:r>
      <w:r w:rsidRPr="00B27419">
        <w:rPr>
          <w:rFonts w:cs="Times New Roman"/>
          <w:lang w:val="fr-CA"/>
        </w:rPr>
        <w:t>.</w:t>
      </w:r>
      <w:r w:rsidR="00E6271F" w:rsidRPr="00B27419">
        <w:rPr>
          <w:rFonts w:cs="Times New Roman"/>
          <w:lang w:val="fr-CA"/>
        </w:rPr>
        <w:t xml:space="preserve"> </w:t>
      </w:r>
      <w:r w:rsidRPr="00B27419">
        <w:rPr>
          <w:rFonts w:cs="Times New Roman"/>
          <w:lang w:val="fr-CA"/>
        </w:rPr>
        <w:t>.]</w:t>
      </w:r>
      <w:r w:rsidRPr="00B27419">
        <w:rPr>
          <w:rFonts w:cs="Times New Roman"/>
          <w:sz w:val="23"/>
          <w:szCs w:val="23"/>
          <w:lang w:val="fr-CA"/>
        </w:rPr>
        <w:t>, ou bien quand des firmes locales qui n’offraient pas avant le produit en question commencent à le faire</w:t>
      </w:r>
      <w:r w:rsidR="00B27419">
        <w:rPr>
          <w:rFonts w:cs="Times New Roman"/>
          <w:lang w:val="fr-CA"/>
        </w:rPr>
        <w:t> »</w:t>
      </w:r>
      <w:r w:rsidRPr="00B27419">
        <w:rPr>
          <w:rFonts w:cs="Times New Roman"/>
          <w:lang w:val="fr-CA"/>
        </w:rPr>
        <w:t xml:space="preserve"> (</w:t>
      </w:r>
      <w:proofErr w:type="spellStart"/>
      <w:r w:rsidRPr="00B27419">
        <w:rPr>
          <w:rFonts w:cs="Times New Roman"/>
          <w:i/>
          <w:lang w:val="fr-CA"/>
        </w:rPr>
        <w:t>Hillsdown</w:t>
      </w:r>
      <w:proofErr w:type="spellEnd"/>
      <w:r w:rsidRPr="00B27419">
        <w:rPr>
          <w:rFonts w:cs="Times New Roman"/>
          <w:lang w:val="fr-CA"/>
        </w:rPr>
        <w:t>, p.</w:t>
      </w:r>
      <w:r w:rsidR="00E6271F" w:rsidRPr="00B27419">
        <w:rPr>
          <w:rFonts w:cs="Times New Roman"/>
          <w:lang w:val="fr-CA"/>
        </w:rPr>
        <w:t xml:space="preserve"> </w:t>
      </w:r>
      <w:r w:rsidRPr="00B27419">
        <w:rPr>
          <w:rFonts w:cs="Times New Roman"/>
          <w:lang w:val="fr-CA"/>
        </w:rPr>
        <w:t xml:space="preserve">68). </w:t>
      </w:r>
    </w:p>
    <w:p w:rsidR="0039493A" w:rsidRPr="00B27419" w:rsidRDefault="0039493A" w:rsidP="00B27419">
      <w:pPr>
        <w:pStyle w:val="ParaNoNdepar-AltN"/>
        <w:rPr>
          <w:rFonts w:cs="Times New Roman"/>
          <w:lang w:val="fr-CA"/>
        </w:rPr>
      </w:pPr>
      <w:r w:rsidRPr="00B27419">
        <w:rPr>
          <w:rFonts w:cs="Times New Roman"/>
          <w:lang w:val="fr-CA"/>
        </w:rPr>
        <w:t>Le concurrent éventuel est habituellement une partie au fusionnement</w:t>
      </w:r>
      <w:r w:rsidR="00E6271F" w:rsidRPr="00B27419">
        <w:rPr>
          <w:rFonts w:cs="Times New Roman"/>
          <w:lang w:val="fr-CA"/>
        </w:rPr>
        <w:t> :</w:t>
      </w:r>
      <w:r w:rsidRPr="00B27419">
        <w:rPr>
          <w:rFonts w:cs="Times New Roman"/>
          <w:lang w:val="fr-CA"/>
        </w:rPr>
        <w:t xml:space="preserve"> l’entreprise acquise ou l’entreprise </w:t>
      </w:r>
      <w:proofErr w:type="spellStart"/>
      <w:r w:rsidRPr="00B27419">
        <w:rPr>
          <w:rFonts w:cs="Times New Roman"/>
          <w:lang w:val="fr-CA"/>
        </w:rPr>
        <w:t>acquérante</w:t>
      </w:r>
      <w:proofErr w:type="spellEnd"/>
      <w:r w:rsidRPr="00B27419">
        <w:rPr>
          <w:rFonts w:cs="Times New Roman"/>
          <w:lang w:val="fr-CA"/>
        </w:rPr>
        <w:t>. L’analyse est axée sur l’entrée potentielle dans le marché par la première lorsque, n’eût été le fusionnement, celle</w:t>
      </w:r>
      <w:r w:rsidR="00E6271F" w:rsidRPr="00B27419">
        <w:rPr>
          <w:rFonts w:cs="Times New Roman"/>
          <w:lang w:val="fr-CA"/>
        </w:rPr>
        <w:t>-</w:t>
      </w:r>
      <w:r w:rsidRPr="00B27419">
        <w:rPr>
          <w:rFonts w:cs="Times New Roman"/>
          <w:lang w:val="fr-CA"/>
        </w:rPr>
        <w:t>ci aurait vraisemblablement pénétré le marché en cause. L’analyse est axée sur l’entrée potentielle dans le marché par la seconde lorsque, n’eût été le fusionnement, celle</w:t>
      </w:r>
      <w:r w:rsidR="00E6271F" w:rsidRPr="00B27419">
        <w:rPr>
          <w:rFonts w:cs="Times New Roman"/>
          <w:lang w:val="fr-CA"/>
        </w:rPr>
        <w:t>-</w:t>
      </w:r>
      <w:r w:rsidRPr="00B27419">
        <w:rPr>
          <w:rFonts w:cs="Times New Roman"/>
          <w:lang w:val="fr-CA"/>
        </w:rPr>
        <w:t xml:space="preserve">ci aurait pénétré le marché en question de manière indépendante ou par le truchement de l’acquisition et de l’expansion d’une entreprise de plus petite taille, ce que l’on appelle l’entrée sur le marché </w:t>
      </w:r>
      <w:r w:rsidR="00B27419">
        <w:rPr>
          <w:rFonts w:cs="Times New Roman"/>
          <w:lang w:val="fr-CA"/>
        </w:rPr>
        <w:t>« </w:t>
      </w:r>
      <w:r w:rsidRPr="00B27419">
        <w:rPr>
          <w:rFonts w:cs="Times New Roman"/>
          <w:lang w:val="fr-CA"/>
        </w:rPr>
        <w:t>à échelle réduite</w:t>
      </w:r>
      <w:r w:rsidR="00B27419">
        <w:rPr>
          <w:rFonts w:cs="Times New Roman"/>
          <w:lang w:val="fr-CA"/>
        </w:rPr>
        <w:t> »</w:t>
      </w:r>
      <w:r w:rsidRPr="00B27419">
        <w:rPr>
          <w:rFonts w:cs="Times New Roman"/>
          <w:lang w:val="fr-CA"/>
        </w:rPr>
        <w:t>.</w:t>
      </w:r>
    </w:p>
    <w:p w:rsidR="0039493A" w:rsidRPr="00B27419" w:rsidRDefault="0039493A" w:rsidP="00B27419">
      <w:pPr>
        <w:pStyle w:val="ParaNoNdepar-AltN"/>
        <w:rPr>
          <w:rFonts w:cs="Times New Roman"/>
          <w:lang w:val="fr-CA"/>
        </w:rPr>
      </w:pPr>
      <w:r w:rsidRPr="00B27419">
        <w:rPr>
          <w:rFonts w:cs="Times New Roman"/>
          <w:lang w:val="fr-CA"/>
        </w:rPr>
        <w:lastRenderedPageBreak/>
        <w:t xml:space="preserve">Je n’exclurais pas non plus la possibilité, comme l’a expliqué le juge en chef Crampton dans ses motifs concordants, qu’un fusionnement ait vraisemblablement pour effet d’empêcher sensiblement la concurrence en faisant obstacle à </w:t>
      </w:r>
      <w:r w:rsidR="00B27419">
        <w:rPr>
          <w:rFonts w:cs="Times New Roman"/>
          <w:lang w:val="fr-CA"/>
        </w:rPr>
        <w:t>« </w:t>
      </w:r>
      <w:r w:rsidRPr="00B27419">
        <w:rPr>
          <w:rFonts w:cs="Times New Roman"/>
          <w:lang w:val="fr-CA"/>
        </w:rPr>
        <w:t>une future situation de concurrence autre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386). À mon avis, cela signifie qu’il est possible qu’un tiers ne puisse pénétrer ce marché par suite du fusionnement. </w:t>
      </w:r>
    </w:p>
    <w:p w:rsidR="0039493A" w:rsidRPr="00B27419" w:rsidRDefault="0039493A" w:rsidP="00B27419">
      <w:pPr>
        <w:pStyle w:val="Title4LevelTitre4Niveau"/>
        <w:tabs>
          <w:tab w:val="clear" w:pos="6480"/>
        </w:tabs>
        <w:ind w:left="1080" w:hanging="540"/>
        <w:rPr>
          <w:rFonts w:cs="Times New Roman"/>
          <w:lang w:val="fr-CA"/>
        </w:rPr>
      </w:pPr>
      <w:bookmarkStart w:id="65" w:name="_Toc396299542"/>
      <w:bookmarkStart w:id="66" w:name="_Toc397586773"/>
      <w:bookmarkStart w:id="67" w:name="_Toc409593457"/>
      <w:r w:rsidRPr="00B27419">
        <w:rPr>
          <w:rFonts w:cs="Times New Roman"/>
          <w:lang w:val="fr-CA"/>
        </w:rPr>
        <w:t>L’état du marché n’eût été le fusionnement</w:t>
      </w:r>
      <w:bookmarkEnd w:id="65"/>
      <w:bookmarkEnd w:id="66"/>
      <w:bookmarkEnd w:id="67"/>
    </w:p>
    <w:p w:rsidR="0039493A" w:rsidRPr="00B27419" w:rsidRDefault="0039493A" w:rsidP="00B27419">
      <w:pPr>
        <w:pStyle w:val="ParaNoNdepar-AltN"/>
        <w:rPr>
          <w:rFonts w:cs="Times New Roman"/>
          <w:lang w:val="fr-CA"/>
        </w:rPr>
      </w:pPr>
      <w:r w:rsidRPr="00B27419">
        <w:rPr>
          <w:rFonts w:cs="Times New Roman"/>
          <w:lang w:val="fr-CA"/>
        </w:rPr>
        <w:t xml:space="preserve">Pour déterminer si un fusionnement </w:t>
      </w:r>
      <w:r w:rsidR="00B27419">
        <w:rPr>
          <w:rFonts w:cs="Times New Roman"/>
          <w:lang w:val="fr-CA"/>
        </w:rPr>
        <w:t>« </w:t>
      </w:r>
      <w:r w:rsidRPr="00B27419">
        <w:rPr>
          <w:rFonts w:cs="Times New Roman"/>
          <w:lang w:val="fr-CA"/>
        </w:rPr>
        <w:t>empêche</w:t>
      </w:r>
      <w:r w:rsidR="00B27419">
        <w:rPr>
          <w:rFonts w:cs="Times New Roman"/>
          <w:lang w:val="fr-CA"/>
        </w:rPr>
        <w:t> »</w:t>
      </w:r>
      <w:r w:rsidRPr="00B27419">
        <w:rPr>
          <w:rFonts w:cs="Times New Roman"/>
          <w:lang w:val="fr-CA"/>
        </w:rPr>
        <w:t xml:space="preserve"> la concurrence, il faut dans un deuxième temps examiner l’état du marché pour voir si, n’eût été le fusionnement, le concurrent éventuel (normalement une partie au fusionnement) serait vraisemblablement entré dans le marché et, dans l’affirmative, si cette entrée aurait réduit la puissance commerciale de l’entreprise </w:t>
      </w:r>
      <w:proofErr w:type="spellStart"/>
      <w:r w:rsidRPr="00B27419">
        <w:rPr>
          <w:rFonts w:cs="Times New Roman"/>
          <w:lang w:val="fr-CA"/>
        </w:rPr>
        <w:t>acquérante</w:t>
      </w:r>
      <w:proofErr w:type="spellEnd"/>
      <w:r w:rsidRPr="00B27419">
        <w:rPr>
          <w:rFonts w:cs="Times New Roman"/>
          <w:lang w:val="fr-CA"/>
        </w:rPr>
        <w:t xml:space="preserve">. Si la pénétration par le concurrent n’a aucun effet sur la puissance commerciale de l’entreprise </w:t>
      </w:r>
      <w:proofErr w:type="spellStart"/>
      <w:r w:rsidRPr="00B27419">
        <w:rPr>
          <w:rFonts w:cs="Times New Roman"/>
          <w:lang w:val="fr-CA"/>
        </w:rPr>
        <w:t>acquérante</w:t>
      </w:r>
      <w:proofErr w:type="spellEnd"/>
      <w:r w:rsidRPr="00B27419">
        <w:rPr>
          <w:rFonts w:cs="Times New Roman"/>
          <w:lang w:val="fr-CA"/>
        </w:rPr>
        <w:t>, l’on ne peut dire du fusionnement qu’il a pour effet d’empêcher sensiblement la concurrence.</w:t>
      </w:r>
    </w:p>
    <w:p w:rsidR="0039493A" w:rsidRPr="00B27419" w:rsidRDefault="0039493A" w:rsidP="00B27419">
      <w:pPr>
        <w:pStyle w:val="ParaNoNdepar-AltN"/>
        <w:rPr>
          <w:rFonts w:cs="Times New Roman"/>
          <w:lang w:val="fr-CA"/>
        </w:rPr>
      </w:pPr>
      <w:proofErr w:type="spellStart"/>
      <w:proofErr w:type="gramStart"/>
      <w:r w:rsidRPr="00B27419">
        <w:rPr>
          <w:rFonts w:cs="Times New Roman"/>
          <w:lang w:val="fr-CA"/>
        </w:rPr>
        <w:t>Tervita</w:t>
      </w:r>
      <w:proofErr w:type="spellEnd"/>
      <w:r w:rsidRPr="00B27419">
        <w:rPr>
          <w:rFonts w:cs="Times New Roman"/>
          <w:lang w:val="fr-CA"/>
        </w:rPr>
        <w:t xml:space="preserve"> soutient</w:t>
      </w:r>
      <w:proofErr w:type="gramEnd"/>
      <w:r w:rsidRPr="00B27419">
        <w:rPr>
          <w:rFonts w:cs="Times New Roman"/>
          <w:lang w:val="fr-CA"/>
        </w:rPr>
        <w:t xml:space="preserve"> que l’objet de l’art.</w:t>
      </w:r>
      <w:r w:rsidR="00E6271F" w:rsidRPr="00B27419">
        <w:rPr>
          <w:rFonts w:cs="Times New Roman"/>
          <w:lang w:val="fr-CA"/>
        </w:rPr>
        <w:t xml:space="preserve"> </w:t>
      </w:r>
      <w:r w:rsidRPr="00B27419">
        <w:rPr>
          <w:rFonts w:cs="Times New Roman"/>
          <w:lang w:val="fr-CA"/>
        </w:rPr>
        <w:t>92 est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d’établir un critère en matière de fusionnement qui offre une certitude aux entreprises canadiennes</w:t>
      </w:r>
      <w:r w:rsidR="00B27419">
        <w:rPr>
          <w:rFonts w:cs="Times New Roman"/>
          <w:lang w:val="fr-CA"/>
        </w:rPr>
        <w:t> »</w:t>
      </w:r>
      <w:r w:rsidRPr="00B27419">
        <w:rPr>
          <w:rFonts w:cs="Times New Roman"/>
          <w:lang w:val="fr-CA"/>
        </w:rPr>
        <w:t xml:space="preserve"> (</w:t>
      </w:r>
      <w:proofErr w:type="gramStart"/>
      <w:r w:rsidRPr="00B27419">
        <w:rPr>
          <w:rFonts w:cs="Times New Roman"/>
          <w:lang w:val="fr-CA"/>
        </w:rPr>
        <w:t>m.a.,</w:t>
      </w:r>
      <w:proofErr w:type="gramEnd"/>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66). Or, le terme </w:t>
      </w:r>
      <w:r w:rsidR="00B27419">
        <w:rPr>
          <w:rFonts w:cs="Times New Roman"/>
          <w:lang w:val="fr-CA"/>
        </w:rPr>
        <w:t>« </w:t>
      </w:r>
      <w:r w:rsidRPr="00B27419">
        <w:rPr>
          <w:rFonts w:cs="Times New Roman"/>
          <w:lang w:val="fr-CA"/>
        </w:rPr>
        <w:t>vraisemblablement</w:t>
      </w:r>
      <w:r w:rsidR="00B27419">
        <w:rPr>
          <w:rFonts w:cs="Times New Roman"/>
          <w:lang w:val="fr-CA"/>
        </w:rPr>
        <w:t> »</w:t>
      </w:r>
      <w:r w:rsidRPr="00B27419">
        <w:rPr>
          <w:rFonts w:cs="Times New Roman"/>
          <w:lang w:val="fr-CA"/>
        </w:rPr>
        <w:t xml:space="preserve"> à l’art.</w:t>
      </w:r>
      <w:r w:rsidR="00E6271F" w:rsidRPr="00B27419">
        <w:rPr>
          <w:rFonts w:cs="Times New Roman"/>
          <w:lang w:val="fr-CA"/>
        </w:rPr>
        <w:t xml:space="preserve"> </w:t>
      </w:r>
      <w:r w:rsidRPr="00B27419">
        <w:rPr>
          <w:rFonts w:cs="Times New Roman"/>
          <w:lang w:val="fr-CA"/>
        </w:rPr>
        <w:t xml:space="preserve">92 n’exige pas la certitude. Il traduit le fait que l’examen du fusionnement est en soi un exercice prédictif, sans toutefois permettre au Tribunal de conjecturer; ce dernier doit fonder ses conclusions sur la preuve. </w:t>
      </w:r>
    </w:p>
    <w:p w:rsidR="0039493A" w:rsidRPr="00B27419" w:rsidRDefault="0039493A" w:rsidP="00B27419">
      <w:pPr>
        <w:pStyle w:val="ParaNoNdepar-AltN"/>
        <w:rPr>
          <w:rFonts w:cs="Times New Roman"/>
          <w:lang w:val="fr-CA"/>
        </w:rPr>
      </w:pPr>
      <w:r w:rsidRPr="00B27419">
        <w:rPr>
          <w:rFonts w:cs="Times New Roman"/>
          <w:lang w:val="fr-CA"/>
        </w:rPr>
        <w:lastRenderedPageBreak/>
        <w:t>Il n’existe qu’une seule norme de preuve en matière civile</w:t>
      </w:r>
      <w:r w:rsidR="00E6271F" w:rsidRPr="00B27419">
        <w:rPr>
          <w:rFonts w:cs="Times New Roman"/>
          <w:lang w:val="fr-CA"/>
        </w:rPr>
        <w:t> :</w:t>
      </w:r>
      <w:r w:rsidRPr="00B27419">
        <w:rPr>
          <w:rFonts w:cs="Times New Roman"/>
          <w:lang w:val="fr-CA"/>
        </w:rPr>
        <w:t xml:space="preserve"> la preuve selon la prépondérance des probabilités (</w:t>
      </w:r>
      <w:r w:rsidRPr="00B27419">
        <w:rPr>
          <w:rFonts w:cs="Times New Roman"/>
          <w:i/>
          <w:lang w:val="fr-CA"/>
        </w:rPr>
        <w:t>F.H. c. McDougall</w:t>
      </w:r>
      <w:r w:rsidRPr="00B27419">
        <w:rPr>
          <w:rFonts w:cs="Times New Roman"/>
          <w:lang w:val="fr-CA"/>
        </w:rPr>
        <w:t>, 2008 CSC 53, [2008] 3 R.C.S. 41, par.</w:t>
      </w:r>
      <w:r w:rsidR="00E6271F" w:rsidRPr="00B27419">
        <w:rPr>
          <w:rFonts w:cs="Times New Roman"/>
          <w:lang w:val="fr-CA"/>
        </w:rPr>
        <w:t xml:space="preserve"> </w:t>
      </w:r>
      <w:r w:rsidRPr="00B27419">
        <w:rPr>
          <w:rFonts w:cs="Times New Roman"/>
          <w:lang w:val="fr-CA"/>
        </w:rPr>
        <w:t>40 et 49). Il en découle que, pour que l’art.</w:t>
      </w:r>
      <w:r w:rsidR="00E6271F" w:rsidRPr="00B27419">
        <w:rPr>
          <w:rFonts w:cs="Times New Roman"/>
          <w:lang w:val="fr-CA"/>
        </w:rPr>
        <w:t xml:space="preserve"> </w:t>
      </w:r>
      <w:r w:rsidRPr="00B27419">
        <w:rPr>
          <w:rFonts w:cs="Times New Roman"/>
          <w:lang w:val="fr-CA"/>
        </w:rPr>
        <w:t>92 de la Loi s’applique, le Tribunal doit être d’avis que le fusionnement aura probablement pour effet d’empêcher sensiblement la concurrence. La simple possibilité ne permet pas de satisfaire à cette norme. Et, comme nous le verrons, plus la situation est projetée dans l’avenir, plus le risque de non</w:t>
      </w:r>
      <w:r w:rsidR="00E6271F" w:rsidRPr="00B27419">
        <w:rPr>
          <w:rFonts w:cs="Times New Roman"/>
          <w:lang w:val="fr-CA"/>
        </w:rPr>
        <w:t>-</w:t>
      </w:r>
      <w:r w:rsidRPr="00B27419">
        <w:rPr>
          <w:rFonts w:cs="Times New Roman"/>
          <w:lang w:val="fr-CA"/>
        </w:rPr>
        <w:t>fiabilité s’accroît, tant et si bien qu’à un certain point, la preuve sera jugée conjecturale seulement.</w:t>
      </w:r>
    </w:p>
    <w:p w:rsidR="0039493A" w:rsidRPr="00B27419" w:rsidRDefault="00031B08" w:rsidP="00B27419">
      <w:pPr>
        <w:pStyle w:val="Title5LevelTitre5Niveau"/>
        <w:numPr>
          <w:ilvl w:val="0"/>
          <w:numId w:val="0"/>
        </w:numPr>
        <w:spacing w:before="480"/>
        <w:ind w:left="1620" w:hanging="450"/>
        <w:rPr>
          <w:rFonts w:cs="Times New Roman"/>
          <w:lang w:val="fr-CA"/>
        </w:rPr>
      </w:pPr>
      <w:bookmarkStart w:id="68" w:name="_Toc409593458"/>
      <w:bookmarkStart w:id="69" w:name="_Toc396299543"/>
      <w:bookmarkStart w:id="70" w:name="_Toc397586774"/>
      <w:r w:rsidRPr="00B27419">
        <w:rPr>
          <w:rFonts w:cs="Times New Roman"/>
          <w:u w:val="none"/>
          <w:lang w:val="fr-CA"/>
        </w:rPr>
        <w:t>(i)</w:t>
      </w:r>
      <w:r w:rsidRPr="00B27419">
        <w:rPr>
          <w:rFonts w:cs="Times New Roman"/>
          <w:u w:val="none"/>
          <w:lang w:val="fr-CA"/>
        </w:rPr>
        <w:tab/>
      </w:r>
      <w:r w:rsidR="0039493A" w:rsidRPr="00B27419">
        <w:rPr>
          <w:rFonts w:cs="Times New Roman"/>
          <w:lang w:val="fr-CA"/>
        </w:rPr>
        <w:t>Une partie au fusionnement serait</w:t>
      </w:r>
      <w:r w:rsidR="00E6271F" w:rsidRPr="00B27419">
        <w:rPr>
          <w:rFonts w:cs="Times New Roman"/>
          <w:lang w:val="fr-CA"/>
        </w:rPr>
        <w:t>-</w:t>
      </w:r>
      <w:r w:rsidR="0039493A" w:rsidRPr="00B27419">
        <w:rPr>
          <w:rFonts w:cs="Times New Roman"/>
          <w:lang w:val="fr-CA"/>
        </w:rPr>
        <w:t>elle vraisemblablement entrée dans le marché?</w:t>
      </w:r>
      <w:bookmarkEnd w:id="68"/>
      <w:r w:rsidR="0039493A" w:rsidRPr="00B27419">
        <w:rPr>
          <w:rFonts w:cs="Times New Roman"/>
          <w:lang w:val="fr-CA"/>
        </w:rPr>
        <w:t xml:space="preserve"> </w:t>
      </w:r>
      <w:bookmarkEnd w:id="69"/>
      <w:bookmarkEnd w:id="70"/>
    </w:p>
    <w:p w:rsidR="0039493A" w:rsidRPr="00B27419" w:rsidRDefault="0039493A" w:rsidP="00B27419">
      <w:pPr>
        <w:pStyle w:val="ParaNoNdepar-AltN"/>
        <w:rPr>
          <w:rFonts w:cs="Times New Roman"/>
          <w:lang w:val="fr-CA"/>
        </w:rPr>
      </w:pPr>
      <w:r w:rsidRPr="00B27419">
        <w:rPr>
          <w:rFonts w:cs="Times New Roman"/>
          <w:lang w:val="fr-CA"/>
        </w:rPr>
        <w:t>Pour déterminer si, n’eût été le fusionnement, l’une des parties à ce dernier serait vraisemblablement entrée dans le marché de manière indépendante, le Tribunal doit prendre en considération tous les éléments qui, de son avis, sont susceptibles d’influer sur cette pénétration du marché et à l’égard desquels une preuve a été produite. Il s’agit notamment des plans et éléments d’actif de la partie concernée, des conditions du marché actuelles et attendues et d’autres facteurs, énumérés à l’art.</w:t>
      </w:r>
      <w:r w:rsidR="00E6271F" w:rsidRPr="00B27419">
        <w:rPr>
          <w:rFonts w:cs="Times New Roman"/>
          <w:lang w:val="fr-CA"/>
        </w:rPr>
        <w:t xml:space="preserve"> </w:t>
      </w:r>
      <w:r w:rsidRPr="00B27419">
        <w:rPr>
          <w:rFonts w:cs="Times New Roman"/>
          <w:lang w:val="fr-CA"/>
        </w:rPr>
        <w:t xml:space="preserve">93 de la Loi. </w:t>
      </w:r>
    </w:p>
    <w:p w:rsidR="0039493A" w:rsidRPr="00B27419" w:rsidRDefault="0039493A" w:rsidP="00B27419">
      <w:pPr>
        <w:pStyle w:val="ParaNoNdepar-AltN"/>
        <w:rPr>
          <w:rFonts w:cs="Times New Roman"/>
          <w:lang w:val="fr-CA"/>
        </w:rPr>
      </w:pPr>
      <w:r w:rsidRPr="00B27419">
        <w:rPr>
          <w:rFonts w:cs="Times New Roman"/>
          <w:lang w:val="fr-CA"/>
        </w:rPr>
        <w:t xml:space="preserve">Lorsque la preuve ne permet pas de conclure que l’une des parties au fusionnement ou un tiers aurait pénétré le marché de manière indépendante, l’on ne peut conclure que le fusionnement aura vraisemblablement pour effet d’empêcher la concurrence. De même, si la preuve permet d’établir uniquement qu’il est possible que la partie au fusionnement pénètre le marché à l’avenir, l’on ne peut conclure à un </w:t>
      </w:r>
      <w:r w:rsidRPr="00B27419">
        <w:rPr>
          <w:rFonts w:cs="Times New Roman"/>
          <w:lang w:val="fr-CA"/>
        </w:rPr>
        <w:lastRenderedPageBreak/>
        <w:t>empêchement vraisemblable. À cet égard, je suis d’accord avec le juge Mainville</w:t>
      </w:r>
      <w:r w:rsidR="00E6271F" w:rsidRPr="00B27419">
        <w:rPr>
          <w:rFonts w:cs="Times New Roman"/>
          <w:lang w:val="fr-CA"/>
        </w:rPr>
        <w:t> :</w:t>
      </w:r>
      <w:r w:rsidRPr="00B27419">
        <w:rPr>
          <w:rFonts w:cs="Times New Roman"/>
          <w:lang w:val="fr-CA"/>
        </w:rPr>
        <w:t xml:space="preserve"> le délai de pénétration du marché doit être discernable (décision de la C.A.F., par.</w:t>
      </w:r>
      <w:r w:rsidR="00E6271F" w:rsidRPr="00B27419">
        <w:rPr>
          <w:rFonts w:cs="Times New Roman"/>
          <w:lang w:val="fr-CA"/>
        </w:rPr>
        <w:t xml:space="preserve"> </w:t>
      </w:r>
      <w:r w:rsidRPr="00B27419">
        <w:rPr>
          <w:rFonts w:cs="Times New Roman"/>
          <w:lang w:val="fr-CA"/>
        </w:rPr>
        <w:t xml:space="preserve">90). S’il ne faut pas nécessairement une </w:t>
      </w:r>
      <w:r w:rsidR="00B27419">
        <w:rPr>
          <w:rFonts w:cs="Times New Roman"/>
          <w:lang w:val="fr-CA"/>
        </w:rPr>
        <w:t>« </w:t>
      </w:r>
      <w:r w:rsidRPr="00B27419">
        <w:rPr>
          <w:rFonts w:cs="Times New Roman"/>
          <w:lang w:val="fr-CA"/>
        </w:rPr>
        <w:t>date précise</w:t>
      </w:r>
      <w:r w:rsidR="00B27419">
        <w:rPr>
          <w:rFonts w:cs="Times New Roman"/>
          <w:lang w:val="fr-CA"/>
        </w:rPr>
        <w:t> »</w:t>
      </w:r>
      <w:r w:rsidRPr="00B27419">
        <w:rPr>
          <w:rFonts w:cs="Times New Roman"/>
          <w:lang w:val="fr-CA"/>
        </w:rPr>
        <w:t xml:space="preserve"> (</w:t>
      </w:r>
      <w:r w:rsidRPr="00B27419">
        <w:rPr>
          <w:rFonts w:cs="Times New Roman"/>
          <w:i/>
          <w:lang w:val="fr-CA"/>
        </w:rPr>
        <w:t>ibid.</w:t>
      </w:r>
      <w:r w:rsidRPr="00B27419">
        <w:rPr>
          <w:rFonts w:cs="Times New Roman"/>
          <w:lang w:val="fr-CA"/>
        </w:rPr>
        <w:t xml:space="preserve">), il doit cependant y avoir une preuve du moment où la partie au fusionnement aurait, de façon réaliste, pénétré le marché en l’absence du fusionnement. Sinon, c’est de la simple conjecture, et il n’est pas satisfait à la condition de vraisemblance. Même lorsqu’il y a une preuve d’un délai de pénétration du marché de manière indépendante, plus on regarde loin dans le futur, moins cette prédiction sera fiable. Le Tribunal doit faire preuve de prudence avant de déclarer qu’un long délai est discernable, surtout lorsque la pénétration du marché dépend d’un certain nombre d’impondérables. </w:t>
      </w:r>
    </w:p>
    <w:p w:rsidR="0039493A" w:rsidRPr="00B27419" w:rsidRDefault="0039493A" w:rsidP="00B27419">
      <w:pPr>
        <w:pStyle w:val="ParaNoNdepar-AltN"/>
        <w:rPr>
          <w:rFonts w:cs="Times New Roman"/>
          <w:lang w:val="fr-CA"/>
        </w:rPr>
      </w:pPr>
      <w:r w:rsidRPr="00B27419">
        <w:rPr>
          <w:rFonts w:cs="Times New Roman"/>
          <w:lang w:val="fr-CA"/>
        </w:rPr>
        <w:t xml:space="preserve">Si je comprends bien, </w:t>
      </w:r>
      <w:proofErr w:type="spellStart"/>
      <w:r w:rsidRPr="00B27419">
        <w:rPr>
          <w:rFonts w:cs="Times New Roman"/>
          <w:lang w:val="fr-CA"/>
        </w:rPr>
        <w:t>Tervita</w:t>
      </w:r>
      <w:proofErr w:type="spellEnd"/>
      <w:r w:rsidRPr="00B27419">
        <w:rPr>
          <w:rFonts w:cs="Times New Roman"/>
          <w:lang w:val="fr-CA"/>
        </w:rPr>
        <w:t xml:space="preserve"> cherche à circonscrire l’examen prospectif du Tribunal aux seuls éléments qu’il est possible de dégager des éléments d’actif, des plans et des activités des parties au fusionnement à la date de celui</w:t>
      </w:r>
      <w:r w:rsidR="00E6271F" w:rsidRPr="00B27419">
        <w:rPr>
          <w:rFonts w:cs="Times New Roman"/>
          <w:lang w:val="fr-CA"/>
        </w:rPr>
        <w:t>-</w:t>
      </w:r>
      <w:r w:rsidRPr="00B27419">
        <w:rPr>
          <w:rFonts w:cs="Times New Roman"/>
          <w:lang w:val="fr-CA"/>
        </w:rPr>
        <w:t>ci. Or, à mon avis, rien ne permet en droit de restreindre ainsi la preuve que le Tribunal peut examiner.</w:t>
      </w:r>
    </w:p>
    <w:p w:rsidR="0039493A" w:rsidRPr="00B27419" w:rsidRDefault="0039493A" w:rsidP="00B27419">
      <w:pPr>
        <w:pStyle w:val="ParaNoNdepar-AltN"/>
        <w:rPr>
          <w:rFonts w:cs="Times New Roman"/>
          <w:lang w:val="fr-CA"/>
        </w:rPr>
      </w:pPr>
      <w:r w:rsidRPr="00B27419">
        <w:rPr>
          <w:rFonts w:cs="Times New Roman"/>
          <w:lang w:val="fr-CA"/>
        </w:rPr>
        <w:t>Selon le juge Mainville, la période visée par un tel examen prospectif — à savoir si, en l’absence du fusionnement, la partie à celui</w:t>
      </w:r>
      <w:r w:rsidR="00E6271F" w:rsidRPr="00B27419">
        <w:rPr>
          <w:rFonts w:cs="Times New Roman"/>
          <w:lang w:val="fr-CA"/>
        </w:rPr>
        <w:t>-</w:t>
      </w:r>
      <w:r w:rsidRPr="00B27419">
        <w:rPr>
          <w:rFonts w:cs="Times New Roman"/>
          <w:lang w:val="fr-CA"/>
        </w:rPr>
        <w:t xml:space="preserve">ci aurait pénétré le marché — est normalement fonction du délai de pénétration du marché compte tenu des obstacles, qu’il a qualifiée de </w:t>
      </w:r>
      <w:r w:rsidR="00B27419">
        <w:rPr>
          <w:rFonts w:cs="Times New Roman"/>
          <w:lang w:val="fr-CA"/>
        </w:rPr>
        <w:t>« </w:t>
      </w:r>
      <w:r w:rsidRPr="00B27419">
        <w:rPr>
          <w:rFonts w:cs="Times New Roman"/>
          <w:lang w:val="fr-CA"/>
        </w:rPr>
        <w:t>dimension temporelle</w:t>
      </w:r>
      <w:r w:rsidR="00B27419">
        <w:rPr>
          <w:rFonts w:cs="Times New Roman"/>
          <w:lang w:val="fr-CA"/>
        </w:rPr>
        <w:t> »</w:t>
      </w:r>
      <w:r w:rsidRPr="00B27419">
        <w:rPr>
          <w:rFonts w:cs="Times New Roman"/>
          <w:lang w:val="fr-CA"/>
        </w:rPr>
        <w:t xml:space="preserve"> des obstacles à l’entrée</w:t>
      </w:r>
      <w:r w:rsidR="00E6271F" w:rsidRPr="00B27419">
        <w:rPr>
          <w:rFonts w:cs="Times New Roman"/>
          <w:lang w:val="fr-CA"/>
        </w:rPr>
        <w:t> :</w:t>
      </w:r>
      <w:r w:rsidRPr="00B27419">
        <w:rPr>
          <w:rFonts w:cs="Times New Roman"/>
          <w:lang w:val="fr-CA"/>
        </w:rPr>
        <w:t xml:space="preserve"> </w:t>
      </w:r>
      <w:r w:rsidR="00B27419">
        <w:rPr>
          <w:rFonts w:cs="Times New Roman"/>
          <w:lang w:val="fr-CA"/>
        </w:rPr>
        <w:t>« </w:t>
      </w:r>
      <w:r w:rsidRPr="00B27419">
        <w:rPr>
          <w:rFonts w:cs="Times New Roman"/>
          <w:lang w:val="fr-CA"/>
        </w:rPr>
        <w:t>.</w:t>
      </w:r>
      <w:r w:rsidR="00E6271F" w:rsidRPr="00B27419">
        <w:rPr>
          <w:rFonts w:cs="Times New Roman"/>
          <w:lang w:val="fr-CA"/>
        </w:rPr>
        <w:t xml:space="preserve"> </w:t>
      </w:r>
      <w:r w:rsidRPr="00B27419">
        <w:rPr>
          <w:rFonts w:cs="Times New Roman"/>
          <w:lang w:val="fr-CA"/>
        </w:rPr>
        <w:t>.</w:t>
      </w:r>
      <w:r w:rsidR="00E6271F" w:rsidRPr="00B27419">
        <w:rPr>
          <w:rFonts w:cs="Times New Roman"/>
          <w:lang w:val="fr-CA"/>
        </w:rPr>
        <w:t xml:space="preserve"> </w:t>
      </w:r>
      <w:r w:rsidRPr="00B27419">
        <w:rPr>
          <w:rFonts w:cs="Times New Roman"/>
          <w:lang w:val="fr-CA"/>
        </w:rPr>
        <w:t>. le délai de pénétration du marché devrait normalement s’inscrire dans la dimension temporelle des obstacles à la pénétration du marché en question</w:t>
      </w:r>
      <w:r w:rsidR="00B27419">
        <w:rPr>
          <w:rFonts w:cs="Times New Roman"/>
          <w:lang w:val="fr-CA"/>
        </w:rPr>
        <w:t> »</w:t>
      </w:r>
      <w:r w:rsidRPr="00B27419">
        <w:rPr>
          <w:rFonts w:cs="Times New Roman"/>
          <w:lang w:val="fr-CA"/>
        </w:rPr>
        <w:t xml:space="preserve"> (décision de la C.A.F., par.</w:t>
      </w:r>
      <w:r w:rsidR="00E6271F" w:rsidRPr="00B27419">
        <w:rPr>
          <w:rFonts w:cs="Times New Roman"/>
          <w:lang w:val="fr-CA"/>
        </w:rPr>
        <w:t xml:space="preserve"> </w:t>
      </w:r>
      <w:r w:rsidRPr="00B27419">
        <w:rPr>
          <w:rFonts w:cs="Times New Roman"/>
          <w:lang w:val="fr-CA"/>
        </w:rPr>
        <w:t xml:space="preserve">91). </w:t>
      </w:r>
    </w:p>
    <w:p w:rsidR="0039493A" w:rsidRPr="00B27419" w:rsidRDefault="0039493A" w:rsidP="00B27419">
      <w:pPr>
        <w:pStyle w:val="ParaNoNdepar-AltN"/>
        <w:rPr>
          <w:rFonts w:cs="Times New Roman"/>
          <w:lang w:val="fr-CA"/>
        </w:rPr>
      </w:pPr>
      <w:r w:rsidRPr="00B27419">
        <w:rPr>
          <w:rFonts w:cs="Times New Roman"/>
          <w:lang w:val="fr-CA"/>
        </w:rPr>
        <w:lastRenderedPageBreak/>
        <w:t>Les obstacles à la pénétration du marché se rapportent au degré de facilité qu’éprouverait une entreprise à s’établir dans le marché en question en tant que concurrente viable (</w:t>
      </w:r>
      <w:r w:rsidRPr="00B27419">
        <w:rPr>
          <w:rFonts w:cs="Times New Roman"/>
          <w:i/>
          <w:lang w:val="fr-CA"/>
        </w:rPr>
        <w:t>Canada (Directeur des enquêtes et recherches</w:t>
      </w:r>
      <w:r w:rsidR="00E6271F" w:rsidRPr="00B27419">
        <w:rPr>
          <w:rFonts w:cs="Times New Roman"/>
          <w:i/>
          <w:lang w:val="fr-CA"/>
        </w:rPr>
        <w:t xml:space="preserve"> : </w:t>
      </w:r>
      <w:r w:rsidR="00031B08" w:rsidRPr="00B27419">
        <w:rPr>
          <w:rFonts w:cs="Times New Roman"/>
          <w:i/>
          <w:lang w:val="fr-CA"/>
        </w:rPr>
        <w:t>Loi sur la concurrence</w:t>
      </w:r>
      <w:r w:rsidRPr="00B27419">
        <w:rPr>
          <w:rFonts w:cs="Times New Roman"/>
          <w:i/>
          <w:lang w:val="fr-CA"/>
        </w:rPr>
        <w:t xml:space="preserve">) c. </w:t>
      </w:r>
      <w:proofErr w:type="spellStart"/>
      <w:r w:rsidRPr="00B27419">
        <w:rPr>
          <w:rFonts w:cs="Times New Roman"/>
          <w:i/>
          <w:lang w:val="fr-CA"/>
        </w:rPr>
        <w:t>Laidlaw</w:t>
      </w:r>
      <w:proofErr w:type="spellEnd"/>
      <w:r w:rsidRPr="00B27419">
        <w:rPr>
          <w:rFonts w:cs="Times New Roman"/>
          <w:i/>
          <w:lang w:val="fr-CA"/>
        </w:rPr>
        <w:t xml:space="preserve"> </w:t>
      </w:r>
      <w:proofErr w:type="spellStart"/>
      <w:r w:rsidRPr="00B27419">
        <w:rPr>
          <w:rFonts w:cs="Times New Roman"/>
          <w:i/>
          <w:lang w:val="fr-CA"/>
        </w:rPr>
        <w:t>Waste</w:t>
      </w:r>
      <w:proofErr w:type="spellEnd"/>
      <w:r w:rsidRPr="00B27419">
        <w:rPr>
          <w:rFonts w:cs="Times New Roman"/>
          <w:i/>
          <w:lang w:val="fr-CA"/>
        </w:rPr>
        <w:t xml:space="preserve"> Systems Ltd.</w:t>
      </w:r>
      <w:r w:rsidRPr="00B27419">
        <w:rPr>
          <w:rFonts w:cs="Times New Roman"/>
          <w:lang w:val="fr-CA"/>
        </w:rPr>
        <w:t>, [1992] D.T.C.C. n</w:t>
      </w:r>
      <w:r w:rsidRPr="00B27419">
        <w:rPr>
          <w:rFonts w:cs="Times New Roman"/>
          <w:vertAlign w:val="superscript"/>
          <w:lang w:val="fr-CA"/>
        </w:rPr>
        <w:t>o</w:t>
      </w:r>
      <w:r w:rsidR="00E6271F" w:rsidRPr="00B27419">
        <w:rPr>
          <w:rFonts w:cs="Times New Roman"/>
          <w:lang w:val="fr-CA"/>
        </w:rPr>
        <w:t xml:space="preserve"> </w:t>
      </w:r>
      <w:r w:rsidRPr="00B27419">
        <w:rPr>
          <w:rFonts w:cs="Times New Roman"/>
          <w:lang w:val="fr-CA"/>
        </w:rPr>
        <w:t>1 (QL), p.</w:t>
      </w:r>
      <w:r w:rsidR="00E6271F" w:rsidRPr="00B27419">
        <w:rPr>
          <w:rFonts w:cs="Times New Roman"/>
          <w:lang w:val="fr-CA"/>
        </w:rPr>
        <w:t xml:space="preserve"> </w:t>
      </w:r>
      <w:r w:rsidRPr="00B27419">
        <w:rPr>
          <w:rFonts w:cs="Times New Roman"/>
          <w:lang w:val="fr-CA"/>
        </w:rPr>
        <w:t>42</w:t>
      </w:r>
      <w:r w:rsidR="00E6271F" w:rsidRPr="00B27419">
        <w:rPr>
          <w:rFonts w:cs="Times New Roman"/>
          <w:lang w:val="fr-CA"/>
        </w:rPr>
        <w:t>-</w:t>
      </w:r>
      <w:r w:rsidRPr="00B27419">
        <w:rPr>
          <w:rFonts w:cs="Times New Roman"/>
          <w:lang w:val="fr-CA"/>
        </w:rPr>
        <w:t>43). Le délai de pénétration d’un marché découlant des obstacles à cette pénétration (</w:t>
      </w:r>
      <w:r w:rsidR="00B27419">
        <w:rPr>
          <w:rFonts w:cs="Times New Roman"/>
          <w:lang w:val="fr-CA"/>
        </w:rPr>
        <w:t>« </w:t>
      </w:r>
      <w:r w:rsidRPr="00B27419">
        <w:rPr>
          <w:rFonts w:cs="Times New Roman"/>
          <w:lang w:val="fr-CA"/>
        </w:rPr>
        <w:t>délai de pénétration</w:t>
      </w:r>
      <w:r w:rsidR="00701481">
        <w:rPr>
          <w:rFonts w:cs="Times New Roman"/>
          <w:lang w:val="fr-CA"/>
        </w:rPr>
        <w:t> </w:t>
      </w:r>
      <w:r w:rsidRPr="00B27419">
        <w:rPr>
          <w:rFonts w:cs="Times New Roman"/>
          <w:lang w:val="fr-CA"/>
        </w:rPr>
        <w:t>») s’entend de la période qu’un nouveau concurrent aux prises avec certains obstacles et qui agit avec diligence pour les surmonter pourrait voir s’écouler lorsqu’il tente de pénétrer le marché.</w:t>
      </w:r>
    </w:p>
    <w:p w:rsidR="0039493A" w:rsidRPr="00B27419" w:rsidRDefault="0039493A" w:rsidP="00B27419">
      <w:pPr>
        <w:pStyle w:val="ParaNoNdepar-AltN"/>
        <w:rPr>
          <w:rFonts w:cs="Times New Roman"/>
          <w:lang w:val="fr-CA"/>
        </w:rPr>
      </w:pPr>
      <w:r w:rsidRPr="00B27419">
        <w:rPr>
          <w:rFonts w:cs="Times New Roman"/>
          <w:lang w:val="fr-CA"/>
        </w:rPr>
        <w:t>En désignant le délai de pénétration comme étant la période pertinente pour l’analyse, le juge</w:t>
      </w:r>
      <w:r w:rsidR="00E6271F" w:rsidRPr="00B27419">
        <w:rPr>
          <w:rFonts w:cs="Times New Roman"/>
          <w:lang w:val="fr-CA"/>
        </w:rPr>
        <w:t xml:space="preserve"> </w:t>
      </w:r>
      <w:r w:rsidRPr="00B27419">
        <w:rPr>
          <w:rFonts w:cs="Times New Roman"/>
          <w:lang w:val="fr-CA"/>
        </w:rPr>
        <w:t xml:space="preserve">Mainville a renvoyé à l’affaire américaine </w:t>
      </w:r>
      <w:r w:rsidRPr="00B27419">
        <w:rPr>
          <w:rFonts w:cs="Times New Roman"/>
          <w:i/>
          <w:lang w:val="fr-CA"/>
        </w:rPr>
        <w:t xml:space="preserve">BOC International Ltd. c. </w:t>
      </w:r>
      <w:proofErr w:type="spellStart"/>
      <w:r w:rsidRPr="00B27419">
        <w:rPr>
          <w:rFonts w:cs="Times New Roman"/>
          <w:i/>
          <w:lang w:val="fr-CA"/>
        </w:rPr>
        <w:t>Federal</w:t>
      </w:r>
      <w:proofErr w:type="spellEnd"/>
      <w:r w:rsidRPr="00B27419">
        <w:rPr>
          <w:rFonts w:cs="Times New Roman"/>
          <w:i/>
          <w:lang w:val="fr-CA"/>
        </w:rPr>
        <w:t xml:space="preserve"> Trade Commission</w:t>
      </w:r>
      <w:r w:rsidRPr="00B27419">
        <w:rPr>
          <w:rFonts w:cs="Times New Roman"/>
          <w:lang w:val="fr-CA"/>
        </w:rPr>
        <w:t xml:space="preserve">, 557 F.2d 24 (2d </w:t>
      </w:r>
      <w:proofErr w:type="spellStart"/>
      <w:r w:rsidRPr="00B27419">
        <w:rPr>
          <w:rFonts w:cs="Times New Roman"/>
          <w:lang w:val="fr-CA"/>
        </w:rPr>
        <w:t>Cir</w:t>
      </w:r>
      <w:proofErr w:type="spellEnd"/>
      <w:r w:rsidRPr="00B27419">
        <w:rPr>
          <w:rFonts w:cs="Times New Roman"/>
          <w:lang w:val="fr-CA"/>
        </w:rPr>
        <w:t>. 1977), dans laquelle il fallait déterminer si un fusionnement contrevenait à l’art.</w:t>
      </w:r>
      <w:r w:rsidR="00E6271F" w:rsidRPr="00B27419">
        <w:rPr>
          <w:rFonts w:cs="Times New Roman"/>
          <w:lang w:val="fr-CA"/>
        </w:rPr>
        <w:t xml:space="preserve"> </w:t>
      </w:r>
      <w:r w:rsidRPr="00B27419">
        <w:rPr>
          <w:rFonts w:cs="Times New Roman"/>
          <w:lang w:val="fr-CA"/>
        </w:rPr>
        <w:t xml:space="preserve">7 de la </w:t>
      </w:r>
      <w:r w:rsidRPr="00B27419">
        <w:rPr>
          <w:rFonts w:cs="Times New Roman"/>
          <w:i/>
          <w:lang w:val="fr-CA"/>
        </w:rPr>
        <w:t xml:space="preserve">Clayton </w:t>
      </w:r>
      <w:proofErr w:type="spellStart"/>
      <w:r w:rsidRPr="00B27419">
        <w:rPr>
          <w:rFonts w:cs="Times New Roman"/>
          <w:i/>
          <w:lang w:val="fr-CA"/>
        </w:rPr>
        <w:t>Act</w:t>
      </w:r>
      <w:proofErr w:type="spellEnd"/>
      <w:r w:rsidRPr="00B27419">
        <w:rPr>
          <w:rFonts w:cs="Times New Roman"/>
          <w:lang w:val="fr-CA"/>
        </w:rPr>
        <w:t>, 15 U.S.C. §</w:t>
      </w:r>
      <w:r w:rsidR="00E6271F" w:rsidRPr="00B27419">
        <w:rPr>
          <w:rFonts w:cs="Times New Roman"/>
          <w:lang w:val="fr-CA"/>
        </w:rPr>
        <w:t xml:space="preserve"> </w:t>
      </w:r>
      <w:r w:rsidRPr="00B27419">
        <w:rPr>
          <w:rFonts w:cs="Times New Roman"/>
          <w:lang w:val="fr-CA"/>
        </w:rPr>
        <w:t>18, sur le fondement de la doctrine de la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concurrence éventuelle véritable</w:t>
      </w:r>
      <w:r w:rsidR="00B27419">
        <w:rPr>
          <w:rFonts w:cs="Times New Roman"/>
          <w:lang w:val="fr-CA"/>
        </w:rPr>
        <w:t> »</w:t>
      </w:r>
      <w:r w:rsidRPr="00B27419">
        <w:rPr>
          <w:rFonts w:cs="Times New Roman"/>
          <w:lang w:val="fr-CA"/>
        </w:rPr>
        <w:t>, l’équivalent aux É.</w:t>
      </w:r>
      <w:r w:rsidR="00E6271F" w:rsidRPr="00B27419">
        <w:rPr>
          <w:rFonts w:cs="Times New Roman"/>
          <w:lang w:val="fr-CA"/>
        </w:rPr>
        <w:t>-</w:t>
      </w:r>
      <w:r w:rsidRPr="00B27419">
        <w:rPr>
          <w:rFonts w:cs="Times New Roman"/>
          <w:lang w:val="fr-CA"/>
        </w:rPr>
        <w:t xml:space="preserve">U. du volet relatif à </w:t>
      </w:r>
      <w:r w:rsidR="00B27419">
        <w:rPr>
          <w:rFonts w:cs="Times New Roman"/>
          <w:lang w:val="fr-CA"/>
        </w:rPr>
        <w:t>« </w:t>
      </w:r>
      <w:r w:rsidRPr="00B27419">
        <w:rPr>
          <w:rFonts w:cs="Times New Roman"/>
          <w:lang w:val="fr-CA"/>
        </w:rPr>
        <w:t>l’empêchement</w:t>
      </w:r>
      <w:r w:rsidR="00B27419">
        <w:rPr>
          <w:rFonts w:cs="Times New Roman"/>
          <w:lang w:val="fr-CA"/>
        </w:rPr>
        <w:t> »</w:t>
      </w:r>
      <w:r w:rsidRPr="00B27419">
        <w:rPr>
          <w:rFonts w:cs="Times New Roman"/>
          <w:lang w:val="fr-CA"/>
        </w:rPr>
        <w:t xml:space="preserve"> de l’art.</w:t>
      </w:r>
      <w:r w:rsidR="00E6271F" w:rsidRPr="00B27419">
        <w:rPr>
          <w:rFonts w:cs="Times New Roman"/>
          <w:lang w:val="fr-CA"/>
        </w:rPr>
        <w:t xml:space="preserve"> </w:t>
      </w:r>
      <w:r w:rsidRPr="00B27419">
        <w:rPr>
          <w:rFonts w:cs="Times New Roman"/>
          <w:lang w:val="fr-CA"/>
        </w:rPr>
        <w:t xml:space="preserve">92 de la Loi. L’affaire </w:t>
      </w:r>
      <w:r w:rsidRPr="00B27419">
        <w:rPr>
          <w:rFonts w:cs="Times New Roman"/>
          <w:i/>
          <w:lang w:val="fr-CA"/>
        </w:rPr>
        <w:t>BOC International</w:t>
      </w:r>
      <w:r w:rsidRPr="00B27419">
        <w:rPr>
          <w:rFonts w:cs="Times New Roman"/>
          <w:lang w:val="fr-CA"/>
        </w:rPr>
        <w:t xml:space="preserve"> soulevait la question de savoir si la preuve était suffisante pour qu’il soit satisfait à la doctrine de la </w:t>
      </w:r>
      <w:r w:rsidR="00B27419">
        <w:rPr>
          <w:rFonts w:cs="Times New Roman"/>
          <w:lang w:val="fr-CA"/>
        </w:rPr>
        <w:t>« </w:t>
      </w:r>
      <w:r w:rsidRPr="00B27419">
        <w:rPr>
          <w:rFonts w:cs="Times New Roman"/>
          <w:lang w:val="fr-CA"/>
        </w:rPr>
        <w:t>concurrence éventuelle véritable</w:t>
      </w:r>
      <w:r w:rsidR="00B27419">
        <w:rPr>
          <w:rFonts w:cs="Times New Roman"/>
          <w:lang w:val="fr-CA"/>
        </w:rPr>
        <w:t> »</w:t>
      </w:r>
      <w:r w:rsidRPr="00B27419">
        <w:rPr>
          <w:rFonts w:cs="Times New Roman"/>
          <w:lang w:val="fr-CA"/>
        </w:rPr>
        <w:t xml:space="preserve">. La </w:t>
      </w:r>
      <w:proofErr w:type="spellStart"/>
      <w:r w:rsidRPr="00B27419">
        <w:rPr>
          <w:rFonts w:cs="Times New Roman"/>
          <w:lang w:val="fr-CA"/>
        </w:rPr>
        <w:t>Federal</w:t>
      </w:r>
      <w:proofErr w:type="spellEnd"/>
      <w:r w:rsidRPr="00B27419">
        <w:rPr>
          <w:rFonts w:cs="Times New Roman"/>
          <w:lang w:val="fr-CA"/>
        </w:rPr>
        <w:t xml:space="preserve"> Trade Commission des </w:t>
      </w:r>
      <w:r w:rsidR="00701481">
        <w:rPr>
          <w:rFonts w:cs="Times New Roman"/>
          <w:lang w:val="fr-CA"/>
        </w:rPr>
        <w:t>É.-U.</w:t>
      </w:r>
      <w:r w:rsidRPr="00B27419">
        <w:rPr>
          <w:rFonts w:cs="Times New Roman"/>
          <w:lang w:val="fr-CA"/>
        </w:rPr>
        <w:t xml:space="preserve"> a conclu qu’il était </w:t>
      </w:r>
      <w:r w:rsidR="00B27419">
        <w:rPr>
          <w:rFonts w:cs="Times New Roman"/>
          <w:lang w:val="fr-CA"/>
        </w:rPr>
        <w:t>« </w:t>
      </w:r>
      <w:r w:rsidRPr="00B27419">
        <w:rPr>
          <w:rFonts w:cs="Times New Roman"/>
          <w:lang w:val="fr-CA"/>
        </w:rPr>
        <w:t>raisonnablement probable</w:t>
      </w:r>
      <w:r w:rsidR="00B27419">
        <w:rPr>
          <w:rFonts w:cs="Times New Roman"/>
          <w:lang w:val="fr-CA"/>
        </w:rPr>
        <w:t> »</w:t>
      </w:r>
      <w:r w:rsidRPr="00B27419">
        <w:rPr>
          <w:rFonts w:cs="Times New Roman"/>
          <w:lang w:val="fr-CA"/>
        </w:rPr>
        <w:t xml:space="preserve"> que l’entreprise </w:t>
      </w:r>
      <w:proofErr w:type="spellStart"/>
      <w:r w:rsidRPr="00B27419">
        <w:rPr>
          <w:rFonts w:cs="Times New Roman"/>
          <w:lang w:val="fr-CA"/>
        </w:rPr>
        <w:t>acquérante</w:t>
      </w:r>
      <w:proofErr w:type="spellEnd"/>
      <w:r w:rsidRPr="00B27419">
        <w:rPr>
          <w:rFonts w:cs="Times New Roman"/>
          <w:lang w:val="fr-CA"/>
        </w:rPr>
        <w:t xml:space="preserve"> aurait </w:t>
      </w:r>
      <w:r w:rsidR="00B27419">
        <w:rPr>
          <w:rFonts w:cs="Times New Roman"/>
          <w:lang w:val="fr-CA"/>
        </w:rPr>
        <w:t>« </w:t>
      </w:r>
      <w:r w:rsidRPr="00B27419">
        <w:rPr>
          <w:rFonts w:cs="Times New Roman"/>
          <w:lang w:val="fr-CA"/>
        </w:rPr>
        <w:t>fini par pénétrer</w:t>
      </w:r>
      <w:r w:rsidR="00B27419">
        <w:rPr>
          <w:rFonts w:cs="Times New Roman"/>
          <w:lang w:val="fr-CA"/>
        </w:rPr>
        <w:t> »</w:t>
      </w:r>
      <w:r w:rsidRPr="00B27419">
        <w:rPr>
          <w:rFonts w:cs="Times New Roman"/>
          <w:lang w:val="fr-CA"/>
        </w:rPr>
        <w:t xml:space="preserve"> le marché américain, n’eût été l’acquisition par elle de la société acquise (</w:t>
      </w:r>
      <w:r w:rsidRPr="00B27419">
        <w:rPr>
          <w:rFonts w:cs="Times New Roman"/>
          <w:i/>
          <w:lang w:val="fr-CA"/>
        </w:rPr>
        <w:t>BOC International</w:t>
      </w:r>
      <w:r w:rsidRPr="00B27419">
        <w:rPr>
          <w:rFonts w:cs="Times New Roman"/>
          <w:lang w:val="fr-CA"/>
        </w:rPr>
        <w:t>, p.</w:t>
      </w:r>
      <w:r w:rsidR="00E6271F" w:rsidRPr="00B27419">
        <w:rPr>
          <w:rFonts w:cs="Times New Roman"/>
          <w:lang w:val="fr-CA"/>
        </w:rPr>
        <w:t xml:space="preserve"> </w:t>
      </w:r>
      <w:r w:rsidRPr="00B27419">
        <w:rPr>
          <w:rFonts w:cs="Times New Roman"/>
          <w:lang w:val="fr-CA"/>
        </w:rPr>
        <w:t xml:space="preserve">28). </w:t>
      </w:r>
    </w:p>
    <w:p w:rsidR="0039493A" w:rsidRPr="00B27419" w:rsidRDefault="0039493A" w:rsidP="00B27419">
      <w:pPr>
        <w:pStyle w:val="ParaNoNdepar-AltN"/>
        <w:rPr>
          <w:rFonts w:cs="Times New Roman"/>
          <w:lang w:val="fr-CA"/>
        </w:rPr>
      </w:pPr>
      <w:r w:rsidRPr="00B27419">
        <w:rPr>
          <w:rFonts w:cs="Times New Roman"/>
          <w:lang w:val="fr-CA"/>
        </w:rPr>
        <w:t xml:space="preserve">La Second Circuit Court of </w:t>
      </w:r>
      <w:proofErr w:type="spellStart"/>
      <w:r w:rsidRPr="00B27419">
        <w:rPr>
          <w:rFonts w:cs="Times New Roman"/>
          <w:lang w:val="fr-CA"/>
        </w:rPr>
        <w:t>Appeals</w:t>
      </w:r>
      <w:proofErr w:type="spellEnd"/>
      <w:r w:rsidRPr="00B27419">
        <w:rPr>
          <w:rFonts w:cs="Times New Roman"/>
          <w:lang w:val="fr-CA"/>
        </w:rPr>
        <w:t xml:space="preserve"> a statué que l’emploi de l’expression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finir par pénétrer</w:t>
      </w:r>
      <w:r w:rsidR="00B27419">
        <w:rPr>
          <w:rFonts w:cs="Times New Roman"/>
          <w:lang w:val="fr-CA"/>
        </w:rPr>
        <w:t> »</w:t>
      </w:r>
      <w:r w:rsidRPr="00B27419">
        <w:rPr>
          <w:rFonts w:cs="Times New Roman"/>
          <w:lang w:val="fr-CA"/>
        </w:rPr>
        <w:t xml:space="preserve"> faisait reposer largement le critère général sur </w:t>
      </w:r>
      <w:r w:rsidR="00B27419">
        <w:rPr>
          <w:rFonts w:cs="Times New Roman"/>
          <w:lang w:val="fr-CA"/>
        </w:rPr>
        <w:lastRenderedPageBreak/>
        <w:t>« </w:t>
      </w:r>
      <w:r w:rsidRPr="00B27419">
        <w:rPr>
          <w:rFonts w:cs="Times New Roman"/>
          <w:lang w:val="fr-CA"/>
        </w:rPr>
        <w:t>des possibilités éphémères</w:t>
      </w:r>
      <w:r w:rsidR="00B27419">
        <w:rPr>
          <w:rFonts w:cs="Times New Roman"/>
          <w:lang w:val="fr-CA"/>
        </w:rPr>
        <w:t> »</w:t>
      </w:r>
      <w:r w:rsidRPr="00B27419">
        <w:rPr>
          <w:rFonts w:cs="Times New Roman"/>
          <w:lang w:val="fr-CA"/>
        </w:rPr>
        <w:t xml:space="preserve"> (</w:t>
      </w:r>
      <w:r w:rsidRPr="00B27419">
        <w:rPr>
          <w:rFonts w:cs="Times New Roman"/>
          <w:i/>
          <w:lang w:val="fr-CA"/>
        </w:rPr>
        <w:t>BOC International</w:t>
      </w:r>
      <w:r w:rsidRPr="00B27419">
        <w:rPr>
          <w:rFonts w:cs="Times New Roman"/>
          <w:lang w:val="fr-CA"/>
        </w:rPr>
        <w:t>, p.</w:t>
      </w:r>
      <w:r w:rsidR="00E6271F" w:rsidRPr="00B27419">
        <w:rPr>
          <w:rFonts w:cs="Times New Roman"/>
          <w:lang w:val="fr-CA"/>
        </w:rPr>
        <w:t xml:space="preserve"> </w:t>
      </w:r>
      <w:r w:rsidRPr="00B27419">
        <w:rPr>
          <w:rFonts w:cs="Times New Roman"/>
          <w:lang w:val="fr-CA"/>
        </w:rPr>
        <w:t>28</w:t>
      </w:r>
      <w:r w:rsidR="00E6271F" w:rsidRPr="00B27419">
        <w:rPr>
          <w:rFonts w:cs="Times New Roman"/>
          <w:lang w:val="fr-CA"/>
        </w:rPr>
        <w:t>-</w:t>
      </w:r>
      <w:r w:rsidRPr="00B27419">
        <w:rPr>
          <w:rFonts w:cs="Times New Roman"/>
          <w:lang w:val="fr-CA"/>
        </w:rPr>
        <w:t xml:space="preserve">29). Un véritable nouveau concurrent éventuel devrait s’attendre à pénétrer le marché dans un </w:t>
      </w:r>
      <w:r w:rsidR="00B27419">
        <w:rPr>
          <w:rFonts w:cs="Times New Roman"/>
          <w:lang w:val="fr-CA"/>
        </w:rPr>
        <w:t>« </w:t>
      </w:r>
      <w:r w:rsidRPr="00B27419">
        <w:rPr>
          <w:rFonts w:cs="Times New Roman"/>
          <w:lang w:val="fr-CA"/>
        </w:rPr>
        <w:t>proche</w:t>
      </w:r>
      <w:r w:rsidR="00B27419">
        <w:rPr>
          <w:rFonts w:cs="Times New Roman"/>
          <w:lang w:val="fr-CA"/>
        </w:rPr>
        <w:t> »</w:t>
      </w:r>
      <w:r w:rsidRPr="00B27419">
        <w:rPr>
          <w:rFonts w:cs="Times New Roman"/>
          <w:lang w:val="fr-CA"/>
        </w:rPr>
        <w:t xml:space="preserve"> avenir, le qualificatif </w:t>
      </w:r>
      <w:r w:rsidR="00B27419">
        <w:rPr>
          <w:rFonts w:cs="Times New Roman"/>
          <w:lang w:val="fr-CA"/>
        </w:rPr>
        <w:t>« </w:t>
      </w:r>
      <w:r w:rsidRPr="00B27419">
        <w:rPr>
          <w:rFonts w:cs="Times New Roman"/>
          <w:lang w:val="fr-CA"/>
        </w:rPr>
        <w:t>proche</w:t>
      </w:r>
      <w:r w:rsidR="00B27419">
        <w:rPr>
          <w:rFonts w:cs="Times New Roman"/>
          <w:lang w:val="fr-CA"/>
        </w:rPr>
        <w:t> »</w:t>
      </w:r>
      <w:r w:rsidRPr="00B27419">
        <w:rPr>
          <w:rFonts w:cs="Times New Roman"/>
          <w:lang w:val="fr-CA"/>
        </w:rPr>
        <w:t xml:space="preserve"> étant défini par rapport aux obstacles à la pénétration qui sont pertinents dans l’industrie en question</w:t>
      </w:r>
      <w:r w:rsidR="00E6271F" w:rsidRPr="00B27419">
        <w:rPr>
          <w:rFonts w:cs="Times New Roman"/>
          <w:lang w:val="fr-CA"/>
        </w:rPr>
        <w:t> :</w:t>
      </w:r>
      <w:r w:rsidRPr="00B27419">
        <w:rPr>
          <w:rFonts w:cs="Times New Roman"/>
          <w:lang w:val="fr-CA"/>
        </w:rPr>
        <w:t xml:space="preserve"> </w:t>
      </w:r>
    </w:p>
    <w:p w:rsidR="0039493A" w:rsidRPr="00B27419" w:rsidRDefault="0039493A" w:rsidP="00B27419">
      <w:pPr>
        <w:pStyle w:val="Citation-AltC"/>
        <w:spacing w:after="240"/>
        <w:ind w:hanging="1166"/>
        <w:contextualSpacing w:val="0"/>
        <w:rPr>
          <w:lang w:val="fr-CA"/>
        </w:rPr>
      </w:pPr>
      <w:r w:rsidRPr="00B27419">
        <w:rPr>
          <w:lang w:val="fr-CA"/>
        </w:rPr>
        <w:tab/>
      </w:r>
      <w:r w:rsidR="008725A3" w:rsidRPr="00B27419">
        <w:rPr>
          <w:lang w:val="fr-CA"/>
        </w:rPr>
        <w:t>[</w:t>
      </w:r>
      <w:r w:rsidR="008725A3" w:rsidRPr="00B27419">
        <w:rPr>
          <w:smallCaps/>
          <w:lang w:val="fr-CA"/>
        </w:rPr>
        <w:t>traduction</w:t>
      </w:r>
      <w:r w:rsidR="008725A3" w:rsidRPr="00B27419">
        <w:rPr>
          <w:lang w:val="fr-CA"/>
        </w:rPr>
        <w:t xml:space="preserve">] </w:t>
      </w:r>
      <w:r w:rsidRPr="00B27419">
        <w:rPr>
          <w:lang w:val="fr-CA"/>
        </w:rPr>
        <w:t>.</w:t>
      </w:r>
      <w:r w:rsidR="00E6271F" w:rsidRPr="00B27419">
        <w:rPr>
          <w:lang w:val="fr-CA"/>
        </w:rPr>
        <w:t xml:space="preserve"> </w:t>
      </w:r>
      <w:r w:rsidRPr="00B27419">
        <w:rPr>
          <w:lang w:val="fr-CA"/>
        </w:rPr>
        <w:t>.</w:t>
      </w:r>
      <w:r w:rsidR="00E6271F" w:rsidRPr="00B27419">
        <w:rPr>
          <w:lang w:val="fr-CA"/>
        </w:rPr>
        <w:t xml:space="preserve"> </w:t>
      </w:r>
      <w:r w:rsidRPr="00B27419">
        <w:rPr>
          <w:lang w:val="fr-CA"/>
        </w:rPr>
        <w:t>. il semble nécessaire sous le régime de l’article</w:t>
      </w:r>
      <w:r w:rsidR="00E6271F" w:rsidRPr="00B27419">
        <w:rPr>
          <w:lang w:val="fr-CA"/>
        </w:rPr>
        <w:t xml:space="preserve"> </w:t>
      </w:r>
      <w:r w:rsidRPr="00B27419">
        <w:rPr>
          <w:lang w:val="fr-CA"/>
        </w:rPr>
        <w:t xml:space="preserve">7 que, pour en arriver à une conclusion de pénétration probable, on ait au moins une estimation temporelle raisonnable relativement à un proche avenir, le qualificatif </w:t>
      </w:r>
      <w:r w:rsidR="00B27419">
        <w:rPr>
          <w:lang w:val="fr-CA"/>
        </w:rPr>
        <w:t>« </w:t>
      </w:r>
      <w:r w:rsidRPr="00B27419">
        <w:rPr>
          <w:lang w:val="fr-CA"/>
        </w:rPr>
        <w:t>proche</w:t>
      </w:r>
      <w:r w:rsidR="00B27419">
        <w:rPr>
          <w:lang w:val="fr-CA"/>
        </w:rPr>
        <w:t> »</w:t>
      </w:r>
      <w:r w:rsidRPr="00B27419">
        <w:rPr>
          <w:lang w:val="fr-CA"/>
        </w:rPr>
        <w:t xml:space="preserve"> étant défini par rapport aux obstacles à la pénétration et aux délais requis pour la pénétration dans l’industrie en question, et que la conclusion repose sur une preuve substantielle au dossier. </w:t>
      </w:r>
    </w:p>
    <w:p w:rsidR="0039493A" w:rsidRPr="00B27419" w:rsidRDefault="0039493A" w:rsidP="00B27419">
      <w:pPr>
        <w:pStyle w:val="Citation-AltC"/>
        <w:ind w:hanging="1166"/>
        <w:contextualSpacing w:val="0"/>
        <w:rPr>
          <w:lang w:val="fr-CA"/>
        </w:rPr>
      </w:pPr>
      <w:r w:rsidRPr="00B27419">
        <w:rPr>
          <w:lang w:val="fr-CA"/>
        </w:rPr>
        <w:t>(</w:t>
      </w:r>
      <w:r w:rsidRPr="00B27419">
        <w:rPr>
          <w:i/>
          <w:lang w:val="fr-CA"/>
        </w:rPr>
        <w:t>BOC International</w:t>
      </w:r>
      <w:r w:rsidR="008725A3" w:rsidRPr="00B27419">
        <w:rPr>
          <w:lang w:val="fr-CA"/>
        </w:rPr>
        <w:t>, p.</w:t>
      </w:r>
      <w:r w:rsidR="00E6271F" w:rsidRPr="00B27419">
        <w:rPr>
          <w:lang w:val="fr-CA"/>
        </w:rPr>
        <w:t xml:space="preserve"> </w:t>
      </w:r>
      <w:r w:rsidR="008725A3" w:rsidRPr="00B27419">
        <w:rPr>
          <w:lang w:val="fr-CA"/>
        </w:rPr>
        <w:t>29)</w:t>
      </w:r>
    </w:p>
    <w:p w:rsidR="0039493A" w:rsidRPr="00B27419" w:rsidRDefault="0039493A" w:rsidP="00B27419">
      <w:pPr>
        <w:pStyle w:val="ParaNoNdepar-AltN"/>
        <w:rPr>
          <w:rFonts w:cs="Times New Roman"/>
          <w:lang w:val="fr-CA"/>
        </w:rPr>
      </w:pPr>
      <w:r w:rsidRPr="00B27419">
        <w:rPr>
          <w:rFonts w:cs="Times New Roman"/>
          <w:lang w:val="fr-CA"/>
        </w:rPr>
        <w:t xml:space="preserve">Ni le juge Mainville ni l’affaire </w:t>
      </w:r>
      <w:r w:rsidRPr="00B27419">
        <w:rPr>
          <w:rFonts w:cs="Times New Roman"/>
          <w:i/>
          <w:lang w:val="fr-CA"/>
        </w:rPr>
        <w:t>BOC International</w:t>
      </w:r>
      <w:r w:rsidRPr="00B27419">
        <w:rPr>
          <w:rFonts w:cs="Times New Roman"/>
          <w:lang w:val="fr-CA"/>
        </w:rPr>
        <w:t xml:space="preserve"> n’expliquent expressément pourquoi le délai de pénétration devrait permettre de déterminer la période visée par l’examen prospectif que fait le Tribunal pour décider si, n’eût été le fusionnement, il y aurait vraisemblablement eu pénétration indépendante du marché par une partie à celui</w:t>
      </w:r>
      <w:r w:rsidR="00E6271F" w:rsidRPr="00B27419">
        <w:rPr>
          <w:rFonts w:cs="Times New Roman"/>
          <w:lang w:val="fr-CA"/>
        </w:rPr>
        <w:t>-</w:t>
      </w:r>
      <w:r w:rsidRPr="00B27419">
        <w:rPr>
          <w:rFonts w:cs="Times New Roman"/>
          <w:lang w:val="fr-CA"/>
        </w:rPr>
        <w:t xml:space="preserve">ci. Le juge Mainville précise que le délai de pénétration devrait être vu comme étant une </w:t>
      </w:r>
      <w:r w:rsidR="00B27419">
        <w:rPr>
          <w:rFonts w:cs="Times New Roman"/>
          <w:lang w:val="fr-CA"/>
        </w:rPr>
        <w:t>« </w:t>
      </w:r>
      <w:r w:rsidRPr="00B27419">
        <w:rPr>
          <w:rFonts w:cs="Times New Roman"/>
          <w:lang w:val="fr-CA"/>
        </w:rPr>
        <w:t>ligne directrice, et non pas [une] règle temporelle coulée dans le béton</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91), mais il importe de souligner qu’il ne devrait pas justifier des prédictions dans un avenir éloigné. Dans certains contextes, ce délai peut être court; partant il est possible de déterminer avec suffisamment de précision si la pénétration du marché dans cette période est vraisemblable, de sorte que la condition de </w:t>
      </w:r>
      <w:r w:rsidR="00B27419">
        <w:rPr>
          <w:rFonts w:cs="Times New Roman"/>
          <w:lang w:val="fr-CA"/>
        </w:rPr>
        <w:t>« </w:t>
      </w:r>
      <w:r w:rsidRPr="00B27419">
        <w:rPr>
          <w:rFonts w:cs="Times New Roman"/>
          <w:lang w:val="fr-CA"/>
        </w:rPr>
        <w:t>vraisemblance</w:t>
      </w:r>
      <w:r w:rsidR="00B27419">
        <w:rPr>
          <w:rFonts w:cs="Times New Roman"/>
          <w:lang w:val="fr-CA"/>
        </w:rPr>
        <w:t> »</w:t>
      </w:r>
      <w:r w:rsidRPr="00B27419">
        <w:rPr>
          <w:rFonts w:cs="Times New Roman"/>
          <w:lang w:val="fr-CA"/>
        </w:rPr>
        <w:t xml:space="preserve"> soit remplie. Toutefois, dans d’autres contextes — par exemple ceux où le développement du produit ou les processus d’approbation réglementaires peuvent s’étaler sur des années —, le délai de pénétration peut être si long qu’une </w:t>
      </w:r>
      <w:r w:rsidRPr="00B27419">
        <w:rPr>
          <w:rFonts w:cs="Times New Roman"/>
          <w:lang w:val="fr-CA"/>
        </w:rPr>
        <w:lastRenderedPageBreak/>
        <w:t>décision quant à la probabilité d’une pénétration du marché avant la fin de cette période serait influencée par tant d’impondérables et inconnues qu’elle tiendrait en grande partie de la conjecture.</w:t>
      </w:r>
    </w:p>
    <w:p w:rsidR="0039493A" w:rsidRPr="00B27419" w:rsidRDefault="0039493A" w:rsidP="00B27419">
      <w:pPr>
        <w:pStyle w:val="ParaNoNdepar-AltN"/>
        <w:rPr>
          <w:rFonts w:cs="Times New Roman"/>
          <w:lang w:val="fr-CA"/>
        </w:rPr>
      </w:pPr>
      <w:r w:rsidRPr="00B27419">
        <w:rPr>
          <w:rFonts w:cs="Times New Roman"/>
          <w:lang w:val="fr-CA"/>
        </w:rPr>
        <w:t xml:space="preserve">La période qui peut être prise en considération dépend évidemment de la preuve produite dans un cas donné. La preuve doit être suffisante pour qu’il soit satisfait à la condition de </w:t>
      </w:r>
      <w:r w:rsidR="00B27419">
        <w:rPr>
          <w:rFonts w:cs="Times New Roman"/>
          <w:lang w:val="fr-CA"/>
        </w:rPr>
        <w:t>« </w:t>
      </w:r>
      <w:r w:rsidRPr="00B27419">
        <w:rPr>
          <w:rFonts w:cs="Times New Roman"/>
          <w:lang w:val="fr-CA"/>
        </w:rPr>
        <w:t>vraisemblance</w:t>
      </w:r>
      <w:r w:rsidR="00B27419">
        <w:rPr>
          <w:rFonts w:cs="Times New Roman"/>
          <w:lang w:val="fr-CA"/>
        </w:rPr>
        <w:t> »</w:t>
      </w:r>
      <w:r w:rsidRPr="00B27419">
        <w:rPr>
          <w:rFonts w:cs="Times New Roman"/>
          <w:lang w:val="fr-CA"/>
        </w:rPr>
        <w:t xml:space="preserve"> selon la prépondérance des probabilités, mais il ne faut pas oublier que plus l’examen par le Tribunal porte loin dans le futur, plus il est difficile d’y satisfaire. S’il est un facteur important, le délai de pénétration ne permet toutefois pas d’envisager au</w:t>
      </w:r>
      <w:r w:rsidR="00E6271F" w:rsidRPr="00B27419">
        <w:rPr>
          <w:rFonts w:cs="Times New Roman"/>
          <w:lang w:val="fr-CA"/>
        </w:rPr>
        <w:t>-</w:t>
      </w:r>
      <w:r w:rsidRPr="00B27419">
        <w:rPr>
          <w:rFonts w:cs="Times New Roman"/>
          <w:lang w:val="fr-CA"/>
        </w:rPr>
        <w:t>delà de ce que la preuve appuie.</w:t>
      </w:r>
    </w:p>
    <w:p w:rsidR="0039493A" w:rsidRPr="00B27419" w:rsidRDefault="0039493A" w:rsidP="00B27419">
      <w:pPr>
        <w:pStyle w:val="ParaNoNdepar-AltN"/>
        <w:rPr>
          <w:rFonts w:cs="Times New Roman"/>
          <w:lang w:val="fr-CA"/>
        </w:rPr>
      </w:pPr>
      <w:r w:rsidRPr="00B27419">
        <w:rPr>
          <w:rFonts w:cs="Times New Roman"/>
          <w:lang w:val="fr-CA"/>
        </w:rPr>
        <w:t>Les affaires peuvent être imprévisibles, et les décisions commerciales ne reposent pas toujours sur des faits objectifs et une froide logique; l’état du marché peut fluctuer. Pour déterminer si un fusionnement aura vraisemblablement pour effet d’empêcher sensiblement la concurrence, ni le Tribunal ni les cours de justice ne devraient prétendre prendre des décisions commerciales futures pour les sociétés. Les conclusions factuelles quant à ce qu’une société ferait ou ne ferait pas doivent reposer sur une preuve de la décision que la société même prendrait, et non pas sur la décision que le Tribunal prendrait dans la même situation.</w:t>
      </w:r>
    </w:p>
    <w:p w:rsidR="0039493A" w:rsidRPr="00B27419" w:rsidRDefault="0039493A" w:rsidP="00B27419">
      <w:pPr>
        <w:pStyle w:val="ParaNoNdepar-AltN"/>
        <w:rPr>
          <w:rFonts w:cs="Times New Roman"/>
          <w:lang w:val="fr-CA"/>
        </w:rPr>
      </w:pPr>
      <w:r w:rsidRPr="00B27419">
        <w:rPr>
          <w:rFonts w:cs="Times New Roman"/>
          <w:lang w:val="fr-CA"/>
        </w:rPr>
        <w:t>Si le Tribunal détermine qu’en l’absence du fusionnement, la partie au fusionnement serait vraisemblablement entrée dans le marché dans un délai discernable, il faut ensuite déterminer si cette entrée aurait vraisemblablement un effet sensible sur la concurrence dans le marché.</w:t>
      </w:r>
    </w:p>
    <w:p w:rsidR="0039493A" w:rsidRPr="00B27419" w:rsidRDefault="008725A3" w:rsidP="00B27419">
      <w:pPr>
        <w:pStyle w:val="Title5LevelTitre5Niveau"/>
        <w:numPr>
          <w:ilvl w:val="0"/>
          <w:numId w:val="0"/>
        </w:numPr>
        <w:spacing w:before="480"/>
        <w:ind w:left="1620" w:hanging="450"/>
        <w:rPr>
          <w:rFonts w:cs="Times New Roman"/>
          <w:lang w:val="fr-CA"/>
        </w:rPr>
      </w:pPr>
      <w:bookmarkStart w:id="71" w:name="_Toc396299544"/>
      <w:bookmarkStart w:id="72" w:name="_Toc397586775"/>
      <w:bookmarkStart w:id="73" w:name="_Toc409593459"/>
      <w:r w:rsidRPr="00B27419">
        <w:rPr>
          <w:rFonts w:cs="Times New Roman"/>
          <w:u w:val="none"/>
          <w:lang w:val="fr-CA"/>
        </w:rPr>
        <w:lastRenderedPageBreak/>
        <w:t>(ii)</w:t>
      </w:r>
      <w:r w:rsidRPr="00B27419">
        <w:rPr>
          <w:rFonts w:cs="Times New Roman"/>
          <w:u w:val="none"/>
          <w:lang w:val="fr-CA"/>
        </w:rPr>
        <w:tab/>
      </w:r>
      <w:r w:rsidR="0039493A" w:rsidRPr="00B27419">
        <w:rPr>
          <w:rFonts w:cs="Times New Roman"/>
          <w:lang w:val="fr-CA"/>
        </w:rPr>
        <w:t>Y aurait</w:t>
      </w:r>
      <w:r w:rsidR="00E6271F" w:rsidRPr="00B27419">
        <w:rPr>
          <w:rFonts w:cs="Times New Roman"/>
          <w:lang w:val="fr-CA"/>
        </w:rPr>
        <w:t>-</w:t>
      </w:r>
      <w:r w:rsidR="0039493A" w:rsidRPr="00B27419">
        <w:rPr>
          <w:rFonts w:cs="Times New Roman"/>
          <w:lang w:val="fr-CA"/>
        </w:rPr>
        <w:t>il vraisemblablement un effet sensible sur le marché</w:t>
      </w:r>
      <w:bookmarkEnd w:id="71"/>
      <w:bookmarkEnd w:id="72"/>
      <w:bookmarkEnd w:id="73"/>
      <w:r w:rsidRPr="00B27419">
        <w:rPr>
          <w:rFonts w:cs="Times New Roman"/>
          <w:lang w:val="fr-CA"/>
        </w:rPr>
        <w:t>?</w:t>
      </w:r>
    </w:p>
    <w:p w:rsidR="0039493A" w:rsidRPr="00B27419" w:rsidRDefault="0039493A" w:rsidP="00B27419">
      <w:pPr>
        <w:pStyle w:val="ParaNoNdepar-AltN"/>
        <w:rPr>
          <w:rFonts w:cs="Times New Roman"/>
          <w:lang w:val="fr-CA"/>
        </w:rPr>
      </w:pPr>
      <w:r w:rsidRPr="00B27419">
        <w:rPr>
          <w:rFonts w:cs="Times New Roman"/>
          <w:lang w:val="fr-CA"/>
        </w:rPr>
        <w:t xml:space="preserve">Il ne suffit pas qu’un concurrent éventuel pénètre vraisemblablement le marché; il faut aussi que cette pénétration ait vraisemblablement un effet sensible sur le marché. Comme nous l’avons vu, pour déterminer s’il y aurait un effet sensible, il faut nécessairement examiner diverses dimensions de la concurrence, dont le prix et les extrants. Il faut également mesurer l’ampleur et la durée de tout effet qu’elle aurait sur le marché.  </w:t>
      </w:r>
    </w:p>
    <w:p w:rsidR="0039493A" w:rsidRPr="00B27419" w:rsidRDefault="0039493A" w:rsidP="00B27419">
      <w:pPr>
        <w:pStyle w:val="ParaNoNdepar-AltN"/>
        <w:rPr>
          <w:rFonts w:cs="Times New Roman"/>
          <w:lang w:val="fr-CA"/>
        </w:rPr>
      </w:pPr>
      <w:r w:rsidRPr="00B27419">
        <w:rPr>
          <w:rFonts w:cs="Times New Roman"/>
          <w:lang w:val="fr-CA"/>
        </w:rPr>
        <w:t>L’article</w:t>
      </w:r>
      <w:r w:rsidR="00E6271F" w:rsidRPr="00B27419">
        <w:rPr>
          <w:rFonts w:cs="Times New Roman"/>
          <w:lang w:val="fr-CA"/>
        </w:rPr>
        <w:t xml:space="preserve"> </w:t>
      </w:r>
      <w:r w:rsidRPr="00B27419">
        <w:rPr>
          <w:rFonts w:cs="Times New Roman"/>
          <w:lang w:val="fr-CA"/>
        </w:rPr>
        <w:t xml:space="preserve">93 dresse une liste non exhaustive de facteurs dont le Tribunal peut tenir compte pour déterminer si un fusionnement diminue ou empêche sensiblement la concurrence ou aura vraisemblablement cet effet, notamment la déconfiture de l’entreprise d’une partie, la mesure dans laquelle sont disponibles des substituts acceptables, les entraves à l’accès au marché en cause, la mesure dans laquelle il y a ou il y aurait concurrence réelle après un fusionnement et la possibilité que le fusionnement entraîne la disparition d’un concurrent dynamique et efficace. </w:t>
      </w:r>
    </w:p>
    <w:p w:rsidR="0039493A" w:rsidRPr="00B27419" w:rsidRDefault="0039493A" w:rsidP="00B27419">
      <w:pPr>
        <w:pStyle w:val="Title3LevelTitre3Niveau"/>
        <w:rPr>
          <w:rFonts w:cs="Times New Roman"/>
          <w:lang w:val="fr-CA"/>
        </w:rPr>
      </w:pPr>
      <w:bookmarkStart w:id="74" w:name="_Toc396299545"/>
      <w:bookmarkStart w:id="75" w:name="_Toc397586776"/>
      <w:bookmarkStart w:id="76" w:name="_Toc409593460"/>
      <w:r w:rsidRPr="00B27419">
        <w:rPr>
          <w:rFonts w:cs="Times New Roman"/>
          <w:lang w:val="fr-CA"/>
        </w:rPr>
        <w:t>Application à la présente affaire</w:t>
      </w:r>
      <w:bookmarkEnd w:id="74"/>
      <w:bookmarkEnd w:id="75"/>
      <w:bookmarkEnd w:id="76"/>
    </w:p>
    <w:p w:rsidR="0039493A" w:rsidRPr="00B27419" w:rsidRDefault="0039493A" w:rsidP="00B27419">
      <w:pPr>
        <w:pStyle w:val="ParaNoNdepar-AltN"/>
        <w:rPr>
          <w:rFonts w:cs="Times New Roman"/>
          <w:lang w:val="fr-CA"/>
        </w:rPr>
      </w:pPr>
      <w:r w:rsidRPr="00B27419">
        <w:rPr>
          <w:rFonts w:cs="Times New Roman"/>
          <w:lang w:val="fr-CA"/>
        </w:rPr>
        <w:t xml:space="preserve">Le cadre analytique et la conclusion selon laquelle le fusionnement aura vraisemblablement pour effet d’empêcher sensiblement la concurrence sont corrects selon moi. Le Tribunal a bien appliqué le cadre analytique énoncé précédemment. Il a procédé à une analyse prospective axée sur l’absence hypothétique pour déterminer si le fusionnement aurait vraisemblablement pour effet d’empêcher sensiblement la </w:t>
      </w:r>
      <w:r w:rsidRPr="00B27419">
        <w:rPr>
          <w:rFonts w:cs="Times New Roman"/>
          <w:lang w:val="fr-CA"/>
        </w:rPr>
        <w:lastRenderedPageBreak/>
        <w:t xml:space="preserve">concurrence. Il a mis la partie acquise (les vendeurs) au centre de l’analyse. Le Tribunal a ensuite demandé si, n’eût été le fusionnement, les vendeurs auraient vraisemblablement pénétré le marché du produit pertinent dans une mesure suffisante pour livrer concurrence à </w:t>
      </w:r>
      <w:proofErr w:type="spellStart"/>
      <w:r w:rsidRPr="00B27419">
        <w:rPr>
          <w:rFonts w:cs="Times New Roman"/>
          <w:lang w:val="fr-CA"/>
        </w:rPr>
        <w:t>Tervita</w:t>
      </w:r>
      <w:proofErr w:type="spellEnd"/>
      <w:r w:rsidRPr="00B27419">
        <w:rPr>
          <w:rFonts w:cs="Times New Roman"/>
          <w:lang w:val="fr-CA"/>
        </w:rPr>
        <w:t xml:space="preserve">. </w:t>
      </w:r>
    </w:p>
    <w:p w:rsidR="0039493A" w:rsidRPr="00B27419" w:rsidRDefault="0039493A" w:rsidP="00B27419">
      <w:pPr>
        <w:pStyle w:val="ParaNoNdepar-AltN"/>
        <w:tabs>
          <w:tab w:val="clear" w:pos="1294"/>
        </w:tabs>
        <w:rPr>
          <w:rFonts w:cs="Times New Roman"/>
          <w:lang w:val="fr-CA"/>
        </w:rPr>
      </w:pPr>
      <w:r w:rsidRPr="00B27419">
        <w:rPr>
          <w:rFonts w:cs="Times New Roman"/>
          <w:lang w:val="fr-CA"/>
        </w:rPr>
        <w:t xml:space="preserve">Le Tribunal a conclu que le fusionnement </w:t>
      </w:r>
      <w:r w:rsidR="00B27419">
        <w:rPr>
          <w:rFonts w:cs="Times New Roman"/>
          <w:lang w:val="fr-CA"/>
        </w:rPr>
        <w:t>« </w:t>
      </w:r>
      <w:r w:rsidRPr="00B27419">
        <w:rPr>
          <w:rFonts w:cs="Times New Roman"/>
          <w:sz w:val="23"/>
          <w:szCs w:val="23"/>
          <w:lang w:val="fr-CA"/>
        </w:rPr>
        <w:t xml:space="preserve">permettrait, selon toute vraisemblance, [à </w:t>
      </w:r>
      <w:proofErr w:type="spellStart"/>
      <w:r w:rsidRPr="00B27419">
        <w:rPr>
          <w:rFonts w:cs="Times New Roman"/>
          <w:lang w:val="fr-CA"/>
        </w:rPr>
        <w:t>Tervita</w:t>
      </w:r>
      <w:proofErr w:type="spellEnd"/>
      <w:r w:rsidRPr="00B27419">
        <w:rPr>
          <w:rFonts w:cs="Times New Roman"/>
          <w:lang w:val="fr-CA"/>
        </w:rPr>
        <w:t>]</w:t>
      </w:r>
      <w:r w:rsidRPr="00B27419">
        <w:rPr>
          <w:rFonts w:cs="Times New Roman"/>
          <w:sz w:val="23"/>
          <w:szCs w:val="23"/>
          <w:lang w:val="fr-CA"/>
        </w:rPr>
        <w:t xml:space="preserve"> de maintenir sa capacité d’exercer une puissance commerciale beaucoup plus importante qu’en l’absence du fusionnement, et que le fusionnement aurait vraisemblablement pour effet d’empêcher sensiblement la concurrence</w:t>
      </w:r>
      <w:r w:rsidR="00B27419">
        <w:rPr>
          <w:rFonts w:cs="Times New Roman"/>
          <w:sz w:val="23"/>
          <w:szCs w:val="23"/>
          <w:lang w:val="fr-CA"/>
        </w:rPr>
        <w:t> »</w:t>
      </w:r>
      <w:r w:rsidRPr="00B27419">
        <w:rPr>
          <w:rFonts w:cs="Times New Roman"/>
          <w:sz w:val="23"/>
          <w:szCs w:val="23"/>
          <w:lang w:val="fr-CA"/>
        </w:rPr>
        <w:t xml:space="preserve"> </w:t>
      </w:r>
      <w:r w:rsidRPr="00B27419">
        <w:rPr>
          <w:rFonts w:cs="Times New Roman"/>
          <w:lang w:val="fr-CA"/>
        </w:rPr>
        <w:t>(par.</w:t>
      </w:r>
      <w:r w:rsidR="00E6271F" w:rsidRPr="00B27419">
        <w:rPr>
          <w:rFonts w:cs="Times New Roman"/>
          <w:lang w:val="fr-CA"/>
        </w:rPr>
        <w:t xml:space="preserve"> </w:t>
      </w:r>
      <w:r w:rsidRPr="00B27419">
        <w:rPr>
          <w:rFonts w:cs="Times New Roman"/>
          <w:lang w:val="fr-CA"/>
        </w:rPr>
        <w:t>229(iv)). Avant d’en arriver à cette conclusion, le Tribunal a soupesé certains facteurs énumérés à l’art.</w:t>
      </w:r>
      <w:r w:rsidR="00E6271F" w:rsidRPr="00B27419">
        <w:rPr>
          <w:rFonts w:cs="Times New Roman"/>
          <w:lang w:val="fr-CA"/>
        </w:rPr>
        <w:t xml:space="preserve"> </w:t>
      </w:r>
      <w:r w:rsidRPr="00B27419">
        <w:rPr>
          <w:rFonts w:cs="Times New Roman"/>
          <w:lang w:val="fr-CA"/>
        </w:rPr>
        <w:t>93, dont les suivants</w:t>
      </w:r>
      <w:r w:rsidR="00E6271F" w:rsidRPr="00B27419">
        <w:rPr>
          <w:rFonts w:cs="Times New Roman"/>
          <w:lang w:val="fr-CA"/>
        </w:rPr>
        <w:t> :</w:t>
      </w:r>
    </w:p>
    <w:p w:rsidR="0039493A" w:rsidRPr="00B27419" w:rsidRDefault="0039493A" w:rsidP="00B27419">
      <w:pPr>
        <w:pStyle w:val="Citation-AltC"/>
        <w:numPr>
          <w:ilvl w:val="0"/>
          <w:numId w:val="11"/>
        </w:numPr>
        <w:spacing w:after="480" w:line="480" w:lineRule="auto"/>
        <w:ind w:left="994" w:hanging="994"/>
        <w:contextualSpacing w:val="0"/>
        <w:rPr>
          <w:lang w:val="fr-CA"/>
        </w:rPr>
      </w:pPr>
      <w:r w:rsidRPr="00B27419">
        <w:rPr>
          <w:lang w:val="fr-CA"/>
        </w:rPr>
        <w:t xml:space="preserve">Les entraves à l’accès au marché s’étalaient sur </w:t>
      </w:r>
      <w:r w:rsidR="00B27419">
        <w:rPr>
          <w:lang w:val="fr-CA"/>
        </w:rPr>
        <w:t>« </w:t>
      </w:r>
      <w:r w:rsidRPr="00B27419">
        <w:rPr>
          <w:lang w:val="fr-CA"/>
        </w:rPr>
        <w:t>au moins 30 mois</w:t>
      </w:r>
      <w:r w:rsidR="00B27419">
        <w:rPr>
          <w:lang w:val="fr-CA"/>
        </w:rPr>
        <w:t> »</w:t>
      </w:r>
      <w:r w:rsidRPr="00B27419">
        <w:rPr>
          <w:lang w:val="fr-CA"/>
        </w:rPr>
        <w:t xml:space="preserve"> et il n’y avait aucune preuve </w:t>
      </w:r>
      <w:r w:rsidR="008725A3" w:rsidRPr="00B27419">
        <w:rPr>
          <w:lang w:val="fr-CA"/>
        </w:rPr>
        <w:t>d’</w:t>
      </w:r>
      <w:r w:rsidRPr="00B27419">
        <w:rPr>
          <w:lang w:val="fr-CA"/>
        </w:rPr>
        <w:t>un</w:t>
      </w:r>
      <w:r w:rsidR="00FD69E9" w:rsidRPr="00B27419">
        <w:rPr>
          <w:lang w:val="fr-CA"/>
        </w:rPr>
        <w:t xml:space="preserve"> </w:t>
      </w:r>
      <w:r w:rsidR="00B27419">
        <w:rPr>
          <w:lang w:val="fr-CA"/>
        </w:rPr>
        <w:t>« </w:t>
      </w:r>
      <w:r w:rsidRPr="00B27419">
        <w:rPr>
          <w:lang w:val="fr-CA"/>
        </w:rPr>
        <w:t>projet d’entrée sur le marché projetée dans la région contestable</w:t>
      </w:r>
      <w:r w:rsidR="00B27419">
        <w:rPr>
          <w:lang w:val="fr-CA"/>
        </w:rPr>
        <w:t> »</w:t>
      </w:r>
      <w:r w:rsidRPr="00B27419">
        <w:rPr>
          <w:lang w:val="fr-CA"/>
        </w:rPr>
        <w:t xml:space="preserve"> (par.</w:t>
      </w:r>
      <w:r w:rsidR="00E6271F" w:rsidRPr="00B27419">
        <w:rPr>
          <w:lang w:val="fr-CA"/>
        </w:rPr>
        <w:t xml:space="preserve"> </w:t>
      </w:r>
      <w:r w:rsidRPr="00B27419">
        <w:rPr>
          <w:lang w:val="fr-CA"/>
        </w:rPr>
        <w:t>222; voir l’al.</w:t>
      </w:r>
      <w:r w:rsidR="00E6271F" w:rsidRPr="00B27419">
        <w:rPr>
          <w:lang w:val="fr-CA"/>
        </w:rPr>
        <w:t xml:space="preserve"> </w:t>
      </w:r>
      <w:r w:rsidRPr="00B27419">
        <w:rPr>
          <w:lang w:val="fr-CA"/>
        </w:rPr>
        <w:t>93</w:t>
      </w:r>
      <w:r w:rsidRPr="00B27419">
        <w:rPr>
          <w:i/>
          <w:lang w:val="fr-CA"/>
        </w:rPr>
        <w:t>d</w:t>
      </w:r>
      <w:r w:rsidRPr="00B27419">
        <w:rPr>
          <w:lang w:val="fr-CA"/>
        </w:rPr>
        <w:t>));</w:t>
      </w:r>
    </w:p>
    <w:p w:rsidR="0039493A" w:rsidRPr="00B27419" w:rsidRDefault="0039493A" w:rsidP="00B27419">
      <w:pPr>
        <w:pStyle w:val="Citation-AltC"/>
        <w:numPr>
          <w:ilvl w:val="0"/>
          <w:numId w:val="11"/>
        </w:numPr>
        <w:spacing w:after="480" w:line="480" w:lineRule="auto"/>
        <w:ind w:left="994" w:hanging="994"/>
        <w:contextualSpacing w:val="0"/>
        <w:rPr>
          <w:lang w:val="fr-CA"/>
        </w:rPr>
      </w:pPr>
      <w:r w:rsidRPr="00B27419">
        <w:rPr>
          <w:lang w:val="fr-CA"/>
        </w:rPr>
        <w:t>L’absence de substitut acceptable et de concurrence réelle (par.</w:t>
      </w:r>
      <w:r w:rsidR="00E6271F" w:rsidRPr="00B27419">
        <w:rPr>
          <w:lang w:val="fr-CA"/>
        </w:rPr>
        <w:t xml:space="preserve"> </w:t>
      </w:r>
      <w:r w:rsidRPr="00B27419">
        <w:rPr>
          <w:lang w:val="fr-CA"/>
        </w:rPr>
        <w:t>223; voir l’al.</w:t>
      </w:r>
      <w:r w:rsidR="00E6271F" w:rsidRPr="00B27419">
        <w:rPr>
          <w:lang w:val="fr-CA"/>
        </w:rPr>
        <w:t xml:space="preserve"> </w:t>
      </w:r>
      <w:r w:rsidRPr="00B27419">
        <w:rPr>
          <w:lang w:val="fr-CA"/>
        </w:rPr>
        <w:t>93</w:t>
      </w:r>
      <w:r w:rsidRPr="00B27419">
        <w:rPr>
          <w:i/>
          <w:lang w:val="fr-CA"/>
        </w:rPr>
        <w:t>c</w:t>
      </w:r>
      <w:r w:rsidRPr="00B27419">
        <w:rPr>
          <w:lang w:val="fr-CA"/>
        </w:rPr>
        <w:t xml:space="preserve">)); </w:t>
      </w:r>
    </w:p>
    <w:p w:rsidR="0039493A" w:rsidRPr="00B27419" w:rsidRDefault="0039493A" w:rsidP="00B27419">
      <w:pPr>
        <w:pStyle w:val="Citation-AltC"/>
        <w:numPr>
          <w:ilvl w:val="0"/>
          <w:numId w:val="11"/>
        </w:numPr>
        <w:spacing w:after="480" w:line="480" w:lineRule="auto"/>
        <w:ind w:left="994" w:hanging="994"/>
        <w:contextualSpacing w:val="0"/>
        <w:rPr>
          <w:lang w:val="fr-CA"/>
        </w:rPr>
      </w:pPr>
      <w:r w:rsidRPr="00B27419">
        <w:rPr>
          <w:lang w:val="fr-CA"/>
        </w:rPr>
        <w:t xml:space="preserve">La demande de services d’enfouissement sécuritaires aurait été suffisante pour que la transformation du site </w:t>
      </w:r>
      <w:proofErr w:type="spellStart"/>
      <w:r w:rsidRPr="00B27419">
        <w:rPr>
          <w:lang w:val="fr-CA"/>
        </w:rPr>
        <w:t>Babkirk</w:t>
      </w:r>
      <w:proofErr w:type="spellEnd"/>
      <w:r w:rsidRPr="00B27419">
        <w:rPr>
          <w:lang w:val="fr-CA"/>
        </w:rPr>
        <w:t xml:space="preserve"> en un site d’enfouissement sécuritaire soit rentable, étant donné </w:t>
      </w:r>
      <w:r w:rsidR="00B27419">
        <w:rPr>
          <w:lang w:val="fr-CA"/>
        </w:rPr>
        <w:t>« </w:t>
      </w:r>
      <w:r w:rsidRPr="00B27419">
        <w:rPr>
          <w:sz w:val="23"/>
          <w:szCs w:val="23"/>
          <w:lang w:val="fr-CA"/>
        </w:rPr>
        <w:t>l’augmentation anticipée [.</w:t>
      </w:r>
      <w:r w:rsidR="00E6271F" w:rsidRPr="00B27419">
        <w:rPr>
          <w:sz w:val="23"/>
          <w:szCs w:val="23"/>
          <w:lang w:val="fr-CA"/>
        </w:rPr>
        <w:t xml:space="preserve"> </w:t>
      </w:r>
      <w:r w:rsidRPr="00B27419">
        <w:rPr>
          <w:sz w:val="23"/>
          <w:szCs w:val="23"/>
          <w:lang w:val="fr-CA"/>
        </w:rPr>
        <w:t>.</w:t>
      </w:r>
      <w:r w:rsidR="00E6271F" w:rsidRPr="00B27419">
        <w:rPr>
          <w:sz w:val="23"/>
          <w:szCs w:val="23"/>
          <w:lang w:val="fr-CA"/>
        </w:rPr>
        <w:t xml:space="preserve"> </w:t>
      </w:r>
      <w:r w:rsidRPr="00B27419">
        <w:rPr>
          <w:sz w:val="23"/>
          <w:szCs w:val="23"/>
          <w:lang w:val="fr-CA"/>
        </w:rPr>
        <w:t xml:space="preserve">.] de la demande de services de décharge sécuritaire, en raison des nouveaux forages </w:t>
      </w:r>
      <w:r w:rsidRPr="00B27419">
        <w:rPr>
          <w:sz w:val="23"/>
          <w:szCs w:val="23"/>
          <w:lang w:val="fr-CA"/>
        </w:rPr>
        <w:lastRenderedPageBreak/>
        <w:t xml:space="preserve">effectués dans la région située au nord et à l’ouest de l’installation </w:t>
      </w:r>
      <w:proofErr w:type="spellStart"/>
      <w:r w:rsidRPr="00B27419">
        <w:rPr>
          <w:sz w:val="23"/>
          <w:szCs w:val="23"/>
          <w:lang w:val="fr-CA"/>
        </w:rPr>
        <w:t>Babkirk</w:t>
      </w:r>
      <w:proofErr w:type="spellEnd"/>
      <w:r w:rsidR="00B27419">
        <w:rPr>
          <w:sz w:val="23"/>
          <w:szCs w:val="23"/>
          <w:lang w:val="fr-CA"/>
        </w:rPr>
        <w:t> »</w:t>
      </w:r>
      <w:r w:rsidRPr="00B27419">
        <w:rPr>
          <w:lang w:val="fr-CA"/>
        </w:rPr>
        <w:t xml:space="preserve"> (par.</w:t>
      </w:r>
      <w:r w:rsidR="00E6271F" w:rsidRPr="00B27419">
        <w:rPr>
          <w:lang w:val="fr-CA"/>
        </w:rPr>
        <w:t xml:space="preserve"> </w:t>
      </w:r>
      <w:r w:rsidRPr="00B27419">
        <w:rPr>
          <w:lang w:val="fr-CA"/>
        </w:rPr>
        <w:t>207; voir l’al.</w:t>
      </w:r>
      <w:r w:rsidR="00E6271F" w:rsidRPr="00B27419">
        <w:rPr>
          <w:lang w:val="fr-CA"/>
        </w:rPr>
        <w:t xml:space="preserve"> </w:t>
      </w:r>
      <w:r w:rsidRPr="00B27419">
        <w:rPr>
          <w:lang w:val="fr-CA"/>
        </w:rPr>
        <w:t>93</w:t>
      </w:r>
      <w:r w:rsidRPr="00B27419">
        <w:rPr>
          <w:i/>
          <w:lang w:val="fr-CA"/>
        </w:rPr>
        <w:t>f</w:t>
      </w:r>
      <w:r w:rsidRPr="00B27419">
        <w:rPr>
          <w:lang w:val="fr-CA"/>
        </w:rPr>
        <w:t>));</w:t>
      </w:r>
    </w:p>
    <w:p w:rsidR="0039493A" w:rsidRPr="00B27419" w:rsidRDefault="0039493A" w:rsidP="00B27419">
      <w:pPr>
        <w:pStyle w:val="Citation-AltC"/>
        <w:numPr>
          <w:ilvl w:val="0"/>
          <w:numId w:val="11"/>
        </w:numPr>
        <w:spacing w:after="480" w:line="480" w:lineRule="auto"/>
        <w:ind w:left="994" w:hanging="994"/>
        <w:contextualSpacing w:val="0"/>
        <w:rPr>
          <w:lang w:val="fr-CA"/>
        </w:rPr>
      </w:pPr>
      <w:r w:rsidRPr="00B27419">
        <w:rPr>
          <w:lang w:val="fr-CA"/>
        </w:rPr>
        <w:t xml:space="preserve">La capacité autorisée du site </w:t>
      </w:r>
      <w:proofErr w:type="spellStart"/>
      <w:r w:rsidRPr="00B27419">
        <w:rPr>
          <w:lang w:val="fr-CA"/>
        </w:rPr>
        <w:t>Babkirk</w:t>
      </w:r>
      <w:proofErr w:type="spellEnd"/>
      <w:r w:rsidRPr="00B27419">
        <w:rPr>
          <w:lang w:val="fr-CA"/>
        </w:rPr>
        <w:t xml:space="preserve"> était suffisante pour lui permettre d’entrer </w:t>
      </w:r>
      <w:r w:rsidR="00B27419">
        <w:rPr>
          <w:lang w:val="fr-CA"/>
        </w:rPr>
        <w:t>« </w:t>
      </w:r>
      <w:r w:rsidRPr="00B27419">
        <w:rPr>
          <w:lang w:val="fr-CA"/>
        </w:rPr>
        <w:t>effectivement en concurrence</w:t>
      </w:r>
      <w:r w:rsidR="00B27419">
        <w:rPr>
          <w:lang w:val="fr-CA"/>
        </w:rPr>
        <w:t> »</w:t>
      </w:r>
      <w:r w:rsidRPr="00B27419">
        <w:rPr>
          <w:lang w:val="fr-CA"/>
        </w:rPr>
        <w:t xml:space="preserve"> avec </w:t>
      </w:r>
      <w:proofErr w:type="spellStart"/>
      <w:r w:rsidRPr="00B27419">
        <w:rPr>
          <w:lang w:val="fr-CA"/>
        </w:rPr>
        <w:t>Tervita</w:t>
      </w:r>
      <w:proofErr w:type="spellEnd"/>
      <w:r w:rsidRPr="00B27419">
        <w:rPr>
          <w:lang w:val="fr-CA"/>
        </w:rPr>
        <w:t xml:space="preserve"> (par.</w:t>
      </w:r>
      <w:r w:rsidR="00E6271F" w:rsidRPr="00B27419">
        <w:rPr>
          <w:lang w:val="fr-CA"/>
        </w:rPr>
        <w:t xml:space="preserve"> </w:t>
      </w:r>
      <w:r w:rsidRPr="00B27419">
        <w:rPr>
          <w:lang w:val="fr-CA"/>
        </w:rPr>
        <w:t>208; voir l’al.</w:t>
      </w:r>
      <w:r w:rsidR="00E6271F" w:rsidRPr="00B27419">
        <w:rPr>
          <w:lang w:val="fr-CA"/>
        </w:rPr>
        <w:t xml:space="preserve"> </w:t>
      </w:r>
      <w:r w:rsidRPr="00B27419">
        <w:rPr>
          <w:lang w:val="fr-CA"/>
        </w:rPr>
        <w:t>93</w:t>
      </w:r>
      <w:r w:rsidRPr="00B27419">
        <w:rPr>
          <w:i/>
          <w:lang w:val="fr-CA"/>
        </w:rPr>
        <w:t>f</w:t>
      </w:r>
      <w:r w:rsidRPr="00B27419">
        <w:rPr>
          <w:lang w:val="fr-CA"/>
        </w:rPr>
        <w:t xml:space="preserve">)); </w:t>
      </w:r>
    </w:p>
    <w:p w:rsidR="0039493A" w:rsidRPr="00B27419" w:rsidRDefault="00B27419" w:rsidP="00B27419">
      <w:pPr>
        <w:pStyle w:val="Citation-AltC"/>
        <w:numPr>
          <w:ilvl w:val="0"/>
          <w:numId w:val="11"/>
        </w:numPr>
        <w:spacing w:after="480" w:line="480" w:lineRule="auto"/>
        <w:ind w:left="994" w:hanging="994"/>
        <w:contextualSpacing w:val="0"/>
        <w:rPr>
          <w:lang w:val="fr-CA"/>
        </w:rPr>
      </w:pPr>
      <w:r>
        <w:rPr>
          <w:lang w:val="fr-CA"/>
        </w:rPr>
        <w:t>« </w:t>
      </w:r>
      <w:r w:rsidR="0039493A" w:rsidRPr="00B27419">
        <w:rPr>
          <w:sz w:val="23"/>
          <w:szCs w:val="23"/>
          <w:lang w:val="fr-CA"/>
        </w:rPr>
        <w:t xml:space="preserve">le fusionnement </w:t>
      </w:r>
      <w:r w:rsidR="0039493A" w:rsidRPr="00B27419">
        <w:rPr>
          <w:lang w:val="fr-CA"/>
        </w:rPr>
        <w:t>préserve</w:t>
      </w:r>
      <w:r w:rsidR="0039493A" w:rsidRPr="00B27419">
        <w:rPr>
          <w:sz w:val="23"/>
          <w:szCs w:val="23"/>
          <w:lang w:val="fr-CA"/>
        </w:rPr>
        <w:t xml:space="preserve"> une structure de marché monopolistique et, par conséquent, empêche l’émergence d’une concurrence potentiellement importante</w:t>
      </w:r>
      <w:r>
        <w:rPr>
          <w:lang w:val="fr-CA"/>
        </w:rPr>
        <w:t> »</w:t>
      </w:r>
      <w:r w:rsidR="0039493A" w:rsidRPr="00B27419">
        <w:rPr>
          <w:lang w:val="fr-CA"/>
        </w:rPr>
        <w:t xml:space="preserve"> (par.</w:t>
      </w:r>
      <w:r w:rsidR="00E6271F" w:rsidRPr="00B27419">
        <w:rPr>
          <w:lang w:val="fr-CA"/>
        </w:rPr>
        <w:t xml:space="preserve"> </w:t>
      </w:r>
      <w:r w:rsidR="0039493A" w:rsidRPr="00B27419">
        <w:rPr>
          <w:lang w:val="fr-CA"/>
        </w:rPr>
        <w:t>297; voir l’al.</w:t>
      </w:r>
      <w:r w:rsidR="00E6271F" w:rsidRPr="00B27419">
        <w:rPr>
          <w:lang w:val="fr-CA"/>
        </w:rPr>
        <w:t xml:space="preserve"> </w:t>
      </w:r>
      <w:r w:rsidR="0039493A" w:rsidRPr="00B27419">
        <w:rPr>
          <w:lang w:val="fr-CA"/>
        </w:rPr>
        <w:t>93</w:t>
      </w:r>
      <w:r w:rsidR="0039493A" w:rsidRPr="00B27419">
        <w:rPr>
          <w:i/>
          <w:lang w:val="fr-CA"/>
        </w:rPr>
        <w:t>e</w:t>
      </w:r>
      <w:r w:rsidR="0039493A" w:rsidRPr="00B27419">
        <w:rPr>
          <w:lang w:val="fr-CA"/>
        </w:rPr>
        <w:t>)).</w:t>
      </w:r>
    </w:p>
    <w:p w:rsidR="0039493A" w:rsidRPr="00B27419" w:rsidRDefault="0039493A" w:rsidP="00B27419">
      <w:pPr>
        <w:pStyle w:val="ParaNoNdepar-AltN"/>
        <w:rPr>
          <w:rFonts w:cs="Times New Roman"/>
          <w:lang w:val="fr-CA"/>
        </w:rPr>
      </w:pPr>
      <w:r w:rsidRPr="00B27419">
        <w:rPr>
          <w:rFonts w:cs="Times New Roman"/>
          <w:lang w:val="fr-CA"/>
        </w:rPr>
        <w:t>Je partage l’avis de la commissaire selon qui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 xml:space="preserve">le Tribunal n’a fait aucune conjecture sur ce qu’il adviendrait du site </w:t>
      </w:r>
      <w:proofErr w:type="spellStart"/>
      <w:r w:rsidRPr="00B27419">
        <w:rPr>
          <w:rFonts w:cs="Times New Roman"/>
          <w:lang w:val="fr-CA"/>
        </w:rPr>
        <w:t>Babkirk</w:t>
      </w:r>
      <w:proofErr w:type="spellEnd"/>
      <w:r w:rsidRPr="00B27419">
        <w:rPr>
          <w:rFonts w:cs="Times New Roman"/>
          <w:lang w:val="fr-CA"/>
        </w:rPr>
        <w:t xml:space="preserve"> [.</w:t>
      </w:r>
      <w:r w:rsidR="00E6271F" w:rsidRPr="00B27419">
        <w:rPr>
          <w:rFonts w:cs="Times New Roman"/>
          <w:lang w:val="fr-CA"/>
        </w:rPr>
        <w:t xml:space="preserve"> </w:t>
      </w:r>
      <w:r w:rsidRPr="00B27419">
        <w:rPr>
          <w:rFonts w:cs="Times New Roman"/>
          <w:lang w:val="fr-CA"/>
        </w:rPr>
        <w:t>.</w:t>
      </w:r>
      <w:r w:rsidR="00E6271F" w:rsidRPr="00B27419">
        <w:rPr>
          <w:rFonts w:cs="Times New Roman"/>
          <w:lang w:val="fr-CA"/>
        </w:rPr>
        <w:t xml:space="preserve"> </w:t>
      </w:r>
      <w:r w:rsidRPr="00B27419">
        <w:rPr>
          <w:rFonts w:cs="Times New Roman"/>
          <w:lang w:val="fr-CA"/>
        </w:rPr>
        <w:t>.] Il a tiré des conclusions de fait sur le fondement de la preuve abondante dont il disposait</w:t>
      </w:r>
      <w:r w:rsidR="00B27419">
        <w:rPr>
          <w:rFonts w:cs="Times New Roman"/>
          <w:lang w:val="fr-CA"/>
        </w:rPr>
        <w:t> »</w:t>
      </w:r>
      <w:r w:rsidRPr="00B27419">
        <w:rPr>
          <w:rFonts w:cs="Times New Roman"/>
          <w:lang w:val="fr-CA"/>
        </w:rPr>
        <w:t xml:space="preserve"> (</w:t>
      </w:r>
      <w:proofErr w:type="gramStart"/>
      <w:r w:rsidRPr="00B27419">
        <w:rPr>
          <w:rFonts w:cs="Times New Roman"/>
          <w:lang w:val="fr-CA"/>
        </w:rPr>
        <w:t>m.i.,</w:t>
      </w:r>
      <w:proofErr w:type="gramEnd"/>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61). La Cour d’appel fédérale a évalué le caractère raisonnable des conclusions factuelles et a conclu qu’elles étaient appuyées par une preuve suffisante. Si, ainsi que nous le verrons, je mets en doute la caractérisation par le Tribunal de la soi</w:t>
      </w:r>
      <w:r w:rsidR="00E6271F" w:rsidRPr="00B27419">
        <w:rPr>
          <w:rFonts w:cs="Times New Roman"/>
          <w:lang w:val="fr-CA"/>
        </w:rPr>
        <w:t>-</w:t>
      </w:r>
      <w:r w:rsidRPr="00B27419">
        <w:rPr>
          <w:rFonts w:cs="Times New Roman"/>
          <w:lang w:val="fr-CA"/>
        </w:rPr>
        <w:t>disant baisse du prix de 10</w:t>
      </w:r>
      <w:r w:rsidR="00E6271F" w:rsidRPr="00B27419">
        <w:rPr>
          <w:rFonts w:cs="Times New Roman"/>
          <w:lang w:val="fr-CA"/>
        </w:rPr>
        <w:t xml:space="preserve"> </w:t>
      </w:r>
      <w:r w:rsidRPr="00B27419">
        <w:rPr>
          <w:rFonts w:cs="Times New Roman"/>
          <w:lang w:val="fr-CA"/>
        </w:rPr>
        <w:t>p.</w:t>
      </w:r>
      <w:r w:rsidR="00E6271F" w:rsidRPr="00B27419">
        <w:rPr>
          <w:rFonts w:cs="Times New Roman"/>
          <w:lang w:val="fr-CA"/>
        </w:rPr>
        <w:t xml:space="preserve"> </w:t>
      </w:r>
      <w:r w:rsidRPr="00B27419">
        <w:rPr>
          <w:rFonts w:cs="Times New Roman"/>
          <w:lang w:val="fr-CA"/>
        </w:rPr>
        <w:t>100 qui aurait été réalisée en l’absence du fusionnement (par.</w:t>
      </w:r>
      <w:r w:rsidR="00E6271F" w:rsidRPr="00B27419">
        <w:rPr>
          <w:rFonts w:cs="Times New Roman"/>
          <w:lang w:val="fr-CA"/>
        </w:rPr>
        <w:t xml:space="preserve"> </w:t>
      </w:r>
      <w:r w:rsidRPr="00B27419">
        <w:rPr>
          <w:rFonts w:cs="Times New Roman"/>
          <w:lang w:val="fr-CA"/>
        </w:rPr>
        <w:t>229(iii)), manifestement, il disposait de suffisamment d’autres éléments de preuve pour conclure que le fusionnement empêcherait sensiblement la concurrence.</w:t>
      </w:r>
    </w:p>
    <w:p w:rsidR="0039493A" w:rsidRPr="00B27419" w:rsidRDefault="0039493A" w:rsidP="00B27419">
      <w:pPr>
        <w:pStyle w:val="ParaNoNdepar-AltN"/>
        <w:rPr>
          <w:rFonts w:cs="Times New Roman"/>
          <w:lang w:val="fr-CA"/>
        </w:rPr>
      </w:pPr>
      <w:r w:rsidRPr="00B27419">
        <w:rPr>
          <w:rFonts w:cs="Times New Roman"/>
          <w:lang w:val="fr-CA"/>
        </w:rPr>
        <w:t xml:space="preserve">Par conséquent, la conclusion du Tribunal selon laquelle le fusionnement aura vraisemblablement pour effet d’empêcher sensiblement la concurrence était </w:t>
      </w:r>
      <w:r w:rsidRPr="00B27419">
        <w:rPr>
          <w:rFonts w:cs="Times New Roman"/>
          <w:lang w:val="fr-CA"/>
        </w:rPr>
        <w:lastRenderedPageBreak/>
        <w:t>correcte. Étant donné qu’il est satisfait à l’art.</w:t>
      </w:r>
      <w:r w:rsidR="00E6271F" w:rsidRPr="00B27419">
        <w:rPr>
          <w:rFonts w:cs="Times New Roman"/>
          <w:lang w:val="fr-CA"/>
        </w:rPr>
        <w:t xml:space="preserve"> </w:t>
      </w:r>
      <w:r w:rsidRPr="00B27419">
        <w:rPr>
          <w:rFonts w:cs="Times New Roman"/>
          <w:lang w:val="fr-CA"/>
        </w:rPr>
        <w:t>92, il y a lieu de déterminer si la défense prévue à l’art.</w:t>
      </w:r>
      <w:r w:rsidR="00E6271F" w:rsidRPr="00B27419">
        <w:rPr>
          <w:rFonts w:cs="Times New Roman"/>
          <w:lang w:val="fr-CA"/>
        </w:rPr>
        <w:t xml:space="preserve"> </w:t>
      </w:r>
      <w:r w:rsidRPr="00B27419">
        <w:rPr>
          <w:rFonts w:cs="Times New Roman"/>
          <w:lang w:val="fr-CA"/>
        </w:rPr>
        <w:t xml:space="preserve">96 </w:t>
      </w:r>
      <w:proofErr w:type="gramStart"/>
      <w:r w:rsidRPr="00B27419">
        <w:rPr>
          <w:rFonts w:cs="Times New Roman"/>
          <w:lang w:val="fr-CA"/>
        </w:rPr>
        <w:t>fait</w:t>
      </w:r>
      <w:proofErr w:type="gramEnd"/>
      <w:r w:rsidRPr="00B27419">
        <w:rPr>
          <w:rFonts w:cs="Times New Roman"/>
          <w:lang w:val="fr-CA"/>
        </w:rPr>
        <w:t xml:space="preserve"> obstacle à l’ordonnance visée à l’art.</w:t>
      </w:r>
      <w:r w:rsidR="00E6271F" w:rsidRPr="00B27419">
        <w:rPr>
          <w:rFonts w:cs="Times New Roman"/>
          <w:lang w:val="fr-CA"/>
        </w:rPr>
        <w:t xml:space="preserve"> </w:t>
      </w:r>
      <w:r w:rsidRPr="00B27419">
        <w:rPr>
          <w:rFonts w:cs="Times New Roman"/>
          <w:lang w:val="fr-CA"/>
        </w:rPr>
        <w:t>92.</w:t>
      </w:r>
    </w:p>
    <w:p w:rsidR="0039493A" w:rsidRPr="00B27419" w:rsidRDefault="0039493A" w:rsidP="00B27419">
      <w:pPr>
        <w:pStyle w:val="Title2LevelTitre2Niveau"/>
        <w:rPr>
          <w:rFonts w:cs="Times New Roman"/>
          <w:lang w:val="fr-CA"/>
        </w:rPr>
      </w:pPr>
      <w:bookmarkStart w:id="77" w:name="_Toc396299546"/>
      <w:bookmarkStart w:id="78" w:name="_Toc397586777"/>
      <w:bookmarkStart w:id="79" w:name="_Toc409593461"/>
      <w:r w:rsidRPr="00B27419">
        <w:rPr>
          <w:rFonts w:cs="Times New Roman"/>
          <w:lang w:val="fr-CA"/>
        </w:rPr>
        <w:t>Défense fondée sur le</w:t>
      </w:r>
      <w:bookmarkEnd w:id="77"/>
      <w:bookmarkEnd w:id="78"/>
      <w:r w:rsidRPr="00B27419">
        <w:rPr>
          <w:rFonts w:cs="Times New Roman"/>
          <w:lang w:val="fr-CA"/>
        </w:rPr>
        <w:t>s gains en efficience</w:t>
      </w:r>
      <w:bookmarkEnd w:id="79"/>
    </w:p>
    <w:p w:rsidR="0039493A" w:rsidRPr="00B27419" w:rsidRDefault="0039493A" w:rsidP="00B27419">
      <w:pPr>
        <w:pStyle w:val="ParaNoNdepar-AltN"/>
        <w:rPr>
          <w:rFonts w:cs="Times New Roman"/>
          <w:lang w:val="fr-CA"/>
        </w:rPr>
      </w:pPr>
      <w:proofErr w:type="spellStart"/>
      <w:r w:rsidRPr="00B27419">
        <w:rPr>
          <w:rFonts w:cs="Times New Roman"/>
          <w:lang w:val="fr-CA"/>
        </w:rPr>
        <w:t>Tervita</w:t>
      </w:r>
      <w:proofErr w:type="spellEnd"/>
      <w:r w:rsidRPr="00B27419">
        <w:rPr>
          <w:rFonts w:cs="Times New Roman"/>
          <w:lang w:val="fr-CA"/>
        </w:rPr>
        <w:t xml:space="preserve"> soulève deux questions en ce qui concerne l’examen par le Tribunal de la défense fondée sur les gains en efficience que prévoit l’art.</w:t>
      </w:r>
      <w:r w:rsidR="00E6271F" w:rsidRPr="00B27419">
        <w:rPr>
          <w:rFonts w:cs="Times New Roman"/>
          <w:lang w:val="fr-CA"/>
        </w:rPr>
        <w:t xml:space="preserve"> </w:t>
      </w:r>
      <w:r w:rsidRPr="00B27419">
        <w:rPr>
          <w:rFonts w:cs="Times New Roman"/>
          <w:lang w:val="fr-CA"/>
        </w:rPr>
        <w:t xml:space="preserve">96. Premièrement, les </w:t>
      </w:r>
      <w:r w:rsidR="00E33449" w:rsidRPr="00B27419">
        <w:rPr>
          <w:rFonts w:cs="Times New Roman"/>
          <w:lang w:val="fr-CA"/>
        </w:rPr>
        <w:t>GEEO</w:t>
      </w:r>
      <w:r w:rsidRPr="00B27419">
        <w:rPr>
          <w:rFonts w:cs="Times New Roman"/>
          <w:lang w:val="fr-CA"/>
        </w:rPr>
        <w:t xml:space="preserve"> — ceux qui seraient réalisés en raison du délai d’exécution de l’ordonnance de dessaisissement rendue par le Tribunal en vertu de l’art.</w:t>
      </w:r>
      <w:r w:rsidR="00E6271F" w:rsidRPr="00B27419">
        <w:rPr>
          <w:rFonts w:cs="Times New Roman"/>
          <w:lang w:val="fr-CA"/>
        </w:rPr>
        <w:t xml:space="preserve"> </w:t>
      </w:r>
      <w:r w:rsidRPr="00B27419">
        <w:rPr>
          <w:rFonts w:cs="Times New Roman"/>
          <w:lang w:val="fr-CA"/>
        </w:rPr>
        <w:t>92 — devraient</w:t>
      </w:r>
      <w:r w:rsidR="00E6271F" w:rsidRPr="00B27419">
        <w:rPr>
          <w:rFonts w:cs="Times New Roman"/>
          <w:lang w:val="fr-CA"/>
        </w:rPr>
        <w:t>-</w:t>
      </w:r>
      <w:r w:rsidRPr="00B27419">
        <w:rPr>
          <w:rFonts w:cs="Times New Roman"/>
          <w:lang w:val="fr-CA"/>
        </w:rPr>
        <w:t>ils compter dans la pondération qu’exige l’art.</w:t>
      </w:r>
      <w:r w:rsidR="00E6271F" w:rsidRPr="00B27419">
        <w:rPr>
          <w:rFonts w:cs="Times New Roman"/>
          <w:lang w:val="fr-CA"/>
        </w:rPr>
        <w:t xml:space="preserve"> </w:t>
      </w:r>
      <w:r w:rsidRPr="00B27419">
        <w:rPr>
          <w:rFonts w:cs="Times New Roman"/>
          <w:lang w:val="fr-CA"/>
        </w:rPr>
        <w:t>96? Deuxièmement, comment faut</w:t>
      </w:r>
      <w:r w:rsidR="00E6271F" w:rsidRPr="00B27419">
        <w:rPr>
          <w:rFonts w:cs="Times New Roman"/>
          <w:lang w:val="fr-CA"/>
        </w:rPr>
        <w:t>-</w:t>
      </w:r>
      <w:r w:rsidRPr="00B27419">
        <w:rPr>
          <w:rFonts w:cs="Times New Roman"/>
          <w:lang w:val="fr-CA"/>
        </w:rPr>
        <w:t xml:space="preserve">il procéder à cette pondération? Avant de trancher les questions soulevées en appel, il est utile de passer en revue l’historique de la défense légale fondée sur les gains en efficience et la manière dont les tribunaux l’ont traitée auparavant. </w:t>
      </w:r>
    </w:p>
    <w:p w:rsidR="0039493A" w:rsidRPr="00B27419" w:rsidRDefault="0039493A" w:rsidP="00B27419">
      <w:pPr>
        <w:pStyle w:val="Title3LevelTitre3Niveau"/>
        <w:rPr>
          <w:rFonts w:cs="Times New Roman"/>
          <w:lang w:val="fr-CA"/>
        </w:rPr>
      </w:pPr>
      <w:bookmarkStart w:id="80" w:name="_Toc396299547"/>
      <w:bookmarkStart w:id="81" w:name="_Toc397586778"/>
      <w:bookmarkStart w:id="82" w:name="_Toc409593462"/>
      <w:r w:rsidRPr="00B27419">
        <w:rPr>
          <w:rFonts w:cs="Times New Roman"/>
          <w:lang w:val="fr-CA"/>
        </w:rPr>
        <w:t>Historique de la défense fondée sur</w:t>
      </w:r>
      <w:bookmarkEnd w:id="80"/>
      <w:bookmarkEnd w:id="81"/>
      <w:r w:rsidRPr="00B27419">
        <w:rPr>
          <w:rFonts w:cs="Times New Roman"/>
          <w:lang w:val="fr-CA"/>
        </w:rPr>
        <w:t xml:space="preserve"> les gains en efficience</w:t>
      </w:r>
      <w:bookmarkEnd w:id="82"/>
    </w:p>
    <w:p w:rsidR="0039493A" w:rsidRPr="00B27419" w:rsidRDefault="0039493A" w:rsidP="00B27419">
      <w:pPr>
        <w:pStyle w:val="ParaNoNdepar-AltN"/>
        <w:rPr>
          <w:rFonts w:cs="Times New Roman"/>
          <w:lang w:val="fr-CA"/>
        </w:rPr>
      </w:pPr>
      <w:r w:rsidRPr="00B27419">
        <w:rPr>
          <w:rFonts w:cs="Times New Roman"/>
          <w:lang w:val="fr-CA"/>
        </w:rPr>
        <w:t>L’article</w:t>
      </w:r>
      <w:r w:rsidR="00E6271F" w:rsidRPr="00B27419">
        <w:rPr>
          <w:rFonts w:cs="Times New Roman"/>
          <w:lang w:val="fr-CA"/>
        </w:rPr>
        <w:t xml:space="preserve"> </w:t>
      </w:r>
      <w:r w:rsidRPr="00B27419">
        <w:rPr>
          <w:rFonts w:cs="Times New Roman"/>
          <w:lang w:val="fr-CA"/>
        </w:rPr>
        <w:t xml:space="preserve">96 faisait partie de la nouvelle </w:t>
      </w:r>
      <w:r w:rsidRPr="00B27419">
        <w:rPr>
          <w:rFonts w:cs="Times New Roman"/>
          <w:i/>
          <w:lang w:val="fr-CA"/>
        </w:rPr>
        <w:t>Loi sur la concurrence</w:t>
      </w:r>
      <w:r w:rsidRPr="00B27419">
        <w:rPr>
          <w:rFonts w:cs="Times New Roman"/>
          <w:lang w:val="fr-CA"/>
        </w:rPr>
        <w:t>, entrée en vigueur le 19</w:t>
      </w:r>
      <w:r w:rsidR="00E6271F" w:rsidRPr="00B27419">
        <w:rPr>
          <w:rFonts w:cs="Times New Roman"/>
          <w:lang w:val="fr-CA"/>
        </w:rPr>
        <w:t xml:space="preserve"> </w:t>
      </w:r>
      <w:r w:rsidRPr="00B27419">
        <w:rPr>
          <w:rFonts w:cs="Times New Roman"/>
          <w:lang w:val="fr-CA"/>
        </w:rPr>
        <w:t>juin 1986. La réforme de la législation canadienne sur la concurrence a été entreprise en 1966 lorsque le gouvernement fédéral a demandé au Conseil économique du Canada de se pencher sur la question. Dans le rapport qu’il a publié en 1969, le Conseil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a dit de l’efficience économique qu’elle était l’objectif politique prépondérant</w:t>
      </w:r>
      <w:r w:rsidR="00B27419">
        <w:rPr>
          <w:rFonts w:cs="Times New Roman"/>
          <w:lang w:val="fr-CA"/>
        </w:rPr>
        <w:t> »</w:t>
      </w:r>
      <w:r w:rsidRPr="00B27419">
        <w:rPr>
          <w:rFonts w:cs="Times New Roman"/>
          <w:lang w:val="fr-CA"/>
        </w:rPr>
        <w:t xml:space="preserve"> de la réforme législative (A.</w:t>
      </w:r>
      <w:r w:rsidR="00E6271F" w:rsidRPr="00B27419">
        <w:rPr>
          <w:rFonts w:cs="Times New Roman"/>
          <w:lang w:val="fr-CA"/>
        </w:rPr>
        <w:t xml:space="preserve"> </w:t>
      </w:r>
      <w:r w:rsidRPr="00B27419">
        <w:rPr>
          <w:rFonts w:cs="Times New Roman"/>
          <w:lang w:val="fr-CA"/>
        </w:rPr>
        <w:t>N.</w:t>
      </w:r>
      <w:r w:rsidR="00E6271F" w:rsidRPr="00B27419">
        <w:rPr>
          <w:rFonts w:cs="Times New Roman"/>
          <w:lang w:val="fr-CA"/>
        </w:rPr>
        <w:t xml:space="preserve"> </w:t>
      </w:r>
      <w:r w:rsidRPr="00B27419">
        <w:rPr>
          <w:rFonts w:cs="Times New Roman"/>
          <w:lang w:val="fr-CA"/>
        </w:rPr>
        <w:t xml:space="preserve">Campbell, </w:t>
      </w:r>
      <w:proofErr w:type="spellStart"/>
      <w:r w:rsidRPr="00B27419">
        <w:rPr>
          <w:rFonts w:cs="Times New Roman"/>
          <w:i/>
          <w:lang w:val="fr-CA"/>
        </w:rPr>
        <w:t>Merger</w:t>
      </w:r>
      <w:proofErr w:type="spellEnd"/>
      <w:r w:rsidRPr="00B27419">
        <w:rPr>
          <w:rFonts w:cs="Times New Roman"/>
          <w:i/>
          <w:lang w:val="fr-CA"/>
        </w:rPr>
        <w:t xml:space="preserve"> Law and Practice</w:t>
      </w:r>
      <w:r w:rsidR="00E6271F" w:rsidRPr="00B27419">
        <w:rPr>
          <w:rFonts w:cs="Times New Roman"/>
          <w:i/>
          <w:lang w:val="fr-CA"/>
        </w:rPr>
        <w:t> :</w:t>
      </w:r>
      <w:r w:rsidRPr="00B27419">
        <w:rPr>
          <w:rFonts w:cs="Times New Roman"/>
          <w:i/>
          <w:lang w:val="fr-CA"/>
        </w:rPr>
        <w:t xml:space="preserve"> The </w:t>
      </w:r>
      <w:proofErr w:type="spellStart"/>
      <w:r w:rsidRPr="00B27419">
        <w:rPr>
          <w:rFonts w:cs="Times New Roman"/>
          <w:i/>
          <w:lang w:val="fr-CA"/>
        </w:rPr>
        <w:t>Regulation</w:t>
      </w:r>
      <w:proofErr w:type="spellEnd"/>
      <w:r w:rsidRPr="00B27419">
        <w:rPr>
          <w:rFonts w:cs="Times New Roman"/>
          <w:i/>
          <w:lang w:val="fr-CA"/>
        </w:rPr>
        <w:t xml:space="preserve"> of </w:t>
      </w:r>
      <w:proofErr w:type="spellStart"/>
      <w:r w:rsidRPr="00B27419">
        <w:rPr>
          <w:rFonts w:cs="Times New Roman"/>
          <w:i/>
          <w:lang w:val="fr-CA"/>
        </w:rPr>
        <w:t>Mergers</w:t>
      </w:r>
      <w:proofErr w:type="spellEnd"/>
      <w:r w:rsidRPr="00B27419">
        <w:rPr>
          <w:rFonts w:cs="Times New Roman"/>
          <w:i/>
          <w:lang w:val="fr-CA"/>
        </w:rPr>
        <w:t xml:space="preserve"> Under the </w:t>
      </w:r>
      <w:proofErr w:type="spellStart"/>
      <w:r w:rsidRPr="00B27419">
        <w:rPr>
          <w:rFonts w:cs="Times New Roman"/>
          <w:i/>
          <w:lang w:val="fr-CA"/>
        </w:rPr>
        <w:t>Competition</w:t>
      </w:r>
      <w:proofErr w:type="spellEnd"/>
      <w:r w:rsidRPr="00B27419">
        <w:rPr>
          <w:rFonts w:cs="Times New Roman"/>
          <w:i/>
          <w:lang w:val="fr-CA"/>
        </w:rPr>
        <w:t xml:space="preserve"> </w:t>
      </w:r>
      <w:proofErr w:type="spellStart"/>
      <w:r w:rsidRPr="00B27419">
        <w:rPr>
          <w:rFonts w:cs="Times New Roman"/>
          <w:i/>
          <w:lang w:val="fr-CA"/>
        </w:rPr>
        <w:t>Act</w:t>
      </w:r>
      <w:proofErr w:type="spellEnd"/>
      <w:r w:rsidRPr="00B27419">
        <w:rPr>
          <w:rFonts w:cs="Times New Roman"/>
          <w:lang w:val="fr-CA"/>
        </w:rPr>
        <w:t xml:space="preserve"> (1997), p.</w:t>
      </w:r>
      <w:r w:rsidR="00E6271F" w:rsidRPr="00B27419">
        <w:rPr>
          <w:rFonts w:cs="Times New Roman"/>
          <w:lang w:val="fr-CA"/>
        </w:rPr>
        <w:t xml:space="preserve"> </w:t>
      </w:r>
      <w:r w:rsidRPr="00B27419">
        <w:rPr>
          <w:rFonts w:cs="Times New Roman"/>
          <w:lang w:val="fr-CA"/>
        </w:rPr>
        <w:lastRenderedPageBreak/>
        <w:t xml:space="preserve">21). Après quelques tentatives de modification législative et au terme de consultations longues et vastes, le législateur a adopté la nouvelle </w:t>
      </w:r>
      <w:r w:rsidRPr="00B27419">
        <w:rPr>
          <w:rFonts w:cs="Times New Roman"/>
          <w:i/>
          <w:lang w:val="fr-CA"/>
        </w:rPr>
        <w:t>Loi sur la concurrence</w:t>
      </w:r>
      <w:r w:rsidRPr="00B27419">
        <w:rPr>
          <w:rFonts w:cs="Times New Roman"/>
          <w:lang w:val="fr-CA"/>
        </w:rPr>
        <w:t>. Il répondait ainsi aux préoccupations formulées à l’égard du nombre de fusionnements importants intervenus au Canada (</w:t>
      </w:r>
      <w:proofErr w:type="spellStart"/>
      <w:r w:rsidRPr="00B27419">
        <w:rPr>
          <w:rFonts w:cs="Times New Roman"/>
          <w:lang w:val="fr-CA"/>
        </w:rPr>
        <w:t>Facey</w:t>
      </w:r>
      <w:proofErr w:type="spellEnd"/>
      <w:r w:rsidRPr="00B27419">
        <w:rPr>
          <w:rFonts w:cs="Times New Roman"/>
          <w:lang w:val="fr-CA"/>
        </w:rPr>
        <w:t xml:space="preserve"> et </w:t>
      </w:r>
      <w:proofErr w:type="spellStart"/>
      <w:r w:rsidRPr="00B27419">
        <w:rPr>
          <w:rFonts w:cs="Times New Roman"/>
          <w:lang w:val="fr-CA"/>
        </w:rPr>
        <w:t>Assaf</w:t>
      </w:r>
      <w:proofErr w:type="spellEnd"/>
      <w:r w:rsidRPr="00B27419">
        <w:rPr>
          <w:rFonts w:cs="Times New Roman"/>
          <w:lang w:val="fr-CA"/>
        </w:rPr>
        <w:t>, p.</w:t>
      </w:r>
      <w:r w:rsidR="00E6271F" w:rsidRPr="00B27419">
        <w:rPr>
          <w:rFonts w:cs="Times New Roman"/>
          <w:lang w:val="fr-CA"/>
        </w:rPr>
        <w:t xml:space="preserve"> </w:t>
      </w:r>
      <w:r w:rsidRPr="00B27419">
        <w:rPr>
          <w:rFonts w:cs="Times New Roman"/>
          <w:lang w:val="fr-CA"/>
        </w:rPr>
        <w:t>9; voir aussi W.</w:t>
      </w:r>
      <w:r w:rsidR="00E6271F" w:rsidRPr="00B27419">
        <w:rPr>
          <w:rFonts w:cs="Times New Roman"/>
          <w:lang w:val="fr-CA"/>
        </w:rPr>
        <w:t xml:space="preserve"> </w:t>
      </w:r>
      <w:r w:rsidRPr="00B27419">
        <w:rPr>
          <w:rFonts w:cs="Times New Roman"/>
          <w:lang w:val="fr-CA"/>
        </w:rPr>
        <w:t>T.</w:t>
      </w:r>
      <w:r w:rsidR="00E6271F" w:rsidRPr="00B27419">
        <w:rPr>
          <w:rFonts w:cs="Times New Roman"/>
          <w:lang w:val="fr-CA"/>
        </w:rPr>
        <w:t xml:space="preserve"> </w:t>
      </w:r>
      <w:proofErr w:type="spellStart"/>
      <w:r w:rsidRPr="00B27419">
        <w:rPr>
          <w:rFonts w:cs="Times New Roman"/>
          <w:lang w:val="fr-CA"/>
        </w:rPr>
        <w:t>Stanbury</w:t>
      </w:r>
      <w:proofErr w:type="spellEnd"/>
      <w:r w:rsidRPr="00B27419">
        <w:rPr>
          <w:rFonts w:cs="Times New Roman"/>
          <w:lang w:val="fr-CA"/>
        </w:rPr>
        <w:t xml:space="preserve"> et G.</w:t>
      </w:r>
      <w:r w:rsidR="00E6271F" w:rsidRPr="00B27419">
        <w:rPr>
          <w:rFonts w:cs="Times New Roman"/>
          <w:lang w:val="fr-CA"/>
        </w:rPr>
        <w:t xml:space="preserve"> </w:t>
      </w:r>
      <w:r w:rsidRPr="00B27419">
        <w:rPr>
          <w:rFonts w:cs="Times New Roman"/>
          <w:lang w:val="fr-CA"/>
        </w:rPr>
        <w:t>B.</w:t>
      </w:r>
      <w:r w:rsidR="00E6271F" w:rsidRPr="00B27419">
        <w:rPr>
          <w:rFonts w:cs="Times New Roman"/>
          <w:lang w:val="fr-CA"/>
        </w:rPr>
        <w:t xml:space="preserve"> </w:t>
      </w:r>
      <w:proofErr w:type="spellStart"/>
      <w:r w:rsidRPr="00B27419">
        <w:rPr>
          <w:rFonts w:cs="Times New Roman"/>
          <w:lang w:val="fr-CA"/>
        </w:rPr>
        <w:t>Reschenthaler</w:t>
      </w:r>
      <w:proofErr w:type="spellEnd"/>
      <w:r w:rsidRPr="00B27419">
        <w:rPr>
          <w:rFonts w:cs="Times New Roman"/>
          <w:lang w:val="fr-CA"/>
        </w:rPr>
        <w:t xml:space="preserve">, </w:t>
      </w:r>
      <w:r w:rsidR="00B27419">
        <w:rPr>
          <w:rFonts w:cs="Times New Roman"/>
          <w:lang w:val="fr-CA"/>
        </w:rPr>
        <w:t>« </w:t>
      </w:r>
      <w:r w:rsidRPr="00B27419">
        <w:rPr>
          <w:rFonts w:cs="Times New Roman"/>
          <w:lang w:val="fr-CA"/>
        </w:rPr>
        <w:t xml:space="preserve">Reforming Canadian </w:t>
      </w:r>
      <w:proofErr w:type="spellStart"/>
      <w:r w:rsidRPr="00B27419">
        <w:rPr>
          <w:rFonts w:cs="Times New Roman"/>
          <w:lang w:val="fr-CA"/>
        </w:rPr>
        <w:t>Competition</w:t>
      </w:r>
      <w:proofErr w:type="spellEnd"/>
      <w:r w:rsidRPr="00B27419">
        <w:rPr>
          <w:rFonts w:cs="Times New Roman"/>
          <w:lang w:val="fr-CA"/>
        </w:rPr>
        <w:t xml:space="preserve"> Policy</w:t>
      </w:r>
      <w:r w:rsidR="00E6271F" w:rsidRPr="00B27419">
        <w:rPr>
          <w:rFonts w:cs="Times New Roman"/>
          <w:lang w:val="fr-CA"/>
        </w:rPr>
        <w:t> :</w:t>
      </w:r>
      <w:r w:rsidRPr="00B27419">
        <w:rPr>
          <w:rFonts w:cs="Times New Roman"/>
          <w:lang w:val="fr-CA"/>
        </w:rPr>
        <w:t xml:space="preserve"> Once More </w:t>
      </w:r>
      <w:proofErr w:type="spellStart"/>
      <w:r w:rsidRPr="00B27419">
        <w:rPr>
          <w:rFonts w:cs="Times New Roman"/>
          <w:lang w:val="fr-CA"/>
        </w:rPr>
        <w:t>Unto</w:t>
      </w:r>
      <w:proofErr w:type="spellEnd"/>
      <w:r w:rsidRPr="00B27419">
        <w:rPr>
          <w:rFonts w:cs="Times New Roman"/>
          <w:lang w:val="fr-CA"/>
        </w:rPr>
        <w:t xml:space="preserve"> the </w:t>
      </w:r>
      <w:proofErr w:type="spellStart"/>
      <w:r w:rsidRPr="00B27419">
        <w:rPr>
          <w:rFonts w:cs="Times New Roman"/>
          <w:lang w:val="fr-CA"/>
        </w:rPr>
        <w:t>Breach</w:t>
      </w:r>
      <w:proofErr w:type="spellEnd"/>
      <w:r w:rsidR="00B27419">
        <w:rPr>
          <w:rFonts w:cs="Times New Roman"/>
          <w:lang w:val="fr-CA"/>
        </w:rPr>
        <w:t> »</w:t>
      </w:r>
      <w:r w:rsidRPr="00B27419">
        <w:rPr>
          <w:rFonts w:cs="Times New Roman"/>
          <w:lang w:val="fr-CA"/>
        </w:rPr>
        <w:t xml:space="preserve"> (1981), 5 </w:t>
      </w:r>
      <w:proofErr w:type="spellStart"/>
      <w:r w:rsidR="00503A04" w:rsidRPr="00B27419">
        <w:rPr>
          <w:rFonts w:cs="Times New Roman"/>
          <w:i/>
          <w:lang w:val="fr-CA"/>
        </w:rPr>
        <w:t>Rev</w:t>
      </w:r>
      <w:proofErr w:type="spellEnd"/>
      <w:r w:rsidR="00503A04" w:rsidRPr="00B27419">
        <w:rPr>
          <w:rFonts w:cs="Times New Roman"/>
          <w:i/>
          <w:lang w:val="fr-CA"/>
        </w:rPr>
        <w:t xml:space="preserve">. </w:t>
      </w:r>
      <w:proofErr w:type="spellStart"/>
      <w:r w:rsidR="00503A04" w:rsidRPr="00B27419">
        <w:rPr>
          <w:rFonts w:cs="Times New Roman"/>
          <w:i/>
          <w:lang w:val="fr-CA"/>
        </w:rPr>
        <w:t>can</w:t>
      </w:r>
      <w:proofErr w:type="spellEnd"/>
      <w:r w:rsidR="00503A04" w:rsidRPr="00B27419">
        <w:rPr>
          <w:rFonts w:cs="Times New Roman"/>
          <w:i/>
          <w:lang w:val="fr-CA"/>
        </w:rPr>
        <w:t xml:space="preserve">. </w:t>
      </w:r>
      <w:proofErr w:type="spellStart"/>
      <w:r w:rsidR="00503A04" w:rsidRPr="00B27419">
        <w:rPr>
          <w:rFonts w:cs="Times New Roman"/>
          <w:i/>
          <w:lang w:val="fr-CA"/>
        </w:rPr>
        <w:t>dr</w:t>
      </w:r>
      <w:proofErr w:type="spellEnd"/>
      <w:r w:rsidR="00503A04" w:rsidRPr="00B27419">
        <w:rPr>
          <w:rFonts w:cs="Times New Roman"/>
          <w:i/>
          <w:lang w:val="fr-CA"/>
        </w:rPr>
        <w:t xml:space="preserve">. </w:t>
      </w:r>
      <w:proofErr w:type="spellStart"/>
      <w:r w:rsidR="00503A04" w:rsidRPr="00B27419">
        <w:rPr>
          <w:rFonts w:cs="Times New Roman"/>
          <w:i/>
          <w:lang w:val="fr-CA"/>
        </w:rPr>
        <w:t>comm</w:t>
      </w:r>
      <w:proofErr w:type="spellEnd"/>
      <w:r w:rsidR="00503A04" w:rsidRPr="00B27419">
        <w:rPr>
          <w:rFonts w:cs="Times New Roman"/>
          <w:i/>
          <w:lang w:val="fr-CA"/>
        </w:rPr>
        <w:t>.</w:t>
      </w:r>
      <w:r w:rsidRPr="00B27419">
        <w:rPr>
          <w:rFonts w:cs="Times New Roman"/>
          <w:lang w:val="fr-CA"/>
        </w:rPr>
        <w:t xml:space="preserve"> 381, p.</w:t>
      </w:r>
      <w:r w:rsidR="00E6271F" w:rsidRPr="00B27419">
        <w:rPr>
          <w:rFonts w:cs="Times New Roman"/>
          <w:lang w:val="fr-CA"/>
        </w:rPr>
        <w:t xml:space="preserve"> </w:t>
      </w:r>
      <w:r w:rsidRPr="00B27419">
        <w:rPr>
          <w:rFonts w:cs="Times New Roman"/>
          <w:lang w:val="fr-CA"/>
        </w:rPr>
        <w:t xml:space="preserve">388). Au début de 1981, le ministre fédéral de la Consommation et des Affaires commerciales avait sollicité l’opinion de ses homologues provinciaux, d’associations syndicales, de groupes de consommateurs et d’universitaires sur des propositions de modifications à la </w:t>
      </w:r>
      <w:r w:rsidRPr="00B27419">
        <w:rPr>
          <w:rFonts w:cs="Times New Roman"/>
          <w:i/>
          <w:lang w:val="fr-CA"/>
        </w:rPr>
        <w:t>Loi relative aux enquêtes sur les coalitions</w:t>
      </w:r>
      <w:r w:rsidRPr="00B27419">
        <w:rPr>
          <w:rFonts w:cs="Times New Roman"/>
          <w:lang w:val="fr-CA"/>
        </w:rPr>
        <w:t>, S.R.C. 1970, c.</w:t>
      </w:r>
      <w:r w:rsidR="00E6271F" w:rsidRPr="00B27419">
        <w:rPr>
          <w:rFonts w:cs="Times New Roman"/>
          <w:lang w:val="fr-CA"/>
        </w:rPr>
        <w:t xml:space="preserve"> </w:t>
      </w:r>
      <w:r w:rsidRPr="00B27419">
        <w:rPr>
          <w:rFonts w:cs="Times New Roman"/>
          <w:lang w:val="fr-CA"/>
        </w:rPr>
        <w:t>C</w:t>
      </w:r>
      <w:r w:rsidR="00E6271F" w:rsidRPr="00B27419">
        <w:rPr>
          <w:rFonts w:cs="Times New Roman"/>
          <w:lang w:val="fr-CA"/>
        </w:rPr>
        <w:t>-</w:t>
      </w:r>
      <w:r w:rsidRPr="00B27419">
        <w:rPr>
          <w:rFonts w:cs="Times New Roman"/>
          <w:lang w:val="fr-CA"/>
        </w:rPr>
        <w:t>23 (</w:t>
      </w:r>
      <w:r w:rsidRPr="00B27419">
        <w:rPr>
          <w:rFonts w:cs="Times New Roman"/>
          <w:i/>
          <w:lang w:val="fr-CA"/>
        </w:rPr>
        <w:t>ibid.</w:t>
      </w:r>
      <w:r w:rsidRPr="00B27419">
        <w:rPr>
          <w:rFonts w:cs="Times New Roman"/>
          <w:lang w:val="fr-CA"/>
        </w:rPr>
        <w:t>, p.</w:t>
      </w:r>
      <w:r w:rsidR="00E6271F" w:rsidRPr="00B27419">
        <w:rPr>
          <w:rFonts w:cs="Times New Roman"/>
          <w:lang w:val="fr-CA"/>
        </w:rPr>
        <w:t xml:space="preserve"> </w:t>
      </w:r>
      <w:r w:rsidRPr="00B27419">
        <w:rPr>
          <w:rFonts w:cs="Times New Roman"/>
          <w:lang w:val="fr-CA"/>
        </w:rPr>
        <w:t>381). Cette démarche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 xml:space="preserve">a permis d’obtenir une expérience précieuse qui a servi à établir les assises de ce qui allait devenir la </w:t>
      </w:r>
      <w:r w:rsidRPr="00B27419">
        <w:rPr>
          <w:rFonts w:cs="Times New Roman"/>
          <w:i/>
          <w:lang w:val="fr-CA"/>
        </w:rPr>
        <w:t>Loi sur la concurrence</w:t>
      </w:r>
      <w:r w:rsidR="00B27419">
        <w:rPr>
          <w:rFonts w:cs="Times New Roman"/>
          <w:lang w:val="fr-CA"/>
        </w:rPr>
        <w:t> »</w:t>
      </w:r>
      <w:r w:rsidRPr="00B27419">
        <w:rPr>
          <w:rFonts w:cs="Times New Roman"/>
          <w:lang w:val="fr-CA"/>
        </w:rPr>
        <w:t xml:space="preserve"> (</w:t>
      </w:r>
      <w:proofErr w:type="spellStart"/>
      <w:r w:rsidRPr="00B27419">
        <w:rPr>
          <w:rFonts w:cs="Times New Roman"/>
          <w:lang w:val="fr-CA"/>
        </w:rPr>
        <w:t>Facey</w:t>
      </w:r>
      <w:proofErr w:type="spellEnd"/>
      <w:r w:rsidRPr="00B27419">
        <w:rPr>
          <w:rFonts w:cs="Times New Roman"/>
          <w:lang w:val="fr-CA"/>
        </w:rPr>
        <w:t xml:space="preserve"> et </w:t>
      </w:r>
      <w:proofErr w:type="spellStart"/>
      <w:r w:rsidRPr="00B27419">
        <w:rPr>
          <w:rFonts w:cs="Times New Roman"/>
          <w:lang w:val="fr-CA"/>
        </w:rPr>
        <w:t>Assaf</w:t>
      </w:r>
      <w:proofErr w:type="spellEnd"/>
      <w:r w:rsidRPr="00B27419">
        <w:rPr>
          <w:rFonts w:cs="Times New Roman"/>
          <w:lang w:val="fr-CA"/>
        </w:rPr>
        <w:t>, p.</w:t>
      </w:r>
      <w:r w:rsidR="00E6271F" w:rsidRPr="00B27419">
        <w:rPr>
          <w:rFonts w:cs="Times New Roman"/>
          <w:lang w:val="fr-CA"/>
        </w:rPr>
        <w:t xml:space="preserve"> </w:t>
      </w:r>
      <w:r w:rsidRPr="00B27419">
        <w:rPr>
          <w:rFonts w:cs="Times New Roman"/>
          <w:lang w:val="fr-CA"/>
        </w:rPr>
        <w:t>10).</w:t>
      </w:r>
    </w:p>
    <w:p w:rsidR="0039493A" w:rsidRPr="00B27419" w:rsidRDefault="0039493A" w:rsidP="00B27419">
      <w:pPr>
        <w:pStyle w:val="ParaNoNdepar-AltN"/>
        <w:rPr>
          <w:rFonts w:cs="Times New Roman"/>
          <w:lang w:val="fr-CA"/>
        </w:rPr>
      </w:pPr>
      <w:r w:rsidRPr="00B27419">
        <w:rPr>
          <w:rFonts w:cs="Times New Roman"/>
          <w:lang w:val="fr-CA"/>
        </w:rPr>
        <w:t>Le projet de loi C</w:t>
      </w:r>
      <w:r w:rsidR="00E6271F" w:rsidRPr="00B27419">
        <w:rPr>
          <w:rFonts w:cs="Times New Roman"/>
          <w:lang w:val="fr-CA"/>
        </w:rPr>
        <w:t>-</w:t>
      </w:r>
      <w:r w:rsidRPr="00B27419">
        <w:rPr>
          <w:rFonts w:cs="Times New Roman"/>
          <w:lang w:val="fr-CA"/>
        </w:rPr>
        <w:t xml:space="preserve">91, la </w:t>
      </w:r>
      <w:r w:rsidRPr="00B27419">
        <w:rPr>
          <w:rFonts w:cs="Times New Roman"/>
          <w:i/>
          <w:lang w:val="fr-CA"/>
        </w:rPr>
        <w:t>Loi constituan</w:t>
      </w:r>
      <w:r w:rsidR="00E96B23">
        <w:rPr>
          <w:rFonts w:cs="Times New Roman"/>
          <w:i/>
          <w:lang w:val="fr-CA"/>
        </w:rPr>
        <w:t>t le Tribunal de la concurrence et</w:t>
      </w:r>
      <w:r w:rsidRPr="00B27419">
        <w:rPr>
          <w:rFonts w:cs="Times New Roman"/>
          <w:i/>
          <w:lang w:val="fr-CA"/>
        </w:rPr>
        <w:t xml:space="preserve"> modifiant la Loi relative aux enquêtes sur les coalitions et la Loi sur les banques et apportant des modifications corrélatives à d’autres lois</w:t>
      </w:r>
      <w:r w:rsidRPr="00B27419">
        <w:rPr>
          <w:rFonts w:cs="Times New Roman"/>
          <w:lang w:val="fr-CA"/>
        </w:rPr>
        <w:t>, a été déposé à la Chambre des communes en 1985 (1</w:t>
      </w:r>
      <w:r w:rsidRPr="00B27419">
        <w:rPr>
          <w:rFonts w:cs="Times New Roman"/>
          <w:vertAlign w:val="superscript"/>
          <w:lang w:val="fr-CA"/>
        </w:rPr>
        <w:t>re</w:t>
      </w:r>
      <w:r w:rsidR="00E6271F" w:rsidRPr="00B27419">
        <w:rPr>
          <w:rFonts w:cs="Times New Roman"/>
          <w:lang w:val="fr-CA"/>
        </w:rPr>
        <w:t xml:space="preserve"> </w:t>
      </w:r>
      <w:proofErr w:type="spellStart"/>
      <w:proofErr w:type="gramStart"/>
      <w:r w:rsidR="00CB77AF" w:rsidRPr="00B27419">
        <w:rPr>
          <w:rFonts w:cs="Times New Roman"/>
          <w:lang w:val="fr-CA"/>
        </w:rPr>
        <w:t>sess</w:t>
      </w:r>
      <w:proofErr w:type="spellEnd"/>
      <w:r w:rsidR="00FD69E9" w:rsidRPr="00B27419">
        <w:rPr>
          <w:rFonts w:cs="Times New Roman"/>
          <w:lang w:val="fr-CA"/>
        </w:rPr>
        <w:t>.</w:t>
      </w:r>
      <w:r w:rsidR="00CB77AF" w:rsidRPr="00B27419">
        <w:rPr>
          <w:rFonts w:cs="Times New Roman"/>
          <w:lang w:val="fr-CA"/>
        </w:rPr>
        <w:t>,</w:t>
      </w:r>
      <w:proofErr w:type="gramEnd"/>
      <w:r w:rsidRPr="00B27419">
        <w:rPr>
          <w:rFonts w:cs="Times New Roman"/>
          <w:lang w:val="fr-CA"/>
        </w:rPr>
        <w:t xml:space="preserve"> 33</w:t>
      </w:r>
      <w:r w:rsidRPr="00B27419">
        <w:rPr>
          <w:rFonts w:cs="Times New Roman"/>
          <w:vertAlign w:val="superscript"/>
          <w:lang w:val="fr-CA"/>
        </w:rPr>
        <w:t>e</w:t>
      </w:r>
      <w:r w:rsidR="00E6271F" w:rsidRPr="00B27419">
        <w:rPr>
          <w:rFonts w:cs="Times New Roman"/>
          <w:lang w:val="fr-CA"/>
        </w:rPr>
        <w:t xml:space="preserve"> </w:t>
      </w:r>
      <w:proofErr w:type="spellStart"/>
      <w:r w:rsidRPr="00B27419">
        <w:rPr>
          <w:rFonts w:cs="Times New Roman"/>
          <w:lang w:val="fr-CA"/>
        </w:rPr>
        <w:t>lég</w:t>
      </w:r>
      <w:proofErr w:type="spellEnd"/>
      <w:r w:rsidRPr="00B27419">
        <w:rPr>
          <w:rFonts w:cs="Times New Roman"/>
          <w:lang w:val="fr-CA"/>
        </w:rPr>
        <w:t>., première lecture le 17</w:t>
      </w:r>
      <w:r w:rsidR="00E6271F" w:rsidRPr="00B27419">
        <w:rPr>
          <w:rFonts w:cs="Times New Roman"/>
          <w:lang w:val="fr-CA"/>
        </w:rPr>
        <w:t xml:space="preserve"> </w:t>
      </w:r>
      <w:r w:rsidRPr="00B27419">
        <w:rPr>
          <w:rFonts w:cs="Times New Roman"/>
          <w:lang w:val="fr-CA"/>
        </w:rPr>
        <w:t>déc. 1985, sanctionnée le 17</w:t>
      </w:r>
      <w:r w:rsidR="00E6271F" w:rsidRPr="00B27419">
        <w:rPr>
          <w:rFonts w:cs="Times New Roman"/>
          <w:lang w:val="fr-CA"/>
        </w:rPr>
        <w:t xml:space="preserve"> </w:t>
      </w:r>
      <w:r w:rsidRPr="00B27419">
        <w:rPr>
          <w:rFonts w:cs="Times New Roman"/>
          <w:lang w:val="fr-CA"/>
        </w:rPr>
        <w:t>juin 1986, L.C. 1986, c.</w:t>
      </w:r>
      <w:r w:rsidR="00E6271F" w:rsidRPr="00B27419">
        <w:rPr>
          <w:rFonts w:cs="Times New Roman"/>
          <w:lang w:val="fr-CA"/>
        </w:rPr>
        <w:t xml:space="preserve"> </w:t>
      </w:r>
      <w:r w:rsidRPr="00B27419">
        <w:rPr>
          <w:rFonts w:cs="Times New Roman"/>
          <w:lang w:val="fr-CA"/>
        </w:rPr>
        <w:t xml:space="preserve">26). Ce projet de loi a modifié profondément la </w:t>
      </w:r>
      <w:r w:rsidRPr="00B27419">
        <w:rPr>
          <w:rFonts w:cs="Times New Roman"/>
          <w:i/>
          <w:lang w:val="fr-CA"/>
        </w:rPr>
        <w:t xml:space="preserve">Loi </w:t>
      </w:r>
      <w:r w:rsidR="00E96B23">
        <w:rPr>
          <w:rFonts w:cs="Times New Roman"/>
          <w:i/>
          <w:lang w:val="fr-CA"/>
        </w:rPr>
        <w:t>relative</w:t>
      </w:r>
      <w:r w:rsidRPr="00B27419">
        <w:rPr>
          <w:rFonts w:cs="Times New Roman"/>
          <w:i/>
          <w:lang w:val="fr-CA"/>
        </w:rPr>
        <w:t xml:space="preserve"> </w:t>
      </w:r>
      <w:r w:rsidR="0065491C">
        <w:rPr>
          <w:rFonts w:cs="Times New Roman"/>
          <w:i/>
          <w:lang w:val="fr-CA"/>
        </w:rPr>
        <w:t xml:space="preserve">aux </w:t>
      </w:r>
      <w:r w:rsidRPr="00B27419">
        <w:rPr>
          <w:rFonts w:cs="Times New Roman"/>
          <w:i/>
          <w:lang w:val="fr-CA"/>
        </w:rPr>
        <w:t>enquêtes sur les coalitions</w:t>
      </w:r>
      <w:r w:rsidRPr="00B27419">
        <w:rPr>
          <w:rFonts w:cs="Times New Roman"/>
          <w:lang w:val="fr-CA"/>
        </w:rPr>
        <w:t>, notamment en constituant un nouvel organisme décisionnel expert, le Tribunal de la concurrence, et en prévoyant la défense fondée sur les gains en efficience (</w:t>
      </w:r>
      <w:proofErr w:type="spellStart"/>
      <w:r w:rsidRPr="00B27419">
        <w:rPr>
          <w:rFonts w:cs="Times New Roman"/>
          <w:lang w:val="fr-CA"/>
        </w:rPr>
        <w:t>Facey</w:t>
      </w:r>
      <w:proofErr w:type="spellEnd"/>
      <w:r w:rsidRPr="00B27419">
        <w:rPr>
          <w:rFonts w:cs="Times New Roman"/>
          <w:lang w:val="fr-CA"/>
        </w:rPr>
        <w:t xml:space="preserve"> et </w:t>
      </w:r>
      <w:proofErr w:type="spellStart"/>
      <w:r w:rsidRPr="00B27419">
        <w:rPr>
          <w:rFonts w:cs="Times New Roman"/>
          <w:lang w:val="fr-CA"/>
        </w:rPr>
        <w:t>Assaf</w:t>
      </w:r>
      <w:proofErr w:type="spellEnd"/>
      <w:r w:rsidRPr="00B27419">
        <w:rPr>
          <w:rFonts w:cs="Times New Roman"/>
          <w:lang w:val="fr-CA"/>
        </w:rPr>
        <w:t>, p.</w:t>
      </w:r>
      <w:r w:rsidR="00E6271F" w:rsidRPr="00B27419">
        <w:rPr>
          <w:rFonts w:cs="Times New Roman"/>
          <w:lang w:val="fr-CA"/>
        </w:rPr>
        <w:t xml:space="preserve"> </w:t>
      </w:r>
      <w:r w:rsidRPr="00B27419">
        <w:rPr>
          <w:rFonts w:cs="Times New Roman"/>
          <w:lang w:val="fr-CA"/>
        </w:rPr>
        <w:t>9</w:t>
      </w:r>
      <w:r w:rsidR="00E6271F" w:rsidRPr="00B27419">
        <w:rPr>
          <w:rFonts w:cs="Times New Roman"/>
          <w:lang w:val="fr-CA"/>
        </w:rPr>
        <w:t>-</w:t>
      </w:r>
      <w:r w:rsidRPr="00B27419">
        <w:rPr>
          <w:rFonts w:cs="Times New Roman"/>
          <w:lang w:val="fr-CA"/>
        </w:rPr>
        <w:t xml:space="preserve">10). </w:t>
      </w:r>
    </w:p>
    <w:p w:rsidR="0039493A" w:rsidRPr="00B27419" w:rsidRDefault="0039493A" w:rsidP="00B27419">
      <w:pPr>
        <w:pStyle w:val="ParaNoNdepar-AltN"/>
        <w:rPr>
          <w:rFonts w:cs="Times New Roman"/>
          <w:lang w:val="fr-CA"/>
        </w:rPr>
      </w:pPr>
      <w:r w:rsidRPr="00B27419">
        <w:rPr>
          <w:rFonts w:cs="Times New Roman"/>
          <w:lang w:val="fr-CA"/>
        </w:rPr>
        <w:lastRenderedPageBreak/>
        <w:t>Une défense distincte fondée sur les gains en efficience, d’origine législative, avait été jugée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convenir particulièrement au Canada, car un marché intérieur modeste ne permet souvent qu’à quelques entreprises tout au plus de produire à des niveaux efficients, et les entreprises canadiennes doivent pouvoir tirer parti d’économies d’échelle pour demeurer concurrentielles sur le marché international</w:t>
      </w:r>
      <w:r w:rsidR="00B27419">
        <w:rPr>
          <w:rFonts w:cs="Times New Roman"/>
          <w:lang w:val="fr-CA"/>
        </w:rPr>
        <w:t> »</w:t>
      </w:r>
      <w:r w:rsidRPr="00B27419">
        <w:rPr>
          <w:rFonts w:cs="Times New Roman"/>
          <w:lang w:val="fr-CA"/>
        </w:rPr>
        <w:t xml:space="preserve"> (Campbell, p.</w:t>
      </w:r>
      <w:r w:rsidR="00E6271F" w:rsidRPr="00B27419">
        <w:rPr>
          <w:rFonts w:cs="Times New Roman"/>
          <w:lang w:val="fr-CA"/>
        </w:rPr>
        <w:t xml:space="preserve"> </w:t>
      </w:r>
      <w:r w:rsidRPr="00B27419">
        <w:rPr>
          <w:rFonts w:cs="Times New Roman"/>
          <w:lang w:val="fr-CA"/>
        </w:rPr>
        <w:t xml:space="preserve">152; voir aussi </w:t>
      </w:r>
      <w:r w:rsidRPr="00B27419">
        <w:rPr>
          <w:rFonts w:cs="Times New Roman"/>
          <w:i/>
          <w:lang w:val="fr-CA"/>
        </w:rPr>
        <w:t>Débats de la Chambre des communes</w:t>
      </w:r>
      <w:r w:rsidRPr="00B27419">
        <w:rPr>
          <w:rFonts w:cs="Times New Roman"/>
          <w:lang w:val="fr-CA"/>
        </w:rPr>
        <w:t>, vol.</w:t>
      </w:r>
      <w:r w:rsidR="00E6271F" w:rsidRPr="00B27419">
        <w:rPr>
          <w:rFonts w:cs="Times New Roman"/>
          <w:lang w:val="fr-CA"/>
        </w:rPr>
        <w:t xml:space="preserve"> </w:t>
      </w:r>
      <w:r w:rsidRPr="00B27419">
        <w:rPr>
          <w:rFonts w:cs="Times New Roman"/>
          <w:lang w:val="fr-CA"/>
        </w:rPr>
        <w:t>VIII, 1</w:t>
      </w:r>
      <w:r w:rsidRPr="00B27419">
        <w:rPr>
          <w:rFonts w:cs="Times New Roman"/>
          <w:vertAlign w:val="superscript"/>
          <w:lang w:val="fr-CA"/>
        </w:rPr>
        <w:t>re</w:t>
      </w:r>
      <w:r w:rsidR="00E6271F" w:rsidRPr="00B27419">
        <w:rPr>
          <w:rFonts w:cs="Times New Roman"/>
          <w:lang w:val="fr-CA"/>
        </w:rPr>
        <w:t xml:space="preserve"> </w:t>
      </w:r>
      <w:proofErr w:type="spellStart"/>
      <w:proofErr w:type="gramStart"/>
      <w:r w:rsidRPr="00B27419">
        <w:rPr>
          <w:rFonts w:cs="Times New Roman"/>
          <w:lang w:val="fr-CA"/>
        </w:rPr>
        <w:t>sess</w:t>
      </w:r>
      <w:proofErr w:type="spellEnd"/>
      <w:r w:rsidRPr="00B27419">
        <w:rPr>
          <w:rFonts w:cs="Times New Roman"/>
          <w:lang w:val="fr-CA"/>
        </w:rPr>
        <w:t>.,</w:t>
      </w:r>
      <w:proofErr w:type="gramEnd"/>
      <w:r w:rsidRPr="00B27419">
        <w:rPr>
          <w:rFonts w:cs="Times New Roman"/>
          <w:lang w:val="fr-CA"/>
        </w:rPr>
        <w:t xml:space="preserve"> 33</w:t>
      </w:r>
      <w:r w:rsidRPr="00B27419">
        <w:rPr>
          <w:rFonts w:cs="Times New Roman"/>
          <w:vertAlign w:val="superscript"/>
          <w:lang w:val="fr-CA"/>
        </w:rPr>
        <w:t>e</w:t>
      </w:r>
      <w:r w:rsidR="00E6271F" w:rsidRPr="00B27419">
        <w:rPr>
          <w:rFonts w:cs="Times New Roman"/>
          <w:lang w:val="fr-CA"/>
        </w:rPr>
        <w:t xml:space="preserve"> </w:t>
      </w:r>
      <w:proofErr w:type="spellStart"/>
      <w:r w:rsidR="00CB77AF" w:rsidRPr="00B27419">
        <w:rPr>
          <w:rFonts w:cs="Times New Roman"/>
          <w:lang w:val="fr-CA"/>
        </w:rPr>
        <w:t>lég</w:t>
      </w:r>
      <w:proofErr w:type="spellEnd"/>
      <w:r w:rsidR="00CB77AF" w:rsidRPr="00B27419">
        <w:rPr>
          <w:rFonts w:cs="Times New Roman"/>
          <w:lang w:val="fr-CA"/>
        </w:rPr>
        <w:t>., 7</w:t>
      </w:r>
      <w:r w:rsidR="00E6271F" w:rsidRPr="00B27419">
        <w:rPr>
          <w:rFonts w:cs="Times New Roman"/>
          <w:lang w:val="fr-CA"/>
        </w:rPr>
        <w:t xml:space="preserve"> </w:t>
      </w:r>
      <w:r w:rsidR="00CB77AF" w:rsidRPr="00B27419">
        <w:rPr>
          <w:rFonts w:cs="Times New Roman"/>
          <w:lang w:val="fr-CA"/>
        </w:rPr>
        <w:t>avril 1986, p.</w:t>
      </w:r>
      <w:r w:rsidR="00E6271F" w:rsidRPr="00B27419">
        <w:rPr>
          <w:rFonts w:cs="Times New Roman"/>
          <w:lang w:val="fr-CA"/>
        </w:rPr>
        <w:t xml:space="preserve"> </w:t>
      </w:r>
      <w:r w:rsidR="00CB77AF" w:rsidRPr="00B27419">
        <w:rPr>
          <w:rFonts w:cs="Times New Roman"/>
          <w:lang w:val="fr-CA"/>
        </w:rPr>
        <w:t>11962; m</w:t>
      </w:r>
      <w:r w:rsidRPr="00B27419">
        <w:rPr>
          <w:rFonts w:cs="Times New Roman"/>
          <w:lang w:val="fr-CA"/>
        </w:rPr>
        <w:t xml:space="preserve">inistre de la Consommation et des Corporations, </w:t>
      </w:r>
      <w:r w:rsidRPr="00B27419">
        <w:rPr>
          <w:rFonts w:cs="Times New Roman"/>
          <w:i/>
          <w:lang w:val="fr-CA"/>
        </w:rPr>
        <w:t>Réforme de la législation sur la concurrence</w:t>
      </w:r>
      <w:r w:rsidR="00E6271F" w:rsidRPr="00B27419">
        <w:rPr>
          <w:rFonts w:cs="Times New Roman"/>
          <w:i/>
          <w:lang w:val="fr-CA"/>
        </w:rPr>
        <w:t> :</w:t>
      </w:r>
      <w:r w:rsidRPr="00B27419">
        <w:rPr>
          <w:rFonts w:cs="Times New Roman"/>
          <w:i/>
          <w:lang w:val="fr-CA"/>
        </w:rPr>
        <w:t xml:space="preserve"> Guide </w:t>
      </w:r>
      <w:r w:rsidRPr="00B27419">
        <w:rPr>
          <w:rFonts w:cs="Times New Roman"/>
          <w:lang w:val="fr-CA"/>
        </w:rPr>
        <w:t>(1985), p.</w:t>
      </w:r>
      <w:r w:rsidR="00E6271F" w:rsidRPr="00B27419">
        <w:rPr>
          <w:rFonts w:cs="Times New Roman"/>
          <w:lang w:val="fr-CA"/>
        </w:rPr>
        <w:t xml:space="preserve"> </w:t>
      </w:r>
      <w:r w:rsidRPr="00B27419">
        <w:rPr>
          <w:rFonts w:cs="Times New Roman"/>
          <w:lang w:val="fr-CA"/>
        </w:rPr>
        <w:t>4). Dans le contexte de l’économie canadienne relativement modeste, où le commerce international est important, le législateur reconnaît par la défense fondée sur les gains en efficience que, dans certains cas, le regroupement est plus avantageux que la concurrence (</w:t>
      </w:r>
      <w:r w:rsidRPr="00B27419">
        <w:rPr>
          <w:rFonts w:cs="Times New Roman"/>
          <w:i/>
          <w:lang w:val="fr-CA"/>
        </w:rPr>
        <w:t>ibid.</w:t>
      </w:r>
      <w:r w:rsidRPr="00B27419">
        <w:rPr>
          <w:rFonts w:cs="Times New Roman"/>
          <w:lang w:val="fr-CA"/>
        </w:rPr>
        <w:t>, p.</w:t>
      </w:r>
      <w:r w:rsidR="00E6271F" w:rsidRPr="00B27419">
        <w:rPr>
          <w:rFonts w:cs="Times New Roman"/>
          <w:lang w:val="fr-CA"/>
        </w:rPr>
        <w:t xml:space="preserve"> </w:t>
      </w:r>
      <w:r w:rsidRPr="00B27419">
        <w:rPr>
          <w:rFonts w:cs="Times New Roman"/>
          <w:lang w:val="fr-CA"/>
        </w:rPr>
        <w:t>15</w:t>
      </w:r>
      <w:r w:rsidR="00E6271F" w:rsidRPr="00B27419">
        <w:rPr>
          <w:rFonts w:cs="Times New Roman"/>
          <w:lang w:val="fr-CA"/>
        </w:rPr>
        <w:t>-</w:t>
      </w:r>
      <w:r w:rsidRPr="00B27419">
        <w:rPr>
          <w:rFonts w:cs="Times New Roman"/>
          <w:lang w:val="fr-CA"/>
        </w:rPr>
        <w:t xml:space="preserve">17). </w:t>
      </w:r>
    </w:p>
    <w:p w:rsidR="0039493A" w:rsidRPr="00B27419" w:rsidRDefault="0039493A" w:rsidP="00B27419">
      <w:pPr>
        <w:pStyle w:val="Title3LevelTitre3Niveau"/>
        <w:rPr>
          <w:rFonts w:cs="Times New Roman"/>
          <w:lang w:val="fr-CA"/>
        </w:rPr>
      </w:pPr>
      <w:bookmarkStart w:id="83" w:name="_Toc396299548"/>
      <w:bookmarkStart w:id="84" w:name="_Toc397586779"/>
      <w:bookmarkStart w:id="85" w:name="_Toc409593463"/>
      <w:r w:rsidRPr="00B27419">
        <w:rPr>
          <w:rFonts w:cs="Times New Roman"/>
          <w:lang w:val="fr-CA"/>
        </w:rPr>
        <w:t>Historique jurisprudentiel de l’</w:t>
      </w:r>
      <w:bookmarkEnd w:id="83"/>
      <w:bookmarkEnd w:id="84"/>
      <w:r w:rsidRPr="00B27419">
        <w:rPr>
          <w:rFonts w:cs="Times New Roman"/>
          <w:lang w:val="fr-CA"/>
        </w:rPr>
        <w:t>art.</w:t>
      </w:r>
      <w:r w:rsidR="00E6271F" w:rsidRPr="00B27419">
        <w:rPr>
          <w:rFonts w:cs="Times New Roman"/>
          <w:lang w:val="fr-CA"/>
        </w:rPr>
        <w:t xml:space="preserve"> </w:t>
      </w:r>
      <w:r w:rsidRPr="00B27419">
        <w:rPr>
          <w:rFonts w:cs="Times New Roman"/>
          <w:lang w:val="fr-CA"/>
        </w:rPr>
        <w:t>96</w:t>
      </w:r>
      <w:bookmarkEnd w:id="85"/>
    </w:p>
    <w:p w:rsidR="0039493A" w:rsidRPr="00B27419" w:rsidRDefault="0039493A" w:rsidP="00B27419">
      <w:pPr>
        <w:pStyle w:val="ParaNoNdepar-AltN"/>
        <w:rPr>
          <w:rFonts w:cs="Times New Roman"/>
          <w:lang w:val="fr-CA"/>
        </w:rPr>
      </w:pPr>
      <w:r w:rsidRPr="00B27419">
        <w:rPr>
          <w:rFonts w:cs="Times New Roman"/>
          <w:lang w:val="fr-CA"/>
        </w:rPr>
        <w:t xml:space="preserve">Encore aujourd’hui, la jurisprudence de principe sur l’interprétation de la défense fondée sur les gains en efficience est la série </w:t>
      </w:r>
      <w:r w:rsidRPr="00B27419">
        <w:rPr>
          <w:rFonts w:cs="Times New Roman"/>
          <w:i/>
          <w:lang w:val="fr-CA"/>
        </w:rPr>
        <w:t>Supérieur Propane</w:t>
      </w:r>
      <w:r w:rsidRPr="00B27419">
        <w:rPr>
          <w:rFonts w:cs="Times New Roman"/>
          <w:lang w:val="fr-CA"/>
        </w:rPr>
        <w:t>, qui commence lorsque le commissaire s’adresse au Tribunal pour obtenir une ordonnance interdisant un fusionnement entre les deux plus importants distributeurs nationaux de propane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w:t>
      </w:r>
      <w:r w:rsidRPr="00B27419">
        <w:rPr>
          <w:rFonts w:cs="Times New Roman"/>
          <w:lang w:val="fr-CA"/>
        </w:rPr>
        <w:t xml:space="preserve">, inf. pour d’autres motifs dans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II</w:t>
      </w:r>
      <w:r w:rsidRPr="00B27419">
        <w:rPr>
          <w:rFonts w:cs="Times New Roman"/>
          <w:lang w:val="fr-CA"/>
        </w:rPr>
        <w:t xml:space="preserve">, autorisation </w:t>
      </w:r>
      <w:r w:rsidR="0008207F" w:rsidRPr="00B27419">
        <w:rPr>
          <w:rFonts w:cs="Times New Roman"/>
          <w:lang w:val="fr-CA"/>
        </w:rPr>
        <w:t>d’appel</w:t>
      </w:r>
      <w:r w:rsidRPr="00B27419">
        <w:rPr>
          <w:rFonts w:cs="Times New Roman"/>
          <w:lang w:val="fr-CA"/>
        </w:rPr>
        <w:t xml:space="preserve"> r</w:t>
      </w:r>
      <w:r w:rsidR="0008207F" w:rsidRPr="00B27419">
        <w:rPr>
          <w:rFonts w:cs="Times New Roman"/>
          <w:lang w:val="fr-CA"/>
        </w:rPr>
        <w:t>ejet</w:t>
      </w:r>
      <w:r w:rsidRPr="00B27419">
        <w:rPr>
          <w:rFonts w:cs="Times New Roman"/>
          <w:lang w:val="fr-CA"/>
        </w:rPr>
        <w:t xml:space="preserve">ée, [2001] 2 R.C.S. xiii; nouvelle décision dans </w:t>
      </w:r>
      <w:r w:rsidRPr="00B27419">
        <w:rPr>
          <w:rFonts w:cs="Times New Roman"/>
          <w:i/>
          <w:lang w:val="fr-CA"/>
        </w:rPr>
        <w:t>Commissaire de la concurrence c. Supérieur Propane Inc.</w:t>
      </w:r>
      <w:r w:rsidR="00557C4C" w:rsidRPr="00B27419">
        <w:rPr>
          <w:rFonts w:cs="Times New Roman"/>
          <w:lang w:val="fr-CA"/>
        </w:rPr>
        <w:t>, 2002</w:t>
      </w:r>
      <w:r w:rsidRPr="00B27419">
        <w:rPr>
          <w:rFonts w:cs="Times New Roman"/>
          <w:lang w:val="fr-CA"/>
        </w:rPr>
        <w:t xml:space="preserve"> </w:t>
      </w:r>
      <w:proofErr w:type="spellStart"/>
      <w:r w:rsidRPr="00B27419">
        <w:rPr>
          <w:rFonts w:cs="Times New Roman"/>
          <w:lang w:val="fr-CA"/>
        </w:rPr>
        <w:t>Trib</w:t>
      </w:r>
      <w:proofErr w:type="spellEnd"/>
      <w:r w:rsidRPr="00B27419">
        <w:rPr>
          <w:rFonts w:cs="Times New Roman"/>
          <w:lang w:val="fr-CA"/>
        </w:rPr>
        <w:t xml:space="preserve">. </w:t>
      </w:r>
      <w:proofErr w:type="spellStart"/>
      <w:r w:rsidRPr="00B27419">
        <w:rPr>
          <w:rFonts w:cs="Times New Roman"/>
          <w:lang w:val="fr-CA"/>
        </w:rPr>
        <w:t>conc</w:t>
      </w:r>
      <w:proofErr w:type="spellEnd"/>
      <w:r w:rsidRPr="00B27419">
        <w:rPr>
          <w:rFonts w:cs="Times New Roman"/>
          <w:lang w:val="fr-CA"/>
        </w:rPr>
        <w:t>.</w:t>
      </w:r>
      <w:r w:rsidR="00E6271F" w:rsidRPr="00B27419">
        <w:rPr>
          <w:rFonts w:cs="Times New Roman"/>
          <w:lang w:val="fr-CA"/>
        </w:rPr>
        <w:t xml:space="preserve"> </w:t>
      </w:r>
      <w:r w:rsidRPr="00B27419">
        <w:rPr>
          <w:rFonts w:cs="Times New Roman"/>
          <w:lang w:val="fr-CA"/>
        </w:rPr>
        <w:t>16 (en ligne) (</w:t>
      </w:r>
      <w:r w:rsidR="00B27419">
        <w:rPr>
          <w:rFonts w:cs="Times New Roman"/>
          <w:lang w:val="fr-CA"/>
        </w:rPr>
        <w:t>«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III</w:t>
      </w:r>
      <w:r w:rsidR="00B27419">
        <w:rPr>
          <w:rFonts w:cs="Times New Roman"/>
          <w:lang w:val="fr-CA"/>
        </w:rPr>
        <w:t> »</w:t>
      </w:r>
      <w:r w:rsidRPr="00B27419">
        <w:rPr>
          <w:rFonts w:cs="Times New Roman"/>
          <w:lang w:val="fr-CA"/>
        </w:rPr>
        <w:t xml:space="preserve">), </w:t>
      </w:r>
      <w:proofErr w:type="spellStart"/>
      <w:r w:rsidRPr="00B27419">
        <w:rPr>
          <w:rFonts w:cs="Times New Roman"/>
          <w:lang w:val="fr-CA"/>
        </w:rPr>
        <w:t>conf</w:t>
      </w:r>
      <w:proofErr w:type="spellEnd"/>
      <w:r w:rsidRPr="00B27419">
        <w:rPr>
          <w:rFonts w:cs="Times New Roman"/>
          <w:lang w:val="fr-CA"/>
        </w:rPr>
        <w:t>.</w:t>
      </w:r>
      <w:r w:rsidR="00E6271F" w:rsidRPr="00B27419">
        <w:rPr>
          <w:rFonts w:cs="Times New Roman"/>
          <w:lang w:val="fr-CA"/>
        </w:rPr>
        <w:t xml:space="preserve"> </w:t>
      </w:r>
      <w:r w:rsidRPr="00B27419">
        <w:rPr>
          <w:rFonts w:cs="Times New Roman"/>
          <w:lang w:val="fr-CA"/>
        </w:rPr>
        <w:t xml:space="preserve">par 2003 CAF 53, [2003] </w:t>
      </w:r>
      <w:r w:rsidR="00804D85">
        <w:rPr>
          <w:rFonts w:cs="Times New Roman"/>
          <w:lang w:val="fr-CA"/>
        </w:rPr>
        <w:t xml:space="preserve">3 </w:t>
      </w:r>
      <w:r w:rsidRPr="00B27419">
        <w:rPr>
          <w:rFonts w:cs="Times New Roman"/>
          <w:lang w:val="fr-CA"/>
        </w:rPr>
        <w:t>C.F. 529 (</w:t>
      </w:r>
      <w:r w:rsidR="00B27419">
        <w:rPr>
          <w:rFonts w:cs="Times New Roman"/>
          <w:lang w:val="fr-CA"/>
        </w:rPr>
        <w:t>«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00B27419">
        <w:rPr>
          <w:rFonts w:cs="Times New Roman"/>
          <w:lang w:val="fr-CA"/>
        </w:rPr>
        <w:t> »</w:t>
      </w:r>
      <w:r w:rsidR="00804D85">
        <w:rPr>
          <w:rFonts w:cs="Times New Roman"/>
          <w:lang w:val="fr-CA"/>
        </w:rPr>
        <w:t>)</w:t>
      </w:r>
      <w:r w:rsidRPr="00B27419">
        <w:rPr>
          <w:rFonts w:cs="Times New Roman"/>
          <w:lang w:val="fr-CA"/>
        </w:rPr>
        <w:t xml:space="preserve">). Bien que notre Cour ne soit pas liée par ces décisions, il reste que </w:t>
      </w:r>
      <w:r w:rsidRPr="00B27419">
        <w:rPr>
          <w:rFonts w:cs="Times New Roman"/>
          <w:lang w:val="fr-CA"/>
        </w:rPr>
        <w:lastRenderedPageBreak/>
        <w:t>celles</w:t>
      </w:r>
      <w:r w:rsidR="00E6271F" w:rsidRPr="00B27419">
        <w:rPr>
          <w:rFonts w:cs="Times New Roman"/>
          <w:lang w:val="fr-CA"/>
        </w:rPr>
        <w:t>-</w:t>
      </w:r>
      <w:r w:rsidRPr="00B27419">
        <w:rPr>
          <w:rFonts w:cs="Times New Roman"/>
          <w:lang w:val="fr-CA"/>
        </w:rPr>
        <w:t>ci</w:t>
      </w:r>
      <w:r w:rsidRPr="00B27419">
        <w:rPr>
          <w:rFonts w:cs="Times New Roman"/>
          <w:i/>
          <w:lang w:val="fr-CA"/>
        </w:rPr>
        <w:t xml:space="preserve"> </w:t>
      </w:r>
      <w:r w:rsidRPr="00B27419">
        <w:rPr>
          <w:rFonts w:cs="Times New Roman"/>
          <w:lang w:val="fr-CA"/>
        </w:rPr>
        <w:t>traitent un certain nombre de facteurs pertinents quant à la défense fondée sur les gains en efficience et à son application.</w:t>
      </w:r>
    </w:p>
    <w:p w:rsidR="0039493A" w:rsidRPr="00B27419" w:rsidRDefault="0039493A" w:rsidP="00B27419">
      <w:pPr>
        <w:pStyle w:val="ParaNoNdepar-AltN"/>
        <w:rPr>
          <w:rFonts w:cs="Times New Roman"/>
          <w:lang w:val="fr-CA"/>
        </w:rPr>
      </w:pP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 xml:space="preserve">I </w:t>
      </w:r>
      <w:r w:rsidRPr="00B27419">
        <w:rPr>
          <w:rFonts w:cs="Times New Roman"/>
          <w:lang w:val="fr-CA"/>
        </w:rPr>
        <w:t>a confirmé que l’art.</w:t>
      </w:r>
      <w:r w:rsidR="00E6271F" w:rsidRPr="00B27419">
        <w:rPr>
          <w:rFonts w:cs="Times New Roman"/>
          <w:lang w:val="fr-CA"/>
        </w:rPr>
        <w:t xml:space="preserve"> </w:t>
      </w:r>
      <w:r w:rsidRPr="00B27419">
        <w:rPr>
          <w:rFonts w:cs="Times New Roman"/>
          <w:lang w:val="fr-CA"/>
        </w:rPr>
        <w:t>96 établit une défense à l’application de l’art.</w:t>
      </w:r>
      <w:r w:rsidR="00E6271F" w:rsidRPr="00B27419">
        <w:rPr>
          <w:rFonts w:cs="Times New Roman"/>
          <w:lang w:val="fr-CA"/>
        </w:rPr>
        <w:t xml:space="preserve"> </w:t>
      </w:r>
      <w:r w:rsidRPr="00B27419">
        <w:rPr>
          <w:rFonts w:cs="Times New Roman"/>
          <w:lang w:val="fr-CA"/>
        </w:rPr>
        <w:t>92 (par.</w:t>
      </w:r>
      <w:r w:rsidR="00E6271F" w:rsidRPr="00B27419">
        <w:rPr>
          <w:rFonts w:cs="Times New Roman"/>
          <w:lang w:val="fr-CA"/>
        </w:rPr>
        <w:t xml:space="preserve"> </w:t>
      </w:r>
      <w:r w:rsidRPr="00B27419">
        <w:rPr>
          <w:rFonts w:cs="Times New Roman"/>
          <w:lang w:val="fr-CA"/>
        </w:rPr>
        <w:t>398</w:t>
      </w:r>
      <w:r w:rsidR="00E6271F" w:rsidRPr="00B27419">
        <w:rPr>
          <w:rFonts w:cs="Times New Roman"/>
          <w:lang w:val="fr-CA"/>
        </w:rPr>
        <w:t>-</w:t>
      </w:r>
      <w:r w:rsidRPr="00B27419">
        <w:rPr>
          <w:rFonts w:cs="Times New Roman"/>
          <w:lang w:val="fr-CA"/>
        </w:rPr>
        <w:t>399). Pour cette raison, il incombe aux parties au fusionnement de l’invoquer et de prouver que les gains en efficience entraînés par le fusionnement surpasseront et neutraliseront les effets de tout empêchement ou de toute diminution de la concurrence résultant du fusionnement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399;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II</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154;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64). </w:t>
      </w:r>
    </w:p>
    <w:p w:rsidR="0039493A" w:rsidRPr="00B27419" w:rsidRDefault="0039493A" w:rsidP="00B27419">
      <w:pPr>
        <w:pStyle w:val="ParaNoNdepar-AltN"/>
        <w:rPr>
          <w:rFonts w:cs="Times New Roman"/>
          <w:lang w:val="fr-CA"/>
        </w:rPr>
      </w:pPr>
      <w:r w:rsidRPr="00B27419">
        <w:rPr>
          <w:rFonts w:cs="Times New Roman"/>
          <w:lang w:val="fr-CA"/>
        </w:rPr>
        <w:t>La défense que prévoit l’art.</w:t>
      </w:r>
      <w:r w:rsidR="00E6271F" w:rsidRPr="00B27419">
        <w:rPr>
          <w:rFonts w:cs="Times New Roman"/>
          <w:lang w:val="fr-CA"/>
        </w:rPr>
        <w:t xml:space="preserve"> </w:t>
      </w:r>
      <w:r w:rsidRPr="00B27419">
        <w:rPr>
          <w:rFonts w:cs="Times New Roman"/>
          <w:lang w:val="fr-CA"/>
        </w:rPr>
        <w:t xml:space="preserve">96 </w:t>
      </w:r>
      <w:proofErr w:type="gramStart"/>
      <w:r w:rsidRPr="00B27419">
        <w:rPr>
          <w:rFonts w:cs="Times New Roman"/>
          <w:lang w:val="fr-CA"/>
        </w:rPr>
        <w:t>commande</w:t>
      </w:r>
      <w:proofErr w:type="gramEnd"/>
      <w:r w:rsidRPr="00B27419">
        <w:rPr>
          <w:rFonts w:cs="Times New Roman"/>
          <w:lang w:val="fr-CA"/>
        </w:rPr>
        <w:t xml:space="preserve"> une analyse visant à déterminer si les gains en efficience qu’entraîne le fusionnement, résultant de l’intégration des ressources, surpassent les effets anticoncurrentiels qui découlent de la diminution ou de l’absence de concurrence dans le marché géographique et dans celui du produit en cause. Pour reprendre les propos exprimés par la Cour d’appel fédérale dans l’affaire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II</w:t>
      </w:r>
      <w:r w:rsidRPr="00B27419">
        <w:rPr>
          <w:rFonts w:cs="Times New Roman"/>
          <w:lang w:val="fr-CA"/>
        </w:rPr>
        <w:t xml:space="preserve">, </w:t>
      </w:r>
      <w:r w:rsidR="00B27419">
        <w:rPr>
          <w:rFonts w:cs="Times New Roman"/>
          <w:lang w:val="fr-CA"/>
        </w:rPr>
        <w:t>« </w:t>
      </w:r>
      <w:r w:rsidRPr="00B27419">
        <w:rPr>
          <w:rFonts w:cs="Times New Roman"/>
          <w:lang w:val="fr-CA"/>
        </w:rPr>
        <w:t>[i]l s’agit, en substance, d’un critère de pondération qui met en balance les gains en efficience d’un côté et les effets anticoncurrentiels de l’autre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95).</w:t>
      </w:r>
      <w:r w:rsidRPr="00B27419">
        <w:rPr>
          <w:rFonts w:cs="Times New Roman"/>
          <w:i/>
          <w:lang w:val="fr-CA"/>
        </w:rPr>
        <w:t xml:space="preserve"> </w:t>
      </w:r>
      <w:r w:rsidRPr="00B27419">
        <w:rPr>
          <w:rFonts w:cs="Times New Roman"/>
          <w:lang w:val="fr-CA"/>
        </w:rPr>
        <w:t xml:space="preserve"> </w:t>
      </w:r>
    </w:p>
    <w:p w:rsidR="0039493A" w:rsidRPr="00B27419" w:rsidRDefault="0039493A" w:rsidP="00B27419">
      <w:pPr>
        <w:pStyle w:val="Title3LevelTitre3Niveau"/>
        <w:rPr>
          <w:rFonts w:cs="Times New Roman"/>
          <w:lang w:val="fr-CA"/>
        </w:rPr>
      </w:pPr>
      <w:bookmarkStart w:id="86" w:name="_Toc397586780"/>
      <w:bookmarkStart w:id="87" w:name="_Toc409593464"/>
      <w:r w:rsidRPr="00B27419">
        <w:rPr>
          <w:rFonts w:cs="Times New Roman"/>
          <w:lang w:val="fr-CA"/>
        </w:rPr>
        <w:t>Méthodologies applicables à l’art</w:t>
      </w:r>
      <w:r w:rsidR="000B209A" w:rsidRPr="00B27419">
        <w:rPr>
          <w:rFonts w:cs="Times New Roman"/>
          <w:lang w:val="fr-CA"/>
        </w:rPr>
        <w:t>.</w:t>
      </w:r>
      <w:r w:rsidR="00E6271F" w:rsidRPr="00B27419">
        <w:rPr>
          <w:rFonts w:cs="Times New Roman"/>
          <w:lang w:val="fr-CA"/>
        </w:rPr>
        <w:t xml:space="preserve"> </w:t>
      </w:r>
      <w:r w:rsidRPr="00B27419">
        <w:rPr>
          <w:rFonts w:cs="Times New Roman"/>
          <w:lang w:val="fr-CA"/>
        </w:rPr>
        <w:t>96</w:t>
      </w:r>
      <w:bookmarkEnd w:id="86"/>
      <w:bookmarkEnd w:id="87"/>
      <w:r w:rsidRPr="00B27419">
        <w:rPr>
          <w:rFonts w:cs="Times New Roman"/>
          <w:lang w:val="fr-CA"/>
        </w:rPr>
        <w:t xml:space="preserve"> </w:t>
      </w:r>
    </w:p>
    <w:p w:rsidR="0039493A" w:rsidRPr="00B27419" w:rsidRDefault="0039493A" w:rsidP="00B27419">
      <w:pPr>
        <w:pStyle w:val="ParaNoNdepar-AltN"/>
        <w:rPr>
          <w:rFonts w:cs="Times New Roman"/>
          <w:lang w:val="fr-CA"/>
        </w:rPr>
      </w:pPr>
      <w:r w:rsidRPr="00B27419">
        <w:rPr>
          <w:rFonts w:cs="Times New Roman"/>
          <w:lang w:val="fr-CA"/>
        </w:rPr>
        <w:t>Il existe diverses manières de procéder à l’exercice de comparaison qu’appelle l’art.</w:t>
      </w:r>
      <w:r w:rsidR="00E6271F" w:rsidRPr="00B27419">
        <w:rPr>
          <w:rFonts w:cs="Times New Roman"/>
          <w:lang w:val="fr-CA"/>
        </w:rPr>
        <w:t xml:space="preserve"> </w:t>
      </w:r>
      <w:r w:rsidRPr="00B27419">
        <w:rPr>
          <w:rFonts w:cs="Times New Roman"/>
          <w:lang w:val="fr-CA"/>
        </w:rPr>
        <w:t>96 (</w:t>
      </w:r>
      <w:proofErr w:type="spellStart"/>
      <w:r w:rsidRPr="00B27419">
        <w:rPr>
          <w:rFonts w:cs="Times New Roman"/>
          <w:lang w:val="fr-CA"/>
        </w:rPr>
        <w:t>Facey</w:t>
      </w:r>
      <w:proofErr w:type="spellEnd"/>
      <w:r w:rsidRPr="00B27419">
        <w:rPr>
          <w:rFonts w:cs="Times New Roman"/>
          <w:lang w:val="fr-CA"/>
        </w:rPr>
        <w:t xml:space="preserve"> et Brown, p.</w:t>
      </w:r>
      <w:r w:rsidR="00E6271F" w:rsidRPr="00B27419">
        <w:rPr>
          <w:rFonts w:cs="Times New Roman"/>
          <w:lang w:val="fr-CA"/>
        </w:rPr>
        <w:t xml:space="preserve"> </w:t>
      </w:r>
      <w:r w:rsidRPr="00B27419">
        <w:rPr>
          <w:rFonts w:cs="Times New Roman"/>
          <w:lang w:val="fr-CA"/>
        </w:rPr>
        <w:t>256</w:t>
      </w:r>
      <w:r w:rsidR="00E6271F" w:rsidRPr="00B27419">
        <w:rPr>
          <w:rFonts w:cs="Times New Roman"/>
          <w:lang w:val="fr-CA"/>
        </w:rPr>
        <w:t>-</w:t>
      </w:r>
      <w:r w:rsidRPr="00B27419">
        <w:rPr>
          <w:rFonts w:cs="Times New Roman"/>
          <w:lang w:val="fr-CA"/>
        </w:rPr>
        <w:t>257). Au Canada, les tribunaux ont examiné deux grands critères</w:t>
      </w:r>
      <w:r w:rsidR="00E6271F" w:rsidRPr="00B27419">
        <w:rPr>
          <w:rFonts w:cs="Times New Roman"/>
          <w:lang w:val="fr-CA"/>
        </w:rPr>
        <w:t> :</w:t>
      </w:r>
      <w:r w:rsidRPr="00B27419">
        <w:rPr>
          <w:rFonts w:cs="Times New Roman"/>
          <w:lang w:val="fr-CA"/>
        </w:rPr>
        <w:t xml:space="preserve"> celui du </w:t>
      </w:r>
      <w:r w:rsidR="00B27419">
        <w:rPr>
          <w:rFonts w:cs="Times New Roman"/>
          <w:lang w:val="fr-CA"/>
        </w:rPr>
        <w:t>« </w:t>
      </w:r>
      <w:r w:rsidRPr="00B27419">
        <w:rPr>
          <w:rFonts w:cs="Times New Roman"/>
          <w:lang w:val="fr-CA"/>
        </w:rPr>
        <w:t>surplus total</w:t>
      </w:r>
      <w:r w:rsidR="00B27419">
        <w:rPr>
          <w:rFonts w:cs="Times New Roman"/>
          <w:lang w:val="fr-CA"/>
        </w:rPr>
        <w:t> »</w:t>
      </w:r>
      <w:r w:rsidRPr="00B27419">
        <w:rPr>
          <w:rFonts w:cs="Times New Roman"/>
          <w:lang w:val="fr-CA"/>
        </w:rPr>
        <w:t xml:space="preserve"> et celui des </w:t>
      </w:r>
      <w:r w:rsidR="00B27419">
        <w:rPr>
          <w:rFonts w:cs="Times New Roman"/>
          <w:lang w:val="fr-CA"/>
        </w:rPr>
        <w:t>« </w:t>
      </w:r>
      <w:r w:rsidRPr="00B27419">
        <w:rPr>
          <w:rFonts w:cs="Times New Roman"/>
          <w:lang w:val="fr-CA"/>
        </w:rPr>
        <w:t xml:space="preserve">coefficients </w:t>
      </w:r>
      <w:r w:rsidRPr="00B27419">
        <w:rPr>
          <w:rFonts w:cs="Times New Roman"/>
          <w:lang w:val="fr-CA"/>
        </w:rPr>
        <w:lastRenderedPageBreak/>
        <w:t>pondérateurs</w:t>
      </w:r>
      <w:r w:rsidR="00B27419">
        <w:rPr>
          <w:rFonts w:cs="Times New Roman"/>
          <w:lang w:val="fr-CA"/>
        </w:rPr>
        <w:t> »</w:t>
      </w:r>
      <w:r w:rsidRPr="00B27419">
        <w:rPr>
          <w:rFonts w:cs="Times New Roman"/>
          <w:lang w:val="fr-CA"/>
        </w:rPr>
        <w:t>. Pour chacun, deux types de surplus économique sont pertinents</w:t>
      </w:r>
      <w:r w:rsidR="00E6271F" w:rsidRPr="00B27419">
        <w:rPr>
          <w:rFonts w:cs="Times New Roman"/>
          <w:lang w:val="fr-CA"/>
        </w:rPr>
        <w:t> :</w:t>
      </w:r>
      <w:r w:rsidRPr="00B27419">
        <w:rPr>
          <w:rFonts w:cs="Times New Roman"/>
          <w:lang w:val="fr-CA"/>
        </w:rPr>
        <w:t xml:space="preserve"> le surplus du producteur et le surplus du consommateur. </w:t>
      </w:r>
    </w:p>
    <w:p w:rsidR="0039493A" w:rsidRPr="00B27419" w:rsidRDefault="0039493A" w:rsidP="00B27419">
      <w:pPr>
        <w:pStyle w:val="ParaNoNdepar-AltN"/>
        <w:rPr>
          <w:rFonts w:cs="Times New Roman"/>
          <w:lang w:val="fr-CA"/>
        </w:rPr>
      </w:pPr>
      <w:r w:rsidRPr="00B27419">
        <w:rPr>
          <w:rFonts w:cs="Times New Roman"/>
          <w:lang w:val="fr-CA"/>
        </w:rPr>
        <w:t>Le surplus du producteur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mesure la différence entre les recettes attribuables à un produit et ses coûts de production</w:t>
      </w:r>
      <w:r w:rsidR="00B27419">
        <w:rPr>
          <w:rFonts w:cs="Times New Roman"/>
          <w:lang w:val="fr-CA"/>
        </w:rPr>
        <w:t> »</w:t>
      </w:r>
      <w:r w:rsidRPr="00B27419">
        <w:rPr>
          <w:rFonts w:cs="Times New Roman"/>
          <w:lang w:val="fr-CA"/>
        </w:rPr>
        <w:t xml:space="preserve"> (</w:t>
      </w:r>
      <w:proofErr w:type="spellStart"/>
      <w:r w:rsidRPr="00B27419">
        <w:rPr>
          <w:rFonts w:cs="Times New Roman"/>
          <w:lang w:val="fr-CA"/>
        </w:rPr>
        <w:t>Facey</w:t>
      </w:r>
      <w:proofErr w:type="spellEnd"/>
      <w:r w:rsidRPr="00B27419">
        <w:rPr>
          <w:rFonts w:cs="Times New Roman"/>
          <w:lang w:val="fr-CA"/>
        </w:rPr>
        <w:t xml:space="preserve"> et Brown, p.</w:t>
      </w:r>
      <w:r w:rsidR="00E6271F" w:rsidRPr="00B27419">
        <w:rPr>
          <w:rFonts w:cs="Times New Roman"/>
          <w:lang w:val="fr-CA"/>
        </w:rPr>
        <w:t xml:space="preserve"> </w:t>
      </w:r>
      <w:r w:rsidRPr="00B27419">
        <w:rPr>
          <w:rFonts w:cs="Times New Roman"/>
          <w:lang w:val="fr-CA"/>
        </w:rPr>
        <w:t xml:space="preserve">256). Le surplus du producteur représente donc les richesses qui reviennent aux producteurs. En revanche, le surplus du consommateur </w:t>
      </w:r>
      <w:r w:rsidR="00B27419">
        <w:rPr>
          <w:rFonts w:cs="Times New Roman"/>
          <w:lang w:val="fr-CA"/>
        </w:rPr>
        <w:t>« </w:t>
      </w:r>
      <w:r w:rsidRPr="00B27419">
        <w:rPr>
          <w:rFonts w:cs="Times New Roman"/>
          <w:lang w:val="fr-CA"/>
        </w:rPr>
        <w:t>mesure la différence entre le prix que les consommateurs d’un produit auraient été disposés à payer par rapport au prix du marché courant</w:t>
      </w:r>
      <w:r w:rsidR="00B27419">
        <w:rPr>
          <w:rFonts w:cs="Times New Roman"/>
          <w:lang w:val="fr-CA"/>
        </w:rPr>
        <w:t> »</w:t>
      </w:r>
      <w:r w:rsidRPr="00B27419">
        <w:rPr>
          <w:rFonts w:cs="Times New Roman"/>
          <w:lang w:val="fr-CA"/>
        </w:rPr>
        <w:t xml:space="preserve"> (</w:t>
      </w:r>
      <w:r w:rsidR="00AB724C" w:rsidRPr="00B27419">
        <w:rPr>
          <w:rFonts w:cs="Times New Roman"/>
          <w:i/>
          <w:lang w:val="fr-CA"/>
        </w:rPr>
        <w:t>ibid.</w:t>
      </w:r>
      <w:r w:rsidRPr="00B27419">
        <w:rPr>
          <w:rFonts w:cs="Times New Roman"/>
          <w:lang w:val="fr-CA"/>
        </w:rPr>
        <w:t xml:space="preserve">). Le surplus du consommateur représente </w:t>
      </w:r>
      <w:r w:rsidR="00071731">
        <w:rPr>
          <w:rFonts w:cs="Times New Roman"/>
          <w:lang w:val="fr-CA"/>
        </w:rPr>
        <w:t xml:space="preserve">donc </w:t>
      </w:r>
      <w:r w:rsidRPr="00B27419">
        <w:rPr>
          <w:rFonts w:cs="Times New Roman"/>
          <w:lang w:val="fr-CA"/>
        </w:rPr>
        <w:t xml:space="preserve">les économies qui reviennent aux consommateurs par rapport à ce que ces derniers auraient été disposés à payer. </w:t>
      </w:r>
    </w:p>
    <w:p w:rsidR="0039493A" w:rsidRPr="00B27419" w:rsidRDefault="0039493A" w:rsidP="00B27419">
      <w:pPr>
        <w:pStyle w:val="ParaNoNdepar-AltN"/>
        <w:rPr>
          <w:rFonts w:cs="Times New Roman"/>
          <w:lang w:val="fr-CA"/>
        </w:rPr>
      </w:pPr>
      <w:r w:rsidRPr="00B27419">
        <w:rPr>
          <w:rFonts w:cs="Times New Roman"/>
          <w:lang w:val="fr-CA"/>
        </w:rPr>
        <w:t xml:space="preserve">Le terme </w:t>
      </w:r>
      <w:r w:rsidR="00B27419">
        <w:rPr>
          <w:rFonts w:cs="Times New Roman"/>
          <w:lang w:val="fr-CA"/>
        </w:rPr>
        <w:t>« </w:t>
      </w:r>
      <w:r w:rsidRPr="00B27419">
        <w:rPr>
          <w:rFonts w:cs="Times New Roman"/>
          <w:lang w:val="fr-CA"/>
        </w:rPr>
        <w:t>surplus total</w:t>
      </w:r>
      <w:r w:rsidR="00B27419">
        <w:rPr>
          <w:rFonts w:cs="Times New Roman"/>
          <w:lang w:val="fr-CA"/>
        </w:rPr>
        <w:t> »</w:t>
      </w:r>
      <w:r w:rsidRPr="00B27419">
        <w:rPr>
          <w:rFonts w:cs="Times New Roman"/>
          <w:lang w:val="fr-CA"/>
        </w:rPr>
        <w:t xml:space="preserve"> renvoie à la somme du surplus du producteur et du surplus du consommateur (voir </w:t>
      </w:r>
      <w:proofErr w:type="spellStart"/>
      <w:r w:rsidRPr="00B27419">
        <w:rPr>
          <w:rFonts w:cs="Times New Roman"/>
          <w:lang w:val="fr-CA"/>
        </w:rPr>
        <w:t>Facey</w:t>
      </w:r>
      <w:proofErr w:type="spellEnd"/>
      <w:r w:rsidRPr="00B27419">
        <w:rPr>
          <w:rFonts w:cs="Times New Roman"/>
          <w:lang w:val="fr-CA"/>
        </w:rPr>
        <w:t xml:space="preserve"> et Brown, p.</w:t>
      </w:r>
      <w:r w:rsidR="00E6271F" w:rsidRPr="00B27419">
        <w:rPr>
          <w:rFonts w:cs="Times New Roman"/>
          <w:lang w:val="fr-CA"/>
        </w:rPr>
        <w:t xml:space="preserve"> </w:t>
      </w:r>
      <w:r w:rsidRPr="00B27419">
        <w:rPr>
          <w:rFonts w:cs="Times New Roman"/>
          <w:lang w:val="fr-CA"/>
        </w:rPr>
        <w:t>256). Si un producteur fait ses frais, y compris le coût du capital, en vendant un produit 20</w:t>
      </w:r>
      <w:r w:rsidR="00E6271F" w:rsidRPr="00B27419">
        <w:rPr>
          <w:rFonts w:cs="Times New Roman"/>
          <w:lang w:val="fr-CA"/>
        </w:rPr>
        <w:t xml:space="preserve"> </w:t>
      </w:r>
      <w:r w:rsidRPr="00B27419">
        <w:rPr>
          <w:rFonts w:cs="Times New Roman"/>
          <w:lang w:val="fr-CA"/>
        </w:rPr>
        <w:t>$ et qu’un consommateur est disposé à l’acheter 40</w:t>
      </w:r>
      <w:r w:rsidR="00E6271F" w:rsidRPr="00B27419">
        <w:rPr>
          <w:rFonts w:cs="Times New Roman"/>
          <w:lang w:val="fr-CA"/>
        </w:rPr>
        <w:t xml:space="preserve"> </w:t>
      </w:r>
      <w:r w:rsidRPr="00B27419">
        <w:rPr>
          <w:rFonts w:cs="Times New Roman"/>
          <w:lang w:val="fr-CA"/>
        </w:rPr>
        <w:t>$, le surplus total créé par l’article est égal à 20</w:t>
      </w:r>
      <w:r w:rsidR="00E6271F" w:rsidRPr="00B27419">
        <w:rPr>
          <w:rFonts w:cs="Times New Roman"/>
          <w:lang w:val="fr-CA"/>
        </w:rPr>
        <w:t xml:space="preserve"> </w:t>
      </w:r>
      <w:r w:rsidRPr="00B27419">
        <w:rPr>
          <w:rFonts w:cs="Times New Roman"/>
          <w:lang w:val="fr-CA"/>
        </w:rPr>
        <w:t>$. Si le prix de vente est de 30</w:t>
      </w:r>
      <w:r w:rsidR="00E6271F" w:rsidRPr="00B27419">
        <w:rPr>
          <w:rFonts w:cs="Times New Roman"/>
          <w:lang w:val="fr-CA"/>
        </w:rPr>
        <w:t xml:space="preserve"> </w:t>
      </w:r>
      <w:r w:rsidRPr="00B27419">
        <w:rPr>
          <w:rFonts w:cs="Times New Roman"/>
          <w:lang w:val="fr-CA"/>
        </w:rPr>
        <w:t>$, par exemple, le surplus du producteur et le surplus du consommateur augmentent chacun de 10</w:t>
      </w:r>
      <w:r w:rsidR="00E6271F" w:rsidRPr="00B27419">
        <w:rPr>
          <w:rFonts w:cs="Times New Roman"/>
          <w:lang w:val="fr-CA"/>
        </w:rPr>
        <w:t xml:space="preserve"> </w:t>
      </w:r>
      <w:r w:rsidRPr="00B27419">
        <w:rPr>
          <w:rFonts w:cs="Times New Roman"/>
          <w:lang w:val="fr-CA"/>
        </w:rPr>
        <w:t xml:space="preserve">$ par suite de l’opération. Le surplus total à l’échelle de l’économie représente la somme du surplus total créé par chaque article produit. </w:t>
      </w:r>
    </w:p>
    <w:p w:rsidR="0039493A" w:rsidRPr="00B27419" w:rsidRDefault="0039493A" w:rsidP="00B27419">
      <w:pPr>
        <w:pStyle w:val="ParaNoNdepar-AltN"/>
        <w:rPr>
          <w:rFonts w:cs="Times New Roman"/>
          <w:lang w:val="fr-CA"/>
        </w:rPr>
      </w:pPr>
      <w:r w:rsidRPr="00B27419">
        <w:rPr>
          <w:rFonts w:cs="Times New Roman"/>
          <w:lang w:val="fr-CA"/>
        </w:rPr>
        <w:t>Le critère du surplus total implique une quantification de la perte sèche qui découlera d’un fusionnement — [</w:t>
      </w:r>
      <w:r w:rsidRPr="00B27419">
        <w:rPr>
          <w:rFonts w:cs="Times New Roman"/>
          <w:smallCaps/>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 xml:space="preserve">ce qui est retranché au surplus total dans certaines conditions du marché ayant pour effet de réduire la quantité d’un </w:t>
      </w:r>
      <w:r w:rsidRPr="00B27419">
        <w:rPr>
          <w:rFonts w:cs="Times New Roman"/>
          <w:lang w:val="fr-CA"/>
        </w:rPr>
        <w:lastRenderedPageBreak/>
        <w:t>bien qui est fourni</w:t>
      </w:r>
      <w:r w:rsidR="00B27419">
        <w:rPr>
          <w:rFonts w:cs="Times New Roman"/>
          <w:lang w:val="fr-CA"/>
        </w:rPr>
        <w:t> »</w:t>
      </w:r>
      <w:r w:rsidRPr="00B27419">
        <w:rPr>
          <w:rFonts w:cs="Times New Roman"/>
          <w:lang w:val="fr-CA"/>
        </w:rPr>
        <w:t xml:space="preserve"> (</w:t>
      </w:r>
      <w:proofErr w:type="spellStart"/>
      <w:r w:rsidRPr="00B27419">
        <w:rPr>
          <w:rFonts w:cs="Times New Roman"/>
          <w:lang w:val="fr-CA"/>
        </w:rPr>
        <w:t>Facey</w:t>
      </w:r>
      <w:proofErr w:type="spellEnd"/>
      <w:r w:rsidRPr="00B27419">
        <w:rPr>
          <w:rFonts w:cs="Times New Roman"/>
          <w:lang w:val="fr-CA"/>
        </w:rPr>
        <w:t xml:space="preserve"> et Brown, p.</w:t>
      </w:r>
      <w:r w:rsidR="00E6271F" w:rsidRPr="00B27419">
        <w:rPr>
          <w:rFonts w:cs="Times New Roman"/>
          <w:lang w:val="fr-CA"/>
        </w:rPr>
        <w:t xml:space="preserve"> </w:t>
      </w:r>
      <w:r w:rsidRPr="00B27419">
        <w:rPr>
          <w:rFonts w:cs="Times New Roman"/>
          <w:lang w:val="fr-CA"/>
        </w:rPr>
        <w:t>256</w:t>
      </w:r>
      <w:r w:rsidR="00E6271F" w:rsidRPr="00B27419">
        <w:rPr>
          <w:rFonts w:cs="Times New Roman"/>
          <w:lang w:val="fr-CA"/>
        </w:rPr>
        <w:t>-</w:t>
      </w:r>
      <w:r w:rsidRPr="00B27419">
        <w:rPr>
          <w:rFonts w:cs="Times New Roman"/>
          <w:lang w:val="fr-CA"/>
        </w:rPr>
        <w:t xml:space="preserve">257). La perte sèche </w:t>
      </w:r>
      <w:r w:rsidR="00B27419">
        <w:rPr>
          <w:rFonts w:cs="Times New Roman"/>
          <w:lang w:val="fr-CA"/>
        </w:rPr>
        <w:t>« </w:t>
      </w:r>
      <w:r w:rsidRPr="00B27419">
        <w:rPr>
          <w:rStyle w:val="c16"/>
          <w:rFonts w:cs="Times New Roman"/>
          <w:lang w:val="fr-CA"/>
        </w:rPr>
        <w:t>r</w:t>
      </w:r>
      <w:r w:rsidRPr="00B27419">
        <w:rPr>
          <w:rFonts w:cs="Times New Roman"/>
          <w:lang w:val="fr-CA"/>
        </w:rPr>
        <w:t>é</w:t>
      </w:r>
      <w:r w:rsidRPr="00B27419">
        <w:rPr>
          <w:rStyle w:val="c16"/>
          <w:rFonts w:cs="Times New Roman"/>
          <w:lang w:val="fr-CA"/>
        </w:rPr>
        <w:t>sulte de la chute de la demande des produits des entit</w:t>
      </w:r>
      <w:r w:rsidRPr="00B27419">
        <w:rPr>
          <w:rFonts w:cs="Times New Roman"/>
          <w:lang w:val="fr-CA"/>
        </w:rPr>
        <w:t>é</w:t>
      </w:r>
      <w:r w:rsidRPr="00B27419">
        <w:rPr>
          <w:rStyle w:val="c16"/>
          <w:rFonts w:cs="Times New Roman"/>
          <w:lang w:val="fr-CA"/>
        </w:rPr>
        <w:t>s fusionn</w:t>
      </w:r>
      <w:r w:rsidRPr="00B27419">
        <w:rPr>
          <w:rFonts w:cs="Times New Roman"/>
          <w:lang w:val="fr-CA"/>
        </w:rPr>
        <w:t>é</w:t>
      </w:r>
      <w:r w:rsidRPr="00B27419">
        <w:rPr>
          <w:rStyle w:val="c16"/>
          <w:rFonts w:cs="Times New Roman"/>
          <w:lang w:val="fr-CA"/>
        </w:rPr>
        <w:t>es par suite d’une hausse de prix intervenue apr</w:t>
      </w:r>
      <w:r w:rsidRPr="00B27419">
        <w:rPr>
          <w:rFonts w:cs="Times New Roman"/>
          <w:lang w:val="fr-CA"/>
        </w:rPr>
        <w:t>è</w:t>
      </w:r>
      <w:r w:rsidRPr="00B27419">
        <w:rPr>
          <w:rStyle w:val="c16"/>
          <w:rFonts w:cs="Times New Roman"/>
          <w:lang w:val="fr-CA"/>
        </w:rPr>
        <w:t>s le fusionnement et de l</w:t>
      </w:r>
      <w:r w:rsidRPr="00B27419">
        <w:rPr>
          <w:rFonts w:cs="Times New Roman"/>
          <w:lang w:val="fr-CA"/>
        </w:rPr>
        <w:t>’</w:t>
      </w:r>
      <w:r w:rsidRPr="00B27419">
        <w:rPr>
          <w:rStyle w:val="c16"/>
          <w:rFonts w:cs="Times New Roman"/>
          <w:lang w:val="fr-CA"/>
        </w:rPr>
        <w:t>affectation inefficiente des ressources qui se produit lorsque, par suite de la hausse des prix, les consommateurs ach</w:t>
      </w:r>
      <w:r w:rsidRPr="00B27419">
        <w:rPr>
          <w:rFonts w:cs="Times New Roman"/>
          <w:lang w:val="fr-CA"/>
        </w:rPr>
        <w:t>è</w:t>
      </w:r>
      <w:r w:rsidRPr="00B27419">
        <w:rPr>
          <w:rStyle w:val="c16"/>
          <w:rFonts w:cs="Times New Roman"/>
          <w:lang w:val="fr-CA"/>
        </w:rPr>
        <w:t>tent un produit de substitution convenant moins bien</w:t>
      </w:r>
      <w:r w:rsidR="00B27419">
        <w:rPr>
          <w:rFonts w:cs="Times New Roman"/>
          <w:lang w:val="fr-CA"/>
        </w:rPr>
        <w:t> »</w:t>
      </w:r>
      <w:r w:rsidRPr="00B27419">
        <w:rPr>
          <w:rFonts w:cs="Times New Roman"/>
          <w:lang w:val="fr-CA"/>
        </w:rPr>
        <w:t xml:space="preserv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13). L’estimation de l’élasticité de la demande — ou la mesure dans laquelle la demande d’un produit varie selon son prix — est nécessaire aux fins du calcul de la perte sèche (décision du Tribunal, par.</w:t>
      </w:r>
      <w:r w:rsidR="00E6271F" w:rsidRPr="00B27419">
        <w:rPr>
          <w:rFonts w:cs="Times New Roman"/>
          <w:lang w:val="fr-CA"/>
        </w:rPr>
        <w:t xml:space="preserve"> </w:t>
      </w:r>
      <w:r w:rsidRPr="00B27419">
        <w:rPr>
          <w:rFonts w:cs="Times New Roman"/>
          <w:lang w:val="fr-CA"/>
        </w:rPr>
        <w:t xml:space="preserve">244). </w:t>
      </w:r>
    </w:p>
    <w:p w:rsidR="0039493A" w:rsidRPr="00B27419" w:rsidRDefault="0039493A" w:rsidP="00B27419">
      <w:pPr>
        <w:pStyle w:val="ParaNoNdepar-AltN"/>
        <w:rPr>
          <w:rFonts w:cs="Times New Roman"/>
          <w:lang w:val="fr-CA"/>
        </w:rPr>
      </w:pPr>
      <w:r w:rsidRPr="00B27419">
        <w:rPr>
          <w:rFonts w:cs="Times New Roman"/>
          <w:lang w:val="fr-CA"/>
        </w:rPr>
        <w:t>Suivant le critère du surplus total, une valeur égale est attribuée, du point de vue du bien</w:t>
      </w:r>
      <w:r w:rsidR="00E6271F" w:rsidRPr="00B27419">
        <w:rPr>
          <w:rFonts w:cs="Times New Roman"/>
          <w:lang w:val="fr-CA"/>
        </w:rPr>
        <w:t>-</w:t>
      </w:r>
      <w:r w:rsidRPr="00B27419">
        <w:rPr>
          <w:rFonts w:cs="Times New Roman"/>
          <w:lang w:val="fr-CA"/>
        </w:rPr>
        <w:t>être, aux changements du surplus du producteur et du surplus du consommateur (</w:t>
      </w:r>
      <w:proofErr w:type="spellStart"/>
      <w:r w:rsidRPr="00B27419">
        <w:rPr>
          <w:rFonts w:cs="Times New Roman"/>
          <w:lang w:val="fr-CA"/>
        </w:rPr>
        <w:t>Facey</w:t>
      </w:r>
      <w:proofErr w:type="spellEnd"/>
      <w:r w:rsidRPr="00B27419">
        <w:rPr>
          <w:rFonts w:cs="Times New Roman"/>
          <w:lang w:val="fr-CA"/>
        </w:rPr>
        <w:t xml:space="preserve"> et Brown, p.</w:t>
      </w:r>
      <w:r w:rsidR="00E6271F" w:rsidRPr="00B27419">
        <w:rPr>
          <w:rFonts w:cs="Times New Roman"/>
          <w:lang w:val="fr-CA"/>
        </w:rPr>
        <w:t xml:space="preserve"> </w:t>
      </w:r>
      <w:r w:rsidRPr="00B27419">
        <w:rPr>
          <w:rFonts w:cs="Times New Roman"/>
          <w:lang w:val="fr-CA"/>
        </w:rPr>
        <w:t>257). La réduction du surplus total qui découle d’une concurrence réduite est compensée par toute hausse du surplus total découlant de l’optimisation de la production. Cette méthode s’intéresse exclusivement à la valeur du surplus total</w:t>
      </w:r>
      <w:r w:rsidR="00E6271F" w:rsidRPr="00B27419">
        <w:rPr>
          <w:rFonts w:cs="Times New Roman"/>
          <w:lang w:val="fr-CA"/>
        </w:rPr>
        <w:t> :</w:t>
      </w:r>
      <w:r w:rsidRPr="00B27419">
        <w:rPr>
          <w:rFonts w:cs="Times New Roman"/>
          <w:lang w:val="fr-CA"/>
        </w:rPr>
        <w:t xml:space="preserve"> le rapport entre le surplus des producteurs et le surplus des consommateurs ne joue pas dans la balance. Autrement dit, le critère du surplus total mesure uniquement le bénéfice total pour l’économie sans égard à qui en jouit; l’analyse des effets pertinents est limitée à la seule perte sèche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16). Ainsi, le critère du surplus total </w:t>
      </w:r>
      <w:r w:rsidR="00B27419">
        <w:rPr>
          <w:rFonts w:cs="Times New Roman"/>
          <w:lang w:val="fr-CA"/>
        </w:rPr>
        <w:t>« </w:t>
      </w:r>
      <w:r w:rsidRPr="00B27419">
        <w:rPr>
          <w:rFonts w:cs="Times New Roman"/>
          <w:lang w:val="fr-CA"/>
        </w:rPr>
        <w:t xml:space="preserve">ne tient pas compte de l’effet de la richesse qui sera vraisemblablement transférée des consommateurs aux actionnaires de l’entité fusionnée par suite du fusionnement anticoncurrentiel et de l’augmentation des prix en résultant. Ce “transfert de richesse” ou </w:t>
      </w:r>
      <w:proofErr w:type="gramStart"/>
      <w:r w:rsidRPr="00B27419">
        <w:rPr>
          <w:rFonts w:cs="Times New Roman"/>
          <w:lang w:val="fr-CA"/>
        </w:rPr>
        <w:t>cet</w:t>
      </w:r>
      <w:proofErr w:type="gramEnd"/>
      <w:r w:rsidRPr="00B27419">
        <w:rPr>
          <w:rFonts w:cs="Times New Roman"/>
          <w:lang w:val="fr-CA"/>
        </w:rPr>
        <w:t xml:space="preserve"> “effet de redistribution” est considéré comme neutre</w:t>
      </w:r>
      <w:r w:rsidR="00B27419">
        <w:rPr>
          <w:rFonts w:cs="Times New Roman"/>
          <w:lang w:val="fr-CA"/>
        </w:rPr>
        <w:t> »</w:t>
      </w:r>
      <w:r w:rsidRPr="00B27419">
        <w:rPr>
          <w:rFonts w:cs="Times New Roman"/>
          <w:lang w:val="fr-CA"/>
        </w:rPr>
        <w:t xml:space="preserv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14). Ainsi donc, suivant le critère du surplus total, un fusionnement anticoncurrentiel va de l’avant lorsque les </w:t>
      </w:r>
      <w:r w:rsidRPr="00B27419">
        <w:rPr>
          <w:rFonts w:cs="Times New Roman"/>
          <w:lang w:val="fr-CA"/>
        </w:rPr>
        <w:lastRenderedPageBreak/>
        <w:t>gains en efficience associés au surplus du producteur sont supérieurs à la réduction du surplus du consommateur.</w:t>
      </w:r>
    </w:p>
    <w:p w:rsidR="0039493A" w:rsidRPr="00B27419" w:rsidRDefault="0039493A" w:rsidP="00B27419">
      <w:pPr>
        <w:pStyle w:val="ParaNoNdepar-AltN"/>
        <w:rPr>
          <w:rFonts w:cs="Times New Roman"/>
          <w:lang w:val="fr-CA"/>
        </w:rPr>
      </w:pPr>
      <w:r w:rsidRPr="00B27419">
        <w:rPr>
          <w:rFonts w:cs="Times New Roman"/>
          <w:lang w:val="fr-CA"/>
        </w:rPr>
        <w:t xml:space="preserve">Dans la série </w:t>
      </w:r>
      <w:r w:rsidRPr="00B27419">
        <w:rPr>
          <w:rFonts w:cs="Times New Roman"/>
          <w:i/>
          <w:lang w:val="fr-CA"/>
        </w:rPr>
        <w:t>Supérieur Propane</w:t>
      </w:r>
      <w:r w:rsidRPr="00B27419">
        <w:rPr>
          <w:rFonts w:cs="Times New Roman"/>
          <w:lang w:val="fr-CA"/>
        </w:rPr>
        <w:t xml:space="preserve">, le Tribunal et la Cour d’appel fédérale ont reconnu une autre méthode, celle des </w:t>
      </w:r>
      <w:r w:rsidR="00B27419">
        <w:rPr>
          <w:rFonts w:cs="Times New Roman"/>
          <w:lang w:val="fr-CA"/>
        </w:rPr>
        <w:t>« </w:t>
      </w:r>
      <w:r w:rsidRPr="00B27419">
        <w:rPr>
          <w:rFonts w:cs="Times New Roman"/>
          <w:lang w:val="fr-CA"/>
        </w:rPr>
        <w:t>coefficients pondérateurs</w:t>
      </w:r>
      <w:r w:rsidR="00B27419">
        <w:rPr>
          <w:rFonts w:cs="Times New Roman"/>
          <w:lang w:val="fr-CA"/>
        </w:rPr>
        <w:t> »</w:t>
      </w:r>
      <w:r w:rsidRPr="00B27419">
        <w:rPr>
          <w:rFonts w:cs="Times New Roman"/>
          <w:lang w:val="fr-CA"/>
        </w:rPr>
        <w:t xml:space="preserve">. Elle appelle les membres du Tribunal à </w:t>
      </w:r>
      <w:r w:rsidR="00B27419">
        <w:rPr>
          <w:rFonts w:cs="Times New Roman"/>
          <w:lang w:val="fr-CA"/>
        </w:rPr>
        <w:t>« </w:t>
      </w:r>
      <w:r w:rsidRPr="00B27419">
        <w:rPr>
          <w:rFonts w:cs="Times New Roman"/>
          <w:szCs w:val="24"/>
          <w:lang w:val="fr-CA"/>
        </w:rPr>
        <w:t>exercer leur jugement personnel et leur discrétion pour déterminer si les gains qui reviennent aux actionnaires sont plus importants (ou moins importants) pour la société que la réduction du surplus du consommateur causée par l’exercice d’une puissance commerciale</w:t>
      </w:r>
      <w:r w:rsidR="00B27419">
        <w:rPr>
          <w:rFonts w:cs="Times New Roman"/>
          <w:szCs w:val="24"/>
          <w:lang w:val="fr-CA"/>
        </w:rPr>
        <w:t> »</w:t>
      </w:r>
      <w:r w:rsidRPr="00B27419">
        <w:rPr>
          <w:rFonts w:cs="Times New Roman"/>
          <w:lang w:val="fr-CA"/>
        </w:rPr>
        <w:t xml:space="preserv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w:t>
      </w:r>
      <w:r w:rsidRPr="00B27419">
        <w:rPr>
          <w:rFonts w:cs="Times New Roman"/>
          <w:lang w:val="fr-CA"/>
        </w:rPr>
        <w:t>, par.</w:t>
      </w:r>
      <w:r w:rsidR="00E6271F" w:rsidRPr="00B27419">
        <w:rPr>
          <w:rFonts w:cs="Times New Roman"/>
          <w:lang w:val="fr-CA"/>
        </w:rPr>
        <w:t xml:space="preserve"> </w:t>
      </w:r>
      <w:r w:rsidRPr="00B27419">
        <w:rPr>
          <w:rFonts w:cs="Times New Roman"/>
          <w:lang w:val="fr-CA"/>
        </w:rPr>
        <w:t>431).</w:t>
      </w:r>
    </w:p>
    <w:p w:rsidR="0039493A" w:rsidRPr="00B27419" w:rsidRDefault="0039493A" w:rsidP="00B27419">
      <w:pPr>
        <w:pStyle w:val="ParaNoNdepar-AltN"/>
        <w:rPr>
          <w:rFonts w:cs="Times New Roman"/>
          <w:lang w:val="fr-CA"/>
        </w:rPr>
      </w:pPr>
      <w:r w:rsidRPr="00B27419">
        <w:rPr>
          <w:rFonts w:cs="Times New Roman"/>
          <w:lang w:val="fr-CA"/>
        </w:rPr>
        <w:t xml:space="preserve">Ainsi qu’il est expliqué dans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suivant la méthode des coefficients pondérateurs, le Tribunal compare les effets du fusionnement sur les consommateurs et les effets du fusionnement sur les actionnaires de l’entité fusionnée. Il détermine dans un premier temps les coefficients pondérateurs à attribuer aux gains des producteurs et aux pertes des consommateurs, pour les égaliser ou pour neutraliser l’effet du transfert de richesse. Ensuite, le Tribunal doit porter un jugement de valeur pour décider si les coefficients pondérateurs attribués sont raisonnables compte tenu de la disparité entre les revenus des consommateurs touchés et des actionnaires de l’entité fusionnée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20).</w:t>
      </w:r>
    </w:p>
    <w:p w:rsidR="0039493A" w:rsidRPr="00B27419" w:rsidRDefault="0039493A" w:rsidP="00B27419">
      <w:pPr>
        <w:pStyle w:val="ParaNoNdepar-AltN"/>
        <w:rPr>
          <w:rFonts w:cs="Times New Roman"/>
          <w:lang w:val="fr-CA"/>
        </w:rPr>
      </w:pPr>
      <w:r w:rsidRPr="00B27419">
        <w:rPr>
          <w:rFonts w:cs="Times New Roman"/>
          <w:lang w:val="fr-CA"/>
        </w:rPr>
        <w:t xml:space="preserve"> Le Tribunal peut aussi appliquer une méthode des coefficients pondérateurs modifiée (voir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21 et 26). Suivant cette méthode modifiée, les effets de redistribution socialement défavorables, soit la portion du transfert de la richesse qui est attribuable aux prix plus élevés payés par les </w:t>
      </w:r>
      <w:r w:rsidRPr="00B27419">
        <w:rPr>
          <w:rFonts w:cs="Times New Roman"/>
          <w:lang w:val="fr-CA"/>
        </w:rPr>
        <w:lastRenderedPageBreak/>
        <w:t>ménages à faible revenu, peuvent être considérés comme des effets anticoncurrentiels, tandis que les éléments du transfert de la richesse qui ne sont pas socialement défavorables peuvent être considérés comme neutres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III</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333). </w:t>
      </w:r>
    </w:p>
    <w:p w:rsidR="0039493A" w:rsidRPr="00B27419" w:rsidRDefault="0039493A" w:rsidP="00B27419">
      <w:pPr>
        <w:pStyle w:val="ParaNoNdepar-AltN"/>
        <w:rPr>
          <w:rFonts w:cs="Times New Roman"/>
          <w:lang w:val="fr-CA"/>
        </w:rPr>
      </w:pPr>
      <w:r w:rsidRPr="00B27419">
        <w:rPr>
          <w:rFonts w:cs="Times New Roman"/>
          <w:lang w:val="fr-CA"/>
        </w:rPr>
        <w:t xml:space="preserve">Cependant, aucune méthode </w:t>
      </w:r>
      <w:r w:rsidR="00B27419">
        <w:rPr>
          <w:rFonts w:cs="Times New Roman"/>
          <w:lang w:val="fr-CA"/>
        </w:rPr>
        <w:t>« </w:t>
      </w:r>
      <w:r w:rsidRPr="00B27419">
        <w:rPr>
          <w:rFonts w:cs="Times New Roman"/>
          <w:lang w:val="fr-CA"/>
        </w:rPr>
        <w:t>correcte</w:t>
      </w:r>
      <w:r w:rsidR="00B27419">
        <w:rPr>
          <w:rFonts w:cs="Times New Roman"/>
          <w:lang w:val="fr-CA"/>
        </w:rPr>
        <w:t> »</w:t>
      </w:r>
      <w:r w:rsidRPr="00B27419">
        <w:rPr>
          <w:rFonts w:cs="Times New Roman"/>
          <w:lang w:val="fr-CA"/>
        </w:rPr>
        <w:t xml:space="preserve"> n’est prescrite pour l’analyse qu’appelle l’art.</w:t>
      </w:r>
      <w:r w:rsidR="00E6271F" w:rsidRPr="00B27419">
        <w:rPr>
          <w:rFonts w:cs="Times New Roman"/>
          <w:lang w:val="fr-CA"/>
        </w:rPr>
        <w:t xml:space="preserve"> </w:t>
      </w:r>
      <w:r w:rsidRPr="00B27419">
        <w:rPr>
          <w:rFonts w:cs="Times New Roman"/>
          <w:lang w:val="fr-CA"/>
        </w:rPr>
        <w:t>96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II</w:t>
      </w:r>
      <w:r w:rsidRPr="00B27419">
        <w:rPr>
          <w:rFonts w:cs="Times New Roman"/>
          <w:lang w:val="fr-CA"/>
        </w:rPr>
        <w:t>, par.</w:t>
      </w:r>
      <w:r w:rsidR="00E6271F" w:rsidRPr="00B27419">
        <w:rPr>
          <w:rFonts w:cs="Times New Roman"/>
          <w:lang w:val="fr-CA"/>
        </w:rPr>
        <w:t xml:space="preserve"> </w:t>
      </w:r>
      <w:r w:rsidRPr="00B27419">
        <w:rPr>
          <w:rFonts w:cs="Times New Roman"/>
          <w:lang w:val="fr-CA"/>
        </w:rPr>
        <w:t>139</w:t>
      </w:r>
      <w:r w:rsidR="00E6271F" w:rsidRPr="00B27419">
        <w:rPr>
          <w:rFonts w:cs="Times New Roman"/>
          <w:lang w:val="fr-CA"/>
        </w:rPr>
        <w:t>-</w:t>
      </w:r>
      <w:r w:rsidRPr="00B27419">
        <w:rPr>
          <w:rFonts w:cs="Times New Roman"/>
          <w:lang w:val="fr-CA"/>
        </w:rPr>
        <w:t>142). La loi ne précise pas le critère à appliquer. Certains arguments économiques militent en faveur du critère du surplus total (voir M</w:t>
      </w:r>
      <w:r w:rsidR="00AB724C" w:rsidRPr="00B27419">
        <w:rPr>
          <w:rFonts w:cs="Times New Roman"/>
          <w:lang w:val="fr-CA"/>
        </w:rPr>
        <w:t>.</w:t>
      </w:r>
      <w:r w:rsidR="00E6271F" w:rsidRPr="00B27419">
        <w:rPr>
          <w:rFonts w:cs="Times New Roman"/>
          <w:lang w:val="fr-CA"/>
        </w:rPr>
        <w:t xml:space="preserve"> </w:t>
      </w:r>
      <w:proofErr w:type="spellStart"/>
      <w:r w:rsidR="00AB724C" w:rsidRPr="00B27419">
        <w:rPr>
          <w:rFonts w:cs="Times New Roman"/>
          <w:lang w:val="fr-CA"/>
        </w:rPr>
        <w:t>Trebilcock</w:t>
      </w:r>
      <w:proofErr w:type="spellEnd"/>
      <w:r w:rsidR="00AB724C" w:rsidRPr="00B27419">
        <w:rPr>
          <w:rFonts w:cs="Times New Roman"/>
          <w:lang w:val="fr-CA"/>
        </w:rPr>
        <w:t xml:space="preserve"> et autres</w:t>
      </w:r>
      <w:r w:rsidRPr="00B27419">
        <w:rPr>
          <w:rFonts w:cs="Times New Roman"/>
          <w:lang w:val="fr-CA"/>
        </w:rPr>
        <w:t xml:space="preserve">, </w:t>
      </w:r>
      <w:r w:rsidRPr="00B27419">
        <w:rPr>
          <w:rFonts w:cs="Times New Roman"/>
          <w:i/>
          <w:lang w:val="fr-CA"/>
        </w:rPr>
        <w:t xml:space="preserve">The Law and </w:t>
      </w:r>
      <w:proofErr w:type="spellStart"/>
      <w:r w:rsidRPr="00B27419">
        <w:rPr>
          <w:rFonts w:cs="Times New Roman"/>
          <w:i/>
          <w:lang w:val="fr-CA"/>
        </w:rPr>
        <w:t>Economics</w:t>
      </w:r>
      <w:proofErr w:type="spellEnd"/>
      <w:r w:rsidRPr="00B27419">
        <w:rPr>
          <w:rFonts w:cs="Times New Roman"/>
          <w:i/>
          <w:lang w:val="fr-CA"/>
        </w:rPr>
        <w:t xml:space="preserve"> of Canadian </w:t>
      </w:r>
      <w:proofErr w:type="spellStart"/>
      <w:r w:rsidRPr="00B27419">
        <w:rPr>
          <w:rFonts w:cs="Times New Roman"/>
          <w:i/>
          <w:lang w:val="fr-CA"/>
        </w:rPr>
        <w:t>Competition</w:t>
      </w:r>
      <w:proofErr w:type="spellEnd"/>
      <w:r w:rsidRPr="00B27419">
        <w:rPr>
          <w:rFonts w:cs="Times New Roman"/>
          <w:i/>
          <w:lang w:val="fr-CA"/>
        </w:rPr>
        <w:t xml:space="preserve"> Policy </w:t>
      </w:r>
      <w:r w:rsidRPr="00B27419">
        <w:rPr>
          <w:rFonts w:cs="Times New Roman"/>
          <w:lang w:val="fr-CA"/>
        </w:rPr>
        <w:t>(2002), p.</w:t>
      </w:r>
      <w:r w:rsidR="00E6271F" w:rsidRPr="00B27419">
        <w:rPr>
          <w:rFonts w:cs="Times New Roman"/>
          <w:lang w:val="fr-CA"/>
        </w:rPr>
        <w:t xml:space="preserve"> </w:t>
      </w:r>
      <w:r w:rsidRPr="00B27419">
        <w:rPr>
          <w:rFonts w:cs="Times New Roman"/>
          <w:lang w:val="fr-CA"/>
        </w:rPr>
        <w:t>146</w:t>
      </w:r>
      <w:r w:rsidR="00E6271F" w:rsidRPr="00B27419">
        <w:rPr>
          <w:rFonts w:cs="Times New Roman"/>
          <w:lang w:val="fr-CA"/>
        </w:rPr>
        <w:t>-</w:t>
      </w:r>
      <w:r w:rsidRPr="00B27419">
        <w:rPr>
          <w:rFonts w:cs="Times New Roman"/>
          <w:lang w:val="fr-CA"/>
        </w:rPr>
        <w:t xml:space="preserve">151). Or, là n’est pas la question dont notre Cour est saisie et, pour nos fins, il suffit de dire que l’affaire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 xml:space="preserve">II </w:t>
      </w:r>
      <w:r w:rsidRPr="00B27419">
        <w:rPr>
          <w:rFonts w:cs="Times New Roman"/>
          <w:lang w:val="fr-CA"/>
        </w:rPr>
        <w:t xml:space="preserve">a permis d’établir que le Tribunal jouit de la latitude requise pour décider en bout de ligne de la méthode à la lumière des circonstances propres à chaque fusionnement.  </w:t>
      </w:r>
    </w:p>
    <w:p w:rsidR="0039493A" w:rsidRPr="00B27419" w:rsidRDefault="0039493A" w:rsidP="00B27419">
      <w:pPr>
        <w:pStyle w:val="ParaNoNdepar-AltN"/>
        <w:rPr>
          <w:rFonts w:cs="Times New Roman"/>
          <w:lang w:val="fr-CA"/>
        </w:rPr>
      </w:pPr>
      <w:r w:rsidRPr="00B27419">
        <w:rPr>
          <w:rFonts w:cs="Times New Roman"/>
          <w:lang w:val="fr-CA"/>
        </w:rPr>
        <w:t>Le Tribunal devrait prendre en considération tous les éléments quantitatifs et qualitatifs à sa disposition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461;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III</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335). Si les aspects quantitatifs d’un fusionnement sont ceux qui peuvent être mesurés et exprimés en dollars, les éléments qualitatifs, y compris dans certains cas les facteurs comme l’amélioration ou la diminution du service ou de la qualité, peuvent ne pas être mesurables, puisqu’ils dépendent des préférences individuelles dans le marché (voir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w:t>
      </w:r>
      <w:r w:rsidRPr="00B27419">
        <w:rPr>
          <w:rFonts w:cs="Times New Roman"/>
          <w:lang w:val="fr-CA"/>
        </w:rPr>
        <w:t>, par.</w:t>
      </w:r>
      <w:r w:rsidR="00E6271F" w:rsidRPr="00B27419">
        <w:rPr>
          <w:rFonts w:cs="Times New Roman"/>
          <w:lang w:val="fr-CA"/>
        </w:rPr>
        <w:t xml:space="preserve"> </w:t>
      </w:r>
      <w:r w:rsidRPr="00B27419">
        <w:rPr>
          <w:rFonts w:cs="Times New Roman"/>
          <w:lang w:val="fr-CA"/>
        </w:rPr>
        <w:t>459</w:t>
      </w:r>
      <w:r w:rsidR="00E6271F" w:rsidRPr="00B27419">
        <w:rPr>
          <w:rFonts w:cs="Times New Roman"/>
          <w:lang w:val="fr-CA"/>
        </w:rPr>
        <w:t>-</w:t>
      </w:r>
      <w:r w:rsidRPr="00B27419">
        <w:rPr>
          <w:rFonts w:cs="Times New Roman"/>
          <w:lang w:val="fr-CA"/>
        </w:rPr>
        <w:t xml:space="preserve">460). Les effets qui peuvent être quantifiés devraient l’être, ou à tout le moins être estimés. L’omission d’en donner au moins une estimation quantitative, lorsqu’il est réalistement possible </w:t>
      </w:r>
      <w:r w:rsidRPr="00B27419">
        <w:rPr>
          <w:rFonts w:cs="Times New Roman"/>
          <w:lang w:val="fr-CA"/>
        </w:rPr>
        <w:lastRenderedPageBreak/>
        <w:t>de le faire, ne donnera pas lieu à une analyse qualitative de ces effets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III</w:t>
      </w:r>
      <w:r w:rsidR="00AB28A8" w:rsidRPr="00B27419">
        <w:rPr>
          <w:rFonts w:cs="Times New Roman"/>
          <w:lang w:val="fr-CA"/>
        </w:rPr>
        <w:t>, par.</w:t>
      </w:r>
      <w:r w:rsidR="00E6271F" w:rsidRPr="00B27419">
        <w:rPr>
          <w:rFonts w:cs="Times New Roman"/>
          <w:lang w:val="fr-CA"/>
        </w:rPr>
        <w:t xml:space="preserve"> </w:t>
      </w:r>
      <w:r w:rsidR="00AB28A8" w:rsidRPr="00B27419">
        <w:rPr>
          <w:rFonts w:cs="Times New Roman"/>
          <w:lang w:val="fr-CA"/>
        </w:rPr>
        <w:t>233;</w:t>
      </w:r>
      <w:r w:rsidRPr="00B27419">
        <w:rPr>
          <w:rFonts w:cs="Times New Roman"/>
          <w:lang w:val="fr-CA"/>
        </w:rPr>
        <w:t xml:space="preserv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35).</w:t>
      </w:r>
    </w:p>
    <w:p w:rsidR="0039493A" w:rsidRPr="00B27419" w:rsidRDefault="0039493A" w:rsidP="00B27419">
      <w:pPr>
        <w:pStyle w:val="ParaNoNdepar-AltN"/>
        <w:rPr>
          <w:rFonts w:cs="Times New Roman"/>
          <w:lang w:val="fr-CA"/>
        </w:rPr>
      </w:pPr>
      <w:r w:rsidRPr="00B27419">
        <w:rPr>
          <w:rFonts w:cs="Times New Roman"/>
          <w:lang w:val="fr-CA"/>
        </w:rPr>
        <w:t xml:space="preserve">Élaborés dans la série </w:t>
      </w:r>
      <w:r w:rsidRPr="00B27419">
        <w:rPr>
          <w:rFonts w:cs="Times New Roman"/>
          <w:i/>
          <w:lang w:val="fr-CA"/>
        </w:rPr>
        <w:t>Supérieur Propane</w:t>
      </w:r>
      <w:r w:rsidRPr="00B27419">
        <w:rPr>
          <w:rFonts w:cs="Times New Roman"/>
          <w:lang w:val="fr-CA"/>
        </w:rPr>
        <w:t>, les principes qui précèdent étayent l’analyse de la défense fondée sur les gains en efficience prévue à l’art.</w:t>
      </w:r>
      <w:r w:rsidR="00E6271F" w:rsidRPr="00B27419">
        <w:rPr>
          <w:rFonts w:cs="Times New Roman"/>
          <w:lang w:val="fr-CA"/>
        </w:rPr>
        <w:t xml:space="preserve"> </w:t>
      </w:r>
      <w:r w:rsidRPr="00B27419">
        <w:rPr>
          <w:rFonts w:cs="Times New Roman"/>
          <w:lang w:val="fr-CA"/>
        </w:rPr>
        <w:t>96. Ils sous</w:t>
      </w:r>
      <w:r w:rsidR="00E6271F" w:rsidRPr="00B27419">
        <w:rPr>
          <w:rFonts w:cs="Times New Roman"/>
          <w:lang w:val="fr-CA"/>
        </w:rPr>
        <w:t>-</w:t>
      </w:r>
      <w:r w:rsidRPr="00B27419">
        <w:rPr>
          <w:rFonts w:cs="Times New Roman"/>
          <w:lang w:val="fr-CA"/>
        </w:rPr>
        <w:t>tendent les questions juridiques soulevées en l’espèce, à savoir l’admissibilité de certains gains en efficience pour l’application de la défense et la manière de procéder à la pondération qu’appelle l’art.</w:t>
      </w:r>
      <w:r w:rsidR="00E6271F" w:rsidRPr="00B27419">
        <w:rPr>
          <w:rFonts w:cs="Times New Roman"/>
          <w:lang w:val="fr-CA"/>
        </w:rPr>
        <w:t xml:space="preserve"> </w:t>
      </w:r>
      <w:r w:rsidRPr="00B27419">
        <w:rPr>
          <w:rFonts w:cs="Times New Roman"/>
          <w:lang w:val="fr-CA"/>
        </w:rPr>
        <w:t>96.</w:t>
      </w:r>
    </w:p>
    <w:p w:rsidR="0039493A" w:rsidRPr="00B27419" w:rsidRDefault="0039493A" w:rsidP="00B27419">
      <w:pPr>
        <w:pStyle w:val="Title3LevelTitre3Niveau"/>
        <w:rPr>
          <w:rFonts w:cs="Times New Roman"/>
          <w:lang w:val="fr-CA"/>
        </w:rPr>
      </w:pPr>
      <w:bookmarkStart w:id="88" w:name="_Toc396299549"/>
      <w:bookmarkStart w:id="89" w:name="_Toc397586781"/>
      <w:bookmarkStart w:id="90" w:name="_Toc409593465"/>
      <w:r w:rsidRPr="00B27419">
        <w:rPr>
          <w:rFonts w:cs="Times New Roman"/>
          <w:lang w:val="fr-CA"/>
        </w:rPr>
        <w:t>Les gains en efficience liés à l’exécution de l’ordonnance ne sont pas admissibles pour l’application de l’art</w:t>
      </w:r>
      <w:r w:rsidR="00AB28A8" w:rsidRPr="00B27419">
        <w:rPr>
          <w:rFonts w:cs="Times New Roman"/>
          <w:lang w:val="fr-CA"/>
        </w:rPr>
        <w:t>.</w:t>
      </w:r>
      <w:r w:rsidR="00E6271F" w:rsidRPr="00B27419">
        <w:rPr>
          <w:rFonts w:cs="Times New Roman"/>
          <w:lang w:val="fr-CA"/>
        </w:rPr>
        <w:t xml:space="preserve"> </w:t>
      </w:r>
      <w:r w:rsidRPr="00B27419">
        <w:rPr>
          <w:rFonts w:cs="Times New Roman"/>
          <w:lang w:val="fr-CA"/>
        </w:rPr>
        <w:t>96</w:t>
      </w:r>
      <w:bookmarkEnd w:id="88"/>
      <w:bookmarkEnd w:id="89"/>
      <w:bookmarkEnd w:id="90"/>
    </w:p>
    <w:p w:rsidR="0039493A" w:rsidRPr="00B27419" w:rsidRDefault="0039493A" w:rsidP="00B27419">
      <w:pPr>
        <w:pStyle w:val="ParaNoNdepar-AltN"/>
        <w:rPr>
          <w:rFonts w:cs="Times New Roman"/>
          <w:lang w:val="fr-CA"/>
        </w:rPr>
      </w:pPr>
      <w:r w:rsidRPr="00B27419">
        <w:rPr>
          <w:rFonts w:cs="Times New Roman"/>
          <w:lang w:val="fr-CA"/>
        </w:rPr>
        <w:t>Dans le contexte d’un fusionnement, les gains en efficience sont des avantages favorisant la concurrence. Ainsi que Brian</w:t>
      </w:r>
      <w:r w:rsidR="00E6271F" w:rsidRPr="00B27419">
        <w:rPr>
          <w:rFonts w:cs="Times New Roman"/>
          <w:lang w:val="fr-CA"/>
        </w:rPr>
        <w:t xml:space="preserve"> </w:t>
      </w:r>
      <w:r w:rsidRPr="00B27419">
        <w:rPr>
          <w:rFonts w:cs="Times New Roman"/>
          <w:lang w:val="fr-CA"/>
        </w:rPr>
        <w:t xml:space="preserve">A. </w:t>
      </w:r>
      <w:proofErr w:type="spellStart"/>
      <w:r w:rsidRPr="00B27419">
        <w:rPr>
          <w:rFonts w:cs="Times New Roman"/>
          <w:lang w:val="fr-CA"/>
        </w:rPr>
        <w:t>Facey</w:t>
      </w:r>
      <w:proofErr w:type="spellEnd"/>
      <w:r w:rsidRPr="00B27419">
        <w:rPr>
          <w:rFonts w:cs="Times New Roman"/>
          <w:lang w:val="fr-CA"/>
        </w:rPr>
        <w:t xml:space="preserve"> et Cassandra Brown l’expliquent</w:t>
      </w:r>
      <w:r w:rsidR="00FD69E9" w:rsidRPr="00B27419">
        <w:rPr>
          <w:rFonts w:cs="Times New Roman"/>
          <w:lang w:val="fr-CA"/>
        </w:rPr>
        <w:t>,</w:t>
      </w:r>
      <w:r w:rsidRPr="00B27419">
        <w:rPr>
          <w:rFonts w:cs="Times New Roman"/>
          <w:lang w:val="fr-CA"/>
        </w:rPr>
        <w:t xml:space="preserve"> [</w:t>
      </w:r>
      <w:r w:rsidRPr="00B27419">
        <w:rPr>
          <w:rFonts w:cs="Times New Roman"/>
          <w:sz w:val="20"/>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la conception qu’ont les économistes de l’efficience tient à l’avantage, à la valeur ou à la satisfaction que tire la société des actions et des choix de ses membres</w:t>
      </w:r>
      <w:r w:rsidR="00B27419">
        <w:rPr>
          <w:rFonts w:cs="Times New Roman"/>
          <w:lang w:val="fr-CA"/>
        </w:rPr>
        <w:t> »</w:t>
      </w:r>
      <w:r w:rsidRPr="00B27419">
        <w:rPr>
          <w:rFonts w:cs="Times New Roman"/>
          <w:lang w:val="fr-CA"/>
        </w:rPr>
        <w:t xml:space="preserve"> (p.</w:t>
      </w:r>
      <w:r w:rsidR="00E6271F" w:rsidRPr="00B27419">
        <w:rPr>
          <w:rFonts w:cs="Times New Roman"/>
          <w:lang w:val="fr-CA"/>
        </w:rPr>
        <w:t xml:space="preserve"> </w:t>
      </w:r>
      <w:r w:rsidRPr="00B27419">
        <w:rPr>
          <w:rFonts w:cs="Times New Roman"/>
          <w:lang w:val="fr-CA"/>
        </w:rPr>
        <w:t>253). Elle se compose de trois éléments</w:t>
      </w:r>
      <w:r w:rsidR="00E6271F" w:rsidRPr="00B27419">
        <w:rPr>
          <w:rFonts w:cs="Times New Roman"/>
          <w:lang w:val="fr-CA"/>
        </w:rPr>
        <w:t> :</w:t>
      </w:r>
      <w:r w:rsidRPr="00B27419">
        <w:rPr>
          <w:rFonts w:cs="Times New Roman"/>
          <w:lang w:val="fr-CA"/>
        </w:rPr>
        <w:t xml:space="preserve"> (1)</w:t>
      </w:r>
      <w:r w:rsidR="00E6271F" w:rsidRPr="00B27419">
        <w:rPr>
          <w:rFonts w:cs="Times New Roman"/>
          <w:lang w:val="fr-CA"/>
        </w:rPr>
        <w:t xml:space="preserve"> </w:t>
      </w:r>
      <w:r w:rsidRPr="00B27419">
        <w:rPr>
          <w:rFonts w:cs="Times New Roman"/>
          <w:lang w:val="fr-CA"/>
        </w:rPr>
        <w:t xml:space="preserve">l’efficience de la production, </w:t>
      </w:r>
      <w:r w:rsidR="00B27419">
        <w:rPr>
          <w:rFonts w:cs="Times New Roman"/>
          <w:lang w:val="fr-CA"/>
        </w:rPr>
        <w:t>« </w:t>
      </w:r>
      <w:r w:rsidRPr="00B27419">
        <w:rPr>
          <w:rFonts w:cs="Times New Roman"/>
          <w:lang w:val="fr-CA"/>
        </w:rPr>
        <w:t>réalisée lorsque la production de l’extrant repose sur la combinaison la plus économique de ressources productives que permet la technologie existante</w:t>
      </w:r>
      <w:r w:rsidR="00B27419">
        <w:rPr>
          <w:rFonts w:cs="Times New Roman"/>
          <w:lang w:val="fr-CA"/>
        </w:rPr>
        <w:t> »</w:t>
      </w:r>
      <w:r w:rsidRPr="00B27419">
        <w:rPr>
          <w:rFonts w:cs="Times New Roman"/>
          <w:lang w:val="fr-CA"/>
        </w:rPr>
        <w:t>; (2)</w:t>
      </w:r>
      <w:r w:rsidR="00E6271F" w:rsidRPr="00B27419">
        <w:rPr>
          <w:rFonts w:cs="Times New Roman"/>
          <w:lang w:val="fr-CA"/>
        </w:rPr>
        <w:t xml:space="preserve"> </w:t>
      </w:r>
      <w:r w:rsidRPr="00B27419">
        <w:rPr>
          <w:rFonts w:cs="Times New Roman"/>
          <w:lang w:val="fr-CA"/>
        </w:rPr>
        <w:t xml:space="preserve">l’innovation ou l’efficience dynamique, </w:t>
      </w:r>
      <w:r w:rsidR="00B27419">
        <w:rPr>
          <w:rFonts w:cs="Times New Roman"/>
          <w:lang w:val="fr-CA"/>
        </w:rPr>
        <w:t>« </w:t>
      </w:r>
      <w:r w:rsidRPr="00B27419">
        <w:rPr>
          <w:rFonts w:cs="Times New Roman"/>
          <w:lang w:val="fr-CA"/>
        </w:rPr>
        <w:t>réalisée grâce à l’invention, à l’élaboration et à la diffusion de nouveaux produits et processus de production</w:t>
      </w:r>
      <w:r w:rsidR="00B27419">
        <w:rPr>
          <w:rFonts w:cs="Times New Roman"/>
          <w:lang w:val="fr-CA"/>
        </w:rPr>
        <w:t> »</w:t>
      </w:r>
      <w:r w:rsidRPr="00B27419">
        <w:rPr>
          <w:rFonts w:cs="Times New Roman"/>
          <w:lang w:val="fr-CA"/>
        </w:rPr>
        <w:t>; (3)</w:t>
      </w:r>
      <w:r w:rsidR="00E6271F" w:rsidRPr="00B27419">
        <w:rPr>
          <w:rFonts w:cs="Times New Roman"/>
          <w:lang w:val="fr-CA"/>
        </w:rPr>
        <w:t xml:space="preserve"> </w:t>
      </w:r>
      <w:r w:rsidRPr="00B27419">
        <w:rPr>
          <w:rFonts w:cs="Times New Roman"/>
          <w:lang w:val="fr-CA"/>
        </w:rPr>
        <w:t xml:space="preserve">l’efficience de la répartition des ressources, </w:t>
      </w:r>
      <w:r w:rsidR="00B27419">
        <w:rPr>
          <w:rFonts w:cs="Times New Roman"/>
          <w:lang w:val="fr-CA"/>
        </w:rPr>
        <w:t>« </w:t>
      </w:r>
      <w:r w:rsidRPr="00B27419">
        <w:rPr>
          <w:rFonts w:cs="Times New Roman"/>
          <w:lang w:val="fr-CA"/>
        </w:rPr>
        <w:t>réalisée lorsque les stocks actuels de biens et d’extrants productifs sont répartis dans tout le système des prix parmi les acheteurs qui y tiennent le plus au regard de leur volonté de payer, de telle sorte que “les ressources dont dispose la société sont affectées à leur emploi le plus valable”</w:t>
      </w:r>
      <w:r w:rsidR="00B27419">
        <w:rPr>
          <w:rFonts w:cs="Times New Roman"/>
          <w:lang w:val="fr-CA"/>
        </w:rPr>
        <w:t> »</w:t>
      </w:r>
      <w:r w:rsidR="00E87D67" w:rsidRPr="00B27419">
        <w:rPr>
          <w:rFonts w:cs="Times New Roman"/>
          <w:lang w:val="fr-CA"/>
        </w:rPr>
        <w:t xml:space="preserve"> </w:t>
      </w:r>
      <w:r w:rsidRPr="00B27419">
        <w:rPr>
          <w:rFonts w:cs="Times New Roman"/>
          <w:lang w:val="fr-CA"/>
        </w:rPr>
        <w:lastRenderedPageBreak/>
        <w:t>(</w:t>
      </w:r>
      <w:proofErr w:type="spellStart"/>
      <w:r w:rsidRPr="00B27419">
        <w:rPr>
          <w:rFonts w:cs="Times New Roman"/>
          <w:lang w:val="fr-CA"/>
        </w:rPr>
        <w:t>Facey</w:t>
      </w:r>
      <w:proofErr w:type="spellEnd"/>
      <w:r w:rsidRPr="00B27419">
        <w:rPr>
          <w:rFonts w:cs="Times New Roman"/>
          <w:lang w:val="fr-CA"/>
        </w:rPr>
        <w:t xml:space="preserve"> et Brown, p.</w:t>
      </w:r>
      <w:r w:rsidR="00E6271F" w:rsidRPr="00B27419">
        <w:rPr>
          <w:rFonts w:cs="Times New Roman"/>
          <w:lang w:val="fr-CA"/>
        </w:rPr>
        <w:t xml:space="preserve"> </w:t>
      </w:r>
      <w:r w:rsidRPr="00B27419">
        <w:rPr>
          <w:rFonts w:cs="Times New Roman"/>
          <w:lang w:val="fr-CA"/>
        </w:rPr>
        <w:t>253</w:t>
      </w:r>
      <w:r w:rsidR="00E6271F" w:rsidRPr="00B27419">
        <w:rPr>
          <w:rFonts w:cs="Times New Roman"/>
          <w:lang w:val="fr-CA"/>
        </w:rPr>
        <w:t>-</w:t>
      </w:r>
      <w:r w:rsidRPr="00B27419">
        <w:rPr>
          <w:rFonts w:cs="Times New Roman"/>
          <w:lang w:val="fr-CA"/>
        </w:rPr>
        <w:t xml:space="preserve">255, citant le Bureau de la concurrence, </w:t>
      </w:r>
      <w:r w:rsidRPr="00B27419">
        <w:rPr>
          <w:rFonts w:cs="Times New Roman"/>
          <w:i/>
          <w:lang w:val="fr-CA"/>
        </w:rPr>
        <w:t>Fusions — Lignes directrices pour l’application de la loi</w:t>
      </w:r>
      <w:r w:rsidRPr="00B27419">
        <w:rPr>
          <w:rFonts w:cs="Times New Roman"/>
          <w:lang w:val="fr-CA"/>
        </w:rPr>
        <w:t xml:space="preserve"> (2011), par.</w:t>
      </w:r>
      <w:r w:rsidR="00E6271F" w:rsidRPr="00B27419">
        <w:rPr>
          <w:rFonts w:cs="Times New Roman"/>
          <w:lang w:val="fr-CA"/>
        </w:rPr>
        <w:t xml:space="preserve"> </w:t>
      </w:r>
      <w:r w:rsidRPr="00B27419">
        <w:rPr>
          <w:rFonts w:cs="Times New Roman"/>
          <w:lang w:val="fr-CA"/>
        </w:rPr>
        <w:t>12.4).</w:t>
      </w:r>
    </w:p>
    <w:p w:rsidR="0039493A" w:rsidRPr="00B27419" w:rsidRDefault="0039493A" w:rsidP="00B27419">
      <w:pPr>
        <w:pStyle w:val="ParaNoNdepar-AltN"/>
        <w:rPr>
          <w:rFonts w:cs="Times New Roman"/>
          <w:lang w:val="fr-CA"/>
        </w:rPr>
      </w:pPr>
      <w:proofErr w:type="spellStart"/>
      <w:r w:rsidRPr="00B27419">
        <w:rPr>
          <w:rFonts w:cs="Times New Roman"/>
          <w:lang w:val="fr-CA"/>
        </w:rPr>
        <w:t>Tervita</w:t>
      </w:r>
      <w:proofErr w:type="spellEnd"/>
      <w:r w:rsidRPr="00B27419">
        <w:rPr>
          <w:rFonts w:cs="Times New Roman"/>
          <w:lang w:val="fr-CA"/>
        </w:rPr>
        <w:t xml:space="preserve"> fait valoir que le Tribunal a exclu à tort des gains en efficience qu’il a appelés les </w:t>
      </w:r>
      <w:r w:rsidR="00A4280E" w:rsidRPr="00B27419">
        <w:rPr>
          <w:rFonts w:cs="Times New Roman"/>
          <w:lang w:val="fr-CA"/>
        </w:rPr>
        <w:t>GEEO</w:t>
      </w:r>
      <w:r w:rsidRPr="00B27419">
        <w:rPr>
          <w:rFonts w:cs="Times New Roman"/>
          <w:lang w:val="fr-CA"/>
        </w:rPr>
        <w:t xml:space="preserve">. Or, selon elle, tous les gains en efficience économiques, peu importe la manière dont ils sont réalisés, devraient être pris en considération. </w:t>
      </w:r>
    </w:p>
    <w:p w:rsidR="0039493A" w:rsidRPr="00B27419" w:rsidRDefault="0039493A" w:rsidP="00B27419">
      <w:pPr>
        <w:pStyle w:val="ParaNoNdepar-AltN"/>
        <w:rPr>
          <w:rFonts w:cs="Times New Roman"/>
          <w:lang w:val="fr-CA"/>
        </w:rPr>
      </w:pPr>
      <w:proofErr w:type="spellStart"/>
      <w:r w:rsidRPr="00B27419">
        <w:rPr>
          <w:rFonts w:cs="Times New Roman"/>
          <w:lang w:val="fr-CA"/>
        </w:rPr>
        <w:t>Tervita</w:t>
      </w:r>
      <w:proofErr w:type="spellEnd"/>
      <w:r w:rsidRPr="00B27419">
        <w:rPr>
          <w:rFonts w:cs="Times New Roman"/>
          <w:lang w:val="fr-CA"/>
        </w:rPr>
        <w:t xml:space="preserve"> a fait valoir certains gains en efficience liés au transport et à l’expansion du marché qu’elle prétendait pouvoir réaliser plus rapidement qu’un tiers acquéreur du site </w:t>
      </w:r>
      <w:proofErr w:type="spellStart"/>
      <w:r w:rsidRPr="00B27419">
        <w:rPr>
          <w:rFonts w:cs="Times New Roman"/>
          <w:lang w:val="fr-CA"/>
        </w:rPr>
        <w:t>Babkirk</w:t>
      </w:r>
      <w:proofErr w:type="spellEnd"/>
      <w:r w:rsidRPr="00B27419">
        <w:rPr>
          <w:rFonts w:cs="Times New Roman"/>
          <w:lang w:val="fr-CA"/>
        </w:rPr>
        <w:t xml:space="preserve"> (</w:t>
      </w:r>
      <w:proofErr w:type="gramStart"/>
      <w:r w:rsidRPr="00B27419">
        <w:rPr>
          <w:rFonts w:cs="Times New Roman"/>
          <w:lang w:val="fr-CA"/>
        </w:rPr>
        <w:t>m.a.,</w:t>
      </w:r>
      <w:proofErr w:type="gramEnd"/>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100). Ainsi que la Cour d’appel fédérale l’a expliqué, en matière de </w:t>
      </w:r>
      <w:r w:rsidRPr="00B27419">
        <w:rPr>
          <w:rFonts w:cs="Times New Roman"/>
          <w:i/>
          <w:lang w:val="fr-CA"/>
        </w:rPr>
        <w:t>transport</w:t>
      </w:r>
      <w:r w:rsidRPr="00B27419">
        <w:rPr>
          <w:rFonts w:cs="Times New Roman"/>
          <w:lang w:val="fr-CA"/>
        </w:rPr>
        <w:t xml:space="preserve">, il s’agit </w:t>
      </w:r>
      <w:r w:rsidR="00B27419">
        <w:rPr>
          <w:rFonts w:cs="Times New Roman"/>
          <w:lang w:val="fr-CA"/>
        </w:rPr>
        <w:t>« </w:t>
      </w:r>
      <w:r w:rsidRPr="00B27419">
        <w:rPr>
          <w:rFonts w:cs="Times New Roman"/>
          <w:lang w:val="fr-CA"/>
        </w:rPr>
        <w:t xml:space="preserve">des gains de productivité réalisés par les clients qui se trouvent plus près du site </w:t>
      </w:r>
      <w:proofErr w:type="spellStart"/>
      <w:r w:rsidRPr="00B27419">
        <w:rPr>
          <w:rFonts w:cs="Times New Roman"/>
          <w:lang w:val="fr-CA"/>
        </w:rPr>
        <w:t>Babkirk</w:t>
      </w:r>
      <w:proofErr w:type="spellEnd"/>
      <w:r w:rsidRPr="00B27419">
        <w:rPr>
          <w:rFonts w:cs="Times New Roman"/>
          <w:lang w:val="fr-CA"/>
        </w:rPr>
        <w:t xml:space="preserve"> que du site d’enfouissement sécuritaire </w:t>
      </w:r>
      <w:proofErr w:type="spellStart"/>
      <w:r w:rsidRPr="00B27419">
        <w:rPr>
          <w:rFonts w:cs="Times New Roman"/>
          <w:lang w:val="fr-CA"/>
        </w:rPr>
        <w:t>Silverberry</w:t>
      </w:r>
      <w:proofErr w:type="spellEnd"/>
      <w:r w:rsidRPr="00B27419">
        <w:rPr>
          <w:rFonts w:cs="Times New Roman"/>
          <w:lang w:val="fr-CA"/>
        </w:rPr>
        <w:t xml:space="preserve"> de </w:t>
      </w:r>
      <w:proofErr w:type="spellStart"/>
      <w:r w:rsidRPr="00B27419">
        <w:rPr>
          <w:rFonts w:cs="Times New Roman"/>
          <w:lang w:val="fr-CA"/>
        </w:rPr>
        <w:t>Tervita</w:t>
      </w:r>
      <w:proofErr w:type="spellEnd"/>
      <w:r w:rsidRPr="00B27419">
        <w:rPr>
          <w:rFonts w:cs="Times New Roman"/>
          <w:lang w:val="fr-CA"/>
        </w:rPr>
        <w:t xml:space="preserve">. Étant donné que </w:t>
      </w:r>
      <w:proofErr w:type="spellStart"/>
      <w:r w:rsidRPr="00B27419">
        <w:rPr>
          <w:rFonts w:cs="Times New Roman"/>
          <w:lang w:val="fr-CA"/>
        </w:rPr>
        <w:t>Tervita</w:t>
      </w:r>
      <w:proofErr w:type="spellEnd"/>
      <w:r w:rsidRPr="00B27419">
        <w:rPr>
          <w:rFonts w:cs="Times New Roman"/>
          <w:lang w:val="fr-CA"/>
        </w:rPr>
        <w:t xml:space="preserve"> aurait acquis le site en vue d’y ouvrir un site d’enfouissement sécuritaire à service complet, les clients situés plus près de ce site que de l’autre auraient réalisé des économies au chapitre du transport</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131). </w:t>
      </w:r>
      <w:proofErr w:type="spellStart"/>
      <w:r w:rsidRPr="00B27419">
        <w:rPr>
          <w:rFonts w:cs="Times New Roman"/>
          <w:lang w:val="fr-CA"/>
        </w:rPr>
        <w:t>Tervita</w:t>
      </w:r>
      <w:proofErr w:type="spellEnd"/>
      <w:r w:rsidRPr="00B27419">
        <w:rPr>
          <w:rFonts w:cs="Times New Roman"/>
          <w:lang w:val="fr-CA"/>
        </w:rPr>
        <w:t xml:space="preserve"> a affirmé devant le Tribunal que, n’eût été l’intervention de la commissaire, elle aurait exploité un site d’enfouissement sécuritaire au site </w:t>
      </w:r>
      <w:proofErr w:type="spellStart"/>
      <w:r w:rsidRPr="00B27419">
        <w:rPr>
          <w:rFonts w:cs="Times New Roman"/>
          <w:lang w:val="fr-CA"/>
        </w:rPr>
        <w:t>Babkirk</w:t>
      </w:r>
      <w:proofErr w:type="spellEnd"/>
      <w:r w:rsidRPr="00B27419">
        <w:rPr>
          <w:rFonts w:cs="Times New Roman"/>
          <w:lang w:val="fr-CA"/>
        </w:rPr>
        <w:t xml:space="preserve"> dès le printemps 2012 (décision du Tribunal, par.</w:t>
      </w:r>
      <w:r w:rsidR="00E6271F" w:rsidRPr="00B27419">
        <w:rPr>
          <w:rFonts w:cs="Times New Roman"/>
          <w:lang w:val="fr-CA"/>
        </w:rPr>
        <w:t xml:space="preserve"> </w:t>
      </w:r>
      <w:r w:rsidRPr="00B27419">
        <w:rPr>
          <w:rFonts w:cs="Times New Roman"/>
          <w:lang w:val="fr-CA"/>
        </w:rPr>
        <w:t xml:space="preserve">269). En revanche, un tiers acquéreur n’y serait probablement pas arrivé avant le printemps 2013. Seule </w:t>
      </w:r>
      <w:proofErr w:type="spellStart"/>
      <w:r w:rsidRPr="00B27419">
        <w:rPr>
          <w:rFonts w:cs="Times New Roman"/>
          <w:lang w:val="fr-CA"/>
        </w:rPr>
        <w:t>Tervita</w:t>
      </w:r>
      <w:proofErr w:type="spellEnd"/>
      <w:r w:rsidRPr="00B27419">
        <w:rPr>
          <w:rFonts w:cs="Times New Roman"/>
          <w:lang w:val="fr-CA"/>
        </w:rPr>
        <w:t xml:space="preserve"> aurait donc pu permettre aux clients de réaliser ces gains en efficience supplémentaires liés au transport durant la période d’un an.</w:t>
      </w:r>
    </w:p>
    <w:p w:rsidR="0039493A" w:rsidRPr="00B27419" w:rsidRDefault="0039493A" w:rsidP="00B27419">
      <w:pPr>
        <w:pStyle w:val="ParaNoNdepar-AltN"/>
        <w:rPr>
          <w:rFonts w:cs="Times New Roman"/>
          <w:lang w:val="fr-CA"/>
        </w:rPr>
      </w:pPr>
      <w:r w:rsidRPr="00B27419">
        <w:rPr>
          <w:rFonts w:cs="Times New Roman"/>
          <w:lang w:val="fr-CA"/>
        </w:rPr>
        <w:t xml:space="preserve">Les gains en efficience liés à l’expansion du </w:t>
      </w:r>
      <w:r w:rsidRPr="00B27419">
        <w:rPr>
          <w:rFonts w:cs="Times New Roman"/>
          <w:i/>
          <w:lang w:val="fr-CA"/>
        </w:rPr>
        <w:t>marché</w:t>
      </w:r>
      <w:r w:rsidRPr="00B27419">
        <w:rPr>
          <w:rFonts w:cs="Times New Roman"/>
          <w:lang w:val="fr-CA"/>
        </w:rPr>
        <w:t xml:space="preserve"> résultent de quantités accrues de déchets dangereux éliminés au site d’enfouissement sécuritaire </w:t>
      </w:r>
      <w:proofErr w:type="spellStart"/>
      <w:r w:rsidRPr="00B27419">
        <w:rPr>
          <w:rFonts w:cs="Times New Roman"/>
          <w:lang w:val="fr-CA"/>
        </w:rPr>
        <w:lastRenderedPageBreak/>
        <w:t>Babkirk</w:t>
      </w:r>
      <w:proofErr w:type="spellEnd"/>
      <w:r w:rsidR="00E6271F" w:rsidRPr="00B27419">
        <w:rPr>
          <w:rFonts w:cs="Times New Roman"/>
          <w:lang w:val="fr-CA"/>
        </w:rPr>
        <w:t> :</w:t>
      </w:r>
      <w:r w:rsidRPr="00B27419">
        <w:rPr>
          <w:rFonts w:cs="Times New Roman"/>
          <w:lang w:val="fr-CA"/>
        </w:rPr>
        <w:t xml:space="preserve"> </w:t>
      </w:r>
      <w:r w:rsidR="00B27419">
        <w:rPr>
          <w:rFonts w:cs="Times New Roman"/>
          <w:lang w:val="fr-CA"/>
        </w:rPr>
        <w:t>« </w:t>
      </w:r>
      <w:r w:rsidRPr="00B27419">
        <w:rPr>
          <w:rFonts w:cs="Times New Roman"/>
          <w:lang w:val="fr-CA"/>
        </w:rPr>
        <w:t xml:space="preserve">Étant donné les coûts et les risques considérables associés au transport de ce type de déchets sur un trajet aussi long que celui qui mène au site d’enfouissement sécuritaire </w:t>
      </w:r>
      <w:proofErr w:type="spellStart"/>
      <w:r w:rsidRPr="00B27419">
        <w:rPr>
          <w:rFonts w:cs="Times New Roman"/>
          <w:lang w:val="fr-CA"/>
        </w:rPr>
        <w:t>Silverberry</w:t>
      </w:r>
      <w:proofErr w:type="spellEnd"/>
      <w:r w:rsidRPr="00B27419">
        <w:rPr>
          <w:rFonts w:cs="Times New Roman"/>
          <w:lang w:val="fr-CA"/>
        </w:rPr>
        <w:t xml:space="preserve">, un site moins éloigné (comme le site </w:t>
      </w:r>
      <w:proofErr w:type="spellStart"/>
      <w:r w:rsidRPr="00B27419">
        <w:rPr>
          <w:rFonts w:cs="Times New Roman"/>
          <w:lang w:val="fr-CA"/>
        </w:rPr>
        <w:t>Babkirk</w:t>
      </w:r>
      <w:proofErr w:type="spellEnd"/>
      <w:r w:rsidRPr="00B27419">
        <w:rPr>
          <w:rFonts w:cs="Times New Roman"/>
          <w:lang w:val="fr-CA"/>
        </w:rPr>
        <w:t xml:space="preserve">) aurait l’avantage de réduire le trajet et d’attirer ainsi davantage de déchets dangereux que ne le ferait le seul site </w:t>
      </w:r>
      <w:proofErr w:type="spellStart"/>
      <w:r w:rsidRPr="00B27419">
        <w:rPr>
          <w:rFonts w:cs="Times New Roman"/>
          <w:lang w:val="fr-CA"/>
        </w:rPr>
        <w:t>Silverberry</w:t>
      </w:r>
      <w:proofErr w:type="spellEnd"/>
      <w:r w:rsidR="0066398E" w:rsidRPr="00B27419">
        <w:rPr>
          <w:rFonts w:cs="Times New Roman"/>
          <w:lang w:val="fr-CA"/>
        </w:rPr>
        <w:t xml:space="preserve"> </w:t>
      </w:r>
      <w:r w:rsidRPr="00B27419">
        <w:rPr>
          <w:rFonts w:cs="Times New Roman"/>
          <w:lang w:val="fr-CA"/>
        </w:rPr>
        <w:t>.</w:t>
      </w:r>
      <w:r w:rsidR="00E6271F" w:rsidRPr="00B27419">
        <w:rPr>
          <w:rFonts w:cs="Times New Roman"/>
          <w:lang w:val="fr-CA"/>
        </w:rPr>
        <w:t xml:space="preserve"> </w:t>
      </w:r>
      <w:r w:rsidRPr="00B27419">
        <w:rPr>
          <w:rFonts w:cs="Times New Roman"/>
          <w:lang w:val="fr-CA"/>
        </w:rPr>
        <w:t>.</w:t>
      </w:r>
      <w:r w:rsidR="00E6271F" w:rsidRPr="00B27419">
        <w:rPr>
          <w:rFonts w:cs="Times New Roman"/>
          <w:lang w:val="fr-CA"/>
        </w:rPr>
        <w:t xml:space="preserve"> </w:t>
      </w:r>
      <w:r w:rsidRPr="00B27419">
        <w:rPr>
          <w:rFonts w:cs="Times New Roman"/>
          <w:lang w:val="fr-CA"/>
        </w:rPr>
        <w:t>.</w:t>
      </w:r>
      <w:r w:rsidR="00B27419">
        <w:rPr>
          <w:rFonts w:cs="Times New Roman"/>
          <w:lang w:val="fr-CA"/>
        </w:rPr>
        <w:t> »</w:t>
      </w:r>
      <w:r w:rsidRPr="00B27419">
        <w:rPr>
          <w:rFonts w:cs="Times New Roman"/>
          <w:lang w:val="fr-CA"/>
        </w:rPr>
        <w:t xml:space="preserve"> (décision de la C.A.F., par.</w:t>
      </w:r>
      <w:r w:rsidR="00E6271F" w:rsidRPr="00B27419">
        <w:rPr>
          <w:rFonts w:cs="Times New Roman"/>
          <w:lang w:val="fr-CA"/>
        </w:rPr>
        <w:t xml:space="preserve"> </w:t>
      </w:r>
      <w:r w:rsidRPr="00B27419">
        <w:rPr>
          <w:rFonts w:cs="Times New Roman"/>
          <w:lang w:val="fr-CA"/>
        </w:rPr>
        <w:t xml:space="preserve">132). Comme pour ce qui est des gains en efficience liés au transport, </w:t>
      </w:r>
      <w:proofErr w:type="spellStart"/>
      <w:r w:rsidRPr="00B27419">
        <w:rPr>
          <w:rFonts w:cs="Times New Roman"/>
          <w:lang w:val="fr-CA"/>
        </w:rPr>
        <w:t>Tervita</w:t>
      </w:r>
      <w:proofErr w:type="spellEnd"/>
      <w:r w:rsidRPr="00B27419">
        <w:rPr>
          <w:rFonts w:cs="Times New Roman"/>
          <w:lang w:val="fr-CA"/>
        </w:rPr>
        <w:t xml:space="preserve"> aurait été en mesure de réaliser des gains liés à l’expansion du marché un</w:t>
      </w:r>
      <w:r w:rsidR="00E6271F" w:rsidRPr="00B27419">
        <w:rPr>
          <w:rFonts w:cs="Times New Roman"/>
          <w:lang w:val="fr-CA"/>
        </w:rPr>
        <w:t xml:space="preserve"> </w:t>
      </w:r>
      <w:r w:rsidRPr="00B27419">
        <w:rPr>
          <w:rFonts w:cs="Times New Roman"/>
          <w:lang w:val="fr-CA"/>
        </w:rPr>
        <w:t>an plus tôt qu’un tiers acquéreur, c’est</w:t>
      </w:r>
      <w:r w:rsidR="00E6271F" w:rsidRPr="00B27419">
        <w:rPr>
          <w:rFonts w:cs="Times New Roman"/>
          <w:lang w:val="fr-CA"/>
        </w:rPr>
        <w:t>-</w:t>
      </w:r>
      <w:r w:rsidRPr="00B27419">
        <w:rPr>
          <w:rFonts w:cs="Times New Roman"/>
          <w:lang w:val="fr-CA"/>
        </w:rPr>
        <w:t>à</w:t>
      </w:r>
      <w:r w:rsidR="00E6271F" w:rsidRPr="00B27419">
        <w:rPr>
          <w:rFonts w:cs="Times New Roman"/>
          <w:lang w:val="fr-CA"/>
        </w:rPr>
        <w:t>-</w:t>
      </w:r>
      <w:r w:rsidRPr="00B27419">
        <w:rPr>
          <w:rFonts w:cs="Times New Roman"/>
          <w:lang w:val="fr-CA"/>
        </w:rPr>
        <w:t xml:space="preserve">dire du printemps 2012 au printemps 2013. </w:t>
      </w:r>
    </w:p>
    <w:p w:rsidR="0039493A" w:rsidRPr="00B27419" w:rsidRDefault="0039493A" w:rsidP="00B27419">
      <w:pPr>
        <w:pStyle w:val="ParaNoNdepar-AltN"/>
        <w:rPr>
          <w:rFonts w:cs="Times New Roman"/>
          <w:lang w:val="fr-CA"/>
        </w:rPr>
      </w:pPr>
      <w:r w:rsidRPr="00B27419">
        <w:rPr>
          <w:rFonts w:cs="Times New Roman"/>
          <w:lang w:val="fr-CA"/>
        </w:rPr>
        <w:t xml:space="preserve">Le Tribunal a conclu que ces gains en efficience d’un an relatifs au transport et à l’expansion du marché étaient liés au délai d’exécution de son ordonnance de dessaisissement, dont le temps nécessaire pour conclure la vente effective des actions ou des éléments d’actif de </w:t>
      </w:r>
      <w:proofErr w:type="spellStart"/>
      <w:r w:rsidRPr="00B27419">
        <w:rPr>
          <w:rFonts w:cs="Times New Roman"/>
          <w:lang w:val="fr-CA"/>
        </w:rPr>
        <w:t>Babkirk</w:t>
      </w:r>
      <w:proofErr w:type="spellEnd"/>
      <w:r w:rsidRPr="00B27419">
        <w:rPr>
          <w:rFonts w:cs="Times New Roman"/>
          <w:lang w:val="fr-CA"/>
        </w:rPr>
        <w:t xml:space="preserve"> (selon les estimations, cela devait prendre au moins six mois, en comptant les mesures de vérification), pour dresser le plan d’exploitation du site d’enfouissement ou le modifier, pour que le ministère de l’Environnement de la Colombie</w:t>
      </w:r>
      <w:r w:rsidR="00E6271F" w:rsidRPr="00B27419">
        <w:rPr>
          <w:rFonts w:cs="Times New Roman"/>
          <w:lang w:val="fr-CA"/>
        </w:rPr>
        <w:t>-</w:t>
      </w:r>
      <w:r w:rsidRPr="00B27419">
        <w:rPr>
          <w:rFonts w:cs="Times New Roman"/>
          <w:lang w:val="fr-CA"/>
        </w:rPr>
        <w:t>Britannique (</w:t>
      </w:r>
      <w:r w:rsidR="00B27419">
        <w:rPr>
          <w:rFonts w:cs="Times New Roman"/>
          <w:lang w:val="fr-CA"/>
        </w:rPr>
        <w:t>« </w:t>
      </w:r>
      <w:r w:rsidRPr="00B27419">
        <w:rPr>
          <w:rFonts w:cs="Times New Roman"/>
          <w:lang w:val="fr-CA"/>
        </w:rPr>
        <w:t>ME</w:t>
      </w:r>
      <w:r w:rsidR="00B27419">
        <w:rPr>
          <w:rFonts w:cs="Times New Roman"/>
          <w:lang w:val="fr-CA"/>
        </w:rPr>
        <w:t> »</w:t>
      </w:r>
      <w:r w:rsidRPr="00B27419">
        <w:rPr>
          <w:rFonts w:cs="Times New Roman"/>
          <w:lang w:val="fr-CA"/>
        </w:rPr>
        <w:t>) approuve le plan d’exploitation et pour que l’acquéreur construise le site d’enfouissement, ce qui n’est possible qu’entre juin et septembre (par.</w:t>
      </w:r>
      <w:r w:rsidR="00E6271F" w:rsidRPr="00B27419">
        <w:rPr>
          <w:rFonts w:cs="Times New Roman"/>
          <w:lang w:val="fr-CA"/>
        </w:rPr>
        <w:t xml:space="preserve"> </w:t>
      </w:r>
      <w:r w:rsidRPr="00B27419">
        <w:rPr>
          <w:rFonts w:cs="Times New Roman"/>
          <w:lang w:val="fr-CA"/>
        </w:rPr>
        <w:t>269). Ainsi, le Tribunal a conclu que les GEEO n’étaient pas admissibles pour l’application de la Loi (par.</w:t>
      </w:r>
      <w:r w:rsidR="00E6271F" w:rsidRPr="00B27419">
        <w:rPr>
          <w:rFonts w:cs="Times New Roman"/>
          <w:lang w:val="fr-CA"/>
        </w:rPr>
        <w:t xml:space="preserve"> </w:t>
      </w:r>
      <w:r w:rsidRPr="00B27419">
        <w:rPr>
          <w:rFonts w:cs="Times New Roman"/>
          <w:lang w:val="fr-CA"/>
        </w:rPr>
        <w:t>269</w:t>
      </w:r>
      <w:r w:rsidR="00E6271F" w:rsidRPr="00B27419">
        <w:rPr>
          <w:rFonts w:cs="Times New Roman"/>
          <w:lang w:val="fr-CA"/>
        </w:rPr>
        <w:t>-</w:t>
      </w:r>
      <w:r w:rsidRPr="00B27419">
        <w:rPr>
          <w:rFonts w:cs="Times New Roman"/>
          <w:lang w:val="fr-CA"/>
        </w:rPr>
        <w:t xml:space="preserve">270). </w:t>
      </w:r>
    </w:p>
    <w:p w:rsidR="0039493A" w:rsidRPr="00B27419" w:rsidRDefault="0039493A" w:rsidP="00B27419">
      <w:pPr>
        <w:pStyle w:val="ParaNoNdepar-AltN"/>
        <w:rPr>
          <w:rFonts w:cs="Times New Roman"/>
          <w:lang w:val="fr-CA"/>
        </w:rPr>
      </w:pPr>
      <w:r w:rsidRPr="00B27419">
        <w:rPr>
          <w:rFonts w:cs="Times New Roman"/>
          <w:lang w:val="fr-CA"/>
        </w:rPr>
        <w:t xml:space="preserve">Il y a lieu de distinguer entre les gains en efficience qu’une partie au fusionnement prétend être en mesure de réaliser plus rapidement qu’en l’absence du fusionnement (ce que l’on pourrait appeler les gains en efficience </w:t>
      </w:r>
      <w:r w:rsidR="00B27419">
        <w:rPr>
          <w:rFonts w:cs="Times New Roman"/>
          <w:lang w:val="fr-CA"/>
        </w:rPr>
        <w:t>« </w:t>
      </w:r>
      <w:r w:rsidRPr="00B27419">
        <w:rPr>
          <w:rFonts w:cs="Times New Roman"/>
          <w:lang w:val="fr-CA"/>
        </w:rPr>
        <w:t>du premier arrivé</w:t>
      </w:r>
      <w:r w:rsidR="00B27419">
        <w:rPr>
          <w:rFonts w:cs="Times New Roman"/>
          <w:lang w:val="fr-CA"/>
        </w:rPr>
        <w:t> »</w:t>
      </w:r>
      <w:r w:rsidRPr="00B27419">
        <w:rPr>
          <w:rFonts w:cs="Times New Roman"/>
          <w:lang w:val="fr-CA"/>
        </w:rPr>
        <w:t xml:space="preserve">) et les gains en efficience qu’une partie au fusionnement pourrait réaliser plus </w:t>
      </w:r>
      <w:r w:rsidRPr="00B27419">
        <w:rPr>
          <w:rFonts w:cs="Times New Roman"/>
          <w:lang w:val="fr-CA"/>
        </w:rPr>
        <w:lastRenderedPageBreak/>
        <w:t>tôt qu’un concurrent pour la seule raison que ce dernier devrait attendre la fin de la procédure de dessaisissement (ce que le Tribunal a appelé les GEEO). Si, comme nous le verrons, les GEEO ne sont pas admissibles pour l’application de l’art.</w:t>
      </w:r>
      <w:r w:rsidR="00E6271F" w:rsidRPr="00B27419">
        <w:rPr>
          <w:rFonts w:cs="Times New Roman"/>
          <w:lang w:val="fr-CA"/>
        </w:rPr>
        <w:t xml:space="preserve"> </w:t>
      </w:r>
      <w:r w:rsidRPr="00B27419">
        <w:rPr>
          <w:rFonts w:cs="Times New Roman"/>
          <w:lang w:val="fr-CA"/>
        </w:rPr>
        <w:t>96, les gains en efficience du premier arrivé constituent en revanche des gains en efficience économiques qui résultent véritablement du fusionnement, et non pas du délai d’exécution associé à une instance judiciaire. N’eût été le fusionnement, l’économie n’aurait tiré aucun profit de ces gains en efficience qui auraient été réalisés entre la date du fusionnement et celle des actions d’un concurrent futur.</w:t>
      </w:r>
    </w:p>
    <w:p w:rsidR="0039493A" w:rsidRPr="00B27419" w:rsidRDefault="0039493A" w:rsidP="00B27419">
      <w:pPr>
        <w:pStyle w:val="ParaNoNdepar-AltN"/>
        <w:rPr>
          <w:rFonts w:cs="Times New Roman"/>
          <w:lang w:val="fr-CA"/>
        </w:rPr>
      </w:pPr>
      <w:r w:rsidRPr="00B27419">
        <w:rPr>
          <w:rFonts w:cs="Times New Roman"/>
          <w:lang w:val="fr-CA"/>
        </w:rPr>
        <w:t xml:space="preserve">S’il a qualifié de GEEO les gains en efficience que </w:t>
      </w:r>
      <w:proofErr w:type="spellStart"/>
      <w:r w:rsidRPr="00B27419">
        <w:rPr>
          <w:rFonts w:cs="Times New Roman"/>
          <w:lang w:val="fr-CA"/>
        </w:rPr>
        <w:t>Tervita</w:t>
      </w:r>
      <w:proofErr w:type="spellEnd"/>
      <w:r w:rsidRPr="00B27419">
        <w:rPr>
          <w:rFonts w:cs="Times New Roman"/>
          <w:lang w:val="fr-CA"/>
        </w:rPr>
        <w:t xml:space="preserve"> a prétendu pouvoir réaliser durant la période d’un an, le Tribunal laisse toutefois entendre qu’il aurait pu s’agir de gains en efficience du premier arrivé. Selon lui, </w:t>
      </w:r>
      <w:proofErr w:type="spellStart"/>
      <w:r w:rsidRPr="00B27419">
        <w:rPr>
          <w:rFonts w:cs="Times New Roman"/>
          <w:lang w:val="fr-CA"/>
        </w:rPr>
        <w:t>Tervita</w:t>
      </w:r>
      <w:proofErr w:type="spellEnd"/>
      <w:r w:rsidRPr="00B27419">
        <w:rPr>
          <w:rFonts w:cs="Times New Roman"/>
          <w:lang w:val="fr-CA"/>
        </w:rPr>
        <w:t xml:space="preserve"> aurait été prête à exploiter un site d’enfouissement sécuritaire au site </w:t>
      </w:r>
      <w:proofErr w:type="spellStart"/>
      <w:r w:rsidRPr="00B27419">
        <w:rPr>
          <w:rFonts w:cs="Times New Roman"/>
          <w:lang w:val="fr-CA"/>
        </w:rPr>
        <w:t>Babkirk</w:t>
      </w:r>
      <w:proofErr w:type="spellEnd"/>
      <w:r w:rsidRPr="00B27419">
        <w:rPr>
          <w:rFonts w:cs="Times New Roman"/>
          <w:lang w:val="fr-CA"/>
        </w:rPr>
        <w:t xml:space="preserve"> à l’été 2012 (par.</w:t>
      </w:r>
      <w:r w:rsidR="00E6271F" w:rsidRPr="00B27419">
        <w:rPr>
          <w:rFonts w:cs="Times New Roman"/>
          <w:lang w:val="fr-CA"/>
        </w:rPr>
        <w:t xml:space="preserve"> </w:t>
      </w:r>
      <w:r w:rsidRPr="00B27419">
        <w:rPr>
          <w:rFonts w:cs="Times New Roman"/>
          <w:lang w:val="fr-CA"/>
        </w:rPr>
        <w:t>269). En outre, suivant son analyse axée sur l’absence hypothétique — où il n’y a pas de fusionnement —, le site d’enfouissement sécuritaire n’aurait pas été prêt à accepter des quantités importantes de déchets avant le printemps 2013 (par.</w:t>
      </w:r>
      <w:r w:rsidR="00E6271F" w:rsidRPr="00B27419">
        <w:rPr>
          <w:rFonts w:cs="Times New Roman"/>
          <w:lang w:val="fr-CA"/>
        </w:rPr>
        <w:t xml:space="preserve"> </w:t>
      </w:r>
      <w:r w:rsidRPr="00B27419">
        <w:rPr>
          <w:rFonts w:cs="Times New Roman"/>
          <w:lang w:val="fr-CA"/>
        </w:rPr>
        <w:t xml:space="preserve">207). Il semblerait donc que les gains en efficience liés au transport et à l’expansion du marché susceptibles de découler de l’exploitation d’un site d’enfouissement sécuritaire au site </w:t>
      </w:r>
      <w:proofErr w:type="spellStart"/>
      <w:r w:rsidRPr="00B27419">
        <w:rPr>
          <w:rFonts w:cs="Times New Roman"/>
          <w:lang w:val="fr-CA"/>
        </w:rPr>
        <w:t>Babkirk</w:t>
      </w:r>
      <w:proofErr w:type="spellEnd"/>
      <w:r w:rsidRPr="00B27419">
        <w:rPr>
          <w:rFonts w:cs="Times New Roman"/>
          <w:lang w:val="fr-CA"/>
        </w:rPr>
        <w:t xml:space="preserve"> de 2012 à 2013 selon les plans de </w:t>
      </w:r>
      <w:proofErr w:type="spellStart"/>
      <w:r w:rsidRPr="00B27419">
        <w:rPr>
          <w:rFonts w:cs="Times New Roman"/>
          <w:lang w:val="fr-CA"/>
        </w:rPr>
        <w:t>Tervita</w:t>
      </w:r>
      <w:proofErr w:type="spellEnd"/>
      <w:r w:rsidRPr="00B27419">
        <w:rPr>
          <w:rFonts w:cs="Times New Roman"/>
          <w:lang w:val="fr-CA"/>
        </w:rPr>
        <w:t xml:space="preserve"> auraient pu être attribuables non pas aux délais associés à une instance judiciaire, mais à la capacité de </w:t>
      </w:r>
      <w:proofErr w:type="spellStart"/>
      <w:r w:rsidRPr="00B27419">
        <w:rPr>
          <w:rFonts w:cs="Times New Roman"/>
          <w:lang w:val="fr-CA"/>
        </w:rPr>
        <w:t>Tervita</w:t>
      </w:r>
      <w:proofErr w:type="spellEnd"/>
      <w:r w:rsidRPr="00B27419">
        <w:rPr>
          <w:rFonts w:cs="Times New Roman"/>
          <w:lang w:val="fr-CA"/>
        </w:rPr>
        <w:t xml:space="preserve"> d’exploiter le site plus rapidement qu’un concurrent éventuel.</w:t>
      </w:r>
    </w:p>
    <w:p w:rsidR="0039493A" w:rsidRPr="00B27419" w:rsidRDefault="0039493A" w:rsidP="00B27419">
      <w:pPr>
        <w:pStyle w:val="ParaNoNdepar-AltN"/>
        <w:rPr>
          <w:rFonts w:cs="Times New Roman"/>
          <w:lang w:val="fr-CA"/>
        </w:rPr>
      </w:pPr>
      <w:r w:rsidRPr="00B27419">
        <w:rPr>
          <w:rFonts w:cs="Times New Roman"/>
          <w:lang w:val="fr-CA"/>
        </w:rPr>
        <w:t xml:space="preserve">Les motifs du Tribunal semblent indécis quant à savoir si les faits tels qu’il les a admis permettent d’assimiler les gains en efficience réalisables pendant la </w:t>
      </w:r>
      <w:r w:rsidRPr="00B27419">
        <w:rPr>
          <w:rFonts w:cs="Times New Roman"/>
          <w:lang w:val="fr-CA"/>
        </w:rPr>
        <w:lastRenderedPageBreak/>
        <w:t xml:space="preserve">période d’un an à des gains du premier arrivé ou à des GEEO. Cependant, comme nous le verrons, la classification de ces gains dans le présent pourvoi ne serait pas déterminante, puisque </w:t>
      </w:r>
      <w:proofErr w:type="spellStart"/>
      <w:r w:rsidRPr="00B27419">
        <w:rPr>
          <w:rFonts w:cs="Times New Roman"/>
          <w:lang w:val="fr-CA"/>
        </w:rPr>
        <w:t>Tervita</w:t>
      </w:r>
      <w:proofErr w:type="spellEnd"/>
      <w:r w:rsidRPr="00B27419">
        <w:rPr>
          <w:rFonts w:cs="Times New Roman"/>
          <w:lang w:val="fr-CA"/>
        </w:rPr>
        <w:t xml:space="preserve"> ne les a pas réalisés. Néanmoins, étant donné qu’il importe de savoir si les GEEO devraient être admissibles à l’avenir, j’examine maintenant cette question.</w:t>
      </w:r>
    </w:p>
    <w:p w:rsidR="0039493A" w:rsidRPr="00B27419" w:rsidRDefault="0039493A" w:rsidP="00B27419">
      <w:pPr>
        <w:pStyle w:val="ParaNoNdepar-AltN"/>
        <w:rPr>
          <w:rFonts w:cs="Times New Roman"/>
          <w:lang w:val="fr-CA"/>
        </w:rPr>
      </w:pPr>
      <w:r w:rsidRPr="00B27419">
        <w:rPr>
          <w:rFonts w:cs="Times New Roman"/>
          <w:lang w:val="fr-CA"/>
        </w:rPr>
        <w:t xml:space="preserve">De l’avis de </w:t>
      </w:r>
      <w:proofErr w:type="spellStart"/>
      <w:r w:rsidRPr="00B27419">
        <w:rPr>
          <w:rFonts w:cs="Times New Roman"/>
          <w:lang w:val="fr-CA"/>
        </w:rPr>
        <w:t>Tervita</w:t>
      </w:r>
      <w:proofErr w:type="spellEnd"/>
      <w:r w:rsidRPr="00B27419">
        <w:rPr>
          <w:rFonts w:cs="Times New Roman"/>
          <w:lang w:val="fr-CA"/>
        </w:rPr>
        <w:t>, les GEEO doivent être pris en considération au motif que l’art.</w:t>
      </w:r>
      <w:r w:rsidR="00E6271F" w:rsidRPr="00B27419">
        <w:rPr>
          <w:rFonts w:cs="Times New Roman"/>
          <w:lang w:val="fr-CA"/>
        </w:rPr>
        <w:t xml:space="preserve"> </w:t>
      </w:r>
      <w:r w:rsidRPr="00B27419">
        <w:rPr>
          <w:rFonts w:cs="Times New Roman"/>
          <w:lang w:val="fr-CA"/>
        </w:rPr>
        <w:t>96 attribue une importance primordiale à l’objet de la loi qu’est l’efficience de l’économie, de telle sorte que tous les gains en efficience, quelle qu’en soit la source, doivent être pris en considération. Je ne partage malheureusement pas cet avis.</w:t>
      </w:r>
    </w:p>
    <w:p w:rsidR="0039493A" w:rsidRPr="00B27419" w:rsidRDefault="0039493A" w:rsidP="00B27419">
      <w:pPr>
        <w:pStyle w:val="ParaNoNdepar-AltN"/>
        <w:rPr>
          <w:rFonts w:cs="Times New Roman"/>
          <w:lang w:val="fr-CA"/>
        </w:rPr>
      </w:pPr>
      <w:r w:rsidRPr="00B27419">
        <w:rPr>
          <w:rFonts w:cs="Times New Roman"/>
          <w:lang w:val="fr-CA"/>
        </w:rPr>
        <w:t>L’article</w:t>
      </w:r>
      <w:r w:rsidR="00E6271F" w:rsidRPr="00B27419">
        <w:rPr>
          <w:rFonts w:cs="Times New Roman"/>
          <w:lang w:val="fr-CA"/>
        </w:rPr>
        <w:t xml:space="preserve"> </w:t>
      </w:r>
      <w:r w:rsidRPr="00B27419">
        <w:rPr>
          <w:rFonts w:cs="Times New Roman"/>
          <w:lang w:val="fr-CA"/>
        </w:rPr>
        <w:t>96 accorde effectivement la primauté à l’efficience de l’économie, mais il n’est pas dépourvu de limites</w:t>
      </w:r>
      <w:r w:rsidRPr="00B27419">
        <w:rPr>
          <w:rFonts w:eastAsia="Times New Roman" w:cs="Times New Roman"/>
          <w:lang w:val="fr-CA"/>
        </w:rPr>
        <w:t xml:space="preserve">. </w:t>
      </w:r>
    </w:p>
    <w:p w:rsidR="0039493A" w:rsidRPr="00B27419" w:rsidRDefault="0039493A" w:rsidP="00B27419">
      <w:pPr>
        <w:pStyle w:val="ParaNoNdepar-AltN"/>
        <w:rPr>
          <w:rFonts w:cs="Times New Roman"/>
          <w:lang w:val="fr-CA"/>
        </w:rPr>
      </w:pPr>
      <w:r w:rsidRPr="00B27419">
        <w:rPr>
          <w:rFonts w:cs="Times New Roman"/>
          <w:lang w:val="fr-CA"/>
        </w:rPr>
        <w:t xml:space="preserve">Par souci de commodité, je reproduis </w:t>
      </w:r>
      <w:r w:rsidR="00071731">
        <w:rPr>
          <w:rFonts w:cs="Times New Roman"/>
          <w:lang w:val="fr-CA"/>
        </w:rPr>
        <w:t>le par.</w:t>
      </w:r>
      <w:r w:rsidR="00E6271F" w:rsidRPr="00B27419">
        <w:rPr>
          <w:rFonts w:cs="Times New Roman"/>
          <w:lang w:val="fr-CA"/>
        </w:rPr>
        <w:t xml:space="preserve"> </w:t>
      </w:r>
      <w:r w:rsidRPr="00B27419">
        <w:rPr>
          <w:rFonts w:cs="Times New Roman"/>
          <w:lang w:val="fr-CA"/>
        </w:rPr>
        <w:t>96</w:t>
      </w:r>
      <w:r w:rsidR="00071731">
        <w:rPr>
          <w:rFonts w:cs="Times New Roman"/>
          <w:lang w:val="fr-CA"/>
        </w:rPr>
        <w:t>(1)</w:t>
      </w:r>
      <w:r w:rsidR="00E6271F" w:rsidRPr="00B27419">
        <w:rPr>
          <w:rFonts w:cs="Times New Roman"/>
          <w:lang w:val="fr-CA"/>
        </w:rPr>
        <w:t> :</w:t>
      </w:r>
    </w:p>
    <w:p w:rsidR="0039493A" w:rsidRPr="00B27419" w:rsidRDefault="0039493A" w:rsidP="00B27419">
      <w:pPr>
        <w:pStyle w:val="Citation-AltC"/>
        <w:tabs>
          <w:tab w:val="left" w:pos="1560"/>
          <w:tab w:val="left" w:pos="2400"/>
        </w:tabs>
        <w:ind w:hanging="1166"/>
        <w:contextualSpacing w:val="0"/>
        <w:rPr>
          <w:lang w:val="fr-CA"/>
        </w:rPr>
      </w:pPr>
      <w:r w:rsidRPr="00B27419">
        <w:rPr>
          <w:b/>
          <w:lang w:val="fr-CA"/>
        </w:rPr>
        <w:tab/>
      </w:r>
      <w:r w:rsidRPr="00B27419">
        <w:rPr>
          <w:b/>
          <w:lang w:val="fr-CA"/>
        </w:rPr>
        <w:tab/>
        <w:t xml:space="preserve">96. </w:t>
      </w:r>
      <w:r w:rsidRPr="00B27419">
        <w:rPr>
          <w:lang w:val="fr-CA"/>
        </w:rPr>
        <w:t>(1)</w:t>
      </w:r>
      <w:r w:rsidRPr="00B27419">
        <w:rPr>
          <w:lang w:val="fr-CA"/>
        </w:rPr>
        <w:tab/>
        <w:t>Le Tribunal ne rend pas l’ordonnance prévue à l’article</w:t>
      </w:r>
      <w:r w:rsidR="00E6271F" w:rsidRPr="00B27419">
        <w:rPr>
          <w:lang w:val="fr-CA"/>
        </w:rPr>
        <w:t xml:space="preserve"> </w:t>
      </w:r>
      <w:r w:rsidRPr="00B27419">
        <w:rPr>
          <w:lang w:val="fr-CA"/>
        </w:rPr>
        <w:t>92 dans les cas où il conclut que le fusionnement, réalisé ou proposé, qui fait l’objet de la demande a eu pour effet ou aura vraisemblablement pour effet d’entraîner des gains en efficience, que ces gains surpasseront et neutraliseront les effets de l’empêchement ou de la diminution de la concurrence qui résulteront ou résulteront vraisemblablement du fusionnement réalisé ou proposé et que ces gains ne seraient vraisemblablement pas réalisés si l’ordonnance était rendue.</w:t>
      </w:r>
    </w:p>
    <w:p w:rsidR="0039493A" w:rsidRPr="00B27419" w:rsidRDefault="0039493A" w:rsidP="00B27419">
      <w:pPr>
        <w:pStyle w:val="ParaNoNdepar-AltN"/>
        <w:rPr>
          <w:rFonts w:cs="Times New Roman"/>
          <w:lang w:val="fr-CA"/>
        </w:rPr>
      </w:pPr>
      <w:r w:rsidRPr="00B27419">
        <w:rPr>
          <w:rFonts w:cs="Times New Roman"/>
          <w:lang w:val="fr-CA"/>
        </w:rPr>
        <w:t>Pour qu’une partie bénéficie de la défense prévue à l’art.</w:t>
      </w:r>
      <w:r w:rsidR="00E6271F" w:rsidRPr="00B27419">
        <w:rPr>
          <w:rFonts w:cs="Times New Roman"/>
          <w:lang w:val="fr-CA"/>
        </w:rPr>
        <w:t xml:space="preserve"> </w:t>
      </w:r>
      <w:r w:rsidRPr="00B27419">
        <w:rPr>
          <w:rFonts w:cs="Times New Roman"/>
          <w:lang w:val="fr-CA"/>
        </w:rPr>
        <w:t xml:space="preserve">96, le Tribunal doit être convaincu que le fusionnement, réalisé ou proposé, a eu pour effet ou aura </w:t>
      </w:r>
      <w:r w:rsidRPr="00B27419">
        <w:rPr>
          <w:rFonts w:cs="Times New Roman"/>
          <w:lang w:val="fr-CA"/>
        </w:rPr>
        <w:lastRenderedPageBreak/>
        <w:t>vraisemblablement pour effet d’entraîner des gains en efficience et il doit également conclure que les gains en efficience ne seraient vraisemblablement pas réalisés s’il rendait l’ordonnance prévue à l’art.</w:t>
      </w:r>
      <w:r w:rsidR="00E6271F" w:rsidRPr="00B27419">
        <w:rPr>
          <w:rFonts w:cs="Times New Roman"/>
          <w:lang w:val="fr-CA"/>
        </w:rPr>
        <w:t xml:space="preserve"> </w:t>
      </w:r>
      <w:r w:rsidRPr="00B27419">
        <w:rPr>
          <w:rFonts w:cs="Times New Roman"/>
          <w:lang w:val="fr-CA"/>
        </w:rPr>
        <w:t>92. En outre, le par.</w:t>
      </w:r>
      <w:r w:rsidR="00E6271F" w:rsidRPr="00B27419">
        <w:rPr>
          <w:rFonts w:cs="Times New Roman"/>
          <w:lang w:val="fr-CA"/>
        </w:rPr>
        <w:t xml:space="preserve"> </w:t>
      </w:r>
      <w:r w:rsidRPr="00B27419">
        <w:rPr>
          <w:rFonts w:cs="Times New Roman"/>
          <w:lang w:val="fr-CA"/>
        </w:rPr>
        <w:t xml:space="preserve">96(3) interdit au Tribunal, nonobstant la primauté accordée à l’efficience économique à cet article, de considérer la </w:t>
      </w:r>
      <w:r w:rsidR="00B27419">
        <w:rPr>
          <w:rFonts w:cs="Times New Roman"/>
          <w:lang w:val="fr-CA"/>
        </w:rPr>
        <w:t>« </w:t>
      </w:r>
      <w:r w:rsidRPr="00B27419">
        <w:rPr>
          <w:rFonts w:cs="Times New Roman"/>
          <w:lang w:val="fr-CA"/>
        </w:rPr>
        <w:t>redistribution de revenu entre plusieurs personnes</w:t>
      </w:r>
      <w:r w:rsidR="00B27419">
        <w:rPr>
          <w:rFonts w:cs="Times New Roman"/>
          <w:lang w:val="fr-CA"/>
        </w:rPr>
        <w:t> »</w:t>
      </w:r>
      <w:r w:rsidRPr="00B27419">
        <w:rPr>
          <w:rFonts w:cs="Times New Roman"/>
          <w:lang w:val="fr-CA"/>
        </w:rPr>
        <w:t xml:space="preserve"> comme un gain en efficience neutralisant. Cette limite démontre que le législateur ne souhaite pas que tous les gains en efficience, quelle qu’en soit la source, soient pris en considération pour l’application de l’art.</w:t>
      </w:r>
      <w:r w:rsidR="00E6271F" w:rsidRPr="00B27419">
        <w:rPr>
          <w:rFonts w:cs="Times New Roman"/>
          <w:lang w:val="fr-CA"/>
        </w:rPr>
        <w:t xml:space="preserve"> </w:t>
      </w:r>
      <w:r w:rsidRPr="00B27419">
        <w:rPr>
          <w:rFonts w:cs="Times New Roman"/>
          <w:lang w:val="fr-CA"/>
        </w:rPr>
        <w:t>96.</w:t>
      </w:r>
    </w:p>
    <w:p w:rsidR="0039493A" w:rsidRPr="00B27419" w:rsidRDefault="0039493A" w:rsidP="00B27419">
      <w:pPr>
        <w:pStyle w:val="ParaNoNdepar-AltN"/>
        <w:rPr>
          <w:rFonts w:cs="Times New Roman"/>
          <w:lang w:val="fr-CA"/>
        </w:rPr>
      </w:pPr>
      <w:r w:rsidRPr="00B27419">
        <w:rPr>
          <w:rFonts w:cs="Times New Roman"/>
          <w:lang w:val="fr-CA"/>
        </w:rPr>
        <w:t>Les gains en efficience liés au transport et à l’expansion du marché qui sont en cause dans la présente affaire découlent de la situation géographique du site d’enfouissement sécuritaire, qui se trouve plus près de certains clients. Cependant, sous réserve de ce qui précède sur la bonne catégorisation des gains dans la présente affaire, les GEEO découlent non pas du fusionnement même, mais du délai d’exécution de l’ordonnance de dessaisissement (décision de la C.A.F., par.</w:t>
      </w:r>
      <w:r w:rsidR="00E6271F" w:rsidRPr="00B27419">
        <w:rPr>
          <w:rFonts w:cs="Times New Roman"/>
          <w:lang w:val="fr-CA"/>
        </w:rPr>
        <w:t xml:space="preserve"> </w:t>
      </w:r>
      <w:r w:rsidRPr="00B27419">
        <w:rPr>
          <w:rFonts w:cs="Times New Roman"/>
          <w:lang w:val="fr-CA"/>
        </w:rPr>
        <w:t xml:space="preserve">135). Bref, si ces gains en efficience étaient bel et bien des GEEO, ils seraient réalisés par </w:t>
      </w:r>
      <w:proofErr w:type="spellStart"/>
      <w:r w:rsidRPr="00B27419">
        <w:rPr>
          <w:rFonts w:cs="Times New Roman"/>
          <w:lang w:val="fr-CA"/>
        </w:rPr>
        <w:t>Tervita</w:t>
      </w:r>
      <w:proofErr w:type="spellEnd"/>
      <w:r w:rsidRPr="00B27419">
        <w:rPr>
          <w:rFonts w:cs="Times New Roman"/>
          <w:lang w:val="fr-CA"/>
        </w:rPr>
        <w:t xml:space="preserve">, et non par un tiers, du seul fait qu’elle exploiterait l’installation un an plus tôt qu’un tiers l’ayant acquise à la suite de l’ordonnance de dessaisissement, et uniquement à cause du délai d’exécution de cette dernière. </w:t>
      </w:r>
    </w:p>
    <w:p w:rsidR="0039493A" w:rsidRPr="00B27419" w:rsidRDefault="0039493A" w:rsidP="00B27419">
      <w:pPr>
        <w:pStyle w:val="ParaNoNdepar-AltN"/>
        <w:rPr>
          <w:rFonts w:cs="Times New Roman"/>
          <w:lang w:val="fr-CA"/>
        </w:rPr>
      </w:pPr>
      <w:r w:rsidRPr="00B27419">
        <w:rPr>
          <w:rFonts w:cs="Times New Roman"/>
          <w:lang w:val="fr-CA"/>
        </w:rPr>
        <w:t>Les gains en efficience qui résultent de l’application de la Loi ne peuvent être pris en compte au titre de l’art.</w:t>
      </w:r>
      <w:r w:rsidR="00E6271F" w:rsidRPr="00B27419">
        <w:rPr>
          <w:rFonts w:cs="Times New Roman"/>
          <w:lang w:val="fr-CA"/>
        </w:rPr>
        <w:t xml:space="preserve"> </w:t>
      </w:r>
      <w:r w:rsidRPr="00B27419">
        <w:rPr>
          <w:rFonts w:cs="Times New Roman"/>
          <w:lang w:val="fr-CA"/>
        </w:rPr>
        <w:t xml:space="preserve">96. Les GEEO découlent de l’exécution et de l’application du cadre qui réglemente le droit de la concurrence au Canada. Aux termes de la disposition, c’est le </w:t>
      </w:r>
      <w:r w:rsidRPr="00B27419">
        <w:rPr>
          <w:rFonts w:cs="Times New Roman"/>
          <w:i/>
          <w:lang w:val="fr-CA"/>
        </w:rPr>
        <w:t>fusionnement réalisé ou proposé</w:t>
      </w:r>
      <w:r w:rsidRPr="00B27419">
        <w:rPr>
          <w:rFonts w:cs="Times New Roman"/>
          <w:lang w:val="fr-CA"/>
        </w:rPr>
        <w:t xml:space="preserve"> qui doit avoir eu ou </w:t>
      </w:r>
      <w:r w:rsidRPr="00B27419">
        <w:rPr>
          <w:rFonts w:cs="Times New Roman"/>
          <w:lang w:val="fr-CA"/>
        </w:rPr>
        <w:lastRenderedPageBreak/>
        <w:t>qui aura vraisemblablement pour effet d’entraîner des gains en efficience. Les GEEO ne constituent pas des gains en efficience attribuables au fusionnement, ils sont attribuables au délai d’exécution de l’ordonnance de dessaisissement.</w:t>
      </w:r>
    </w:p>
    <w:p w:rsidR="0039493A" w:rsidRPr="00B27419" w:rsidRDefault="0039493A" w:rsidP="00B27419">
      <w:pPr>
        <w:pStyle w:val="ParaNoNdepar-AltN"/>
        <w:rPr>
          <w:rFonts w:cs="Times New Roman"/>
          <w:lang w:val="fr-CA"/>
        </w:rPr>
      </w:pPr>
      <w:r w:rsidRPr="00B27419">
        <w:rPr>
          <w:rFonts w:cs="Times New Roman"/>
          <w:lang w:val="fr-CA"/>
        </w:rPr>
        <w:t xml:space="preserve">Enfin, peu importe qu’il s’agisse de gains en efficience du premier arrivé ou de GEEO. En effet, comme l’explique la Cour d’appel fédérale, aucun gain en efficience n’a été réalisé en l’espèce parce que </w:t>
      </w:r>
      <w:proofErr w:type="spellStart"/>
      <w:r w:rsidRPr="00B27419">
        <w:rPr>
          <w:rFonts w:cs="Times New Roman"/>
          <w:lang w:val="fr-CA"/>
        </w:rPr>
        <w:t>Tervita</w:t>
      </w:r>
      <w:proofErr w:type="spellEnd"/>
      <w:r w:rsidRPr="00B27419">
        <w:rPr>
          <w:rFonts w:cs="Times New Roman"/>
          <w:lang w:val="fr-CA"/>
        </w:rPr>
        <w:t xml:space="preserve"> n’a pas construit ni exploité un site d’enfouissement au site </w:t>
      </w:r>
      <w:proofErr w:type="spellStart"/>
      <w:r w:rsidRPr="00B27419">
        <w:rPr>
          <w:rFonts w:cs="Times New Roman"/>
          <w:lang w:val="fr-CA"/>
        </w:rPr>
        <w:t>Babkirk</w:t>
      </w:r>
      <w:proofErr w:type="spellEnd"/>
      <w:r w:rsidRPr="00B27419">
        <w:rPr>
          <w:rFonts w:cs="Times New Roman"/>
          <w:lang w:val="fr-CA"/>
        </w:rPr>
        <w:t xml:space="preserve"> avant l’examen du fusionnement ou même avant la date de l’ordonnance du Tribunal. </w:t>
      </w:r>
      <w:proofErr w:type="spellStart"/>
      <w:r w:rsidRPr="00B27419">
        <w:rPr>
          <w:rFonts w:cs="Times New Roman"/>
          <w:lang w:val="fr-CA"/>
        </w:rPr>
        <w:t>Tervita</w:t>
      </w:r>
      <w:proofErr w:type="spellEnd"/>
      <w:r w:rsidRPr="00B27419">
        <w:rPr>
          <w:rFonts w:cs="Times New Roman"/>
          <w:lang w:val="fr-CA"/>
        </w:rPr>
        <w:t xml:space="preserve"> soutient que ce raisonnement ne résiste pas à l’analyse. Dans la présente affaire, </w:t>
      </w:r>
      <w:proofErr w:type="spellStart"/>
      <w:r w:rsidRPr="00B27419">
        <w:rPr>
          <w:rFonts w:cs="Times New Roman"/>
          <w:lang w:val="fr-CA"/>
        </w:rPr>
        <w:t>Tervita</w:t>
      </w:r>
      <w:proofErr w:type="spellEnd"/>
      <w:r w:rsidRPr="00B27419">
        <w:rPr>
          <w:rFonts w:cs="Times New Roman"/>
          <w:lang w:val="fr-CA"/>
        </w:rPr>
        <w:t xml:space="preserve"> a conservé toutes les approbations et autorisations ainsi que tous les permis qu’elle avait obtenus du ME de la province en vue de l’aménagement et de l’exploitation d’un site d’enfouissement sécuritaire proposé au site </w:t>
      </w:r>
      <w:proofErr w:type="spellStart"/>
      <w:r w:rsidRPr="00B27419">
        <w:rPr>
          <w:rFonts w:cs="Times New Roman"/>
          <w:lang w:val="fr-CA"/>
        </w:rPr>
        <w:t>Babkirk</w:t>
      </w:r>
      <w:proofErr w:type="spellEnd"/>
      <w:r w:rsidRPr="00B27419">
        <w:rPr>
          <w:rFonts w:cs="Times New Roman"/>
          <w:lang w:val="fr-CA"/>
        </w:rPr>
        <w:t xml:space="preserve"> en attendant l’issue de l’instance devant le Tribunal.</w:t>
      </w:r>
      <w:r w:rsidR="00E6271F" w:rsidRPr="00B27419">
        <w:rPr>
          <w:rFonts w:cs="Times New Roman"/>
          <w:lang w:val="fr-CA"/>
        </w:rPr>
        <w:t xml:space="preserve"> </w:t>
      </w:r>
      <w:r w:rsidRPr="00B27419">
        <w:rPr>
          <w:rFonts w:cs="Times New Roman"/>
          <w:lang w:val="fr-CA"/>
        </w:rPr>
        <w:t>Elle fait valoir qu’elle n’avait pu construire le site d’enfouissement sécuritaire en raison de l’entente de séparation d’actifs. Encore une fois, je ne suis pas d’accord.</w:t>
      </w:r>
    </w:p>
    <w:p w:rsidR="0039493A" w:rsidRPr="00B27419" w:rsidRDefault="0039493A" w:rsidP="00B27419">
      <w:pPr>
        <w:pStyle w:val="ParaNoNdepar-AltN"/>
        <w:tabs>
          <w:tab w:val="clear" w:pos="1294"/>
        </w:tabs>
        <w:rPr>
          <w:rFonts w:cs="Times New Roman"/>
          <w:lang w:val="fr-CA"/>
        </w:rPr>
      </w:pPr>
      <w:r w:rsidRPr="00B27419">
        <w:rPr>
          <w:rFonts w:cs="Times New Roman"/>
          <w:lang w:val="fr-CA"/>
        </w:rPr>
        <w:t>La séparation d’actifs est généralement ordonnée pour empêcher la réunion des éléments d’actif ou des affaires qui résulterait autrement du fusionnement (B.</w:t>
      </w:r>
      <w:r w:rsidR="00E6271F" w:rsidRPr="00B27419">
        <w:rPr>
          <w:rFonts w:cs="Times New Roman"/>
          <w:lang w:val="fr-CA"/>
        </w:rPr>
        <w:t xml:space="preserve"> </w:t>
      </w:r>
      <w:r w:rsidRPr="00B27419">
        <w:rPr>
          <w:rFonts w:cs="Times New Roman"/>
          <w:lang w:val="fr-CA"/>
        </w:rPr>
        <w:t>A.</w:t>
      </w:r>
      <w:r w:rsidR="00E6271F" w:rsidRPr="00B27419">
        <w:rPr>
          <w:rFonts w:cs="Times New Roman"/>
          <w:lang w:val="fr-CA"/>
        </w:rPr>
        <w:t xml:space="preserve"> </w:t>
      </w:r>
      <w:proofErr w:type="spellStart"/>
      <w:r w:rsidRPr="00B27419">
        <w:rPr>
          <w:rFonts w:cs="Times New Roman"/>
          <w:lang w:val="fr-CA"/>
        </w:rPr>
        <w:t>Facey</w:t>
      </w:r>
      <w:proofErr w:type="spellEnd"/>
      <w:r w:rsidRPr="00B27419">
        <w:rPr>
          <w:rFonts w:cs="Times New Roman"/>
          <w:lang w:val="fr-CA"/>
        </w:rPr>
        <w:t>, G.</w:t>
      </w:r>
      <w:r w:rsidR="00E6271F" w:rsidRPr="00B27419">
        <w:rPr>
          <w:rFonts w:cs="Times New Roman"/>
          <w:lang w:val="fr-CA"/>
        </w:rPr>
        <w:t xml:space="preserve"> </w:t>
      </w:r>
      <w:r w:rsidRPr="00B27419">
        <w:rPr>
          <w:rFonts w:cs="Times New Roman"/>
          <w:lang w:val="fr-CA"/>
        </w:rPr>
        <w:t>Hilton</w:t>
      </w:r>
      <w:r w:rsidR="00E6271F" w:rsidRPr="00B27419">
        <w:rPr>
          <w:rFonts w:cs="Times New Roman"/>
          <w:lang w:val="fr-CA"/>
        </w:rPr>
        <w:t>-</w:t>
      </w:r>
      <w:r w:rsidRPr="00B27419">
        <w:rPr>
          <w:rFonts w:cs="Times New Roman"/>
          <w:lang w:val="fr-CA"/>
        </w:rPr>
        <w:t>Sullivan et M.</w:t>
      </w:r>
      <w:r w:rsidR="00E6271F" w:rsidRPr="00B27419">
        <w:rPr>
          <w:rFonts w:cs="Times New Roman"/>
          <w:lang w:val="fr-CA"/>
        </w:rPr>
        <w:t xml:space="preserve"> </w:t>
      </w:r>
      <w:r w:rsidRPr="00B27419">
        <w:rPr>
          <w:rFonts w:cs="Times New Roman"/>
          <w:lang w:val="fr-CA"/>
        </w:rPr>
        <w:t xml:space="preserve">Graham, </w:t>
      </w:r>
      <w:r w:rsidR="00B27419">
        <w:rPr>
          <w:rFonts w:cs="Times New Roman"/>
          <w:lang w:val="fr-CA"/>
        </w:rPr>
        <w:t>« </w:t>
      </w:r>
      <w:r w:rsidRPr="00B27419">
        <w:rPr>
          <w:rFonts w:cs="Times New Roman"/>
          <w:lang w:val="fr-CA"/>
        </w:rPr>
        <w:t xml:space="preserve">The </w:t>
      </w:r>
      <w:proofErr w:type="spellStart"/>
      <w:r w:rsidRPr="00B27419">
        <w:rPr>
          <w:rFonts w:cs="Times New Roman"/>
          <w:lang w:val="fr-CA"/>
        </w:rPr>
        <w:t>Reinvigoration</w:t>
      </w:r>
      <w:proofErr w:type="spellEnd"/>
      <w:r w:rsidRPr="00B27419">
        <w:rPr>
          <w:rFonts w:cs="Times New Roman"/>
          <w:lang w:val="fr-CA"/>
        </w:rPr>
        <w:t xml:space="preserve"> of Canadian Antitrust Law — </w:t>
      </w:r>
      <w:proofErr w:type="spellStart"/>
      <w:r w:rsidRPr="00B27419">
        <w:rPr>
          <w:rFonts w:cs="Times New Roman"/>
          <w:lang w:val="fr-CA"/>
        </w:rPr>
        <w:t>Canada’s</w:t>
      </w:r>
      <w:proofErr w:type="spellEnd"/>
      <w:r w:rsidRPr="00B27419">
        <w:rPr>
          <w:rFonts w:cs="Times New Roman"/>
          <w:lang w:val="fr-CA"/>
        </w:rPr>
        <w:t xml:space="preserve"> New </w:t>
      </w:r>
      <w:proofErr w:type="spellStart"/>
      <w:r w:rsidRPr="00B27419">
        <w:rPr>
          <w:rFonts w:cs="Times New Roman"/>
          <w:lang w:val="fr-CA"/>
        </w:rPr>
        <w:t>Approach</w:t>
      </w:r>
      <w:proofErr w:type="spellEnd"/>
      <w:r w:rsidRPr="00B27419">
        <w:rPr>
          <w:rFonts w:cs="Times New Roman"/>
          <w:lang w:val="fr-CA"/>
        </w:rPr>
        <w:t xml:space="preserve"> to </w:t>
      </w:r>
      <w:proofErr w:type="spellStart"/>
      <w:r w:rsidRPr="00B27419">
        <w:rPr>
          <w:rFonts w:cs="Times New Roman"/>
          <w:lang w:val="fr-CA"/>
        </w:rPr>
        <w:t>Merger</w:t>
      </w:r>
      <w:proofErr w:type="spellEnd"/>
      <w:r w:rsidRPr="00B27419">
        <w:rPr>
          <w:rFonts w:cs="Times New Roman"/>
          <w:lang w:val="fr-CA"/>
        </w:rPr>
        <w:t xml:space="preserve"> </w:t>
      </w:r>
      <w:proofErr w:type="spellStart"/>
      <w:r w:rsidRPr="00B27419">
        <w:rPr>
          <w:rFonts w:cs="Times New Roman"/>
          <w:lang w:val="fr-CA"/>
        </w:rPr>
        <w:t>Review</w:t>
      </w:r>
      <w:proofErr w:type="spellEnd"/>
      <w:r w:rsidR="00B27419">
        <w:rPr>
          <w:rFonts w:cs="Times New Roman"/>
          <w:lang w:val="fr-CA"/>
        </w:rPr>
        <w:t> »</w:t>
      </w:r>
      <w:r w:rsidRPr="00B27419">
        <w:rPr>
          <w:rFonts w:cs="Times New Roman"/>
          <w:lang w:val="fr-CA"/>
        </w:rPr>
        <w:t xml:space="preserve"> (2010)</w:t>
      </w:r>
      <w:r w:rsidR="0066398E" w:rsidRPr="00B27419">
        <w:rPr>
          <w:rFonts w:cs="Times New Roman"/>
          <w:lang w:val="fr-CA"/>
        </w:rPr>
        <w:t>,</w:t>
      </w:r>
      <w:r w:rsidRPr="00B27419">
        <w:rPr>
          <w:rFonts w:cs="Times New Roman"/>
          <w:lang w:val="fr-CA"/>
        </w:rPr>
        <w:t xml:space="preserve"> 6 </w:t>
      </w:r>
      <w:r w:rsidRPr="00B27419">
        <w:rPr>
          <w:rFonts w:cs="Times New Roman"/>
          <w:i/>
          <w:lang w:val="fr-CA"/>
        </w:rPr>
        <w:t>C.L.I.</w:t>
      </w:r>
      <w:r w:rsidRPr="00B27419">
        <w:rPr>
          <w:rFonts w:cs="Times New Roman"/>
          <w:lang w:val="fr-CA"/>
        </w:rPr>
        <w:t xml:space="preserve"> 28, p.</w:t>
      </w:r>
      <w:r w:rsidR="00E6271F" w:rsidRPr="00B27419">
        <w:rPr>
          <w:rFonts w:cs="Times New Roman"/>
          <w:lang w:val="fr-CA"/>
        </w:rPr>
        <w:t xml:space="preserve"> </w:t>
      </w:r>
      <w:r w:rsidRPr="00B27419">
        <w:rPr>
          <w:rFonts w:cs="Times New Roman"/>
          <w:lang w:val="fr-CA"/>
        </w:rPr>
        <w:t xml:space="preserve">33). Ce type d’ordonnance vise à empêcher que l’on ait à </w:t>
      </w:r>
      <w:r w:rsidR="00B27419">
        <w:rPr>
          <w:rFonts w:cs="Times New Roman"/>
          <w:lang w:val="fr-CA"/>
        </w:rPr>
        <w:t>« </w:t>
      </w:r>
      <w:r w:rsidRPr="00B27419">
        <w:rPr>
          <w:rFonts w:cs="Times New Roman"/>
          <w:lang w:val="fr-CA"/>
        </w:rPr>
        <w:t>démêler l’écheveau</w:t>
      </w:r>
      <w:r w:rsidR="00B27419">
        <w:rPr>
          <w:rFonts w:cs="Times New Roman"/>
          <w:lang w:val="fr-CA"/>
        </w:rPr>
        <w:t> »</w:t>
      </w:r>
      <w:r w:rsidRPr="00B27419">
        <w:rPr>
          <w:rFonts w:cs="Times New Roman"/>
          <w:lang w:val="fr-CA"/>
        </w:rPr>
        <w:t xml:space="preserve"> après le fusionnement complet si le Tribunal ordonnait le dessaisissement. En l’espèce, l’entente de séparation d’actifs ne se rapportait pas à l’objet habituel, à savoir empêcher l’écheveau de s’embrouiller sur le plan des éléments d’actif.</w:t>
      </w:r>
    </w:p>
    <w:p w:rsidR="0039493A" w:rsidRPr="00B27419" w:rsidRDefault="0039493A" w:rsidP="00B27419">
      <w:pPr>
        <w:pStyle w:val="ParaNoNdepar-AltN"/>
        <w:tabs>
          <w:tab w:val="clear" w:pos="1294"/>
        </w:tabs>
        <w:rPr>
          <w:rFonts w:cs="Times New Roman"/>
          <w:lang w:val="fr-CA"/>
        </w:rPr>
      </w:pPr>
      <w:r w:rsidRPr="00B27419">
        <w:rPr>
          <w:rFonts w:cs="Times New Roman"/>
          <w:lang w:val="fr-CA"/>
        </w:rPr>
        <w:lastRenderedPageBreak/>
        <w:t xml:space="preserve">La preuve dans le présent pourvoi n’appuie pas la prétention de </w:t>
      </w:r>
      <w:proofErr w:type="spellStart"/>
      <w:r w:rsidRPr="00B27419">
        <w:rPr>
          <w:rFonts w:cs="Times New Roman"/>
          <w:lang w:val="fr-CA"/>
        </w:rPr>
        <w:t>Tervita</w:t>
      </w:r>
      <w:proofErr w:type="spellEnd"/>
      <w:r w:rsidRPr="00B27419">
        <w:rPr>
          <w:rFonts w:cs="Times New Roman"/>
          <w:lang w:val="fr-CA"/>
        </w:rPr>
        <w:t xml:space="preserve"> selon laquelle l’entente l’empêchait d’exploiter le site d’enfouissement. L’entente l’obligeait simplement à conserver les approbations environnementales provinciales nécessaires pour l’aménagement et l’exploitation du site d’enfouissement sécuritaire proposé au site </w:t>
      </w:r>
      <w:proofErr w:type="spellStart"/>
      <w:r w:rsidRPr="00B27419">
        <w:rPr>
          <w:rFonts w:cs="Times New Roman"/>
          <w:lang w:val="fr-CA"/>
        </w:rPr>
        <w:t>Babkirk</w:t>
      </w:r>
      <w:proofErr w:type="spellEnd"/>
      <w:r w:rsidRPr="00B27419">
        <w:rPr>
          <w:rFonts w:cs="Times New Roman"/>
          <w:lang w:val="fr-CA"/>
        </w:rPr>
        <w:t xml:space="preserve">. Selon la preuve produite devant le Tribunal, </w:t>
      </w:r>
      <w:proofErr w:type="spellStart"/>
      <w:r w:rsidRPr="00B27419">
        <w:rPr>
          <w:rFonts w:cs="Times New Roman"/>
          <w:lang w:val="fr-CA"/>
        </w:rPr>
        <w:t>Tervita</w:t>
      </w:r>
      <w:proofErr w:type="spellEnd"/>
      <w:r w:rsidRPr="00B27419">
        <w:rPr>
          <w:rFonts w:cs="Times New Roman"/>
          <w:lang w:val="fr-CA"/>
        </w:rPr>
        <w:t xml:space="preserve"> souhaitait accroître la capacité du site d’enfouissement sécuritaire, ce qui nécessitait une modification de l’approbation visant le site — un processus qui, d’après ce que </w:t>
      </w:r>
      <w:proofErr w:type="spellStart"/>
      <w:r w:rsidRPr="00B27419">
        <w:rPr>
          <w:rFonts w:cs="Times New Roman"/>
          <w:lang w:val="fr-CA"/>
        </w:rPr>
        <w:t>Tervita</w:t>
      </w:r>
      <w:proofErr w:type="spellEnd"/>
      <w:r w:rsidRPr="00B27419">
        <w:rPr>
          <w:rFonts w:cs="Times New Roman"/>
          <w:lang w:val="fr-CA"/>
        </w:rPr>
        <w:t xml:space="preserve"> croyait comprendre, était contraire à l’entente. Or, rien n’empêchait </w:t>
      </w:r>
      <w:proofErr w:type="spellStart"/>
      <w:r w:rsidRPr="00B27419">
        <w:rPr>
          <w:rFonts w:cs="Times New Roman"/>
          <w:lang w:val="fr-CA"/>
        </w:rPr>
        <w:t>Tervita</w:t>
      </w:r>
      <w:proofErr w:type="spellEnd"/>
      <w:r w:rsidRPr="00B27419">
        <w:rPr>
          <w:rFonts w:cs="Times New Roman"/>
          <w:lang w:val="fr-CA"/>
        </w:rPr>
        <w:t xml:space="preserve"> d’aménager et d’exploiter le site d’enfouissement selon la capacité autorisée dans l’approbation qui lui avait été délivrée.</w:t>
      </w:r>
    </w:p>
    <w:p w:rsidR="0039493A" w:rsidRPr="00B27419" w:rsidRDefault="0039493A" w:rsidP="00B27419">
      <w:pPr>
        <w:pStyle w:val="ParaNoNdepar-AltN"/>
        <w:rPr>
          <w:rFonts w:cs="Times New Roman"/>
          <w:lang w:val="fr-CA"/>
        </w:rPr>
      </w:pPr>
      <w:r w:rsidRPr="00B27419">
        <w:rPr>
          <w:rFonts w:cs="Times New Roman"/>
          <w:lang w:val="fr-CA"/>
        </w:rPr>
        <w:t xml:space="preserve">La preuve révèle que </w:t>
      </w:r>
      <w:proofErr w:type="spellStart"/>
      <w:r w:rsidRPr="00B27419">
        <w:rPr>
          <w:rFonts w:cs="Times New Roman"/>
          <w:lang w:val="fr-CA"/>
        </w:rPr>
        <w:t>Tervita</w:t>
      </w:r>
      <w:proofErr w:type="spellEnd"/>
      <w:r w:rsidRPr="00B27419">
        <w:rPr>
          <w:rFonts w:cs="Times New Roman"/>
          <w:lang w:val="fr-CA"/>
        </w:rPr>
        <w:t xml:space="preserve"> n’a pris aucune mesure pour commencer à exploiter le site d’enfouissement. Même à supposer </w:t>
      </w:r>
      <w:proofErr w:type="gramStart"/>
      <w:r w:rsidRPr="00B27419">
        <w:rPr>
          <w:rFonts w:cs="Times New Roman"/>
          <w:lang w:val="fr-CA"/>
        </w:rPr>
        <w:t>qu’aucune ordonnance</w:t>
      </w:r>
      <w:proofErr w:type="gramEnd"/>
      <w:r w:rsidRPr="00B27419">
        <w:rPr>
          <w:rFonts w:cs="Times New Roman"/>
          <w:lang w:val="fr-CA"/>
        </w:rPr>
        <w:t xml:space="preserve"> de dessaisissement n’ait été prononcée, elle n’aurait pu exploiter le site d’enfouissement sécuritaire dès l’issue de l’instance.</w:t>
      </w:r>
    </w:p>
    <w:p w:rsidR="0039493A" w:rsidRPr="00B27419" w:rsidRDefault="0039493A" w:rsidP="00B27419">
      <w:pPr>
        <w:pStyle w:val="ParaNoNdepar-AltN"/>
        <w:rPr>
          <w:rFonts w:cs="Times New Roman"/>
          <w:lang w:val="fr-CA"/>
        </w:rPr>
      </w:pPr>
      <w:r w:rsidRPr="00B27419">
        <w:rPr>
          <w:rFonts w:cs="Times New Roman"/>
          <w:lang w:val="fr-CA"/>
        </w:rPr>
        <w:t>Pour ces motifs, le Tribunal et la Cour d’appel fédérale ont tous deux conclu à juste titre que les GEEO ne peuvent être pris en considération pour l’application de l’art.</w:t>
      </w:r>
      <w:r w:rsidR="00E6271F" w:rsidRPr="00B27419">
        <w:rPr>
          <w:rFonts w:cs="Times New Roman"/>
          <w:lang w:val="fr-CA"/>
        </w:rPr>
        <w:t xml:space="preserve"> </w:t>
      </w:r>
      <w:r w:rsidRPr="00B27419">
        <w:rPr>
          <w:rFonts w:cs="Times New Roman"/>
          <w:lang w:val="fr-CA"/>
        </w:rPr>
        <w:t>96 (voir décision du Tribunal, par.</w:t>
      </w:r>
      <w:r w:rsidR="00E6271F" w:rsidRPr="00B27419">
        <w:rPr>
          <w:rFonts w:cs="Times New Roman"/>
          <w:lang w:val="fr-CA"/>
        </w:rPr>
        <w:t xml:space="preserve"> </w:t>
      </w:r>
      <w:r w:rsidRPr="00B27419">
        <w:rPr>
          <w:rFonts w:cs="Times New Roman"/>
          <w:lang w:val="fr-CA"/>
        </w:rPr>
        <w:t>270; décision de la C.A.F., par.</w:t>
      </w:r>
      <w:r w:rsidR="00E6271F" w:rsidRPr="00B27419">
        <w:rPr>
          <w:rFonts w:cs="Times New Roman"/>
          <w:lang w:val="fr-CA"/>
        </w:rPr>
        <w:t xml:space="preserve"> </w:t>
      </w:r>
      <w:r w:rsidRPr="00B27419">
        <w:rPr>
          <w:rFonts w:cs="Times New Roman"/>
          <w:lang w:val="fr-CA"/>
        </w:rPr>
        <w:t xml:space="preserve">135). </w:t>
      </w:r>
    </w:p>
    <w:p w:rsidR="0039493A" w:rsidRPr="00B27419" w:rsidRDefault="0039493A" w:rsidP="00B27419">
      <w:pPr>
        <w:pStyle w:val="Title3LevelTitre3Niveau"/>
        <w:rPr>
          <w:rFonts w:cs="Times New Roman"/>
          <w:lang w:val="fr-CA"/>
        </w:rPr>
      </w:pPr>
      <w:bookmarkStart w:id="91" w:name="_Toc396299550"/>
      <w:bookmarkStart w:id="92" w:name="_Toc397586782"/>
      <w:bookmarkStart w:id="93" w:name="_Toc409593466"/>
      <w:r w:rsidRPr="00B27419">
        <w:rPr>
          <w:rFonts w:cs="Times New Roman"/>
          <w:lang w:val="fr-CA"/>
        </w:rPr>
        <w:t>Pondération qu’exige l’art</w:t>
      </w:r>
      <w:r w:rsidR="0066398E" w:rsidRPr="00B27419">
        <w:rPr>
          <w:rFonts w:cs="Times New Roman"/>
          <w:lang w:val="fr-CA"/>
        </w:rPr>
        <w:t>.</w:t>
      </w:r>
      <w:r w:rsidR="00E6271F" w:rsidRPr="00B27419">
        <w:rPr>
          <w:rFonts w:cs="Times New Roman"/>
          <w:lang w:val="fr-CA"/>
        </w:rPr>
        <w:t xml:space="preserve"> </w:t>
      </w:r>
      <w:r w:rsidRPr="00B27419">
        <w:rPr>
          <w:rFonts w:cs="Times New Roman"/>
          <w:lang w:val="fr-CA"/>
        </w:rPr>
        <w:t>96</w:t>
      </w:r>
      <w:bookmarkEnd w:id="91"/>
      <w:bookmarkEnd w:id="92"/>
      <w:bookmarkEnd w:id="93"/>
    </w:p>
    <w:p w:rsidR="0039493A" w:rsidRPr="00B27419" w:rsidRDefault="0039493A" w:rsidP="00B27419">
      <w:pPr>
        <w:pStyle w:val="ParaNoNdepar-AltN"/>
        <w:rPr>
          <w:rFonts w:cs="Times New Roman"/>
          <w:lang w:val="fr-CA"/>
        </w:rPr>
      </w:pPr>
      <w:proofErr w:type="spellStart"/>
      <w:r w:rsidRPr="00B27419">
        <w:rPr>
          <w:rFonts w:cs="Times New Roman"/>
          <w:lang w:val="fr-CA"/>
        </w:rPr>
        <w:lastRenderedPageBreak/>
        <w:t>Tervita</w:t>
      </w:r>
      <w:proofErr w:type="spellEnd"/>
      <w:r w:rsidRPr="00B27419">
        <w:rPr>
          <w:rFonts w:cs="Times New Roman"/>
          <w:lang w:val="fr-CA"/>
        </w:rPr>
        <w:t xml:space="preserve"> soutient que la Cour d’appel fédérale a adopté une perspective excessivement subjective à l’égard de l’analyse de l’effet neutralisant qu’appelle l’art.</w:t>
      </w:r>
      <w:r w:rsidR="00E6271F" w:rsidRPr="00B27419">
        <w:rPr>
          <w:rFonts w:cs="Times New Roman"/>
          <w:lang w:val="fr-CA"/>
        </w:rPr>
        <w:t xml:space="preserve"> </w:t>
      </w:r>
      <w:r w:rsidRPr="00B27419">
        <w:rPr>
          <w:rFonts w:cs="Times New Roman"/>
          <w:lang w:val="fr-CA"/>
        </w:rPr>
        <w:t>96. Son argument repose sur l’omission par la commissaire de quantifier les effets anticoncurrentiels quantifiables, tout particulièrement la perte sèche, et soulève le fardeau que l’art.</w:t>
      </w:r>
      <w:r w:rsidR="00E6271F" w:rsidRPr="00B27419">
        <w:rPr>
          <w:rFonts w:cs="Times New Roman"/>
          <w:lang w:val="fr-CA"/>
        </w:rPr>
        <w:t xml:space="preserve"> </w:t>
      </w:r>
      <w:r w:rsidRPr="00B27419">
        <w:rPr>
          <w:rFonts w:cs="Times New Roman"/>
          <w:lang w:val="fr-CA"/>
        </w:rPr>
        <w:t xml:space="preserve">96 impose à la commissaire et les conséquences du défaut de s’en acquitter. Plus généralement, l’argument de </w:t>
      </w:r>
      <w:proofErr w:type="spellStart"/>
      <w:r w:rsidRPr="00B27419">
        <w:rPr>
          <w:rFonts w:cs="Times New Roman"/>
          <w:lang w:val="fr-CA"/>
        </w:rPr>
        <w:t>Tervita</w:t>
      </w:r>
      <w:proofErr w:type="spellEnd"/>
      <w:r w:rsidRPr="00B27419">
        <w:rPr>
          <w:rFonts w:cs="Times New Roman"/>
          <w:lang w:val="fr-CA"/>
        </w:rPr>
        <w:t xml:space="preserve"> nous invite à examiner la méthode de pondération globale qu’exige l’art.</w:t>
      </w:r>
      <w:r w:rsidR="00E6271F" w:rsidRPr="00B27419">
        <w:rPr>
          <w:rFonts w:cs="Times New Roman"/>
          <w:lang w:val="fr-CA"/>
        </w:rPr>
        <w:t xml:space="preserve"> </w:t>
      </w:r>
      <w:r w:rsidRPr="00B27419">
        <w:rPr>
          <w:rFonts w:cs="Times New Roman"/>
          <w:lang w:val="fr-CA"/>
        </w:rPr>
        <w:t>96.</w:t>
      </w:r>
    </w:p>
    <w:p w:rsidR="0039493A" w:rsidRPr="00B27419" w:rsidRDefault="0039493A" w:rsidP="00B27419">
      <w:pPr>
        <w:pStyle w:val="Title4LevelTitre4Niveau"/>
        <w:tabs>
          <w:tab w:val="clear" w:pos="6480"/>
        </w:tabs>
        <w:ind w:left="1080" w:hanging="540"/>
        <w:rPr>
          <w:rFonts w:cs="Times New Roman"/>
          <w:lang w:val="fr-CA"/>
        </w:rPr>
      </w:pPr>
      <w:bookmarkStart w:id="94" w:name="_Toc396299551"/>
      <w:bookmarkStart w:id="95" w:name="_Toc397586783"/>
      <w:bookmarkStart w:id="96" w:name="_Toc409593467"/>
      <w:r w:rsidRPr="00B27419">
        <w:rPr>
          <w:rFonts w:cs="Times New Roman"/>
          <w:lang w:val="fr-CA"/>
        </w:rPr>
        <w:t>Fardeau de la commissa</w:t>
      </w:r>
      <w:bookmarkEnd w:id="94"/>
      <w:bookmarkEnd w:id="95"/>
      <w:r w:rsidRPr="00B27419">
        <w:rPr>
          <w:rFonts w:cs="Times New Roman"/>
          <w:lang w:val="fr-CA"/>
        </w:rPr>
        <w:t>ire</w:t>
      </w:r>
      <w:bookmarkEnd w:id="96"/>
    </w:p>
    <w:p w:rsidR="0039493A" w:rsidRPr="00B27419" w:rsidRDefault="0039493A" w:rsidP="00B27419">
      <w:pPr>
        <w:pStyle w:val="ParaNoNdepar-AltN"/>
        <w:rPr>
          <w:rFonts w:cs="Times New Roman"/>
          <w:lang w:val="fr-CA"/>
        </w:rPr>
      </w:pPr>
      <w:r w:rsidRPr="00B27419">
        <w:rPr>
          <w:rFonts w:cs="Times New Roman"/>
          <w:lang w:val="fr-CA"/>
        </w:rPr>
        <w:t xml:space="preserve">Comme nous l’avons vu, la série </w:t>
      </w:r>
      <w:r w:rsidRPr="00B27419">
        <w:rPr>
          <w:rFonts w:cs="Times New Roman"/>
          <w:i/>
          <w:lang w:val="fr-CA"/>
        </w:rPr>
        <w:t>Supérieur Propane</w:t>
      </w:r>
      <w:r w:rsidRPr="00B27419">
        <w:rPr>
          <w:rFonts w:cs="Times New Roman"/>
          <w:lang w:val="fr-CA"/>
        </w:rPr>
        <w:t xml:space="preserve"> a établi que la commissaire a le fardeau, aux termes de l’art.</w:t>
      </w:r>
      <w:r w:rsidR="00E6271F" w:rsidRPr="00B27419">
        <w:rPr>
          <w:rFonts w:cs="Times New Roman"/>
          <w:lang w:val="fr-CA"/>
        </w:rPr>
        <w:t xml:space="preserve"> </w:t>
      </w:r>
      <w:r w:rsidRPr="00B27419">
        <w:rPr>
          <w:rFonts w:cs="Times New Roman"/>
          <w:lang w:val="fr-CA"/>
        </w:rPr>
        <w:t>96, de prouver l’existence d’effets anticoncurrentiels. En revanche, il incombe aux parties au fusionnement d’établir les autres éléments de la défense, y compris la valeur des gains en efficience et si ceux</w:t>
      </w:r>
      <w:r w:rsidR="00E6271F" w:rsidRPr="00B27419">
        <w:rPr>
          <w:rFonts w:cs="Times New Roman"/>
          <w:lang w:val="fr-CA"/>
        </w:rPr>
        <w:t>-</w:t>
      </w:r>
      <w:r w:rsidRPr="00B27419">
        <w:rPr>
          <w:rFonts w:cs="Times New Roman"/>
          <w:lang w:val="fr-CA"/>
        </w:rPr>
        <w:t xml:space="preserve">ci surpassent et neutralisent les effets anticoncurrentiels (voir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399 et 403;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II</w:t>
      </w:r>
      <w:r w:rsidRPr="00B27419">
        <w:rPr>
          <w:rFonts w:cs="Times New Roman"/>
          <w:lang w:val="fr-CA"/>
        </w:rPr>
        <w:t>, par.</w:t>
      </w:r>
      <w:r w:rsidR="00E6271F" w:rsidRPr="00B27419">
        <w:rPr>
          <w:rFonts w:cs="Times New Roman"/>
          <w:lang w:val="fr-CA"/>
        </w:rPr>
        <w:t xml:space="preserve"> </w:t>
      </w:r>
      <w:r w:rsidRPr="00B27419">
        <w:rPr>
          <w:rFonts w:cs="Times New Roman"/>
          <w:lang w:val="fr-CA"/>
        </w:rPr>
        <w:t>154</w:t>
      </w:r>
      <w:r w:rsidR="000C5B3A">
        <w:rPr>
          <w:rFonts w:cs="Times New Roman"/>
          <w:lang w:val="fr-CA"/>
        </w:rPr>
        <w:t>;</w:t>
      </w:r>
      <w:r w:rsidRPr="00B27419">
        <w:rPr>
          <w:rFonts w:cs="Times New Roman"/>
          <w:lang w:val="fr-CA"/>
        </w:rPr>
        <w:t xml:space="preserve"> et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64). Les parties ne contestent pas cette répartition du fardeau de la preuve.</w:t>
      </w:r>
    </w:p>
    <w:p w:rsidR="0039493A" w:rsidRPr="00B27419" w:rsidRDefault="007F32FF" w:rsidP="00B27419">
      <w:pPr>
        <w:pStyle w:val="Title5LevelTitre5Niveau"/>
        <w:numPr>
          <w:ilvl w:val="0"/>
          <w:numId w:val="0"/>
        </w:numPr>
        <w:tabs>
          <w:tab w:val="clear" w:pos="1620"/>
          <w:tab w:val="left" w:pos="1800"/>
        </w:tabs>
        <w:ind w:left="6480" w:hanging="5310"/>
        <w:rPr>
          <w:lang w:val="fr-CA"/>
        </w:rPr>
      </w:pPr>
      <w:bookmarkStart w:id="97" w:name="_Toc396299552"/>
      <w:bookmarkStart w:id="98" w:name="_Toc397586784"/>
      <w:bookmarkStart w:id="99" w:name="_Toc409593468"/>
      <w:r w:rsidRPr="00B27419">
        <w:rPr>
          <w:u w:val="none"/>
          <w:lang w:val="fr-CA"/>
        </w:rPr>
        <w:t>(i)</w:t>
      </w:r>
      <w:r w:rsidRPr="00B27419">
        <w:rPr>
          <w:u w:val="none"/>
          <w:lang w:val="fr-CA"/>
        </w:rPr>
        <w:tab/>
      </w:r>
      <w:r w:rsidR="0039493A" w:rsidRPr="00B27419">
        <w:rPr>
          <w:lang w:val="fr-CA"/>
        </w:rPr>
        <w:t>Teneur du fardeau de la commissaire</w:t>
      </w:r>
      <w:bookmarkEnd w:id="97"/>
      <w:bookmarkEnd w:id="98"/>
      <w:bookmarkEnd w:id="99"/>
    </w:p>
    <w:p w:rsidR="0039493A" w:rsidRPr="00B27419" w:rsidRDefault="0039493A" w:rsidP="00B27419">
      <w:pPr>
        <w:pStyle w:val="ParaNoNdepar-AltN"/>
        <w:rPr>
          <w:rFonts w:cs="Times New Roman"/>
          <w:lang w:val="fr-CA"/>
        </w:rPr>
      </w:pPr>
      <w:proofErr w:type="spellStart"/>
      <w:r w:rsidRPr="00B27419">
        <w:rPr>
          <w:rFonts w:cs="Times New Roman"/>
          <w:lang w:val="fr-CA"/>
        </w:rPr>
        <w:t>Tervita</w:t>
      </w:r>
      <w:proofErr w:type="spellEnd"/>
      <w:r w:rsidRPr="00B27419">
        <w:rPr>
          <w:rFonts w:cs="Times New Roman"/>
          <w:lang w:val="fr-CA"/>
        </w:rPr>
        <w:t xml:space="preserve"> soutient qu’il incombe à la commissaire de quantifier tous les effets anticoncurrentiels qui peuvent l’être. Or, dans la présente affaire, la commissaire ne s’est pas acquittée de ce fardeau.</w:t>
      </w:r>
    </w:p>
    <w:p w:rsidR="0039493A" w:rsidRPr="00B27419" w:rsidRDefault="0039493A" w:rsidP="00B27419">
      <w:pPr>
        <w:pStyle w:val="ParaNoNdepar-AltN"/>
        <w:rPr>
          <w:rFonts w:cs="Times New Roman"/>
          <w:lang w:val="fr-CA"/>
        </w:rPr>
      </w:pPr>
      <w:r w:rsidRPr="00B27419">
        <w:rPr>
          <w:rFonts w:cs="Times New Roman"/>
          <w:lang w:val="fr-CA"/>
        </w:rPr>
        <w:lastRenderedPageBreak/>
        <w:t>La commissaire fait valoir que la quantification n’est pas une condition préalable en droit à l’examen des effets anticoncurrentiels (</w:t>
      </w:r>
      <w:proofErr w:type="gramStart"/>
      <w:r w:rsidRPr="00B27419">
        <w:rPr>
          <w:rFonts w:cs="Times New Roman"/>
          <w:lang w:val="fr-CA"/>
        </w:rPr>
        <w:t>m.i.,</w:t>
      </w:r>
      <w:proofErr w:type="gramEnd"/>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84 et 88). Au contraire, elle est tenue en droit de quantifier les effets anticoncurrentiels quantifiables qui serviront de fondement à la décision. Dans les cas où les effets peuvent être mesurés, ils doivent être estimés. Seuls les effets ne pouvant être estimés sur le plan quantitatif seront pris en considération sur le plan qualitatif. L’absence de mesure des effets quantifiables ne saurait se traduire par l’attribution d’une valeur qualitative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35). Cette méthode réduit au minimum le jugement subjectif nécessaire dans l’analyse et permet au Tribunal d’effectuer l’évaluation la plus objective possible dans les circonstances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38). Une approche selon laquelle la commissaire pourrait s’acquitter de son obligation sans avoir donné au moins une estimation des effets anticoncurrentiels quantifiables ne permettrait pas aux parties au fusionnement de connaître la preuve qui leur est opposée.</w:t>
      </w:r>
    </w:p>
    <w:p w:rsidR="0039493A" w:rsidRPr="00B27419" w:rsidRDefault="0039493A" w:rsidP="00B27419">
      <w:pPr>
        <w:pStyle w:val="ParaNoNdepar-AltN"/>
        <w:rPr>
          <w:rFonts w:cs="Times New Roman"/>
          <w:lang w:val="fr-CA"/>
        </w:rPr>
      </w:pPr>
      <w:r w:rsidRPr="00B27419">
        <w:rPr>
          <w:rFonts w:cs="Times New Roman"/>
          <w:lang w:val="fr-CA"/>
        </w:rPr>
        <w:t>Le fardeau de la commissaire consiste à quantifier au moyen d’estimations tous les effets anticoncurrentiels quantifiables. Les estimations sont acceptables, car l’analyse est prospective et s’intéresse aux effets anticoncurrentiels qui résulteront ou résulteront vraisemblablement du fusionnement. En outre, le calcul des effets anticoncurrentiels qu’exige l’art.</w:t>
      </w:r>
      <w:r w:rsidR="00E6271F" w:rsidRPr="00B27419">
        <w:rPr>
          <w:rFonts w:cs="Times New Roman"/>
          <w:lang w:val="fr-CA"/>
        </w:rPr>
        <w:t xml:space="preserve"> </w:t>
      </w:r>
      <w:r w:rsidRPr="00B27419">
        <w:rPr>
          <w:rFonts w:cs="Times New Roman"/>
          <w:lang w:val="fr-CA"/>
        </w:rPr>
        <w:t xml:space="preserve">96 n’a pas la précision avec laquelle on peut examiner un fait survenu. Toutefois, pour s’acquitter de son fardeau, la commissaire doit fonder ses estimations sur une preuve qui peut être attaquée et soupesée. Les effets anticoncurrentiels qualitatifs, dont la diminution du service ou de la qualité, ne sont appréciés que sur un fondement subjectif, car une telle analyse fait </w:t>
      </w:r>
      <w:r w:rsidRPr="00B27419">
        <w:rPr>
          <w:rFonts w:cs="Times New Roman"/>
          <w:lang w:val="fr-CA"/>
        </w:rPr>
        <w:lastRenderedPageBreak/>
        <w:t xml:space="preserve">appel à l’examen de considérations qui ne peuvent être quantifiées parce qu’elles n’ont aucune commune unité de mesure (à savoir elles sont </w:t>
      </w:r>
      <w:r w:rsidR="00B27419">
        <w:rPr>
          <w:rFonts w:cs="Times New Roman"/>
          <w:lang w:val="fr-CA"/>
        </w:rPr>
        <w:t>« </w:t>
      </w:r>
      <w:r w:rsidRPr="00B27419">
        <w:rPr>
          <w:rFonts w:cs="Times New Roman"/>
          <w:lang w:val="fr-CA"/>
        </w:rPr>
        <w:t>incommensurables</w:t>
      </w:r>
      <w:r w:rsidR="00B27419">
        <w:rPr>
          <w:rFonts w:cs="Times New Roman"/>
          <w:lang w:val="fr-CA"/>
        </w:rPr>
        <w:t> »</w:t>
      </w:r>
      <w:r w:rsidRPr="00B27419">
        <w:rPr>
          <w:rFonts w:cs="Times New Roman"/>
          <w:lang w:val="fr-CA"/>
        </w:rPr>
        <w:t>). En raison de l’incertitude inhérente aux prédictions économiques, l’analyse doit être aussi rigoureuse que possible du point de vue analytique afin de permettre au Tribunal de tirer une conclusion prospective selon la prépondérance des probabilités.</w:t>
      </w:r>
    </w:p>
    <w:p w:rsidR="0039493A" w:rsidRPr="00B27419" w:rsidRDefault="0039493A" w:rsidP="00B27419">
      <w:pPr>
        <w:pStyle w:val="ParaNoNdepar-AltN"/>
        <w:rPr>
          <w:rFonts w:cs="Times New Roman"/>
          <w:lang w:val="fr-CA"/>
        </w:rPr>
      </w:pPr>
      <w:r w:rsidRPr="00B27419">
        <w:rPr>
          <w:rFonts w:cs="Times New Roman"/>
          <w:lang w:val="fr-CA"/>
        </w:rPr>
        <w:t>Dans le présent pourvoi, la commissaire n’a pas quantifié les effets anticoncurrentiels quantifiables et, partant, elle ne s’est pas acquittée du fardeau que lui impose l’art.</w:t>
      </w:r>
      <w:r w:rsidR="00E6271F" w:rsidRPr="00B27419">
        <w:rPr>
          <w:rFonts w:cs="Times New Roman"/>
          <w:lang w:val="fr-CA"/>
        </w:rPr>
        <w:t xml:space="preserve"> </w:t>
      </w:r>
      <w:r w:rsidRPr="00B27419">
        <w:rPr>
          <w:rFonts w:cs="Times New Roman"/>
          <w:lang w:val="fr-CA"/>
        </w:rPr>
        <w:t>96.</w:t>
      </w:r>
    </w:p>
    <w:p w:rsidR="0039493A" w:rsidRPr="00B27419" w:rsidRDefault="002B345C" w:rsidP="00B27419">
      <w:pPr>
        <w:pStyle w:val="Title5LevelTitre5Niveau"/>
        <w:numPr>
          <w:ilvl w:val="0"/>
          <w:numId w:val="0"/>
        </w:numPr>
        <w:tabs>
          <w:tab w:val="clear" w:pos="1620"/>
          <w:tab w:val="left" w:pos="1800"/>
        </w:tabs>
        <w:ind w:left="1800" w:hanging="630"/>
        <w:rPr>
          <w:rFonts w:cs="Times New Roman"/>
          <w:lang w:val="fr-CA"/>
        </w:rPr>
      </w:pPr>
      <w:bookmarkStart w:id="100" w:name="_Toc396299553"/>
      <w:bookmarkStart w:id="101" w:name="_Toc397586785"/>
      <w:bookmarkStart w:id="102" w:name="_Toc409593469"/>
      <w:r w:rsidRPr="00B27419">
        <w:rPr>
          <w:rFonts w:cs="Times New Roman"/>
          <w:u w:val="none"/>
          <w:lang w:val="fr-CA"/>
        </w:rPr>
        <w:t>(ii)</w:t>
      </w:r>
      <w:r w:rsidRPr="00B27419">
        <w:rPr>
          <w:rFonts w:cs="Times New Roman"/>
          <w:u w:val="none"/>
          <w:lang w:val="fr-CA"/>
        </w:rPr>
        <w:tab/>
      </w:r>
      <w:r w:rsidR="0039493A" w:rsidRPr="00B27419">
        <w:rPr>
          <w:rFonts w:cs="Times New Roman"/>
          <w:lang w:val="fr-CA"/>
        </w:rPr>
        <w:t xml:space="preserve">Quelles sont </w:t>
      </w:r>
      <w:r w:rsidR="0039493A" w:rsidRPr="00B27419">
        <w:rPr>
          <w:lang w:val="fr-CA"/>
        </w:rPr>
        <w:t>les</w:t>
      </w:r>
      <w:r w:rsidR="0039493A" w:rsidRPr="00B27419">
        <w:rPr>
          <w:rFonts w:cs="Times New Roman"/>
          <w:lang w:val="fr-CA"/>
        </w:rPr>
        <w:t xml:space="preserve"> conséquences de l’omission de s’acquitter du fardeau?</w:t>
      </w:r>
      <w:bookmarkEnd w:id="100"/>
      <w:bookmarkEnd w:id="101"/>
      <w:bookmarkEnd w:id="102"/>
    </w:p>
    <w:p w:rsidR="0039493A" w:rsidRPr="00B27419" w:rsidRDefault="0039493A" w:rsidP="00B27419">
      <w:pPr>
        <w:pStyle w:val="ParaNoNdepar-AltN"/>
        <w:rPr>
          <w:rFonts w:cs="Times New Roman"/>
          <w:lang w:val="fr-CA"/>
        </w:rPr>
      </w:pPr>
      <w:r w:rsidRPr="00B27419">
        <w:rPr>
          <w:rFonts w:cs="Times New Roman"/>
          <w:lang w:val="fr-CA"/>
        </w:rPr>
        <w:t xml:space="preserve">La question touche aux conséquences juridiques de l’omission par la commissaire de quantifier les effets anticoncurrentiels quantifiables. La Cour d’appel fédérale a reconnu qu’un </w:t>
      </w:r>
      <w:r w:rsidR="00B27419">
        <w:rPr>
          <w:rFonts w:cs="Times New Roman"/>
          <w:lang w:val="fr-CA"/>
        </w:rPr>
        <w:t>« </w:t>
      </w:r>
      <w:r w:rsidRPr="00B27419">
        <w:rPr>
          <w:rFonts w:cs="Times New Roman"/>
          <w:lang w:val="fr-CA"/>
        </w:rPr>
        <w:t>effet quantitatif qui n’a pas été en réalité quantifié ne devrait pas être considéré comme un effet qualitatif</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002B345C" w:rsidRPr="00B27419">
        <w:rPr>
          <w:rFonts w:cs="Times New Roman"/>
          <w:lang w:val="fr-CA"/>
        </w:rPr>
        <w:t>158</w:t>
      </w:r>
      <w:r w:rsidRPr="00B27419">
        <w:rPr>
          <w:rFonts w:cs="Times New Roman"/>
          <w:lang w:val="fr-CA"/>
        </w:rPr>
        <w:t xml:space="preserve">), mais elle a ensuite conclu qu’il y a lieu de donner une valeur </w:t>
      </w:r>
      <w:r w:rsidR="00B27419">
        <w:rPr>
          <w:rFonts w:cs="Times New Roman"/>
          <w:lang w:val="fr-CA"/>
        </w:rPr>
        <w:t>« </w:t>
      </w:r>
      <w:r w:rsidRPr="00B27419">
        <w:rPr>
          <w:rFonts w:cs="Times New Roman"/>
          <w:lang w:val="fr-CA"/>
        </w:rPr>
        <w:t>indéterminée</w:t>
      </w:r>
      <w:r w:rsidR="00B27419">
        <w:rPr>
          <w:rFonts w:cs="Times New Roman"/>
          <w:lang w:val="fr-CA"/>
        </w:rPr>
        <w:t> »</w:t>
      </w:r>
      <w:r w:rsidRPr="00B27419">
        <w:rPr>
          <w:rFonts w:cs="Times New Roman"/>
          <w:lang w:val="fr-CA"/>
        </w:rPr>
        <w:t xml:space="preserve"> à la perte sèche non quantifiée (par.</w:t>
      </w:r>
      <w:r w:rsidR="00E6271F" w:rsidRPr="00B27419">
        <w:rPr>
          <w:rFonts w:cs="Times New Roman"/>
          <w:lang w:val="fr-CA"/>
        </w:rPr>
        <w:t xml:space="preserve"> </w:t>
      </w:r>
      <w:r w:rsidRPr="00B27419">
        <w:rPr>
          <w:rFonts w:cs="Times New Roman"/>
          <w:lang w:val="fr-CA"/>
        </w:rPr>
        <w:t xml:space="preserve">130). </w:t>
      </w:r>
    </w:p>
    <w:p w:rsidR="0039493A" w:rsidRPr="00B27419" w:rsidRDefault="0039493A" w:rsidP="00B27419">
      <w:pPr>
        <w:pStyle w:val="ParaNoNdepar-AltN"/>
        <w:rPr>
          <w:rFonts w:cs="Times New Roman"/>
          <w:lang w:val="fr-CA"/>
        </w:rPr>
      </w:pPr>
      <w:r w:rsidRPr="00B27419">
        <w:rPr>
          <w:rFonts w:cs="Times New Roman"/>
          <w:lang w:val="fr-CA"/>
        </w:rPr>
        <w:t xml:space="preserve">Je ne puis malheureusement me rallier à cette opinion. Comme nous l’avons vu, il incombe à la commissaire de quantifier tous les effets anticoncurrentiels quantifiables. Une omission à cet égard est une omission en droit, de sorte que les effets anticoncurrentiels quantifiables doivent alors être jugés nuls. En termes très </w:t>
      </w:r>
      <w:r w:rsidRPr="00B27419">
        <w:rPr>
          <w:rFonts w:cs="Times New Roman"/>
          <w:lang w:val="fr-CA"/>
        </w:rPr>
        <w:lastRenderedPageBreak/>
        <w:t xml:space="preserve">simples, dans les cas où ce fardeau n’est pas acquitté, aucun effet anticoncurrentiel quantifiable n’est prouvé. </w:t>
      </w:r>
    </w:p>
    <w:p w:rsidR="0039493A" w:rsidRPr="00B27419" w:rsidRDefault="0039493A" w:rsidP="00B27419">
      <w:pPr>
        <w:pStyle w:val="ParaNoNdepar-AltN"/>
        <w:rPr>
          <w:rFonts w:cs="Times New Roman"/>
          <w:lang w:val="fr-CA"/>
        </w:rPr>
      </w:pPr>
      <w:r w:rsidRPr="00B27419">
        <w:rPr>
          <w:rFonts w:cs="Times New Roman"/>
          <w:lang w:val="fr-CA"/>
        </w:rPr>
        <w:t xml:space="preserve">Ainsi que </w:t>
      </w:r>
      <w:proofErr w:type="spellStart"/>
      <w:r w:rsidRPr="00B27419">
        <w:rPr>
          <w:rFonts w:cs="Times New Roman"/>
          <w:lang w:val="fr-CA"/>
        </w:rPr>
        <w:t>Tervita</w:t>
      </w:r>
      <w:proofErr w:type="spellEnd"/>
      <w:r w:rsidRPr="00B27419">
        <w:rPr>
          <w:rFonts w:cs="Times New Roman"/>
          <w:lang w:val="fr-CA"/>
        </w:rPr>
        <w:t xml:space="preserve"> le fait valoir, une telle démarche est compatible avec celle qui vaut dans une instance civile où une partie ne s’est pas acquittée du fardeau de preuve qui lui incombe au chapitre des pertes (voir S.</w:t>
      </w:r>
      <w:r w:rsidR="00E6271F" w:rsidRPr="00B27419">
        <w:rPr>
          <w:rFonts w:cs="Times New Roman"/>
          <w:lang w:val="fr-CA"/>
        </w:rPr>
        <w:t xml:space="preserve"> </w:t>
      </w:r>
      <w:r w:rsidRPr="00B27419">
        <w:rPr>
          <w:rFonts w:cs="Times New Roman"/>
          <w:lang w:val="fr-CA"/>
        </w:rPr>
        <w:t>M.</w:t>
      </w:r>
      <w:r w:rsidR="00E6271F" w:rsidRPr="00B27419">
        <w:rPr>
          <w:rFonts w:cs="Times New Roman"/>
          <w:lang w:val="fr-CA"/>
        </w:rPr>
        <w:t xml:space="preserve"> </w:t>
      </w:r>
      <w:proofErr w:type="spellStart"/>
      <w:r w:rsidRPr="00B27419">
        <w:rPr>
          <w:rFonts w:cs="Times New Roman"/>
          <w:lang w:val="fr-CA"/>
        </w:rPr>
        <w:t>Waddams</w:t>
      </w:r>
      <w:proofErr w:type="spellEnd"/>
      <w:r w:rsidRPr="00B27419">
        <w:rPr>
          <w:rFonts w:cs="Times New Roman"/>
          <w:lang w:val="fr-CA"/>
        </w:rPr>
        <w:t xml:space="preserve">, </w:t>
      </w:r>
      <w:r w:rsidRPr="00B27419">
        <w:rPr>
          <w:rFonts w:cs="Times New Roman"/>
          <w:i/>
          <w:lang w:val="fr-CA"/>
        </w:rPr>
        <w:t>The Law of Damages</w:t>
      </w:r>
      <w:r w:rsidRPr="00B27419">
        <w:rPr>
          <w:rFonts w:cs="Times New Roman"/>
          <w:lang w:val="fr-CA"/>
        </w:rPr>
        <w:t xml:space="preserve"> (5</w:t>
      </w:r>
      <w:r w:rsidRPr="00B27419">
        <w:rPr>
          <w:rFonts w:cs="Times New Roman"/>
          <w:vertAlign w:val="superscript"/>
          <w:lang w:val="fr-CA"/>
        </w:rPr>
        <w:t>e</w:t>
      </w:r>
      <w:r w:rsidR="00E6271F" w:rsidRPr="00B27419">
        <w:rPr>
          <w:rFonts w:cs="Times New Roman"/>
          <w:lang w:val="fr-CA"/>
        </w:rPr>
        <w:t xml:space="preserve"> </w:t>
      </w:r>
      <w:r w:rsidRPr="00B27419">
        <w:rPr>
          <w:rFonts w:cs="Times New Roman"/>
          <w:lang w:val="fr-CA"/>
        </w:rPr>
        <w:t>éd. 2012), par.</w:t>
      </w:r>
      <w:r w:rsidR="00E6271F" w:rsidRPr="00B27419">
        <w:rPr>
          <w:rFonts w:cs="Times New Roman"/>
          <w:lang w:val="fr-CA"/>
        </w:rPr>
        <w:t xml:space="preserve"> </w:t>
      </w:r>
      <w:r w:rsidRPr="00B27419">
        <w:rPr>
          <w:rFonts w:cs="Times New Roman"/>
          <w:lang w:val="fr-CA"/>
        </w:rPr>
        <w:t xml:space="preserve">10.10 à 10.30). De plus, indiquer des effets nuls dans le cas où la commissaire ne s’est pas acquittée de son fardeau en droit vaut, à l’égard de l’exercice de pondération, une démarche qui est objectivement raisonnable. En concluant à une valeur indéterminée, la Cour d’appel fédérale a permis qu’un jugement subjectif dicte l’analyse. Les effets indéterminés ont été comparés aux gains en efficience liés à la baisse des coûts indirects qui ont été établis, et que la cour a qualifiés de </w:t>
      </w:r>
      <w:r w:rsidR="00B27419">
        <w:rPr>
          <w:rFonts w:cs="Times New Roman"/>
          <w:lang w:val="fr-CA"/>
        </w:rPr>
        <w:t>« </w:t>
      </w:r>
      <w:r w:rsidRPr="00B27419">
        <w:rPr>
          <w:rFonts w:cs="Times New Roman"/>
          <w:lang w:val="fr-CA"/>
        </w:rPr>
        <w:t>secondaires</w:t>
      </w:r>
      <w:r w:rsidR="00B27419">
        <w:rPr>
          <w:rFonts w:cs="Times New Roman"/>
          <w:lang w:val="fr-CA"/>
        </w:rPr>
        <w:t> »</w:t>
      </w:r>
      <w:r w:rsidRPr="00B27419">
        <w:rPr>
          <w:rFonts w:cs="Times New Roman"/>
          <w:lang w:val="fr-CA"/>
        </w:rPr>
        <w:t xml:space="preserve"> et </w:t>
      </w:r>
      <w:r w:rsidR="00B27419">
        <w:rPr>
          <w:rFonts w:cs="Times New Roman"/>
          <w:lang w:val="fr-CA"/>
        </w:rPr>
        <w:t>« </w:t>
      </w:r>
      <w:r w:rsidRPr="00B27419">
        <w:rPr>
          <w:rFonts w:cs="Times New Roman"/>
          <w:lang w:val="fr-CA"/>
        </w:rPr>
        <w:t>négligeables</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174). Or, comment la Cour d’appel fédérale — ou n’importe quelle cour — pourrait</w:t>
      </w:r>
      <w:r w:rsidR="00E6271F" w:rsidRPr="00B27419">
        <w:rPr>
          <w:rFonts w:cs="Times New Roman"/>
          <w:lang w:val="fr-CA"/>
        </w:rPr>
        <w:t>-</w:t>
      </w:r>
      <w:r w:rsidRPr="00B27419">
        <w:rPr>
          <w:rFonts w:cs="Times New Roman"/>
          <w:lang w:val="fr-CA"/>
        </w:rPr>
        <w:t xml:space="preserve">elle soupeser des effets indéterminés? </w:t>
      </w:r>
    </w:p>
    <w:p w:rsidR="0039493A" w:rsidRPr="00B27419" w:rsidRDefault="0039493A" w:rsidP="00B27419">
      <w:pPr>
        <w:pStyle w:val="ParaNoNdepar-AltN"/>
        <w:rPr>
          <w:rFonts w:cs="Times New Roman"/>
          <w:lang w:val="fr-CA"/>
        </w:rPr>
      </w:pPr>
      <w:r w:rsidRPr="00B27419">
        <w:rPr>
          <w:rFonts w:cs="Times New Roman"/>
          <w:lang w:val="fr-CA"/>
        </w:rPr>
        <w:t xml:space="preserve">La jurisprudence a, dans tous les cas, reconnu l’importance d’une démarche objective dans la pondération (voir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Pr="00B27419">
        <w:rPr>
          <w:rFonts w:cs="Times New Roman"/>
          <w:lang w:val="fr-CA"/>
        </w:rPr>
        <w:t>, par.</w:t>
      </w:r>
      <w:r w:rsidR="00E6271F" w:rsidRPr="00B27419">
        <w:rPr>
          <w:rFonts w:cs="Times New Roman"/>
          <w:lang w:val="fr-CA"/>
        </w:rPr>
        <w:t xml:space="preserve"> </w:t>
      </w:r>
      <w:r w:rsidRPr="00B27419">
        <w:rPr>
          <w:rFonts w:cs="Times New Roman"/>
          <w:lang w:val="fr-CA"/>
        </w:rPr>
        <w:t>38).  Ainsi que la Cour d’appel fédérale l’a reconnu dans la présente affaire</w:t>
      </w:r>
      <w:r w:rsidR="00E6271F" w:rsidRPr="00B27419">
        <w:rPr>
          <w:rFonts w:cs="Times New Roman"/>
          <w:lang w:val="fr-CA"/>
        </w:rPr>
        <w:t> :</w:t>
      </w:r>
    </w:p>
    <w:p w:rsidR="0039493A" w:rsidRPr="00B27419" w:rsidRDefault="0039493A" w:rsidP="00B27419">
      <w:pPr>
        <w:pStyle w:val="Citation-AltC"/>
        <w:ind w:hanging="1166"/>
        <w:contextualSpacing w:val="0"/>
        <w:rPr>
          <w:lang w:val="fr-CA"/>
        </w:rPr>
      </w:pPr>
      <w:r w:rsidRPr="00B27419">
        <w:rPr>
          <w:lang w:val="fr-CA"/>
        </w:rPr>
        <w:tab/>
        <w:t xml:space="preserve">L’appréciation objective favorise davantage la prévisibilité lorsqu’il s’agit d’appliquer la </w:t>
      </w:r>
      <w:r w:rsidRPr="00B27419">
        <w:rPr>
          <w:i/>
          <w:iCs/>
          <w:lang w:val="fr-CA"/>
        </w:rPr>
        <w:t>Loi sur la concurrence</w:t>
      </w:r>
      <w:r w:rsidRPr="00B27419">
        <w:rPr>
          <w:lang w:val="fr-CA"/>
        </w:rPr>
        <w:t xml:space="preserve"> et d’éviter des décisions arbitraires. La prévisibilité revêt une importance particulière dans le cas de l’examen des fusionnements, étant donné que la plupart des fusionnements ne sont examinés que par le commissaire et qu’ils sont rarement soumis à l’examen du Tribunal. Une méthodologie qui favorise une appréciation objective dans tous les cas possibles permet aux parties à une opération de fusionnement et au commissaire de prédire plus </w:t>
      </w:r>
      <w:r w:rsidRPr="00B27419">
        <w:rPr>
          <w:lang w:val="fr-CA"/>
        </w:rPr>
        <w:lastRenderedPageBreak/>
        <w:t>aisément les répercussions d’un fusionnement, en plus de dissuader les jugements arbitraires et de diminuer l’incertitude générale dans le monde canadien des affaires. [</w:t>
      </w:r>
      <w:proofErr w:type="gramStart"/>
      <w:r w:rsidRPr="00B27419">
        <w:rPr>
          <w:lang w:val="fr-CA"/>
        </w:rPr>
        <w:t>par</w:t>
      </w:r>
      <w:proofErr w:type="gramEnd"/>
      <w:r w:rsidRPr="00B27419">
        <w:rPr>
          <w:lang w:val="fr-CA"/>
        </w:rPr>
        <w:t>.</w:t>
      </w:r>
      <w:r w:rsidR="00E6271F" w:rsidRPr="00B27419">
        <w:rPr>
          <w:lang w:val="fr-CA"/>
        </w:rPr>
        <w:t xml:space="preserve"> </w:t>
      </w:r>
      <w:r w:rsidRPr="00B27419">
        <w:rPr>
          <w:lang w:val="fr-CA"/>
        </w:rPr>
        <w:t>152]</w:t>
      </w:r>
    </w:p>
    <w:p w:rsidR="0039493A" w:rsidRPr="00B27419" w:rsidRDefault="0039493A" w:rsidP="00B27419">
      <w:pPr>
        <w:pStyle w:val="ContinueParaSuitedupar-AltP"/>
        <w:rPr>
          <w:rFonts w:cs="Times New Roman"/>
          <w:lang w:val="fr-CA"/>
        </w:rPr>
      </w:pPr>
      <w:r w:rsidRPr="00B27419">
        <w:rPr>
          <w:rFonts w:cs="Times New Roman"/>
          <w:lang w:val="fr-CA"/>
        </w:rPr>
        <w:t xml:space="preserve">Je souscris à ces motifs, car ils favorisent une démarche objective. Si la Cour d’appel fédérale a reconnu l’importance d’une analyse objective, en donnant une valeur </w:t>
      </w:r>
      <w:r w:rsidR="00B27419">
        <w:rPr>
          <w:rFonts w:cs="Times New Roman"/>
          <w:lang w:val="fr-CA"/>
        </w:rPr>
        <w:t>« </w:t>
      </w:r>
      <w:r w:rsidRPr="00B27419">
        <w:rPr>
          <w:rFonts w:cs="Times New Roman"/>
          <w:lang w:val="fr-CA"/>
        </w:rPr>
        <w:t>indéterminée</w:t>
      </w:r>
      <w:r w:rsidR="00B27419">
        <w:rPr>
          <w:rFonts w:cs="Times New Roman"/>
          <w:lang w:val="fr-CA"/>
        </w:rPr>
        <w:t> »</w:t>
      </w:r>
      <w:r w:rsidRPr="00B27419">
        <w:rPr>
          <w:rFonts w:cs="Times New Roman"/>
          <w:lang w:val="fr-CA"/>
        </w:rPr>
        <w:t xml:space="preserve"> aux effets quantifiables non quantifiés, elle n’a pas respecté la norme d’objectivité applicable. </w:t>
      </w:r>
    </w:p>
    <w:p w:rsidR="0039493A" w:rsidRPr="00B27419" w:rsidRDefault="0039493A" w:rsidP="00B27419">
      <w:pPr>
        <w:pStyle w:val="ParaNoNdepar-AltN"/>
        <w:rPr>
          <w:rFonts w:cs="Times New Roman"/>
          <w:lang w:val="fr-CA"/>
        </w:rPr>
      </w:pPr>
      <w:r w:rsidRPr="00B27419">
        <w:rPr>
          <w:rFonts w:cs="Times New Roman"/>
          <w:lang w:val="fr-CA"/>
        </w:rPr>
        <w:t xml:space="preserve">La démarche de la Cour d’appel fédérale, qui a attribué une valeur </w:t>
      </w:r>
      <w:r w:rsidR="00B27419">
        <w:rPr>
          <w:rFonts w:cs="Times New Roman"/>
          <w:lang w:val="fr-CA"/>
        </w:rPr>
        <w:t>« </w:t>
      </w:r>
      <w:r w:rsidRPr="00B27419">
        <w:rPr>
          <w:rFonts w:cs="Times New Roman"/>
          <w:lang w:val="fr-CA"/>
        </w:rPr>
        <w:t>indéterminée</w:t>
      </w:r>
      <w:r w:rsidR="00B27419">
        <w:rPr>
          <w:rFonts w:cs="Times New Roman"/>
          <w:lang w:val="fr-CA"/>
        </w:rPr>
        <w:t> »</w:t>
      </w:r>
      <w:r w:rsidRPr="00B27419">
        <w:rPr>
          <w:rFonts w:cs="Times New Roman"/>
          <w:lang w:val="fr-CA"/>
        </w:rPr>
        <w:t xml:space="preserve">, soulève aussi des questions d’équité à l’égard des parties au fusionnement. La cour a reconnu que, pour </w:t>
      </w:r>
      <w:r w:rsidR="00B27419">
        <w:rPr>
          <w:rFonts w:cs="Times New Roman"/>
          <w:lang w:val="fr-CA"/>
        </w:rPr>
        <w:t>« </w:t>
      </w:r>
      <w:r w:rsidRPr="00B27419">
        <w:rPr>
          <w:rFonts w:cs="Times New Roman"/>
          <w:lang w:val="fr-CA"/>
        </w:rPr>
        <w:t>bien interpréter l’article</w:t>
      </w:r>
      <w:r w:rsidR="00E6271F" w:rsidRPr="00B27419">
        <w:rPr>
          <w:rFonts w:cs="Times New Roman"/>
          <w:lang w:val="fr-CA"/>
        </w:rPr>
        <w:t xml:space="preserve"> </w:t>
      </w:r>
      <w:r w:rsidRPr="00B27419">
        <w:rPr>
          <w:rFonts w:cs="Times New Roman"/>
          <w:lang w:val="fr-CA"/>
        </w:rPr>
        <w:t xml:space="preserve">96 de la </w:t>
      </w:r>
      <w:r w:rsidRPr="00B27419">
        <w:rPr>
          <w:rFonts w:cs="Times New Roman"/>
          <w:i/>
          <w:iCs/>
          <w:lang w:val="fr-CA"/>
        </w:rPr>
        <w:t>Loi sur la concurrence</w:t>
      </w:r>
      <w:r w:rsidRPr="00B27419">
        <w:rPr>
          <w:rFonts w:cs="Times New Roman"/>
          <w:lang w:val="fr-CA"/>
        </w:rPr>
        <w:t xml:space="preserve">, il faut que </w:t>
      </w:r>
      <w:r w:rsidR="00214F4A">
        <w:rPr>
          <w:rFonts w:cs="Times New Roman"/>
          <w:lang w:val="fr-CA"/>
        </w:rPr>
        <w:t>[</w:t>
      </w:r>
      <w:r w:rsidR="000C5B3A">
        <w:rPr>
          <w:rFonts w:cs="Times New Roman"/>
          <w:lang w:val="fr-CA"/>
        </w:rPr>
        <w:t>les parties au fusionnement</w:t>
      </w:r>
      <w:r w:rsidR="00214F4A">
        <w:rPr>
          <w:rFonts w:cs="Times New Roman"/>
          <w:lang w:val="fr-CA"/>
        </w:rPr>
        <w:t>]</w:t>
      </w:r>
      <w:r w:rsidR="000C5B3A">
        <w:rPr>
          <w:rFonts w:cs="Times New Roman"/>
          <w:lang w:val="fr-CA"/>
        </w:rPr>
        <w:t xml:space="preserve"> </w:t>
      </w:r>
      <w:r w:rsidRPr="00B27419">
        <w:rPr>
          <w:rFonts w:cs="Times New Roman"/>
          <w:lang w:val="fr-CA"/>
        </w:rPr>
        <w:t>démontre</w:t>
      </w:r>
      <w:r w:rsidR="000C5B3A">
        <w:rPr>
          <w:rFonts w:cs="Times New Roman"/>
          <w:lang w:val="fr-CA"/>
        </w:rPr>
        <w:t>[nt]</w:t>
      </w:r>
      <w:r w:rsidRPr="00B27419">
        <w:rPr>
          <w:rFonts w:cs="Times New Roman"/>
          <w:lang w:val="fr-CA"/>
        </w:rPr>
        <w:t>, selon la prépondérance des probabilités, que les gains en efficience neutralisent les effets anticoncurrentiels</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167). En accordant une valeur </w:t>
      </w:r>
      <w:r w:rsidR="00B27419">
        <w:rPr>
          <w:rFonts w:cs="Times New Roman"/>
          <w:lang w:val="fr-CA"/>
        </w:rPr>
        <w:t>« </w:t>
      </w:r>
      <w:r w:rsidRPr="00B27419">
        <w:rPr>
          <w:rFonts w:cs="Times New Roman"/>
          <w:lang w:val="fr-CA"/>
        </w:rPr>
        <w:t>indéterminée</w:t>
      </w:r>
      <w:r w:rsidR="00B27419">
        <w:rPr>
          <w:rFonts w:cs="Times New Roman"/>
          <w:lang w:val="fr-CA"/>
        </w:rPr>
        <w:t> »</w:t>
      </w:r>
      <w:r w:rsidRPr="00B27419">
        <w:rPr>
          <w:rFonts w:cs="Times New Roman"/>
          <w:lang w:val="fr-CA"/>
        </w:rPr>
        <w:t xml:space="preserve"> à des effets quantifiables, mais non quantifiés, on met les parties au fusionnement dans une situation insoutenable</w:t>
      </w:r>
      <w:r w:rsidR="00E6271F" w:rsidRPr="00B27419">
        <w:rPr>
          <w:rFonts w:cs="Times New Roman"/>
          <w:lang w:val="fr-CA"/>
        </w:rPr>
        <w:t> :</w:t>
      </w:r>
      <w:r w:rsidRPr="00B27419">
        <w:rPr>
          <w:rFonts w:cs="Times New Roman"/>
          <w:lang w:val="fr-CA"/>
        </w:rPr>
        <w:t xml:space="preserve"> démontrer que les gains en efficience surpassent et neutralisent une somme indéterminée. Ainsi, prouver les autres éléments de la défense selon la prépondérance des probabilités devient un exercice inéquitable, car les parties au fusionnement ignorent la preuve qui leur est opposée. </w:t>
      </w:r>
    </w:p>
    <w:p w:rsidR="0039493A" w:rsidRPr="00B27419" w:rsidRDefault="0039493A" w:rsidP="00B27419">
      <w:pPr>
        <w:pStyle w:val="ParaNoNdepar-AltN"/>
        <w:rPr>
          <w:rFonts w:cs="Times New Roman"/>
          <w:lang w:val="fr-CA"/>
        </w:rPr>
      </w:pPr>
      <w:r w:rsidRPr="00B27419">
        <w:rPr>
          <w:rFonts w:cs="Times New Roman"/>
          <w:lang w:val="fr-CA"/>
        </w:rPr>
        <w:t xml:space="preserve">La commissaire fait valoir que, bien que les effets anticoncurrentiels dans la présente affaire n’aient pas été quantifiés, ils pourraient être inférés de la conclusion du Tribunal selon laquelle la concurrence du site </w:t>
      </w:r>
      <w:proofErr w:type="spellStart"/>
      <w:r w:rsidRPr="00B27419">
        <w:rPr>
          <w:rFonts w:cs="Times New Roman"/>
          <w:lang w:val="fr-CA"/>
        </w:rPr>
        <w:t>Babkirk</w:t>
      </w:r>
      <w:proofErr w:type="spellEnd"/>
      <w:r w:rsidRPr="00B27419">
        <w:rPr>
          <w:rFonts w:cs="Times New Roman"/>
          <w:lang w:val="fr-CA"/>
        </w:rPr>
        <w:t xml:space="preserve"> aurait mené à une baisse moyenne du prix d’au moins 10</w:t>
      </w:r>
      <w:r w:rsidR="00E6271F" w:rsidRPr="00B27419">
        <w:rPr>
          <w:rFonts w:cs="Times New Roman"/>
          <w:lang w:val="fr-CA"/>
        </w:rPr>
        <w:t xml:space="preserve"> </w:t>
      </w:r>
      <w:r w:rsidRPr="00B27419">
        <w:rPr>
          <w:rFonts w:cs="Times New Roman"/>
          <w:lang w:val="fr-CA"/>
        </w:rPr>
        <w:t>p.</w:t>
      </w:r>
      <w:r w:rsidR="00E6271F" w:rsidRPr="00B27419">
        <w:rPr>
          <w:rFonts w:cs="Times New Roman"/>
          <w:lang w:val="fr-CA"/>
        </w:rPr>
        <w:t xml:space="preserve"> </w:t>
      </w:r>
      <w:r w:rsidRPr="00B27419">
        <w:rPr>
          <w:rFonts w:cs="Times New Roman"/>
          <w:lang w:val="fr-CA"/>
        </w:rPr>
        <w:t>100 (décision du Tribunal, par.</w:t>
      </w:r>
      <w:r w:rsidR="00E6271F" w:rsidRPr="00B27419">
        <w:rPr>
          <w:rFonts w:cs="Times New Roman"/>
          <w:lang w:val="fr-CA"/>
        </w:rPr>
        <w:t xml:space="preserve"> </w:t>
      </w:r>
      <w:r w:rsidRPr="00B27419">
        <w:rPr>
          <w:rFonts w:cs="Times New Roman"/>
          <w:lang w:val="fr-CA"/>
        </w:rPr>
        <w:t xml:space="preserve">297; </w:t>
      </w:r>
      <w:proofErr w:type="gramStart"/>
      <w:r w:rsidRPr="00B27419">
        <w:rPr>
          <w:rFonts w:cs="Times New Roman"/>
          <w:lang w:val="fr-CA"/>
        </w:rPr>
        <w:lastRenderedPageBreak/>
        <w:t>m.i.,</w:t>
      </w:r>
      <w:proofErr w:type="gramEnd"/>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89</w:t>
      </w:r>
      <w:r w:rsidR="00E6271F" w:rsidRPr="00B27419">
        <w:rPr>
          <w:rFonts w:cs="Times New Roman"/>
          <w:lang w:val="fr-CA"/>
        </w:rPr>
        <w:t>-</w:t>
      </w:r>
      <w:r w:rsidRPr="00B27419">
        <w:rPr>
          <w:rFonts w:cs="Times New Roman"/>
          <w:lang w:val="fr-CA"/>
        </w:rPr>
        <w:t>91). Toutefois, ce pourcentage ne permet pas de calculer la perte sèche étant donné que la commissaire n’a pas établi l’élasticité de la demande par rapport au prix. Les faits prouvés ont démontré la taille de la zone contestable et les déchets susceptibles d’être produits par année. Sans un calcul de la perte véritable, tout ce que l’on sait, c’est qu’une certaine quantité de déchets potentiels était soumise à l’effet de l’élasticité. Autrement dit, le calcul ayant donné pour résultat 10</w:t>
      </w:r>
      <w:r w:rsidR="00E6271F" w:rsidRPr="00B27419">
        <w:rPr>
          <w:rFonts w:cs="Times New Roman"/>
          <w:lang w:val="fr-CA"/>
        </w:rPr>
        <w:t xml:space="preserve"> </w:t>
      </w:r>
      <w:r w:rsidRPr="00B27419">
        <w:rPr>
          <w:rFonts w:cs="Times New Roman"/>
          <w:lang w:val="fr-CA"/>
        </w:rPr>
        <w:t>p.</w:t>
      </w:r>
      <w:r w:rsidR="00E6271F" w:rsidRPr="00B27419">
        <w:rPr>
          <w:rFonts w:cs="Times New Roman"/>
          <w:lang w:val="fr-CA"/>
        </w:rPr>
        <w:t xml:space="preserve"> </w:t>
      </w:r>
      <w:r w:rsidRPr="00B27419">
        <w:rPr>
          <w:rFonts w:cs="Times New Roman"/>
          <w:lang w:val="fr-CA"/>
        </w:rPr>
        <w:t>100 n’est pas suffisant pour déterminer la mesure des effets anticoncurrentiels, si tant est qu’il y en ait. Ainsi que la Cour d’appel fédérale l’a signalé</w:t>
      </w:r>
      <w:r w:rsidR="00E6271F" w:rsidRPr="00B27419">
        <w:rPr>
          <w:rFonts w:cs="Times New Roman"/>
          <w:lang w:val="fr-CA"/>
        </w:rPr>
        <w:t> :</w:t>
      </w:r>
      <w:r w:rsidRPr="00B27419">
        <w:rPr>
          <w:rFonts w:cs="Times New Roman"/>
          <w:lang w:val="fr-CA"/>
        </w:rPr>
        <w:t xml:space="preserve"> </w:t>
      </w:r>
    </w:p>
    <w:p w:rsidR="0039493A" w:rsidRPr="00B27419" w:rsidRDefault="0039493A" w:rsidP="00B27419">
      <w:pPr>
        <w:pStyle w:val="Citation-AltC"/>
        <w:ind w:hanging="1166"/>
        <w:rPr>
          <w:lang w:val="fr-CA"/>
        </w:rPr>
      </w:pPr>
      <w:r w:rsidRPr="00B27419">
        <w:rPr>
          <w:lang w:val="fr-CA"/>
        </w:rPr>
        <w:tab/>
        <w:t>Dans ce cas, le Tribunal a lui</w:t>
      </w:r>
      <w:r w:rsidR="00E6271F" w:rsidRPr="00B27419">
        <w:rPr>
          <w:lang w:val="fr-CA"/>
        </w:rPr>
        <w:t>-</w:t>
      </w:r>
      <w:r w:rsidRPr="00B27419">
        <w:rPr>
          <w:lang w:val="fr-CA"/>
        </w:rPr>
        <w:t xml:space="preserve">même estimé que, pour calculer la </w:t>
      </w:r>
      <w:r w:rsidR="00B27419">
        <w:rPr>
          <w:lang w:val="fr-CA"/>
        </w:rPr>
        <w:t>« </w:t>
      </w:r>
      <w:r w:rsidRPr="00B27419">
        <w:rPr>
          <w:lang w:val="fr-CA"/>
        </w:rPr>
        <w:t>perte sèche</w:t>
      </w:r>
      <w:r w:rsidR="00B27419">
        <w:rPr>
          <w:lang w:val="fr-CA"/>
        </w:rPr>
        <w:t> »</w:t>
      </w:r>
      <w:r w:rsidRPr="00B27419">
        <w:rPr>
          <w:lang w:val="fr-CA"/>
        </w:rPr>
        <w:t xml:space="preserve">, il était nécessaire de disposer d’estimations de l’élasticité du marché [le changement subi par le marché dans son ensemble] et des données d’élasticité de la demande par rapport au prix établi par l’entité fusionnée [la mesure dans laquelle la demande varie par suite de la modification des prix par l’entité fusionnée]. Le Tribunal a également reconnu qu’il fallait disposer d’une gamme d’élasticités plausibles pour comprendre la sensibilité des estimations de la commissaire. Sans ces estimations, la commissaire ne pouvait calculer convenablement la </w:t>
      </w:r>
      <w:r w:rsidR="00B27419">
        <w:rPr>
          <w:lang w:val="fr-CA"/>
        </w:rPr>
        <w:t>« </w:t>
      </w:r>
      <w:r w:rsidRPr="00B27419">
        <w:rPr>
          <w:lang w:val="fr-CA"/>
        </w:rPr>
        <w:t>perte sèche</w:t>
      </w:r>
      <w:r w:rsidR="00B27419">
        <w:rPr>
          <w:lang w:val="fr-CA"/>
        </w:rPr>
        <w:t> »</w:t>
      </w:r>
      <w:r w:rsidRPr="00B27419">
        <w:rPr>
          <w:lang w:val="fr-CA"/>
        </w:rPr>
        <w:t xml:space="preserve"> et </w:t>
      </w:r>
      <w:proofErr w:type="spellStart"/>
      <w:r w:rsidRPr="00B27419">
        <w:rPr>
          <w:lang w:val="fr-CA"/>
        </w:rPr>
        <w:t>Tervita</w:t>
      </w:r>
      <w:proofErr w:type="spellEnd"/>
      <w:r w:rsidRPr="00B27419">
        <w:rPr>
          <w:lang w:val="fr-CA"/>
        </w:rPr>
        <w:t xml:space="preserve"> ne pouvait contester adéquatement les calculs. [Soulignement omis; par.</w:t>
      </w:r>
      <w:r w:rsidR="00E6271F" w:rsidRPr="00B27419">
        <w:rPr>
          <w:lang w:val="fr-CA"/>
        </w:rPr>
        <w:t xml:space="preserve"> </w:t>
      </w:r>
      <w:r w:rsidRPr="00B27419">
        <w:rPr>
          <w:lang w:val="fr-CA"/>
        </w:rPr>
        <w:t xml:space="preserve">124.] </w:t>
      </w:r>
    </w:p>
    <w:p w:rsidR="0039493A" w:rsidRPr="00B27419" w:rsidRDefault="0039493A" w:rsidP="00B27419">
      <w:pPr>
        <w:pStyle w:val="ParaNoNdepar-AltN"/>
        <w:rPr>
          <w:rFonts w:cs="Times New Roman"/>
          <w:lang w:val="fr-CA"/>
        </w:rPr>
      </w:pPr>
      <w:r w:rsidRPr="00B27419">
        <w:rPr>
          <w:rFonts w:cs="Times New Roman"/>
          <w:lang w:val="fr-CA"/>
        </w:rPr>
        <w:t xml:space="preserve">Dans son rapport produit en réplique, l’expert de la commissaire a bien présenté des estimations relatives à l’expansion possible du marché. Or, ces estimations reposaient sur les calculs, par l’expert de </w:t>
      </w:r>
      <w:proofErr w:type="spellStart"/>
      <w:r w:rsidRPr="00B27419">
        <w:rPr>
          <w:rFonts w:cs="Times New Roman"/>
          <w:lang w:val="fr-CA"/>
        </w:rPr>
        <w:t>Tervita</w:t>
      </w:r>
      <w:proofErr w:type="spellEnd"/>
      <w:r w:rsidRPr="00B27419">
        <w:rPr>
          <w:rFonts w:cs="Times New Roman"/>
          <w:lang w:val="fr-CA"/>
        </w:rPr>
        <w:t>, des gains en efficience liés à l’expansion du marché, invoqués par cette dernière, qui reposaient eux</w:t>
      </w:r>
      <w:r w:rsidR="00E6271F" w:rsidRPr="00B27419">
        <w:rPr>
          <w:rFonts w:cs="Times New Roman"/>
          <w:lang w:val="fr-CA"/>
        </w:rPr>
        <w:t>-</w:t>
      </w:r>
      <w:r w:rsidRPr="00B27419">
        <w:rPr>
          <w:rFonts w:cs="Times New Roman"/>
          <w:lang w:val="fr-CA"/>
        </w:rPr>
        <w:t xml:space="preserve">mêmes sur des hypothèses non étayées. Ainsi que l’expert de </w:t>
      </w:r>
      <w:proofErr w:type="spellStart"/>
      <w:r w:rsidRPr="00B27419">
        <w:rPr>
          <w:rFonts w:cs="Times New Roman"/>
          <w:lang w:val="fr-CA"/>
        </w:rPr>
        <w:t>Tervita</w:t>
      </w:r>
      <w:proofErr w:type="spellEnd"/>
      <w:r w:rsidRPr="00B27419">
        <w:rPr>
          <w:rFonts w:cs="Times New Roman"/>
          <w:lang w:val="fr-CA"/>
        </w:rPr>
        <w:t xml:space="preserve"> l’a déclaré devant le Tribunal, ces calculs ne pouvaient servir à évaluer la perte sèche sans une véritable analyse de l’élasticité de la demande dans le marché. Répondant à une question du Tribunal, l’expert de </w:t>
      </w:r>
      <w:proofErr w:type="spellStart"/>
      <w:r w:rsidRPr="00B27419">
        <w:rPr>
          <w:rFonts w:cs="Times New Roman"/>
          <w:lang w:val="fr-CA"/>
        </w:rPr>
        <w:t>Tervita</w:t>
      </w:r>
      <w:proofErr w:type="spellEnd"/>
      <w:r w:rsidRPr="00B27419">
        <w:rPr>
          <w:rFonts w:cs="Times New Roman"/>
          <w:lang w:val="fr-CA"/>
        </w:rPr>
        <w:t xml:space="preserve"> a dit qu’il était impossible de calculer la perte sèche sans </w:t>
      </w:r>
      <w:r w:rsidRPr="00B27419">
        <w:rPr>
          <w:rFonts w:cs="Times New Roman"/>
          <w:lang w:val="fr-CA"/>
        </w:rPr>
        <w:lastRenderedPageBreak/>
        <w:t>données sur l’élasticité du marché ou l’élasticité qui se rapporte aux consommateurs</w:t>
      </w:r>
      <w:r w:rsidR="00E6271F" w:rsidRPr="00B27419">
        <w:rPr>
          <w:rFonts w:cs="Times New Roman"/>
          <w:lang w:val="fr-CA"/>
        </w:rPr>
        <w:t> :</w:t>
      </w:r>
      <w:r w:rsidRPr="00B27419">
        <w:rPr>
          <w:rFonts w:cs="Times New Roman"/>
          <w:lang w:val="fr-CA"/>
        </w:rPr>
        <w:t xml:space="preserve"> </w:t>
      </w:r>
      <w:r w:rsidR="00B27419">
        <w:rPr>
          <w:rFonts w:cs="Times New Roman"/>
          <w:lang w:val="fr-CA"/>
        </w:rPr>
        <w:t>« </w:t>
      </w:r>
      <w:r w:rsidRPr="00B27419">
        <w:rPr>
          <w:rFonts w:cs="Times New Roman"/>
          <w:lang w:val="fr-CA"/>
        </w:rPr>
        <w:t>Pour déterminer la perte sèche, il faut tracer la courbe de demande</w:t>
      </w:r>
      <w:r w:rsidR="00B27419">
        <w:rPr>
          <w:rFonts w:cs="Times New Roman"/>
          <w:lang w:val="fr-CA"/>
        </w:rPr>
        <w:t> »</w:t>
      </w:r>
      <w:r w:rsidRPr="00B27419">
        <w:rPr>
          <w:rFonts w:cs="Times New Roman"/>
          <w:lang w:val="fr-CA"/>
        </w:rPr>
        <w:t xml:space="preserve"> (témoignage de M.</w:t>
      </w:r>
      <w:r w:rsidR="00E6271F" w:rsidRPr="00B27419">
        <w:rPr>
          <w:rFonts w:cs="Times New Roman"/>
          <w:lang w:val="fr-CA"/>
        </w:rPr>
        <w:t xml:space="preserve"> </w:t>
      </w:r>
      <w:proofErr w:type="spellStart"/>
      <w:r w:rsidRPr="00B27419">
        <w:rPr>
          <w:rFonts w:cs="Times New Roman"/>
          <w:lang w:val="fr-CA"/>
        </w:rPr>
        <w:t>Kahwaty</w:t>
      </w:r>
      <w:proofErr w:type="spellEnd"/>
      <w:r w:rsidRPr="00B27419">
        <w:rPr>
          <w:rFonts w:cs="Times New Roman"/>
          <w:lang w:val="fr-CA"/>
        </w:rPr>
        <w:t xml:space="preserve">, </w:t>
      </w:r>
      <w:r w:rsidR="00BD7A36">
        <w:rPr>
          <w:rFonts w:cs="Times New Roman"/>
          <w:lang w:val="fr-CA"/>
        </w:rPr>
        <w:t xml:space="preserve">décision </w:t>
      </w:r>
      <w:r w:rsidRPr="00B27419">
        <w:rPr>
          <w:rFonts w:cs="Times New Roman"/>
          <w:lang w:val="fr-CA"/>
        </w:rPr>
        <w:t>de la C.A.F., p</w:t>
      </w:r>
      <w:r w:rsidR="00BD7A36">
        <w:rPr>
          <w:rFonts w:cs="Times New Roman"/>
          <w:lang w:val="fr-CA"/>
        </w:rPr>
        <w:t>ar</w:t>
      </w:r>
      <w:r w:rsidRPr="00B27419">
        <w:rPr>
          <w:rFonts w:cs="Times New Roman"/>
          <w:lang w:val="fr-CA"/>
        </w:rPr>
        <w:t>.</w:t>
      </w:r>
      <w:r w:rsidR="00E6271F" w:rsidRPr="00B27419">
        <w:rPr>
          <w:rFonts w:cs="Times New Roman"/>
          <w:lang w:val="fr-CA"/>
        </w:rPr>
        <w:t xml:space="preserve"> </w:t>
      </w:r>
      <w:r w:rsidRPr="00B27419">
        <w:rPr>
          <w:rFonts w:cs="Times New Roman"/>
          <w:lang w:val="fr-CA"/>
        </w:rPr>
        <w:t>125).</w:t>
      </w:r>
    </w:p>
    <w:p w:rsidR="0039493A" w:rsidRPr="00B27419" w:rsidRDefault="0039493A" w:rsidP="00B27419">
      <w:pPr>
        <w:pStyle w:val="ParaNoNdepar-AltN"/>
        <w:rPr>
          <w:rFonts w:cs="Times New Roman"/>
          <w:lang w:val="fr-CA"/>
        </w:rPr>
      </w:pPr>
      <w:r w:rsidRPr="00B27419">
        <w:rPr>
          <w:rFonts w:cs="Times New Roman"/>
          <w:lang w:val="fr-CA"/>
        </w:rPr>
        <w:t xml:space="preserve">Sans une estimation de l’élasticité, la commissaire ne pouvait calculer convenablement la </w:t>
      </w:r>
      <w:r w:rsidR="00B27419">
        <w:rPr>
          <w:rFonts w:cs="Times New Roman"/>
          <w:lang w:val="fr-CA"/>
        </w:rPr>
        <w:t>« </w:t>
      </w:r>
      <w:r w:rsidRPr="00B27419">
        <w:rPr>
          <w:rFonts w:cs="Times New Roman"/>
          <w:lang w:val="fr-CA"/>
        </w:rPr>
        <w:t>perte sèche</w:t>
      </w:r>
      <w:r w:rsidR="00B27419">
        <w:rPr>
          <w:rFonts w:cs="Times New Roman"/>
          <w:lang w:val="fr-CA"/>
        </w:rPr>
        <w:t> »</w:t>
      </w:r>
      <w:r w:rsidRPr="00B27419">
        <w:rPr>
          <w:rFonts w:cs="Times New Roman"/>
          <w:lang w:val="fr-CA"/>
        </w:rPr>
        <w:t xml:space="preserve">, et </w:t>
      </w:r>
      <w:proofErr w:type="spellStart"/>
      <w:r w:rsidRPr="00B27419">
        <w:rPr>
          <w:rFonts w:cs="Times New Roman"/>
          <w:lang w:val="fr-CA"/>
        </w:rPr>
        <w:t>Tervita</w:t>
      </w:r>
      <w:proofErr w:type="spellEnd"/>
      <w:r w:rsidRPr="00B27419">
        <w:rPr>
          <w:rFonts w:cs="Times New Roman"/>
          <w:lang w:val="fr-CA"/>
        </w:rPr>
        <w:t xml:space="preserve"> ne pouvait contester adéquatement les calculs (décision de la C.A.F., par.</w:t>
      </w:r>
      <w:r w:rsidR="00E6271F" w:rsidRPr="00B27419">
        <w:rPr>
          <w:rFonts w:cs="Times New Roman"/>
          <w:lang w:val="fr-CA"/>
        </w:rPr>
        <w:t xml:space="preserve"> </w:t>
      </w:r>
      <w:r w:rsidRPr="00B27419">
        <w:rPr>
          <w:rFonts w:cs="Times New Roman"/>
          <w:lang w:val="fr-CA"/>
        </w:rPr>
        <w:t>124). Effectivement, les faits prouvés démontrent que les effets anticoncurrentiels auraient pu être estimés, mais ne l’ont pas été, vu l’absence de la mesure de l’élasticité, qui est essentielle. L’inférence reposant sur la baisse des prix de 10</w:t>
      </w:r>
      <w:r w:rsidR="00E6271F" w:rsidRPr="00B27419">
        <w:rPr>
          <w:rFonts w:cs="Times New Roman"/>
          <w:lang w:val="fr-CA"/>
        </w:rPr>
        <w:t xml:space="preserve"> </w:t>
      </w:r>
      <w:r w:rsidRPr="00B27419">
        <w:rPr>
          <w:rFonts w:cs="Times New Roman"/>
          <w:lang w:val="fr-CA"/>
        </w:rPr>
        <w:t>p.</w:t>
      </w:r>
      <w:r w:rsidR="00E6271F" w:rsidRPr="00B27419">
        <w:rPr>
          <w:rFonts w:cs="Times New Roman"/>
          <w:lang w:val="fr-CA"/>
        </w:rPr>
        <w:t xml:space="preserve"> </w:t>
      </w:r>
      <w:r w:rsidRPr="00B27419">
        <w:rPr>
          <w:rFonts w:cs="Times New Roman"/>
          <w:lang w:val="fr-CA"/>
        </w:rPr>
        <w:t xml:space="preserve">100 et sur une élasticité potentielle inconnue ne saurait se substituer à une quantification. </w:t>
      </w:r>
    </w:p>
    <w:p w:rsidR="0039493A" w:rsidRPr="00B27419" w:rsidRDefault="0039493A" w:rsidP="00B27419">
      <w:pPr>
        <w:pStyle w:val="ParaNoNdepar-AltN"/>
        <w:rPr>
          <w:rFonts w:cs="Times New Roman"/>
          <w:lang w:val="fr-CA"/>
        </w:rPr>
      </w:pPr>
      <w:r w:rsidRPr="00B27419">
        <w:rPr>
          <w:rFonts w:cs="Times New Roman"/>
          <w:lang w:val="fr-CA"/>
        </w:rPr>
        <w:t>La commissaire soutient à titre subsidiaire que le Tribunal n’a pas manqué à l’équité procédurale en admettant l’estimation approximative faite par son expert de la perte sèche découlant d’une baisse des prix de 10</w:t>
      </w:r>
      <w:r w:rsidR="00E6271F" w:rsidRPr="00B27419">
        <w:rPr>
          <w:rFonts w:cs="Times New Roman"/>
          <w:lang w:val="fr-CA"/>
        </w:rPr>
        <w:t xml:space="preserve"> </w:t>
      </w:r>
      <w:r w:rsidRPr="00B27419">
        <w:rPr>
          <w:rFonts w:cs="Times New Roman"/>
          <w:lang w:val="fr-CA"/>
        </w:rPr>
        <w:t>p.</w:t>
      </w:r>
      <w:r w:rsidR="00E6271F" w:rsidRPr="00B27419">
        <w:rPr>
          <w:rFonts w:cs="Times New Roman"/>
          <w:lang w:val="fr-CA"/>
        </w:rPr>
        <w:t xml:space="preserve"> </w:t>
      </w:r>
      <w:r w:rsidRPr="00B27419">
        <w:rPr>
          <w:rFonts w:cs="Times New Roman"/>
          <w:lang w:val="fr-CA"/>
        </w:rPr>
        <w:t>100 (</w:t>
      </w:r>
      <w:proofErr w:type="gramStart"/>
      <w:r w:rsidRPr="00B27419">
        <w:rPr>
          <w:rFonts w:cs="Times New Roman"/>
          <w:lang w:val="fr-CA"/>
        </w:rPr>
        <w:t>m.i.,</w:t>
      </w:r>
      <w:proofErr w:type="gramEnd"/>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107). Je ne suis pas d’accord. Ainsi que la Cour d’appel fédérale l’a conclu, l’omission par la commissaire de quantifier les effets anticoncurrentiels quantifiables et la décision du Tribunal de permettre à la commissaire de s’acquitter de son fardeau en produisant en réplique un rapport d’expert énonçant une estimation approximative ont porté préjudice à </w:t>
      </w:r>
      <w:proofErr w:type="spellStart"/>
      <w:r w:rsidRPr="00B27419">
        <w:rPr>
          <w:rFonts w:cs="Times New Roman"/>
          <w:lang w:val="fr-CA"/>
        </w:rPr>
        <w:t>Tervita</w:t>
      </w:r>
      <w:proofErr w:type="spellEnd"/>
      <w:r w:rsidRPr="00B27419">
        <w:rPr>
          <w:rFonts w:cs="Times New Roman"/>
          <w:lang w:val="fr-CA"/>
        </w:rPr>
        <w:t>. Cette dernière a été incapable de contester les calculs de la commissaire, car d’une part celle</w:t>
      </w:r>
      <w:r w:rsidR="00E6271F" w:rsidRPr="00B27419">
        <w:rPr>
          <w:rFonts w:cs="Times New Roman"/>
          <w:lang w:val="fr-CA"/>
        </w:rPr>
        <w:t>-</w:t>
      </w:r>
      <w:r w:rsidRPr="00B27419">
        <w:rPr>
          <w:rFonts w:cs="Times New Roman"/>
          <w:lang w:val="fr-CA"/>
        </w:rPr>
        <w:t xml:space="preserve">ci n’avait pas quantifié les effets anticoncurrentiels et d’autre part </w:t>
      </w:r>
      <w:proofErr w:type="spellStart"/>
      <w:r w:rsidRPr="00B27419">
        <w:rPr>
          <w:rFonts w:cs="Times New Roman"/>
          <w:lang w:val="fr-CA"/>
        </w:rPr>
        <w:t>Tervita</w:t>
      </w:r>
      <w:proofErr w:type="spellEnd"/>
      <w:r w:rsidRPr="00B27419">
        <w:rPr>
          <w:rFonts w:cs="Times New Roman"/>
          <w:lang w:val="fr-CA"/>
        </w:rPr>
        <w:t xml:space="preserve"> a manqué de temps pour répondre en bonne et due forme au rapport de l’expert produit en réplique (</w:t>
      </w:r>
      <w:r w:rsidR="00BD7A36">
        <w:rPr>
          <w:rFonts w:cs="Times New Roman"/>
          <w:lang w:val="fr-CA"/>
        </w:rPr>
        <w:t xml:space="preserve">voir </w:t>
      </w:r>
      <w:r w:rsidRPr="00B27419">
        <w:rPr>
          <w:rFonts w:cs="Times New Roman"/>
          <w:lang w:val="fr-CA"/>
        </w:rPr>
        <w:t>décision de la C.A.F., par.</w:t>
      </w:r>
      <w:r w:rsidR="00E6271F" w:rsidRPr="00B27419">
        <w:rPr>
          <w:rFonts w:cs="Times New Roman"/>
          <w:lang w:val="fr-CA"/>
        </w:rPr>
        <w:t xml:space="preserve"> </w:t>
      </w:r>
      <w:r w:rsidRPr="00B27419">
        <w:rPr>
          <w:rFonts w:cs="Times New Roman"/>
          <w:lang w:val="fr-CA"/>
        </w:rPr>
        <w:t>121</w:t>
      </w:r>
      <w:r w:rsidR="00E6271F" w:rsidRPr="00B27419">
        <w:rPr>
          <w:rFonts w:cs="Times New Roman"/>
          <w:lang w:val="fr-CA"/>
        </w:rPr>
        <w:t>-</w:t>
      </w:r>
      <w:r w:rsidRPr="00B27419">
        <w:rPr>
          <w:rFonts w:cs="Times New Roman"/>
          <w:lang w:val="fr-CA"/>
        </w:rPr>
        <w:t xml:space="preserve">130). </w:t>
      </w:r>
    </w:p>
    <w:p w:rsidR="0039493A" w:rsidRPr="00B27419" w:rsidRDefault="0039493A" w:rsidP="00B27419">
      <w:pPr>
        <w:pStyle w:val="ParaNoNdepar-AltN"/>
        <w:rPr>
          <w:rFonts w:cs="Times New Roman"/>
          <w:lang w:val="fr-CA"/>
        </w:rPr>
      </w:pPr>
      <w:r w:rsidRPr="00B27419">
        <w:rPr>
          <w:rFonts w:cs="Times New Roman"/>
          <w:lang w:val="fr-CA"/>
        </w:rPr>
        <w:lastRenderedPageBreak/>
        <w:t>Si la commissaire est tenue de prouver les effets anticoncurrentiels, les parties au fusionnement assument quant à elles la charge de prouver les autres éléments de la défense. Permettre ce genre de lacunes en matière procédurale placerait les parties au fusionnement dans la situation insoutenable où elles doivent prouver que les gains en efficience surpassent et neutralisent les effets anticoncurrentiels sans connaître la valeur de ces derniers. Je ne peux retenir les arguments de la commissaire selon lesquels il n’y a eu aucune injustice dans la présente instance, au motif que le calcul n’était [</w:t>
      </w:r>
      <w:r w:rsidRPr="00B27419">
        <w:rPr>
          <w:rFonts w:cs="Times New Roman"/>
          <w:smallCaps/>
          <w:lang w:val="fr-CA"/>
        </w:rPr>
        <w:t>traduction</w:t>
      </w:r>
      <w:r w:rsidRPr="00B27419">
        <w:rPr>
          <w:rFonts w:cs="Times New Roman"/>
          <w:lang w:val="fr-CA"/>
        </w:rPr>
        <w:t xml:space="preserve">] </w:t>
      </w:r>
      <w:r w:rsidR="00B27419">
        <w:rPr>
          <w:rFonts w:cs="Times New Roman"/>
          <w:lang w:val="fr-CA"/>
        </w:rPr>
        <w:t>« </w:t>
      </w:r>
      <w:r w:rsidRPr="00B27419">
        <w:rPr>
          <w:rFonts w:cs="Times New Roman"/>
          <w:lang w:val="fr-CA"/>
        </w:rPr>
        <w:t>pas complexe</w:t>
      </w:r>
      <w:r w:rsidR="00B27419">
        <w:rPr>
          <w:rFonts w:cs="Times New Roman"/>
          <w:lang w:val="fr-CA"/>
        </w:rPr>
        <w:t> »</w:t>
      </w:r>
      <w:r w:rsidRPr="00B27419">
        <w:rPr>
          <w:rFonts w:cs="Times New Roman"/>
          <w:lang w:val="fr-CA"/>
        </w:rPr>
        <w:t xml:space="preserve"> ou que l’expert de </w:t>
      </w:r>
      <w:proofErr w:type="spellStart"/>
      <w:r w:rsidRPr="00B27419">
        <w:rPr>
          <w:rFonts w:cs="Times New Roman"/>
          <w:lang w:val="fr-CA"/>
        </w:rPr>
        <w:t>Tervita</w:t>
      </w:r>
      <w:proofErr w:type="spellEnd"/>
      <w:r w:rsidRPr="00B27419">
        <w:rPr>
          <w:rFonts w:cs="Times New Roman"/>
          <w:lang w:val="fr-CA"/>
        </w:rPr>
        <w:t xml:space="preserve"> avait eu l’occasion de répondre </w:t>
      </w:r>
      <w:r w:rsidR="00B27419">
        <w:rPr>
          <w:rFonts w:cs="Times New Roman"/>
          <w:lang w:val="fr-CA"/>
        </w:rPr>
        <w:t>« </w:t>
      </w:r>
      <w:r w:rsidRPr="00B27419">
        <w:rPr>
          <w:rFonts w:cs="Times New Roman"/>
          <w:lang w:val="fr-CA"/>
        </w:rPr>
        <w:t>brièvement lors de l’interrogatoire principal</w:t>
      </w:r>
      <w:r w:rsidR="00B27419">
        <w:rPr>
          <w:rFonts w:cs="Times New Roman"/>
          <w:lang w:val="fr-CA"/>
        </w:rPr>
        <w:t> »</w:t>
      </w:r>
      <w:r w:rsidRPr="00B27419">
        <w:rPr>
          <w:rFonts w:cs="Times New Roman"/>
          <w:lang w:val="fr-CA"/>
        </w:rPr>
        <w:t>, en contre</w:t>
      </w:r>
      <w:r w:rsidR="00E6271F" w:rsidRPr="00B27419">
        <w:rPr>
          <w:rFonts w:cs="Times New Roman"/>
          <w:lang w:val="fr-CA"/>
        </w:rPr>
        <w:t>-</w:t>
      </w:r>
      <w:r w:rsidRPr="00B27419">
        <w:rPr>
          <w:rFonts w:cs="Times New Roman"/>
          <w:lang w:val="fr-CA"/>
        </w:rPr>
        <w:t>interrogatoire et en réponse aux questions du Tribunal (</w:t>
      </w:r>
      <w:proofErr w:type="gramStart"/>
      <w:r w:rsidRPr="00B27419">
        <w:rPr>
          <w:rFonts w:cs="Times New Roman"/>
          <w:lang w:val="fr-CA"/>
        </w:rPr>
        <w:t>m.i.,</w:t>
      </w:r>
      <w:proofErr w:type="gramEnd"/>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108).</w:t>
      </w:r>
      <w:r w:rsidR="00E6271F" w:rsidRPr="00B27419">
        <w:rPr>
          <w:rFonts w:cs="Times New Roman"/>
          <w:lang w:val="fr-CA"/>
        </w:rPr>
        <w:t xml:space="preserve"> </w:t>
      </w:r>
      <w:proofErr w:type="spellStart"/>
      <w:r w:rsidRPr="00B27419">
        <w:rPr>
          <w:rFonts w:cs="Times New Roman"/>
          <w:lang w:val="fr-CA"/>
        </w:rPr>
        <w:t>Tervita</w:t>
      </w:r>
      <w:proofErr w:type="spellEnd"/>
      <w:r w:rsidRPr="00B27419">
        <w:rPr>
          <w:rFonts w:cs="Times New Roman"/>
          <w:lang w:val="fr-CA"/>
        </w:rPr>
        <w:t xml:space="preserve"> n’a obtenu le rapport d’expert déposé en réplique que deux semaines avant l’audience devant le Tribunal (décision du Tribunal, par.</w:t>
      </w:r>
      <w:r w:rsidR="00E6271F" w:rsidRPr="00B27419">
        <w:rPr>
          <w:rFonts w:cs="Times New Roman"/>
          <w:lang w:val="fr-CA"/>
        </w:rPr>
        <w:t xml:space="preserve"> </w:t>
      </w:r>
      <w:r w:rsidRPr="00B27419">
        <w:rPr>
          <w:rFonts w:cs="Times New Roman"/>
          <w:lang w:val="fr-CA"/>
        </w:rPr>
        <w:t>235). Ainsi que le Tribunal l’a fait remarquer</w:t>
      </w:r>
      <w:r w:rsidR="00E6271F" w:rsidRPr="00B27419">
        <w:rPr>
          <w:rFonts w:cs="Times New Roman"/>
          <w:lang w:val="fr-CA"/>
        </w:rPr>
        <w:t> :</w:t>
      </w:r>
      <w:r w:rsidRPr="00B27419">
        <w:rPr>
          <w:rFonts w:cs="Times New Roman"/>
          <w:lang w:val="fr-CA"/>
        </w:rPr>
        <w:t xml:space="preserve"> </w:t>
      </w:r>
      <w:r w:rsidR="00B27419">
        <w:rPr>
          <w:rFonts w:cs="Times New Roman"/>
          <w:lang w:val="fr-CA"/>
        </w:rPr>
        <w:t>« </w:t>
      </w:r>
      <w:r w:rsidR="00B73B50" w:rsidRPr="00B27419">
        <w:rPr>
          <w:rFonts w:cs="Times New Roman"/>
          <w:lang w:val="fr-CA"/>
        </w:rPr>
        <w:t>À</w:t>
      </w:r>
      <w:r w:rsidRPr="00B27419">
        <w:rPr>
          <w:rFonts w:cs="Times New Roman"/>
          <w:sz w:val="23"/>
          <w:szCs w:val="23"/>
          <w:lang w:val="fr-CA"/>
        </w:rPr>
        <w:t xml:space="preserve"> cette date, l’ordonnance du Tribunal concernant les échéances ne permettait pas à </w:t>
      </w:r>
      <w:r w:rsidRPr="00B27419">
        <w:rPr>
          <w:rFonts w:cs="Times New Roman"/>
          <w:lang w:val="fr-CA"/>
        </w:rPr>
        <w:t>[</w:t>
      </w:r>
      <w:proofErr w:type="spellStart"/>
      <w:r w:rsidRPr="00B27419">
        <w:rPr>
          <w:rFonts w:cs="Times New Roman"/>
          <w:lang w:val="fr-CA"/>
        </w:rPr>
        <w:t>Tervita</w:t>
      </w:r>
      <w:proofErr w:type="spellEnd"/>
      <w:r w:rsidRPr="00B27419">
        <w:rPr>
          <w:rFonts w:cs="Times New Roman"/>
          <w:lang w:val="fr-CA"/>
        </w:rPr>
        <w:t>]</w:t>
      </w:r>
      <w:r w:rsidRPr="00B27419">
        <w:rPr>
          <w:rFonts w:cs="Times New Roman"/>
          <w:sz w:val="23"/>
          <w:szCs w:val="23"/>
          <w:lang w:val="fr-CA"/>
        </w:rPr>
        <w:t xml:space="preserve"> de déposer une requête ou un autre rapport d’expert</w:t>
      </w:r>
      <w:r w:rsidRPr="00B27419">
        <w:rPr>
          <w:rFonts w:cs="Times New Roman"/>
          <w:lang w:val="fr-CA"/>
        </w:rPr>
        <w:t>. De plus [.</w:t>
      </w:r>
      <w:r w:rsidR="00E6271F" w:rsidRPr="00B27419">
        <w:rPr>
          <w:rFonts w:cs="Times New Roman"/>
          <w:lang w:val="fr-CA"/>
        </w:rPr>
        <w:t xml:space="preserve"> </w:t>
      </w:r>
      <w:r w:rsidRPr="00B27419">
        <w:rPr>
          <w:rFonts w:cs="Times New Roman"/>
          <w:lang w:val="fr-CA"/>
        </w:rPr>
        <w:t>.</w:t>
      </w:r>
      <w:r w:rsidR="00E6271F" w:rsidRPr="00B27419">
        <w:rPr>
          <w:rFonts w:cs="Times New Roman"/>
          <w:lang w:val="fr-CA"/>
        </w:rPr>
        <w:t xml:space="preserve"> </w:t>
      </w:r>
      <w:r w:rsidRPr="00B27419">
        <w:rPr>
          <w:rFonts w:cs="Times New Roman"/>
          <w:lang w:val="fr-CA"/>
        </w:rPr>
        <w:t>.] [</w:t>
      </w:r>
      <w:proofErr w:type="spellStart"/>
      <w:r w:rsidRPr="00B27419">
        <w:rPr>
          <w:rFonts w:cs="Times New Roman"/>
          <w:lang w:val="fr-CA"/>
        </w:rPr>
        <w:t>Tervita</w:t>
      </w:r>
      <w:proofErr w:type="spellEnd"/>
      <w:r w:rsidRPr="00B27419">
        <w:rPr>
          <w:rFonts w:cs="Times New Roman"/>
          <w:lang w:val="fr-CA"/>
        </w:rPr>
        <w:t xml:space="preserve">] </w:t>
      </w:r>
      <w:r w:rsidRPr="00B27419">
        <w:rPr>
          <w:rFonts w:cs="Times New Roman"/>
          <w:sz w:val="23"/>
          <w:szCs w:val="23"/>
          <w:lang w:val="fr-CA"/>
        </w:rPr>
        <w:t>n’avait pas suffisamment de temps avant l’audience pour déposer une requête en radiation du rapport</w:t>
      </w:r>
      <w:r w:rsidR="00B73B50" w:rsidRPr="00B27419">
        <w:rPr>
          <w:rFonts w:cs="Times New Roman"/>
          <w:lang w:val="fr-CA"/>
        </w:rPr>
        <w:t xml:space="preserve"> </w:t>
      </w:r>
      <w:r w:rsidRPr="00B27419">
        <w:rPr>
          <w:rFonts w:cs="Times New Roman"/>
          <w:lang w:val="fr-CA"/>
        </w:rPr>
        <w:t xml:space="preserve">de </w:t>
      </w:r>
      <w:r w:rsidR="00B73B50" w:rsidRPr="00B27419">
        <w:rPr>
          <w:rFonts w:cs="Times New Roman"/>
          <w:lang w:val="fr-CA"/>
        </w:rPr>
        <w:t>[</w:t>
      </w:r>
      <w:r w:rsidRPr="00B27419">
        <w:rPr>
          <w:rFonts w:cs="Times New Roman"/>
          <w:lang w:val="fr-CA"/>
        </w:rPr>
        <w:t xml:space="preserve">l’expert de la commissaire] </w:t>
      </w:r>
      <w:r w:rsidRPr="00B27419">
        <w:rPr>
          <w:rFonts w:cs="Times New Roman"/>
          <w:sz w:val="23"/>
          <w:szCs w:val="23"/>
          <w:lang w:val="fr-CA"/>
        </w:rPr>
        <w:t>ou pour demander l’autorisation de déposer un autre rapport en réplique .</w:t>
      </w:r>
      <w:r w:rsidR="00E6271F" w:rsidRPr="00B27419">
        <w:rPr>
          <w:rFonts w:cs="Times New Roman"/>
          <w:sz w:val="23"/>
          <w:szCs w:val="23"/>
          <w:lang w:val="fr-CA"/>
        </w:rPr>
        <w:t xml:space="preserve"> </w:t>
      </w:r>
      <w:r w:rsidRPr="00B27419">
        <w:rPr>
          <w:rFonts w:cs="Times New Roman"/>
          <w:sz w:val="23"/>
          <w:szCs w:val="23"/>
          <w:lang w:val="fr-CA"/>
        </w:rPr>
        <w:t>.</w:t>
      </w:r>
      <w:r w:rsidR="00E6271F" w:rsidRPr="00B27419">
        <w:rPr>
          <w:rFonts w:cs="Times New Roman"/>
          <w:sz w:val="23"/>
          <w:szCs w:val="23"/>
          <w:lang w:val="fr-CA"/>
        </w:rPr>
        <w:t xml:space="preserve"> </w:t>
      </w:r>
      <w:r w:rsidRPr="00B27419">
        <w:rPr>
          <w:rFonts w:cs="Times New Roman"/>
          <w:sz w:val="23"/>
          <w:szCs w:val="23"/>
          <w:lang w:val="fr-CA"/>
        </w:rPr>
        <w:t>.</w:t>
      </w:r>
      <w:r w:rsidR="00B27419">
        <w:rPr>
          <w:rFonts w:cs="Times New Roman"/>
          <w:lang w:val="fr-CA"/>
        </w:rPr>
        <w:t> »</w:t>
      </w:r>
      <w:r w:rsidRPr="00B27419">
        <w:rPr>
          <w:rFonts w:cs="Times New Roman"/>
          <w:lang w:val="fr-CA"/>
        </w:rPr>
        <w:t xml:space="preserve"> (</w:t>
      </w:r>
      <w:r w:rsidR="00B73B50" w:rsidRPr="00B27419">
        <w:rPr>
          <w:rFonts w:cs="Times New Roman"/>
          <w:i/>
          <w:lang w:val="fr-CA"/>
        </w:rPr>
        <w:t>ibid.</w:t>
      </w:r>
      <w:r w:rsidRPr="00B27419">
        <w:rPr>
          <w:rFonts w:cs="Times New Roman"/>
          <w:lang w:val="fr-CA"/>
        </w:rPr>
        <w:t xml:space="preserve">). Le Tribunal a conclu qu’en raison des lacunes en matière procédurale, </w:t>
      </w:r>
      <w:proofErr w:type="spellStart"/>
      <w:r w:rsidRPr="00B27419">
        <w:rPr>
          <w:rFonts w:cs="Times New Roman"/>
          <w:lang w:val="fr-CA"/>
        </w:rPr>
        <w:t>Tervita</w:t>
      </w:r>
      <w:proofErr w:type="spellEnd"/>
      <w:r w:rsidRPr="00B27419">
        <w:rPr>
          <w:rFonts w:cs="Times New Roman"/>
          <w:lang w:val="fr-CA"/>
        </w:rPr>
        <w:t xml:space="preserve"> ne pouvait préparer une réponse en bonne et due forme à la preuve présentée par la commissaire ni attaquer convenablement cette preuve. </w:t>
      </w:r>
    </w:p>
    <w:p w:rsidR="0039493A" w:rsidRPr="00B27419" w:rsidRDefault="0039493A" w:rsidP="00B27419">
      <w:pPr>
        <w:pStyle w:val="ParaNoNdepar-AltN"/>
        <w:rPr>
          <w:rFonts w:cs="Times New Roman"/>
          <w:lang w:val="fr-CA"/>
        </w:rPr>
      </w:pPr>
      <w:r w:rsidRPr="00B27419">
        <w:rPr>
          <w:rFonts w:cs="Times New Roman"/>
          <w:lang w:val="fr-CA"/>
        </w:rPr>
        <w:t xml:space="preserve">En l’espèce, la commissaire n’a pas quantifié les effets anticoncurrentiels quantifiables. En conséquence, le Tribunal aurait dû leur accorder une valeur nulle. </w:t>
      </w:r>
    </w:p>
    <w:p w:rsidR="0039493A" w:rsidRPr="00B27419" w:rsidRDefault="0039493A" w:rsidP="00B27419">
      <w:pPr>
        <w:pStyle w:val="ParaNoNdepar-AltN"/>
        <w:rPr>
          <w:rFonts w:cs="Times New Roman"/>
          <w:lang w:val="fr-CA"/>
        </w:rPr>
      </w:pPr>
      <w:r w:rsidRPr="00B27419">
        <w:rPr>
          <w:rFonts w:cs="Times New Roman"/>
          <w:lang w:val="fr-CA"/>
        </w:rPr>
        <w:lastRenderedPageBreak/>
        <w:t xml:space="preserve">La juge </w:t>
      </w:r>
      <w:proofErr w:type="spellStart"/>
      <w:r w:rsidRPr="00B27419">
        <w:rPr>
          <w:rFonts w:cs="Times New Roman"/>
          <w:lang w:val="fr-CA"/>
        </w:rPr>
        <w:t>Karakatsanis</w:t>
      </w:r>
      <w:proofErr w:type="spellEnd"/>
      <w:r w:rsidRPr="00B27419">
        <w:rPr>
          <w:rFonts w:cs="Times New Roman"/>
          <w:lang w:val="fr-CA"/>
        </w:rPr>
        <w:t xml:space="preserve"> permettrait que soit attribué un poids </w:t>
      </w:r>
      <w:r w:rsidR="00B27419">
        <w:rPr>
          <w:rFonts w:cs="Times New Roman"/>
          <w:lang w:val="fr-CA"/>
        </w:rPr>
        <w:t>« </w:t>
      </w:r>
      <w:r w:rsidRPr="00B27419">
        <w:rPr>
          <w:rFonts w:cs="Times New Roman"/>
          <w:lang w:val="fr-CA"/>
        </w:rPr>
        <w:t>indéterminé</w:t>
      </w:r>
      <w:r w:rsidR="00B27419">
        <w:rPr>
          <w:rFonts w:cs="Times New Roman"/>
          <w:lang w:val="fr-CA"/>
        </w:rPr>
        <w:t> »</w:t>
      </w:r>
      <w:r w:rsidRPr="00B27419">
        <w:rPr>
          <w:rFonts w:cs="Times New Roman"/>
          <w:lang w:val="fr-CA"/>
        </w:rPr>
        <w:t xml:space="preserve"> aux effets quantitatifs qui n’ont pas été quantifiés. Selon elle, ces données ont une valeur probante quant à l’efficience (par.</w:t>
      </w:r>
      <w:r w:rsidR="00E6271F" w:rsidRPr="00B27419">
        <w:rPr>
          <w:rFonts w:cs="Times New Roman"/>
          <w:lang w:val="fr-CA"/>
        </w:rPr>
        <w:t xml:space="preserve"> </w:t>
      </w:r>
      <w:r w:rsidRPr="00B27419">
        <w:rPr>
          <w:rFonts w:cs="Times New Roman"/>
          <w:lang w:val="fr-CA"/>
        </w:rPr>
        <w:t>194). Je ne puis souscrire à son avis. Comme nous l’avons vu, il y a de bonnes raisons d’exiger que l’analyse qu’appelle l’art.</w:t>
      </w:r>
      <w:r w:rsidR="00E6271F" w:rsidRPr="00B27419">
        <w:rPr>
          <w:rFonts w:cs="Times New Roman"/>
          <w:lang w:val="fr-CA"/>
        </w:rPr>
        <w:t xml:space="preserve"> </w:t>
      </w:r>
      <w:r w:rsidRPr="00B27419">
        <w:rPr>
          <w:rFonts w:cs="Times New Roman"/>
          <w:lang w:val="fr-CA"/>
        </w:rPr>
        <w:t xml:space="preserve">96 soit la plus objective possible. Il est ici question d’un élément de preuve tout à fait possible à quantifier, mais qui ne l’a pas été. En tenant compte de cet élément de preuve, on effectue une analyse moins objective que si on disposait d’une estimation plus étoffée. Le Tribunal n’a pas à sacrifier l’objectivité de l’analyse parce qu’une partie n’a pas fait une estimation quantitative complète de l’ampleur d’un effet.  </w:t>
      </w:r>
    </w:p>
    <w:p w:rsidR="0039493A" w:rsidRPr="00B27419" w:rsidRDefault="0039493A" w:rsidP="00B27419">
      <w:pPr>
        <w:pStyle w:val="ParaNoNdepar-AltN"/>
        <w:rPr>
          <w:rFonts w:cs="Times New Roman"/>
          <w:lang w:val="fr-CA"/>
        </w:rPr>
      </w:pPr>
      <w:r w:rsidRPr="00B27419">
        <w:rPr>
          <w:rFonts w:cs="Times New Roman"/>
          <w:lang w:val="fr-CA"/>
        </w:rPr>
        <w:t>En l’espèce, sans données sur l’élasticité par rapport au prix, la fourchette possible de la perte sèche résultant du fusionnement est inconnue.  Toutes choses égales d’ailleurs, une forte élasticité par rapport au prix emporterait vraisemblablement une perte sèche importante tandis qu’une faible élasticité par rapport au prix emporterait une perte sèche minime. Permettre au Tribunal de tenir compte de la baisse des prix invoquée sans les autres données sur la perte sèche fait intervenir une trop grande subjectivité dans l’équation, et rien ne garantit qu’il dispose de données suffisantes pour vérifier si l’analyse subjective concorderait avec celle fondée sur des effets quantifiés en bonne et due forme. En imposant aux parties la charge de quantifier les effets quantitatifs qu’elles invoqueront en attribuant une valeur nulle aux effets quantitatifs indéterminés, on fait en sorte qu’elles présenteront au Tribunal tous les paramètres nécessaires à l’évaluation de l’ampleur de tels effets. Toute autre démarche revient à se perdre en conjectures.</w:t>
      </w:r>
    </w:p>
    <w:p w:rsidR="0039493A" w:rsidRPr="00B27419" w:rsidRDefault="0039493A" w:rsidP="00B27419">
      <w:pPr>
        <w:pStyle w:val="ParaNoNdepar-AltN"/>
        <w:rPr>
          <w:rFonts w:cs="Times New Roman"/>
          <w:lang w:val="fr-CA"/>
        </w:rPr>
      </w:pPr>
      <w:r w:rsidRPr="00B27419">
        <w:rPr>
          <w:rFonts w:cs="Times New Roman"/>
          <w:lang w:val="fr-CA"/>
        </w:rPr>
        <w:lastRenderedPageBreak/>
        <w:t>La</w:t>
      </w:r>
      <w:r w:rsidR="00B73B50" w:rsidRPr="00B27419">
        <w:rPr>
          <w:rFonts w:cs="Times New Roman"/>
          <w:lang w:val="fr-CA"/>
        </w:rPr>
        <w:t xml:space="preserve"> juge </w:t>
      </w:r>
      <w:proofErr w:type="spellStart"/>
      <w:r w:rsidR="00B73B50" w:rsidRPr="00B27419">
        <w:rPr>
          <w:rFonts w:cs="Times New Roman"/>
          <w:lang w:val="fr-CA"/>
        </w:rPr>
        <w:t>Karakatsanis</w:t>
      </w:r>
      <w:proofErr w:type="spellEnd"/>
      <w:r w:rsidR="00B73B50" w:rsidRPr="00B27419">
        <w:rPr>
          <w:rFonts w:cs="Times New Roman"/>
          <w:lang w:val="fr-CA"/>
        </w:rPr>
        <w:t xml:space="preserve"> convient qu’</w:t>
      </w:r>
      <w:r w:rsidR="00B27419">
        <w:rPr>
          <w:rFonts w:cs="Times New Roman"/>
          <w:lang w:val="fr-CA"/>
        </w:rPr>
        <w:t>« </w:t>
      </w:r>
      <w:r w:rsidRPr="00B27419">
        <w:rPr>
          <w:rFonts w:cs="Times New Roman"/>
          <w:lang w:val="fr-CA"/>
        </w:rPr>
        <w:t>[é]</w:t>
      </w:r>
      <w:proofErr w:type="spellStart"/>
      <w:r w:rsidRPr="00B27419">
        <w:rPr>
          <w:rFonts w:cs="Times New Roman"/>
          <w:lang w:val="fr-CA"/>
        </w:rPr>
        <w:t>videmment</w:t>
      </w:r>
      <w:proofErr w:type="spellEnd"/>
      <w:r w:rsidRPr="00B27419">
        <w:rPr>
          <w:rFonts w:cs="Times New Roman"/>
          <w:lang w:val="fr-CA"/>
        </w:rPr>
        <w:t>, le Tribunal doit appliquer le critère prévu à l’art.</w:t>
      </w:r>
      <w:r w:rsidR="00E6271F" w:rsidRPr="00B27419">
        <w:rPr>
          <w:rFonts w:cs="Times New Roman"/>
          <w:lang w:val="fr-CA"/>
        </w:rPr>
        <w:t xml:space="preserve"> </w:t>
      </w:r>
      <w:r w:rsidRPr="00B27419">
        <w:rPr>
          <w:rFonts w:cs="Times New Roman"/>
          <w:lang w:val="fr-CA"/>
        </w:rPr>
        <w:t>96 à la preuve qui lui a été présentée d’une façon équitable pour les parties</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196), mais elle s’abstient d’expliquer comment la partie qui veut réfuter une telle thèse lacunaire est censée déterminer de manière juste les éléments quantitatifs qui lui sont opposés ou contester les éléments de la méthode d’évaluation des effets quantitatifs indéterminés. De telles réserves militent en faveur de l’attribution d’une valeur nulle aux effets quantitatifs </w:t>
      </w:r>
      <w:r w:rsidR="00B27419">
        <w:rPr>
          <w:rFonts w:cs="Times New Roman"/>
          <w:lang w:val="fr-CA"/>
        </w:rPr>
        <w:t>« </w:t>
      </w:r>
      <w:r w:rsidRPr="00B27419">
        <w:rPr>
          <w:rFonts w:cs="Times New Roman"/>
          <w:lang w:val="fr-CA"/>
        </w:rPr>
        <w:t>indéterminés</w:t>
      </w:r>
      <w:r w:rsidR="00B27419">
        <w:rPr>
          <w:rFonts w:cs="Times New Roman"/>
          <w:lang w:val="fr-CA"/>
        </w:rPr>
        <w:t> »</w:t>
      </w:r>
      <w:r w:rsidRPr="00B27419">
        <w:rPr>
          <w:rFonts w:cs="Times New Roman"/>
          <w:lang w:val="fr-CA"/>
        </w:rPr>
        <w:t xml:space="preserve"> dans l’analyse qu’appelle l’art.</w:t>
      </w:r>
      <w:r w:rsidR="00E6271F" w:rsidRPr="00B27419">
        <w:rPr>
          <w:rFonts w:cs="Times New Roman"/>
          <w:lang w:val="fr-CA"/>
        </w:rPr>
        <w:t xml:space="preserve"> </w:t>
      </w:r>
      <w:r w:rsidRPr="00B27419">
        <w:rPr>
          <w:rFonts w:cs="Times New Roman"/>
          <w:lang w:val="fr-CA"/>
        </w:rPr>
        <w:t>96.</w:t>
      </w:r>
    </w:p>
    <w:p w:rsidR="0039493A" w:rsidRPr="00B27419" w:rsidRDefault="0039493A" w:rsidP="00B27419">
      <w:pPr>
        <w:pStyle w:val="Title4LevelTitre4Niveau"/>
        <w:tabs>
          <w:tab w:val="clear" w:pos="6480"/>
        </w:tabs>
        <w:ind w:left="1080" w:hanging="540"/>
        <w:rPr>
          <w:rFonts w:cs="Times New Roman"/>
          <w:lang w:val="fr-CA"/>
        </w:rPr>
      </w:pPr>
      <w:bookmarkStart w:id="103" w:name="_Toc396299554"/>
      <w:bookmarkStart w:id="104" w:name="_Toc397586786"/>
      <w:bookmarkStart w:id="105" w:name="_Toc409593470"/>
      <w:r w:rsidRPr="00B27419">
        <w:rPr>
          <w:rFonts w:cs="Times New Roman"/>
          <w:lang w:val="fr-CA"/>
        </w:rPr>
        <w:t xml:space="preserve">Méthode de pondération </w:t>
      </w:r>
      <w:bookmarkEnd w:id="103"/>
      <w:bookmarkEnd w:id="104"/>
      <w:r w:rsidRPr="00B27419">
        <w:rPr>
          <w:rFonts w:cs="Times New Roman"/>
          <w:lang w:val="fr-CA"/>
        </w:rPr>
        <w:t>applicable dans l’analyse qu’appelle l’art</w:t>
      </w:r>
      <w:r w:rsidR="00FD69E9" w:rsidRPr="00B27419">
        <w:rPr>
          <w:rFonts w:cs="Times New Roman"/>
          <w:lang w:val="fr-CA"/>
        </w:rPr>
        <w:t>.</w:t>
      </w:r>
      <w:r w:rsidR="00E6271F" w:rsidRPr="00B27419">
        <w:rPr>
          <w:rFonts w:cs="Times New Roman"/>
          <w:lang w:val="fr-CA"/>
        </w:rPr>
        <w:t xml:space="preserve"> </w:t>
      </w:r>
      <w:r w:rsidRPr="00B27419">
        <w:rPr>
          <w:rFonts w:cs="Times New Roman"/>
          <w:lang w:val="fr-CA"/>
        </w:rPr>
        <w:t>96</w:t>
      </w:r>
      <w:bookmarkEnd w:id="105"/>
    </w:p>
    <w:p w:rsidR="0039493A" w:rsidRPr="00B27419" w:rsidRDefault="0039493A" w:rsidP="00B27419">
      <w:pPr>
        <w:pStyle w:val="ParaNoNdepar-AltN"/>
        <w:rPr>
          <w:rFonts w:cs="Times New Roman"/>
          <w:lang w:val="fr-CA"/>
        </w:rPr>
      </w:pPr>
      <w:r w:rsidRPr="00B27419">
        <w:rPr>
          <w:rFonts w:cs="Times New Roman"/>
          <w:lang w:val="fr-CA"/>
        </w:rPr>
        <w:t>La Cour d’appel fédérale a conclu que le Tribunal avait commis une erreur de droit dans son analyse fondée sur l’art.</w:t>
      </w:r>
      <w:r w:rsidR="00E6271F" w:rsidRPr="00B27419">
        <w:rPr>
          <w:rFonts w:cs="Times New Roman"/>
          <w:lang w:val="fr-CA"/>
        </w:rPr>
        <w:t xml:space="preserve"> </w:t>
      </w:r>
      <w:r w:rsidRPr="00B27419">
        <w:rPr>
          <w:rFonts w:cs="Times New Roman"/>
          <w:lang w:val="fr-CA"/>
        </w:rPr>
        <w:t xml:space="preserve">96 en </w:t>
      </w:r>
      <w:r w:rsidR="00B27419">
        <w:rPr>
          <w:rFonts w:cs="Times New Roman"/>
          <w:lang w:val="fr-CA"/>
        </w:rPr>
        <w:t>« </w:t>
      </w:r>
      <w:r w:rsidRPr="00B27419">
        <w:rPr>
          <w:rFonts w:cs="Times New Roman"/>
          <w:lang w:val="fr-CA"/>
        </w:rPr>
        <w:t xml:space="preserve">acceptant un calcul de la perte “sèche” fautif, en recourant à une méthodologie trop subjective pour apprécier la “neutralisation”, en qualifiant d’effets qualitatifs certains effets quantitatifs que la commissaire n’avait pas quantifiés et en mentionnant des effets environnementaux qualitatifs non reconnus par la </w:t>
      </w:r>
      <w:r w:rsidRPr="00B27419">
        <w:rPr>
          <w:rFonts w:cs="Times New Roman"/>
          <w:i/>
          <w:iCs/>
          <w:lang w:val="fr-CA"/>
        </w:rPr>
        <w:t>Loi sur la concurrence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163). Plutôt que de renvoyer l’affaire au Tribunal pour qu’il statue à nouveau, la cour, convaincue de disposer d’un dossier complet lui permettant de trancher, a procédé à une nouvelle analyse des effets neutralisants. Elle a conclu que la défense fondée sur les gains en efficience ne s’appliquait pas pour deux raisons principales. D’une part, des </w:t>
      </w:r>
      <w:r w:rsidR="00B27419">
        <w:rPr>
          <w:rFonts w:cs="Times New Roman"/>
          <w:lang w:val="fr-CA"/>
        </w:rPr>
        <w:t>« </w:t>
      </w:r>
      <w:r w:rsidRPr="00B27419">
        <w:rPr>
          <w:rFonts w:cs="Times New Roman"/>
          <w:lang w:val="fr-CA"/>
        </w:rPr>
        <w:t>gains en efficience secondaires et négligeables ne sauraient neutraliser des effets anticoncurrentiels connus, même lorsque la valeur à accorder à ces effets demeure inconnue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174). D’autre part, la présente affaire portait sur un monopole </w:t>
      </w:r>
      <w:r w:rsidRPr="00B27419">
        <w:rPr>
          <w:rFonts w:cs="Times New Roman"/>
          <w:lang w:val="fr-CA"/>
        </w:rPr>
        <w:lastRenderedPageBreak/>
        <w:t>préexistant, ce qui de l’avis de la Cour d’appel fédérale a amplifié les effets anticoncurrentiels du fusionnement (par.</w:t>
      </w:r>
      <w:r w:rsidR="00E6271F" w:rsidRPr="00B27419">
        <w:rPr>
          <w:rFonts w:cs="Times New Roman"/>
          <w:lang w:val="fr-CA"/>
        </w:rPr>
        <w:t xml:space="preserve"> </w:t>
      </w:r>
      <w:r w:rsidRPr="00B27419">
        <w:rPr>
          <w:rFonts w:cs="Times New Roman"/>
          <w:lang w:val="fr-CA"/>
        </w:rPr>
        <w:t xml:space="preserve">173). </w:t>
      </w:r>
    </w:p>
    <w:p w:rsidR="0039493A" w:rsidRPr="00B27419" w:rsidRDefault="00B73B50" w:rsidP="00B27419">
      <w:pPr>
        <w:pStyle w:val="Title5LevelTitre5Niveau"/>
        <w:numPr>
          <w:ilvl w:val="0"/>
          <w:numId w:val="0"/>
        </w:numPr>
        <w:tabs>
          <w:tab w:val="clear" w:pos="1620"/>
          <w:tab w:val="left" w:pos="1800"/>
        </w:tabs>
        <w:ind w:left="1800" w:hanging="630"/>
        <w:rPr>
          <w:rFonts w:cs="Times New Roman"/>
          <w:lang w:val="fr-CA"/>
        </w:rPr>
      </w:pPr>
      <w:bookmarkStart w:id="106" w:name="_Toc396299555"/>
      <w:bookmarkStart w:id="107" w:name="_Toc397586787"/>
      <w:bookmarkStart w:id="108" w:name="_Toc409593471"/>
      <w:r w:rsidRPr="00B27419">
        <w:rPr>
          <w:rFonts w:cs="Times New Roman"/>
          <w:u w:val="none"/>
          <w:lang w:val="fr-CA"/>
        </w:rPr>
        <w:t>(i)</w:t>
      </w:r>
      <w:r w:rsidRPr="00B27419">
        <w:rPr>
          <w:rFonts w:cs="Times New Roman"/>
          <w:u w:val="none"/>
          <w:lang w:val="fr-CA"/>
        </w:rPr>
        <w:tab/>
      </w:r>
      <w:r w:rsidR="0039493A" w:rsidRPr="00B27419">
        <w:rPr>
          <w:rFonts w:cs="Times New Roman"/>
          <w:lang w:val="fr-CA"/>
        </w:rPr>
        <w:t xml:space="preserve">La condition selon laquelle les gains en efficience </w:t>
      </w:r>
      <w:r w:rsidR="00B27419">
        <w:rPr>
          <w:rFonts w:cs="Times New Roman"/>
          <w:lang w:val="fr-CA"/>
        </w:rPr>
        <w:t>« </w:t>
      </w:r>
      <w:r w:rsidR="0039493A" w:rsidRPr="00B27419">
        <w:rPr>
          <w:rFonts w:cs="Times New Roman"/>
          <w:lang w:val="fr-CA"/>
        </w:rPr>
        <w:t>surpasseront</w:t>
      </w:r>
      <w:r w:rsidR="00B27419">
        <w:rPr>
          <w:rFonts w:cs="Times New Roman"/>
          <w:lang w:val="fr-CA"/>
        </w:rPr>
        <w:t> »</w:t>
      </w:r>
      <w:r w:rsidR="0039493A" w:rsidRPr="00B27419">
        <w:rPr>
          <w:rFonts w:cs="Times New Roman"/>
          <w:lang w:val="fr-CA"/>
        </w:rPr>
        <w:t xml:space="preserve"> et </w:t>
      </w:r>
      <w:r w:rsidR="00B27419">
        <w:rPr>
          <w:rFonts w:cs="Times New Roman"/>
          <w:lang w:val="fr-CA"/>
        </w:rPr>
        <w:t>« </w:t>
      </w:r>
      <w:r w:rsidR="0039493A" w:rsidRPr="00B27419">
        <w:rPr>
          <w:rFonts w:cs="Times New Roman"/>
          <w:lang w:val="fr-CA"/>
        </w:rPr>
        <w:t>neutraliseront</w:t>
      </w:r>
      <w:r w:rsidR="00B27419">
        <w:rPr>
          <w:rFonts w:cs="Times New Roman"/>
          <w:lang w:val="fr-CA"/>
        </w:rPr>
        <w:t> »</w:t>
      </w:r>
      <w:r w:rsidR="0039493A" w:rsidRPr="00B27419">
        <w:rPr>
          <w:rFonts w:cs="Times New Roman"/>
          <w:lang w:val="fr-CA"/>
        </w:rPr>
        <w:t xml:space="preserve"> les effets anticoncurrentiel</w:t>
      </w:r>
      <w:bookmarkEnd w:id="106"/>
      <w:bookmarkEnd w:id="107"/>
      <w:r w:rsidR="0039493A" w:rsidRPr="00B27419">
        <w:rPr>
          <w:rFonts w:cs="Times New Roman"/>
          <w:lang w:val="fr-CA"/>
        </w:rPr>
        <w:t>s</w:t>
      </w:r>
      <w:bookmarkEnd w:id="108"/>
    </w:p>
    <w:p w:rsidR="0039493A" w:rsidRPr="00B27419" w:rsidRDefault="0039493A" w:rsidP="00B27419">
      <w:pPr>
        <w:pStyle w:val="ParaNoNdepar-AltN"/>
        <w:rPr>
          <w:rFonts w:cs="Times New Roman"/>
          <w:lang w:val="fr-CA"/>
        </w:rPr>
      </w:pPr>
      <w:r w:rsidRPr="00B27419">
        <w:rPr>
          <w:rFonts w:cs="Times New Roman"/>
          <w:lang w:val="fr-CA"/>
        </w:rPr>
        <w:t>La Cour d’appel fédérale a conclu que les gains en efficience ne satisfaisaient pas à la condition établie à l’art.</w:t>
      </w:r>
      <w:r w:rsidR="00E6271F" w:rsidRPr="00B27419">
        <w:rPr>
          <w:rFonts w:cs="Times New Roman"/>
          <w:lang w:val="fr-CA"/>
        </w:rPr>
        <w:t xml:space="preserve"> </w:t>
      </w:r>
      <w:r w:rsidRPr="00B27419">
        <w:rPr>
          <w:rFonts w:cs="Times New Roman"/>
          <w:lang w:val="fr-CA"/>
        </w:rPr>
        <w:t xml:space="preserve">96, soit qu’ils </w:t>
      </w:r>
      <w:r w:rsidR="00B27419">
        <w:rPr>
          <w:rFonts w:cs="Times New Roman"/>
          <w:lang w:val="fr-CA"/>
        </w:rPr>
        <w:t>« </w:t>
      </w:r>
      <w:r w:rsidRPr="00B27419">
        <w:rPr>
          <w:rFonts w:cs="Times New Roman"/>
          <w:lang w:val="fr-CA"/>
        </w:rPr>
        <w:t>surpasseront</w:t>
      </w:r>
      <w:r w:rsidR="00B27419">
        <w:rPr>
          <w:rFonts w:cs="Times New Roman"/>
          <w:lang w:val="fr-CA"/>
        </w:rPr>
        <w:t> »</w:t>
      </w:r>
      <w:r w:rsidRPr="00B27419">
        <w:rPr>
          <w:rFonts w:cs="Times New Roman"/>
          <w:lang w:val="fr-CA"/>
        </w:rPr>
        <w:t xml:space="preserve"> et </w:t>
      </w:r>
      <w:r w:rsidR="00B27419">
        <w:rPr>
          <w:rFonts w:cs="Times New Roman"/>
          <w:lang w:val="fr-CA"/>
        </w:rPr>
        <w:t>« </w:t>
      </w:r>
      <w:r w:rsidRPr="00B27419">
        <w:rPr>
          <w:rFonts w:cs="Times New Roman"/>
          <w:lang w:val="fr-CA"/>
        </w:rPr>
        <w:t>neutraliseront</w:t>
      </w:r>
      <w:r w:rsidR="00B27419">
        <w:rPr>
          <w:rFonts w:cs="Times New Roman"/>
          <w:lang w:val="fr-CA"/>
        </w:rPr>
        <w:t> »</w:t>
      </w:r>
      <w:r w:rsidRPr="00B27419">
        <w:rPr>
          <w:rFonts w:cs="Times New Roman"/>
          <w:lang w:val="fr-CA"/>
        </w:rPr>
        <w:t xml:space="preserve"> les effets anticoncurrentiels. Les gains étaient </w:t>
      </w:r>
      <w:r w:rsidR="00B27419">
        <w:rPr>
          <w:rFonts w:cs="Times New Roman"/>
          <w:lang w:val="fr-CA"/>
        </w:rPr>
        <w:t>« </w:t>
      </w:r>
      <w:r w:rsidRPr="00B27419">
        <w:rPr>
          <w:rFonts w:cs="Times New Roman"/>
          <w:lang w:val="fr-CA"/>
        </w:rPr>
        <w:t>secondaires</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174), </w:t>
      </w:r>
      <w:r w:rsidR="00B27419">
        <w:rPr>
          <w:rFonts w:cs="Times New Roman"/>
          <w:lang w:val="fr-CA"/>
        </w:rPr>
        <w:t>« </w:t>
      </w:r>
      <w:r w:rsidR="00B73B50" w:rsidRPr="00B27419">
        <w:rPr>
          <w:rFonts w:cs="Times New Roman"/>
          <w:lang w:val="fr-CA"/>
        </w:rPr>
        <w:t>négligeables</w:t>
      </w:r>
      <w:r w:rsidR="00B27419">
        <w:rPr>
          <w:rFonts w:cs="Times New Roman"/>
          <w:lang w:val="fr-CA"/>
        </w:rPr>
        <w:t> »</w:t>
      </w:r>
      <w:r w:rsidR="00B73B50" w:rsidRPr="00B27419">
        <w:rPr>
          <w:rFonts w:cs="Times New Roman"/>
          <w:lang w:val="fr-CA"/>
        </w:rPr>
        <w:t xml:space="preserve"> (par.</w:t>
      </w:r>
      <w:r w:rsidR="00E6271F" w:rsidRPr="00B27419">
        <w:rPr>
          <w:rFonts w:cs="Times New Roman"/>
          <w:lang w:val="fr-CA"/>
        </w:rPr>
        <w:t xml:space="preserve"> </w:t>
      </w:r>
      <w:r w:rsidR="00B73B50" w:rsidRPr="00B27419">
        <w:rPr>
          <w:rFonts w:cs="Times New Roman"/>
          <w:lang w:val="fr-CA"/>
        </w:rPr>
        <w:t>34, 169-</w:t>
      </w:r>
      <w:r w:rsidRPr="00B27419">
        <w:rPr>
          <w:rFonts w:cs="Times New Roman"/>
          <w:lang w:val="fr-CA"/>
        </w:rPr>
        <w:t xml:space="preserve">170 et 174) et </w:t>
      </w:r>
      <w:r w:rsidR="00B27419">
        <w:rPr>
          <w:rFonts w:cs="Times New Roman"/>
          <w:lang w:val="fr-CA"/>
        </w:rPr>
        <w:t>« </w:t>
      </w:r>
      <w:r w:rsidRPr="00B27419">
        <w:rPr>
          <w:rFonts w:cs="Times New Roman"/>
          <w:lang w:val="fr-CA"/>
        </w:rPr>
        <w:t>insignifiants</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170) et, donc, ils ne surpassaient pas les effets anticoncurrentiels. En outre, le Tribunal a conclu que </w:t>
      </w:r>
      <w:r w:rsidR="00B27419">
        <w:rPr>
          <w:rFonts w:cs="Times New Roman"/>
          <w:lang w:val="fr-CA"/>
        </w:rPr>
        <w:t>« </w:t>
      </w:r>
      <w:r w:rsidRPr="00B27419">
        <w:rPr>
          <w:rFonts w:cs="Times New Roman"/>
          <w:sz w:val="23"/>
          <w:szCs w:val="23"/>
          <w:u w:val="single"/>
          <w:lang w:val="fr-CA"/>
        </w:rPr>
        <w:t xml:space="preserve">même si une pondération nulle était attribuée aux effets </w:t>
      </w:r>
      <w:r w:rsidRPr="00B27419">
        <w:rPr>
          <w:rFonts w:cs="Times New Roman"/>
          <w:iCs/>
          <w:sz w:val="23"/>
          <w:szCs w:val="23"/>
          <w:u w:val="single"/>
          <w:lang w:val="fr-CA"/>
        </w:rPr>
        <w:t>quantifiables</w:t>
      </w:r>
      <w:r w:rsidRPr="00B27419">
        <w:rPr>
          <w:rFonts w:cs="Times New Roman"/>
          <w:sz w:val="23"/>
          <w:szCs w:val="23"/>
          <w:lang w:val="fr-CA"/>
        </w:rPr>
        <w:t>, comme le propose</w:t>
      </w:r>
      <w:r w:rsidRPr="00B27419">
        <w:rPr>
          <w:rFonts w:cs="Times New Roman"/>
          <w:lang w:val="fr-CA"/>
        </w:rPr>
        <w:t xml:space="preserve"> [</w:t>
      </w:r>
      <w:proofErr w:type="spellStart"/>
      <w:r w:rsidRPr="00B27419">
        <w:rPr>
          <w:rFonts w:cs="Times New Roman"/>
          <w:lang w:val="fr-CA"/>
        </w:rPr>
        <w:t>Tervita</w:t>
      </w:r>
      <w:proofErr w:type="spellEnd"/>
      <w:r w:rsidRPr="00B27419">
        <w:rPr>
          <w:rFonts w:cs="Times New Roman"/>
          <w:lang w:val="fr-CA"/>
        </w:rPr>
        <w:t>]</w:t>
      </w:r>
      <w:r w:rsidRPr="00B27419">
        <w:rPr>
          <w:rFonts w:cs="Times New Roman"/>
          <w:sz w:val="23"/>
          <w:szCs w:val="23"/>
          <w:lang w:val="fr-CA"/>
        </w:rPr>
        <w:t>, celle</w:t>
      </w:r>
      <w:r w:rsidR="00E6271F" w:rsidRPr="00B27419">
        <w:rPr>
          <w:rFonts w:cs="Times New Roman"/>
          <w:sz w:val="23"/>
          <w:szCs w:val="23"/>
          <w:lang w:val="fr-CA"/>
        </w:rPr>
        <w:t>-</w:t>
      </w:r>
      <w:r w:rsidRPr="00B27419">
        <w:rPr>
          <w:rFonts w:cs="Times New Roman"/>
          <w:sz w:val="23"/>
          <w:szCs w:val="23"/>
          <w:lang w:val="fr-CA"/>
        </w:rPr>
        <w:t>ci n’a pas satisfait au critère de “neutralisation” de l’article 96</w:t>
      </w:r>
      <w:r w:rsidR="00B27419">
        <w:rPr>
          <w:rFonts w:cs="Times New Roman"/>
          <w:lang w:val="fr-CA"/>
        </w:rPr>
        <w:t> »</w:t>
      </w:r>
      <w:r w:rsidR="00B73B50" w:rsidRPr="00B27419">
        <w:rPr>
          <w:rFonts w:cs="Times New Roman"/>
          <w:lang w:val="fr-CA"/>
        </w:rPr>
        <w:t xml:space="preserve"> (par.</w:t>
      </w:r>
      <w:r w:rsidR="00E6271F" w:rsidRPr="00B27419">
        <w:rPr>
          <w:rFonts w:cs="Times New Roman"/>
          <w:lang w:val="fr-CA"/>
        </w:rPr>
        <w:t xml:space="preserve"> </w:t>
      </w:r>
      <w:r w:rsidR="00B73B50" w:rsidRPr="00B27419">
        <w:rPr>
          <w:rFonts w:cs="Times New Roman"/>
          <w:lang w:val="fr-CA"/>
        </w:rPr>
        <w:t>314</w:t>
      </w:r>
      <w:r w:rsidRPr="00B27419">
        <w:rPr>
          <w:rFonts w:cs="Times New Roman"/>
          <w:lang w:val="fr-CA"/>
        </w:rPr>
        <w:t xml:space="preserve"> </w:t>
      </w:r>
      <w:r w:rsidR="00B73B50" w:rsidRPr="00B27419">
        <w:rPr>
          <w:rFonts w:cs="Times New Roman"/>
          <w:lang w:val="fr-CA"/>
        </w:rPr>
        <w:t>(</w:t>
      </w:r>
      <w:r w:rsidR="00BD7A36">
        <w:rPr>
          <w:rFonts w:cs="Times New Roman"/>
          <w:lang w:val="fr-CA"/>
        </w:rPr>
        <w:t>je souligne; italique</w:t>
      </w:r>
      <w:r w:rsidRPr="00B27419">
        <w:rPr>
          <w:rFonts w:cs="Times New Roman"/>
          <w:lang w:val="fr-CA"/>
        </w:rPr>
        <w:t xml:space="preserve"> dans l’original omis</w:t>
      </w:r>
      <w:r w:rsidR="00B73B50" w:rsidRPr="00B27419">
        <w:rPr>
          <w:rFonts w:cs="Times New Roman"/>
          <w:lang w:val="fr-CA"/>
        </w:rPr>
        <w:t>)</w:t>
      </w:r>
      <w:r w:rsidRPr="00B27419">
        <w:rPr>
          <w:rFonts w:cs="Times New Roman"/>
          <w:lang w:val="fr-CA"/>
        </w:rPr>
        <w:t>). Si j’ai conclu qu’il y a lieu d’accorder une valeur nulle aux effets anticoncurrentiels, je me pencherai tout de même sur l’interprétation à donner à la condition de surpassement et de neutralisation en raison de l’importance que revêt cette question dans le cadre de l’analyse globale effectuée sous le régime de l’art.</w:t>
      </w:r>
      <w:r w:rsidR="00E6271F" w:rsidRPr="00B27419">
        <w:rPr>
          <w:rFonts w:cs="Times New Roman"/>
          <w:lang w:val="fr-CA"/>
        </w:rPr>
        <w:t xml:space="preserve"> </w:t>
      </w:r>
      <w:r w:rsidRPr="00B27419">
        <w:rPr>
          <w:rFonts w:cs="Times New Roman"/>
          <w:lang w:val="fr-CA"/>
        </w:rPr>
        <w:t>96.</w:t>
      </w:r>
    </w:p>
    <w:p w:rsidR="0039493A" w:rsidRPr="00B27419" w:rsidRDefault="0039493A" w:rsidP="00B27419">
      <w:pPr>
        <w:pStyle w:val="ParaNoNdepar-AltN"/>
        <w:rPr>
          <w:rFonts w:cs="Times New Roman"/>
          <w:lang w:val="fr-CA"/>
        </w:rPr>
      </w:pPr>
      <w:r w:rsidRPr="00B27419">
        <w:rPr>
          <w:rFonts w:cs="Times New Roman"/>
          <w:lang w:val="fr-CA"/>
        </w:rPr>
        <w:t xml:space="preserve">La question à trancher est celle de savoir si cette condition légale oblige les parties au fusionnement à démontrer que les gains en efficience non seulement surpasseront les effets anticoncurrentiels, mais les neutraliseront également. Si je comprends bien, la commissaire soutient à cet égard que le libellé de la loi commande un seuil de gains en efficience </w:t>
      </w:r>
      <w:r w:rsidR="001F70F6" w:rsidRPr="00B27419">
        <w:rPr>
          <w:rFonts w:cs="Times New Roman"/>
          <w:lang w:val="fr-CA"/>
        </w:rPr>
        <w:t>[</w:t>
      </w:r>
      <w:r w:rsidR="001F70F6" w:rsidRPr="00B27419">
        <w:rPr>
          <w:rFonts w:cs="Times New Roman"/>
          <w:smallCaps/>
          <w:lang w:val="fr-CA"/>
        </w:rPr>
        <w:t>traduction</w:t>
      </w:r>
      <w:r w:rsidR="001F70F6" w:rsidRPr="00B27419">
        <w:rPr>
          <w:rFonts w:cs="Times New Roman"/>
          <w:lang w:val="fr-CA"/>
        </w:rPr>
        <w:t xml:space="preserve">] </w:t>
      </w:r>
      <w:r w:rsidR="00B27419">
        <w:rPr>
          <w:rFonts w:cs="Times New Roman"/>
          <w:lang w:val="fr-CA"/>
        </w:rPr>
        <w:t>« </w:t>
      </w:r>
      <w:r w:rsidRPr="00B27419">
        <w:rPr>
          <w:rFonts w:cs="Times New Roman"/>
          <w:lang w:val="fr-CA"/>
        </w:rPr>
        <w:t>plus que négligeables</w:t>
      </w:r>
      <w:r w:rsidR="00B27419">
        <w:rPr>
          <w:rFonts w:cs="Times New Roman"/>
          <w:lang w:val="fr-CA"/>
        </w:rPr>
        <w:t> »</w:t>
      </w:r>
      <w:r w:rsidRPr="00B27419">
        <w:rPr>
          <w:rFonts w:cs="Times New Roman"/>
          <w:lang w:val="fr-CA"/>
        </w:rPr>
        <w:t xml:space="preserve"> pour que la </w:t>
      </w:r>
      <w:r w:rsidRPr="00B27419">
        <w:rPr>
          <w:rFonts w:cs="Times New Roman"/>
          <w:lang w:val="fr-CA"/>
        </w:rPr>
        <w:lastRenderedPageBreak/>
        <w:t>défense fondée sur les gains en efficience soit retenue (transcription, p.</w:t>
      </w:r>
      <w:r w:rsidR="00E6271F" w:rsidRPr="00B27419">
        <w:rPr>
          <w:rFonts w:cs="Times New Roman"/>
          <w:lang w:val="fr-CA"/>
        </w:rPr>
        <w:t xml:space="preserve"> </w:t>
      </w:r>
      <w:r w:rsidRPr="00B27419">
        <w:rPr>
          <w:rFonts w:cs="Times New Roman"/>
          <w:lang w:val="fr-CA"/>
        </w:rPr>
        <w:t>60). On me pardonnera de ne pas être d’accord.</w:t>
      </w:r>
    </w:p>
    <w:p w:rsidR="0039493A" w:rsidRPr="00B27419" w:rsidRDefault="0039493A" w:rsidP="00B27419">
      <w:pPr>
        <w:pStyle w:val="ParaNoNdepar-AltN"/>
        <w:rPr>
          <w:rFonts w:cs="Times New Roman"/>
          <w:lang w:val="fr-CA"/>
        </w:rPr>
      </w:pPr>
      <w:r w:rsidRPr="00B27419">
        <w:rPr>
          <w:rFonts w:cs="Times New Roman"/>
          <w:lang w:val="fr-CA"/>
        </w:rPr>
        <w:t xml:space="preserve">Le libellé de la loi — aux termes de laquelle la défense s’applique si les gains en efficience </w:t>
      </w:r>
      <w:r w:rsidR="00B27419">
        <w:rPr>
          <w:rFonts w:cs="Times New Roman"/>
          <w:lang w:val="fr-CA"/>
        </w:rPr>
        <w:t>« </w:t>
      </w:r>
      <w:r w:rsidRPr="00B27419">
        <w:rPr>
          <w:rFonts w:cs="Times New Roman"/>
          <w:lang w:val="fr-CA"/>
        </w:rPr>
        <w:t>surpasseront</w:t>
      </w:r>
      <w:r w:rsidR="00B27419">
        <w:rPr>
          <w:rFonts w:cs="Times New Roman"/>
          <w:lang w:val="fr-CA"/>
        </w:rPr>
        <w:t> »</w:t>
      </w:r>
      <w:r w:rsidRPr="00B27419">
        <w:rPr>
          <w:rFonts w:cs="Times New Roman"/>
          <w:lang w:val="fr-CA"/>
        </w:rPr>
        <w:t xml:space="preserve"> et </w:t>
      </w:r>
      <w:r w:rsidR="00B27419">
        <w:rPr>
          <w:rFonts w:cs="Times New Roman"/>
          <w:lang w:val="fr-CA"/>
        </w:rPr>
        <w:t>« </w:t>
      </w:r>
      <w:r w:rsidRPr="00B27419">
        <w:rPr>
          <w:rFonts w:cs="Times New Roman"/>
          <w:lang w:val="fr-CA"/>
        </w:rPr>
        <w:t>neutraliseront</w:t>
      </w:r>
      <w:r w:rsidR="00B27419">
        <w:rPr>
          <w:rFonts w:cs="Times New Roman"/>
          <w:lang w:val="fr-CA"/>
        </w:rPr>
        <w:t> »</w:t>
      </w:r>
      <w:r w:rsidRPr="00B27419">
        <w:rPr>
          <w:rFonts w:cs="Times New Roman"/>
          <w:lang w:val="fr-CA"/>
        </w:rPr>
        <w:t xml:space="preserve"> les eff</w:t>
      </w:r>
      <w:r w:rsidR="00BD7A36">
        <w:rPr>
          <w:rFonts w:cs="Times New Roman"/>
          <w:lang w:val="fr-CA"/>
        </w:rPr>
        <w:t>ets anticoncurrentiels —</w:t>
      </w:r>
      <w:r w:rsidRPr="00B27419">
        <w:rPr>
          <w:rFonts w:cs="Times New Roman"/>
          <w:lang w:val="fr-CA"/>
        </w:rPr>
        <w:t xml:space="preserve"> emporte la mise en balance des aspects tant quantitatifs que qualitatifs. Le verbe </w:t>
      </w:r>
      <w:r w:rsidR="00B27419">
        <w:rPr>
          <w:rFonts w:cs="Times New Roman"/>
          <w:lang w:val="fr-CA"/>
        </w:rPr>
        <w:t>« </w:t>
      </w:r>
      <w:r w:rsidRPr="00B27419">
        <w:rPr>
          <w:rFonts w:cs="Times New Roman"/>
          <w:lang w:val="fr-CA"/>
        </w:rPr>
        <w:t>surpasseront</w:t>
      </w:r>
      <w:r w:rsidR="00B27419">
        <w:rPr>
          <w:rFonts w:cs="Times New Roman"/>
          <w:lang w:val="fr-CA"/>
        </w:rPr>
        <w:t> »</w:t>
      </w:r>
      <w:r w:rsidRPr="00B27419">
        <w:rPr>
          <w:rFonts w:cs="Times New Roman"/>
          <w:lang w:val="fr-CA"/>
        </w:rPr>
        <w:t xml:space="preserve"> évoque une comparaison numérique des gains en efficience et des effets anticoncurrentiels. Le verbe </w:t>
      </w:r>
      <w:r w:rsidR="00B27419">
        <w:rPr>
          <w:rFonts w:cs="Times New Roman"/>
          <w:lang w:val="fr-CA"/>
        </w:rPr>
        <w:t>« </w:t>
      </w:r>
      <w:r w:rsidRPr="00B27419">
        <w:rPr>
          <w:rFonts w:cs="Times New Roman"/>
          <w:lang w:val="fr-CA"/>
        </w:rPr>
        <w:t>neutraliseront</w:t>
      </w:r>
      <w:r w:rsidR="00B27419">
        <w:rPr>
          <w:rFonts w:cs="Times New Roman"/>
          <w:lang w:val="fr-CA"/>
        </w:rPr>
        <w:t> »</w:t>
      </w:r>
      <w:r w:rsidRPr="00B27419">
        <w:rPr>
          <w:rFonts w:cs="Times New Roman"/>
          <w:lang w:val="fr-CA"/>
        </w:rPr>
        <w:t xml:space="preserve"> implique une analyse subjective liée à une </w:t>
      </w:r>
      <w:r w:rsidR="00B27419">
        <w:rPr>
          <w:rFonts w:cs="Times New Roman"/>
          <w:lang w:val="fr-CA"/>
        </w:rPr>
        <w:t>« </w:t>
      </w:r>
      <w:r w:rsidRPr="00B27419">
        <w:rPr>
          <w:rFonts w:cs="Times New Roman"/>
          <w:lang w:val="fr-CA"/>
        </w:rPr>
        <w:t>pondération en nombres incommensurables (par</w:t>
      </w:r>
      <w:r w:rsidR="00E6271F" w:rsidRPr="00B27419">
        <w:rPr>
          <w:rFonts w:cs="Times New Roman"/>
          <w:lang w:val="fr-CA"/>
        </w:rPr>
        <w:t xml:space="preserve"> </w:t>
      </w:r>
      <w:r w:rsidRPr="00B27419">
        <w:rPr>
          <w:rFonts w:cs="Times New Roman"/>
          <w:lang w:val="fr-CA"/>
        </w:rPr>
        <w:t>ex., des pommes et des oranges)</w:t>
      </w:r>
      <w:r w:rsidR="00B27419">
        <w:rPr>
          <w:rFonts w:cs="Times New Roman"/>
          <w:lang w:val="fr-CA"/>
        </w:rPr>
        <w:t> »</w:t>
      </w:r>
      <w:r w:rsidRPr="00B27419">
        <w:rPr>
          <w:rFonts w:cs="Times New Roman"/>
          <w:lang w:val="fr-CA"/>
        </w:rPr>
        <w:t xml:space="preserve"> (décision du Tribunal, par.</w:t>
      </w:r>
      <w:r w:rsidR="00E6271F" w:rsidRPr="00B27419">
        <w:rPr>
          <w:rFonts w:cs="Times New Roman"/>
          <w:lang w:val="fr-CA"/>
        </w:rPr>
        <w:t xml:space="preserve"> </w:t>
      </w:r>
      <w:r w:rsidRPr="00B27419">
        <w:rPr>
          <w:rFonts w:cs="Times New Roman"/>
          <w:lang w:val="fr-CA"/>
        </w:rPr>
        <w:t xml:space="preserve">309) — des considérations qui ne peuvent être comparées sur le plan quantitatif parce qu’elles n’ont aucune commune mesure. L’emploi du verbe </w:t>
      </w:r>
      <w:r w:rsidR="00BD7A36">
        <w:rPr>
          <w:rFonts w:cs="Times New Roman"/>
          <w:lang w:val="fr-CA"/>
        </w:rPr>
        <w:t>« </w:t>
      </w:r>
      <w:r w:rsidRPr="00BD7A36">
        <w:rPr>
          <w:rFonts w:cs="Times New Roman"/>
          <w:lang w:val="fr-CA"/>
        </w:rPr>
        <w:t>neutraliseront</w:t>
      </w:r>
      <w:r w:rsidR="00BD7A36">
        <w:rPr>
          <w:rFonts w:cs="Times New Roman"/>
          <w:lang w:val="fr-CA"/>
        </w:rPr>
        <w:t> »</w:t>
      </w:r>
      <w:r w:rsidRPr="00BD7A36">
        <w:rPr>
          <w:rFonts w:cs="Times New Roman"/>
          <w:lang w:val="fr-CA"/>
        </w:rPr>
        <w:t xml:space="preserve"> </w:t>
      </w:r>
      <w:r w:rsidRPr="00B27419">
        <w:rPr>
          <w:rFonts w:cs="Times New Roman"/>
          <w:lang w:val="fr-CA"/>
        </w:rPr>
        <w:t xml:space="preserve">dans la loi donne à penser que l’analyse consiste en partie à porter un jugement (voir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II</w:t>
      </w:r>
      <w:r w:rsidRPr="00B27419">
        <w:rPr>
          <w:rFonts w:cs="Times New Roman"/>
          <w:lang w:val="fr-CA"/>
        </w:rPr>
        <w:t>, par.</w:t>
      </w:r>
      <w:r w:rsidR="00E6271F" w:rsidRPr="00B27419">
        <w:rPr>
          <w:rFonts w:cs="Times New Roman"/>
          <w:lang w:val="fr-CA"/>
        </w:rPr>
        <w:t xml:space="preserve"> </w:t>
      </w:r>
      <w:r w:rsidRPr="00B27419">
        <w:rPr>
          <w:rFonts w:cs="Times New Roman"/>
          <w:lang w:val="fr-CA"/>
        </w:rPr>
        <w:t xml:space="preserve">100). L’emploi du terme </w:t>
      </w:r>
      <w:r w:rsidR="00B27419">
        <w:rPr>
          <w:rFonts w:cs="Times New Roman"/>
          <w:lang w:val="fr-CA"/>
        </w:rPr>
        <w:t>« </w:t>
      </w:r>
      <w:r w:rsidRPr="00B27419">
        <w:rPr>
          <w:rFonts w:cs="Times New Roman"/>
          <w:i/>
          <w:lang w:val="fr-CA"/>
        </w:rPr>
        <w:t>offset</w:t>
      </w:r>
      <w:r w:rsidR="00B27419">
        <w:rPr>
          <w:rFonts w:cs="Times New Roman"/>
          <w:lang w:val="fr-CA"/>
        </w:rPr>
        <w:t> »</w:t>
      </w:r>
      <w:r w:rsidRPr="00B27419">
        <w:rPr>
          <w:rFonts w:cs="Times New Roman"/>
          <w:lang w:val="fr-CA"/>
        </w:rPr>
        <w:t xml:space="preserve"> dans la version anglaise de l’art.</w:t>
      </w:r>
      <w:r w:rsidR="00E6271F" w:rsidRPr="00B27419">
        <w:rPr>
          <w:rFonts w:cs="Times New Roman"/>
          <w:lang w:val="fr-CA"/>
        </w:rPr>
        <w:t xml:space="preserve"> </w:t>
      </w:r>
      <w:r w:rsidRPr="00B27419">
        <w:rPr>
          <w:rFonts w:cs="Times New Roman"/>
          <w:lang w:val="fr-CA"/>
        </w:rPr>
        <w:t>96 laisse entendre qu’il faut procéder à une évaluation subjective pour déterminer si les gains en efficience compenseront ou contrebalanceront les effets anticoncurrentiels.</w:t>
      </w:r>
    </w:p>
    <w:p w:rsidR="0039493A" w:rsidRPr="00B27419" w:rsidRDefault="0039493A" w:rsidP="00B27419">
      <w:pPr>
        <w:pStyle w:val="ParaNoNdepar-AltN"/>
        <w:rPr>
          <w:rFonts w:cs="Times New Roman"/>
          <w:lang w:val="fr-CA"/>
        </w:rPr>
      </w:pPr>
      <w:r w:rsidRPr="00B27419">
        <w:rPr>
          <w:rFonts w:cs="Times New Roman"/>
          <w:lang w:val="fr-CA"/>
        </w:rPr>
        <w:t xml:space="preserve">Ensemble, les verbes </w:t>
      </w:r>
      <w:r w:rsidR="00B27419">
        <w:rPr>
          <w:rFonts w:cs="Times New Roman"/>
          <w:lang w:val="fr-CA"/>
        </w:rPr>
        <w:t>« </w:t>
      </w:r>
      <w:r w:rsidRPr="00B27419">
        <w:rPr>
          <w:rFonts w:cs="Times New Roman"/>
          <w:lang w:val="fr-CA"/>
        </w:rPr>
        <w:t>surpasseront</w:t>
      </w:r>
      <w:r w:rsidR="00B27419">
        <w:rPr>
          <w:rFonts w:cs="Times New Roman"/>
          <w:lang w:val="fr-CA"/>
        </w:rPr>
        <w:t> »</w:t>
      </w:r>
      <w:r w:rsidRPr="00B27419">
        <w:rPr>
          <w:rFonts w:cs="Times New Roman"/>
          <w:lang w:val="fr-CA"/>
        </w:rPr>
        <w:t xml:space="preserve"> et </w:t>
      </w:r>
      <w:r w:rsidR="00B27419">
        <w:rPr>
          <w:rFonts w:cs="Times New Roman"/>
          <w:lang w:val="fr-CA"/>
        </w:rPr>
        <w:t>« </w:t>
      </w:r>
      <w:r w:rsidRPr="00B27419">
        <w:rPr>
          <w:rFonts w:cs="Times New Roman"/>
          <w:lang w:val="fr-CA"/>
        </w:rPr>
        <w:t>neutraliseront</w:t>
      </w:r>
      <w:r w:rsidR="00B27419">
        <w:rPr>
          <w:rFonts w:cs="Times New Roman"/>
          <w:lang w:val="fr-CA"/>
        </w:rPr>
        <w:t> »</w:t>
      </w:r>
      <w:r w:rsidRPr="00B27419">
        <w:rPr>
          <w:rFonts w:cs="Times New Roman"/>
          <w:lang w:val="fr-CA"/>
        </w:rPr>
        <w:t xml:space="preserve"> obligent le Tribunal à déterminer les aspects tant quantitatifs que qualitatifs du fusionnement, puis à les soupeser. Ce point de vue est étayé par le sens ordinaire du verbe </w:t>
      </w:r>
      <w:r w:rsidR="00B27419">
        <w:rPr>
          <w:rFonts w:cs="Times New Roman"/>
          <w:lang w:val="fr-CA"/>
        </w:rPr>
        <w:t>« </w:t>
      </w:r>
      <w:r w:rsidRPr="00B27419">
        <w:rPr>
          <w:rFonts w:cs="Times New Roman"/>
          <w:lang w:val="fr-CA"/>
        </w:rPr>
        <w:t>neutraliser</w:t>
      </w:r>
      <w:r w:rsidR="00B27419">
        <w:rPr>
          <w:rFonts w:cs="Times New Roman"/>
          <w:lang w:val="fr-CA"/>
        </w:rPr>
        <w:t> »</w:t>
      </w:r>
      <w:r w:rsidRPr="00B27419">
        <w:rPr>
          <w:rFonts w:cs="Times New Roman"/>
          <w:lang w:val="fr-CA"/>
        </w:rPr>
        <w:t xml:space="preserve">, que </w:t>
      </w:r>
      <w:r w:rsidRPr="00B27419">
        <w:rPr>
          <w:rFonts w:cs="Times New Roman"/>
          <w:i/>
          <w:lang w:val="fr-CA"/>
        </w:rPr>
        <w:t>Le Grand Robert</w:t>
      </w:r>
      <w:r w:rsidR="001F70F6" w:rsidRPr="00B27419">
        <w:rPr>
          <w:rFonts w:cs="Times New Roman"/>
          <w:i/>
          <w:lang w:val="fr-CA"/>
        </w:rPr>
        <w:t xml:space="preserve"> de la langue française </w:t>
      </w:r>
      <w:r w:rsidR="001F70F6" w:rsidRPr="00B27419">
        <w:rPr>
          <w:rFonts w:cs="Times New Roman"/>
          <w:lang w:val="fr-CA"/>
        </w:rPr>
        <w:t>(version</w:t>
      </w:r>
      <w:r w:rsidRPr="00B27419">
        <w:rPr>
          <w:rFonts w:cs="Times New Roman"/>
          <w:lang w:val="fr-CA"/>
        </w:rPr>
        <w:t xml:space="preserve"> électronique</w:t>
      </w:r>
      <w:r w:rsidR="001F70F6" w:rsidRPr="00B27419">
        <w:rPr>
          <w:rFonts w:cs="Times New Roman"/>
          <w:lang w:val="fr-CA"/>
        </w:rPr>
        <w:t>)</w:t>
      </w:r>
      <w:r w:rsidRPr="00B27419">
        <w:rPr>
          <w:rFonts w:cs="Times New Roman"/>
          <w:lang w:val="fr-CA"/>
        </w:rPr>
        <w:t xml:space="preserve"> définit en ces termes</w:t>
      </w:r>
      <w:r w:rsidR="00E6271F" w:rsidRPr="00B27419">
        <w:rPr>
          <w:rFonts w:cs="Times New Roman"/>
          <w:lang w:val="fr-CA"/>
        </w:rPr>
        <w:t> :</w:t>
      </w:r>
      <w:r w:rsidRPr="00B27419">
        <w:rPr>
          <w:rFonts w:cs="Times New Roman"/>
          <w:lang w:val="fr-CA"/>
        </w:rPr>
        <w:t xml:space="preserve"> </w:t>
      </w:r>
      <w:r w:rsidR="00B27419">
        <w:rPr>
          <w:rFonts w:cs="Times New Roman"/>
          <w:lang w:val="fr-CA"/>
        </w:rPr>
        <w:t>« </w:t>
      </w:r>
      <w:r w:rsidRPr="00B27419">
        <w:rPr>
          <w:rFonts w:cs="Times New Roman"/>
          <w:lang w:val="fr-CA"/>
        </w:rPr>
        <w:t>Empêcher d’agir, par une action contraire qui tend à annuler les efforts ou les effets</w:t>
      </w:r>
      <w:r w:rsidR="00B27419">
        <w:rPr>
          <w:rFonts w:cs="Times New Roman"/>
          <w:lang w:val="fr-CA"/>
        </w:rPr>
        <w:t> »</w:t>
      </w:r>
      <w:r w:rsidRPr="00B27419">
        <w:rPr>
          <w:rFonts w:cs="Times New Roman"/>
          <w:lang w:val="fr-CA"/>
        </w:rPr>
        <w:t xml:space="preserve"> et, dans sa forme pronominale</w:t>
      </w:r>
      <w:r w:rsidR="00E6271F" w:rsidRPr="00B27419">
        <w:rPr>
          <w:rFonts w:cs="Times New Roman"/>
          <w:lang w:val="fr-CA"/>
        </w:rPr>
        <w:t> :</w:t>
      </w:r>
      <w:r w:rsidRPr="00B27419">
        <w:rPr>
          <w:rFonts w:cs="Times New Roman"/>
          <w:lang w:val="fr-CA"/>
        </w:rPr>
        <w:t xml:space="preserve"> </w:t>
      </w:r>
      <w:r w:rsidR="00B27419">
        <w:rPr>
          <w:rFonts w:cs="Times New Roman"/>
          <w:lang w:val="fr-CA"/>
        </w:rPr>
        <w:t>« </w:t>
      </w:r>
      <w:r w:rsidRPr="00B27419">
        <w:rPr>
          <w:rFonts w:cs="Times New Roman"/>
          <w:lang w:val="fr-CA"/>
        </w:rPr>
        <w:t>S’équilibrer</w:t>
      </w:r>
      <w:r w:rsidR="00B27419">
        <w:rPr>
          <w:rFonts w:cs="Times New Roman"/>
          <w:lang w:val="fr-CA"/>
        </w:rPr>
        <w:t> »</w:t>
      </w:r>
      <w:r w:rsidRPr="00B27419">
        <w:rPr>
          <w:rFonts w:cs="Times New Roman"/>
          <w:lang w:val="fr-CA"/>
        </w:rPr>
        <w:t xml:space="preserve">. De même, </w:t>
      </w:r>
      <w:r w:rsidRPr="00B27419">
        <w:rPr>
          <w:rFonts w:cs="Times New Roman"/>
          <w:i/>
          <w:lang w:val="fr-CA"/>
        </w:rPr>
        <w:t>Le Petit Larousse</w:t>
      </w:r>
      <w:r w:rsidR="001F70F6" w:rsidRPr="00B27419">
        <w:rPr>
          <w:rFonts w:cs="Times New Roman"/>
          <w:i/>
          <w:lang w:val="fr-CA"/>
        </w:rPr>
        <w:t xml:space="preserve"> illustré</w:t>
      </w:r>
      <w:r w:rsidRPr="00B27419">
        <w:rPr>
          <w:rFonts w:cs="Times New Roman"/>
          <w:lang w:val="fr-CA"/>
        </w:rPr>
        <w:t xml:space="preserve"> (2013) donne</w:t>
      </w:r>
      <w:r w:rsidR="00E6271F" w:rsidRPr="00B27419">
        <w:rPr>
          <w:rFonts w:cs="Times New Roman"/>
          <w:lang w:val="fr-CA"/>
        </w:rPr>
        <w:t> :</w:t>
      </w:r>
      <w:r w:rsidRPr="00B27419">
        <w:rPr>
          <w:rFonts w:cs="Times New Roman"/>
          <w:lang w:val="fr-CA"/>
        </w:rPr>
        <w:t xml:space="preserve"> </w:t>
      </w:r>
      <w:r w:rsidR="00B27419">
        <w:rPr>
          <w:rFonts w:cs="Times New Roman"/>
          <w:lang w:val="fr-CA"/>
        </w:rPr>
        <w:t>« </w:t>
      </w:r>
      <w:r w:rsidRPr="00B27419">
        <w:rPr>
          <w:rFonts w:cs="Times New Roman"/>
          <w:lang w:val="fr-CA"/>
        </w:rPr>
        <w:t>Annuler l’effet de</w:t>
      </w:r>
      <w:r w:rsidR="001F70F6" w:rsidRPr="00B27419">
        <w:rPr>
          <w:rFonts w:cs="Times New Roman"/>
          <w:lang w:val="fr-CA"/>
        </w:rPr>
        <w:t xml:space="preserve"> l’action de qqn, </w:t>
      </w:r>
      <w:proofErr w:type="spellStart"/>
      <w:r w:rsidR="001F70F6" w:rsidRPr="00B27419">
        <w:rPr>
          <w:rFonts w:cs="Times New Roman"/>
          <w:lang w:val="fr-CA"/>
        </w:rPr>
        <w:t>qqch</w:t>
      </w:r>
      <w:proofErr w:type="spellEnd"/>
      <w:r w:rsidR="00B27419">
        <w:rPr>
          <w:rFonts w:cs="Times New Roman"/>
          <w:lang w:val="fr-CA"/>
        </w:rPr>
        <w:t> »</w:t>
      </w:r>
      <w:r w:rsidRPr="00B27419">
        <w:rPr>
          <w:rFonts w:cs="Times New Roman"/>
          <w:lang w:val="fr-CA"/>
        </w:rPr>
        <w:t xml:space="preserve">, </w:t>
      </w:r>
      <w:r w:rsidRPr="00B27419">
        <w:rPr>
          <w:rFonts w:cs="Times New Roman"/>
          <w:lang w:val="fr-CA"/>
        </w:rPr>
        <w:lastRenderedPageBreak/>
        <w:t xml:space="preserve">et dans sa forme pronominale, </w:t>
      </w:r>
      <w:r w:rsidR="00B27419">
        <w:rPr>
          <w:rFonts w:cs="Times New Roman"/>
          <w:lang w:val="fr-CA"/>
        </w:rPr>
        <w:t>« </w:t>
      </w:r>
      <w:r w:rsidRPr="00B27419">
        <w:rPr>
          <w:rFonts w:cs="Times New Roman"/>
          <w:lang w:val="fr-CA"/>
        </w:rPr>
        <w:t>S’annuler réciproquement, se contrebalancer</w:t>
      </w:r>
      <w:r w:rsidR="00B27419">
        <w:rPr>
          <w:rFonts w:cs="Times New Roman"/>
          <w:lang w:val="fr-CA"/>
        </w:rPr>
        <w:t> »</w:t>
      </w:r>
      <w:r w:rsidRPr="00B27419">
        <w:rPr>
          <w:rFonts w:cs="Times New Roman"/>
          <w:lang w:val="fr-CA"/>
        </w:rPr>
        <w:t xml:space="preserve"> (p.</w:t>
      </w:r>
      <w:r w:rsidR="00E6271F" w:rsidRPr="00B27419">
        <w:rPr>
          <w:rFonts w:cs="Times New Roman"/>
          <w:lang w:val="fr-CA"/>
        </w:rPr>
        <w:t xml:space="preserve"> </w:t>
      </w:r>
      <w:r w:rsidRPr="00B27419">
        <w:rPr>
          <w:rFonts w:cs="Times New Roman"/>
          <w:lang w:val="fr-CA"/>
        </w:rPr>
        <w:t>735). Ces définitions étayent l’interprétation selon laquelle la condition de neutralisation établie à l’art.</w:t>
      </w:r>
      <w:r w:rsidR="00E6271F" w:rsidRPr="00B27419">
        <w:rPr>
          <w:rFonts w:cs="Times New Roman"/>
          <w:lang w:val="fr-CA"/>
        </w:rPr>
        <w:t xml:space="preserve"> </w:t>
      </w:r>
      <w:r w:rsidRPr="00B27419">
        <w:rPr>
          <w:rFonts w:cs="Times New Roman"/>
          <w:lang w:val="fr-CA"/>
        </w:rPr>
        <w:t>96 exige que les aspects qualitatifs du fusionnement soient examinés et mis en balance avec les effets quantitatifs de ce dernier.</w:t>
      </w:r>
    </w:p>
    <w:p w:rsidR="0039493A" w:rsidRPr="00B27419" w:rsidRDefault="0039493A" w:rsidP="00B27419">
      <w:pPr>
        <w:pStyle w:val="ParaNoNdepar-AltN"/>
        <w:rPr>
          <w:rFonts w:cs="Times New Roman"/>
          <w:lang w:val="fr-CA"/>
        </w:rPr>
      </w:pPr>
      <w:r w:rsidRPr="00B27419">
        <w:rPr>
          <w:rFonts w:cs="Times New Roman"/>
          <w:lang w:val="fr-CA"/>
        </w:rPr>
        <w:t xml:space="preserve">Il s’agit d’une méthode de pondération souple, qui appelle toutefois des conclusions objectivement raisonnables. Ainsi que la Cour d’appel fédérale l’a statué, l’analyse globale </w:t>
      </w:r>
      <w:r w:rsidR="00B27419">
        <w:rPr>
          <w:rFonts w:cs="Times New Roman"/>
          <w:lang w:val="fr-CA"/>
        </w:rPr>
        <w:t>« </w:t>
      </w:r>
      <w:r w:rsidRPr="00B27419">
        <w:rPr>
          <w:rFonts w:cs="Times New Roman"/>
          <w:lang w:val="fr-CA"/>
        </w:rPr>
        <w:t xml:space="preserve">doit être aussi </w:t>
      </w:r>
      <w:r w:rsidRPr="00B27419">
        <w:rPr>
          <w:rFonts w:cs="Times New Roman"/>
          <w:i/>
          <w:iCs/>
          <w:lang w:val="fr-CA"/>
        </w:rPr>
        <w:t>objective</w:t>
      </w:r>
      <w:r w:rsidRPr="00B27419">
        <w:rPr>
          <w:rFonts w:cs="Times New Roman"/>
          <w:lang w:val="fr-CA"/>
        </w:rPr>
        <w:t xml:space="preserve"> que possible et, lorsqu’il est impossible de faire une appréciation objective, cette appréciation se doit d’être </w:t>
      </w:r>
      <w:r w:rsidRPr="00B27419">
        <w:rPr>
          <w:rFonts w:cs="Times New Roman"/>
          <w:i/>
          <w:iCs/>
          <w:lang w:val="fr-CA"/>
        </w:rPr>
        <w:t>raisonnable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147</w:t>
      </w:r>
      <w:r w:rsidR="00BD7A36">
        <w:rPr>
          <w:rFonts w:cs="Times New Roman"/>
          <w:lang w:val="fr-CA"/>
        </w:rPr>
        <w:t xml:space="preserve"> (</w:t>
      </w:r>
      <w:r w:rsidRPr="00B27419">
        <w:rPr>
          <w:rFonts w:cs="Times New Roman"/>
          <w:lang w:val="fr-CA"/>
        </w:rPr>
        <w:t>en italique dans l’original)</w:t>
      </w:r>
      <w:r w:rsidR="00BD7A36">
        <w:rPr>
          <w:rFonts w:cs="Times New Roman"/>
          <w:lang w:val="fr-CA"/>
        </w:rPr>
        <w:t>)</w:t>
      </w:r>
      <w:r w:rsidRPr="00B27419">
        <w:rPr>
          <w:rFonts w:cs="Times New Roman"/>
          <w:lang w:val="fr-CA"/>
        </w:rPr>
        <w:t xml:space="preserve">. Ainsi, dans la plupart des cas, les aspects qualitatifs joueront un rôle moins important. En outre, la condition légale selon laquelle les gains en efficience doivent surpasser </w:t>
      </w:r>
      <w:r w:rsidRPr="00B27419">
        <w:rPr>
          <w:rFonts w:cs="Times New Roman"/>
          <w:i/>
          <w:lang w:val="fr-CA"/>
        </w:rPr>
        <w:t>et</w:t>
      </w:r>
      <w:r w:rsidRPr="00B27419">
        <w:rPr>
          <w:rFonts w:cs="Times New Roman"/>
          <w:lang w:val="fr-CA"/>
        </w:rPr>
        <w:t xml:space="preserve"> neutraliser les effets anticoncurrentiels exigera presque toujours la preuve que les gains quantitatifs surpassent les effets anticoncurrentiels quantitatifs pour que la défense s’applique. </w:t>
      </w:r>
    </w:p>
    <w:p w:rsidR="0039493A" w:rsidRPr="00B27419" w:rsidRDefault="0039493A" w:rsidP="00B27419">
      <w:pPr>
        <w:pStyle w:val="ParaNoNdepar-AltN"/>
        <w:rPr>
          <w:rFonts w:cs="Times New Roman"/>
          <w:lang w:val="fr-CA"/>
        </w:rPr>
      </w:pPr>
      <w:r w:rsidRPr="00B27419">
        <w:rPr>
          <w:rFonts w:cs="Times New Roman"/>
          <w:lang w:val="fr-CA"/>
        </w:rPr>
        <w:t>À la lumière de ce qui précède, on peut concevoir la pondération qu’exige l’art.</w:t>
      </w:r>
      <w:r w:rsidR="00E6271F" w:rsidRPr="00B27419">
        <w:rPr>
          <w:rFonts w:cs="Times New Roman"/>
          <w:lang w:val="fr-CA"/>
        </w:rPr>
        <w:t xml:space="preserve"> </w:t>
      </w:r>
      <w:r w:rsidRPr="00B27419">
        <w:rPr>
          <w:rFonts w:cs="Times New Roman"/>
          <w:lang w:val="fr-CA"/>
        </w:rPr>
        <w:t xml:space="preserve">96 comme une analyse en deux étapes. Dans un premier temps, il faut comparer les gains en efficience quantitatifs du fusionnement à ses effets anticoncurrentiels quantitatifs (le volet de l’analyse relatif au surpassement). Si les effets anticoncurrentiels quantitatifs dépassent les gains en efficience quantitatifs, l’analyse prend alors fin dans la plupart des cas, et la défense ne s’appliquera pas. Il se peut que dans une situation exceptionnelle caractérisée par des gains en efficience quantitatifs relativement peu élevés et des gains en efficience qualitatifs véritablement importants, la défense s’applique. Or, ce genre de situation se présentera sans doute </w:t>
      </w:r>
      <w:r w:rsidRPr="00B27419">
        <w:rPr>
          <w:rFonts w:cs="Times New Roman"/>
          <w:lang w:val="fr-CA"/>
        </w:rPr>
        <w:lastRenderedPageBreak/>
        <w:t>rarement, vu que l’analyse mise sur l’objectivité et qu’il n’est pas permis de qualifier de gains qualitatifs des gains quantifiables qui n’ont pas été quantifiés. Dans un deuxième temps, il faut mettre en balance les gains en efficience qualitatifs et les effets anticoncurrentiels qualitatifs et décider en dernière analyse si le total des gains en efficience neutralise le total des effets anticoncurrentiels du fusionnement en cause (le volet de l’analyse relatif à la neutralisation). Pour que le Tribunal tienne compte des éléments qualitatifs dans l’analyse, ceux</w:t>
      </w:r>
      <w:r w:rsidR="00E6271F" w:rsidRPr="00B27419">
        <w:rPr>
          <w:rFonts w:cs="Times New Roman"/>
          <w:lang w:val="fr-CA"/>
        </w:rPr>
        <w:t>-</w:t>
      </w:r>
      <w:r w:rsidRPr="00B27419">
        <w:rPr>
          <w:rFonts w:cs="Times New Roman"/>
          <w:lang w:val="fr-CA"/>
        </w:rPr>
        <w:t>ci doivent être appuyés par la preuve, et leur justification doit être clairement formulée.</w:t>
      </w:r>
    </w:p>
    <w:p w:rsidR="0039493A" w:rsidRPr="00B27419" w:rsidRDefault="0039493A" w:rsidP="00B27419">
      <w:pPr>
        <w:pStyle w:val="ParaNoNdepar-AltN"/>
        <w:rPr>
          <w:rFonts w:cs="Times New Roman"/>
          <w:lang w:val="fr-CA"/>
        </w:rPr>
      </w:pPr>
      <w:r w:rsidRPr="00B27419">
        <w:rPr>
          <w:rFonts w:cs="Times New Roman"/>
          <w:lang w:val="fr-CA"/>
        </w:rPr>
        <w:t>Il y a lieu de noter que cette analyse en deux étapes ne vise pas à préciser la méthodologie visant à dégager et à comparer les gains en efficience et les effets anticoncurrentiels quantitatifs. Le soin est laissé au Tribunal de sélectionner la méthodologie quantitative à employer, à condition qu’elle respecte la première étape du cadre décrit précédemment.</w:t>
      </w:r>
    </w:p>
    <w:p w:rsidR="0039493A" w:rsidRPr="00B27419" w:rsidRDefault="0039493A" w:rsidP="00B27419">
      <w:pPr>
        <w:pStyle w:val="ParaNoNdepar-AltN"/>
        <w:tabs>
          <w:tab w:val="left" w:pos="6804"/>
        </w:tabs>
        <w:rPr>
          <w:rFonts w:cs="Times New Roman"/>
          <w:lang w:val="fr-CA"/>
        </w:rPr>
      </w:pPr>
      <w:r w:rsidRPr="00B27419">
        <w:rPr>
          <w:rFonts w:cs="Times New Roman"/>
          <w:lang w:val="fr-CA"/>
        </w:rPr>
        <w:t xml:space="preserve">La juge </w:t>
      </w:r>
      <w:proofErr w:type="spellStart"/>
      <w:r w:rsidRPr="00B27419">
        <w:rPr>
          <w:rFonts w:cs="Times New Roman"/>
          <w:lang w:val="fr-CA"/>
        </w:rPr>
        <w:t>Karakatsanis</w:t>
      </w:r>
      <w:proofErr w:type="spellEnd"/>
      <w:r w:rsidRPr="00B27419">
        <w:rPr>
          <w:rFonts w:cs="Times New Roman"/>
          <w:lang w:val="fr-CA"/>
        </w:rPr>
        <w:t xml:space="preserve"> estime pour sa part que ce cadre crée une distinction artificielle entre les éléments quantitatifs et qualitatifs et qu’une telle démarche est </w:t>
      </w:r>
      <w:r w:rsidR="00B27419">
        <w:rPr>
          <w:rFonts w:cs="Times New Roman"/>
          <w:lang w:val="fr-CA"/>
        </w:rPr>
        <w:t>« </w:t>
      </w:r>
      <w:r w:rsidRPr="00B27419">
        <w:rPr>
          <w:rFonts w:cs="Times New Roman"/>
          <w:lang w:val="fr-CA"/>
        </w:rPr>
        <w:t>factice</w:t>
      </w:r>
      <w:r w:rsidR="00B27419">
        <w:rPr>
          <w:rFonts w:cs="Times New Roman"/>
          <w:lang w:val="fr-CA"/>
        </w:rPr>
        <w:t> »</w:t>
      </w:r>
      <w:r w:rsidRPr="00B27419">
        <w:rPr>
          <w:rFonts w:cs="Times New Roman"/>
          <w:lang w:val="fr-CA"/>
        </w:rPr>
        <w:t xml:space="preserve"> compte tenu de la dernière étape, le volet relatif à la neutralisation, qui exa</w:t>
      </w:r>
      <w:r w:rsidR="000B1CF3" w:rsidRPr="00B27419">
        <w:rPr>
          <w:rFonts w:cs="Times New Roman"/>
          <w:lang w:val="fr-CA"/>
        </w:rPr>
        <w:t>mine les deux catégories en chœ</w:t>
      </w:r>
      <w:r w:rsidRPr="00B27419">
        <w:rPr>
          <w:rFonts w:cs="Times New Roman"/>
          <w:lang w:val="fr-CA"/>
        </w:rPr>
        <w:t>ur (par.</w:t>
      </w:r>
      <w:r w:rsidR="00E6271F" w:rsidRPr="00B27419">
        <w:rPr>
          <w:rFonts w:cs="Times New Roman"/>
          <w:lang w:val="fr-CA"/>
        </w:rPr>
        <w:t xml:space="preserve"> </w:t>
      </w:r>
      <w:r w:rsidRPr="00B27419">
        <w:rPr>
          <w:rFonts w:cs="Times New Roman"/>
          <w:lang w:val="fr-CA"/>
        </w:rPr>
        <w:t xml:space="preserve">189). Selon elle, le Tribunal devrait déterminer si les gains en efficience quantitatifs et qualitatifs confondus l’emportent sur les effets anticoncurrentiels quantitatifs et qualitatifs confondus. Je tiens à préciser que le cadre n’oblige pas le Tribunal à isoler les éléments quantitatifs et qualitatifs pour ne jamais les comparer. L’analyse de l’effet neutralisant à la dernière étape permet effectivement que soient pris en compte les effets tant quantitatifs que </w:t>
      </w:r>
      <w:r w:rsidRPr="00B27419">
        <w:rPr>
          <w:rFonts w:cs="Times New Roman"/>
          <w:lang w:val="fr-CA"/>
        </w:rPr>
        <w:lastRenderedPageBreak/>
        <w:t xml:space="preserve">qualitatifs. Or, à mon avis, même s’il procédait suivant la pondération en une étape que propose la juge </w:t>
      </w:r>
      <w:proofErr w:type="spellStart"/>
      <w:r w:rsidRPr="00B27419">
        <w:rPr>
          <w:rFonts w:cs="Times New Roman"/>
          <w:lang w:val="fr-CA"/>
        </w:rPr>
        <w:t>Karakatsanis</w:t>
      </w:r>
      <w:proofErr w:type="spellEnd"/>
      <w:r w:rsidRPr="00B27419">
        <w:rPr>
          <w:rFonts w:cs="Times New Roman"/>
          <w:lang w:val="fr-CA"/>
        </w:rPr>
        <w:t>, le Tribunal finirait par comparer les facteurs quantitatifs entre eux et les facteurs qualitatifs entre eux avant de réduire cet univers de facteurs à une décision ultime. Le cadre qui précède ne fait que guider la structure de l’analyse de sorte que le raisonnement du Tribunal soit le plus explicite et transparent possible.</w:t>
      </w:r>
    </w:p>
    <w:p w:rsidR="0039493A" w:rsidRPr="00B27419" w:rsidRDefault="0039493A" w:rsidP="00B27419">
      <w:pPr>
        <w:pStyle w:val="ParaNoNdepar-AltN"/>
        <w:tabs>
          <w:tab w:val="left" w:pos="6804"/>
        </w:tabs>
        <w:rPr>
          <w:rFonts w:cs="Times New Roman"/>
          <w:lang w:val="fr-CA"/>
        </w:rPr>
      </w:pPr>
      <w:r w:rsidRPr="00B27419">
        <w:rPr>
          <w:rFonts w:cs="Times New Roman"/>
          <w:lang w:val="fr-CA"/>
        </w:rPr>
        <w:t xml:space="preserve">Je ferai observer à ma collègue qu’elle interprète mal les présents motifs en affirmant que </w:t>
      </w:r>
      <w:r w:rsidR="00B27419">
        <w:rPr>
          <w:rFonts w:cs="Times New Roman"/>
          <w:lang w:val="fr-CA"/>
        </w:rPr>
        <w:t>« </w:t>
      </w:r>
      <w:r w:rsidRPr="00B27419">
        <w:rPr>
          <w:rFonts w:cs="Times New Roman"/>
          <w:lang w:val="fr-CA"/>
        </w:rPr>
        <w:t>réduire [l’analyse] simplement à des “calculs mathématiques”, aussi importants soient-ils, ne peut fournir une réponse complète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190). Je ne dis pas que les considérations quantitatives constituent dans tous les cas une </w:t>
      </w:r>
      <w:r w:rsidR="00B27419">
        <w:rPr>
          <w:rFonts w:cs="Times New Roman"/>
          <w:lang w:val="fr-CA"/>
        </w:rPr>
        <w:t>« </w:t>
      </w:r>
      <w:r w:rsidRPr="00B27419">
        <w:rPr>
          <w:rFonts w:cs="Times New Roman"/>
          <w:lang w:val="fr-CA"/>
        </w:rPr>
        <w:t>réponse complète</w:t>
      </w:r>
      <w:r w:rsidR="00B27419">
        <w:rPr>
          <w:rFonts w:cs="Times New Roman"/>
          <w:lang w:val="fr-CA"/>
        </w:rPr>
        <w:t> »</w:t>
      </w:r>
      <w:r w:rsidRPr="00B27419">
        <w:rPr>
          <w:rFonts w:cs="Times New Roman"/>
          <w:lang w:val="fr-CA"/>
        </w:rPr>
        <w:t xml:space="preserve"> et suffisante. Je précise plutôt que la nature des gains en efficience économiques, le libellé de l’art.</w:t>
      </w:r>
      <w:r w:rsidR="00E6271F" w:rsidRPr="00B27419">
        <w:rPr>
          <w:rFonts w:cs="Times New Roman"/>
          <w:lang w:val="fr-CA"/>
        </w:rPr>
        <w:t xml:space="preserve"> </w:t>
      </w:r>
      <w:r w:rsidRPr="00B27419">
        <w:rPr>
          <w:rFonts w:cs="Times New Roman"/>
          <w:lang w:val="fr-CA"/>
        </w:rPr>
        <w:t>96 et l’observation judicieuse de la Cour d’appel fédérale selon laquelle l’analyse qu’appelle l’art.</w:t>
      </w:r>
      <w:r w:rsidR="00E6271F" w:rsidRPr="00B27419">
        <w:rPr>
          <w:rFonts w:cs="Times New Roman"/>
          <w:lang w:val="fr-CA"/>
        </w:rPr>
        <w:t xml:space="preserve"> </w:t>
      </w:r>
      <w:r w:rsidRPr="00B27419">
        <w:rPr>
          <w:rFonts w:cs="Times New Roman"/>
          <w:lang w:val="fr-CA"/>
        </w:rPr>
        <w:t xml:space="preserve">96 </w:t>
      </w:r>
      <w:r w:rsidR="00B27419">
        <w:rPr>
          <w:rFonts w:cs="Times New Roman"/>
          <w:lang w:val="fr-CA"/>
        </w:rPr>
        <w:t>« </w:t>
      </w:r>
      <w:r w:rsidRPr="00B27419">
        <w:rPr>
          <w:rFonts w:cs="Times New Roman"/>
          <w:lang w:val="fr-CA"/>
        </w:rPr>
        <w:t xml:space="preserve">doit être aussi </w:t>
      </w:r>
      <w:r w:rsidRPr="00B27419">
        <w:rPr>
          <w:rFonts w:cs="Times New Roman"/>
          <w:i/>
          <w:lang w:val="fr-CA"/>
        </w:rPr>
        <w:t>objective</w:t>
      </w:r>
      <w:r w:rsidRPr="00B27419">
        <w:rPr>
          <w:rFonts w:cs="Times New Roman"/>
          <w:lang w:val="fr-CA"/>
        </w:rPr>
        <w:t xml:space="preserve"> que possible</w:t>
      </w:r>
      <w:r w:rsidR="00B27419">
        <w:rPr>
          <w:rFonts w:cs="Times New Roman"/>
          <w:lang w:val="fr-CA"/>
        </w:rPr>
        <w:t> »</w:t>
      </w:r>
      <w:r w:rsidRPr="00B27419">
        <w:rPr>
          <w:rFonts w:cs="Times New Roman"/>
          <w:lang w:val="fr-CA"/>
        </w:rPr>
        <w:t xml:space="preserve"> permettent de conclure que les considérations quantitatives revêtent, dans la plupart des cas, une plus grande importance que les considérations qualitatives. </w:t>
      </w:r>
    </w:p>
    <w:p w:rsidR="0039493A" w:rsidRPr="00B27419" w:rsidRDefault="0039493A" w:rsidP="00B27419">
      <w:pPr>
        <w:pStyle w:val="ParaNoNdepar-AltN"/>
        <w:tabs>
          <w:tab w:val="left" w:pos="6804"/>
        </w:tabs>
        <w:rPr>
          <w:rFonts w:cs="Times New Roman"/>
          <w:lang w:val="fr-CA"/>
        </w:rPr>
      </w:pPr>
      <w:r w:rsidRPr="00B27419">
        <w:rPr>
          <w:rFonts w:cs="Times New Roman"/>
          <w:lang w:val="fr-CA"/>
        </w:rPr>
        <w:t xml:space="preserve">Cependant, et en dépit de la latitude dont jouit le Tribunal lorsqu’il applique cette méthode de pondération, je ne peux accepter qu’il faille des gains en efficience plus que négligeables pour que la défense s’applique. S’il avait eu l’intention de fixer un seuil à cet égard, le législateur aurait pu le prévoir expressément dans la loi. La commissaire demande essentiellement à la Cour d’assortir la disposition d’un seuil implicite alors que son libellé ne le permet pas. En </w:t>
      </w:r>
      <w:r w:rsidRPr="00B27419">
        <w:rPr>
          <w:rFonts w:cs="Times New Roman"/>
          <w:lang w:val="fr-CA"/>
        </w:rPr>
        <w:lastRenderedPageBreak/>
        <w:t>outre, il est difficile à mon avis de déterminer le point où les gains en efficience deviennent plus que négligeables. Pour y arriver, il faudrait procéder à une analyse excessivement subjective. Bien que la pondération ultime des gains en efficience et des effets anticoncurrentiels admette une certaine subjectivité, dans une affaire comme celle</w:t>
      </w:r>
      <w:r w:rsidR="00E6271F" w:rsidRPr="00B27419">
        <w:rPr>
          <w:rFonts w:cs="Times New Roman"/>
          <w:lang w:val="fr-CA"/>
        </w:rPr>
        <w:t>-</w:t>
      </w:r>
      <w:r w:rsidRPr="00B27419">
        <w:rPr>
          <w:rFonts w:cs="Times New Roman"/>
          <w:lang w:val="fr-CA"/>
        </w:rPr>
        <w:t>ci, où la commissaire n’a pas établi l’existence d’effets anticoncurrentiels quantitatifs ou qualitatifs, leur valeur est nulle. Les gains en efficience établis, de quelque importance soient</w:t>
      </w:r>
      <w:r w:rsidR="00E6271F" w:rsidRPr="00B27419">
        <w:rPr>
          <w:rFonts w:cs="Times New Roman"/>
          <w:lang w:val="fr-CA"/>
        </w:rPr>
        <w:t>-</w:t>
      </w:r>
      <w:r w:rsidRPr="00B27419">
        <w:rPr>
          <w:rFonts w:cs="Times New Roman"/>
          <w:lang w:val="fr-CA"/>
        </w:rPr>
        <w:t>ils, l’emportent donc sur les effets anticoncurrentiels. En outre, comme nous l’avons vu, en raison de l’importance du recours à une méthode objective, les effets qualitatifs joueront un rôle modeste dans l’analyse dans la plupart des cas. Il est donc possible, si les gains en efficience quantitatifs prouvés ne surpassent que de peu les effets anticoncurrentiels quantitatifs prouvés, que le Tribunal conclue tout de même que la défense prévue à l’art.</w:t>
      </w:r>
      <w:r w:rsidR="00E6271F" w:rsidRPr="00B27419">
        <w:rPr>
          <w:rFonts w:cs="Times New Roman"/>
          <w:lang w:val="fr-CA"/>
        </w:rPr>
        <w:t xml:space="preserve"> </w:t>
      </w:r>
      <w:r w:rsidRPr="00B27419">
        <w:rPr>
          <w:rFonts w:cs="Times New Roman"/>
          <w:lang w:val="fr-CA"/>
        </w:rPr>
        <w:t xml:space="preserve">96 s’applique. </w:t>
      </w:r>
    </w:p>
    <w:p w:rsidR="0039493A" w:rsidRPr="00B27419" w:rsidRDefault="0039493A" w:rsidP="00B27419">
      <w:pPr>
        <w:pStyle w:val="ParaNoNdepar-AltN"/>
        <w:rPr>
          <w:rFonts w:cs="Times New Roman"/>
          <w:lang w:val="fr-CA"/>
        </w:rPr>
      </w:pPr>
      <w:r w:rsidRPr="00B27419">
        <w:rPr>
          <w:rFonts w:cs="Times New Roman"/>
          <w:lang w:val="fr-CA"/>
        </w:rPr>
        <w:t>Le contexte législatif du par.</w:t>
      </w:r>
      <w:r w:rsidR="00E6271F" w:rsidRPr="00B27419">
        <w:rPr>
          <w:rFonts w:cs="Times New Roman"/>
          <w:lang w:val="fr-CA"/>
        </w:rPr>
        <w:t xml:space="preserve"> </w:t>
      </w:r>
      <w:r w:rsidRPr="00B27419">
        <w:rPr>
          <w:rFonts w:cs="Times New Roman"/>
          <w:lang w:val="fr-CA"/>
        </w:rPr>
        <w:t>96(1) ne permet pas non plus que cette disposition soit assortie d’un seuil implicite. Certes, le par.</w:t>
      </w:r>
      <w:r w:rsidR="00E6271F" w:rsidRPr="00B27419">
        <w:rPr>
          <w:rFonts w:cs="Times New Roman"/>
          <w:lang w:val="fr-CA"/>
        </w:rPr>
        <w:t xml:space="preserve"> </w:t>
      </w:r>
      <w:r w:rsidRPr="00B27419">
        <w:rPr>
          <w:rFonts w:cs="Times New Roman"/>
          <w:lang w:val="fr-CA"/>
        </w:rPr>
        <w:t xml:space="preserve">96(2) exige du Tribunal qu’il détermine si le fusionnement engendrera </w:t>
      </w:r>
      <w:r w:rsidR="00B27419">
        <w:rPr>
          <w:rFonts w:cs="Times New Roman"/>
          <w:lang w:val="fr-CA"/>
        </w:rPr>
        <w:t>« </w:t>
      </w:r>
      <w:r w:rsidRPr="00B27419">
        <w:rPr>
          <w:rFonts w:cs="Times New Roman"/>
          <w:lang w:val="fr-CA"/>
        </w:rPr>
        <w:t>une augmentation relativement importante de la valeur réelle des exportations</w:t>
      </w:r>
      <w:r w:rsidR="00B27419">
        <w:rPr>
          <w:rFonts w:cs="Times New Roman"/>
          <w:lang w:val="fr-CA"/>
        </w:rPr>
        <w:t> »</w:t>
      </w:r>
      <w:r w:rsidRPr="00B27419">
        <w:rPr>
          <w:rFonts w:cs="Times New Roman"/>
          <w:lang w:val="fr-CA"/>
        </w:rPr>
        <w:t xml:space="preserve"> ou </w:t>
      </w:r>
      <w:r w:rsidR="00B27419">
        <w:rPr>
          <w:rFonts w:cs="Times New Roman"/>
          <w:lang w:val="fr-CA"/>
        </w:rPr>
        <w:t>« </w:t>
      </w:r>
      <w:r w:rsidRPr="00B27419">
        <w:rPr>
          <w:rFonts w:cs="Times New Roman"/>
          <w:lang w:val="fr-CA"/>
        </w:rPr>
        <w:t>une substitution relativement importante de produits nationaux à des produits étrangers</w:t>
      </w:r>
      <w:r w:rsidR="00B27419">
        <w:rPr>
          <w:rFonts w:cs="Times New Roman"/>
          <w:lang w:val="fr-CA"/>
        </w:rPr>
        <w:t> »</w:t>
      </w:r>
      <w:r w:rsidRPr="00B27419">
        <w:rPr>
          <w:rFonts w:cs="Times New Roman"/>
          <w:lang w:val="fr-CA"/>
        </w:rPr>
        <w:t>, mais il ne faut pas appliquer cette exigence au par.</w:t>
      </w:r>
      <w:r w:rsidR="00E6271F" w:rsidRPr="00B27419">
        <w:rPr>
          <w:rFonts w:cs="Times New Roman"/>
          <w:lang w:val="fr-CA"/>
        </w:rPr>
        <w:t xml:space="preserve"> </w:t>
      </w:r>
      <w:r w:rsidRPr="00B27419">
        <w:rPr>
          <w:rFonts w:cs="Times New Roman"/>
          <w:lang w:val="fr-CA"/>
        </w:rPr>
        <w:t>96(1). Vu qu’il l’a exprimée au par.</w:t>
      </w:r>
      <w:r w:rsidR="00E6271F" w:rsidRPr="00B27419">
        <w:rPr>
          <w:rFonts w:cs="Times New Roman"/>
          <w:lang w:val="fr-CA"/>
        </w:rPr>
        <w:t xml:space="preserve"> </w:t>
      </w:r>
      <w:r w:rsidRPr="00B27419">
        <w:rPr>
          <w:rFonts w:cs="Times New Roman"/>
          <w:lang w:val="fr-CA"/>
        </w:rPr>
        <w:t>96(2), le législateur aurait pu tout aussi facilement en assortir le par.</w:t>
      </w:r>
      <w:r w:rsidR="00E6271F" w:rsidRPr="00B27419">
        <w:rPr>
          <w:rFonts w:cs="Times New Roman"/>
          <w:lang w:val="fr-CA"/>
        </w:rPr>
        <w:t xml:space="preserve"> </w:t>
      </w:r>
      <w:r w:rsidRPr="00B27419">
        <w:rPr>
          <w:rFonts w:cs="Times New Roman"/>
          <w:lang w:val="fr-CA"/>
        </w:rPr>
        <w:t xml:space="preserve">96(1), qui prévoirait alors que les gains en efficience </w:t>
      </w:r>
      <w:r w:rsidR="00B27419">
        <w:rPr>
          <w:rFonts w:cs="Times New Roman"/>
          <w:lang w:val="fr-CA"/>
        </w:rPr>
        <w:t>« </w:t>
      </w:r>
      <w:r w:rsidRPr="00B27419">
        <w:rPr>
          <w:rFonts w:cs="Times New Roman"/>
          <w:lang w:val="fr-CA"/>
        </w:rPr>
        <w:t>surpasseront de manière importante et neutraliseront</w:t>
      </w:r>
      <w:r w:rsidR="00B27419">
        <w:rPr>
          <w:rFonts w:cs="Times New Roman"/>
          <w:lang w:val="fr-CA"/>
        </w:rPr>
        <w:t> »</w:t>
      </w:r>
      <w:r w:rsidRPr="00B27419">
        <w:rPr>
          <w:rFonts w:cs="Times New Roman"/>
          <w:lang w:val="fr-CA"/>
        </w:rPr>
        <w:t xml:space="preserve"> les effets anticoncurrentiels. Or, l’idée ne figure qu’au par.</w:t>
      </w:r>
      <w:r w:rsidR="00E6271F" w:rsidRPr="00B27419">
        <w:rPr>
          <w:rFonts w:cs="Times New Roman"/>
          <w:lang w:val="fr-CA"/>
        </w:rPr>
        <w:t xml:space="preserve"> </w:t>
      </w:r>
      <w:r w:rsidRPr="00B27419">
        <w:rPr>
          <w:rFonts w:cs="Times New Roman"/>
          <w:lang w:val="fr-CA"/>
        </w:rPr>
        <w:t xml:space="preserve">96(2), qui en toute logique </w:t>
      </w:r>
      <w:r w:rsidRPr="00B27419">
        <w:rPr>
          <w:rFonts w:cs="Times New Roman"/>
          <w:lang w:val="fr-CA"/>
        </w:rPr>
        <w:lastRenderedPageBreak/>
        <w:t>est subordonné au par.</w:t>
      </w:r>
      <w:r w:rsidR="00E6271F" w:rsidRPr="00B27419">
        <w:rPr>
          <w:rFonts w:cs="Times New Roman"/>
          <w:lang w:val="fr-CA"/>
        </w:rPr>
        <w:t xml:space="preserve"> </w:t>
      </w:r>
      <w:r w:rsidRPr="00B27419">
        <w:rPr>
          <w:rFonts w:cs="Times New Roman"/>
          <w:lang w:val="fr-CA"/>
        </w:rPr>
        <w:t>96(1)</w:t>
      </w:r>
      <w:r w:rsidR="00E6271F" w:rsidRPr="00B27419">
        <w:rPr>
          <w:rFonts w:cs="Times New Roman"/>
          <w:lang w:val="fr-CA"/>
        </w:rPr>
        <w:t> :</w:t>
      </w:r>
      <w:r w:rsidRPr="00B27419">
        <w:rPr>
          <w:rFonts w:cs="Times New Roman"/>
          <w:lang w:val="fr-CA"/>
        </w:rPr>
        <w:t xml:space="preserve"> le libellé du par.</w:t>
      </w:r>
      <w:r w:rsidR="00E6271F" w:rsidRPr="00B27419">
        <w:rPr>
          <w:rFonts w:cs="Times New Roman"/>
          <w:lang w:val="fr-CA"/>
        </w:rPr>
        <w:t xml:space="preserve"> </w:t>
      </w:r>
      <w:r w:rsidRPr="00B27419">
        <w:rPr>
          <w:rFonts w:cs="Times New Roman"/>
          <w:lang w:val="fr-CA"/>
        </w:rPr>
        <w:t>96(2) ne dicte pas l’application d’un certain seuil dans l’analyse qu’appelle le par.</w:t>
      </w:r>
      <w:r w:rsidR="00E6271F" w:rsidRPr="00B27419">
        <w:rPr>
          <w:rFonts w:cs="Times New Roman"/>
          <w:lang w:val="fr-CA"/>
        </w:rPr>
        <w:t xml:space="preserve"> </w:t>
      </w:r>
      <w:r w:rsidRPr="00B27419">
        <w:rPr>
          <w:rFonts w:cs="Times New Roman"/>
          <w:lang w:val="fr-CA"/>
        </w:rPr>
        <w:t>96(1).</w:t>
      </w:r>
    </w:p>
    <w:p w:rsidR="0039493A" w:rsidRPr="00B27419" w:rsidRDefault="0039493A" w:rsidP="00B27419">
      <w:pPr>
        <w:pStyle w:val="ParaNoNdepar-AltN"/>
        <w:rPr>
          <w:rFonts w:cs="Times New Roman"/>
          <w:lang w:val="fr-CA"/>
        </w:rPr>
      </w:pPr>
      <w:r w:rsidRPr="00B27419">
        <w:rPr>
          <w:rFonts w:cs="Times New Roman"/>
          <w:lang w:val="fr-CA"/>
        </w:rPr>
        <w:t>Malheureusement, la conclusion de la Cour d’appel fédérale, selon laquelle les gains en efficience négligeables n’emportent pas l’application de la défense fondée sur l’art.</w:t>
      </w:r>
      <w:r w:rsidR="00E6271F" w:rsidRPr="00B27419">
        <w:rPr>
          <w:rFonts w:cs="Times New Roman"/>
          <w:lang w:val="fr-CA"/>
        </w:rPr>
        <w:t xml:space="preserve"> </w:t>
      </w:r>
      <w:r w:rsidRPr="00B27419">
        <w:rPr>
          <w:rFonts w:cs="Times New Roman"/>
          <w:lang w:val="fr-CA"/>
        </w:rPr>
        <w:t xml:space="preserve">96, oublie que l’analyse qu’exige cette disposition est un exercice de pondération. Les gains en efficience établis doivent être comparés aux effets anticoncurrentiels établis, s’il en est. De faibles gains en efficience peuvent ne pas être </w:t>
      </w:r>
      <w:r w:rsidR="00B27419">
        <w:rPr>
          <w:rFonts w:cs="Times New Roman"/>
          <w:lang w:val="fr-CA"/>
        </w:rPr>
        <w:t>« </w:t>
      </w:r>
      <w:r w:rsidRPr="00B27419">
        <w:rPr>
          <w:rFonts w:cs="Times New Roman"/>
          <w:lang w:val="fr-CA"/>
        </w:rPr>
        <w:t>négligeables</w:t>
      </w:r>
      <w:r w:rsidR="00B27419">
        <w:rPr>
          <w:rFonts w:cs="Times New Roman"/>
          <w:lang w:val="fr-CA"/>
        </w:rPr>
        <w:t> »</w:t>
      </w:r>
      <w:r w:rsidRPr="00B27419">
        <w:rPr>
          <w:rFonts w:cs="Times New Roman"/>
          <w:lang w:val="fr-CA"/>
        </w:rPr>
        <w:t xml:space="preserve"> lorsqu’ils sont comparés à des effets anticoncurrentiels qui le sont davantage.</w:t>
      </w:r>
    </w:p>
    <w:p w:rsidR="0039493A" w:rsidRPr="00B27419" w:rsidRDefault="0039493A" w:rsidP="00B27419">
      <w:pPr>
        <w:pStyle w:val="ParaNoNdepar-AltN"/>
        <w:rPr>
          <w:rFonts w:cs="Times New Roman"/>
          <w:lang w:val="fr-CA"/>
        </w:rPr>
      </w:pPr>
      <w:r w:rsidRPr="00B27419">
        <w:rPr>
          <w:rFonts w:cs="Times New Roman"/>
          <w:lang w:val="fr-CA"/>
        </w:rPr>
        <w:t>Répétons que point n’est besoin que les gains en efficience atteignent un seuil d’importance précis. Or, il ne faut pas oublier que les modèles économiques sont intrinsèquement probabilistes et sont toujours assortis d’une certaine marge d’incertitude. Lorsque la pondération quantitative effectuée à la première étape de l’analyse qu’appelle l’art.</w:t>
      </w:r>
      <w:r w:rsidR="00E6271F" w:rsidRPr="00B27419">
        <w:rPr>
          <w:rFonts w:cs="Times New Roman"/>
          <w:lang w:val="fr-CA"/>
        </w:rPr>
        <w:t xml:space="preserve"> </w:t>
      </w:r>
      <w:r w:rsidRPr="00B27419">
        <w:rPr>
          <w:rFonts w:cs="Times New Roman"/>
          <w:lang w:val="fr-CA"/>
        </w:rPr>
        <w:t xml:space="preserve">96 se traduit par des gains nets positifs, mais faibles, par rapport à l’incertitude intrinsèque de ces estimations, le Tribunal doit tenir compte de cette incertitude dans sa mise en balance des différentes considérations. Je ne dis pas qu’il faille minimiser les gains quantitatifs dans de tels cas, je dis simplement que dans les affaires où l’écart entre les gains en efficience et les effets anticoncurrentiels est faible le Tribunal doit examiner soigneusement les hypothèses sur lesquelles repose l’analyse quantitative. Il peut alors rejeter la défense fondée sur les gains en efficience, en vertu de son pouvoir discrétionnaire, mais il doit justifier clairement sa </w:t>
      </w:r>
      <w:r w:rsidRPr="00B27419">
        <w:rPr>
          <w:rFonts w:cs="Times New Roman"/>
          <w:lang w:val="fr-CA"/>
        </w:rPr>
        <w:lastRenderedPageBreak/>
        <w:t xml:space="preserve">décision. Ses motifs doivent sembler rationnels, même si la décision est contraire au résultat strict que l’analyse quantitative indiquerait par ailleurs. </w:t>
      </w:r>
    </w:p>
    <w:p w:rsidR="0039493A" w:rsidRPr="00B27419" w:rsidRDefault="0039493A" w:rsidP="00B27419">
      <w:pPr>
        <w:pStyle w:val="ParaNoNdepar-AltN"/>
        <w:rPr>
          <w:rFonts w:cs="Times New Roman"/>
          <w:lang w:val="fr-CA"/>
        </w:rPr>
      </w:pPr>
      <w:r w:rsidRPr="00B27419">
        <w:rPr>
          <w:rFonts w:cs="Times New Roman"/>
          <w:lang w:val="fr-CA"/>
        </w:rPr>
        <w:t>Pour ces motifs, la Cour d’appel fédérale a commis une erreur en statuant qu’un fusionnement anticoncurrentiel ne saurait être approuvé sous le régime de l’art.</w:t>
      </w:r>
      <w:r w:rsidR="00E6271F" w:rsidRPr="00B27419">
        <w:rPr>
          <w:rFonts w:cs="Times New Roman"/>
          <w:lang w:val="fr-CA"/>
        </w:rPr>
        <w:t xml:space="preserve"> </w:t>
      </w:r>
      <w:r w:rsidRPr="00B27419">
        <w:rPr>
          <w:rFonts w:cs="Times New Roman"/>
          <w:lang w:val="fr-CA"/>
        </w:rPr>
        <w:t>96 si seuls des gains négligeables ou insignifiants en découlent.</w:t>
      </w:r>
    </w:p>
    <w:p w:rsidR="0039493A" w:rsidRPr="00B27419" w:rsidRDefault="00121D4E" w:rsidP="00B27419">
      <w:pPr>
        <w:pStyle w:val="Title5LevelTitre5Niveau"/>
        <w:numPr>
          <w:ilvl w:val="0"/>
          <w:numId w:val="0"/>
        </w:numPr>
        <w:tabs>
          <w:tab w:val="clear" w:pos="1620"/>
          <w:tab w:val="left" w:pos="1800"/>
        </w:tabs>
        <w:ind w:left="1800" w:hanging="630"/>
        <w:rPr>
          <w:rFonts w:cs="Times New Roman"/>
          <w:lang w:val="fr-CA"/>
        </w:rPr>
      </w:pPr>
      <w:bookmarkStart w:id="109" w:name="_Toc396299556"/>
      <w:bookmarkStart w:id="110" w:name="_Toc397586788"/>
      <w:bookmarkStart w:id="111" w:name="_Toc409593472"/>
      <w:r w:rsidRPr="00B27419">
        <w:rPr>
          <w:rFonts w:cs="Times New Roman"/>
          <w:u w:val="none"/>
          <w:lang w:val="fr-CA"/>
        </w:rPr>
        <w:t>(ii)</w:t>
      </w:r>
      <w:r w:rsidRPr="00B27419">
        <w:rPr>
          <w:rFonts w:cs="Times New Roman"/>
          <w:u w:val="none"/>
          <w:lang w:val="fr-CA"/>
        </w:rPr>
        <w:tab/>
      </w:r>
      <w:r w:rsidR="0039493A" w:rsidRPr="00B27419">
        <w:rPr>
          <w:rFonts w:cs="Times New Roman"/>
          <w:lang w:val="fr-CA"/>
        </w:rPr>
        <w:t>Monopole préexistant</w:t>
      </w:r>
      <w:bookmarkEnd w:id="109"/>
      <w:bookmarkEnd w:id="110"/>
      <w:bookmarkEnd w:id="111"/>
    </w:p>
    <w:p w:rsidR="0039493A" w:rsidRPr="00B27419" w:rsidRDefault="0039493A" w:rsidP="00B27419">
      <w:pPr>
        <w:pStyle w:val="ParaNoNdepar-AltN"/>
        <w:rPr>
          <w:rFonts w:cs="Times New Roman"/>
          <w:lang w:val="fr-CA"/>
        </w:rPr>
      </w:pPr>
      <w:r w:rsidRPr="00B27419">
        <w:rPr>
          <w:rFonts w:cs="Times New Roman"/>
          <w:lang w:val="fr-CA"/>
        </w:rPr>
        <w:t xml:space="preserve">La Cour d’appel fédérale a statué que le Tribunal avait commis une erreur du fait qu’il </w:t>
      </w:r>
      <w:r w:rsidR="00B27419">
        <w:rPr>
          <w:rFonts w:cs="Times New Roman"/>
          <w:lang w:val="fr-CA"/>
        </w:rPr>
        <w:t>« </w:t>
      </w:r>
      <w:r w:rsidRPr="00B27419">
        <w:rPr>
          <w:rFonts w:cs="Times New Roman"/>
          <w:lang w:val="fr-CA"/>
        </w:rPr>
        <w:t xml:space="preserve">tient compte de la situation de monopole occupée par </w:t>
      </w:r>
      <w:proofErr w:type="spellStart"/>
      <w:r w:rsidRPr="00B27419">
        <w:rPr>
          <w:rFonts w:cs="Times New Roman"/>
          <w:lang w:val="fr-CA"/>
        </w:rPr>
        <w:t>Tervita</w:t>
      </w:r>
      <w:proofErr w:type="spellEnd"/>
      <w:r w:rsidRPr="00B27419">
        <w:rPr>
          <w:rFonts w:cs="Times New Roman"/>
          <w:lang w:val="fr-CA"/>
        </w:rPr>
        <w:t xml:space="preserve"> grâce au fusionnement sans disposer d’élément de preuve de la commissaire quant aux effets anticoncurrentiels supplémentaires résultant de ce monopole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161), mais elle a conclu qu’un </w:t>
      </w:r>
      <w:r w:rsidR="00B27419">
        <w:rPr>
          <w:rFonts w:cs="Times New Roman"/>
          <w:lang w:val="fr-CA"/>
        </w:rPr>
        <w:t>« </w:t>
      </w:r>
      <w:r w:rsidRPr="00B27419">
        <w:rPr>
          <w:rFonts w:cs="Times New Roman"/>
          <w:lang w:val="fr-CA"/>
        </w:rPr>
        <w:t>monopole préexistant comme celui dont il s’agit en l’espèce aura habituellement pour effet d’amplifier les effets anticoncurrentiels d’un fusionnement</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173). La commissaire soutient que la cour n’a pas tenu compte du monopole comme d’un effet en soi, mais a simplement conclu qu’il s’agissait d’un facteur susceptible d’</w:t>
      </w:r>
      <w:r w:rsidRPr="00B27419">
        <w:rPr>
          <w:rFonts w:cs="Times New Roman"/>
          <w:i/>
          <w:lang w:val="fr-CA"/>
        </w:rPr>
        <w:t>amplifier</w:t>
      </w:r>
      <w:r w:rsidRPr="00B27419">
        <w:rPr>
          <w:rFonts w:cs="Times New Roman"/>
          <w:lang w:val="fr-CA"/>
        </w:rPr>
        <w:t xml:space="preserve"> l’effet anticoncurrentiel du fusionnement. Cet argument présente deux lacunes.</w:t>
      </w:r>
    </w:p>
    <w:p w:rsidR="0039493A" w:rsidRPr="00B27419" w:rsidRDefault="0039493A" w:rsidP="00B27419">
      <w:pPr>
        <w:pStyle w:val="ParaNoNdepar-AltN"/>
        <w:rPr>
          <w:rFonts w:cs="Times New Roman"/>
          <w:lang w:val="fr-CA"/>
        </w:rPr>
      </w:pPr>
      <w:r w:rsidRPr="00B27419">
        <w:rPr>
          <w:rFonts w:cs="Times New Roman"/>
          <w:lang w:val="fr-CA"/>
        </w:rPr>
        <w:t xml:space="preserve">Premièrement, si l’on accepte que l’existence d’un monopole soit susceptible d’amplifier les effets anticoncurrentiels, il faut d’abord accepter que des effets anticoncurrentiels soient établis. Dans la présente affaire, la commissaire n’a pas démontré l’incidence de la puissance commerciale supérieure de </w:t>
      </w:r>
      <w:proofErr w:type="spellStart"/>
      <w:r w:rsidRPr="00B27419">
        <w:rPr>
          <w:rFonts w:cs="Times New Roman"/>
          <w:lang w:val="fr-CA"/>
        </w:rPr>
        <w:t>Tervita</w:t>
      </w:r>
      <w:proofErr w:type="spellEnd"/>
      <w:r w:rsidRPr="00B27419">
        <w:rPr>
          <w:rFonts w:cs="Times New Roman"/>
          <w:lang w:val="fr-CA"/>
        </w:rPr>
        <w:t xml:space="preserve"> et, </w:t>
      </w:r>
      <w:r w:rsidRPr="00B27419">
        <w:rPr>
          <w:rFonts w:cs="Times New Roman"/>
          <w:lang w:val="fr-CA"/>
        </w:rPr>
        <w:lastRenderedPageBreak/>
        <w:t xml:space="preserve">comme elle n’a pas quantifié les effets anticoncurrentiels quantifiables, une valeur </w:t>
      </w:r>
      <w:proofErr w:type="gramStart"/>
      <w:r w:rsidRPr="00B27419">
        <w:rPr>
          <w:rFonts w:cs="Times New Roman"/>
          <w:lang w:val="fr-CA"/>
        </w:rPr>
        <w:t>nulle leur</w:t>
      </w:r>
      <w:proofErr w:type="gramEnd"/>
      <w:r w:rsidRPr="00B27419">
        <w:rPr>
          <w:rFonts w:cs="Times New Roman"/>
          <w:lang w:val="fr-CA"/>
        </w:rPr>
        <w:t xml:space="preserve"> a été attribuée. Or, il est impossible d’</w:t>
      </w:r>
      <w:r w:rsidR="00B27419">
        <w:rPr>
          <w:rFonts w:cs="Times New Roman"/>
          <w:lang w:val="fr-CA"/>
        </w:rPr>
        <w:t>« </w:t>
      </w:r>
      <w:r w:rsidRPr="00B27419">
        <w:rPr>
          <w:rFonts w:cs="Times New Roman"/>
          <w:lang w:val="fr-CA"/>
        </w:rPr>
        <w:t>amplifier</w:t>
      </w:r>
      <w:r w:rsidR="00B27419">
        <w:rPr>
          <w:rFonts w:cs="Times New Roman"/>
          <w:lang w:val="fr-CA"/>
        </w:rPr>
        <w:t> »</w:t>
      </w:r>
      <w:r w:rsidRPr="00B27419">
        <w:rPr>
          <w:rFonts w:cs="Times New Roman"/>
          <w:lang w:val="fr-CA"/>
        </w:rPr>
        <w:t xml:space="preserve"> un facteur assorti d’une valeur nulle. Le résultat de cette équation demeure nul.</w:t>
      </w:r>
    </w:p>
    <w:p w:rsidR="0039493A" w:rsidRPr="00B27419" w:rsidRDefault="0039493A" w:rsidP="00B27419">
      <w:pPr>
        <w:pStyle w:val="ParaNoNdepar-AltN"/>
        <w:rPr>
          <w:rFonts w:cs="Times New Roman"/>
          <w:lang w:val="fr-CA"/>
        </w:rPr>
      </w:pPr>
      <w:r w:rsidRPr="00B27419">
        <w:rPr>
          <w:rFonts w:cs="Times New Roman"/>
          <w:lang w:val="fr-CA"/>
        </w:rPr>
        <w:t xml:space="preserve">Deuxièmement, à mon humble avis, la Cour d’appel fédérale a pris en compte l’existence d’un monopole en soi et non ses effets. Pour reprendre ses propos dans l’affaire </w:t>
      </w:r>
      <w:r w:rsidRPr="00B27419">
        <w:rPr>
          <w:rFonts w:cs="Times New Roman"/>
          <w:i/>
          <w:lang w:val="fr-CA"/>
        </w:rPr>
        <w:t>Supérieur Propane</w:t>
      </w:r>
      <w:r w:rsidR="00E6271F" w:rsidRPr="00B27419">
        <w:rPr>
          <w:rFonts w:cs="Times New Roman"/>
          <w:i/>
          <w:lang w:val="fr-CA"/>
        </w:rPr>
        <w:t xml:space="preserve"> </w:t>
      </w:r>
      <w:r w:rsidRPr="00B27419">
        <w:rPr>
          <w:rFonts w:cs="Times New Roman"/>
          <w:i/>
          <w:lang w:val="fr-CA"/>
        </w:rPr>
        <w:t>IV</w:t>
      </w:r>
      <w:r w:rsidR="00E6271F" w:rsidRPr="00B27419">
        <w:rPr>
          <w:rFonts w:cs="Times New Roman"/>
          <w:lang w:val="fr-CA"/>
        </w:rPr>
        <w:t> :</w:t>
      </w:r>
    </w:p>
    <w:p w:rsidR="0039493A" w:rsidRPr="00B27419" w:rsidRDefault="0039493A" w:rsidP="00B27419">
      <w:pPr>
        <w:pStyle w:val="Citation-AltC"/>
        <w:ind w:hanging="1166"/>
        <w:contextualSpacing w:val="0"/>
        <w:rPr>
          <w:lang w:val="fr-CA"/>
        </w:rPr>
      </w:pPr>
      <w:r w:rsidRPr="00B27419">
        <w:rPr>
          <w:lang w:val="fr-CA"/>
        </w:rPr>
        <w:tab/>
        <w:t>Le monopole, de quelque façon qu’on le définisse (p.</w:t>
      </w:r>
      <w:r w:rsidR="00E6271F" w:rsidRPr="00B27419">
        <w:rPr>
          <w:lang w:val="fr-CA"/>
        </w:rPr>
        <w:t xml:space="preserve"> </w:t>
      </w:r>
      <w:r w:rsidRPr="00B27419">
        <w:rPr>
          <w:lang w:val="fr-CA"/>
        </w:rPr>
        <w:t>ex. part de marché de 95</w:t>
      </w:r>
      <w:r w:rsidR="00E6271F" w:rsidRPr="00B27419">
        <w:rPr>
          <w:lang w:val="fr-CA"/>
        </w:rPr>
        <w:t xml:space="preserve"> </w:t>
      </w:r>
      <w:r w:rsidRPr="00B27419">
        <w:rPr>
          <w:lang w:val="fr-CA"/>
        </w:rPr>
        <w:t>pour</w:t>
      </w:r>
      <w:r w:rsidR="00E6271F" w:rsidRPr="00B27419">
        <w:rPr>
          <w:lang w:val="fr-CA"/>
        </w:rPr>
        <w:t xml:space="preserve"> </w:t>
      </w:r>
      <w:r w:rsidRPr="00B27419">
        <w:rPr>
          <w:lang w:val="fr-CA"/>
        </w:rPr>
        <w:t>cent, part de marché de 100 pour cent, barrières élevées à l’entrée), est la description d’une situation du marché, non l’effet de cette situation du marché. Si le monopole doit être pris en compte pour l’application du paragraphe</w:t>
      </w:r>
      <w:r w:rsidR="00E6271F" w:rsidRPr="00B27419">
        <w:rPr>
          <w:lang w:val="fr-CA"/>
        </w:rPr>
        <w:t xml:space="preserve"> </w:t>
      </w:r>
      <w:r w:rsidRPr="00B27419">
        <w:rPr>
          <w:lang w:val="fr-CA"/>
        </w:rPr>
        <w:t>96(1), ce sont les effets du monopole qu’il faut prendre en considération, non l’existence du monopole en soi. [</w:t>
      </w:r>
      <w:proofErr w:type="gramStart"/>
      <w:r w:rsidRPr="00B27419">
        <w:rPr>
          <w:lang w:val="fr-CA"/>
        </w:rPr>
        <w:t>par</w:t>
      </w:r>
      <w:proofErr w:type="gramEnd"/>
      <w:r w:rsidRPr="00B27419">
        <w:rPr>
          <w:lang w:val="fr-CA"/>
        </w:rPr>
        <w:t>.</w:t>
      </w:r>
      <w:r w:rsidR="00E6271F" w:rsidRPr="00B27419">
        <w:rPr>
          <w:lang w:val="fr-CA"/>
        </w:rPr>
        <w:t xml:space="preserve"> </w:t>
      </w:r>
      <w:r w:rsidRPr="00B27419">
        <w:rPr>
          <w:lang w:val="fr-CA"/>
        </w:rPr>
        <w:t>49]</w:t>
      </w:r>
    </w:p>
    <w:p w:rsidR="0039493A" w:rsidRPr="00B27419" w:rsidRDefault="0039493A" w:rsidP="00B27419">
      <w:pPr>
        <w:pStyle w:val="ContinueParaSuitedupar-AltP"/>
        <w:rPr>
          <w:rFonts w:cs="Times New Roman"/>
          <w:lang w:val="fr-CA"/>
        </w:rPr>
      </w:pPr>
      <w:r w:rsidRPr="00B27419">
        <w:rPr>
          <w:rFonts w:cs="Times New Roman"/>
          <w:lang w:val="fr-CA"/>
        </w:rPr>
        <w:t>Dans la présente affaire, où la preuve des effets n’a pas été faite, l’on ne peut affirmer que de tels effets ont été amplifiés. Inévitablement, la démarche revient à prendre en compte l’existence du monopole en soi.</w:t>
      </w:r>
    </w:p>
    <w:p w:rsidR="0039493A" w:rsidRPr="00B27419" w:rsidRDefault="00121D4E" w:rsidP="00B27419">
      <w:pPr>
        <w:pStyle w:val="Title5LevelTitre5Niveau"/>
        <w:numPr>
          <w:ilvl w:val="0"/>
          <w:numId w:val="0"/>
        </w:numPr>
        <w:tabs>
          <w:tab w:val="clear" w:pos="1620"/>
          <w:tab w:val="left" w:pos="1800"/>
        </w:tabs>
        <w:ind w:left="1800" w:hanging="630"/>
        <w:rPr>
          <w:rFonts w:cs="Times New Roman"/>
          <w:lang w:val="fr-CA"/>
        </w:rPr>
      </w:pPr>
      <w:bookmarkStart w:id="112" w:name="_Toc396299557"/>
      <w:bookmarkStart w:id="113" w:name="_Toc397586789"/>
      <w:bookmarkStart w:id="114" w:name="_Toc409593473"/>
      <w:r w:rsidRPr="00B27419">
        <w:rPr>
          <w:rFonts w:cs="Times New Roman"/>
          <w:u w:val="none"/>
          <w:lang w:val="fr-CA"/>
        </w:rPr>
        <w:t>(iii)</w:t>
      </w:r>
      <w:r w:rsidRPr="00B27419">
        <w:rPr>
          <w:rFonts w:cs="Times New Roman"/>
          <w:u w:val="none"/>
          <w:lang w:val="fr-CA"/>
        </w:rPr>
        <w:tab/>
      </w:r>
      <w:r w:rsidR="0039493A" w:rsidRPr="00B27419">
        <w:rPr>
          <w:rFonts w:cs="Times New Roman"/>
          <w:lang w:val="fr-CA"/>
        </w:rPr>
        <w:t>Application à la présent</w:t>
      </w:r>
      <w:bookmarkEnd w:id="112"/>
      <w:bookmarkEnd w:id="113"/>
      <w:r w:rsidR="0039493A" w:rsidRPr="00B27419">
        <w:rPr>
          <w:rFonts w:cs="Times New Roman"/>
          <w:lang w:val="fr-CA"/>
        </w:rPr>
        <w:t>e affaire</w:t>
      </w:r>
      <w:bookmarkEnd w:id="114"/>
    </w:p>
    <w:p w:rsidR="0039493A" w:rsidRPr="00B27419" w:rsidRDefault="0039493A" w:rsidP="00B27419">
      <w:pPr>
        <w:pStyle w:val="ParaNoNdepar-AltN"/>
        <w:rPr>
          <w:rFonts w:cs="Times New Roman"/>
          <w:lang w:val="fr-CA"/>
        </w:rPr>
      </w:pPr>
      <w:r w:rsidRPr="00B27419">
        <w:rPr>
          <w:rFonts w:cs="Times New Roman"/>
          <w:lang w:val="fr-CA"/>
        </w:rPr>
        <w:t xml:space="preserve">En l’espèce, la commissaire ne s’est pas acquittée de la charge qui lui incombait de prouver l’existence d’effets anticoncurrentiels. Pour cette raison, une valeur nulle a été accordée aux effets quantifiables. Le Tribunal n’a accepté aucun des gains en efficience qualitatifs invoqués par </w:t>
      </w:r>
      <w:proofErr w:type="spellStart"/>
      <w:r w:rsidRPr="00B27419">
        <w:rPr>
          <w:rFonts w:cs="Times New Roman"/>
          <w:lang w:val="fr-CA"/>
        </w:rPr>
        <w:t>Tervita</w:t>
      </w:r>
      <w:proofErr w:type="spellEnd"/>
      <w:r w:rsidRPr="00B27419">
        <w:rPr>
          <w:rFonts w:cs="Times New Roman"/>
          <w:lang w:val="fr-CA"/>
        </w:rPr>
        <w:t xml:space="preserve">, et cette dernière ne conteste pas cette décision en appel. Elle a établi l’existence de gains en efficience </w:t>
      </w:r>
      <w:r w:rsidR="00B27419">
        <w:rPr>
          <w:rFonts w:cs="Times New Roman"/>
          <w:lang w:val="fr-CA"/>
        </w:rPr>
        <w:t>« </w:t>
      </w:r>
      <w:r w:rsidRPr="00B27419">
        <w:rPr>
          <w:rFonts w:cs="Times New Roman"/>
          <w:lang w:val="fr-CA"/>
        </w:rPr>
        <w:t xml:space="preserve">liés à la </w:t>
      </w:r>
      <w:r w:rsidRPr="00B27419">
        <w:rPr>
          <w:rFonts w:cs="Times New Roman"/>
          <w:lang w:val="fr-CA"/>
        </w:rPr>
        <w:lastRenderedPageBreak/>
        <w:t>baisse des coûts indirects</w:t>
      </w:r>
      <w:r w:rsidR="00B27419">
        <w:rPr>
          <w:rFonts w:cs="Times New Roman"/>
          <w:lang w:val="fr-CA"/>
        </w:rPr>
        <w:t> »</w:t>
      </w:r>
      <w:r w:rsidRPr="00B27419">
        <w:rPr>
          <w:rFonts w:cs="Times New Roman"/>
          <w:lang w:val="fr-CA"/>
        </w:rPr>
        <w:t xml:space="preserve"> qui découlent de l’obtention par </w:t>
      </w:r>
      <w:proofErr w:type="spellStart"/>
      <w:r w:rsidRPr="00B27419">
        <w:rPr>
          <w:rFonts w:cs="Times New Roman"/>
          <w:lang w:val="fr-CA"/>
        </w:rPr>
        <w:t>Babkirk</w:t>
      </w:r>
      <w:proofErr w:type="spellEnd"/>
      <w:r w:rsidRPr="00B27419">
        <w:rPr>
          <w:rFonts w:cs="Times New Roman"/>
          <w:lang w:val="fr-CA"/>
        </w:rPr>
        <w:t xml:space="preserve"> de l’accès aux fonctions administratives et opérationnelles de </w:t>
      </w:r>
      <w:proofErr w:type="spellStart"/>
      <w:r w:rsidRPr="00B27419">
        <w:rPr>
          <w:rFonts w:cs="Times New Roman"/>
          <w:lang w:val="fr-CA"/>
        </w:rPr>
        <w:t>Tervita</w:t>
      </w:r>
      <w:proofErr w:type="spellEnd"/>
      <w:r w:rsidRPr="00B27419">
        <w:rPr>
          <w:rFonts w:cs="Times New Roman"/>
          <w:lang w:val="fr-CA"/>
        </w:rPr>
        <w:t xml:space="preserve">. Ces gains satisfont à la condition de surpassement dans la présente affaire. </w:t>
      </w:r>
    </w:p>
    <w:p w:rsidR="0039493A" w:rsidRPr="00B27419" w:rsidRDefault="0039493A" w:rsidP="00B27419">
      <w:pPr>
        <w:pStyle w:val="ParaNoNdepar-AltN"/>
        <w:rPr>
          <w:rFonts w:cs="Times New Roman"/>
          <w:lang w:val="fr-CA"/>
        </w:rPr>
      </w:pPr>
      <w:r w:rsidRPr="00B27419">
        <w:rPr>
          <w:rFonts w:cs="Times New Roman"/>
          <w:lang w:val="fr-CA"/>
        </w:rPr>
        <w:t>Quant aux considérations qualitatives, la Cour d’appel fédérale a rejeté les effets qualitatifs acceptés par le Tribunal — les effets environnementaux, pour la restauration de sites, découlant de la réduction des redevances. Subsidiairement, la commissaire fait valoir cet argument comme motif de rejet de la défense fondée sur les gains en efficience autre que les facteurs quantitatifs. Étant donné que j’ai conclu que la cour a rejeté à mauvais droit la défense fondée sur les gains en efficience, passons maintenant à la question de savoir si la preuve des effets environnementaux est admissible pour l’application de l’art.</w:t>
      </w:r>
      <w:r w:rsidR="00E6271F" w:rsidRPr="00B27419">
        <w:rPr>
          <w:rFonts w:cs="Times New Roman"/>
          <w:lang w:val="fr-CA"/>
        </w:rPr>
        <w:t xml:space="preserve"> </w:t>
      </w:r>
      <w:r w:rsidRPr="00B27419">
        <w:rPr>
          <w:rFonts w:cs="Times New Roman"/>
          <w:lang w:val="fr-CA"/>
        </w:rPr>
        <w:t xml:space="preserve">96. </w:t>
      </w:r>
    </w:p>
    <w:p w:rsidR="0039493A" w:rsidRPr="00B27419" w:rsidRDefault="0039493A" w:rsidP="00B27419">
      <w:pPr>
        <w:pStyle w:val="Title4LevelTitre4Niveau"/>
        <w:tabs>
          <w:tab w:val="clear" w:pos="6480"/>
          <w:tab w:val="num" w:pos="1080"/>
        </w:tabs>
        <w:ind w:left="1080" w:hanging="540"/>
        <w:rPr>
          <w:rFonts w:cs="Times New Roman"/>
          <w:lang w:val="fr-CA"/>
        </w:rPr>
      </w:pPr>
      <w:bookmarkStart w:id="115" w:name="_Toc396299558"/>
      <w:bookmarkStart w:id="116" w:name="_Toc397586790"/>
      <w:bookmarkStart w:id="117" w:name="_Toc409593474"/>
      <w:r w:rsidRPr="00B27419">
        <w:rPr>
          <w:rFonts w:cs="Times New Roman"/>
          <w:lang w:val="fr-CA"/>
        </w:rPr>
        <w:t>Argument subsidiaire de la commissaire</w:t>
      </w:r>
      <w:bookmarkEnd w:id="115"/>
      <w:bookmarkEnd w:id="116"/>
      <w:bookmarkEnd w:id="117"/>
    </w:p>
    <w:p w:rsidR="0039493A" w:rsidRPr="00B27419" w:rsidRDefault="0039493A" w:rsidP="00B27419">
      <w:pPr>
        <w:pStyle w:val="ParaNoNdepar-AltN"/>
        <w:rPr>
          <w:rFonts w:cs="Times New Roman"/>
          <w:lang w:val="fr-CA"/>
        </w:rPr>
      </w:pPr>
      <w:r w:rsidRPr="00B27419">
        <w:rPr>
          <w:rFonts w:cs="Times New Roman"/>
          <w:lang w:val="fr-CA"/>
        </w:rPr>
        <w:t>La commissaire fait valoir que la Cour d’appel fédérale a rejeté à tort la réduction des redevances de restauration de sites pour des clients potentiels et ses avantages environnementaux, ces derniers ayant été acceptés par le Tribunal à titre d’effets quali</w:t>
      </w:r>
      <w:r w:rsidR="00BD7A36">
        <w:rPr>
          <w:rFonts w:cs="Times New Roman"/>
          <w:lang w:val="fr-CA"/>
        </w:rPr>
        <w:t>ta</w:t>
      </w:r>
      <w:r w:rsidRPr="00B27419">
        <w:rPr>
          <w:rFonts w:cs="Times New Roman"/>
          <w:lang w:val="fr-CA"/>
        </w:rPr>
        <w:t xml:space="preserve">tifs du fusionnement. Avant de les rejeter, la cour a d’abord demandé </w:t>
      </w:r>
      <w:r w:rsidR="00B27419">
        <w:rPr>
          <w:rFonts w:cs="Times New Roman"/>
          <w:lang w:val="fr-CA"/>
        </w:rPr>
        <w:t>« </w:t>
      </w:r>
      <w:r w:rsidRPr="00B27419">
        <w:rPr>
          <w:rFonts w:cs="Times New Roman"/>
          <w:lang w:val="fr-CA"/>
        </w:rPr>
        <w:t xml:space="preserve">si l’on peut tenir compte, dans le cadre de l’examen d’un fusionnement effectué sous le régime de la </w:t>
      </w:r>
      <w:r w:rsidRPr="00B27419">
        <w:rPr>
          <w:rFonts w:cs="Times New Roman"/>
          <w:i/>
          <w:iCs/>
          <w:lang w:val="fr-CA"/>
        </w:rPr>
        <w:t>Loi sur la concurrence</w:t>
      </w:r>
      <w:r w:rsidRPr="00B27419">
        <w:rPr>
          <w:rFonts w:cs="Times New Roman"/>
          <w:lang w:val="fr-CA"/>
        </w:rPr>
        <w:t>, des effets environnementaux d’un fusionnement lorsqu’aucun effet économique n’est associé aux effets environnementaux en question</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 xml:space="preserve">155). La cour a ensuite conclu que le Tribunal avait néanmoins compté deux fois cet effet, puisqu’il avait examiné, dans le cadre de </w:t>
      </w:r>
      <w:r w:rsidRPr="00B27419">
        <w:rPr>
          <w:rFonts w:cs="Times New Roman"/>
          <w:lang w:val="fr-CA"/>
        </w:rPr>
        <w:lastRenderedPageBreak/>
        <w:t xml:space="preserve">l’analyse sur la </w:t>
      </w:r>
      <w:r w:rsidR="00B27419">
        <w:rPr>
          <w:rFonts w:cs="Times New Roman"/>
          <w:lang w:val="fr-CA"/>
        </w:rPr>
        <w:t>« </w:t>
      </w:r>
      <w:r w:rsidRPr="00B27419">
        <w:rPr>
          <w:rFonts w:cs="Times New Roman"/>
          <w:lang w:val="fr-CA"/>
        </w:rPr>
        <w:t>perte sèche</w:t>
      </w:r>
      <w:r w:rsidR="00B27419">
        <w:rPr>
          <w:rFonts w:cs="Times New Roman"/>
          <w:lang w:val="fr-CA"/>
        </w:rPr>
        <w:t> »</w:t>
      </w:r>
      <w:r w:rsidRPr="00B27419">
        <w:rPr>
          <w:rFonts w:cs="Times New Roman"/>
          <w:lang w:val="fr-CA"/>
        </w:rPr>
        <w:t>, la réduction de 10</w:t>
      </w:r>
      <w:r w:rsidR="00E6271F" w:rsidRPr="00B27419">
        <w:rPr>
          <w:rFonts w:cs="Times New Roman"/>
          <w:lang w:val="fr-CA"/>
        </w:rPr>
        <w:t xml:space="preserve"> </w:t>
      </w:r>
      <w:r w:rsidRPr="00B27419">
        <w:rPr>
          <w:rFonts w:cs="Times New Roman"/>
          <w:lang w:val="fr-CA"/>
        </w:rPr>
        <w:t>p.</w:t>
      </w:r>
      <w:r w:rsidR="00E6271F" w:rsidRPr="00B27419">
        <w:rPr>
          <w:rFonts w:cs="Times New Roman"/>
          <w:lang w:val="fr-CA"/>
        </w:rPr>
        <w:t xml:space="preserve"> </w:t>
      </w:r>
      <w:r w:rsidRPr="00B27419">
        <w:rPr>
          <w:rFonts w:cs="Times New Roman"/>
          <w:lang w:val="fr-CA"/>
        </w:rPr>
        <w:t xml:space="preserve">100 des redevances de déversement qui résulterait de la concurrence et qui se traduirait par une augmentation de la quantité de déchets dangereux éliminés. La cour a statué que le Tribunal aurait dû en tenir compte une seule fois </w:t>
      </w:r>
      <w:r w:rsidR="00B27419">
        <w:rPr>
          <w:rFonts w:cs="Times New Roman"/>
          <w:lang w:val="fr-CA"/>
        </w:rPr>
        <w:t>« </w:t>
      </w:r>
      <w:r w:rsidRPr="00B27419">
        <w:rPr>
          <w:rFonts w:cs="Times New Roman"/>
          <w:lang w:val="fr-CA"/>
        </w:rPr>
        <w:t>en tant qu’effet anticoncurrentiel quantitatif qui n’avait pas été quantifié de façon appropriée par la commissaire</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157).</w:t>
      </w:r>
    </w:p>
    <w:p w:rsidR="0039493A" w:rsidRPr="00B27419" w:rsidRDefault="0039493A" w:rsidP="00B27419">
      <w:pPr>
        <w:pStyle w:val="ParaNoNdepar-AltN"/>
        <w:rPr>
          <w:rFonts w:cs="Times New Roman"/>
          <w:lang w:val="fr-CA"/>
        </w:rPr>
      </w:pPr>
      <w:r w:rsidRPr="00B27419">
        <w:rPr>
          <w:rFonts w:cs="Times New Roman"/>
          <w:lang w:val="fr-CA"/>
        </w:rPr>
        <w:t>Les arguments de la commissaire s’articulent autour de sa thèse, à savoir que les effets environnementaux ont bel et bien eu des retombées économiques. La Cour d’appel fédérale doutait que les effets environnementaux non économiques puissent entrer dans l’analyse qu’appelle l’art.</w:t>
      </w:r>
      <w:r w:rsidR="00E6271F" w:rsidRPr="00B27419">
        <w:rPr>
          <w:rFonts w:cs="Times New Roman"/>
          <w:lang w:val="fr-CA"/>
        </w:rPr>
        <w:t xml:space="preserve"> </w:t>
      </w:r>
      <w:r w:rsidRPr="00B27419">
        <w:rPr>
          <w:rFonts w:cs="Times New Roman"/>
          <w:lang w:val="fr-CA"/>
        </w:rPr>
        <w:t>96. Or, dans la présente affaire, les effets présentaient un aspect économique. La cour a fini par les écarter au motif qu’ils avaient été pris en compte à deux reprises par le Tribunal.</w:t>
      </w:r>
    </w:p>
    <w:p w:rsidR="0039493A" w:rsidRPr="00B27419" w:rsidRDefault="0039493A" w:rsidP="00B27419">
      <w:pPr>
        <w:pStyle w:val="ParaNoNdepar-AltN"/>
        <w:rPr>
          <w:rFonts w:cs="Times New Roman"/>
          <w:lang w:val="fr-CA"/>
        </w:rPr>
      </w:pPr>
      <w:r w:rsidRPr="00B27419">
        <w:rPr>
          <w:rFonts w:cs="Times New Roman"/>
          <w:lang w:val="fr-CA"/>
        </w:rPr>
        <w:t>Je suis d’avis, comme la commissaire, que lorsqu’ils ont une dimension économique, les effets environnementaux peuvent à juste titre être pris en considération dans le cadre de l’analyse qu’appelle l’art.</w:t>
      </w:r>
      <w:r w:rsidR="00E6271F" w:rsidRPr="00B27419">
        <w:rPr>
          <w:rFonts w:cs="Times New Roman"/>
          <w:lang w:val="fr-CA"/>
        </w:rPr>
        <w:t xml:space="preserve"> </w:t>
      </w:r>
      <w:r w:rsidRPr="00B27419">
        <w:rPr>
          <w:rFonts w:cs="Times New Roman"/>
          <w:lang w:val="fr-CA"/>
        </w:rPr>
        <w:t xml:space="preserve">96. De fait, je ne crois pas que la Cour d’appel fédérale dise le contraire. La question soulevée par la commissaire est celle de savoir si les effets environnementaux qu’elle a mis en preuve avaient effectivement une dimension économique. Je conviens par exemple qu’un passif éventuel consigné sur les registres de la société tenue de restaurer un site constitue un aspect économique d’un effet environnemental. Toutefois, le Tribunal disposait certes d’une preuve relative à ce type de passif éventuel, mais cette preuve ne peut être prise en considération dans la présente affaire. </w:t>
      </w:r>
    </w:p>
    <w:p w:rsidR="0039493A" w:rsidRPr="00B27419" w:rsidRDefault="0039493A" w:rsidP="00B27419">
      <w:pPr>
        <w:pStyle w:val="ParaNoNdepar-AltN"/>
        <w:rPr>
          <w:rFonts w:cs="Times New Roman"/>
          <w:lang w:val="fr-CA"/>
        </w:rPr>
      </w:pPr>
      <w:r w:rsidRPr="00B27419">
        <w:rPr>
          <w:rFonts w:cs="Times New Roman"/>
          <w:lang w:val="fr-CA"/>
        </w:rPr>
        <w:lastRenderedPageBreak/>
        <w:t xml:space="preserve">Premièrement, rien ne prouve que les déchets faisant l’objet du passif éventuel en question se </w:t>
      </w:r>
      <w:proofErr w:type="gramStart"/>
      <w:r w:rsidRPr="00B27419">
        <w:rPr>
          <w:rFonts w:cs="Times New Roman"/>
          <w:lang w:val="fr-CA"/>
        </w:rPr>
        <w:t>trouvaient</w:t>
      </w:r>
      <w:proofErr w:type="gramEnd"/>
      <w:r w:rsidRPr="00B27419">
        <w:rPr>
          <w:rFonts w:cs="Times New Roman"/>
          <w:lang w:val="fr-CA"/>
        </w:rPr>
        <w:t xml:space="preserve"> dans la zone contestable. Deuxièmement, l’élastici</w:t>
      </w:r>
      <w:r w:rsidR="000A5FFE">
        <w:rPr>
          <w:rFonts w:cs="Times New Roman"/>
          <w:lang w:val="fr-CA"/>
        </w:rPr>
        <w:t>té de la demande par rapport au</w:t>
      </w:r>
      <w:r w:rsidRPr="00B27419">
        <w:rPr>
          <w:rFonts w:cs="Times New Roman"/>
          <w:lang w:val="fr-CA"/>
        </w:rPr>
        <w:t xml:space="preserve"> prix relativement à ce client n’avait pas été démontrée. Enfin, et ainsi que la Cour d’appel fédérale l’a conclu, si cet effet portait dans la zone contestable, il était quantifiable et, partant, il aurait dû être quantifié par la commissaire. Comme nous l’avons vu, les effets anticoncurrentiels qui sont quantifiables ne deviennent pas des effets qualitatifs du fait qu’ils n’ont pas été quantifiés. En conséquence, et bien que les effets environnementaux dans la présente affaire aient une dimension économique, le Tribunal a commis une erreur lorsqu’il leur a accordé une valeur qualitative.</w:t>
      </w:r>
    </w:p>
    <w:p w:rsidR="0039493A" w:rsidRPr="00B27419" w:rsidRDefault="0039493A" w:rsidP="00B27419">
      <w:pPr>
        <w:pStyle w:val="Title4LevelTitre4Niveau"/>
        <w:tabs>
          <w:tab w:val="clear" w:pos="6480"/>
          <w:tab w:val="num" w:pos="1080"/>
        </w:tabs>
        <w:ind w:left="1080" w:hanging="540"/>
        <w:rPr>
          <w:rFonts w:cs="Times New Roman"/>
          <w:lang w:val="fr-CA"/>
        </w:rPr>
      </w:pPr>
      <w:bookmarkStart w:id="118" w:name="_Toc396299559"/>
      <w:bookmarkStart w:id="119" w:name="_Toc397586791"/>
      <w:bookmarkStart w:id="120" w:name="_Toc409593475"/>
      <w:r w:rsidRPr="00B27419">
        <w:rPr>
          <w:rFonts w:cs="Times New Roman"/>
          <w:lang w:val="fr-CA"/>
        </w:rPr>
        <w:t xml:space="preserve">Conclusion sur la pondération </w:t>
      </w:r>
      <w:bookmarkEnd w:id="118"/>
      <w:bookmarkEnd w:id="119"/>
      <w:r w:rsidRPr="00B27419">
        <w:rPr>
          <w:rFonts w:cs="Times New Roman"/>
          <w:lang w:val="fr-CA"/>
        </w:rPr>
        <w:t>qu’exige l’art</w:t>
      </w:r>
      <w:r w:rsidR="00D53A70" w:rsidRPr="00B27419">
        <w:rPr>
          <w:rFonts w:cs="Times New Roman"/>
          <w:lang w:val="fr-CA"/>
        </w:rPr>
        <w:t>.</w:t>
      </w:r>
      <w:r w:rsidR="00E6271F" w:rsidRPr="00B27419">
        <w:rPr>
          <w:rFonts w:cs="Times New Roman"/>
          <w:lang w:val="fr-CA"/>
        </w:rPr>
        <w:t xml:space="preserve"> </w:t>
      </w:r>
      <w:r w:rsidRPr="00B27419">
        <w:rPr>
          <w:rFonts w:cs="Times New Roman"/>
          <w:lang w:val="fr-CA"/>
        </w:rPr>
        <w:t>96</w:t>
      </w:r>
      <w:bookmarkEnd w:id="120"/>
    </w:p>
    <w:p w:rsidR="0039493A" w:rsidRPr="00B27419" w:rsidRDefault="0039493A" w:rsidP="00B27419">
      <w:pPr>
        <w:pStyle w:val="ParaNoNdepar-AltN"/>
        <w:rPr>
          <w:rFonts w:cs="Times New Roman"/>
          <w:lang w:val="fr-CA"/>
        </w:rPr>
      </w:pPr>
      <w:r w:rsidRPr="00B27419">
        <w:rPr>
          <w:rFonts w:cs="Times New Roman"/>
          <w:lang w:val="fr-CA"/>
        </w:rPr>
        <w:t xml:space="preserve">La commissaire ne s’est pas acquittée de son fardeau, de sorte qu’une valeur nulle a été attribuée aux effets anticoncurrentiels quantifiables. La Cour d’appel fédérale a rejeté à bon droit les effets environnementaux. Aucun effet anticoncurrentiel qualitatif n’a par conséquent été établi. </w:t>
      </w:r>
      <w:proofErr w:type="spellStart"/>
      <w:r w:rsidRPr="00B27419">
        <w:rPr>
          <w:rFonts w:cs="Times New Roman"/>
          <w:lang w:val="fr-CA"/>
        </w:rPr>
        <w:t>Tervita</w:t>
      </w:r>
      <w:proofErr w:type="spellEnd"/>
      <w:r w:rsidRPr="00B27419">
        <w:rPr>
          <w:rFonts w:cs="Times New Roman"/>
          <w:lang w:val="fr-CA"/>
        </w:rPr>
        <w:t xml:space="preserve"> a réussi à prouver l’existence de gains en efficience quantifiables </w:t>
      </w:r>
      <w:r w:rsidR="00B27419">
        <w:rPr>
          <w:rFonts w:cs="Times New Roman"/>
          <w:lang w:val="fr-CA"/>
        </w:rPr>
        <w:t>« </w:t>
      </w:r>
      <w:r w:rsidRPr="00B27419">
        <w:rPr>
          <w:rFonts w:cs="Times New Roman"/>
          <w:lang w:val="fr-CA"/>
        </w:rPr>
        <w:t>liés à la baisse des coûts indirects</w:t>
      </w:r>
      <w:r w:rsidR="00B27419">
        <w:rPr>
          <w:rFonts w:cs="Times New Roman"/>
          <w:lang w:val="fr-CA"/>
        </w:rPr>
        <w:t> »</w:t>
      </w:r>
      <w:r w:rsidRPr="00B27419">
        <w:rPr>
          <w:rFonts w:cs="Times New Roman"/>
          <w:lang w:val="fr-CA"/>
        </w:rPr>
        <w:t xml:space="preserve"> découlant de l’obtention par </w:t>
      </w:r>
      <w:proofErr w:type="spellStart"/>
      <w:r w:rsidRPr="00B27419">
        <w:rPr>
          <w:rFonts w:cs="Times New Roman"/>
          <w:lang w:val="fr-CA"/>
        </w:rPr>
        <w:t>Babkirk</w:t>
      </w:r>
      <w:proofErr w:type="spellEnd"/>
      <w:r w:rsidRPr="00B27419">
        <w:rPr>
          <w:rFonts w:cs="Times New Roman"/>
          <w:lang w:val="fr-CA"/>
        </w:rPr>
        <w:t xml:space="preserve"> de l’accès aux fonctions administratives et opérationnelles de </w:t>
      </w:r>
      <w:proofErr w:type="spellStart"/>
      <w:r w:rsidRPr="00B27419">
        <w:rPr>
          <w:rFonts w:cs="Times New Roman"/>
          <w:lang w:val="fr-CA"/>
        </w:rPr>
        <w:t>Tervita</w:t>
      </w:r>
      <w:proofErr w:type="spellEnd"/>
      <w:r w:rsidRPr="00B27419">
        <w:rPr>
          <w:rFonts w:cs="Times New Roman"/>
          <w:lang w:val="fr-CA"/>
        </w:rPr>
        <w:t xml:space="preserve">. En l’espèce, ces gains établis ont satisfait à la condition de surpassement et de neutralisation. Étant donné que la commissaire n’a pas prouvé l’existence d’effets anticoncurrentiels, qu’ils soient quantifiables ou qualitatifs, la défense fondée sur les gains en efficience s’applique, et la conclusion contraire de la Cour d’appel fédérale était incorrecte. </w:t>
      </w:r>
    </w:p>
    <w:p w:rsidR="0039493A" w:rsidRPr="00B27419" w:rsidRDefault="0039493A" w:rsidP="00B27419">
      <w:pPr>
        <w:pStyle w:val="ParaNoNdepar-AltN"/>
        <w:rPr>
          <w:rFonts w:cs="Times New Roman"/>
          <w:lang w:val="fr-CA"/>
        </w:rPr>
      </w:pPr>
      <w:r w:rsidRPr="00B27419">
        <w:rPr>
          <w:rFonts w:cs="Times New Roman"/>
          <w:lang w:val="fr-CA"/>
        </w:rPr>
        <w:lastRenderedPageBreak/>
        <w:t>Il peut paraître paradoxal de conclure que la décision du Tribunal, selon laquelle il y aurait vraisemblablement un empêchement sensible de la concurrence, était correcte pour ensuite déterminer, à l’issue de la pondération qu’exige l’art.</w:t>
      </w:r>
      <w:r w:rsidR="00E6271F" w:rsidRPr="00B27419">
        <w:rPr>
          <w:rFonts w:cs="Times New Roman"/>
          <w:lang w:val="fr-CA"/>
        </w:rPr>
        <w:t xml:space="preserve"> </w:t>
      </w:r>
      <w:r w:rsidRPr="00B27419">
        <w:rPr>
          <w:rFonts w:cs="Times New Roman"/>
          <w:lang w:val="fr-CA"/>
        </w:rPr>
        <w:t>96, qu’il n’y avait aucun effet anticoncurrentiel. Or ce résultat ne semble paradoxal qu’en raison des faits propres à la présente affaire. Comme nous l’avons vu, le Tribunal a pu examiner une preuve portant sur l’effet sur le marché de l’arrivée de concurrents probables, l’existence de substituts acceptables, et ainsi de suite. L’article</w:t>
      </w:r>
      <w:r w:rsidR="00E6271F" w:rsidRPr="00B27419">
        <w:rPr>
          <w:rFonts w:cs="Times New Roman"/>
          <w:lang w:val="fr-CA"/>
        </w:rPr>
        <w:t xml:space="preserve"> </w:t>
      </w:r>
      <w:r w:rsidRPr="00B27419">
        <w:rPr>
          <w:rFonts w:cs="Times New Roman"/>
          <w:lang w:val="fr-CA"/>
        </w:rPr>
        <w:t>93 permet expressément l’examen de ces facteurs. Ordinairement, la commissaire présenterait également la preuve portant sur ces facteurs pour quantifier leur effet net sur l’économie sous la forme d’une perte sèche. Cependant, le régime législatif ne fait pas obstacle à une conclusion qu’il y aura vraisemblablement un empêchement sensible de la concurrence dans les cas où la perte sèche n’a pas été quantifiée. Ainsi cette omission de la part de la commissaire dans la présente affaire n’a pas été fatale à la conclusion rendue en application de l’art.</w:t>
      </w:r>
      <w:r w:rsidR="00E6271F" w:rsidRPr="00B27419">
        <w:rPr>
          <w:rFonts w:cs="Times New Roman"/>
          <w:lang w:val="fr-CA"/>
        </w:rPr>
        <w:t xml:space="preserve"> </w:t>
      </w:r>
      <w:r w:rsidRPr="00B27419">
        <w:rPr>
          <w:rFonts w:cs="Times New Roman"/>
          <w:lang w:val="fr-CA"/>
        </w:rPr>
        <w:t>92. En revanche, l’analyse de pondération visée à l’art.</w:t>
      </w:r>
      <w:r w:rsidR="00E6271F" w:rsidRPr="00B27419">
        <w:rPr>
          <w:rFonts w:cs="Times New Roman"/>
          <w:lang w:val="fr-CA"/>
        </w:rPr>
        <w:t xml:space="preserve"> </w:t>
      </w:r>
      <w:r w:rsidRPr="00B27419">
        <w:rPr>
          <w:rFonts w:cs="Times New Roman"/>
          <w:lang w:val="fr-CA"/>
        </w:rPr>
        <w:t>96 exige bel et bien que les effets anticoncurrentiels quantifiables soient quantifiés pour être pris en considération. Pour cette raison, la non</w:t>
      </w:r>
      <w:r w:rsidR="00E6271F" w:rsidRPr="00B27419">
        <w:rPr>
          <w:rFonts w:cs="Times New Roman"/>
          <w:lang w:val="fr-CA"/>
        </w:rPr>
        <w:t>-</w:t>
      </w:r>
      <w:r w:rsidRPr="00B27419">
        <w:rPr>
          <w:rFonts w:cs="Times New Roman"/>
          <w:lang w:val="fr-CA"/>
        </w:rPr>
        <w:t>quantification de la perte sèche en l’espèce a fait obstacle à la prise en compte, dans l’analyse qu’appelle l’art.</w:t>
      </w:r>
      <w:r w:rsidR="00E6271F" w:rsidRPr="00B27419">
        <w:rPr>
          <w:rFonts w:cs="Times New Roman"/>
          <w:lang w:val="fr-CA"/>
        </w:rPr>
        <w:t xml:space="preserve"> </w:t>
      </w:r>
      <w:r w:rsidRPr="00B27419">
        <w:rPr>
          <w:rFonts w:cs="Times New Roman"/>
          <w:lang w:val="fr-CA"/>
        </w:rPr>
        <w:t>96, des effets quantifiables étayant la conclusion que le fusionnement aura vraisemblablement pour effet d’empêcher sensiblement la concurrence au sens où il faut entendre l’expression pour l’application de l’art.</w:t>
      </w:r>
      <w:r w:rsidR="00E6271F" w:rsidRPr="00B27419">
        <w:rPr>
          <w:rFonts w:cs="Times New Roman"/>
          <w:lang w:val="fr-CA"/>
        </w:rPr>
        <w:t xml:space="preserve"> </w:t>
      </w:r>
      <w:r w:rsidRPr="00B27419">
        <w:rPr>
          <w:rFonts w:cs="Times New Roman"/>
          <w:lang w:val="fr-CA"/>
        </w:rPr>
        <w:t>92. Si les effets quantifiables avaient effectivement été quantifiés, après avoir conclu, à l’issue de l’analyse qu’exige l’art.</w:t>
      </w:r>
      <w:r w:rsidR="00E6271F" w:rsidRPr="00B27419">
        <w:rPr>
          <w:rFonts w:cs="Times New Roman"/>
          <w:lang w:val="fr-CA"/>
        </w:rPr>
        <w:t xml:space="preserve"> </w:t>
      </w:r>
      <w:r w:rsidRPr="00B27419">
        <w:rPr>
          <w:rFonts w:cs="Times New Roman"/>
          <w:lang w:val="fr-CA"/>
        </w:rPr>
        <w:t>92, que le fusionnement aura vraisemblablement pour effet d’empêcher sensiblement la concurrence, on procéderait à l’examen des effets anticoncurrentiels quantifiés dans le cadre de l’analyse qu’appelle l’art.</w:t>
      </w:r>
      <w:r w:rsidR="00E6271F" w:rsidRPr="00B27419">
        <w:rPr>
          <w:rFonts w:cs="Times New Roman"/>
          <w:lang w:val="fr-CA"/>
        </w:rPr>
        <w:t xml:space="preserve"> </w:t>
      </w:r>
      <w:r w:rsidRPr="00B27419">
        <w:rPr>
          <w:rFonts w:cs="Times New Roman"/>
          <w:lang w:val="fr-CA"/>
        </w:rPr>
        <w:t>96.</w:t>
      </w:r>
    </w:p>
    <w:p w:rsidR="0039493A" w:rsidRPr="00B27419" w:rsidRDefault="00D53A70" w:rsidP="00B27419">
      <w:pPr>
        <w:pStyle w:val="Title3LevelTitre3Niveau"/>
        <w:rPr>
          <w:rFonts w:cs="Times New Roman"/>
          <w:lang w:val="fr-CA"/>
        </w:rPr>
      </w:pPr>
      <w:bookmarkStart w:id="121" w:name="_Toc397586792"/>
      <w:bookmarkStart w:id="122" w:name="_Toc409593476"/>
      <w:r w:rsidRPr="00B27419">
        <w:rPr>
          <w:rFonts w:cs="Times New Roman"/>
          <w:lang w:val="fr-CA"/>
        </w:rPr>
        <w:lastRenderedPageBreak/>
        <w:t>Post-</w:t>
      </w:r>
      <w:r w:rsidR="0039493A" w:rsidRPr="00B27419">
        <w:rPr>
          <w:rFonts w:cs="Times New Roman"/>
          <w:lang w:val="fr-CA"/>
        </w:rPr>
        <w:t>script</w:t>
      </w:r>
      <w:bookmarkEnd w:id="121"/>
      <w:r w:rsidR="0039493A" w:rsidRPr="00B27419">
        <w:rPr>
          <w:rFonts w:cs="Times New Roman"/>
          <w:lang w:val="fr-CA"/>
        </w:rPr>
        <w:t>um</w:t>
      </w:r>
      <w:bookmarkEnd w:id="122"/>
    </w:p>
    <w:p w:rsidR="0039493A" w:rsidRPr="00B27419" w:rsidRDefault="0039493A" w:rsidP="00B27419">
      <w:pPr>
        <w:pStyle w:val="ParaNoNdepar-AltN"/>
        <w:rPr>
          <w:rFonts w:cs="Times New Roman"/>
          <w:lang w:val="fr-CA"/>
        </w:rPr>
      </w:pPr>
      <w:r w:rsidRPr="00B27419">
        <w:rPr>
          <w:rFonts w:cs="Times New Roman"/>
          <w:lang w:val="fr-CA"/>
        </w:rPr>
        <w:t>Si la défense fondée sur les gains en efficience s’applique en l’espèce selon le libellé de l’art.</w:t>
      </w:r>
      <w:r w:rsidR="00E6271F" w:rsidRPr="00B27419">
        <w:rPr>
          <w:rFonts w:cs="Times New Roman"/>
          <w:lang w:val="fr-CA"/>
        </w:rPr>
        <w:t xml:space="preserve"> </w:t>
      </w:r>
      <w:r w:rsidRPr="00B27419">
        <w:rPr>
          <w:rFonts w:cs="Times New Roman"/>
          <w:lang w:val="fr-CA"/>
        </w:rPr>
        <w:t>96, la présente affaire ne soulève pas selon moi les considérations que le législateur avait probablement en tête lorsqu’il a conçu cette exception à l’interdiction générale des fusionnements anticoncurrentiels. Comme nous l’avons vu au par.</w:t>
      </w:r>
      <w:r w:rsidR="00E6271F" w:rsidRPr="00B27419">
        <w:rPr>
          <w:rFonts w:cs="Times New Roman"/>
          <w:lang w:val="fr-CA"/>
        </w:rPr>
        <w:t xml:space="preserve"> </w:t>
      </w:r>
      <w:r w:rsidRPr="00B27419">
        <w:rPr>
          <w:rFonts w:cs="Times New Roman"/>
          <w:lang w:val="fr-CA"/>
        </w:rPr>
        <w:t>84 dans le cadre de l’examen de l’historique de l’art.</w:t>
      </w:r>
      <w:r w:rsidR="00E6271F" w:rsidRPr="00B27419">
        <w:rPr>
          <w:rFonts w:cs="Times New Roman"/>
          <w:lang w:val="fr-CA"/>
        </w:rPr>
        <w:t xml:space="preserve"> </w:t>
      </w:r>
      <w:r w:rsidRPr="00B27419">
        <w:rPr>
          <w:rFonts w:cs="Times New Roman"/>
          <w:lang w:val="fr-CA"/>
        </w:rPr>
        <w:t xml:space="preserve">96, la preuve permet de penser que cette défense avait été créée en raison de la taille du marché intérieur du Canada et pour favoriser l’efficience de la production et les économies d’échelle, surtout par rapport à la concurrence internationale. Or, il s’agit en l’espèce d’une affaire de concurrence locale, où les gains en efficience liés à l’exploitation réalisés ne paraissent pas avoir été essentiels aux économies d’échelle destinées à favoriser la compétitivité de la partie </w:t>
      </w:r>
      <w:proofErr w:type="spellStart"/>
      <w:r w:rsidRPr="00B27419">
        <w:rPr>
          <w:rFonts w:cs="Times New Roman"/>
          <w:lang w:val="fr-CA"/>
        </w:rPr>
        <w:t>acquérante</w:t>
      </w:r>
      <w:proofErr w:type="spellEnd"/>
      <w:r w:rsidRPr="00B27419">
        <w:rPr>
          <w:rFonts w:cs="Times New Roman"/>
          <w:lang w:val="fr-CA"/>
        </w:rPr>
        <w:t xml:space="preserve"> dans le marché en cause. Bien que je tende à penser que la présente affaire ne correspond peut</w:t>
      </w:r>
      <w:r w:rsidR="00E6271F" w:rsidRPr="00B27419">
        <w:rPr>
          <w:rFonts w:cs="Times New Roman"/>
          <w:lang w:val="fr-CA"/>
        </w:rPr>
        <w:t>-</w:t>
      </w:r>
      <w:r w:rsidRPr="00B27419">
        <w:rPr>
          <w:rFonts w:cs="Times New Roman"/>
          <w:lang w:val="fr-CA"/>
        </w:rPr>
        <w:t>être pas à la situation que le législateur avait en tête lorsqu’il a créé la défense fondée sur les gains en efficience, je suis d’avis que la loi dans sa version actuelle permet de conclure que le moyen de défense s’applique dans la présente affaire.</w:t>
      </w:r>
    </w:p>
    <w:p w:rsidR="0039493A" w:rsidRPr="00B27419" w:rsidRDefault="0039493A" w:rsidP="00B27419">
      <w:pPr>
        <w:pStyle w:val="Title1LevelTitre1Niveau-AltL"/>
        <w:rPr>
          <w:rFonts w:cs="Times New Roman"/>
          <w:lang w:val="fr-CA"/>
        </w:rPr>
      </w:pPr>
      <w:bookmarkStart w:id="123" w:name="_Toc396299560"/>
      <w:bookmarkStart w:id="124" w:name="_Toc397586793"/>
      <w:bookmarkStart w:id="125" w:name="_Toc409593477"/>
      <w:r w:rsidRPr="00B27419">
        <w:rPr>
          <w:rFonts w:cs="Times New Roman"/>
          <w:lang w:val="fr-CA"/>
        </w:rPr>
        <w:t>Conclusion</w:t>
      </w:r>
      <w:bookmarkEnd w:id="123"/>
      <w:bookmarkEnd w:id="124"/>
      <w:bookmarkEnd w:id="125"/>
    </w:p>
    <w:p w:rsidR="0039493A" w:rsidRPr="00B27419" w:rsidRDefault="0039493A" w:rsidP="00B27419">
      <w:pPr>
        <w:pStyle w:val="ParaNoNdepar-AltN"/>
        <w:rPr>
          <w:rFonts w:cs="Times New Roman"/>
          <w:lang w:val="fr-CA"/>
        </w:rPr>
      </w:pPr>
      <w:r w:rsidRPr="00B27419">
        <w:rPr>
          <w:rFonts w:cs="Times New Roman"/>
          <w:lang w:val="fr-CA"/>
        </w:rPr>
        <w:t>Je suis d’avis d’accueillir le pourvoi, d’infirmer l’ordonnance de dessaisissement prononcée par le Tribunal et de rejeter la demande fondée sur l’art.</w:t>
      </w:r>
      <w:r w:rsidR="00E6271F" w:rsidRPr="00B27419">
        <w:rPr>
          <w:rFonts w:cs="Times New Roman"/>
          <w:lang w:val="fr-CA"/>
        </w:rPr>
        <w:t xml:space="preserve"> </w:t>
      </w:r>
      <w:r w:rsidRPr="00B27419">
        <w:rPr>
          <w:rFonts w:cs="Times New Roman"/>
          <w:lang w:val="fr-CA"/>
        </w:rPr>
        <w:t xml:space="preserve">92 présentée par la commissaire. Les appelantes ont droit aux dépens devant la Cour et devant la Cour d’appel fédérale.  </w:t>
      </w:r>
    </w:p>
    <w:p w:rsidR="00D53A70" w:rsidRPr="00B27419" w:rsidRDefault="00D53A70" w:rsidP="00B27419">
      <w:pPr>
        <w:pStyle w:val="ParaNoNdepar-AltN"/>
        <w:numPr>
          <w:ilvl w:val="0"/>
          <w:numId w:val="0"/>
        </w:numPr>
        <w:rPr>
          <w:rFonts w:cs="Times New Roman"/>
          <w:lang w:val="fr-CA"/>
        </w:rPr>
      </w:pPr>
      <w:r w:rsidRPr="00B27419">
        <w:rPr>
          <w:rFonts w:cs="Times New Roman"/>
          <w:lang w:val="fr-CA"/>
        </w:rPr>
        <w:lastRenderedPageBreak/>
        <w:tab/>
        <w:t>Version française des motifs rendus par</w:t>
      </w:r>
    </w:p>
    <w:p w:rsidR="0039493A" w:rsidRPr="00B27419" w:rsidRDefault="00D53A70" w:rsidP="00B27419">
      <w:pPr>
        <w:pStyle w:val="ParaNoNdepar-AltN"/>
        <w:tabs>
          <w:tab w:val="clear" w:pos="1166"/>
          <w:tab w:val="clear" w:pos="1294"/>
          <w:tab w:val="num" w:pos="1152"/>
        </w:tabs>
        <w:rPr>
          <w:rFonts w:cs="Times New Roman"/>
          <w:b/>
          <w:lang w:val="fr-CA"/>
        </w:rPr>
      </w:pPr>
      <w:r w:rsidRPr="00B27419">
        <w:rPr>
          <w:smallCaps/>
          <w:lang w:val="fr-CA"/>
        </w:rPr>
        <w:t>La juge Abella</w:t>
      </w:r>
      <w:r w:rsidRPr="00B27419">
        <w:rPr>
          <w:lang w:val="fr-CA"/>
        </w:rPr>
        <w:t xml:space="preserve"> — </w:t>
      </w:r>
      <w:r w:rsidR="0039493A" w:rsidRPr="00B27419">
        <w:rPr>
          <w:rFonts w:cs="Times New Roman"/>
          <w:lang w:val="fr-CA"/>
        </w:rPr>
        <w:t xml:space="preserve">Dans l’arrêt </w:t>
      </w:r>
      <w:proofErr w:type="spellStart"/>
      <w:r w:rsidR="0039493A" w:rsidRPr="00B27419">
        <w:rPr>
          <w:rFonts w:cs="Times New Roman"/>
          <w:i/>
          <w:lang w:val="fr-CA"/>
        </w:rPr>
        <w:t>Pezim</w:t>
      </w:r>
      <w:proofErr w:type="spellEnd"/>
      <w:r w:rsidR="0039493A" w:rsidRPr="00B27419">
        <w:rPr>
          <w:rFonts w:cs="Times New Roman"/>
          <w:i/>
          <w:lang w:val="fr-CA"/>
        </w:rPr>
        <w:t xml:space="preserve"> c. Colombie</w:t>
      </w:r>
      <w:r w:rsidR="00E6271F" w:rsidRPr="00B27419">
        <w:rPr>
          <w:rFonts w:cs="Times New Roman"/>
          <w:i/>
          <w:lang w:val="fr-CA"/>
        </w:rPr>
        <w:t>-</w:t>
      </w:r>
      <w:r w:rsidR="0039493A" w:rsidRPr="00B27419">
        <w:rPr>
          <w:rFonts w:cs="Times New Roman"/>
          <w:i/>
          <w:lang w:val="fr-CA"/>
        </w:rPr>
        <w:t>Britannique (</w:t>
      </w:r>
      <w:proofErr w:type="spellStart"/>
      <w:r w:rsidR="0039493A" w:rsidRPr="00B27419">
        <w:rPr>
          <w:rFonts w:cs="Times New Roman"/>
          <w:i/>
          <w:lang w:val="fr-CA"/>
        </w:rPr>
        <w:t>Superintendent</w:t>
      </w:r>
      <w:proofErr w:type="spellEnd"/>
      <w:r w:rsidR="0039493A" w:rsidRPr="00B27419">
        <w:rPr>
          <w:rFonts w:cs="Times New Roman"/>
          <w:i/>
          <w:lang w:val="fr-CA"/>
        </w:rPr>
        <w:t xml:space="preserve"> of Brokers)</w:t>
      </w:r>
      <w:r w:rsidR="0039493A" w:rsidRPr="00B27419">
        <w:rPr>
          <w:rFonts w:cs="Times New Roman"/>
          <w:lang w:val="fr-CA"/>
        </w:rPr>
        <w:t xml:space="preserve">, [1994] 2 R.C.S. 557, rendu avant l’arrêt </w:t>
      </w:r>
      <w:proofErr w:type="spellStart"/>
      <w:r w:rsidR="0039493A" w:rsidRPr="00B27419">
        <w:rPr>
          <w:rFonts w:cs="Times New Roman"/>
          <w:i/>
          <w:lang w:val="fr-CA"/>
        </w:rPr>
        <w:t>Dunsmuir</w:t>
      </w:r>
      <w:proofErr w:type="spellEnd"/>
      <w:r w:rsidR="0039493A" w:rsidRPr="00B27419">
        <w:rPr>
          <w:rFonts w:cs="Times New Roman"/>
          <w:i/>
          <w:lang w:val="fr-CA"/>
        </w:rPr>
        <w:t xml:space="preserve"> c. Nouveau</w:t>
      </w:r>
      <w:r w:rsidR="00E6271F" w:rsidRPr="00B27419">
        <w:rPr>
          <w:rFonts w:cs="Times New Roman"/>
          <w:i/>
          <w:lang w:val="fr-CA"/>
        </w:rPr>
        <w:t>-</w:t>
      </w:r>
      <w:r w:rsidR="0039493A" w:rsidRPr="00B27419">
        <w:rPr>
          <w:rFonts w:cs="Times New Roman"/>
          <w:i/>
          <w:lang w:val="fr-CA"/>
        </w:rPr>
        <w:t>Brunswick</w:t>
      </w:r>
      <w:r w:rsidR="0039493A" w:rsidRPr="00B27419">
        <w:rPr>
          <w:rFonts w:cs="Times New Roman"/>
          <w:lang w:val="fr-CA"/>
        </w:rPr>
        <w:t>, [2008] 1 R.C.S. 190, la</w:t>
      </w:r>
      <w:r w:rsidR="0039493A" w:rsidRPr="00B27419">
        <w:rPr>
          <w:rFonts w:cs="Times New Roman"/>
          <w:b/>
          <w:lang w:val="fr-CA"/>
        </w:rPr>
        <w:t xml:space="preserve"> </w:t>
      </w:r>
      <w:r w:rsidR="0039493A" w:rsidRPr="00B27419">
        <w:rPr>
          <w:rFonts w:cs="Times New Roman"/>
          <w:lang w:val="fr-CA"/>
        </w:rPr>
        <w:t>Cour a déféré à l’expertise spécialisée de la commission des valeurs mobilières de la Colombie</w:t>
      </w:r>
      <w:r w:rsidR="00E6271F" w:rsidRPr="00B27419">
        <w:rPr>
          <w:rFonts w:cs="Times New Roman"/>
          <w:lang w:val="fr-CA"/>
        </w:rPr>
        <w:t>-</w:t>
      </w:r>
      <w:r w:rsidR="0039493A" w:rsidRPr="00B27419">
        <w:rPr>
          <w:rFonts w:cs="Times New Roman"/>
          <w:lang w:val="fr-CA"/>
        </w:rPr>
        <w:t xml:space="preserve">Britannique dans l’interprétation de dispositions de la </w:t>
      </w:r>
      <w:r w:rsidR="0039493A" w:rsidRPr="00B27419">
        <w:rPr>
          <w:rFonts w:cs="Times New Roman"/>
          <w:i/>
          <w:lang w:val="fr-CA"/>
        </w:rPr>
        <w:t xml:space="preserve">Securities </w:t>
      </w:r>
      <w:proofErr w:type="spellStart"/>
      <w:r w:rsidR="0039493A" w:rsidRPr="00B27419">
        <w:rPr>
          <w:rFonts w:cs="Times New Roman"/>
          <w:i/>
          <w:lang w:val="fr-CA"/>
        </w:rPr>
        <w:t>Act</w:t>
      </w:r>
      <w:proofErr w:type="spellEnd"/>
      <w:r w:rsidR="0039493A" w:rsidRPr="00B27419">
        <w:rPr>
          <w:rFonts w:cs="Times New Roman"/>
          <w:lang w:val="fr-CA"/>
        </w:rPr>
        <w:t>, S.B.C. 1985, c.</w:t>
      </w:r>
      <w:r w:rsidR="00E6271F" w:rsidRPr="00B27419">
        <w:rPr>
          <w:rFonts w:cs="Times New Roman"/>
          <w:lang w:val="fr-CA"/>
        </w:rPr>
        <w:t xml:space="preserve"> </w:t>
      </w:r>
      <w:r w:rsidR="0039493A" w:rsidRPr="00B27419">
        <w:rPr>
          <w:rFonts w:cs="Times New Roman"/>
          <w:lang w:val="fr-CA"/>
        </w:rPr>
        <w:t xml:space="preserve">83, et a appliqué la norme de la décision raisonnable, nonobstant l’existence d’un droit d’appel et l’absence d’une clause privative. Autrement dit, la nature spécialisée de ce tribunal administratif était considérée comme étant plus déterminante pour dégager l’intention véritable du législateur de confier à ce tribunal les rênes de son mandat. Plus récemment, dans l’arrêt </w:t>
      </w:r>
      <w:proofErr w:type="spellStart"/>
      <w:r w:rsidR="0039493A" w:rsidRPr="00B27419">
        <w:rPr>
          <w:rFonts w:cs="Times New Roman"/>
          <w:i/>
          <w:lang w:val="fr-CA"/>
        </w:rPr>
        <w:t>McLean</w:t>
      </w:r>
      <w:proofErr w:type="spellEnd"/>
      <w:r w:rsidR="0039493A" w:rsidRPr="00B27419">
        <w:rPr>
          <w:rFonts w:cs="Times New Roman"/>
          <w:i/>
          <w:lang w:val="fr-CA"/>
        </w:rPr>
        <w:t xml:space="preserve"> c. Colombie</w:t>
      </w:r>
      <w:r w:rsidR="00E6271F" w:rsidRPr="00B27419">
        <w:rPr>
          <w:rFonts w:cs="Times New Roman"/>
          <w:i/>
          <w:lang w:val="fr-CA"/>
        </w:rPr>
        <w:t>-</w:t>
      </w:r>
      <w:r w:rsidR="0039493A" w:rsidRPr="00B27419">
        <w:rPr>
          <w:rFonts w:cs="Times New Roman"/>
          <w:i/>
          <w:lang w:val="fr-CA"/>
        </w:rPr>
        <w:t>Britannique (Securities Commission)</w:t>
      </w:r>
      <w:r w:rsidR="0039493A" w:rsidRPr="00B27419">
        <w:rPr>
          <w:rFonts w:cs="Times New Roman"/>
          <w:lang w:val="fr-CA"/>
        </w:rPr>
        <w:t xml:space="preserve">, [2013] 3 R.C.S. 895, malgré l’existence d’un tel droit d’appel, la Cour a appliqué à nouveau la norme de la décision raisonnable, en raison du domaine d’expertise de la commission des valeurs mobilières de la province (voir </w:t>
      </w:r>
      <w:r w:rsidR="0039493A" w:rsidRPr="00B27419">
        <w:rPr>
          <w:rFonts w:cs="Times New Roman"/>
          <w:i/>
          <w:lang w:val="fr-CA"/>
        </w:rPr>
        <w:t xml:space="preserve">Securities </w:t>
      </w:r>
      <w:proofErr w:type="spellStart"/>
      <w:r w:rsidR="0039493A" w:rsidRPr="00B27419">
        <w:rPr>
          <w:rFonts w:cs="Times New Roman"/>
          <w:i/>
          <w:lang w:val="fr-CA"/>
        </w:rPr>
        <w:t>Act</w:t>
      </w:r>
      <w:proofErr w:type="spellEnd"/>
      <w:r w:rsidR="0039493A" w:rsidRPr="00B27419">
        <w:rPr>
          <w:rFonts w:cs="Times New Roman"/>
          <w:lang w:val="fr-CA"/>
        </w:rPr>
        <w:t>, R.S.B.C. 1996, c.</w:t>
      </w:r>
      <w:r w:rsidR="00E6271F" w:rsidRPr="00B27419">
        <w:rPr>
          <w:rFonts w:cs="Times New Roman"/>
          <w:lang w:val="fr-CA"/>
        </w:rPr>
        <w:t xml:space="preserve"> </w:t>
      </w:r>
      <w:r w:rsidR="0039493A" w:rsidRPr="00B27419">
        <w:rPr>
          <w:rFonts w:cs="Times New Roman"/>
          <w:lang w:val="fr-CA"/>
        </w:rPr>
        <w:t>418, art.</w:t>
      </w:r>
      <w:r w:rsidR="00E6271F" w:rsidRPr="00B27419">
        <w:rPr>
          <w:rFonts w:cs="Times New Roman"/>
          <w:lang w:val="fr-CA"/>
        </w:rPr>
        <w:t xml:space="preserve"> </w:t>
      </w:r>
      <w:r w:rsidR="0039493A" w:rsidRPr="00B27419">
        <w:rPr>
          <w:rFonts w:cs="Times New Roman"/>
          <w:lang w:val="fr-CA"/>
        </w:rPr>
        <w:t>167).</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t xml:space="preserve">La pierre angulaire déposée dans l’arrêt </w:t>
      </w:r>
      <w:proofErr w:type="spellStart"/>
      <w:r w:rsidRPr="00B27419">
        <w:rPr>
          <w:rFonts w:cs="Times New Roman"/>
          <w:i/>
          <w:szCs w:val="24"/>
          <w:lang w:val="fr-CA"/>
        </w:rPr>
        <w:t>Pezim</w:t>
      </w:r>
      <w:proofErr w:type="spellEnd"/>
      <w:r w:rsidRPr="00B27419">
        <w:rPr>
          <w:rFonts w:cs="Times New Roman"/>
          <w:szCs w:val="24"/>
          <w:lang w:val="fr-CA"/>
        </w:rPr>
        <w:t xml:space="preserve"> a jeté les bases d’un nouvel édifice de révision des décisions des tribunaux spécialisés. Au fil d’affaires comme </w:t>
      </w:r>
      <w:proofErr w:type="spellStart"/>
      <w:r w:rsidRPr="00B27419">
        <w:rPr>
          <w:rFonts w:cs="Times New Roman"/>
          <w:i/>
          <w:szCs w:val="24"/>
          <w:lang w:val="fr-CA"/>
        </w:rPr>
        <w:t>McLean</w:t>
      </w:r>
      <w:proofErr w:type="spellEnd"/>
      <w:r w:rsidRPr="00B27419">
        <w:rPr>
          <w:rFonts w:cs="Times New Roman"/>
          <w:szCs w:val="24"/>
          <w:lang w:val="fr-CA"/>
        </w:rPr>
        <w:t xml:space="preserve">, </w:t>
      </w:r>
      <w:r w:rsidRPr="00B27419">
        <w:rPr>
          <w:rFonts w:cs="Times New Roman"/>
          <w:i/>
          <w:szCs w:val="24"/>
          <w:lang w:val="fr-CA"/>
        </w:rPr>
        <w:t>Smith c. Alliance Pipeline Ltd.</w:t>
      </w:r>
      <w:r w:rsidRPr="00B27419">
        <w:rPr>
          <w:rFonts w:cs="Times New Roman"/>
          <w:szCs w:val="24"/>
          <w:lang w:val="fr-CA"/>
        </w:rPr>
        <w:t xml:space="preserve">, [2011] 1 R.C.S. 160, et </w:t>
      </w:r>
      <w:r w:rsidRPr="00B27419">
        <w:rPr>
          <w:rFonts w:cs="Times New Roman"/>
          <w:i/>
          <w:szCs w:val="24"/>
          <w:lang w:val="fr-CA"/>
        </w:rPr>
        <w:t xml:space="preserve">Alberta (Information and </w:t>
      </w:r>
      <w:proofErr w:type="spellStart"/>
      <w:r w:rsidRPr="00B27419">
        <w:rPr>
          <w:rFonts w:cs="Times New Roman"/>
          <w:i/>
          <w:szCs w:val="24"/>
          <w:lang w:val="fr-CA"/>
        </w:rPr>
        <w:t>Privacy</w:t>
      </w:r>
      <w:proofErr w:type="spellEnd"/>
      <w:r w:rsidRPr="00B27419">
        <w:rPr>
          <w:rFonts w:cs="Times New Roman"/>
          <w:i/>
          <w:szCs w:val="24"/>
          <w:lang w:val="fr-CA"/>
        </w:rPr>
        <w:t xml:space="preserve"> </w:t>
      </w:r>
      <w:proofErr w:type="spellStart"/>
      <w:r w:rsidRPr="00B27419">
        <w:rPr>
          <w:rFonts w:cs="Times New Roman"/>
          <w:i/>
          <w:szCs w:val="24"/>
          <w:lang w:val="fr-CA"/>
        </w:rPr>
        <w:t>Commissioner</w:t>
      </w:r>
      <w:proofErr w:type="spellEnd"/>
      <w:r w:rsidRPr="00B27419">
        <w:rPr>
          <w:rFonts w:cs="Times New Roman"/>
          <w:i/>
          <w:szCs w:val="24"/>
          <w:lang w:val="fr-CA"/>
        </w:rPr>
        <w:t xml:space="preserve">) c. Alberta </w:t>
      </w:r>
      <w:proofErr w:type="spellStart"/>
      <w:r w:rsidRPr="00B27419">
        <w:rPr>
          <w:rFonts w:cs="Times New Roman"/>
          <w:i/>
          <w:szCs w:val="24"/>
          <w:lang w:val="fr-CA"/>
        </w:rPr>
        <w:t>Teachers</w:t>
      </w:r>
      <w:proofErr w:type="spellEnd"/>
      <w:r w:rsidRPr="00B27419">
        <w:rPr>
          <w:rFonts w:cs="Times New Roman"/>
          <w:i/>
          <w:szCs w:val="24"/>
          <w:lang w:val="fr-CA"/>
        </w:rPr>
        <w:t>’ Association</w:t>
      </w:r>
      <w:r w:rsidRPr="00B27419">
        <w:rPr>
          <w:rFonts w:cs="Times New Roman"/>
          <w:szCs w:val="24"/>
          <w:lang w:val="fr-CA"/>
        </w:rPr>
        <w:t xml:space="preserve">, [2011] 3 R.C.S. 654, les juges et les avocats participant au contrôle judiciaire en sont venus à croire, valablement et raisonnablement, que la jurisprudence de la Cour avait créé une présomption selon laquelle, qu’il y ait ou non de droit d’appel ou de clause privative </w:t>
      </w:r>
      <w:r w:rsidRPr="00B27419">
        <w:rPr>
          <w:rFonts w:cs="Times New Roman"/>
          <w:szCs w:val="24"/>
          <w:lang w:val="fr-CA"/>
        </w:rPr>
        <w:lastRenderedPageBreak/>
        <w:t>— soit nonobstant le libellé de la loi —, dès lors qu’un tribunal administratif interprète sa propre loi constitutive, c’est la norme de la décision raisonnable qui s’applique. Je ne comprends pas pourquoi il faudrait miner — encore une fois</w:t>
      </w:r>
      <w:r w:rsidRPr="00B27419">
        <w:rPr>
          <w:rStyle w:val="FootnoteReference"/>
          <w:rFonts w:cs="Times New Roman"/>
          <w:szCs w:val="24"/>
          <w:lang w:val="fr-CA"/>
        </w:rPr>
        <w:footnoteReference w:id="2"/>
      </w:r>
      <w:r w:rsidRPr="00B27419">
        <w:rPr>
          <w:rFonts w:cs="Times New Roman"/>
          <w:szCs w:val="24"/>
          <w:lang w:val="fr-CA"/>
        </w:rPr>
        <w:t xml:space="preserve"> — une telle certitude jurisprudentielle. À mon avis, il convient de confirmer, et non d’ébranler, la présomption d’application de la norme de la décision raisonnable et la jurisprudence de la Cour selon laquelle le seul libellé de la loi ne dicte pas la norme de contrôle applicable.</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t xml:space="preserve">Voilà pourquoi, soit dit en tout respect, bien que je souscrive par ailleurs aux motifs des juges majoritaires, j’estime que la norme de contrôle qui s’applique est celle de la décision raisonnable, et non celle de la décision correcte. J’admets qu’il devient de plus en plus difficile de distinguer les démarcations entre l’analyse propre à la norme de la décision raisonnable et celle propre à la norme de la décision correcte, mais avant que ces démarcations soient complètement oblitérées, je pense qu’il vaut la peine de préserver dans la mesure du possible les principes établis. Appliquer la norme de la décision correcte en l’espèce constitue un retour à la situation antérieure à l’arrêt </w:t>
      </w:r>
      <w:proofErr w:type="spellStart"/>
      <w:r w:rsidRPr="00B27419">
        <w:rPr>
          <w:rFonts w:cs="Times New Roman"/>
          <w:i/>
          <w:szCs w:val="24"/>
          <w:lang w:val="fr-CA"/>
        </w:rPr>
        <w:t>Pezim</w:t>
      </w:r>
      <w:proofErr w:type="spellEnd"/>
      <w:r w:rsidRPr="00B27419">
        <w:rPr>
          <w:rFonts w:cs="Times New Roman"/>
          <w:szCs w:val="24"/>
          <w:lang w:val="fr-CA"/>
        </w:rPr>
        <w:t xml:space="preserve">. En créant encore une autre exception fondée sur le libellé de la loi, qui prévoit dans ce cas un droit d’appel, on sape l’expertise reconnue par le texte législatif. Cette nouvelle exception représente également à mon avis un écart inexplicable par rapport à la jurisprudence de la Cour et va engendrer sans aucun doute la confusion relative à la </w:t>
      </w:r>
      <w:r w:rsidR="00B27419">
        <w:rPr>
          <w:rFonts w:cs="Times New Roman"/>
          <w:szCs w:val="24"/>
          <w:lang w:val="fr-CA"/>
        </w:rPr>
        <w:t>« </w:t>
      </w:r>
      <w:r w:rsidRPr="00B27419">
        <w:rPr>
          <w:rFonts w:cs="Times New Roman"/>
          <w:szCs w:val="24"/>
          <w:lang w:val="fr-CA"/>
        </w:rPr>
        <w:t>norme de contrôle</w:t>
      </w:r>
      <w:r w:rsidR="00B27419">
        <w:rPr>
          <w:rFonts w:cs="Times New Roman"/>
          <w:szCs w:val="24"/>
          <w:lang w:val="fr-CA"/>
        </w:rPr>
        <w:t> »</w:t>
      </w:r>
      <w:r w:rsidRPr="00B27419">
        <w:rPr>
          <w:rFonts w:cs="Times New Roman"/>
          <w:szCs w:val="24"/>
          <w:lang w:val="fr-CA"/>
        </w:rPr>
        <w:t xml:space="preserve"> qui avait amené la Cour au départ à vouloir y mettre de l’ordre. </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lastRenderedPageBreak/>
        <w:t xml:space="preserve">La jurisprudence de la Cour a été soigneusement édifiée. Pour reprendre l’explication du juge Binnie dans l’arrêt </w:t>
      </w:r>
      <w:r w:rsidRPr="00B27419">
        <w:rPr>
          <w:rFonts w:cs="Times New Roman"/>
          <w:i/>
          <w:iCs/>
          <w:szCs w:val="24"/>
          <w:lang w:val="fr-CA"/>
        </w:rPr>
        <w:t xml:space="preserve">Canada (Citoyenneté et Immigration) c. </w:t>
      </w:r>
      <w:proofErr w:type="spellStart"/>
      <w:r w:rsidRPr="00B27419">
        <w:rPr>
          <w:rFonts w:cs="Times New Roman"/>
          <w:i/>
          <w:iCs/>
          <w:szCs w:val="24"/>
          <w:lang w:val="fr-CA"/>
        </w:rPr>
        <w:t>Khosa</w:t>
      </w:r>
      <w:proofErr w:type="spellEnd"/>
      <w:r w:rsidRPr="00B27419">
        <w:rPr>
          <w:rFonts w:cs="Times New Roman"/>
          <w:szCs w:val="24"/>
          <w:lang w:val="fr-CA"/>
        </w:rPr>
        <w:t>, [2009] 1 R.C.S. 339</w:t>
      </w:r>
      <w:r w:rsidR="00E6271F" w:rsidRPr="00B27419">
        <w:rPr>
          <w:rFonts w:cs="Times New Roman"/>
          <w:szCs w:val="24"/>
          <w:lang w:val="fr-CA"/>
        </w:rPr>
        <w:t> :</w:t>
      </w:r>
      <w:r w:rsidRPr="00B27419">
        <w:rPr>
          <w:rFonts w:cs="Times New Roman"/>
          <w:szCs w:val="24"/>
          <w:lang w:val="fr-CA"/>
        </w:rPr>
        <w:t xml:space="preserve"> </w:t>
      </w:r>
    </w:p>
    <w:p w:rsidR="0039493A" w:rsidRPr="00B27419" w:rsidRDefault="0039493A" w:rsidP="00B27419">
      <w:pPr>
        <w:pStyle w:val="Citation-AltC"/>
        <w:ind w:hanging="1166"/>
        <w:contextualSpacing w:val="0"/>
        <w:rPr>
          <w:lang w:val="fr-CA"/>
        </w:rPr>
      </w:pPr>
      <w:r w:rsidRPr="00B27419">
        <w:rPr>
          <w:iCs/>
          <w:lang w:val="fr-CA"/>
        </w:rPr>
        <w:tab/>
        <w:t xml:space="preserve">Dans </w:t>
      </w:r>
      <w:proofErr w:type="spellStart"/>
      <w:r w:rsidRPr="00B27419">
        <w:rPr>
          <w:i/>
          <w:iCs/>
          <w:lang w:val="fr-CA"/>
        </w:rPr>
        <w:t>Dunsmuir</w:t>
      </w:r>
      <w:proofErr w:type="spellEnd"/>
      <w:r w:rsidRPr="00B27419">
        <w:rPr>
          <w:iCs/>
          <w:lang w:val="fr-CA"/>
        </w:rPr>
        <w:t xml:space="preserve">, notre Cour a reconnu que, </w:t>
      </w:r>
      <w:r w:rsidRPr="00B27419">
        <w:rPr>
          <w:i/>
          <w:iCs/>
          <w:lang w:val="fr-CA"/>
        </w:rPr>
        <w:t>sans égard à l’existence d’une clause privative</w:t>
      </w:r>
      <w:r w:rsidRPr="00B27419">
        <w:rPr>
          <w:iCs/>
          <w:lang w:val="fr-CA"/>
        </w:rPr>
        <w:t xml:space="preserve">, il est maintenant admis qu’une certaine déférence s’impose lorsqu’une décision particulière a été confiée à un décideur administratif plutôt qu’aux tribunaux judiciaires. Cette déférence s’étend non seulement aux questions touchant aux faits et à la politique, mais aussi à l’interprétation, par le tribunal administratif, de sa loi constitutive et des dispositions législatives connexes étant donné </w:t>
      </w:r>
      <w:r w:rsidR="00B27419">
        <w:rPr>
          <w:iCs/>
          <w:lang w:val="fr-CA"/>
        </w:rPr>
        <w:t>« </w:t>
      </w:r>
      <w:r w:rsidRPr="00B27419">
        <w:rPr>
          <w:iCs/>
          <w:lang w:val="fr-CA"/>
        </w:rPr>
        <w:t>qu’une disposition législative peut donner lieu à plus d’une interprétation valable, et un litige, à plus d’une solution, et que la cour de révision doit se garder d’intervenir lorsque la décision administrative a un fondement rationnel</w:t>
      </w:r>
      <w:r w:rsidR="00B27419">
        <w:rPr>
          <w:iCs/>
          <w:lang w:val="fr-CA"/>
        </w:rPr>
        <w:t> »</w:t>
      </w:r>
      <w:r w:rsidRPr="00B27419">
        <w:rPr>
          <w:iCs/>
          <w:lang w:val="fr-CA"/>
        </w:rPr>
        <w:t xml:space="preserve"> (</w:t>
      </w:r>
      <w:proofErr w:type="spellStart"/>
      <w:r w:rsidRPr="00B27419">
        <w:rPr>
          <w:i/>
          <w:iCs/>
          <w:lang w:val="fr-CA"/>
        </w:rPr>
        <w:t>Dunsmuir</w:t>
      </w:r>
      <w:proofErr w:type="spellEnd"/>
      <w:r w:rsidRPr="00B27419">
        <w:rPr>
          <w:iCs/>
          <w:lang w:val="fr-CA"/>
        </w:rPr>
        <w:t>, par.</w:t>
      </w:r>
      <w:r w:rsidR="00E6271F" w:rsidRPr="00B27419">
        <w:rPr>
          <w:iCs/>
          <w:lang w:val="fr-CA"/>
        </w:rPr>
        <w:t xml:space="preserve"> </w:t>
      </w:r>
      <w:r w:rsidRPr="00B27419">
        <w:rPr>
          <w:iCs/>
          <w:lang w:val="fr-CA"/>
        </w:rPr>
        <w:t xml:space="preserve">41). Le principe de la déférence </w:t>
      </w:r>
      <w:r w:rsidR="00B27419">
        <w:rPr>
          <w:iCs/>
          <w:lang w:val="fr-CA"/>
        </w:rPr>
        <w:t>« </w:t>
      </w:r>
      <w:r w:rsidRPr="00B27419">
        <w:rPr>
          <w:iCs/>
          <w:lang w:val="fr-CA"/>
        </w:rPr>
        <w:t>reconnaît que dans beaucoup de cas, les personnes qui se consacrent quotidiennement à l’application de régimes administratifs souvent complexes possèdent ou acquièrent une grande connaissance ou sensibilité à l’égard des impératifs et des subtilités des régimes législatifs en cause</w:t>
      </w:r>
      <w:r w:rsidR="00B27419">
        <w:rPr>
          <w:iCs/>
          <w:lang w:val="fr-CA"/>
        </w:rPr>
        <w:t> »</w:t>
      </w:r>
      <w:r w:rsidRPr="00B27419">
        <w:rPr>
          <w:iCs/>
          <w:lang w:val="fr-CA"/>
        </w:rPr>
        <w:t xml:space="preserve"> (</w:t>
      </w:r>
      <w:proofErr w:type="spellStart"/>
      <w:r w:rsidRPr="00B27419">
        <w:rPr>
          <w:i/>
          <w:iCs/>
          <w:lang w:val="fr-CA"/>
        </w:rPr>
        <w:t>Dunsmuir</w:t>
      </w:r>
      <w:proofErr w:type="spellEnd"/>
      <w:r w:rsidRPr="00B27419">
        <w:rPr>
          <w:iCs/>
          <w:lang w:val="fr-CA"/>
        </w:rPr>
        <w:t>, par.</w:t>
      </w:r>
      <w:r w:rsidR="00E6271F" w:rsidRPr="00B27419">
        <w:rPr>
          <w:iCs/>
          <w:lang w:val="fr-CA"/>
        </w:rPr>
        <w:t xml:space="preserve"> </w:t>
      </w:r>
      <w:r w:rsidRPr="00B27419">
        <w:rPr>
          <w:iCs/>
          <w:lang w:val="fr-CA"/>
        </w:rPr>
        <w:t>49, citant le professeur David</w:t>
      </w:r>
      <w:r w:rsidR="00E6271F" w:rsidRPr="00B27419">
        <w:rPr>
          <w:iCs/>
          <w:lang w:val="fr-CA"/>
        </w:rPr>
        <w:t xml:space="preserve"> </w:t>
      </w:r>
      <w:r w:rsidRPr="00B27419">
        <w:rPr>
          <w:iCs/>
          <w:lang w:val="fr-CA"/>
        </w:rPr>
        <w:t xml:space="preserve">J. </w:t>
      </w:r>
      <w:proofErr w:type="spellStart"/>
      <w:r w:rsidRPr="00B27419">
        <w:rPr>
          <w:iCs/>
          <w:lang w:val="fr-CA"/>
        </w:rPr>
        <w:t>Mullan</w:t>
      </w:r>
      <w:proofErr w:type="spellEnd"/>
      <w:r w:rsidRPr="00B27419">
        <w:rPr>
          <w:iCs/>
          <w:lang w:val="fr-CA"/>
        </w:rPr>
        <w:t xml:space="preserve">, </w:t>
      </w:r>
      <w:r w:rsidR="00B27419">
        <w:rPr>
          <w:iCs/>
          <w:lang w:val="fr-CA"/>
        </w:rPr>
        <w:t>« </w:t>
      </w:r>
      <w:proofErr w:type="spellStart"/>
      <w:r w:rsidRPr="00B27419">
        <w:rPr>
          <w:iCs/>
          <w:lang w:val="fr-CA"/>
        </w:rPr>
        <w:t>Establishing</w:t>
      </w:r>
      <w:proofErr w:type="spellEnd"/>
      <w:r w:rsidRPr="00B27419">
        <w:rPr>
          <w:iCs/>
          <w:lang w:val="fr-CA"/>
        </w:rPr>
        <w:t xml:space="preserve"> the Standard of </w:t>
      </w:r>
      <w:proofErr w:type="spellStart"/>
      <w:r w:rsidRPr="00B27419">
        <w:rPr>
          <w:iCs/>
          <w:lang w:val="fr-CA"/>
        </w:rPr>
        <w:t>Review</w:t>
      </w:r>
      <w:proofErr w:type="spellEnd"/>
      <w:r w:rsidR="00E6271F" w:rsidRPr="00B27419">
        <w:rPr>
          <w:iCs/>
          <w:lang w:val="fr-CA"/>
        </w:rPr>
        <w:t> :</w:t>
      </w:r>
      <w:r w:rsidRPr="00B27419">
        <w:rPr>
          <w:iCs/>
          <w:lang w:val="fr-CA"/>
        </w:rPr>
        <w:t xml:space="preserve"> The Struggle for </w:t>
      </w:r>
      <w:proofErr w:type="spellStart"/>
      <w:r w:rsidRPr="00B27419">
        <w:rPr>
          <w:iCs/>
          <w:lang w:val="fr-CA"/>
        </w:rPr>
        <w:t>Complexity</w:t>
      </w:r>
      <w:proofErr w:type="spellEnd"/>
      <w:r w:rsidRPr="00B27419">
        <w:rPr>
          <w:iCs/>
          <w:lang w:val="fr-CA"/>
        </w:rPr>
        <w:t>?</w:t>
      </w:r>
      <w:r w:rsidR="00B27419">
        <w:rPr>
          <w:iCs/>
          <w:lang w:val="fr-CA"/>
        </w:rPr>
        <w:t> »</w:t>
      </w:r>
      <w:r w:rsidRPr="00B27419">
        <w:rPr>
          <w:iCs/>
          <w:lang w:val="fr-CA"/>
        </w:rPr>
        <w:t xml:space="preserve"> (2004), 17 </w:t>
      </w:r>
      <w:r w:rsidRPr="00B27419">
        <w:rPr>
          <w:i/>
          <w:iCs/>
          <w:lang w:val="fr-CA"/>
        </w:rPr>
        <w:t xml:space="preserve">C.J.A.L.P. </w:t>
      </w:r>
      <w:r w:rsidRPr="00B27419">
        <w:rPr>
          <w:iCs/>
          <w:lang w:val="fr-CA"/>
        </w:rPr>
        <w:t>59, p.</w:t>
      </w:r>
      <w:r w:rsidR="00E6271F" w:rsidRPr="00B27419">
        <w:rPr>
          <w:iCs/>
          <w:lang w:val="fr-CA"/>
        </w:rPr>
        <w:t xml:space="preserve"> </w:t>
      </w:r>
      <w:r w:rsidRPr="00B27419">
        <w:rPr>
          <w:iCs/>
          <w:lang w:val="fr-CA"/>
        </w:rPr>
        <w:t xml:space="preserve">93). En outre, la déférence </w:t>
      </w:r>
      <w:r w:rsidR="00B27419">
        <w:rPr>
          <w:iCs/>
          <w:lang w:val="fr-CA"/>
        </w:rPr>
        <w:t>« </w:t>
      </w:r>
      <w:r w:rsidRPr="00B27419">
        <w:rPr>
          <w:iCs/>
          <w:lang w:val="fr-CA"/>
        </w:rPr>
        <w:t xml:space="preserve">peut également s’imposer lorsque le tribunal administratif a acquis une expertise dans l’application d’une règle générale de </w:t>
      </w:r>
      <w:proofErr w:type="spellStart"/>
      <w:r w:rsidRPr="00B27419">
        <w:rPr>
          <w:iCs/>
          <w:lang w:val="fr-CA"/>
        </w:rPr>
        <w:t>common</w:t>
      </w:r>
      <w:proofErr w:type="spellEnd"/>
      <w:r w:rsidRPr="00B27419">
        <w:rPr>
          <w:iCs/>
          <w:lang w:val="fr-CA"/>
        </w:rPr>
        <w:t xml:space="preserve"> </w:t>
      </w:r>
      <w:proofErr w:type="spellStart"/>
      <w:r w:rsidRPr="00B27419">
        <w:rPr>
          <w:iCs/>
          <w:lang w:val="fr-CA"/>
        </w:rPr>
        <w:t>law</w:t>
      </w:r>
      <w:proofErr w:type="spellEnd"/>
      <w:r w:rsidRPr="00B27419">
        <w:rPr>
          <w:iCs/>
          <w:lang w:val="fr-CA"/>
        </w:rPr>
        <w:t xml:space="preserve"> ou de droit civil dans son domaine spécialisé</w:t>
      </w:r>
      <w:r w:rsidR="00B27419">
        <w:rPr>
          <w:iCs/>
          <w:lang w:val="fr-CA"/>
        </w:rPr>
        <w:t> »</w:t>
      </w:r>
      <w:r w:rsidRPr="00B27419">
        <w:rPr>
          <w:iCs/>
          <w:lang w:val="fr-CA"/>
        </w:rPr>
        <w:t xml:space="preserve"> (</w:t>
      </w:r>
      <w:proofErr w:type="spellStart"/>
      <w:r w:rsidRPr="00B27419">
        <w:rPr>
          <w:i/>
          <w:iCs/>
          <w:lang w:val="fr-CA"/>
        </w:rPr>
        <w:t>Dunsmuir</w:t>
      </w:r>
      <w:proofErr w:type="spellEnd"/>
      <w:r w:rsidRPr="00B27419">
        <w:rPr>
          <w:iCs/>
          <w:lang w:val="fr-CA"/>
        </w:rPr>
        <w:t>, par.</w:t>
      </w:r>
      <w:r w:rsidR="00E6271F" w:rsidRPr="00B27419">
        <w:rPr>
          <w:iCs/>
          <w:lang w:val="fr-CA"/>
        </w:rPr>
        <w:t xml:space="preserve"> </w:t>
      </w:r>
      <w:r w:rsidRPr="00B27419">
        <w:rPr>
          <w:iCs/>
          <w:lang w:val="fr-CA"/>
        </w:rPr>
        <w:t>54). [</w:t>
      </w:r>
      <w:r w:rsidRPr="00B27419">
        <w:rPr>
          <w:lang w:val="fr-CA"/>
        </w:rPr>
        <w:t>Je souligne; par.</w:t>
      </w:r>
      <w:r w:rsidR="00E6271F" w:rsidRPr="00B27419">
        <w:rPr>
          <w:lang w:val="fr-CA"/>
        </w:rPr>
        <w:t xml:space="preserve"> </w:t>
      </w:r>
      <w:r w:rsidRPr="00B27419">
        <w:rPr>
          <w:lang w:val="fr-CA"/>
        </w:rPr>
        <w:t>25.]</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t xml:space="preserve">La Cour réitère l’explication </w:t>
      </w:r>
      <w:r w:rsidRPr="00B27419">
        <w:rPr>
          <w:rFonts w:cs="Times New Roman"/>
          <w:iCs/>
          <w:szCs w:val="24"/>
          <w:lang w:val="fr-CA"/>
        </w:rPr>
        <w:t>dans le premier paragraphe</w:t>
      </w:r>
      <w:r w:rsidRPr="00B27419">
        <w:rPr>
          <w:rFonts w:cs="Times New Roman"/>
          <w:szCs w:val="24"/>
          <w:lang w:val="fr-CA"/>
        </w:rPr>
        <w:t xml:space="preserve"> de l’arrêt</w:t>
      </w:r>
      <w:r w:rsidRPr="00B27419">
        <w:rPr>
          <w:rFonts w:cs="Times New Roman"/>
          <w:i/>
          <w:iCs/>
          <w:szCs w:val="24"/>
          <w:lang w:val="fr-CA"/>
        </w:rPr>
        <w:t xml:space="preserve"> Alberta </w:t>
      </w:r>
      <w:proofErr w:type="spellStart"/>
      <w:r w:rsidRPr="00B27419">
        <w:rPr>
          <w:rFonts w:cs="Times New Roman"/>
          <w:i/>
          <w:iCs/>
          <w:szCs w:val="24"/>
          <w:lang w:val="fr-CA"/>
        </w:rPr>
        <w:t>Teachers</w:t>
      </w:r>
      <w:proofErr w:type="spellEnd"/>
      <w:r w:rsidRPr="00B27419">
        <w:rPr>
          <w:rFonts w:cs="Times New Roman"/>
          <w:i/>
          <w:iCs/>
          <w:szCs w:val="24"/>
          <w:lang w:val="fr-CA"/>
        </w:rPr>
        <w:t>’ Association</w:t>
      </w:r>
      <w:r w:rsidR="00E6271F" w:rsidRPr="00B27419">
        <w:rPr>
          <w:rFonts w:cs="Times New Roman"/>
          <w:iCs/>
          <w:szCs w:val="24"/>
          <w:lang w:val="fr-CA"/>
        </w:rPr>
        <w:t> :</w:t>
      </w:r>
      <w:r w:rsidRPr="00B27419">
        <w:rPr>
          <w:rFonts w:cs="Times New Roman"/>
          <w:szCs w:val="24"/>
          <w:lang w:val="fr-CA"/>
        </w:rPr>
        <w:t xml:space="preserve"> </w:t>
      </w:r>
      <w:r w:rsidR="00B27419">
        <w:rPr>
          <w:rFonts w:cs="Times New Roman"/>
          <w:szCs w:val="24"/>
          <w:lang w:val="fr-CA"/>
        </w:rPr>
        <w:t>« </w:t>
      </w:r>
      <w:r w:rsidRPr="00B27419">
        <w:rPr>
          <w:rFonts w:cs="Times New Roman"/>
          <w:szCs w:val="24"/>
          <w:lang w:val="fr-CA"/>
        </w:rPr>
        <w:t>En créant un tribunal administratif, une législature confère à un décideur le pouvoir de rendre des décisions dans un domaine où il est censé posséder une expertise. Une cour de justice doit déférer aux décisions administratives qui ressortiss</w:t>
      </w:r>
      <w:r w:rsidR="009264BA" w:rsidRPr="00B27419">
        <w:rPr>
          <w:rFonts w:cs="Times New Roman"/>
          <w:szCs w:val="24"/>
          <w:lang w:val="fr-CA"/>
        </w:rPr>
        <w:t>ent à ce pouvoir décisionnel.</w:t>
      </w:r>
      <w:r w:rsidR="00B27419">
        <w:rPr>
          <w:rFonts w:cs="Times New Roman"/>
          <w:szCs w:val="24"/>
          <w:lang w:val="fr-CA"/>
        </w:rPr>
        <w:t> »</w:t>
      </w:r>
      <w:r w:rsidRPr="00B27419">
        <w:rPr>
          <w:rFonts w:cs="Times New Roman"/>
          <w:szCs w:val="24"/>
          <w:lang w:val="fr-CA"/>
        </w:rPr>
        <w:t xml:space="preserve"> </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t xml:space="preserve">Dans l’arrêt </w:t>
      </w:r>
      <w:r w:rsidRPr="00B27419">
        <w:rPr>
          <w:rFonts w:cs="Times New Roman"/>
          <w:i/>
          <w:iCs/>
          <w:szCs w:val="24"/>
          <w:lang w:val="fr-CA"/>
        </w:rPr>
        <w:t>Smith</w:t>
      </w:r>
      <w:r w:rsidRPr="00B27419">
        <w:rPr>
          <w:rFonts w:cs="Times New Roman"/>
          <w:szCs w:val="24"/>
          <w:lang w:val="fr-CA"/>
        </w:rPr>
        <w:t xml:space="preserve">, la Cour applique la norme de contrôle de la décision raisonnable à l’interprétation, par un comité d’arbitrage, de sa loi constitutive, même </w:t>
      </w:r>
      <w:r w:rsidRPr="00B27419">
        <w:rPr>
          <w:rFonts w:cs="Times New Roman"/>
          <w:szCs w:val="24"/>
          <w:lang w:val="fr-CA"/>
        </w:rPr>
        <w:lastRenderedPageBreak/>
        <w:t xml:space="preserve">si cette dernière prévoit </w:t>
      </w:r>
      <w:r w:rsidRPr="00B27419">
        <w:rPr>
          <w:rFonts w:cs="Times New Roman"/>
          <w:i/>
          <w:szCs w:val="24"/>
          <w:lang w:val="fr-CA"/>
        </w:rPr>
        <w:t>un droit d’appel à la Cour fédérale</w:t>
      </w:r>
      <w:r w:rsidRPr="00B27419">
        <w:rPr>
          <w:rFonts w:cs="Times New Roman"/>
          <w:szCs w:val="24"/>
          <w:lang w:val="fr-CA"/>
        </w:rPr>
        <w:t xml:space="preserve"> des décisions du comité sur des questions de droit ou de compétence (par.</w:t>
      </w:r>
      <w:r w:rsidR="00E6271F" w:rsidRPr="00B27419">
        <w:rPr>
          <w:rFonts w:cs="Times New Roman"/>
          <w:szCs w:val="24"/>
          <w:lang w:val="fr-CA"/>
        </w:rPr>
        <w:t xml:space="preserve"> </w:t>
      </w:r>
      <w:r w:rsidRPr="00B27419">
        <w:rPr>
          <w:rFonts w:cs="Times New Roman"/>
          <w:szCs w:val="24"/>
          <w:lang w:val="fr-CA"/>
        </w:rPr>
        <w:t xml:space="preserve">40; voir également la </w:t>
      </w:r>
      <w:r w:rsidRPr="00B27419">
        <w:rPr>
          <w:rFonts w:cs="Times New Roman"/>
          <w:i/>
          <w:szCs w:val="24"/>
          <w:lang w:val="fr-CA"/>
        </w:rPr>
        <w:t>Loi sur l’Office national de l’énergie</w:t>
      </w:r>
      <w:r w:rsidRPr="00B27419">
        <w:rPr>
          <w:rFonts w:cs="Times New Roman"/>
          <w:szCs w:val="24"/>
          <w:lang w:val="fr-CA"/>
        </w:rPr>
        <w:t>, L.R.C. 1985, c.</w:t>
      </w:r>
      <w:r w:rsidR="00E6271F" w:rsidRPr="00B27419">
        <w:rPr>
          <w:rFonts w:cs="Times New Roman"/>
          <w:szCs w:val="24"/>
          <w:lang w:val="fr-CA"/>
        </w:rPr>
        <w:t xml:space="preserve"> </w:t>
      </w:r>
      <w:r w:rsidRPr="00B27419">
        <w:rPr>
          <w:rFonts w:cs="Times New Roman"/>
          <w:szCs w:val="24"/>
          <w:lang w:val="fr-CA"/>
        </w:rPr>
        <w:t>N</w:t>
      </w:r>
      <w:r w:rsidR="00E6271F" w:rsidRPr="00B27419">
        <w:rPr>
          <w:rFonts w:eastAsia="MS Mincho" w:cs="Times New Roman"/>
          <w:szCs w:val="24"/>
          <w:lang w:val="fr-CA"/>
        </w:rPr>
        <w:t>-</w:t>
      </w:r>
      <w:r w:rsidRPr="00B27419">
        <w:rPr>
          <w:rFonts w:cs="Times New Roman"/>
          <w:szCs w:val="24"/>
          <w:lang w:val="fr-CA"/>
        </w:rPr>
        <w:t>7, art.</w:t>
      </w:r>
      <w:r w:rsidR="00E6271F" w:rsidRPr="00B27419">
        <w:rPr>
          <w:rFonts w:cs="Times New Roman"/>
          <w:szCs w:val="24"/>
          <w:lang w:val="fr-CA"/>
        </w:rPr>
        <w:t xml:space="preserve"> </w:t>
      </w:r>
      <w:r w:rsidRPr="00B27419">
        <w:rPr>
          <w:rFonts w:cs="Times New Roman"/>
          <w:szCs w:val="24"/>
          <w:lang w:val="fr-CA"/>
        </w:rPr>
        <w:t xml:space="preserve">101). En outre, comme nous l’avons vu, la Cour dans l’arrêt </w:t>
      </w:r>
      <w:proofErr w:type="spellStart"/>
      <w:r w:rsidRPr="00B27419">
        <w:rPr>
          <w:rFonts w:cs="Times New Roman"/>
          <w:i/>
          <w:szCs w:val="24"/>
          <w:lang w:val="fr-CA"/>
        </w:rPr>
        <w:t>McLean</w:t>
      </w:r>
      <w:proofErr w:type="spellEnd"/>
      <w:r w:rsidRPr="00B27419">
        <w:rPr>
          <w:rFonts w:cs="Times New Roman"/>
          <w:szCs w:val="24"/>
          <w:lang w:val="fr-CA"/>
        </w:rPr>
        <w:t xml:space="preserve"> conclut à l’application de la norme de la décision raisonnable à l’interprétation que fait la commission des valeurs mobilières de la Colombie</w:t>
      </w:r>
      <w:r w:rsidR="00E6271F" w:rsidRPr="00B27419">
        <w:rPr>
          <w:rFonts w:cs="Times New Roman"/>
          <w:szCs w:val="24"/>
          <w:lang w:val="fr-CA"/>
        </w:rPr>
        <w:t>-</w:t>
      </w:r>
      <w:r w:rsidRPr="00B27419">
        <w:rPr>
          <w:rFonts w:cs="Times New Roman"/>
          <w:szCs w:val="24"/>
          <w:lang w:val="fr-CA"/>
        </w:rPr>
        <w:t>Britannique de sa loi constitutive, et ce même si cette loi prévoit un droit d’appel à la Cour d’appel de la province sur autorisation de celle</w:t>
      </w:r>
      <w:r w:rsidR="00E6271F" w:rsidRPr="00B27419">
        <w:rPr>
          <w:rFonts w:cs="Times New Roman"/>
          <w:szCs w:val="24"/>
          <w:lang w:val="fr-CA"/>
        </w:rPr>
        <w:t>-</w:t>
      </w:r>
      <w:r w:rsidRPr="00B27419">
        <w:rPr>
          <w:rFonts w:cs="Times New Roman"/>
          <w:szCs w:val="24"/>
          <w:lang w:val="fr-CA"/>
        </w:rPr>
        <w:t>ci (par.</w:t>
      </w:r>
      <w:r w:rsidR="00E6271F" w:rsidRPr="00B27419">
        <w:rPr>
          <w:rFonts w:cs="Times New Roman"/>
          <w:szCs w:val="24"/>
          <w:lang w:val="fr-CA"/>
        </w:rPr>
        <w:t xml:space="preserve"> </w:t>
      </w:r>
      <w:r w:rsidRPr="00B27419">
        <w:rPr>
          <w:rFonts w:cs="Times New Roman"/>
          <w:szCs w:val="24"/>
          <w:lang w:val="fr-CA"/>
        </w:rPr>
        <w:t>23</w:t>
      </w:r>
      <w:r w:rsidR="00E6271F" w:rsidRPr="00B27419">
        <w:rPr>
          <w:rFonts w:cs="Times New Roman"/>
          <w:szCs w:val="24"/>
          <w:lang w:val="fr-CA"/>
        </w:rPr>
        <w:t>-</w:t>
      </w:r>
      <w:r w:rsidRPr="00B27419">
        <w:rPr>
          <w:rFonts w:cs="Times New Roman"/>
          <w:szCs w:val="24"/>
          <w:lang w:val="fr-CA"/>
        </w:rPr>
        <w:t xml:space="preserve">24; </w:t>
      </w:r>
      <w:r w:rsidRPr="00B27419">
        <w:rPr>
          <w:rFonts w:cs="Times New Roman"/>
          <w:i/>
          <w:szCs w:val="24"/>
          <w:lang w:val="fr-CA"/>
        </w:rPr>
        <w:t xml:space="preserve">Securities </w:t>
      </w:r>
      <w:proofErr w:type="spellStart"/>
      <w:r w:rsidRPr="00B27419">
        <w:rPr>
          <w:rFonts w:cs="Times New Roman"/>
          <w:i/>
          <w:szCs w:val="24"/>
          <w:lang w:val="fr-CA"/>
        </w:rPr>
        <w:t>Act</w:t>
      </w:r>
      <w:proofErr w:type="spellEnd"/>
      <w:r w:rsidRPr="00B27419">
        <w:rPr>
          <w:rFonts w:cs="Times New Roman"/>
          <w:szCs w:val="24"/>
          <w:lang w:val="fr-CA"/>
        </w:rPr>
        <w:t>, art.</w:t>
      </w:r>
      <w:r w:rsidR="00E6271F" w:rsidRPr="00B27419">
        <w:rPr>
          <w:rFonts w:cs="Times New Roman"/>
          <w:szCs w:val="24"/>
          <w:lang w:val="fr-CA"/>
        </w:rPr>
        <w:t xml:space="preserve"> </w:t>
      </w:r>
      <w:r w:rsidRPr="00B27419">
        <w:rPr>
          <w:rFonts w:cs="Times New Roman"/>
          <w:szCs w:val="24"/>
          <w:lang w:val="fr-CA"/>
        </w:rPr>
        <w:t>167).</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t xml:space="preserve">Dans l’arrêt </w:t>
      </w:r>
      <w:r w:rsidRPr="00B27419">
        <w:rPr>
          <w:rFonts w:cs="Times New Roman"/>
          <w:i/>
          <w:szCs w:val="24"/>
          <w:lang w:val="fr-CA"/>
        </w:rPr>
        <w:t>Canada (Commission canadienne des droits de la personne) c. Canada (Procureur général)</w:t>
      </w:r>
      <w:r w:rsidRPr="00B27419">
        <w:rPr>
          <w:rFonts w:cs="Times New Roman"/>
          <w:szCs w:val="24"/>
          <w:lang w:val="fr-CA"/>
        </w:rPr>
        <w:t xml:space="preserve">, [2011] 3 R.C.S. 471, la Cour reconnaît que le peu de déférence accordé par le passé aux décisions des tribunaux des droits de la personne sur des questions de droit contredit la démarche empreinte de déférence en matière de contrôle judiciaire qu’elle préconise dans l’arrêt </w:t>
      </w:r>
      <w:proofErr w:type="spellStart"/>
      <w:r w:rsidRPr="00B27419">
        <w:rPr>
          <w:rFonts w:cs="Times New Roman"/>
          <w:i/>
          <w:szCs w:val="24"/>
          <w:lang w:val="fr-CA"/>
        </w:rPr>
        <w:t>Dunsmuir</w:t>
      </w:r>
      <w:proofErr w:type="spellEnd"/>
      <w:r w:rsidRPr="00B27419">
        <w:rPr>
          <w:rFonts w:cs="Times New Roman"/>
          <w:szCs w:val="24"/>
          <w:lang w:val="fr-CA"/>
        </w:rPr>
        <w:t xml:space="preserve">. La Cour finit par conclure que parce que la question des dépens relève essentiellement du mandat et de l’expertise du Tribunal canadien des droits de la personne liés à l’interprétation et à l’application de sa loi constitutive, c’est la norme de la décision raisonnable qui s’applique. Selon les juges </w:t>
      </w:r>
      <w:proofErr w:type="spellStart"/>
      <w:r w:rsidRPr="00B27419">
        <w:rPr>
          <w:rFonts w:cs="Times New Roman"/>
          <w:szCs w:val="24"/>
          <w:lang w:val="fr-CA"/>
        </w:rPr>
        <w:t>LeBel</w:t>
      </w:r>
      <w:proofErr w:type="spellEnd"/>
      <w:r w:rsidRPr="00B27419">
        <w:rPr>
          <w:rFonts w:cs="Times New Roman"/>
          <w:szCs w:val="24"/>
          <w:lang w:val="fr-CA"/>
        </w:rPr>
        <w:t xml:space="preserve"> et Cromwell, </w:t>
      </w:r>
      <w:r w:rsidR="00B27419">
        <w:rPr>
          <w:rFonts w:cs="Times New Roman"/>
          <w:szCs w:val="24"/>
          <w:lang w:val="fr-CA"/>
        </w:rPr>
        <w:t>« </w:t>
      </w:r>
      <w:r w:rsidRPr="00B27419">
        <w:rPr>
          <w:rFonts w:cs="Times New Roman"/>
          <w:szCs w:val="24"/>
          <w:lang w:val="fr-CA"/>
        </w:rPr>
        <w:t>[d]ans le cas du contrôle judiciaire, la déférence peut protéger le décideur administratif d’une immixtion judiciaire trop poussée, même à l’égard de certaines questions de droit dès lo</w:t>
      </w:r>
      <w:r w:rsidR="00D1380A" w:rsidRPr="00B27419">
        <w:rPr>
          <w:rFonts w:cs="Times New Roman"/>
          <w:szCs w:val="24"/>
          <w:lang w:val="fr-CA"/>
        </w:rPr>
        <w:t>rs que celles</w:t>
      </w:r>
      <w:r w:rsidR="00E6271F" w:rsidRPr="00B27419">
        <w:rPr>
          <w:rFonts w:cs="Times New Roman"/>
          <w:szCs w:val="24"/>
          <w:lang w:val="fr-CA"/>
        </w:rPr>
        <w:t>-</w:t>
      </w:r>
      <w:r w:rsidR="00D1380A" w:rsidRPr="00B27419">
        <w:rPr>
          <w:rFonts w:cs="Times New Roman"/>
          <w:szCs w:val="24"/>
          <w:lang w:val="fr-CA"/>
        </w:rPr>
        <w:t>ci touchent au cœ</w:t>
      </w:r>
      <w:r w:rsidRPr="00B27419">
        <w:rPr>
          <w:rFonts w:cs="Times New Roman"/>
          <w:szCs w:val="24"/>
          <w:lang w:val="fr-CA"/>
        </w:rPr>
        <w:t>ur même du mandat et du domaine d’expertise du décideur</w:t>
      </w:r>
      <w:r w:rsidR="00B27419">
        <w:rPr>
          <w:rFonts w:cs="Times New Roman"/>
          <w:szCs w:val="24"/>
          <w:lang w:val="fr-CA"/>
        </w:rPr>
        <w:t> »</w:t>
      </w:r>
      <w:r w:rsidRPr="00B27419">
        <w:rPr>
          <w:rFonts w:cs="Times New Roman"/>
          <w:szCs w:val="24"/>
          <w:lang w:val="fr-CA"/>
        </w:rPr>
        <w:t xml:space="preserve"> (par.</w:t>
      </w:r>
      <w:r w:rsidR="00E6271F" w:rsidRPr="00B27419">
        <w:rPr>
          <w:rFonts w:cs="Times New Roman"/>
          <w:szCs w:val="24"/>
          <w:lang w:val="fr-CA"/>
        </w:rPr>
        <w:t xml:space="preserve"> </w:t>
      </w:r>
      <w:r w:rsidRPr="00B27419">
        <w:rPr>
          <w:rFonts w:cs="Times New Roman"/>
          <w:szCs w:val="24"/>
          <w:lang w:val="fr-CA"/>
        </w:rPr>
        <w:t xml:space="preserve">30). </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t xml:space="preserve">Ainsi, la présomption selon laquelle c’est la norme de la décision raisonnable qui vaut à l’égard de l’interprétation par un décideur administratif de sa </w:t>
      </w:r>
      <w:r w:rsidRPr="00B27419">
        <w:rPr>
          <w:rFonts w:cs="Times New Roman"/>
          <w:szCs w:val="24"/>
          <w:lang w:val="fr-CA"/>
        </w:rPr>
        <w:lastRenderedPageBreak/>
        <w:t xml:space="preserve">loi constitutive ou d’une loi qui y est étroitement liée, même lorsqu’une question de droit est soulevée, est bien établie dans la jurisprudence de la Cour (voir aussi </w:t>
      </w:r>
      <w:r w:rsidRPr="00B27419">
        <w:rPr>
          <w:rFonts w:cs="Times New Roman"/>
          <w:i/>
          <w:szCs w:val="24"/>
          <w:lang w:val="fr-CA"/>
        </w:rPr>
        <w:t>Compagnie des chemins de fer nationaux du Canada c. Canada (Procureur général)</w:t>
      </w:r>
      <w:r w:rsidRPr="00B27419">
        <w:rPr>
          <w:rFonts w:cs="Times New Roman"/>
          <w:szCs w:val="24"/>
          <w:lang w:val="fr-CA"/>
        </w:rPr>
        <w:t xml:space="preserve">, [2014] 2 R.C.S. 135; </w:t>
      </w:r>
      <w:proofErr w:type="spellStart"/>
      <w:r w:rsidRPr="00B27419">
        <w:rPr>
          <w:rFonts w:cs="Times New Roman"/>
          <w:i/>
          <w:szCs w:val="24"/>
          <w:lang w:val="fr-CA"/>
        </w:rPr>
        <w:t>Agraira</w:t>
      </w:r>
      <w:proofErr w:type="spellEnd"/>
      <w:r w:rsidRPr="00B27419">
        <w:rPr>
          <w:rFonts w:cs="Times New Roman"/>
          <w:i/>
          <w:szCs w:val="24"/>
          <w:lang w:val="fr-CA"/>
        </w:rPr>
        <w:t xml:space="preserve"> c. Canada (Sécurité publique et Protection civile)</w:t>
      </w:r>
      <w:r w:rsidRPr="00B27419">
        <w:rPr>
          <w:rFonts w:cs="Times New Roman"/>
          <w:szCs w:val="24"/>
          <w:lang w:val="fr-CA"/>
        </w:rPr>
        <w:t xml:space="preserve">, [2013] 2 R.C.S. 559; </w:t>
      </w:r>
      <w:proofErr w:type="spellStart"/>
      <w:r w:rsidRPr="00B27419">
        <w:rPr>
          <w:rFonts w:cs="Times New Roman"/>
          <w:i/>
          <w:szCs w:val="24"/>
          <w:lang w:val="fr-CA"/>
        </w:rPr>
        <w:t>Nor</w:t>
      </w:r>
      <w:r w:rsidR="00E6271F" w:rsidRPr="00B27419">
        <w:rPr>
          <w:rFonts w:cs="Times New Roman"/>
          <w:i/>
          <w:szCs w:val="24"/>
          <w:lang w:val="fr-CA"/>
        </w:rPr>
        <w:t>-</w:t>
      </w:r>
      <w:r w:rsidRPr="00B27419">
        <w:rPr>
          <w:rFonts w:cs="Times New Roman"/>
          <w:i/>
          <w:szCs w:val="24"/>
          <w:lang w:val="fr-CA"/>
        </w:rPr>
        <w:t>Man</w:t>
      </w:r>
      <w:proofErr w:type="spellEnd"/>
      <w:r w:rsidRPr="00B27419">
        <w:rPr>
          <w:rFonts w:cs="Times New Roman"/>
          <w:i/>
          <w:szCs w:val="24"/>
          <w:lang w:val="fr-CA"/>
        </w:rPr>
        <w:t xml:space="preserve"> </w:t>
      </w:r>
      <w:proofErr w:type="spellStart"/>
      <w:r w:rsidRPr="00B27419">
        <w:rPr>
          <w:rFonts w:cs="Times New Roman"/>
          <w:i/>
          <w:szCs w:val="24"/>
          <w:lang w:val="fr-CA"/>
        </w:rPr>
        <w:t>Regional</w:t>
      </w:r>
      <w:proofErr w:type="spellEnd"/>
      <w:r w:rsidRPr="00B27419">
        <w:rPr>
          <w:rFonts w:cs="Times New Roman"/>
          <w:i/>
          <w:szCs w:val="24"/>
          <w:lang w:val="fr-CA"/>
        </w:rPr>
        <w:t xml:space="preserve"> </w:t>
      </w:r>
      <w:proofErr w:type="spellStart"/>
      <w:r w:rsidRPr="00B27419">
        <w:rPr>
          <w:rFonts w:cs="Times New Roman"/>
          <w:i/>
          <w:szCs w:val="24"/>
          <w:lang w:val="fr-CA"/>
        </w:rPr>
        <w:t>Health</w:t>
      </w:r>
      <w:proofErr w:type="spellEnd"/>
      <w:r w:rsidRPr="00B27419">
        <w:rPr>
          <w:rFonts w:cs="Times New Roman"/>
          <w:i/>
          <w:szCs w:val="24"/>
          <w:lang w:val="fr-CA"/>
        </w:rPr>
        <w:t xml:space="preserve"> </w:t>
      </w:r>
      <w:proofErr w:type="spellStart"/>
      <w:r w:rsidRPr="00B27419">
        <w:rPr>
          <w:rFonts w:cs="Times New Roman"/>
          <w:i/>
          <w:szCs w:val="24"/>
          <w:lang w:val="fr-CA"/>
        </w:rPr>
        <w:t>Authority</w:t>
      </w:r>
      <w:proofErr w:type="spellEnd"/>
      <w:r w:rsidRPr="00B27419">
        <w:rPr>
          <w:rFonts w:cs="Times New Roman"/>
          <w:i/>
          <w:szCs w:val="24"/>
          <w:lang w:val="fr-CA"/>
        </w:rPr>
        <w:t xml:space="preserve"> Inc. c. Manitoba Association of </w:t>
      </w:r>
      <w:proofErr w:type="spellStart"/>
      <w:r w:rsidRPr="00B27419">
        <w:rPr>
          <w:rFonts w:cs="Times New Roman"/>
          <w:i/>
          <w:szCs w:val="24"/>
          <w:lang w:val="fr-CA"/>
        </w:rPr>
        <w:t>Health</w:t>
      </w:r>
      <w:proofErr w:type="spellEnd"/>
      <w:r w:rsidRPr="00B27419">
        <w:rPr>
          <w:rFonts w:cs="Times New Roman"/>
          <w:i/>
          <w:szCs w:val="24"/>
          <w:lang w:val="fr-CA"/>
        </w:rPr>
        <w:t xml:space="preserve"> Care </w:t>
      </w:r>
      <w:proofErr w:type="spellStart"/>
      <w:r w:rsidRPr="00B27419">
        <w:rPr>
          <w:rFonts w:cs="Times New Roman"/>
          <w:i/>
          <w:szCs w:val="24"/>
          <w:lang w:val="fr-CA"/>
        </w:rPr>
        <w:t>Professionals</w:t>
      </w:r>
      <w:proofErr w:type="spellEnd"/>
      <w:r w:rsidRPr="00B27419">
        <w:rPr>
          <w:rFonts w:cs="Times New Roman"/>
          <w:szCs w:val="24"/>
          <w:lang w:val="fr-CA"/>
        </w:rPr>
        <w:t xml:space="preserve">, [2011] 3 R.C.S. 616; </w:t>
      </w:r>
      <w:proofErr w:type="spellStart"/>
      <w:r w:rsidRPr="00B27419">
        <w:rPr>
          <w:rFonts w:cs="Times New Roman"/>
          <w:i/>
          <w:szCs w:val="24"/>
          <w:lang w:val="fr-CA"/>
        </w:rPr>
        <w:t>Celgene</w:t>
      </w:r>
      <w:proofErr w:type="spellEnd"/>
      <w:r w:rsidRPr="00B27419">
        <w:rPr>
          <w:rFonts w:cs="Times New Roman"/>
          <w:i/>
          <w:szCs w:val="24"/>
          <w:lang w:val="fr-CA"/>
        </w:rPr>
        <w:t xml:space="preserve"> Corp.</w:t>
      </w:r>
      <w:r w:rsidR="00E6271F" w:rsidRPr="00B27419">
        <w:rPr>
          <w:rFonts w:cs="Times New Roman"/>
          <w:i/>
          <w:szCs w:val="24"/>
          <w:lang w:val="fr-CA"/>
        </w:rPr>
        <w:t xml:space="preserve"> </w:t>
      </w:r>
      <w:r w:rsidRPr="00B27419">
        <w:rPr>
          <w:rFonts w:cs="Times New Roman"/>
          <w:i/>
          <w:szCs w:val="24"/>
          <w:lang w:val="fr-CA"/>
        </w:rPr>
        <w:t>c. Canada (Procureur général)</w:t>
      </w:r>
      <w:r w:rsidRPr="00B27419">
        <w:rPr>
          <w:rFonts w:cs="Times New Roman"/>
          <w:szCs w:val="24"/>
          <w:lang w:val="fr-CA"/>
        </w:rPr>
        <w:t xml:space="preserve">, [2011] 1 R.C.S. 3; </w:t>
      </w:r>
      <w:r w:rsidRPr="00B27419">
        <w:rPr>
          <w:rFonts w:cs="Times New Roman"/>
          <w:i/>
          <w:szCs w:val="24"/>
          <w:lang w:val="fr-CA"/>
        </w:rPr>
        <w:t>Nolan c. Kerry (Canada) Inc.</w:t>
      </w:r>
      <w:r w:rsidRPr="00B27419">
        <w:rPr>
          <w:rFonts w:cs="Times New Roman"/>
          <w:szCs w:val="24"/>
          <w:lang w:val="fr-CA"/>
        </w:rPr>
        <w:t>, [2009] 2 R.C.S. 678</w:t>
      </w:r>
      <w:r w:rsidR="00D1380A" w:rsidRPr="00B27419">
        <w:rPr>
          <w:rFonts w:cs="Times New Roman"/>
          <w:szCs w:val="24"/>
          <w:lang w:val="fr-CA"/>
        </w:rPr>
        <w:t>)</w:t>
      </w:r>
      <w:r w:rsidR="000A5FFE">
        <w:rPr>
          <w:rFonts w:cs="Times New Roman"/>
          <w:szCs w:val="24"/>
          <w:lang w:val="fr-CA"/>
        </w:rPr>
        <w:t>.</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t xml:space="preserve">Certes, la Cour reconnaît que certaines catégories de questions sont assujetties à la norme de la décision correcte. Le juge </w:t>
      </w:r>
      <w:proofErr w:type="spellStart"/>
      <w:r w:rsidRPr="00B27419">
        <w:rPr>
          <w:rFonts w:cs="Times New Roman"/>
          <w:szCs w:val="24"/>
          <w:lang w:val="fr-CA"/>
        </w:rPr>
        <w:t>Rothstein</w:t>
      </w:r>
      <w:proofErr w:type="spellEnd"/>
      <w:r w:rsidRPr="00B27419">
        <w:rPr>
          <w:rFonts w:cs="Times New Roman"/>
          <w:szCs w:val="24"/>
          <w:lang w:val="fr-CA"/>
        </w:rPr>
        <w:t xml:space="preserve"> les énumère dans l’arrêt </w:t>
      </w:r>
      <w:r w:rsidRPr="00B27419">
        <w:rPr>
          <w:rFonts w:cs="Times New Roman"/>
          <w:i/>
          <w:szCs w:val="24"/>
          <w:lang w:val="fr-CA"/>
        </w:rPr>
        <w:t xml:space="preserve">Alberta </w:t>
      </w:r>
      <w:proofErr w:type="spellStart"/>
      <w:r w:rsidRPr="00B27419">
        <w:rPr>
          <w:rFonts w:cs="Times New Roman"/>
          <w:i/>
          <w:szCs w:val="24"/>
          <w:lang w:val="fr-CA"/>
        </w:rPr>
        <w:t>Teachers</w:t>
      </w:r>
      <w:proofErr w:type="spellEnd"/>
      <w:r w:rsidRPr="00B27419">
        <w:rPr>
          <w:rFonts w:cs="Times New Roman"/>
          <w:i/>
          <w:szCs w:val="24"/>
          <w:lang w:val="fr-CA"/>
        </w:rPr>
        <w:t>’ Association</w:t>
      </w:r>
      <w:r w:rsidR="00E6271F" w:rsidRPr="00B27419">
        <w:rPr>
          <w:rFonts w:cs="Times New Roman"/>
          <w:i/>
          <w:szCs w:val="24"/>
          <w:lang w:val="fr-CA"/>
        </w:rPr>
        <w:t> </w:t>
      </w:r>
      <w:r w:rsidR="00E6271F" w:rsidRPr="000A5FFE">
        <w:rPr>
          <w:rFonts w:cs="Times New Roman"/>
          <w:szCs w:val="24"/>
          <w:lang w:val="fr-CA"/>
        </w:rPr>
        <w:t>:</w:t>
      </w:r>
      <w:r w:rsidRPr="000A5FFE">
        <w:rPr>
          <w:rFonts w:cs="Times New Roman"/>
          <w:szCs w:val="24"/>
          <w:lang w:val="fr-CA"/>
        </w:rPr>
        <w:t xml:space="preserve"> </w:t>
      </w:r>
    </w:p>
    <w:p w:rsidR="0039493A" w:rsidRPr="00B27419" w:rsidRDefault="0039493A" w:rsidP="00B27419">
      <w:pPr>
        <w:pStyle w:val="Citation-AltC"/>
        <w:ind w:hanging="1166"/>
        <w:contextualSpacing w:val="0"/>
        <w:rPr>
          <w:lang w:val="fr-CA"/>
        </w:rPr>
      </w:pPr>
      <w:r w:rsidRPr="00B27419">
        <w:rPr>
          <w:lang w:val="fr-CA"/>
        </w:rPr>
        <w:tab/>
        <w:t xml:space="preserve">Suivant la jurisprudence, </w:t>
      </w:r>
      <w:r w:rsidR="00B27419">
        <w:rPr>
          <w:lang w:val="fr-CA"/>
        </w:rPr>
        <w:t>« </w:t>
      </w:r>
      <w:r w:rsidRPr="00B27419">
        <w:rPr>
          <w:lang w:val="fr-CA"/>
        </w:rPr>
        <w:t>[l]</w:t>
      </w:r>
      <w:proofErr w:type="spellStart"/>
      <w:r w:rsidRPr="00B27419">
        <w:rPr>
          <w:lang w:val="fr-CA"/>
        </w:rPr>
        <w:t>orsqu’un</w:t>
      </w:r>
      <w:proofErr w:type="spellEnd"/>
      <w:r w:rsidRPr="00B27419">
        <w:rPr>
          <w:lang w:val="fr-CA"/>
        </w:rPr>
        <w:t xml:space="preserve"> tribunal administratif interprète sa propre loi constitutive ou une loi étroitement liée à son mandat et dont il a une connaissance approfondie, la déférence est habituellement de mise</w:t>
      </w:r>
      <w:r w:rsidR="00B27419">
        <w:rPr>
          <w:lang w:val="fr-CA"/>
        </w:rPr>
        <w:t> »</w:t>
      </w:r>
      <w:r w:rsidRPr="00B27419">
        <w:rPr>
          <w:lang w:val="fr-CA"/>
        </w:rPr>
        <w:t xml:space="preserve"> (</w:t>
      </w:r>
      <w:proofErr w:type="spellStart"/>
      <w:r w:rsidRPr="00B27419">
        <w:rPr>
          <w:i/>
          <w:iCs/>
          <w:lang w:val="fr-CA"/>
        </w:rPr>
        <w:t>Dunsmuir</w:t>
      </w:r>
      <w:proofErr w:type="spellEnd"/>
      <w:r w:rsidRPr="00B27419">
        <w:rPr>
          <w:lang w:val="fr-CA"/>
        </w:rPr>
        <w:t>, par.</w:t>
      </w:r>
      <w:r w:rsidR="00E6271F" w:rsidRPr="00B27419">
        <w:rPr>
          <w:lang w:val="fr-CA"/>
        </w:rPr>
        <w:t xml:space="preserve"> </w:t>
      </w:r>
      <w:r w:rsidRPr="00B27419">
        <w:rPr>
          <w:lang w:val="fr-CA"/>
        </w:rPr>
        <w:t xml:space="preserve">54; </w:t>
      </w:r>
      <w:r w:rsidRPr="00B27419">
        <w:rPr>
          <w:i/>
          <w:iCs/>
          <w:lang w:val="fr-CA"/>
        </w:rPr>
        <w:t>Smith c. Alliance Pipeline Ltd.</w:t>
      </w:r>
      <w:r w:rsidRPr="00B27419">
        <w:rPr>
          <w:lang w:val="fr-CA"/>
        </w:rPr>
        <w:t>, 2011 CSC 7, [2011] 1 R.C.S. 160, par.</w:t>
      </w:r>
      <w:r w:rsidR="00E6271F" w:rsidRPr="00B27419">
        <w:rPr>
          <w:lang w:val="fr-CA"/>
        </w:rPr>
        <w:t xml:space="preserve"> </w:t>
      </w:r>
      <w:r w:rsidRPr="00B27419">
        <w:rPr>
          <w:lang w:val="fr-CA"/>
        </w:rPr>
        <w:t>28, le juge</w:t>
      </w:r>
      <w:r w:rsidRPr="00B27419">
        <w:rPr>
          <w:i/>
          <w:iCs/>
          <w:lang w:val="fr-CA"/>
        </w:rPr>
        <w:t xml:space="preserve"> </w:t>
      </w:r>
      <w:r w:rsidRPr="00B27419">
        <w:rPr>
          <w:lang w:val="fr-CA"/>
        </w:rPr>
        <w:t>Fish).</w:t>
      </w:r>
      <w:r w:rsidR="00E6271F" w:rsidRPr="00B27419">
        <w:rPr>
          <w:lang w:val="fr-CA"/>
        </w:rPr>
        <w:t xml:space="preserve"> </w:t>
      </w:r>
      <w:r w:rsidRPr="00B27419">
        <w:rPr>
          <w:lang w:val="fr-CA"/>
        </w:rPr>
        <w:t xml:space="preserve"> Le principe ne vaut cependant pas lorsque l’interprétation de la loi constitutive relève d’une catégorie de questions à laquelle la norme de la décision correcte demeure applicable, à savoir les </w:t>
      </w:r>
      <w:r w:rsidR="00B27419">
        <w:rPr>
          <w:lang w:val="fr-CA"/>
        </w:rPr>
        <w:t>« </w:t>
      </w:r>
      <w:r w:rsidRPr="00B27419">
        <w:rPr>
          <w:lang w:val="fr-CA"/>
        </w:rPr>
        <w:t>questions constitutionnelles, [les] questions de droit qui revêtent une importance capitale pour le système juridique dans son ensemble et qui sont étrangères au domaine d’expertise du décideur, [les] questions portant sur la “délimitation des compétences respectives de tribunaux spécialisés concurrents” [et] les questions touchant véritablement à la compétence</w:t>
      </w:r>
      <w:r w:rsidR="00B27419">
        <w:rPr>
          <w:lang w:val="fr-CA"/>
        </w:rPr>
        <w:t> »</w:t>
      </w:r>
      <w:r w:rsidRPr="00B27419">
        <w:rPr>
          <w:lang w:val="fr-CA"/>
        </w:rPr>
        <w:t xml:space="preserve"> (</w:t>
      </w:r>
      <w:r w:rsidRPr="00B27419">
        <w:rPr>
          <w:i/>
          <w:iCs/>
          <w:lang w:val="fr-CA"/>
        </w:rPr>
        <w:t>Canada (Commission canadienne des droits de la personne) c. Canada</w:t>
      </w:r>
      <w:r w:rsidRPr="00B27419">
        <w:rPr>
          <w:lang w:val="fr-CA"/>
        </w:rPr>
        <w:t xml:space="preserve"> </w:t>
      </w:r>
      <w:r w:rsidRPr="00B27419">
        <w:rPr>
          <w:i/>
          <w:iCs/>
          <w:lang w:val="fr-CA"/>
        </w:rPr>
        <w:t>(Procureur général)</w:t>
      </w:r>
      <w:r w:rsidRPr="00B27419">
        <w:rPr>
          <w:lang w:val="fr-CA"/>
        </w:rPr>
        <w:t>, 2011 CSC 53, [2011] 3 R.C.S. 471, par.</w:t>
      </w:r>
      <w:r w:rsidR="00E6271F" w:rsidRPr="00B27419">
        <w:rPr>
          <w:lang w:val="fr-CA"/>
        </w:rPr>
        <w:t xml:space="preserve"> </w:t>
      </w:r>
      <w:r w:rsidRPr="00B27419">
        <w:rPr>
          <w:lang w:val="fr-CA"/>
        </w:rPr>
        <w:t>18, les juges</w:t>
      </w:r>
      <w:r w:rsidRPr="00B27419">
        <w:rPr>
          <w:i/>
          <w:iCs/>
          <w:lang w:val="fr-CA"/>
        </w:rPr>
        <w:t xml:space="preserve"> </w:t>
      </w:r>
      <w:proofErr w:type="spellStart"/>
      <w:r w:rsidRPr="00B27419">
        <w:rPr>
          <w:lang w:val="fr-CA"/>
        </w:rPr>
        <w:t>LeBel</w:t>
      </w:r>
      <w:proofErr w:type="spellEnd"/>
      <w:r w:rsidRPr="00B27419">
        <w:rPr>
          <w:lang w:val="fr-CA"/>
        </w:rPr>
        <w:t xml:space="preserve"> et Cromwell, citant </w:t>
      </w:r>
      <w:proofErr w:type="spellStart"/>
      <w:r w:rsidRPr="00B27419">
        <w:rPr>
          <w:i/>
          <w:iCs/>
          <w:lang w:val="fr-CA"/>
        </w:rPr>
        <w:t>Dunsmuir</w:t>
      </w:r>
      <w:proofErr w:type="spellEnd"/>
      <w:r w:rsidRPr="00B27419">
        <w:rPr>
          <w:lang w:val="fr-CA"/>
        </w:rPr>
        <w:t>, par.</w:t>
      </w:r>
      <w:r w:rsidR="00E6271F" w:rsidRPr="00B27419">
        <w:rPr>
          <w:lang w:val="fr-CA"/>
        </w:rPr>
        <w:t xml:space="preserve"> </w:t>
      </w:r>
      <w:r w:rsidRPr="00B27419">
        <w:rPr>
          <w:lang w:val="fr-CA"/>
        </w:rPr>
        <w:t>58, 60</w:t>
      </w:r>
      <w:r w:rsidR="00E6271F" w:rsidRPr="00B27419">
        <w:rPr>
          <w:lang w:val="fr-CA"/>
        </w:rPr>
        <w:t>-</w:t>
      </w:r>
      <w:r w:rsidRPr="00B27419">
        <w:rPr>
          <w:lang w:val="fr-CA"/>
        </w:rPr>
        <w:t>61)</w:t>
      </w:r>
      <w:r w:rsidR="00D1380A" w:rsidRPr="00B27419">
        <w:rPr>
          <w:lang w:val="fr-CA"/>
        </w:rPr>
        <w:t>. [</w:t>
      </w:r>
      <w:proofErr w:type="gramStart"/>
      <w:r w:rsidR="00D1380A" w:rsidRPr="00B27419">
        <w:rPr>
          <w:lang w:val="fr-CA"/>
        </w:rPr>
        <w:t>par</w:t>
      </w:r>
      <w:proofErr w:type="gramEnd"/>
      <w:r w:rsidR="00D1380A" w:rsidRPr="00B27419">
        <w:rPr>
          <w:lang w:val="fr-CA"/>
        </w:rPr>
        <w:t>.</w:t>
      </w:r>
      <w:r w:rsidR="00E6271F" w:rsidRPr="00B27419">
        <w:rPr>
          <w:lang w:val="fr-CA"/>
        </w:rPr>
        <w:t xml:space="preserve"> </w:t>
      </w:r>
      <w:r w:rsidR="00D1380A" w:rsidRPr="00B27419">
        <w:rPr>
          <w:lang w:val="fr-CA"/>
        </w:rPr>
        <w:t>30]</w:t>
      </w:r>
      <w:r w:rsidRPr="00B27419">
        <w:rPr>
          <w:lang w:val="fr-CA"/>
        </w:rPr>
        <w:t xml:space="preserve"> </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t xml:space="preserve">Signalons qu’un droit d’appel légal n’en fait pas partie. </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lastRenderedPageBreak/>
        <w:t xml:space="preserve">Bien que le libellé de la disposition accordant le droit d’appel dans l’affaire qui nous occupe diffère de celui qui est en cause dans les affaires </w:t>
      </w:r>
      <w:proofErr w:type="spellStart"/>
      <w:r w:rsidRPr="00B27419">
        <w:rPr>
          <w:rFonts w:cs="Times New Roman"/>
          <w:i/>
          <w:szCs w:val="24"/>
          <w:lang w:val="fr-CA"/>
        </w:rPr>
        <w:t>Pezim</w:t>
      </w:r>
      <w:proofErr w:type="spellEnd"/>
      <w:r w:rsidRPr="00B27419">
        <w:rPr>
          <w:rFonts w:cs="Times New Roman"/>
          <w:szCs w:val="24"/>
          <w:lang w:val="fr-CA"/>
        </w:rPr>
        <w:t xml:space="preserve">, </w:t>
      </w:r>
      <w:proofErr w:type="spellStart"/>
      <w:r w:rsidRPr="00B27419">
        <w:rPr>
          <w:rFonts w:cs="Times New Roman"/>
          <w:i/>
          <w:szCs w:val="24"/>
          <w:lang w:val="fr-CA"/>
        </w:rPr>
        <w:t>McLean</w:t>
      </w:r>
      <w:proofErr w:type="spellEnd"/>
      <w:r w:rsidRPr="00B27419">
        <w:rPr>
          <w:rFonts w:cs="Times New Roman"/>
          <w:szCs w:val="24"/>
          <w:lang w:val="fr-CA"/>
        </w:rPr>
        <w:t xml:space="preserve"> et </w:t>
      </w:r>
      <w:r w:rsidRPr="00B27419">
        <w:rPr>
          <w:rFonts w:cs="Times New Roman"/>
          <w:i/>
          <w:szCs w:val="24"/>
          <w:lang w:val="fr-CA"/>
        </w:rPr>
        <w:t>Smith</w:t>
      </w:r>
      <w:r w:rsidRPr="00B27419">
        <w:rPr>
          <w:rFonts w:cs="Times New Roman"/>
          <w:szCs w:val="24"/>
          <w:lang w:val="fr-CA"/>
        </w:rPr>
        <w:t xml:space="preserve">, il ne diffère pas suffisamment pour saper le principe établi, à savoir que la déférence s’impose à l’égard de l’interprétation par un tribunal expert de sa loi constitutive. Invoquer ce genre de libellé pour supplanter la déférence que commande l’expertise du tribunal a pour effet d’élever le facteur du libellé de la loi au rang d’élément prééminent et déterminant que nous avons longtemps refusé de lui reconnaître. Autrement dit, rien ne justifie que l’on s’écarte de ce que les juristes considèrent comme le cadre régissant le contrôle des décisions de tribunaux administratifs experts, qui appelle la norme de la décision raisonnable et dont nous avons vu une puissante démonstration dans l’arrêt récent </w:t>
      </w:r>
      <w:r w:rsidRPr="00B27419">
        <w:rPr>
          <w:rFonts w:cs="Times New Roman"/>
          <w:i/>
          <w:szCs w:val="24"/>
          <w:lang w:val="fr-CA"/>
        </w:rPr>
        <w:t>Sattva Capital Corp. c. Creston Moly Corp.</w:t>
      </w:r>
      <w:r w:rsidRPr="00B27419">
        <w:rPr>
          <w:rFonts w:cs="Times New Roman"/>
          <w:szCs w:val="24"/>
          <w:lang w:val="fr-CA"/>
        </w:rPr>
        <w:t xml:space="preserve">, [2014] 2 R.C.S. 633. </w:t>
      </w:r>
    </w:p>
    <w:p w:rsidR="0039493A" w:rsidRPr="00B27419" w:rsidRDefault="0039493A" w:rsidP="00B27419">
      <w:pPr>
        <w:pStyle w:val="ParaNoNdepar-AltN"/>
        <w:tabs>
          <w:tab w:val="clear" w:pos="1166"/>
          <w:tab w:val="clear" w:pos="1294"/>
          <w:tab w:val="num" w:pos="1152"/>
        </w:tabs>
        <w:rPr>
          <w:rFonts w:cs="Times New Roman"/>
          <w:szCs w:val="24"/>
          <w:lang w:val="fr-CA"/>
        </w:rPr>
      </w:pPr>
      <w:r w:rsidRPr="00B27419">
        <w:rPr>
          <w:rFonts w:cs="Times New Roman"/>
          <w:szCs w:val="24"/>
          <w:lang w:val="fr-CA"/>
        </w:rPr>
        <w:t>En l’espèce, l’application de ce cadre mène à la conclusion que l’interprétation de l’art.</w:t>
      </w:r>
      <w:r w:rsidR="00E6271F" w:rsidRPr="00B27419">
        <w:rPr>
          <w:rFonts w:cs="Times New Roman"/>
          <w:szCs w:val="24"/>
          <w:lang w:val="fr-CA"/>
        </w:rPr>
        <w:t xml:space="preserve"> </w:t>
      </w:r>
      <w:r w:rsidRPr="00B27419">
        <w:rPr>
          <w:rFonts w:cs="Times New Roman"/>
          <w:szCs w:val="24"/>
          <w:lang w:val="fr-CA"/>
        </w:rPr>
        <w:t xml:space="preserve">96 de la </w:t>
      </w:r>
      <w:r w:rsidRPr="00B27419">
        <w:rPr>
          <w:rFonts w:cs="Times New Roman"/>
          <w:i/>
          <w:szCs w:val="24"/>
          <w:lang w:val="fr-CA"/>
        </w:rPr>
        <w:t>Loi sur la concurrence</w:t>
      </w:r>
      <w:r w:rsidRPr="00B27419">
        <w:rPr>
          <w:rFonts w:cs="Times New Roman"/>
          <w:szCs w:val="24"/>
          <w:lang w:val="fr-CA"/>
        </w:rPr>
        <w:t>, L.R.C. 1985, c.</w:t>
      </w:r>
      <w:r w:rsidR="00E6271F" w:rsidRPr="00B27419">
        <w:rPr>
          <w:rFonts w:cs="Times New Roman"/>
          <w:szCs w:val="24"/>
          <w:lang w:val="fr-CA"/>
        </w:rPr>
        <w:t xml:space="preserve"> </w:t>
      </w:r>
      <w:r w:rsidRPr="00B27419">
        <w:rPr>
          <w:rFonts w:cs="Times New Roman"/>
          <w:szCs w:val="24"/>
          <w:lang w:val="fr-CA"/>
        </w:rPr>
        <w:t>C</w:t>
      </w:r>
      <w:r w:rsidR="00E6271F" w:rsidRPr="00B27419">
        <w:rPr>
          <w:rFonts w:cs="Times New Roman"/>
          <w:szCs w:val="24"/>
          <w:lang w:val="fr-CA"/>
        </w:rPr>
        <w:t>-</w:t>
      </w:r>
      <w:r w:rsidRPr="00B27419">
        <w:rPr>
          <w:rFonts w:cs="Times New Roman"/>
          <w:szCs w:val="24"/>
          <w:lang w:val="fr-CA"/>
        </w:rPr>
        <w:t>34, par le Tribunal de la concurrence n’était pas raisonnable. Je suis d’avis d’accueillir l’appel.</w:t>
      </w:r>
    </w:p>
    <w:p w:rsidR="0039493A" w:rsidRPr="00B27419" w:rsidRDefault="0039493A" w:rsidP="00B27419">
      <w:pPr>
        <w:pStyle w:val="JudgeJuge"/>
        <w:spacing w:before="480"/>
        <w:rPr>
          <w:smallCaps w:val="0"/>
          <w:lang w:val="fr-CA"/>
        </w:rPr>
      </w:pPr>
      <w:r w:rsidRPr="00B27419">
        <w:rPr>
          <w:lang w:val="fr-CA"/>
        </w:rPr>
        <w:tab/>
      </w:r>
      <w:r w:rsidR="00D1380A" w:rsidRPr="00B27419">
        <w:rPr>
          <w:smallCaps w:val="0"/>
          <w:lang w:val="fr-CA"/>
        </w:rPr>
        <w:t>Version française des motifs rendus par</w:t>
      </w:r>
    </w:p>
    <w:p w:rsidR="0039493A" w:rsidRPr="00B27419" w:rsidRDefault="00D1380A" w:rsidP="00B27419">
      <w:pPr>
        <w:pStyle w:val="ParaNoNdepar-AltN"/>
        <w:tabs>
          <w:tab w:val="clear" w:pos="1166"/>
          <w:tab w:val="clear" w:pos="1294"/>
          <w:tab w:val="num" w:pos="1152"/>
        </w:tabs>
        <w:rPr>
          <w:rFonts w:cs="Times New Roman"/>
          <w:lang w:val="fr-CA"/>
        </w:rPr>
      </w:pPr>
      <w:r w:rsidRPr="00B27419">
        <w:rPr>
          <w:smallCaps/>
          <w:lang w:val="fr-CA"/>
        </w:rPr>
        <w:t xml:space="preserve">La juge </w:t>
      </w:r>
      <w:proofErr w:type="spellStart"/>
      <w:r w:rsidRPr="00B27419">
        <w:rPr>
          <w:smallCaps/>
          <w:lang w:val="fr-CA"/>
        </w:rPr>
        <w:t>Karakatsanis</w:t>
      </w:r>
      <w:proofErr w:type="spellEnd"/>
      <w:r w:rsidRPr="00B27419">
        <w:rPr>
          <w:smallCaps/>
          <w:lang w:val="fr-CA"/>
        </w:rPr>
        <w:t xml:space="preserve"> </w:t>
      </w:r>
      <w:r w:rsidRPr="00B27419">
        <w:rPr>
          <w:lang w:val="fr-CA"/>
        </w:rPr>
        <w:t xml:space="preserve">(dissidente) — </w:t>
      </w:r>
      <w:r w:rsidR="0039493A" w:rsidRPr="00B27419">
        <w:rPr>
          <w:rFonts w:cs="Times New Roman"/>
          <w:lang w:val="fr-CA"/>
        </w:rPr>
        <w:t xml:space="preserve">Je souscris aux motifs de mon collègue le juge </w:t>
      </w:r>
      <w:proofErr w:type="spellStart"/>
      <w:r w:rsidR="0039493A" w:rsidRPr="00B27419">
        <w:rPr>
          <w:rFonts w:cs="Times New Roman"/>
          <w:lang w:val="fr-CA"/>
        </w:rPr>
        <w:t>Rothstein</w:t>
      </w:r>
      <w:proofErr w:type="spellEnd"/>
      <w:r w:rsidR="0039493A" w:rsidRPr="00B27419">
        <w:rPr>
          <w:rFonts w:cs="Times New Roman"/>
          <w:lang w:val="fr-CA"/>
        </w:rPr>
        <w:t xml:space="preserve"> dans la mesure où ils portent sur la bonne méthode à adopter pour l’analyse qu’appelle le par.</w:t>
      </w:r>
      <w:r w:rsidR="00E6271F" w:rsidRPr="00B27419">
        <w:rPr>
          <w:rFonts w:cs="Times New Roman"/>
          <w:lang w:val="fr-CA"/>
        </w:rPr>
        <w:t xml:space="preserve"> </w:t>
      </w:r>
      <w:r w:rsidR="0039493A" w:rsidRPr="00B27419">
        <w:rPr>
          <w:rFonts w:cs="Times New Roman"/>
          <w:lang w:val="fr-CA"/>
        </w:rPr>
        <w:t xml:space="preserve">92(1) de la </w:t>
      </w:r>
      <w:r w:rsidR="0039493A" w:rsidRPr="00B27419">
        <w:rPr>
          <w:rFonts w:cs="Times New Roman"/>
          <w:i/>
          <w:lang w:val="fr-CA"/>
        </w:rPr>
        <w:t>Loi sur la concurrence</w:t>
      </w:r>
      <w:r w:rsidR="000A5FFE">
        <w:rPr>
          <w:rFonts w:cs="Times New Roman"/>
          <w:lang w:val="fr-CA"/>
        </w:rPr>
        <w:t>, L.R.C. 1985, c</w:t>
      </w:r>
      <w:r w:rsidR="0039493A" w:rsidRPr="00B27419">
        <w:rPr>
          <w:rFonts w:cs="Times New Roman"/>
          <w:lang w:val="fr-CA"/>
        </w:rPr>
        <w:t>.</w:t>
      </w:r>
      <w:r w:rsidR="00E6271F" w:rsidRPr="00B27419">
        <w:rPr>
          <w:rFonts w:cs="Times New Roman"/>
          <w:lang w:val="fr-CA"/>
        </w:rPr>
        <w:t xml:space="preserve"> </w:t>
      </w:r>
      <w:r w:rsidR="0039493A" w:rsidRPr="00B27419">
        <w:rPr>
          <w:rFonts w:cs="Times New Roman"/>
          <w:lang w:val="fr-CA"/>
        </w:rPr>
        <w:t>C</w:t>
      </w:r>
      <w:r w:rsidR="00E6271F" w:rsidRPr="00B27419">
        <w:rPr>
          <w:rFonts w:cs="Times New Roman"/>
          <w:lang w:val="fr-CA"/>
        </w:rPr>
        <w:t>-</w:t>
      </w:r>
      <w:r w:rsidR="0039493A" w:rsidRPr="00B27419">
        <w:rPr>
          <w:rFonts w:cs="Times New Roman"/>
          <w:lang w:val="fr-CA"/>
        </w:rPr>
        <w:t xml:space="preserve">34. Je souscris également à sa conclusion selon laquelle il était loisible au Tribunal de la concurrence de conclure que le fusionnement en l’espèce aurait </w:t>
      </w:r>
      <w:r w:rsidR="0039493A" w:rsidRPr="00B27419">
        <w:rPr>
          <w:rFonts w:cs="Times New Roman"/>
          <w:lang w:val="fr-CA"/>
        </w:rPr>
        <w:lastRenderedPageBreak/>
        <w:t>vraisemblablement pour effet d’empêcher sensiblement la concurrence, ce que ne permet pas le par.</w:t>
      </w:r>
      <w:r w:rsidR="00E6271F" w:rsidRPr="00B27419">
        <w:rPr>
          <w:rFonts w:cs="Times New Roman"/>
          <w:lang w:val="fr-CA"/>
        </w:rPr>
        <w:t xml:space="preserve"> </w:t>
      </w:r>
      <w:r w:rsidR="0039493A" w:rsidRPr="00B27419">
        <w:rPr>
          <w:rFonts w:cs="Times New Roman"/>
          <w:lang w:val="fr-CA"/>
        </w:rPr>
        <w:t>92(1).</w:t>
      </w:r>
    </w:p>
    <w:p w:rsidR="0039493A" w:rsidRPr="00B27419" w:rsidRDefault="0039493A" w:rsidP="00B27419">
      <w:pPr>
        <w:pStyle w:val="ParaNoNdepar-AltN"/>
        <w:tabs>
          <w:tab w:val="clear" w:pos="1166"/>
          <w:tab w:val="clear" w:pos="1294"/>
          <w:tab w:val="num" w:pos="1152"/>
        </w:tabs>
        <w:spacing w:before="240"/>
        <w:rPr>
          <w:rFonts w:cs="Times New Roman"/>
          <w:lang w:val="fr-CA"/>
        </w:rPr>
      </w:pPr>
      <w:r w:rsidRPr="00B27419">
        <w:rPr>
          <w:rFonts w:cs="Times New Roman"/>
          <w:lang w:val="fr-CA"/>
        </w:rPr>
        <w:t>Toutefois, je ne saurais souscrire à l’approche préconisée par mon collègue à l’égard de la défense fondée sur les gains en efficience prévue à l’art.</w:t>
      </w:r>
      <w:r w:rsidR="00E6271F" w:rsidRPr="00B27419">
        <w:rPr>
          <w:rFonts w:cs="Times New Roman"/>
          <w:lang w:val="fr-CA"/>
        </w:rPr>
        <w:t xml:space="preserve"> </w:t>
      </w:r>
      <w:r w:rsidRPr="00B27419">
        <w:rPr>
          <w:rFonts w:cs="Times New Roman"/>
          <w:lang w:val="fr-CA"/>
        </w:rPr>
        <w:t xml:space="preserve">96 et à sa conclusion selon laquelle </w:t>
      </w:r>
      <w:proofErr w:type="spellStart"/>
      <w:r w:rsidRPr="00B27419">
        <w:rPr>
          <w:rFonts w:cs="Times New Roman"/>
          <w:lang w:val="fr-CA"/>
        </w:rPr>
        <w:t>Tervita</w:t>
      </w:r>
      <w:proofErr w:type="spellEnd"/>
      <w:r w:rsidRPr="00B27419">
        <w:rPr>
          <w:rFonts w:cs="Times New Roman"/>
          <w:lang w:val="fr-CA"/>
        </w:rPr>
        <w:t xml:space="preserve"> avait le droit de s’en prévaloir en l’espèce. Je suis d’avis de confirmer la décision et l’analyse de la Cour d’appel fédérale, 2013 CAF</w:t>
      </w:r>
      <w:r w:rsidR="00546CD4" w:rsidRPr="00B27419">
        <w:rPr>
          <w:rFonts w:cs="Times New Roman"/>
          <w:lang w:val="fr-CA"/>
        </w:rPr>
        <w:t xml:space="preserve"> 28, [2014] 2 R.C.F. 352, </w:t>
      </w:r>
      <w:r w:rsidRPr="00B27419">
        <w:rPr>
          <w:rFonts w:cs="Times New Roman"/>
          <w:lang w:val="fr-CA"/>
        </w:rPr>
        <w:t>à cet égard.</w:t>
      </w:r>
    </w:p>
    <w:p w:rsidR="0039493A" w:rsidRPr="00B27419" w:rsidRDefault="0039493A" w:rsidP="00B27419">
      <w:pPr>
        <w:pStyle w:val="ParaNoNdepar-AltN"/>
        <w:tabs>
          <w:tab w:val="clear" w:pos="1166"/>
          <w:tab w:val="clear" w:pos="1294"/>
          <w:tab w:val="num" w:pos="1152"/>
        </w:tabs>
        <w:spacing w:before="240"/>
        <w:rPr>
          <w:rFonts w:cs="Times New Roman"/>
          <w:szCs w:val="24"/>
          <w:lang w:val="fr-CA"/>
        </w:rPr>
      </w:pPr>
      <w:r w:rsidRPr="00B27419">
        <w:rPr>
          <w:rFonts w:cs="Times New Roman"/>
          <w:bCs/>
          <w:lang w:val="fr-CA"/>
        </w:rPr>
        <w:t>L’application de la défense fondée sur les gains en efficience prévue au par.</w:t>
      </w:r>
      <w:r w:rsidR="00E6271F" w:rsidRPr="00B27419">
        <w:rPr>
          <w:rFonts w:cs="Times New Roman"/>
          <w:bCs/>
          <w:lang w:val="fr-CA"/>
        </w:rPr>
        <w:t xml:space="preserve"> </w:t>
      </w:r>
      <w:r w:rsidRPr="00B27419">
        <w:rPr>
          <w:rFonts w:cs="Times New Roman"/>
          <w:bCs/>
          <w:lang w:val="fr-CA"/>
        </w:rPr>
        <w:t xml:space="preserve">96(1) de la </w:t>
      </w:r>
      <w:r w:rsidRPr="00B27419">
        <w:rPr>
          <w:rFonts w:cs="Times New Roman"/>
          <w:bCs/>
          <w:i/>
          <w:lang w:val="fr-CA"/>
        </w:rPr>
        <w:t xml:space="preserve">Loi sur la concurrence </w:t>
      </w:r>
      <w:r w:rsidRPr="00B27419">
        <w:rPr>
          <w:rFonts w:cs="Times New Roman"/>
          <w:bCs/>
          <w:lang w:val="fr-CA"/>
        </w:rPr>
        <w:t xml:space="preserve">est subordonnée à la mise en balance par le Tribunal des gains en </w:t>
      </w:r>
      <w:r w:rsidRPr="00B27419">
        <w:rPr>
          <w:rFonts w:cs="Times New Roman"/>
          <w:bCs/>
          <w:szCs w:val="24"/>
          <w:lang w:val="fr-CA"/>
        </w:rPr>
        <w:t>efficience qu’entraîne le fusionnement et de ses effets anticoncurrentiels</w:t>
      </w:r>
      <w:r w:rsidR="00E6271F" w:rsidRPr="00B27419">
        <w:rPr>
          <w:rFonts w:cs="Times New Roman"/>
          <w:bCs/>
          <w:szCs w:val="24"/>
          <w:lang w:val="fr-CA"/>
        </w:rPr>
        <w:t> :</w:t>
      </w:r>
    </w:p>
    <w:p w:rsidR="0039493A" w:rsidRPr="00B27419" w:rsidRDefault="0039493A" w:rsidP="00B27419">
      <w:pPr>
        <w:pStyle w:val="Citation-AltC"/>
        <w:tabs>
          <w:tab w:val="left" w:pos="1560"/>
        </w:tabs>
        <w:ind w:hanging="1166"/>
        <w:contextualSpacing w:val="0"/>
        <w:rPr>
          <w:lang w:val="fr-CA"/>
        </w:rPr>
      </w:pPr>
      <w:r w:rsidRPr="00B27419">
        <w:rPr>
          <w:b/>
          <w:bCs/>
          <w:lang w:val="fr-CA"/>
        </w:rPr>
        <w:tab/>
      </w:r>
      <w:r w:rsidRPr="00B27419">
        <w:rPr>
          <w:b/>
          <w:bCs/>
          <w:lang w:val="fr-CA"/>
        </w:rPr>
        <w:tab/>
        <w:t xml:space="preserve">96. </w:t>
      </w:r>
      <w:r w:rsidRPr="00B27419">
        <w:rPr>
          <w:lang w:val="fr-CA"/>
        </w:rPr>
        <w:t>(1) Le Tribunal ne rend pas l’ordonnance prévue à l’article</w:t>
      </w:r>
      <w:r w:rsidR="00E6271F" w:rsidRPr="00B27419">
        <w:rPr>
          <w:lang w:val="fr-CA"/>
        </w:rPr>
        <w:t xml:space="preserve"> </w:t>
      </w:r>
      <w:r w:rsidRPr="00B27419">
        <w:rPr>
          <w:lang w:val="fr-CA"/>
        </w:rPr>
        <w:t xml:space="preserve">92 dans les cas où il conclut que le fusionnement, réalisé ou proposé, qui fait l’objet de la demande a eu pour effet ou aura vraisemblablement pour effet d’entraîner </w:t>
      </w:r>
      <w:r w:rsidRPr="00B27419">
        <w:rPr>
          <w:u w:val="single"/>
          <w:lang w:val="fr-CA"/>
        </w:rPr>
        <w:t>des gains en efficience, que ces gains surpasseront et neutraliseront les effets de l’empêchement ou de la diminution de la concurrence</w:t>
      </w:r>
      <w:r w:rsidRPr="00B27419">
        <w:rPr>
          <w:lang w:val="fr-CA"/>
        </w:rPr>
        <w:t xml:space="preserve"> qui résulteront ou résulteront vraisemblablement du fusionnement réalisé ou proposé et que ces gains ne seraient vraisemblablement pas réalisés si l’ordonnance était rendue.</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szCs w:val="24"/>
          <w:lang w:val="fr-CA"/>
        </w:rPr>
        <w:t xml:space="preserve">La Cour d’appel fédérale et le juge </w:t>
      </w:r>
      <w:proofErr w:type="spellStart"/>
      <w:r w:rsidRPr="00B27419">
        <w:rPr>
          <w:rFonts w:cs="Times New Roman"/>
          <w:szCs w:val="24"/>
          <w:lang w:val="fr-CA"/>
        </w:rPr>
        <w:t>Rothstein</w:t>
      </w:r>
      <w:proofErr w:type="spellEnd"/>
      <w:r w:rsidRPr="00B27419">
        <w:rPr>
          <w:rFonts w:cs="Times New Roman"/>
          <w:lang w:val="fr-CA"/>
        </w:rPr>
        <w:t xml:space="preserve"> ont conclu, à juste titre selon moi, que la condition prévue par la loi — selon laquelle les gains en efficience </w:t>
      </w:r>
      <w:r w:rsidR="00B27419">
        <w:rPr>
          <w:rFonts w:cs="Times New Roman"/>
          <w:lang w:val="fr-CA"/>
        </w:rPr>
        <w:t>« </w:t>
      </w:r>
      <w:r w:rsidRPr="00B27419">
        <w:rPr>
          <w:rFonts w:cs="Times New Roman"/>
          <w:lang w:val="fr-CA"/>
        </w:rPr>
        <w:t>surpasseront</w:t>
      </w:r>
      <w:r w:rsidR="00B27419">
        <w:rPr>
          <w:rFonts w:cs="Times New Roman"/>
          <w:lang w:val="fr-CA"/>
        </w:rPr>
        <w:t> »</w:t>
      </w:r>
      <w:r w:rsidRPr="00B27419">
        <w:rPr>
          <w:rFonts w:cs="Times New Roman"/>
          <w:lang w:val="fr-CA"/>
        </w:rPr>
        <w:t xml:space="preserve"> et </w:t>
      </w:r>
      <w:r w:rsidR="00B27419">
        <w:rPr>
          <w:rFonts w:cs="Times New Roman"/>
          <w:lang w:val="fr-CA"/>
        </w:rPr>
        <w:t>« </w:t>
      </w:r>
      <w:r w:rsidRPr="00B27419">
        <w:rPr>
          <w:rFonts w:cs="Times New Roman"/>
          <w:lang w:val="fr-CA"/>
        </w:rPr>
        <w:t>neutraliseront</w:t>
      </w:r>
      <w:r w:rsidR="00B27419">
        <w:rPr>
          <w:rFonts w:cs="Times New Roman"/>
          <w:lang w:val="fr-CA"/>
        </w:rPr>
        <w:t> »</w:t>
      </w:r>
      <w:r w:rsidRPr="00B27419">
        <w:rPr>
          <w:rFonts w:cs="Times New Roman"/>
          <w:lang w:val="fr-CA"/>
        </w:rPr>
        <w:t xml:space="preserve"> les effets anticoncurrentiels — emporte une pondération des aspects tant quantitatifs que qualitatifs. Le Tribunal est habilité à déterminer la méthodologie applicable à chaque cas, si les divers objets de la Loi</w:t>
      </w:r>
      <w:r w:rsidRPr="00B27419">
        <w:rPr>
          <w:rFonts w:cs="Times New Roman"/>
          <w:i/>
          <w:lang w:val="fr-CA"/>
        </w:rPr>
        <w:t xml:space="preserve"> </w:t>
      </w:r>
      <w:r w:rsidRPr="00B27419">
        <w:rPr>
          <w:rFonts w:cs="Times New Roman"/>
          <w:lang w:val="fr-CA"/>
        </w:rPr>
        <w:t xml:space="preserve">sont </w:t>
      </w:r>
      <w:r w:rsidRPr="00B27419">
        <w:rPr>
          <w:rFonts w:cs="Times New Roman"/>
          <w:lang w:val="fr-CA"/>
        </w:rPr>
        <w:lastRenderedPageBreak/>
        <w:t>pris en compte. L’article</w:t>
      </w:r>
      <w:r w:rsidR="00E6271F" w:rsidRPr="00B27419">
        <w:rPr>
          <w:rFonts w:cs="Times New Roman"/>
          <w:lang w:val="fr-CA"/>
        </w:rPr>
        <w:t xml:space="preserve"> </w:t>
      </w:r>
      <w:r w:rsidRPr="00B27419">
        <w:rPr>
          <w:rFonts w:cs="Times New Roman"/>
          <w:lang w:val="fr-CA"/>
        </w:rPr>
        <w:t xml:space="preserve">96 prévoit une analyse conciliatoire souple qui permet le respect des divers objets de la Loi. Les gains en efficience et les effets anticoncurrentiels devraient être quantifiés chaque fois qu’il est raisonnablement possible de le faire; des estimations approximatives devraient être fournies lorsqu’une quantification précise n’est pas possible et l’évaluation des effets qualitatifs devrait être objectivement raisonnable et étayée par des éléments de preuve et un raisonnement clair. (Voir les motifs du juge </w:t>
      </w:r>
      <w:proofErr w:type="spellStart"/>
      <w:r w:rsidRPr="00B27419">
        <w:rPr>
          <w:rFonts w:cs="Times New Roman"/>
          <w:lang w:val="fr-CA"/>
        </w:rPr>
        <w:t>Rothstein</w:t>
      </w:r>
      <w:proofErr w:type="spellEnd"/>
      <w:r w:rsidRPr="00B27419">
        <w:rPr>
          <w:rFonts w:cs="Times New Roman"/>
          <w:lang w:val="fr-CA"/>
        </w:rPr>
        <w:t>, par.</w:t>
      </w:r>
      <w:r w:rsidR="00E6271F" w:rsidRPr="00B27419">
        <w:rPr>
          <w:rFonts w:cs="Times New Roman"/>
          <w:lang w:val="fr-CA"/>
        </w:rPr>
        <w:t xml:space="preserve"> </w:t>
      </w:r>
      <w:r w:rsidRPr="00B27419">
        <w:rPr>
          <w:rFonts w:cs="Times New Roman"/>
          <w:lang w:val="fr-CA"/>
        </w:rPr>
        <w:t>144</w:t>
      </w:r>
      <w:r w:rsidR="00E6271F" w:rsidRPr="00B27419">
        <w:rPr>
          <w:rFonts w:cs="Times New Roman"/>
          <w:lang w:val="fr-CA"/>
        </w:rPr>
        <w:t>-</w:t>
      </w:r>
      <w:r w:rsidRPr="00B27419">
        <w:rPr>
          <w:rFonts w:cs="Times New Roman"/>
          <w:lang w:val="fr-CA"/>
        </w:rPr>
        <w:t>145 et 148; motifs de la C.A.F., par.</w:t>
      </w:r>
      <w:r w:rsidR="00E6271F" w:rsidRPr="00B27419">
        <w:rPr>
          <w:rFonts w:cs="Times New Roman"/>
          <w:lang w:val="fr-CA"/>
        </w:rPr>
        <w:t xml:space="preserve"> </w:t>
      </w:r>
      <w:r w:rsidRPr="00B27419">
        <w:rPr>
          <w:rFonts w:cs="Times New Roman"/>
          <w:lang w:val="fr-CA"/>
        </w:rPr>
        <w:t>146 et 148.)</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 xml:space="preserve">Toutefois, je ne saurais accepter que la nécessité d’une </w:t>
      </w:r>
      <w:r w:rsidR="00B27419">
        <w:rPr>
          <w:rFonts w:cs="Times New Roman"/>
          <w:lang w:val="fr-CA"/>
        </w:rPr>
        <w:t>« </w:t>
      </w:r>
      <w:r w:rsidRPr="00B27419">
        <w:rPr>
          <w:rFonts w:cs="Times New Roman"/>
          <w:lang w:val="fr-CA"/>
        </w:rPr>
        <w:t>objectivité raisonnable</w:t>
      </w:r>
      <w:r w:rsidR="00B27419">
        <w:rPr>
          <w:rFonts w:cs="Times New Roman"/>
          <w:lang w:val="fr-CA"/>
        </w:rPr>
        <w:t> »</w:t>
      </w:r>
      <w:r w:rsidRPr="00B27419">
        <w:rPr>
          <w:rFonts w:cs="Times New Roman"/>
          <w:lang w:val="fr-CA"/>
        </w:rPr>
        <w:t xml:space="preserve"> justifie la conception hiérarchique adoptée par le juge </w:t>
      </w:r>
      <w:proofErr w:type="spellStart"/>
      <w:r w:rsidRPr="00B27419">
        <w:rPr>
          <w:rFonts w:cs="Times New Roman"/>
          <w:lang w:val="fr-CA"/>
        </w:rPr>
        <w:t>Rothstein</w:t>
      </w:r>
      <w:proofErr w:type="spellEnd"/>
      <w:r w:rsidRPr="00B27419">
        <w:rPr>
          <w:rFonts w:cs="Times New Roman"/>
          <w:lang w:val="fr-CA"/>
        </w:rPr>
        <w:t xml:space="preserve"> à l’égard des aspects quantitatifs et qualitatifs qu’il faut évaluer au regard de la défense fondée sur les gains en efficience. Je ne saurais non plus accepter son affirmation selon laquelle </w:t>
      </w:r>
      <w:r w:rsidR="00B27419">
        <w:rPr>
          <w:rFonts w:cs="Times New Roman"/>
          <w:lang w:val="fr-CA"/>
        </w:rPr>
        <w:t>« </w:t>
      </w:r>
      <w:r w:rsidRPr="00B27419">
        <w:rPr>
          <w:rFonts w:cs="Times New Roman"/>
          <w:lang w:val="fr-CA"/>
        </w:rPr>
        <w:t>les aspects qualitatifs joueront un rôle moins important</w:t>
      </w:r>
      <w:r w:rsidR="00B27419">
        <w:rPr>
          <w:rFonts w:cs="Times New Roman"/>
          <w:lang w:val="fr-CA"/>
        </w:rPr>
        <w:t> »</w:t>
      </w:r>
      <w:r w:rsidRPr="00B27419">
        <w:rPr>
          <w:rFonts w:cs="Times New Roman"/>
          <w:lang w:val="fr-CA"/>
        </w:rPr>
        <w:t xml:space="preserve"> (par.</w:t>
      </w:r>
      <w:r w:rsidR="00E6271F" w:rsidRPr="00B27419">
        <w:rPr>
          <w:rFonts w:cs="Times New Roman"/>
          <w:lang w:val="fr-CA"/>
        </w:rPr>
        <w:t xml:space="preserve"> </w:t>
      </w:r>
      <w:r w:rsidRPr="00B27419">
        <w:rPr>
          <w:rFonts w:cs="Times New Roman"/>
          <w:lang w:val="fr-CA"/>
        </w:rPr>
        <w:t>146; voir aussi par.</w:t>
      </w:r>
      <w:r w:rsidR="00E6271F" w:rsidRPr="00B27419">
        <w:rPr>
          <w:rFonts w:cs="Times New Roman"/>
          <w:lang w:val="fr-CA"/>
        </w:rPr>
        <w:t xml:space="preserve"> </w:t>
      </w:r>
      <w:r w:rsidRPr="00B27419">
        <w:rPr>
          <w:rFonts w:cs="Times New Roman"/>
          <w:lang w:val="fr-CA"/>
        </w:rPr>
        <w:t>147</w:t>
      </w:r>
      <w:r w:rsidR="00E6271F" w:rsidRPr="00B27419">
        <w:rPr>
          <w:rFonts w:cs="Times New Roman"/>
          <w:lang w:val="fr-CA"/>
        </w:rPr>
        <w:t>-</w:t>
      </w:r>
      <w:r w:rsidRPr="00B27419">
        <w:rPr>
          <w:rFonts w:cs="Times New Roman"/>
          <w:lang w:val="fr-CA"/>
        </w:rPr>
        <w:t>148). Je ne vois aucun intérêt à accorder plus de valeur aux gains en efficience quantitatifs qu’aux gains en efficience qualitatifs. Les deux sont pertinents dans l’analyse qu’appelle le critère légal, et leur importance dépend des circonstances de l’espèce.</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Le libellé de la loi n’établit aucune distinction de cette nature. De plus, bon nombre des objets prévus à l’art.</w:t>
      </w:r>
      <w:r w:rsidR="00E6271F" w:rsidRPr="00B27419">
        <w:rPr>
          <w:rFonts w:cs="Times New Roman"/>
          <w:lang w:val="fr-CA"/>
        </w:rPr>
        <w:t xml:space="preserve"> </w:t>
      </w:r>
      <w:r w:rsidRPr="00B27419">
        <w:rPr>
          <w:rFonts w:cs="Times New Roman"/>
          <w:lang w:val="fr-CA"/>
        </w:rPr>
        <w:t xml:space="preserve">1.1 de la Loi peuvent ne pas être quantifiables; par exemple, assurer aux consommateurs des prix et des produits compétitifs, stimuler l’adaptabilité de l’économie canadienne, améliorer les chances de participation canadienne aux marchés étrangers, tenir compte du rôle de la </w:t>
      </w:r>
      <w:r w:rsidRPr="00B27419">
        <w:rPr>
          <w:rFonts w:cs="Times New Roman"/>
          <w:lang w:val="fr-CA"/>
        </w:rPr>
        <w:lastRenderedPageBreak/>
        <w:t>concurrence étrangère au Canada et assurer aux entreprises de toutes tailles une pleine participation à l’économie canadienne.</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Ces objets variés démontrent la possibilité que les effets anticoncurrentiels importants d’un fusionnement soient de nature qualitative. Dans certains cas, ces effets qualitatifs peuvent être déterminants dans l’analyse qu’appelle l’art.</w:t>
      </w:r>
      <w:r w:rsidR="00E6271F" w:rsidRPr="00B27419">
        <w:rPr>
          <w:rFonts w:cs="Times New Roman"/>
          <w:lang w:val="fr-CA"/>
        </w:rPr>
        <w:t xml:space="preserve"> </w:t>
      </w:r>
      <w:r w:rsidRPr="00B27419">
        <w:rPr>
          <w:rFonts w:cs="Times New Roman"/>
          <w:lang w:val="fr-CA"/>
        </w:rPr>
        <w:t>96. Ainsi, la méthode d’analyse souple que commande cette disposition témoigne de la grande variété d’objets que vise la Loi. Lorsque la loi prévoit une telle analyse téléologique, l’importance relative des gains ou effets qualitatifs d’une part et quantitatifs d’autre part ne peut être déterminée qu’au cas par cas. Il n’est ni utile ni nécessaire de déterminer à l’avance le rôle et l’importance de chaque catégorie dans l’analyse visant à décider si la défense fondée sur l’art.</w:t>
      </w:r>
      <w:r w:rsidR="00E6271F" w:rsidRPr="00B27419">
        <w:rPr>
          <w:rFonts w:cs="Times New Roman"/>
          <w:lang w:val="fr-CA"/>
        </w:rPr>
        <w:t xml:space="preserve"> </w:t>
      </w:r>
      <w:r w:rsidRPr="00B27419">
        <w:rPr>
          <w:rFonts w:cs="Times New Roman"/>
          <w:lang w:val="fr-CA"/>
        </w:rPr>
        <w:t>96 s’applique.</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 xml:space="preserve">Toutefois, le juge </w:t>
      </w:r>
      <w:proofErr w:type="spellStart"/>
      <w:r w:rsidRPr="00B27419">
        <w:rPr>
          <w:rFonts w:cs="Times New Roman"/>
          <w:lang w:val="fr-CA"/>
        </w:rPr>
        <w:t>Rothstein</w:t>
      </w:r>
      <w:proofErr w:type="spellEnd"/>
      <w:r w:rsidRPr="00B27419">
        <w:rPr>
          <w:rFonts w:cs="Times New Roman"/>
          <w:lang w:val="fr-CA"/>
        </w:rPr>
        <w:t xml:space="preserve"> caractérise la pondération à laquelle il faut procéder au titre de l’art.</w:t>
      </w:r>
      <w:r w:rsidR="00E6271F" w:rsidRPr="00B27419">
        <w:rPr>
          <w:rFonts w:cs="Times New Roman"/>
          <w:lang w:val="fr-CA"/>
        </w:rPr>
        <w:t xml:space="preserve"> </w:t>
      </w:r>
      <w:r w:rsidRPr="00B27419">
        <w:rPr>
          <w:rFonts w:cs="Times New Roman"/>
          <w:lang w:val="fr-CA"/>
        </w:rPr>
        <w:t>96 comme une analyse en deux étapes. Dans un premier temps, affirme</w:t>
      </w:r>
      <w:r w:rsidR="00E6271F" w:rsidRPr="00B27419">
        <w:rPr>
          <w:rFonts w:cs="Times New Roman"/>
          <w:lang w:val="fr-CA"/>
        </w:rPr>
        <w:t>-</w:t>
      </w:r>
      <w:r w:rsidRPr="00B27419">
        <w:rPr>
          <w:rFonts w:cs="Times New Roman"/>
          <w:lang w:val="fr-CA"/>
        </w:rPr>
        <w:t>t</w:t>
      </w:r>
      <w:r w:rsidR="00E6271F" w:rsidRPr="00B27419">
        <w:rPr>
          <w:rFonts w:cs="Times New Roman"/>
          <w:lang w:val="fr-CA"/>
        </w:rPr>
        <w:t>-</w:t>
      </w:r>
      <w:r w:rsidRPr="00B27419">
        <w:rPr>
          <w:rFonts w:cs="Times New Roman"/>
          <w:lang w:val="fr-CA"/>
        </w:rPr>
        <w:t>il, les gains en efficience quantitatifs du fusionnement sont comparés aux effets anticoncurrentiels quantitatifs (le volet du surpassement de l’analyse qu’appelle l’art.</w:t>
      </w:r>
      <w:r w:rsidR="00E6271F" w:rsidRPr="00B27419">
        <w:rPr>
          <w:rFonts w:cs="Times New Roman"/>
          <w:lang w:val="fr-CA"/>
        </w:rPr>
        <w:t xml:space="preserve"> </w:t>
      </w:r>
      <w:r w:rsidRPr="00B27419">
        <w:rPr>
          <w:rFonts w:cs="Times New Roman"/>
          <w:lang w:val="fr-CA"/>
        </w:rPr>
        <w:t>96). Dans un deuxième temps, les gains en efficience qualitatifs sont mis en balance avec les effets anticoncurrentiels qualitatifs, et la dernière analyse détermine si le total des gains en efficience neutralise le total des effets anticoncurrentiels du fusionnement en cause (le volet de neutralisation de l’analyse) (par.</w:t>
      </w:r>
      <w:r w:rsidR="00E6271F" w:rsidRPr="00B27419">
        <w:rPr>
          <w:rFonts w:cs="Times New Roman"/>
          <w:lang w:val="fr-CA"/>
        </w:rPr>
        <w:t xml:space="preserve"> </w:t>
      </w:r>
      <w:r w:rsidRPr="00B27419">
        <w:rPr>
          <w:rFonts w:cs="Times New Roman"/>
          <w:lang w:val="fr-CA"/>
        </w:rPr>
        <w:t>147</w:t>
      </w:r>
      <w:r w:rsidR="00E6271F" w:rsidRPr="00B27419">
        <w:rPr>
          <w:rFonts w:cs="Times New Roman"/>
          <w:lang w:val="fr-CA"/>
        </w:rPr>
        <w:t>-</w:t>
      </w:r>
      <w:r w:rsidRPr="00B27419">
        <w:rPr>
          <w:rFonts w:cs="Times New Roman"/>
          <w:lang w:val="fr-CA"/>
        </w:rPr>
        <w:t>148).</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lastRenderedPageBreak/>
        <w:t>À mon avis, l’art.</w:t>
      </w:r>
      <w:r w:rsidR="00E6271F" w:rsidRPr="00B27419">
        <w:rPr>
          <w:rFonts w:cs="Times New Roman"/>
          <w:lang w:val="fr-CA"/>
        </w:rPr>
        <w:t xml:space="preserve"> </w:t>
      </w:r>
      <w:r w:rsidRPr="00B27419">
        <w:rPr>
          <w:rFonts w:cs="Times New Roman"/>
          <w:lang w:val="fr-CA"/>
        </w:rPr>
        <w:t xml:space="preserve">96 ne commande pas l’application d’un cadre analytique en deux étapes qui distingue entre les gains en efficience et les effets anticoncurrentiels quantitatifs et qualitatifs. Cette approche est inutilement factice et n’est requise ni par le libellé ni par le contexte de la loi. On peut supposer que la </w:t>
      </w:r>
      <w:r w:rsidR="00B27419">
        <w:rPr>
          <w:rFonts w:cs="Times New Roman"/>
          <w:lang w:val="fr-CA"/>
        </w:rPr>
        <w:t>« </w:t>
      </w:r>
      <w:r w:rsidRPr="00B27419">
        <w:rPr>
          <w:rFonts w:cs="Times New Roman"/>
          <w:lang w:val="fr-CA"/>
        </w:rPr>
        <w:t>dernière analyse</w:t>
      </w:r>
      <w:r w:rsidR="00B27419">
        <w:rPr>
          <w:rFonts w:cs="Times New Roman"/>
          <w:lang w:val="fr-CA"/>
        </w:rPr>
        <w:t> »</w:t>
      </w:r>
      <w:r w:rsidRPr="00B27419">
        <w:rPr>
          <w:rFonts w:cs="Times New Roman"/>
          <w:lang w:val="fr-CA"/>
        </w:rPr>
        <w:t xml:space="preserve"> que décrit le juge </w:t>
      </w:r>
      <w:proofErr w:type="spellStart"/>
      <w:r w:rsidRPr="00B27419">
        <w:rPr>
          <w:rFonts w:cs="Times New Roman"/>
          <w:lang w:val="fr-CA"/>
        </w:rPr>
        <w:t>Rothstein</w:t>
      </w:r>
      <w:proofErr w:type="spellEnd"/>
      <w:r w:rsidRPr="00B27419">
        <w:rPr>
          <w:rFonts w:cs="Times New Roman"/>
          <w:lang w:val="fr-CA"/>
        </w:rPr>
        <w:t xml:space="preserve"> consiste à déterminer si les gains en efficience (quantitatifs et qualitatifs) </w:t>
      </w:r>
      <w:r w:rsidRPr="00B27419">
        <w:rPr>
          <w:rFonts w:cs="Times New Roman"/>
          <w:i/>
          <w:lang w:val="fr-CA"/>
        </w:rPr>
        <w:t>surpasseront</w:t>
      </w:r>
      <w:r w:rsidRPr="00B27419">
        <w:rPr>
          <w:rFonts w:cs="Times New Roman"/>
          <w:lang w:val="fr-CA"/>
        </w:rPr>
        <w:t xml:space="preserve"> et </w:t>
      </w:r>
      <w:r w:rsidRPr="00B27419">
        <w:rPr>
          <w:rFonts w:cs="Times New Roman"/>
          <w:i/>
          <w:lang w:val="fr-CA"/>
        </w:rPr>
        <w:t>neutraliseront</w:t>
      </w:r>
      <w:r w:rsidRPr="00B27419">
        <w:rPr>
          <w:rFonts w:cs="Times New Roman"/>
          <w:lang w:val="fr-CA"/>
        </w:rPr>
        <w:t xml:space="preserve"> les effets anticoncurrentiels (quantitatifs et qualitatifs) du fusionnement. C’est précisément ce qu’exige le libellé de l’art.</w:t>
      </w:r>
      <w:r w:rsidR="00E6271F" w:rsidRPr="00B27419">
        <w:rPr>
          <w:rFonts w:cs="Times New Roman"/>
          <w:lang w:val="fr-CA"/>
        </w:rPr>
        <w:t xml:space="preserve"> </w:t>
      </w:r>
      <w:r w:rsidRPr="00B27419">
        <w:rPr>
          <w:rFonts w:cs="Times New Roman"/>
          <w:lang w:val="fr-CA"/>
        </w:rPr>
        <w:t xml:space="preserve">96. Les deux premières étapes sont superflues. Quoi qu’il en soit, le Tribunal expert est le mieux placé pour savoir quand il convient ou non de comparer des facteurs de même nature. </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 xml:space="preserve">La Cour d’appel fédérale a souscrit à l’interprétation par le Tribunal de cet aspect de la défense fondée sur les gains en efficience. S’exprimant au nom de la cour, le juge Mainville a conclu que </w:t>
      </w:r>
      <w:r w:rsidR="00B27419">
        <w:rPr>
          <w:rFonts w:cs="Times New Roman"/>
          <w:lang w:val="fr-CA"/>
        </w:rPr>
        <w:t>« </w:t>
      </w:r>
      <w:r w:rsidRPr="00B27419">
        <w:rPr>
          <w:rFonts w:cs="Times New Roman"/>
          <w:lang w:val="fr-CA"/>
        </w:rPr>
        <w:t>la neutralisation exigée par l’article</w:t>
      </w:r>
      <w:r w:rsidR="00E6271F" w:rsidRPr="00B27419">
        <w:rPr>
          <w:rFonts w:cs="Times New Roman"/>
          <w:lang w:val="fr-CA"/>
        </w:rPr>
        <w:t xml:space="preserve"> </w:t>
      </w:r>
      <w:r w:rsidRPr="00B27419">
        <w:rPr>
          <w:rFonts w:cs="Times New Roman"/>
          <w:lang w:val="fr-CA"/>
        </w:rPr>
        <w:t>96 [.</w:t>
      </w:r>
      <w:r w:rsidR="00E6271F" w:rsidRPr="00B27419">
        <w:rPr>
          <w:rFonts w:cs="Times New Roman"/>
          <w:lang w:val="fr-CA"/>
        </w:rPr>
        <w:t xml:space="preserve"> </w:t>
      </w:r>
      <w:r w:rsidRPr="00B27419">
        <w:rPr>
          <w:rFonts w:cs="Times New Roman"/>
          <w:lang w:val="fr-CA"/>
        </w:rPr>
        <w:t>.</w:t>
      </w:r>
      <w:r w:rsidR="00E6271F" w:rsidRPr="00B27419">
        <w:rPr>
          <w:rFonts w:cs="Times New Roman"/>
          <w:lang w:val="fr-CA"/>
        </w:rPr>
        <w:t xml:space="preserve"> </w:t>
      </w:r>
      <w:r w:rsidRPr="00B27419">
        <w:rPr>
          <w:rFonts w:cs="Times New Roman"/>
          <w:lang w:val="fr-CA"/>
        </w:rPr>
        <w:t>.] oblige le Tribunal à pondérer tant les gains en efficience quantitatifs et les gains en efficience non quantitatifs (c.</w:t>
      </w:r>
      <w:r w:rsidR="00E6271F" w:rsidRPr="00B27419">
        <w:rPr>
          <w:rFonts w:cs="Times New Roman"/>
          <w:lang w:val="fr-CA"/>
        </w:rPr>
        <w:t>-</w:t>
      </w:r>
      <w:r w:rsidRPr="00B27419">
        <w:rPr>
          <w:rFonts w:cs="Times New Roman"/>
          <w:lang w:val="fr-CA"/>
        </w:rPr>
        <w:t>à</w:t>
      </w:r>
      <w:r w:rsidR="00E6271F" w:rsidRPr="00B27419">
        <w:rPr>
          <w:rFonts w:cs="Times New Roman"/>
          <w:lang w:val="fr-CA"/>
        </w:rPr>
        <w:t>-</w:t>
      </w:r>
      <w:r w:rsidRPr="00B27419">
        <w:rPr>
          <w:rFonts w:cs="Times New Roman"/>
          <w:lang w:val="fr-CA"/>
        </w:rPr>
        <w:t>d. qualitatifs) que les effets quantitatifs et les effets non quantitatifs (c.</w:t>
      </w:r>
      <w:r w:rsidR="00E6271F" w:rsidRPr="00B27419">
        <w:rPr>
          <w:rFonts w:cs="Times New Roman"/>
          <w:lang w:val="fr-CA"/>
        </w:rPr>
        <w:t>-</w:t>
      </w:r>
      <w:r w:rsidRPr="00B27419">
        <w:rPr>
          <w:rFonts w:cs="Times New Roman"/>
          <w:lang w:val="fr-CA"/>
        </w:rPr>
        <w:t>à</w:t>
      </w:r>
      <w:r w:rsidR="00E6271F" w:rsidRPr="00B27419">
        <w:rPr>
          <w:rFonts w:cs="Times New Roman"/>
          <w:lang w:val="fr-CA"/>
        </w:rPr>
        <w:t>-</w:t>
      </w:r>
      <w:r w:rsidRPr="00B27419">
        <w:rPr>
          <w:rFonts w:cs="Times New Roman"/>
          <w:lang w:val="fr-CA"/>
        </w:rPr>
        <w:t>d. qualitatifs) de tout empêchement ou de toute diminution</w:t>
      </w:r>
      <w:r w:rsidR="00E6271F" w:rsidRPr="00B27419">
        <w:rPr>
          <w:rFonts w:cs="Times New Roman"/>
          <w:lang w:val="fr-CA"/>
        </w:rPr>
        <w:t xml:space="preserve"> </w:t>
      </w:r>
      <w:r w:rsidRPr="00B27419">
        <w:rPr>
          <w:rFonts w:cs="Times New Roman"/>
          <w:lang w:val="fr-CA"/>
        </w:rPr>
        <w:t>de la concurrence</w:t>
      </w:r>
      <w:r w:rsidR="00B27419">
        <w:rPr>
          <w:rFonts w:cs="Times New Roman"/>
          <w:lang w:val="fr-CA"/>
        </w:rPr>
        <w:t> »</w:t>
      </w:r>
      <w:r w:rsidRPr="00B27419">
        <w:rPr>
          <w:rFonts w:cs="Times New Roman"/>
          <w:lang w:val="fr-CA"/>
        </w:rPr>
        <w:t xml:space="preserve"> découlant du fusionnement (par.</w:t>
      </w:r>
      <w:r w:rsidR="00E6271F" w:rsidRPr="00B27419">
        <w:rPr>
          <w:rFonts w:cs="Times New Roman"/>
          <w:lang w:val="fr-CA"/>
        </w:rPr>
        <w:t xml:space="preserve"> </w:t>
      </w:r>
      <w:r w:rsidRPr="00B27419">
        <w:rPr>
          <w:rFonts w:cs="Times New Roman"/>
          <w:lang w:val="fr-CA"/>
        </w:rPr>
        <w:t xml:space="preserve">146). Selon la cour, l’analyse porte essentiellement sur la pondération des gains en efficience toutes catégories confondues et des effets anticoncurrentiels toutes catégories confondues, et la réduire simplement à des </w:t>
      </w:r>
      <w:r w:rsidR="00B27419">
        <w:rPr>
          <w:rFonts w:cs="Times New Roman"/>
          <w:lang w:val="fr-CA"/>
        </w:rPr>
        <w:t>« </w:t>
      </w:r>
      <w:r w:rsidRPr="00B27419">
        <w:rPr>
          <w:rFonts w:cs="Times New Roman"/>
          <w:lang w:val="fr-CA"/>
        </w:rPr>
        <w:t>calculs mathématiques</w:t>
      </w:r>
      <w:r w:rsidR="00B27419">
        <w:rPr>
          <w:rFonts w:cs="Times New Roman"/>
          <w:lang w:val="fr-CA"/>
        </w:rPr>
        <w:t> »</w:t>
      </w:r>
      <w:r w:rsidRPr="00B27419">
        <w:rPr>
          <w:rFonts w:cs="Times New Roman"/>
          <w:lang w:val="fr-CA"/>
        </w:rPr>
        <w:t>, aussi importants soient</w:t>
      </w:r>
      <w:r w:rsidR="00E6271F" w:rsidRPr="00B27419">
        <w:rPr>
          <w:rFonts w:cs="Times New Roman"/>
          <w:lang w:val="fr-CA"/>
        </w:rPr>
        <w:t>-</w:t>
      </w:r>
      <w:r w:rsidRPr="00B27419">
        <w:rPr>
          <w:rFonts w:cs="Times New Roman"/>
          <w:lang w:val="fr-CA"/>
        </w:rPr>
        <w:t>ils, ne peut fournir une réponse complète (</w:t>
      </w:r>
      <w:r w:rsidRPr="00B27419">
        <w:rPr>
          <w:rFonts w:cs="Times New Roman"/>
          <w:i/>
          <w:lang w:val="fr-CA"/>
        </w:rPr>
        <w:t>ibid.</w:t>
      </w:r>
      <w:r w:rsidRPr="00B27419">
        <w:rPr>
          <w:rFonts w:cs="Times New Roman"/>
          <w:lang w:val="fr-CA"/>
        </w:rPr>
        <w:t>). Bien entendu, la quantification est très importante en ce qui a trait à l’attribution, dans la mesure du possible, d’une valeur suffisante à tout gain en efficience ou à tout effet anticoncurrentiel.</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lastRenderedPageBreak/>
        <w:t>La démarche préconisée par la Cour d’appel fédérale à l’égard de l’analyse qu’appelle l’art.</w:t>
      </w:r>
      <w:r w:rsidR="00E6271F" w:rsidRPr="00B27419">
        <w:rPr>
          <w:rFonts w:cs="Times New Roman"/>
          <w:lang w:val="fr-CA"/>
        </w:rPr>
        <w:t xml:space="preserve"> </w:t>
      </w:r>
      <w:r w:rsidRPr="00B27419">
        <w:rPr>
          <w:rFonts w:cs="Times New Roman"/>
          <w:lang w:val="fr-CA"/>
        </w:rPr>
        <w:t>96 prévoit une certaine souplesse, les gains en efficience et les effets anticoncurrentiels n’étant pas toujours faciles à mesurer. Par exemple, il peut exister des situations où un facteur quantitatif donné est lié de près à un facteur qualitatif. Le cadre applicable à l’art.</w:t>
      </w:r>
      <w:r w:rsidR="00E6271F" w:rsidRPr="00B27419">
        <w:rPr>
          <w:rFonts w:cs="Times New Roman"/>
          <w:lang w:val="fr-CA"/>
        </w:rPr>
        <w:t xml:space="preserve"> </w:t>
      </w:r>
      <w:r w:rsidRPr="00B27419">
        <w:rPr>
          <w:rFonts w:cs="Times New Roman"/>
          <w:lang w:val="fr-CA"/>
        </w:rPr>
        <w:t>96 permet au Tribunal expert d’évaluer globalement la preuve qui lui a été présentée plutôt que de scinder artificiellement l’analyse des effets qualitatifs et des effets quantitatifs. En effet, dans certains cas, il peut être plus utile de les analyser ensemble. En appliquant ce critère, le Tribunal peut rendre une décision objective et raisonnable concernant l’application de la défense fondée sur l’art.</w:t>
      </w:r>
      <w:r w:rsidR="00E6271F" w:rsidRPr="00B27419">
        <w:rPr>
          <w:rFonts w:cs="Times New Roman"/>
          <w:lang w:val="fr-CA"/>
        </w:rPr>
        <w:t xml:space="preserve"> </w:t>
      </w:r>
      <w:r w:rsidRPr="00B27419">
        <w:rPr>
          <w:rFonts w:cs="Times New Roman"/>
          <w:lang w:val="fr-CA"/>
        </w:rPr>
        <w:t>96 en réduisant au minimum les considérations subjectives, sans pour autant la limiter aux calculs mathématiques. Cette approche offre davantage de souplesse dans la réalisation des objets de la Loi.</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En outre, je ne souscris pas à l’avis de mon collègue selon lequel le Tribunal (et en l’espèce la Cour d’appel fédérale) ne peut tenir compte de tout effet anticoncurrentiel quantifiable parce que la commissaire de la concurrence ne l’a pas entièrement quantifié. Je partage l’avis de la Cour d’appel fédérale selon qui la commissaire devrait procéder, dans la mesure du possible, à une quantification. À l’instar de la cour, j’estime également que la preuve ayant établi qu’il y avait un effet anticoncurrentiel connu d’une valeur indéterminée n’est pas invalidée du fait d’une quantification incomplète.</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 xml:space="preserve">Il incombe à la commissaire de prouver </w:t>
      </w:r>
      <w:r w:rsidR="00B27419">
        <w:rPr>
          <w:rFonts w:cs="Times New Roman"/>
          <w:lang w:val="fr-CA"/>
        </w:rPr>
        <w:t>« </w:t>
      </w:r>
      <w:r w:rsidRPr="00B27419">
        <w:rPr>
          <w:rFonts w:cs="Times New Roman"/>
          <w:lang w:val="fr-CA"/>
        </w:rPr>
        <w:t xml:space="preserve">qu’un fusionnement réalisé ou proposé empêche ou diminue sensiblement la concurrence, ou aura </w:t>
      </w:r>
      <w:r w:rsidRPr="00B27419">
        <w:rPr>
          <w:rFonts w:cs="Times New Roman"/>
          <w:lang w:val="fr-CA"/>
        </w:rPr>
        <w:lastRenderedPageBreak/>
        <w:t>vraisemblablement cet effet</w:t>
      </w:r>
      <w:r w:rsidR="00B27419">
        <w:rPr>
          <w:rFonts w:cs="Times New Roman"/>
          <w:lang w:val="fr-CA"/>
        </w:rPr>
        <w:t> »</w:t>
      </w:r>
      <w:r w:rsidRPr="00B27419">
        <w:rPr>
          <w:rFonts w:cs="Times New Roman"/>
          <w:lang w:val="fr-CA"/>
        </w:rPr>
        <w:t xml:space="preserve"> pour l’application de l’art.</w:t>
      </w:r>
      <w:r w:rsidR="00E6271F" w:rsidRPr="00B27419">
        <w:rPr>
          <w:rFonts w:cs="Times New Roman"/>
          <w:lang w:val="fr-CA"/>
        </w:rPr>
        <w:t xml:space="preserve"> </w:t>
      </w:r>
      <w:r w:rsidRPr="00B27419">
        <w:rPr>
          <w:rFonts w:cs="Times New Roman"/>
          <w:lang w:val="fr-CA"/>
        </w:rPr>
        <w:t>92. Elle s’est acquittée de ce fardeau en l’espèce. L’article</w:t>
      </w:r>
      <w:r w:rsidR="00E6271F" w:rsidRPr="00B27419">
        <w:rPr>
          <w:rFonts w:cs="Times New Roman"/>
          <w:lang w:val="fr-CA"/>
        </w:rPr>
        <w:t xml:space="preserve"> </w:t>
      </w:r>
      <w:r w:rsidRPr="00B27419">
        <w:rPr>
          <w:rFonts w:cs="Times New Roman"/>
          <w:lang w:val="fr-CA"/>
        </w:rPr>
        <w:t>96 est un moyen de défense. Pour que la défense s’applique, il incombe aux appelantes de démontrer selon la prépondérance des probabilités que les gains en efficience neutralisent les effets anticoncurrentiels. La commissaire doit présenter des éléments de preuve sur les effets anticoncurrentiels du fusionnement et assume le risque qu’une quantification incomplète des effets quantifiables soit insuffisante pour réfuter la preuve des gains en efficience.</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Cependant, je ne partage pas l’avis de mon collègue selon qui, lorsqu’une preuve d’expert ne quantifie pas complètement les effets anticoncurrentiels, cette preuve n’a aucune valeur probante et ne compte pas. La preuve pertinente est généralement admissible, et le défaut de présenter la meilleure preuve possible influe sur le poids qui peut être accordé à cette preuve, non pas sur son admissibilité. De toute évidence, la preuve est moins probante si elle n’est pas fondée sur une estimation ou une quantification. Il ne fait aucun doute qu’un effet anticoncurrentiel indéterminé surpassera difficilement un gain en efficience important. Toutefois, la preuve de cet effet n’en devient pas pour autant non pertinente ou inadmissible. Ce n’est pas ce que prévoit le libellé de la loi, ni par ailleurs son objet ou son contexte.</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 xml:space="preserve">Certes, le juge </w:t>
      </w:r>
      <w:proofErr w:type="spellStart"/>
      <w:r w:rsidRPr="00B27419">
        <w:rPr>
          <w:rFonts w:cs="Times New Roman"/>
          <w:lang w:val="fr-CA"/>
        </w:rPr>
        <w:t>Rothstein</w:t>
      </w:r>
      <w:proofErr w:type="spellEnd"/>
      <w:r w:rsidRPr="00B27419">
        <w:rPr>
          <w:rFonts w:cs="Times New Roman"/>
          <w:lang w:val="fr-CA"/>
        </w:rPr>
        <w:t xml:space="preserve"> admet qu’une telle règle d’exclusion risque de mener à un résultat </w:t>
      </w:r>
      <w:r w:rsidR="00B27419">
        <w:rPr>
          <w:rFonts w:cs="Times New Roman"/>
          <w:lang w:val="fr-CA"/>
        </w:rPr>
        <w:t>« </w:t>
      </w:r>
      <w:r w:rsidRPr="00B27419">
        <w:rPr>
          <w:rFonts w:cs="Times New Roman"/>
          <w:lang w:val="fr-CA"/>
        </w:rPr>
        <w:t>paradoxal</w:t>
      </w:r>
      <w:r w:rsidR="00B27419">
        <w:rPr>
          <w:rFonts w:cs="Times New Roman"/>
          <w:lang w:val="fr-CA"/>
        </w:rPr>
        <w:t> »</w:t>
      </w:r>
      <w:r w:rsidRPr="00B27419">
        <w:rPr>
          <w:rFonts w:cs="Times New Roman"/>
          <w:lang w:val="fr-CA"/>
        </w:rPr>
        <w:t xml:space="preserve"> dans la présente affaire, mais justifie sa démarche restrictive en affirmant qu’elle favorise l’objectivité et décourage la subjectivité et les conjectures (par.</w:t>
      </w:r>
      <w:r w:rsidR="00E6271F" w:rsidRPr="00B27419">
        <w:rPr>
          <w:rFonts w:cs="Times New Roman"/>
          <w:lang w:val="fr-CA"/>
        </w:rPr>
        <w:t xml:space="preserve"> </w:t>
      </w:r>
      <w:r w:rsidRPr="00B27419">
        <w:rPr>
          <w:rFonts w:cs="Times New Roman"/>
          <w:lang w:val="fr-CA"/>
        </w:rPr>
        <w:t>151 et 166). Selon moi, ce serait mettre des bâtons dans les roues au Tribunal dans la réalisation du mandat que lui confère la loi. L’article</w:t>
      </w:r>
      <w:r w:rsidR="00E6271F" w:rsidRPr="00B27419">
        <w:rPr>
          <w:rFonts w:cs="Times New Roman"/>
          <w:lang w:val="fr-CA"/>
        </w:rPr>
        <w:t xml:space="preserve"> </w:t>
      </w:r>
      <w:r w:rsidRPr="00B27419">
        <w:rPr>
          <w:rFonts w:cs="Times New Roman"/>
          <w:lang w:val="fr-CA"/>
        </w:rPr>
        <w:t xml:space="preserve">96 accorde au </w:t>
      </w:r>
      <w:r w:rsidRPr="00B27419">
        <w:rPr>
          <w:rFonts w:cs="Times New Roman"/>
          <w:lang w:val="fr-CA"/>
        </w:rPr>
        <w:lastRenderedPageBreak/>
        <w:t xml:space="preserve">Tribunal la souplesse nécessaire pour favoriser la réalisation des objets de la Loi, dont l’objet principal, à savoir </w:t>
      </w:r>
      <w:r w:rsidR="00B27419">
        <w:rPr>
          <w:rFonts w:cs="Times New Roman"/>
          <w:lang w:val="fr-CA"/>
        </w:rPr>
        <w:t>« </w:t>
      </w:r>
      <w:r w:rsidRPr="00B27419">
        <w:rPr>
          <w:rFonts w:cs="Times New Roman"/>
          <w:lang w:val="fr-CA"/>
        </w:rPr>
        <w:t>préserver et favoriser la concurrence au Canada</w:t>
      </w:r>
      <w:r w:rsidR="00B27419">
        <w:rPr>
          <w:rFonts w:cs="Times New Roman"/>
          <w:lang w:val="fr-CA"/>
        </w:rPr>
        <w:t> »</w:t>
      </w:r>
      <w:r w:rsidRPr="00B27419">
        <w:rPr>
          <w:rFonts w:cs="Times New Roman"/>
          <w:lang w:val="fr-CA"/>
        </w:rPr>
        <w:t xml:space="preserve"> (art.</w:t>
      </w:r>
      <w:r w:rsidR="00E6271F" w:rsidRPr="00B27419">
        <w:rPr>
          <w:rFonts w:cs="Times New Roman"/>
          <w:lang w:val="fr-CA"/>
        </w:rPr>
        <w:t xml:space="preserve"> </w:t>
      </w:r>
      <w:r w:rsidRPr="00B27419">
        <w:rPr>
          <w:rFonts w:cs="Times New Roman"/>
          <w:lang w:val="fr-CA"/>
        </w:rPr>
        <w:t>1.1). L’exercice de pondération qu’exige cette disposition oblige le Tribunal à faire appel à son expertise et à son jugement. Il doit aussi assortir ses conclusions de motifs clairs.</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Évidemment, le Tribunal doit appliquer le critère prévu à l’art.</w:t>
      </w:r>
      <w:r w:rsidR="00E6271F" w:rsidRPr="00B27419">
        <w:rPr>
          <w:rFonts w:cs="Times New Roman"/>
          <w:lang w:val="fr-CA"/>
        </w:rPr>
        <w:t xml:space="preserve"> </w:t>
      </w:r>
      <w:r w:rsidRPr="00B27419">
        <w:rPr>
          <w:rFonts w:cs="Times New Roman"/>
          <w:lang w:val="fr-CA"/>
        </w:rPr>
        <w:t>96 à la preuve qui lui a été présentée d’une façon équitable pour les parties. Les décideurs experts ont souvent à évaluer une preuve qui n’est pas la meilleure possible; ils peuvent détecter les cas où les circonstances particulières risquent de se traduire par un manque d’équité procédurale.</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En l’espèce, la Cour d’appel fédérale a accordé du poids à la conclusion du Tribunal selon laquelle les prix auraient sans doute été inférieurs de 10</w:t>
      </w:r>
      <w:r w:rsidR="00E6271F" w:rsidRPr="00B27419">
        <w:rPr>
          <w:rFonts w:cs="Times New Roman"/>
          <w:lang w:val="fr-CA"/>
        </w:rPr>
        <w:t xml:space="preserve"> </w:t>
      </w:r>
      <w:r w:rsidRPr="00B27419">
        <w:rPr>
          <w:rFonts w:cs="Times New Roman"/>
          <w:lang w:val="fr-CA"/>
        </w:rPr>
        <w:t>p.</w:t>
      </w:r>
      <w:r w:rsidR="00E6271F" w:rsidRPr="00B27419">
        <w:rPr>
          <w:rFonts w:cs="Times New Roman"/>
          <w:lang w:val="fr-CA"/>
        </w:rPr>
        <w:t xml:space="preserve"> </w:t>
      </w:r>
      <w:r w:rsidRPr="00B27419">
        <w:rPr>
          <w:rFonts w:cs="Times New Roman"/>
          <w:lang w:val="fr-CA"/>
        </w:rPr>
        <w:t>100 dans la zone contestable, n’eût été le fusionnement. Bien que la preuve n’ait pas permis de calculer la perte sèche sans une estimation de l’élasticité du marché et sans données sur l’élasticité de la demande par rapport au prix à l’égard de l’entité fusionnée, à mon sens, la cour pouvait conclure à la preuve d’un effet anticoncurrentiel connu, mais d’une valeur indéterminée.</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 xml:space="preserve">Puisqu’il était loisible à la Cour d’appel fédérale de tenir compte des effets anticoncurrentiels dans son analyse, elle pouvait également juger que le monopole préexistant de </w:t>
      </w:r>
      <w:proofErr w:type="spellStart"/>
      <w:r w:rsidRPr="00B27419">
        <w:rPr>
          <w:rFonts w:cs="Times New Roman"/>
          <w:lang w:val="fr-CA"/>
        </w:rPr>
        <w:t>Tervita</w:t>
      </w:r>
      <w:proofErr w:type="spellEnd"/>
      <w:r w:rsidRPr="00B27419">
        <w:rPr>
          <w:rFonts w:cs="Times New Roman"/>
          <w:lang w:val="fr-CA"/>
        </w:rPr>
        <w:t xml:space="preserve"> aurait vraisemblablement pour effet d’amplifier les effets anticoncurrentiels du fusionnement (motifs de la C.A.F., par.</w:t>
      </w:r>
      <w:r w:rsidR="00E6271F" w:rsidRPr="00B27419">
        <w:rPr>
          <w:rFonts w:cs="Times New Roman"/>
          <w:lang w:val="fr-CA"/>
        </w:rPr>
        <w:t xml:space="preserve"> </w:t>
      </w:r>
      <w:r w:rsidRPr="00B27419">
        <w:rPr>
          <w:rFonts w:cs="Times New Roman"/>
          <w:lang w:val="fr-CA"/>
        </w:rPr>
        <w:t xml:space="preserve">173). Finalement, </w:t>
      </w:r>
      <w:r w:rsidRPr="00B27419">
        <w:rPr>
          <w:rFonts w:cs="Times New Roman"/>
          <w:lang w:val="fr-CA"/>
        </w:rPr>
        <w:lastRenderedPageBreak/>
        <w:t xml:space="preserve">la cour pouvait conclure à bon droit que les gains en efficience établis étaient </w:t>
      </w:r>
      <w:r w:rsidR="00B27419">
        <w:rPr>
          <w:rFonts w:cs="Times New Roman"/>
          <w:lang w:val="fr-CA"/>
        </w:rPr>
        <w:t>« </w:t>
      </w:r>
      <w:r w:rsidRPr="00B27419">
        <w:rPr>
          <w:rFonts w:cs="Times New Roman"/>
          <w:lang w:val="fr-CA"/>
        </w:rPr>
        <w:t>minimes au point d’être négligeables</w:t>
      </w:r>
      <w:r w:rsidR="00B27419">
        <w:rPr>
          <w:rFonts w:cs="Times New Roman"/>
          <w:lang w:val="fr-CA"/>
        </w:rPr>
        <w:t> »</w:t>
      </w:r>
      <w:r w:rsidRPr="00B27419">
        <w:rPr>
          <w:rFonts w:cs="Times New Roman"/>
          <w:lang w:val="fr-CA"/>
        </w:rPr>
        <w:t xml:space="preserve"> et n’excédaient vraisemblablement pas les effets anticoncurrentiels connus (mais indéterminés) (par.</w:t>
      </w:r>
      <w:r w:rsidR="00E6271F" w:rsidRPr="00B27419">
        <w:rPr>
          <w:rFonts w:cs="Times New Roman"/>
          <w:lang w:val="fr-CA"/>
        </w:rPr>
        <w:t xml:space="preserve"> </w:t>
      </w:r>
      <w:r w:rsidRPr="00B27419">
        <w:rPr>
          <w:rFonts w:cs="Times New Roman"/>
          <w:lang w:val="fr-CA"/>
        </w:rPr>
        <w:t>169).</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Comme je l’ai déjà dit, l’analyse globale qu’appelle l’art.</w:t>
      </w:r>
      <w:r w:rsidR="00E6271F" w:rsidRPr="00B27419">
        <w:rPr>
          <w:rFonts w:cs="Times New Roman"/>
          <w:lang w:val="fr-CA"/>
        </w:rPr>
        <w:t xml:space="preserve"> </w:t>
      </w:r>
      <w:r w:rsidRPr="00B27419">
        <w:rPr>
          <w:rFonts w:cs="Times New Roman"/>
          <w:lang w:val="fr-CA"/>
        </w:rPr>
        <w:t xml:space="preserve">96 doit être aussi objective et raisonnable que possible. Les effets qui peuvent être quantifiés devraient l’être. Toutefois, dans ce contexte, les gains en efficience négligeables ne surpasseront pas et ne neutraliseront pas forcément les effets anticoncurrentiels connus, même si on leur accorde une valeur </w:t>
      </w:r>
      <w:r w:rsidR="00B27419">
        <w:rPr>
          <w:rFonts w:cs="Times New Roman"/>
          <w:lang w:val="fr-CA"/>
        </w:rPr>
        <w:t>« </w:t>
      </w:r>
      <w:r w:rsidRPr="00B27419">
        <w:rPr>
          <w:rFonts w:cs="Times New Roman"/>
          <w:lang w:val="fr-CA"/>
        </w:rPr>
        <w:t>indéterminée</w:t>
      </w:r>
      <w:r w:rsidR="00B27419">
        <w:rPr>
          <w:rFonts w:cs="Times New Roman"/>
          <w:lang w:val="fr-CA"/>
        </w:rPr>
        <w:t> »</w:t>
      </w:r>
      <w:r w:rsidRPr="00B27419">
        <w:rPr>
          <w:rFonts w:cs="Times New Roman"/>
          <w:lang w:val="fr-CA"/>
        </w:rPr>
        <w:t>. Ce raisonnement est dans le droit fil de la jurisprudence antérieure du Tribunal (</w:t>
      </w:r>
      <w:r w:rsidRPr="00B27419">
        <w:rPr>
          <w:rFonts w:cs="Times New Roman"/>
          <w:i/>
          <w:lang w:val="fr-CA"/>
        </w:rPr>
        <w:t>Commissaire de la concurrence c. Supérieur Propane Inc.</w:t>
      </w:r>
      <w:r w:rsidRPr="00B27419">
        <w:rPr>
          <w:rFonts w:cs="Times New Roman"/>
          <w:lang w:val="fr-CA"/>
        </w:rPr>
        <w:t xml:space="preserve">, </w:t>
      </w:r>
      <w:r w:rsidRPr="00B27419">
        <w:rPr>
          <w:rFonts w:cs="Times New Roman"/>
          <w:spacing w:val="-3"/>
          <w:lang w:val="fr-CA"/>
        </w:rPr>
        <w:t xml:space="preserve">2002 </w:t>
      </w:r>
      <w:proofErr w:type="spellStart"/>
      <w:r w:rsidRPr="00B27419">
        <w:rPr>
          <w:rFonts w:cs="Times New Roman"/>
          <w:spacing w:val="-3"/>
          <w:lang w:val="fr-CA"/>
        </w:rPr>
        <w:t>Trib</w:t>
      </w:r>
      <w:proofErr w:type="spellEnd"/>
      <w:r w:rsidRPr="00B27419">
        <w:rPr>
          <w:rFonts w:cs="Times New Roman"/>
          <w:spacing w:val="-3"/>
          <w:lang w:val="fr-CA"/>
        </w:rPr>
        <w:t xml:space="preserve">. </w:t>
      </w:r>
      <w:proofErr w:type="spellStart"/>
      <w:r w:rsidRPr="00B27419">
        <w:rPr>
          <w:rFonts w:cs="Times New Roman"/>
          <w:spacing w:val="-3"/>
          <w:lang w:val="fr-CA"/>
        </w:rPr>
        <w:t>conc</w:t>
      </w:r>
      <w:proofErr w:type="spellEnd"/>
      <w:r w:rsidRPr="00B27419">
        <w:rPr>
          <w:rFonts w:cs="Times New Roman"/>
          <w:spacing w:val="-3"/>
          <w:lang w:val="fr-CA"/>
        </w:rPr>
        <w:t>.</w:t>
      </w:r>
      <w:r w:rsidR="00E6271F" w:rsidRPr="00B27419">
        <w:rPr>
          <w:rFonts w:cs="Times New Roman"/>
          <w:spacing w:val="-3"/>
          <w:lang w:val="fr-CA"/>
        </w:rPr>
        <w:t xml:space="preserve"> </w:t>
      </w:r>
      <w:r w:rsidRPr="00B27419">
        <w:rPr>
          <w:rFonts w:cs="Times New Roman"/>
          <w:spacing w:val="-3"/>
          <w:lang w:val="fr-CA"/>
        </w:rPr>
        <w:t>16 (en ligne),</w:t>
      </w:r>
      <w:r w:rsidR="00C6545A" w:rsidRPr="00B27419">
        <w:rPr>
          <w:rFonts w:cs="Times New Roman"/>
          <w:lang w:val="fr-CA"/>
        </w:rPr>
        <w:t xml:space="preserve"> par.</w:t>
      </w:r>
      <w:r w:rsidR="00E6271F" w:rsidRPr="00B27419">
        <w:rPr>
          <w:rFonts w:cs="Times New Roman"/>
          <w:lang w:val="fr-CA"/>
        </w:rPr>
        <w:t xml:space="preserve"> </w:t>
      </w:r>
      <w:r w:rsidR="00C6545A" w:rsidRPr="00B27419">
        <w:rPr>
          <w:rFonts w:cs="Times New Roman"/>
          <w:lang w:val="fr-CA"/>
        </w:rPr>
        <w:t>171-</w:t>
      </w:r>
      <w:r w:rsidRPr="00B27419">
        <w:rPr>
          <w:rFonts w:cs="Times New Roman"/>
          <w:lang w:val="fr-CA"/>
        </w:rPr>
        <w:t xml:space="preserve">172). De plus, ce raisonnement est tout à fait conforme à l’objet principal de la Loi, qui est </w:t>
      </w:r>
      <w:r w:rsidR="00B27419">
        <w:rPr>
          <w:rFonts w:cs="Times New Roman"/>
          <w:lang w:val="fr-CA"/>
        </w:rPr>
        <w:t>« </w:t>
      </w:r>
      <w:r w:rsidRPr="00B27419">
        <w:rPr>
          <w:rFonts w:cs="Times New Roman"/>
          <w:lang w:val="fr-CA"/>
        </w:rPr>
        <w:t>de préserver et de favoriser la concurrence au Canada</w:t>
      </w:r>
      <w:r w:rsidR="00B27419">
        <w:rPr>
          <w:rFonts w:cs="Times New Roman"/>
          <w:lang w:val="fr-CA"/>
        </w:rPr>
        <w:t> »</w:t>
      </w:r>
      <w:r w:rsidRPr="00B27419">
        <w:rPr>
          <w:rFonts w:cs="Times New Roman"/>
          <w:lang w:val="fr-CA"/>
        </w:rPr>
        <w:t xml:space="preserve"> (art.</w:t>
      </w:r>
      <w:r w:rsidR="00E6271F" w:rsidRPr="00B27419">
        <w:rPr>
          <w:rFonts w:cs="Times New Roman"/>
          <w:lang w:val="fr-CA"/>
        </w:rPr>
        <w:t xml:space="preserve"> </w:t>
      </w:r>
      <w:r w:rsidRPr="00B27419">
        <w:rPr>
          <w:rFonts w:cs="Times New Roman"/>
          <w:lang w:val="fr-CA"/>
        </w:rPr>
        <w:t>1.1).</w:t>
      </w:r>
    </w:p>
    <w:p w:rsidR="0039493A" w:rsidRPr="00B27419" w:rsidRDefault="0039493A" w:rsidP="00B27419">
      <w:pPr>
        <w:pStyle w:val="ParaNoNdepar-AltN"/>
        <w:tabs>
          <w:tab w:val="clear" w:pos="1166"/>
          <w:tab w:val="clear" w:pos="1294"/>
          <w:tab w:val="num" w:pos="1152"/>
        </w:tabs>
        <w:rPr>
          <w:rFonts w:cs="Times New Roman"/>
          <w:lang w:val="fr-CA"/>
        </w:rPr>
      </w:pPr>
      <w:r w:rsidRPr="00B27419">
        <w:rPr>
          <w:rFonts w:cs="Times New Roman"/>
          <w:lang w:val="fr-CA"/>
        </w:rPr>
        <w:t>Par conséquent, c’est à bon droit que la Cour d’appel fédérale a conclu que la défense fondée sur les gains en efficience prévue par l’art.</w:t>
      </w:r>
      <w:r w:rsidR="00E6271F" w:rsidRPr="00B27419">
        <w:rPr>
          <w:rFonts w:cs="Times New Roman"/>
          <w:lang w:val="fr-CA"/>
        </w:rPr>
        <w:t xml:space="preserve"> </w:t>
      </w:r>
      <w:r w:rsidRPr="00B27419">
        <w:rPr>
          <w:rFonts w:cs="Times New Roman"/>
          <w:lang w:val="fr-CA"/>
        </w:rPr>
        <w:t>96 n’était pas applicable. Je suis d’avis de rejeter le pourvoi et d’adjuger les dépens à l’intimé.</w:t>
      </w:r>
    </w:p>
    <w:p w:rsidR="0039493A" w:rsidRPr="00B27419" w:rsidRDefault="0039493A" w:rsidP="00B27419">
      <w:pPr>
        <w:pStyle w:val="Title1LevelTitre1Niveau-AltL"/>
        <w:numPr>
          <w:ilvl w:val="0"/>
          <w:numId w:val="0"/>
        </w:numPr>
        <w:jc w:val="center"/>
        <w:rPr>
          <w:rFonts w:cs="Times New Roman"/>
          <w:b/>
          <w:u w:val="none"/>
          <w:lang w:val="fr-CA"/>
        </w:rPr>
      </w:pPr>
      <w:bookmarkStart w:id="126" w:name="_Toc396299561"/>
      <w:bookmarkStart w:id="127" w:name="_Toc397586794"/>
      <w:bookmarkStart w:id="128" w:name="_Toc409593478"/>
      <w:r w:rsidRPr="00B27419">
        <w:rPr>
          <w:rFonts w:cs="Times New Roman"/>
          <w:b/>
          <w:u w:val="none"/>
          <w:lang w:val="fr-CA"/>
        </w:rPr>
        <w:t>ANNEXE</w:t>
      </w:r>
      <w:bookmarkEnd w:id="126"/>
      <w:bookmarkEnd w:id="127"/>
      <w:bookmarkEnd w:id="128"/>
    </w:p>
    <w:p w:rsidR="0039493A" w:rsidRPr="00B27419" w:rsidRDefault="0039493A" w:rsidP="00B27419">
      <w:pPr>
        <w:spacing w:after="480"/>
        <w:jc w:val="both"/>
        <w:rPr>
          <w:szCs w:val="24"/>
          <w:lang w:val="fr-CA"/>
        </w:rPr>
      </w:pPr>
      <w:r w:rsidRPr="00B27419">
        <w:rPr>
          <w:i/>
          <w:szCs w:val="24"/>
          <w:lang w:val="fr-CA"/>
        </w:rPr>
        <w:t>Loi sur la concurrence</w:t>
      </w:r>
      <w:r w:rsidRPr="00B27419">
        <w:rPr>
          <w:szCs w:val="24"/>
          <w:lang w:val="fr-CA"/>
        </w:rPr>
        <w:t>, L.R.C. 1985, c.</w:t>
      </w:r>
      <w:r w:rsidR="00E6271F" w:rsidRPr="00B27419">
        <w:rPr>
          <w:szCs w:val="24"/>
          <w:lang w:val="fr-CA"/>
        </w:rPr>
        <w:t xml:space="preserve"> </w:t>
      </w:r>
      <w:r w:rsidRPr="00B27419">
        <w:rPr>
          <w:szCs w:val="24"/>
          <w:lang w:val="fr-CA"/>
        </w:rPr>
        <w:t>C</w:t>
      </w:r>
      <w:r w:rsidR="00E6271F" w:rsidRPr="00B27419">
        <w:rPr>
          <w:szCs w:val="24"/>
          <w:lang w:val="fr-CA"/>
        </w:rPr>
        <w:t>-</w:t>
      </w:r>
      <w:r w:rsidRPr="00B27419">
        <w:rPr>
          <w:szCs w:val="24"/>
          <w:lang w:val="fr-CA"/>
        </w:rPr>
        <w:t>34</w:t>
      </w:r>
    </w:p>
    <w:p w:rsidR="0039493A" w:rsidRPr="00B27419" w:rsidRDefault="00D85720" w:rsidP="00B27419">
      <w:pPr>
        <w:tabs>
          <w:tab w:val="left" w:pos="1530"/>
        </w:tabs>
        <w:ind w:left="1080"/>
        <w:jc w:val="both"/>
        <w:rPr>
          <w:bCs/>
          <w:szCs w:val="24"/>
          <w:lang w:val="fr-CA"/>
        </w:rPr>
      </w:pPr>
      <w:r w:rsidRPr="00B27419">
        <w:rPr>
          <w:b/>
          <w:bCs/>
          <w:szCs w:val="24"/>
          <w:lang w:val="fr-CA"/>
        </w:rPr>
        <w:tab/>
      </w:r>
      <w:r w:rsidR="0039493A" w:rsidRPr="00B27419">
        <w:rPr>
          <w:b/>
          <w:bCs/>
          <w:szCs w:val="24"/>
          <w:lang w:val="fr-CA"/>
        </w:rPr>
        <w:t xml:space="preserve">1.1 </w:t>
      </w:r>
      <w:r w:rsidR="0039493A" w:rsidRPr="00B27419">
        <w:rPr>
          <w:bCs/>
          <w:szCs w:val="24"/>
          <w:lang w:val="fr-CA"/>
        </w:rPr>
        <w:t xml:space="preserve">La présente loi a pour objet de préserver et de favoriser la concurrence au Canada dans le but de </w:t>
      </w:r>
      <w:r w:rsidR="0039493A" w:rsidRPr="00B27419">
        <w:rPr>
          <w:bCs/>
          <w:lang w:val="fr-CA"/>
        </w:rPr>
        <w:t>stimuler</w:t>
      </w:r>
      <w:r w:rsidR="0039493A" w:rsidRPr="00B27419">
        <w:rPr>
          <w:bCs/>
          <w:szCs w:val="24"/>
          <w:lang w:val="fr-CA"/>
        </w:rPr>
        <w:t xml:space="preserve"> l’adaptabilité et l’efficience de l’économie canadienne, d’améliorer les chances de participation canadienne aux marchés mondiaux tout en tenant simultanément compte du rôle de la concurrence étrangère au Canada, d’assurer à la petite et à la </w:t>
      </w:r>
      <w:r w:rsidR="0039493A" w:rsidRPr="00B27419">
        <w:rPr>
          <w:bCs/>
          <w:szCs w:val="24"/>
          <w:lang w:val="fr-CA"/>
        </w:rPr>
        <w:lastRenderedPageBreak/>
        <w:t>moyenne entreprise une chance honnête de participer à l’économie canadienne, de même que dans le but d’assurer aux consommateurs des prix compétitifs et un choix dans les produits.</w:t>
      </w:r>
    </w:p>
    <w:p w:rsidR="00D85720" w:rsidRPr="00B27419" w:rsidRDefault="00D85720" w:rsidP="00B27419">
      <w:pPr>
        <w:tabs>
          <w:tab w:val="left" w:pos="1530"/>
        </w:tabs>
        <w:ind w:left="1080"/>
        <w:jc w:val="both"/>
        <w:rPr>
          <w:bCs/>
          <w:szCs w:val="24"/>
          <w:lang w:val="fr-CA"/>
        </w:rPr>
      </w:pPr>
    </w:p>
    <w:p w:rsidR="0039493A" w:rsidRPr="00B27419" w:rsidRDefault="00D85720" w:rsidP="00B27419">
      <w:pPr>
        <w:tabs>
          <w:tab w:val="left" w:pos="1530"/>
        </w:tabs>
        <w:ind w:left="1080"/>
        <w:jc w:val="both"/>
        <w:rPr>
          <w:bCs/>
          <w:szCs w:val="24"/>
          <w:lang w:val="fr-CA"/>
        </w:rPr>
      </w:pPr>
      <w:r w:rsidRPr="00B27419">
        <w:rPr>
          <w:b/>
          <w:bCs/>
          <w:szCs w:val="24"/>
          <w:lang w:val="fr-CA"/>
        </w:rPr>
        <w:tab/>
      </w:r>
      <w:r w:rsidR="0039493A" w:rsidRPr="00B27419">
        <w:rPr>
          <w:b/>
          <w:bCs/>
          <w:szCs w:val="24"/>
          <w:lang w:val="fr-CA"/>
        </w:rPr>
        <w:t xml:space="preserve">79. </w:t>
      </w:r>
      <w:r w:rsidR="0039493A" w:rsidRPr="00B27419">
        <w:rPr>
          <w:bCs/>
          <w:szCs w:val="24"/>
          <w:lang w:val="fr-CA"/>
        </w:rPr>
        <w:t xml:space="preserve">(1) </w:t>
      </w:r>
      <w:r w:rsidR="0039493A" w:rsidRPr="00B27419">
        <w:rPr>
          <w:bCs/>
          <w:lang w:val="fr-CA"/>
        </w:rPr>
        <w:t>Lorsque</w:t>
      </w:r>
      <w:r w:rsidR="0039493A" w:rsidRPr="00B27419">
        <w:rPr>
          <w:bCs/>
          <w:szCs w:val="24"/>
          <w:lang w:val="fr-CA"/>
        </w:rPr>
        <w:t>, à la suite d’une demande du commissaire, il conclut à l’existence de la situation suivante</w:t>
      </w:r>
      <w:r w:rsidR="00E6271F" w:rsidRPr="00B27419">
        <w:rPr>
          <w:bCs/>
          <w:szCs w:val="24"/>
          <w:lang w:val="fr-CA"/>
        </w:rPr>
        <w:t> :</w:t>
      </w:r>
    </w:p>
    <w:p w:rsidR="00D85720" w:rsidRPr="00B27419" w:rsidRDefault="00D85720" w:rsidP="00B27419">
      <w:pPr>
        <w:tabs>
          <w:tab w:val="left" w:pos="1530"/>
        </w:tabs>
        <w:ind w:left="1080"/>
        <w:jc w:val="both"/>
        <w:rPr>
          <w:bCs/>
          <w:szCs w:val="24"/>
          <w:lang w:val="fr-CA"/>
        </w:rPr>
      </w:pPr>
    </w:p>
    <w:p w:rsidR="0039493A" w:rsidRPr="00B27419" w:rsidRDefault="0039493A" w:rsidP="00B27419">
      <w:pPr>
        <w:ind w:left="1530"/>
        <w:jc w:val="both"/>
        <w:rPr>
          <w:bCs/>
          <w:szCs w:val="24"/>
          <w:lang w:val="fr-CA"/>
        </w:rPr>
      </w:pPr>
      <w:r w:rsidRPr="00B27419">
        <w:rPr>
          <w:bCs/>
          <w:i/>
          <w:szCs w:val="24"/>
          <w:lang w:val="fr-CA"/>
        </w:rPr>
        <w:t>a</w:t>
      </w:r>
      <w:r w:rsidR="005D54D2" w:rsidRPr="00B27419">
        <w:rPr>
          <w:bCs/>
          <w:szCs w:val="24"/>
          <w:lang w:val="fr-CA"/>
        </w:rPr>
        <w:t xml:space="preserve">) </w:t>
      </w:r>
      <w:r w:rsidRPr="00B27419">
        <w:rPr>
          <w:bCs/>
          <w:szCs w:val="24"/>
          <w:lang w:val="fr-CA"/>
        </w:rPr>
        <w:t xml:space="preserve">une ou plusieurs personnes contrôlent sensiblement ou complètement une catégorie ou </w:t>
      </w:r>
      <w:r w:rsidRPr="00B27419">
        <w:rPr>
          <w:bCs/>
          <w:lang w:val="fr-CA"/>
        </w:rPr>
        <w:t>espèce</w:t>
      </w:r>
      <w:r w:rsidRPr="00B27419">
        <w:rPr>
          <w:bCs/>
          <w:szCs w:val="24"/>
          <w:lang w:val="fr-CA"/>
        </w:rPr>
        <w:t xml:space="preserve"> d’entreprises à la grandeur du Canada ou d’une de ses régions;</w:t>
      </w:r>
    </w:p>
    <w:p w:rsidR="00D85720" w:rsidRPr="00B27419" w:rsidRDefault="00D85720" w:rsidP="00B27419">
      <w:pPr>
        <w:ind w:left="1530"/>
        <w:jc w:val="both"/>
        <w:rPr>
          <w:bCs/>
          <w:szCs w:val="24"/>
          <w:lang w:val="fr-CA"/>
        </w:rPr>
      </w:pPr>
    </w:p>
    <w:p w:rsidR="0039493A" w:rsidRPr="00B27419" w:rsidRDefault="0039493A" w:rsidP="00B27419">
      <w:pPr>
        <w:ind w:left="1530"/>
        <w:jc w:val="both"/>
        <w:rPr>
          <w:bCs/>
          <w:szCs w:val="24"/>
          <w:lang w:val="fr-CA"/>
        </w:rPr>
      </w:pPr>
      <w:r w:rsidRPr="00B27419">
        <w:rPr>
          <w:bCs/>
          <w:i/>
          <w:szCs w:val="24"/>
          <w:lang w:val="fr-CA"/>
        </w:rPr>
        <w:t>b</w:t>
      </w:r>
      <w:r w:rsidR="005D54D2" w:rsidRPr="00B27419">
        <w:rPr>
          <w:bCs/>
          <w:szCs w:val="24"/>
          <w:lang w:val="fr-CA"/>
        </w:rPr>
        <w:t xml:space="preserve">) </w:t>
      </w:r>
      <w:r w:rsidRPr="00B27419">
        <w:rPr>
          <w:bCs/>
          <w:szCs w:val="24"/>
          <w:lang w:val="fr-CA"/>
        </w:rPr>
        <w:t xml:space="preserve">cette personne ou ces personnes se livrent ou se sont livrées à une pratique d’agissements </w:t>
      </w:r>
      <w:proofErr w:type="spellStart"/>
      <w:r w:rsidRPr="00B27419">
        <w:rPr>
          <w:bCs/>
          <w:lang w:val="fr-CA"/>
        </w:rPr>
        <w:t>anti</w:t>
      </w:r>
      <w:r w:rsidR="00E6271F" w:rsidRPr="00B27419">
        <w:rPr>
          <w:bCs/>
          <w:szCs w:val="24"/>
          <w:lang w:val="fr-CA"/>
        </w:rPr>
        <w:t>-</w:t>
      </w:r>
      <w:r w:rsidRPr="00B27419">
        <w:rPr>
          <w:bCs/>
          <w:szCs w:val="24"/>
          <w:lang w:val="fr-CA"/>
        </w:rPr>
        <w:t>concurrentiels</w:t>
      </w:r>
      <w:proofErr w:type="spellEnd"/>
      <w:r w:rsidRPr="00B27419">
        <w:rPr>
          <w:bCs/>
          <w:szCs w:val="24"/>
          <w:lang w:val="fr-CA"/>
        </w:rPr>
        <w:t>;</w:t>
      </w:r>
    </w:p>
    <w:p w:rsidR="00D85720" w:rsidRPr="00B27419" w:rsidRDefault="00D85720" w:rsidP="00B27419">
      <w:pPr>
        <w:ind w:left="1530"/>
        <w:jc w:val="both"/>
        <w:rPr>
          <w:bCs/>
          <w:szCs w:val="24"/>
          <w:lang w:val="fr-CA"/>
        </w:rPr>
      </w:pPr>
    </w:p>
    <w:p w:rsidR="0039493A" w:rsidRPr="00B27419" w:rsidRDefault="0039493A" w:rsidP="00B27419">
      <w:pPr>
        <w:ind w:left="1530"/>
        <w:jc w:val="both"/>
        <w:rPr>
          <w:bCs/>
          <w:szCs w:val="24"/>
          <w:lang w:val="fr-CA"/>
        </w:rPr>
      </w:pPr>
      <w:r w:rsidRPr="00B27419">
        <w:rPr>
          <w:bCs/>
          <w:i/>
          <w:szCs w:val="24"/>
          <w:lang w:val="fr-CA"/>
        </w:rPr>
        <w:t>c</w:t>
      </w:r>
      <w:r w:rsidR="005D54D2" w:rsidRPr="00B27419">
        <w:rPr>
          <w:bCs/>
          <w:szCs w:val="24"/>
          <w:lang w:val="fr-CA"/>
        </w:rPr>
        <w:t xml:space="preserve">) </w:t>
      </w:r>
      <w:r w:rsidRPr="00B27419">
        <w:rPr>
          <w:bCs/>
          <w:szCs w:val="24"/>
          <w:lang w:val="fr-CA"/>
        </w:rPr>
        <w:t xml:space="preserve">la pratique a, a eu ou aura vraisemblablement pour effet d’empêcher ou de diminuer </w:t>
      </w:r>
      <w:r w:rsidRPr="00B27419">
        <w:rPr>
          <w:bCs/>
          <w:lang w:val="fr-CA"/>
        </w:rPr>
        <w:t>sensiblement</w:t>
      </w:r>
      <w:r w:rsidRPr="00B27419">
        <w:rPr>
          <w:bCs/>
          <w:szCs w:val="24"/>
          <w:lang w:val="fr-CA"/>
        </w:rPr>
        <w:t xml:space="preserve"> la concurrence dans un marché,</w:t>
      </w:r>
    </w:p>
    <w:p w:rsidR="00D85720" w:rsidRPr="00B27419" w:rsidRDefault="00D85720" w:rsidP="00B27419">
      <w:pPr>
        <w:ind w:left="1530"/>
        <w:jc w:val="both"/>
        <w:rPr>
          <w:bCs/>
          <w:szCs w:val="24"/>
          <w:lang w:val="fr-CA"/>
        </w:rPr>
      </w:pPr>
    </w:p>
    <w:p w:rsidR="0039493A" w:rsidRPr="00B27419" w:rsidRDefault="0039493A" w:rsidP="00B27419">
      <w:pPr>
        <w:ind w:left="1080"/>
        <w:jc w:val="both"/>
        <w:rPr>
          <w:bCs/>
          <w:szCs w:val="24"/>
          <w:lang w:val="fr-CA"/>
        </w:rPr>
      </w:pPr>
      <w:proofErr w:type="gramStart"/>
      <w:r w:rsidRPr="00B27419">
        <w:rPr>
          <w:bCs/>
          <w:szCs w:val="24"/>
          <w:lang w:val="fr-CA"/>
        </w:rPr>
        <w:t>le</w:t>
      </w:r>
      <w:proofErr w:type="gramEnd"/>
      <w:r w:rsidRPr="00B27419">
        <w:rPr>
          <w:bCs/>
          <w:szCs w:val="24"/>
          <w:lang w:val="fr-CA"/>
        </w:rPr>
        <w:t xml:space="preserve"> Tribunal peut rendre une ordonnance interdisant à ces personnes ou à l’une ou l’autre d’entre elles de se livrer à une telle pratique.</w:t>
      </w:r>
    </w:p>
    <w:p w:rsidR="005D54D2" w:rsidRPr="00B27419" w:rsidRDefault="005D54D2" w:rsidP="00B27419">
      <w:pPr>
        <w:ind w:left="1080"/>
        <w:jc w:val="both"/>
        <w:rPr>
          <w:bCs/>
          <w:szCs w:val="24"/>
          <w:lang w:val="fr-CA"/>
        </w:rPr>
      </w:pPr>
    </w:p>
    <w:p w:rsidR="0039493A" w:rsidRPr="00B27419" w:rsidRDefault="0039493A" w:rsidP="00B27419">
      <w:pPr>
        <w:spacing w:after="480"/>
        <w:jc w:val="center"/>
        <w:rPr>
          <w:bCs/>
          <w:szCs w:val="24"/>
          <w:lang w:val="fr-CA"/>
        </w:rPr>
      </w:pPr>
      <w:r w:rsidRPr="00B27419">
        <w:rPr>
          <w:bCs/>
          <w:szCs w:val="24"/>
          <w:lang w:val="fr-CA"/>
        </w:rPr>
        <w:t>.</w:t>
      </w:r>
      <w:r w:rsidR="00E6271F" w:rsidRPr="00B27419">
        <w:rPr>
          <w:bCs/>
          <w:szCs w:val="24"/>
          <w:lang w:val="fr-CA"/>
        </w:rPr>
        <w:t xml:space="preserve"> </w:t>
      </w:r>
      <w:r w:rsidRPr="00B27419">
        <w:rPr>
          <w:bCs/>
          <w:szCs w:val="24"/>
          <w:lang w:val="fr-CA"/>
        </w:rPr>
        <w:t>.</w:t>
      </w:r>
      <w:r w:rsidR="00E6271F" w:rsidRPr="00B27419">
        <w:rPr>
          <w:bCs/>
          <w:szCs w:val="24"/>
          <w:lang w:val="fr-CA"/>
        </w:rPr>
        <w:t xml:space="preserve"> </w:t>
      </w:r>
      <w:r w:rsidRPr="00B27419">
        <w:rPr>
          <w:bCs/>
          <w:szCs w:val="24"/>
          <w:lang w:val="fr-CA"/>
        </w:rPr>
        <w:t>.</w:t>
      </w:r>
    </w:p>
    <w:p w:rsidR="0039493A" w:rsidRPr="00B27419" w:rsidRDefault="005D54D2" w:rsidP="00B27419">
      <w:pPr>
        <w:tabs>
          <w:tab w:val="left" w:pos="1530"/>
        </w:tabs>
        <w:ind w:left="1080"/>
        <w:jc w:val="both"/>
        <w:rPr>
          <w:szCs w:val="24"/>
          <w:lang w:val="fr-CA"/>
        </w:rPr>
      </w:pPr>
      <w:r w:rsidRPr="00B27419">
        <w:rPr>
          <w:b/>
          <w:bCs/>
          <w:szCs w:val="24"/>
          <w:lang w:val="fr-CA"/>
        </w:rPr>
        <w:tab/>
      </w:r>
      <w:r w:rsidR="0039493A" w:rsidRPr="00B27419">
        <w:rPr>
          <w:b/>
          <w:bCs/>
          <w:szCs w:val="24"/>
          <w:lang w:val="fr-CA"/>
        </w:rPr>
        <w:t>92.</w:t>
      </w:r>
      <w:r w:rsidR="00E6271F" w:rsidRPr="00B27419">
        <w:rPr>
          <w:szCs w:val="24"/>
          <w:lang w:val="fr-CA"/>
        </w:rPr>
        <w:t xml:space="preserve"> </w:t>
      </w:r>
      <w:r w:rsidR="0039493A" w:rsidRPr="00B27419">
        <w:rPr>
          <w:szCs w:val="24"/>
          <w:lang w:val="fr-CA"/>
        </w:rPr>
        <w:t>(1)</w:t>
      </w:r>
      <w:r w:rsidR="00E6271F" w:rsidRPr="00B27419">
        <w:rPr>
          <w:szCs w:val="24"/>
          <w:lang w:val="fr-CA"/>
        </w:rPr>
        <w:t xml:space="preserve"> </w:t>
      </w:r>
      <w:r w:rsidR="0039493A" w:rsidRPr="00B27419">
        <w:rPr>
          <w:szCs w:val="24"/>
          <w:lang w:val="fr-CA"/>
        </w:rPr>
        <w:t xml:space="preserve">Dans les cas où, à la </w:t>
      </w:r>
      <w:r w:rsidR="0039493A" w:rsidRPr="00B27419">
        <w:rPr>
          <w:bCs/>
          <w:szCs w:val="24"/>
          <w:lang w:val="fr-CA"/>
        </w:rPr>
        <w:t>suite</w:t>
      </w:r>
      <w:r w:rsidR="0039493A" w:rsidRPr="00B27419">
        <w:rPr>
          <w:szCs w:val="24"/>
          <w:lang w:val="fr-CA"/>
        </w:rPr>
        <w:t xml:space="preserve"> d’une demande du commissaire, le Tribunal conclut qu’un fusionnement réalisé ou proposé empêche ou diminue sensiblement la concurrence, ou aura vraisemblablement cet effet</w:t>
      </w:r>
      <w:r w:rsidR="00E6271F" w:rsidRPr="00B27419">
        <w:rPr>
          <w:szCs w:val="24"/>
          <w:lang w:val="fr-CA"/>
        </w:rPr>
        <w:t> :</w:t>
      </w:r>
    </w:p>
    <w:p w:rsidR="005D54D2" w:rsidRPr="00B27419" w:rsidRDefault="005D54D2" w:rsidP="00B27419">
      <w:pPr>
        <w:tabs>
          <w:tab w:val="left" w:pos="1530"/>
        </w:tabs>
        <w:ind w:left="1080"/>
        <w:jc w:val="both"/>
        <w:rPr>
          <w:szCs w:val="24"/>
          <w:lang w:val="fr-CA"/>
        </w:rPr>
      </w:pPr>
    </w:p>
    <w:p w:rsidR="0039493A" w:rsidRPr="00B27419" w:rsidRDefault="0039493A" w:rsidP="00B27419">
      <w:pPr>
        <w:ind w:left="1530"/>
        <w:jc w:val="both"/>
        <w:rPr>
          <w:szCs w:val="24"/>
          <w:lang w:val="fr-CA"/>
        </w:rPr>
      </w:pPr>
      <w:r w:rsidRPr="00B27419">
        <w:rPr>
          <w:bCs/>
          <w:i/>
          <w:szCs w:val="24"/>
          <w:lang w:val="fr-CA"/>
        </w:rPr>
        <w:t>a</w:t>
      </w:r>
      <w:r w:rsidR="005D54D2" w:rsidRPr="00B27419">
        <w:rPr>
          <w:bCs/>
          <w:szCs w:val="24"/>
          <w:lang w:val="fr-CA"/>
        </w:rPr>
        <w:t xml:space="preserve">) </w:t>
      </w:r>
      <w:r w:rsidRPr="00B27419">
        <w:rPr>
          <w:bCs/>
          <w:szCs w:val="24"/>
          <w:lang w:val="fr-CA"/>
        </w:rPr>
        <w:t>dans</w:t>
      </w:r>
      <w:r w:rsidRPr="00B27419">
        <w:rPr>
          <w:szCs w:val="24"/>
          <w:lang w:val="fr-CA"/>
        </w:rPr>
        <w:t xml:space="preserve"> un </w:t>
      </w:r>
      <w:r w:rsidRPr="00B27419">
        <w:rPr>
          <w:bCs/>
          <w:szCs w:val="24"/>
          <w:lang w:val="fr-CA"/>
        </w:rPr>
        <w:t>commerce</w:t>
      </w:r>
      <w:r w:rsidRPr="00B27419">
        <w:rPr>
          <w:szCs w:val="24"/>
          <w:lang w:val="fr-CA"/>
        </w:rPr>
        <w:t>, une industrie ou une profession;</w:t>
      </w:r>
    </w:p>
    <w:p w:rsidR="005D54D2" w:rsidRPr="00B27419" w:rsidRDefault="005D54D2" w:rsidP="00B27419">
      <w:pPr>
        <w:ind w:left="1530"/>
        <w:jc w:val="both"/>
        <w:rPr>
          <w:szCs w:val="24"/>
          <w:lang w:val="fr-CA"/>
        </w:rPr>
      </w:pPr>
    </w:p>
    <w:p w:rsidR="0039493A" w:rsidRPr="00B27419" w:rsidRDefault="0039493A" w:rsidP="00B27419">
      <w:pPr>
        <w:ind w:left="1530"/>
        <w:jc w:val="both"/>
        <w:rPr>
          <w:szCs w:val="24"/>
          <w:lang w:val="fr-CA"/>
        </w:rPr>
      </w:pPr>
      <w:r w:rsidRPr="00B27419">
        <w:rPr>
          <w:bCs/>
          <w:i/>
          <w:szCs w:val="24"/>
          <w:lang w:val="fr-CA"/>
        </w:rPr>
        <w:t>b</w:t>
      </w:r>
      <w:r w:rsidR="005D54D2" w:rsidRPr="00B27419">
        <w:rPr>
          <w:bCs/>
          <w:szCs w:val="24"/>
          <w:lang w:val="fr-CA"/>
        </w:rPr>
        <w:t xml:space="preserve">) </w:t>
      </w:r>
      <w:r w:rsidRPr="00B27419">
        <w:rPr>
          <w:bCs/>
          <w:szCs w:val="24"/>
          <w:lang w:val="fr-CA"/>
        </w:rPr>
        <w:t>entre</w:t>
      </w:r>
      <w:r w:rsidRPr="00B27419">
        <w:rPr>
          <w:szCs w:val="24"/>
          <w:lang w:val="fr-CA"/>
        </w:rPr>
        <w:t xml:space="preserve"> les sources d’approvisionnement auprès desquelles un commerce, une industrie ou une profession se procure un produit;</w:t>
      </w:r>
    </w:p>
    <w:p w:rsidR="005D54D2" w:rsidRPr="00B27419" w:rsidRDefault="005D54D2" w:rsidP="00B27419">
      <w:pPr>
        <w:ind w:left="1530"/>
        <w:jc w:val="both"/>
        <w:rPr>
          <w:szCs w:val="24"/>
          <w:lang w:val="fr-CA"/>
        </w:rPr>
      </w:pPr>
    </w:p>
    <w:p w:rsidR="0039493A" w:rsidRPr="00B27419" w:rsidRDefault="0039493A" w:rsidP="00B27419">
      <w:pPr>
        <w:ind w:left="1530"/>
        <w:jc w:val="both"/>
        <w:rPr>
          <w:szCs w:val="24"/>
          <w:lang w:val="fr-CA"/>
        </w:rPr>
      </w:pPr>
      <w:r w:rsidRPr="00B27419">
        <w:rPr>
          <w:bCs/>
          <w:i/>
          <w:szCs w:val="24"/>
          <w:lang w:val="fr-CA"/>
        </w:rPr>
        <w:t>c</w:t>
      </w:r>
      <w:r w:rsidR="005D54D2" w:rsidRPr="00B27419">
        <w:rPr>
          <w:bCs/>
          <w:szCs w:val="24"/>
          <w:lang w:val="fr-CA"/>
        </w:rPr>
        <w:t xml:space="preserve">) </w:t>
      </w:r>
      <w:r w:rsidRPr="00B27419">
        <w:rPr>
          <w:bCs/>
          <w:szCs w:val="24"/>
          <w:lang w:val="fr-CA"/>
        </w:rPr>
        <w:t>entre</w:t>
      </w:r>
      <w:r w:rsidRPr="00B27419">
        <w:rPr>
          <w:szCs w:val="24"/>
          <w:lang w:val="fr-CA"/>
        </w:rPr>
        <w:t xml:space="preserve"> les débouchés par l’intermédiaire desquels un commerce, une industrie ou une profession écoule un produit;</w:t>
      </w:r>
    </w:p>
    <w:p w:rsidR="005D54D2" w:rsidRPr="00B27419" w:rsidRDefault="005D54D2" w:rsidP="00B27419">
      <w:pPr>
        <w:ind w:left="1530"/>
        <w:jc w:val="both"/>
        <w:rPr>
          <w:szCs w:val="24"/>
          <w:lang w:val="fr-CA"/>
        </w:rPr>
      </w:pPr>
    </w:p>
    <w:p w:rsidR="0039493A" w:rsidRPr="00B27419" w:rsidRDefault="0039493A" w:rsidP="00B27419">
      <w:pPr>
        <w:ind w:left="1530"/>
        <w:jc w:val="both"/>
        <w:rPr>
          <w:szCs w:val="24"/>
          <w:lang w:val="fr-CA"/>
        </w:rPr>
      </w:pPr>
      <w:r w:rsidRPr="00B27419">
        <w:rPr>
          <w:bCs/>
          <w:i/>
          <w:szCs w:val="24"/>
          <w:lang w:val="fr-CA"/>
        </w:rPr>
        <w:t>d</w:t>
      </w:r>
      <w:r w:rsidR="005D54D2" w:rsidRPr="00B27419">
        <w:rPr>
          <w:bCs/>
          <w:szCs w:val="24"/>
          <w:lang w:val="fr-CA"/>
        </w:rPr>
        <w:t xml:space="preserve">) </w:t>
      </w:r>
      <w:r w:rsidRPr="00B27419">
        <w:rPr>
          <w:bCs/>
          <w:szCs w:val="24"/>
          <w:lang w:val="fr-CA"/>
        </w:rPr>
        <w:t>autrement</w:t>
      </w:r>
      <w:r w:rsidRPr="00B27419">
        <w:rPr>
          <w:szCs w:val="24"/>
          <w:lang w:val="fr-CA"/>
        </w:rPr>
        <w:t xml:space="preserve"> que selon ce qui est prévu aux alinéas </w:t>
      </w:r>
      <w:r w:rsidRPr="00B27419">
        <w:rPr>
          <w:i/>
          <w:iCs/>
          <w:szCs w:val="24"/>
          <w:lang w:val="fr-CA"/>
        </w:rPr>
        <w:t>a</w:t>
      </w:r>
      <w:r w:rsidRPr="00B27419">
        <w:rPr>
          <w:szCs w:val="24"/>
          <w:lang w:val="fr-CA"/>
        </w:rPr>
        <w:t xml:space="preserve">) à </w:t>
      </w:r>
      <w:r w:rsidRPr="00B27419">
        <w:rPr>
          <w:i/>
          <w:iCs/>
          <w:szCs w:val="24"/>
          <w:lang w:val="fr-CA"/>
        </w:rPr>
        <w:t>c</w:t>
      </w:r>
      <w:r w:rsidRPr="00B27419">
        <w:rPr>
          <w:szCs w:val="24"/>
          <w:lang w:val="fr-CA"/>
        </w:rPr>
        <w:t>),</w:t>
      </w:r>
    </w:p>
    <w:p w:rsidR="005D54D2" w:rsidRPr="00B27419" w:rsidRDefault="005D54D2" w:rsidP="00B27419">
      <w:pPr>
        <w:ind w:left="1530"/>
        <w:jc w:val="both"/>
        <w:rPr>
          <w:szCs w:val="24"/>
          <w:lang w:val="fr-CA"/>
        </w:rPr>
      </w:pPr>
    </w:p>
    <w:p w:rsidR="0039493A" w:rsidRPr="00B27419" w:rsidRDefault="0039493A" w:rsidP="00B27419">
      <w:pPr>
        <w:ind w:left="1080"/>
        <w:jc w:val="both"/>
        <w:rPr>
          <w:szCs w:val="24"/>
          <w:lang w:val="fr-CA"/>
        </w:rPr>
      </w:pPr>
      <w:proofErr w:type="gramStart"/>
      <w:r w:rsidRPr="00B27419">
        <w:rPr>
          <w:szCs w:val="24"/>
          <w:lang w:val="fr-CA"/>
        </w:rPr>
        <w:t>le</w:t>
      </w:r>
      <w:proofErr w:type="gramEnd"/>
      <w:r w:rsidRPr="00B27419">
        <w:rPr>
          <w:szCs w:val="24"/>
          <w:lang w:val="fr-CA"/>
        </w:rPr>
        <w:t xml:space="preserve"> Tribunal </w:t>
      </w:r>
      <w:r w:rsidRPr="00B27419">
        <w:rPr>
          <w:bCs/>
          <w:szCs w:val="24"/>
          <w:lang w:val="fr-CA"/>
        </w:rPr>
        <w:t>peut</w:t>
      </w:r>
      <w:r w:rsidRPr="00B27419">
        <w:rPr>
          <w:szCs w:val="24"/>
          <w:lang w:val="fr-CA"/>
        </w:rPr>
        <w:t>, sous réserve des articles 94 à 96</w:t>
      </w:r>
      <w:r w:rsidR="00E6271F" w:rsidRPr="00B27419">
        <w:rPr>
          <w:szCs w:val="24"/>
          <w:lang w:val="fr-CA"/>
        </w:rPr>
        <w:t> :</w:t>
      </w:r>
    </w:p>
    <w:p w:rsidR="005D54D2" w:rsidRPr="00B27419" w:rsidRDefault="005D54D2" w:rsidP="00B27419">
      <w:pPr>
        <w:ind w:left="1080"/>
        <w:jc w:val="both"/>
        <w:rPr>
          <w:szCs w:val="24"/>
          <w:lang w:val="fr-CA"/>
        </w:rPr>
      </w:pPr>
    </w:p>
    <w:p w:rsidR="0039493A" w:rsidRPr="00B27419" w:rsidRDefault="0039493A" w:rsidP="00B27419">
      <w:pPr>
        <w:ind w:left="1530"/>
        <w:jc w:val="both"/>
        <w:rPr>
          <w:szCs w:val="24"/>
          <w:lang w:val="fr-CA"/>
        </w:rPr>
      </w:pPr>
      <w:r w:rsidRPr="00B27419">
        <w:rPr>
          <w:bCs/>
          <w:i/>
          <w:szCs w:val="24"/>
          <w:lang w:val="fr-CA"/>
        </w:rPr>
        <w:t>e</w:t>
      </w:r>
      <w:r w:rsidR="005D54D2" w:rsidRPr="00B27419">
        <w:rPr>
          <w:bCs/>
          <w:szCs w:val="24"/>
          <w:lang w:val="fr-CA"/>
        </w:rPr>
        <w:t xml:space="preserve">) </w:t>
      </w:r>
      <w:r w:rsidRPr="00B27419">
        <w:rPr>
          <w:bCs/>
          <w:szCs w:val="24"/>
          <w:lang w:val="fr-CA"/>
        </w:rPr>
        <w:t>dans</w:t>
      </w:r>
      <w:r w:rsidRPr="00B27419">
        <w:rPr>
          <w:szCs w:val="24"/>
          <w:lang w:val="fr-CA"/>
        </w:rPr>
        <w:t xml:space="preserve"> le cas d’un fusionnement réalisé, rendre une ordonnance enjoignant à toute </w:t>
      </w:r>
      <w:r w:rsidRPr="00B27419">
        <w:rPr>
          <w:bCs/>
          <w:szCs w:val="24"/>
          <w:lang w:val="fr-CA"/>
        </w:rPr>
        <w:t>personne</w:t>
      </w:r>
      <w:r w:rsidRPr="00B27419">
        <w:rPr>
          <w:szCs w:val="24"/>
          <w:lang w:val="fr-CA"/>
        </w:rPr>
        <w:t>, que celle</w:t>
      </w:r>
      <w:r w:rsidR="00E6271F" w:rsidRPr="00B27419">
        <w:rPr>
          <w:szCs w:val="24"/>
          <w:lang w:val="fr-CA"/>
        </w:rPr>
        <w:t>-</w:t>
      </w:r>
      <w:r w:rsidRPr="00B27419">
        <w:rPr>
          <w:szCs w:val="24"/>
          <w:lang w:val="fr-CA"/>
        </w:rPr>
        <w:t>ci soit partie au fusionnement ou non</w:t>
      </w:r>
      <w:r w:rsidR="00E6271F" w:rsidRPr="00B27419">
        <w:rPr>
          <w:szCs w:val="24"/>
          <w:lang w:val="fr-CA"/>
        </w:rPr>
        <w:t> :</w:t>
      </w:r>
    </w:p>
    <w:p w:rsidR="005D54D2" w:rsidRPr="00B27419" w:rsidRDefault="005D54D2" w:rsidP="00B27419">
      <w:pPr>
        <w:ind w:left="1530"/>
        <w:jc w:val="both"/>
        <w:rPr>
          <w:szCs w:val="24"/>
          <w:lang w:val="fr-CA"/>
        </w:rPr>
      </w:pPr>
    </w:p>
    <w:p w:rsidR="0039493A" w:rsidRPr="00B27419" w:rsidRDefault="005D54D2" w:rsidP="00B27419">
      <w:pPr>
        <w:ind w:left="1890"/>
        <w:contextualSpacing/>
        <w:jc w:val="both"/>
        <w:rPr>
          <w:szCs w:val="24"/>
          <w:lang w:val="fr-CA"/>
        </w:rPr>
      </w:pPr>
      <w:r w:rsidRPr="00B27419">
        <w:rPr>
          <w:szCs w:val="24"/>
          <w:lang w:val="fr-CA"/>
        </w:rPr>
        <w:t xml:space="preserve">(i) </w:t>
      </w:r>
      <w:r w:rsidR="0039493A" w:rsidRPr="00B27419">
        <w:rPr>
          <w:szCs w:val="24"/>
          <w:lang w:val="fr-CA"/>
        </w:rPr>
        <w:t xml:space="preserve">de le dissoudre, </w:t>
      </w:r>
      <w:r w:rsidR="0039493A" w:rsidRPr="00B27419">
        <w:rPr>
          <w:lang w:val="fr-CA"/>
        </w:rPr>
        <w:t>conformément</w:t>
      </w:r>
      <w:r w:rsidR="0039493A" w:rsidRPr="00B27419">
        <w:rPr>
          <w:szCs w:val="24"/>
          <w:lang w:val="fr-CA"/>
        </w:rPr>
        <w:t xml:space="preserve"> à ses directives,</w:t>
      </w:r>
    </w:p>
    <w:p w:rsidR="00C6545A" w:rsidRPr="00B27419" w:rsidRDefault="00C6545A" w:rsidP="00B27419">
      <w:pPr>
        <w:ind w:left="1890"/>
        <w:contextualSpacing/>
        <w:jc w:val="both"/>
        <w:rPr>
          <w:szCs w:val="24"/>
          <w:lang w:val="fr-CA"/>
        </w:rPr>
      </w:pPr>
    </w:p>
    <w:p w:rsidR="0039493A" w:rsidRPr="00B27419" w:rsidRDefault="005D54D2" w:rsidP="00B27419">
      <w:pPr>
        <w:ind w:left="1890"/>
        <w:contextualSpacing/>
        <w:jc w:val="both"/>
        <w:rPr>
          <w:szCs w:val="24"/>
          <w:lang w:val="fr-CA"/>
        </w:rPr>
      </w:pPr>
      <w:r w:rsidRPr="00B27419">
        <w:rPr>
          <w:szCs w:val="24"/>
          <w:lang w:val="fr-CA"/>
        </w:rPr>
        <w:lastRenderedPageBreak/>
        <w:t xml:space="preserve">(ii) </w:t>
      </w:r>
      <w:r w:rsidR="0039493A" w:rsidRPr="00B27419">
        <w:rPr>
          <w:szCs w:val="24"/>
          <w:lang w:val="fr-CA"/>
        </w:rPr>
        <w:t>de se départir, selon les modalités qu’il indique, des éléments d’actif et des actions qu’il indique,</w:t>
      </w:r>
    </w:p>
    <w:p w:rsidR="005D54D2" w:rsidRPr="00B27419" w:rsidRDefault="005D54D2" w:rsidP="00B27419">
      <w:pPr>
        <w:ind w:left="1890"/>
        <w:contextualSpacing/>
        <w:jc w:val="both"/>
        <w:rPr>
          <w:szCs w:val="24"/>
          <w:lang w:val="fr-CA"/>
        </w:rPr>
      </w:pPr>
    </w:p>
    <w:p w:rsidR="0039493A" w:rsidRPr="00B27419" w:rsidRDefault="005D54D2" w:rsidP="00B27419">
      <w:pPr>
        <w:ind w:left="1890"/>
        <w:contextualSpacing/>
        <w:jc w:val="both"/>
        <w:rPr>
          <w:szCs w:val="24"/>
          <w:lang w:val="fr-CA"/>
        </w:rPr>
      </w:pPr>
      <w:r w:rsidRPr="00B27419">
        <w:rPr>
          <w:szCs w:val="24"/>
          <w:lang w:val="fr-CA"/>
        </w:rPr>
        <w:t xml:space="preserve">(iii) </w:t>
      </w:r>
      <w:r w:rsidR="0039493A" w:rsidRPr="00B27419">
        <w:rPr>
          <w:szCs w:val="24"/>
          <w:lang w:val="fr-CA"/>
        </w:rPr>
        <w:t>en sus ou au lieu des mesures prévues au sous</w:t>
      </w:r>
      <w:r w:rsidR="00E6271F" w:rsidRPr="00B27419">
        <w:rPr>
          <w:szCs w:val="24"/>
          <w:lang w:val="fr-CA"/>
        </w:rPr>
        <w:t>-</w:t>
      </w:r>
      <w:r w:rsidR="0039493A" w:rsidRPr="00B27419">
        <w:rPr>
          <w:szCs w:val="24"/>
          <w:lang w:val="fr-CA"/>
        </w:rPr>
        <w:t xml:space="preserve">alinéa (i) ou (ii), de prendre toute </w:t>
      </w:r>
      <w:r w:rsidR="0039493A" w:rsidRPr="00B27419">
        <w:rPr>
          <w:lang w:val="fr-CA"/>
        </w:rPr>
        <w:t>autre</w:t>
      </w:r>
      <w:r w:rsidR="0039493A" w:rsidRPr="00B27419">
        <w:rPr>
          <w:szCs w:val="24"/>
          <w:lang w:val="fr-CA"/>
        </w:rPr>
        <w:t xml:space="preserve"> mesure, à condition que la personne contre qui l’ordonnance est rendue et le commissaire souscrivent à cette mesure;</w:t>
      </w:r>
    </w:p>
    <w:p w:rsidR="005D54D2" w:rsidRPr="00B27419" w:rsidRDefault="005D54D2" w:rsidP="00B27419">
      <w:pPr>
        <w:ind w:left="1890"/>
        <w:contextualSpacing/>
        <w:jc w:val="both"/>
        <w:rPr>
          <w:szCs w:val="24"/>
          <w:lang w:val="fr-CA"/>
        </w:rPr>
      </w:pPr>
    </w:p>
    <w:p w:rsidR="0039493A" w:rsidRPr="00B27419" w:rsidRDefault="0039493A" w:rsidP="00B27419">
      <w:pPr>
        <w:ind w:left="1530"/>
        <w:jc w:val="both"/>
        <w:rPr>
          <w:szCs w:val="24"/>
          <w:lang w:val="fr-CA"/>
        </w:rPr>
      </w:pPr>
      <w:r w:rsidRPr="00B27419">
        <w:rPr>
          <w:i/>
          <w:szCs w:val="24"/>
          <w:lang w:val="fr-CA"/>
        </w:rPr>
        <w:t>f</w:t>
      </w:r>
      <w:r w:rsidRPr="00B27419">
        <w:rPr>
          <w:szCs w:val="24"/>
          <w:lang w:val="fr-CA"/>
        </w:rPr>
        <w:t>)</w:t>
      </w:r>
      <w:r w:rsidRPr="00B27419">
        <w:rPr>
          <w:szCs w:val="24"/>
          <w:lang w:val="fr-CA"/>
        </w:rPr>
        <w:tab/>
        <w:t>dans le cas d’un fusionnement proposé, rendre, contre toute personne, que celle</w:t>
      </w:r>
      <w:r w:rsidR="00E6271F" w:rsidRPr="00B27419">
        <w:rPr>
          <w:szCs w:val="24"/>
          <w:lang w:val="fr-CA"/>
        </w:rPr>
        <w:t>-</w:t>
      </w:r>
      <w:r w:rsidRPr="00B27419">
        <w:rPr>
          <w:szCs w:val="24"/>
          <w:lang w:val="fr-CA"/>
        </w:rPr>
        <w:t>ci soit partie au fusionnement proposé ou non, une ordonnance enjoignant</w:t>
      </w:r>
      <w:r w:rsidR="00E6271F" w:rsidRPr="00B27419">
        <w:rPr>
          <w:szCs w:val="24"/>
          <w:lang w:val="fr-CA"/>
        </w:rPr>
        <w:t> :</w:t>
      </w:r>
    </w:p>
    <w:p w:rsidR="005D54D2" w:rsidRPr="00B27419" w:rsidRDefault="005D54D2" w:rsidP="00B27419">
      <w:pPr>
        <w:ind w:left="1530"/>
        <w:jc w:val="both"/>
        <w:rPr>
          <w:szCs w:val="24"/>
          <w:lang w:val="fr-CA"/>
        </w:rPr>
      </w:pPr>
    </w:p>
    <w:p w:rsidR="0039493A" w:rsidRPr="00B27419" w:rsidRDefault="005D54D2" w:rsidP="00B27419">
      <w:pPr>
        <w:ind w:left="1890"/>
        <w:contextualSpacing/>
        <w:jc w:val="both"/>
        <w:rPr>
          <w:szCs w:val="24"/>
          <w:lang w:val="fr-CA"/>
        </w:rPr>
      </w:pPr>
      <w:r w:rsidRPr="00B27419">
        <w:rPr>
          <w:szCs w:val="24"/>
          <w:lang w:val="fr-CA"/>
        </w:rPr>
        <w:t xml:space="preserve">(i) </w:t>
      </w:r>
      <w:r w:rsidR="0039493A" w:rsidRPr="00B27419">
        <w:rPr>
          <w:szCs w:val="24"/>
          <w:lang w:val="fr-CA"/>
        </w:rPr>
        <w:t xml:space="preserve">à la personne contre laquelle l’ordonnance est rendue de ne pas procéder au </w:t>
      </w:r>
      <w:r w:rsidR="0039493A" w:rsidRPr="00B27419">
        <w:rPr>
          <w:lang w:val="fr-CA"/>
        </w:rPr>
        <w:t>fusionnement</w:t>
      </w:r>
      <w:r w:rsidR="0039493A" w:rsidRPr="00B27419">
        <w:rPr>
          <w:szCs w:val="24"/>
          <w:lang w:val="fr-CA"/>
        </w:rPr>
        <w:t>,</w:t>
      </w:r>
    </w:p>
    <w:p w:rsidR="005D54D2" w:rsidRPr="00B27419" w:rsidRDefault="005D54D2" w:rsidP="00B27419">
      <w:pPr>
        <w:ind w:left="1890"/>
        <w:contextualSpacing/>
        <w:jc w:val="both"/>
        <w:rPr>
          <w:szCs w:val="24"/>
          <w:lang w:val="fr-CA"/>
        </w:rPr>
      </w:pPr>
    </w:p>
    <w:p w:rsidR="0039493A" w:rsidRPr="00B27419" w:rsidRDefault="005D54D2" w:rsidP="00B27419">
      <w:pPr>
        <w:ind w:left="1890"/>
        <w:contextualSpacing/>
        <w:jc w:val="both"/>
        <w:rPr>
          <w:szCs w:val="24"/>
          <w:lang w:val="fr-CA"/>
        </w:rPr>
      </w:pPr>
      <w:r w:rsidRPr="00B27419">
        <w:rPr>
          <w:szCs w:val="24"/>
          <w:lang w:val="fr-CA"/>
        </w:rPr>
        <w:t xml:space="preserve">(ii) </w:t>
      </w:r>
      <w:r w:rsidR="0039493A" w:rsidRPr="00B27419">
        <w:rPr>
          <w:szCs w:val="24"/>
          <w:lang w:val="fr-CA"/>
        </w:rPr>
        <w:t xml:space="preserve">à la personne contre laquelle l’ordonnance est rendue de ne pas procéder à une </w:t>
      </w:r>
      <w:r w:rsidR="0039493A" w:rsidRPr="00B27419">
        <w:rPr>
          <w:lang w:val="fr-CA"/>
        </w:rPr>
        <w:t>partie</w:t>
      </w:r>
      <w:r w:rsidR="0039493A" w:rsidRPr="00B27419">
        <w:rPr>
          <w:szCs w:val="24"/>
          <w:lang w:val="fr-CA"/>
        </w:rPr>
        <w:t xml:space="preserve"> du fusionnement,</w:t>
      </w:r>
    </w:p>
    <w:p w:rsidR="005D54D2" w:rsidRPr="00B27419" w:rsidRDefault="005D54D2" w:rsidP="00B27419">
      <w:pPr>
        <w:ind w:left="1890"/>
        <w:contextualSpacing/>
        <w:jc w:val="both"/>
        <w:rPr>
          <w:szCs w:val="24"/>
          <w:lang w:val="fr-CA"/>
        </w:rPr>
      </w:pPr>
    </w:p>
    <w:p w:rsidR="0039493A" w:rsidRPr="00B27419" w:rsidRDefault="005D54D2" w:rsidP="00B27419">
      <w:pPr>
        <w:ind w:left="1890"/>
        <w:contextualSpacing/>
        <w:jc w:val="both"/>
        <w:rPr>
          <w:szCs w:val="24"/>
          <w:lang w:val="fr-CA"/>
        </w:rPr>
      </w:pPr>
      <w:r w:rsidRPr="00B27419">
        <w:rPr>
          <w:szCs w:val="24"/>
          <w:lang w:val="fr-CA"/>
        </w:rPr>
        <w:t xml:space="preserve">(iii) </w:t>
      </w:r>
      <w:r w:rsidR="0039493A" w:rsidRPr="00B27419">
        <w:rPr>
          <w:szCs w:val="24"/>
          <w:lang w:val="fr-CA"/>
        </w:rPr>
        <w:t>en sus ou au lieu de l’ordonnance prévue au sous</w:t>
      </w:r>
      <w:r w:rsidR="00E6271F" w:rsidRPr="00B27419">
        <w:rPr>
          <w:szCs w:val="24"/>
          <w:lang w:val="fr-CA"/>
        </w:rPr>
        <w:t>-</w:t>
      </w:r>
      <w:r w:rsidR="0039493A" w:rsidRPr="00B27419">
        <w:rPr>
          <w:szCs w:val="24"/>
          <w:lang w:val="fr-CA"/>
        </w:rPr>
        <w:t xml:space="preserve">alinéa (ii), </w:t>
      </w:r>
      <w:r w:rsidR="0039493A" w:rsidRPr="00B27419">
        <w:rPr>
          <w:lang w:val="fr-CA"/>
        </w:rPr>
        <w:t>cumulativement</w:t>
      </w:r>
      <w:r w:rsidR="0039493A" w:rsidRPr="00B27419">
        <w:rPr>
          <w:szCs w:val="24"/>
          <w:lang w:val="fr-CA"/>
        </w:rPr>
        <w:t xml:space="preserve"> </w:t>
      </w:r>
      <w:r w:rsidR="0039493A" w:rsidRPr="00B27419">
        <w:rPr>
          <w:lang w:val="fr-CA"/>
        </w:rPr>
        <w:t>ou</w:t>
      </w:r>
      <w:r w:rsidR="0039493A" w:rsidRPr="00B27419">
        <w:rPr>
          <w:szCs w:val="24"/>
          <w:lang w:val="fr-CA"/>
        </w:rPr>
        <w:t xml:space="preserve"> non</w:t>
      </w:r>
      <w:r w:rsidR="00E6271F" w:rsidRPr="00B27419">
        <w:rPr>
          <w:szCs w:val="24"/>
          <w:lang w:val="fr-CA"/>
        </w:rPr>
        <w:t> :</w:t>
      </w:r>
    </w:p>
    <w:p w:rsidR="005D54D2" w:rsidRPr="00B27419" w:rsidRDefault="005D54D2" w:rsidP="00B27419">
      <w:pPr>
        <w:ind w:left="1890"/>
        <w:contextualSpacing/>
        <w:jc w:val="both"/>
        <w:rPr>
          <w:szCs w:val="24"/>
          <w:lang w:val="fr-CA"/>
        </w:rPr>
      </w:pPr>
    </w:p>
    <w:p w:rsidR="0039493A" w:rsidRPr="00B27419" w:rsidRDefault="005D54D2" w:rsidP="00B27419">
      <w:pPr>
        <w:ind w:left="2430"/>
        <w:contextualSpacing/>
        <w:jc w:val="both"/>
        <w:rPr>
          <w:szCs w:val="24"/>
          <w:lang w:val="fr-CA"/>
        </w:rPr>
      </w:pPr>
      <w:r w:rsidRPr="00B27419">
        <w:rPr>
          <w:szCs w:val="24"/>
          <w:lang w:val="fr-CA"/>
        </w:rPr>
        <w:t xml:space="preserve">(A) </w:t>
      </w:r>
      <w:r w:rsidR="0039493A" w:rsidRPr="00B27419">
        <w:rPr>
          <w:szCs w:val="24"/>
          <w:lang w:val="fr-CA"/>
        </w:rPr>
        <w:t xml:space="preserve">à la personne </w:t>
      </w:r>
      <w:r w:rsidR="0039493A" w:rsidRPr="00B27419">
        <w:rPr>
          <w:lang w:val="fr-CA"/>
        </w:rPr>
        <w:t>qui</w:t>
      </w:r>
      <w:r w:rsidR="0039493A" w:rsidRPr="00B27419">
        <w:rPr>
          <w:szCs w:val="24"/>
          <w:lang w:val="fr-CA"/>
        </w:rPr>
        <w:t xml:space="preserve"> fait l’objet de l’ordonnance, de s’abstenir, si le fusionnement était éventuellement complété en tout ou en partie, de faire quoi que ce soit dont l’interdiction est, selon ce que conclut le Tribunal, nécessaire pour que le fusionnement, même partiel, n’empêche ni ne diminue sensiblement la concurrence,</w:t>
      </w:r>
    </w:p>
    <w:p w:rsidR="005D54D2" w:rsidRPr="00B27419" w:rsidRDefault="005D54D2" w:rsidP="00B27419">
      <w:pPr>
        <w:ind w:left="2430"/>
        <w:contextualSpacing/>
        <w:jc w:val="both"/>
        <w:rPr>
          <w:szCs w:val="24"/>
          <w:lang w:val="fr-CA"/>
        </w:rPr>
      </w:pPr>
    </w:p>
    <w:p w:rsidR="0039493A" w:rsidRPr="00B27419" w:rsidRDefault="005D54D2" w:rsidP="00B27419">
      <w:pPr>
        <w:ind w:left="2430"/>
        <w:contextualSpacing/>
        <w:jc w:val="both"/>
        <w:rPr>
          <w:szCs w:val="24"/>
          <w:lang w:val="fr-CA"/>
        </w:rPr>
      </w:pPr>
      <w:r w:rsidRPr="00B27419">
        <w:rPr>
          <w:szCs w:val="24"/>
          <w:lang w:val="fr-CA"/>
        </w:rPr>
        <w:t xml:space="preserve">(B) </w:t>
      </w:r>
      <w:r w:rsidR="0039493A" w:rsidRPr="00B27419">
        <w:rPr>
          <w:szCs w:val="24"/>
          <w:lang w:val="fr-CA"/>
        </w:rPr>
        <w:t>à la personne qui fait l’objet de l’ordonnance de prendre toute autre mesure à condition que le commissaire et cette personne y souscrivent.</w:t>
      </w:r>
    </w:p>
    <w:p w:rsidR="005D54D2" w:rsidRPr="00B27419" w:rsidRDefault="005D54D2" w:rsidP="00B27419">
      <w:pPr>
        <w:ind w:left="2430"/>
        <w:contextualSpacing/>
        <w:jc w:val="both"/>
        <w:rPr>
          <w:szCs w:val="24"/>
          <w:lang w:val="fr-CA"/>
        </w:rPr>
      </w:pPr>
    </w:p>
    <w:p w:rsidR="0039493A" w:rsidRPr="00B27419" w:rsidRDefault="005D54D2" w:rsidP="00B27419">
      <w:pPr>
        <w:tabs>
          <w:tab w:val="left" w:pos="1530"/>
        </w:tabs>
        <w:ind w:left="1080"/>
        <w:jc w:val="both"/>
        <w:rPr>
          <w:szCs w:val="24"/>
          <w:lang w:val="fr-CA"/>
        </w:rPr>
      </w:pPr>
      <w:bookmarkStart w:id="129" w:name="art92par2"/>
      <w:bookmarkEnd w:id="129"/>
      <w:r w:rsidRPr="00B27419">
        <w:rPr>
          <w:szCs w:val="24"/>
          <w:lang w:val="fr-CA"/>
        </w:rPr>
        <w:tab/>
        <w:t xml:space="preserve">(2) </w:t>
      </w:r>
      <w:r w:rsidR="0039493A" w:rsidRPr="00B27419">
        <w:rPr>
          <w:szCs w:val="24"/>
          <w:lang w:val="fr-CA"/>
        </w:rPr>
        <w:t xml:space="preserve">Pour l’application du présent article, le Tribunal ne conclut pas qu’un fusionnement, réalisé ou </w:t>
      </w:r>
      <w:r w:rsidR="0039493A" w:rsidRPr="00B27419">
        <w:rPr>
          <w:bCs/>
          <w:szCs w:val="24"/>
          <w:lang w:val="fr-CA"/>
        </w:rPr>
        <w:t>proposé</w:t>
      </w:r>
      <w:r w:rsidR="0039493A" w:rsidRPr="00B27419">
        <w:rPr>
          <w:szCs w:val="24"/>
          <w:lang w:val="fr-CA"/>
        </w:rPr>
        <w:t>, empêche ou diminue sensiblement la concurrence, ou qu’il aura vraisemblablement cet effet, en raison seulement de la concentration ou de la part du marché.</w:t>
      </w:r>
    </w:p>
    <w:p w:rsidR="005D54D2" w:rsidRPr="00B27419" w:rsidRDefault="005D54D2" w:rsidP="00B27419">
      <w:pPr>
        <w:tabs>
          <w:tab w:val="left" w:pos="1530"/>
        </w:tabs>
        <w:ind w:left="1080"/>
        <w:jc w:val="both"/>
        <w:rPr>
          <w:szCs w:val="24"/>
          <w:lang w:val="fr-CA"/>
        </w:rPr>
      </w:pPr>
    </w:p>
    <w:p w:rsidR="0039493A" w:rsidRPr="00B27419" w:rsidRDefault="005D54D2" w:rsidP="00B27419">
      <w:pPr>
        <w:tabs>
          <w:tab w:val="left" w:pos="1530"/>
        </w:tabs>
        <w:ind w:left="1080"/>
        <w:jc w:val="both"/>
        <w:rPr>
          <w:szCs w:val="24"/>
          <w:lang w:val="fr-CA"/>
        </w:rPr>
      </w:pPr>
      <w:r w:rsidRPr="00B27419">
        <w:rPr>
          <w:b/>
          <w:bCs/>
          <w:szCs w:val="24"/>
          <w:lang w:val="fr-CA"/>
        </w:rPr>
        <w:tab/>
      </w:r>
      <w:r w:rsidR="0039493A" w:rsidRPr="00B27419">
        <w:rPr>
          <w:b/>
          <w:bCs/>
          <w:szCs w:val="24"/>
          <w:lang w:val="fr-CA"/>
        </w:rPr>
        <w:t>93.</w:t>
      </w:r>
      <w:r w:rsidRPr="00B27419">
        <w:rPr>
          <w:b/>
          <w:bCs/>
          <w:szCs w:val="24"/>
          <w:lang w:val="fr-CA"/>
        </w:rPr>
        <w:t xml:space="preserve"> </w:t>
      </w:r>
      <w:r w:rsidR="0039493A" w:rsidRPr="00B27419">
        <w:rPr>
          <w:szCs w:val="24"/>
          <w:lang w:val="fr-CA"/>
        </w:rPr>
        <w:t xml:space="preserve">Lorsqu’il détermine, pour l’application de l’article 92, si un fusionnement, réalisé ou proposé, </w:t>
      </w:r>
      <w:r w:rsidR="0039493A" w:rsidRPr="00B27419">
        <w:rPr>
          <w:bCs/>
          <w:szCs w:val="24"/>
          <w:lang w:val="fr-CA"/>
        </w:rPr>
        <w:t>empêche</w:t>
      </w:r>
      <w:r w:rsidR="0039493A" w:rsidRPr="00B27419">
        <w:rPr>
          <w:szCs w:val="24"/>
          <w:lang w:val="fr-CA"/>
        </w:rPr>
        <w:t xml:space="preserve"> ou diminue sensiblement la concurrence, ou s’il aura vraisemblablement cet effet, le Tribunal peut tenir compte des facteurs suivants</w:t>
      </w:r>
      <w:r w:rsidR="00E6271F" w:rsidRPr="00B27419">
        <w:rPr>
          <w:szCs w:val="24"/>
          <w:lang w:val="fr-CA"/>
        </w:rPr>
        <w:t> :</w:t>
      </w:r>
    </w:p>
    <w:p w:rsidR="005D54D2" w:rsidRPr="00B27419" w:rsidRDefault="005D54D2" w:rsidP="00B27419">
      <w:pPr>
        <w:tabs>
          <w:tab w:val="left" w:pos="1530"/>
        </w:tabs>
        <w:ind w:left="1080"/>
        <w:jc w:val="both"/>
        <w:rPr>
          <w:szCs w:val="24"/>
          <w:lang w:val="fr-CA"/>
        </w:rPr>
      </w:pPr>
    </w:p>
    <w:p w:rsidR="0039493A" w:rsidRPr="00B27419" w:rsidRDefault="0039493A" w:rsidP="00B27419">
      <w:pPr>
        <w:ind w:left="1530"/>
        <w:jc w:val="both"/>
        <w:rPr>
          <w:szCs w:val="24"/>
          <w:lang w:val="fr-CA"/>
        </w:rPr>
      </w:pPr>
      <w:r w:rsidRPr="00B27419">
        <w:rPr>
          <w:i/>
          <w:szCs w:val="24"/>
          <w:lang w:val="fr-CA"/>
        </w:rPr>
        <w:t>a</w:t>
      </w:r>
      <w:r w:rsidR="005D54D2" w:rsidRPr="00B27419">
        <w:rPr>
          <w:szCs w:val="24"/>
          <w:lang w:val="fr-CA"/>
        </w:rPr>
        <w:t xml:space="preserve">) </w:t>
      </w:r>
      <w:r w:rsidRPr="00B27419">
        <w:rPr>
          <w:szCs w:val="24"/>
          <w:lang w:val="fr-CA"/>
        </w:rPr>
        <w:t>la mesure dans laquelle des produits ou des concurrents étrangers assurent ou assureront vraisemblablement une concurrence réelle aux entreprises des parties au fusionnement réalisé ou proposé;</w:t>
      </w:r>
    </w:p>
    <w:p w:rsidR="005D54D2" w:rsidRPr="00B27419" w:rsidRDefault="005D54D2" w:rsidP="00B27419">
      <w:pPr>
        <w:ind w:left="1530"/>
        <w:jc w:val="both"/>
        <w:rPr>
          <w:szCs w:val="24"/>
          <w:lang w:val="fr-CA"/>
        </w:rPr>
      </w:pPr>
    </w:p>
    <w:p w:rsidR="0039493A" w:rsidRPr="00B27419" w:rsidRDefault="0039493A" w:rsidP="00B27419">
      <w:pPr>
        <w:ind w:left="1530"/>
        <w:jc w:val="both"/>
        <w:rPr>
          <w:szCs w:val="24"/>
          <w:lang w:val="fr-CA"/>
        </w:rPr>
      </w:pPr>
      <w:r w:rsidRPr="00B27419">
        <w:rPr>
          <w:i/>
          <w:szCs w:val="24"/>
          <w:lang w:val="fr-CA"/>
        </w:rPr>
        <w:lastRenderedPageBreak/>
        <w:t>b</w:t>
      </w:r>
      <w:r w:rsidR="005D54D2" w:rsidRPr="00B27419">
        <w:rPr>
          <w:szCs w:val="24"/>
          <w:lang w:val="fr-CA"/>
        </w:rPr>
        <w:t xml:space="preserve">) </w:t>
      </w:r>
      <w:r w:rsidRPr="00B27419">
        <w:rPr>
          <w:szCs w:val="24"/>
          <w:lang w:val="fr-CA"/>
        </w:rPr>
        <w:t>la déconfiture, ou la déconfiture vraisemblable de l’entreprise ou d’une partie de l’entreprise d’une partie au fusionnement réalisé ou proposé;</w:t>
      </w:r>
    </w:p>
    <w:p w:rsidR="005D54D2" w:rsidRPr="00B27419" w:rsidRDefault="005D54D2" w:rsidP="00B27419">
      <w:pPr>
        <w:ind w:left="1530"/>
        <w:jc w:val="both"/>
        <w:rPr>
          <w:szCs w:val="24"/>
          <w:lang w:val="fr-CA"/>
        </w:rPr>
      </w:pPr>
    </w:p>
    <w:p w:rsidR="0039493A" w:rsidRPr="00B27419" w:rsidRDefault="0039493A" w:rsidP="00B27419">
      <w:pPr>
        <w:ind w:left="1530"/>
        <w:jc w:val="both"/>
        <w:rPr>
          <w:szCs w:val="24"/>
          <w:lang w:val="fr-CA"/>
        </w:rPr>
      </w:pPr>
      <w:r w:rsidRPr="00B27419">
        <w:rPr>
          <w:i/>
          <w:szCs w:val="24"/>
          <w:lang w:val="fr-CA"/>
        </w:rPr>
        <w:t>c</w:t>
      </w:r>
      <w:r w:rsidR="005D54D2" w:rsidRPr="00B27419">
        <w:rPr>
          <w:szCs w:val="24"/>
          <w:lang w:val="fr-CA"/>
        </w:rPr>
        <w:t xml:space="preserve">) </w:t>
      </w:r>
      <w:r w:rsidRPr="00B27419">
        <w:rPr>
          <w:szCs w:val="24"/>
          <w:lang w:val="fr-CA"/>
        </w:rPr>
        <w:t>la mesure dans laquelle sont ou seront vraisemblablement disponibles des produits pouvant servir de substituts acceptables à ceux fournis par les parties au fusionnement réalisé ou proposé;</w:t>
      </w:r>
    </w:p>
    <w:p w:rsidR="005D54D2" w:rsidRPr="00B27419" w:rsidRDefault="005D54D2" w:rsidP="00B27419">
      <w:pPr>
        <w:ind w:left="1530"/>
        <w:jc w:val="both"/>
        <w:rPr>
          <w:szCs w:val="24"/>
          <w:lang w:val="fr-CA"/>
        </w:rPr>
      </w:pPr>
    </w:p>
    <w:p w:rsidR="0039493A" w:rsidRPr="00B27419" w:rsidRDefault="0039493A" w:rsidP="00B27419">
      <w:pPr>
        <w:ind w:left="1530"/>
        <w:jc w:val="both"/>
        <w:rPr>
          <w:szCs w:val="24"/>
          <w:lang w:val="fr-CA"/>
        </w:rPr>
      </w:pPr>
      <w:r w:rsidRPr="00B27419">
        <w:rPr>
          <w:i/>
          <w:szCs w:val="24"/>
          <w:lang w:val="fr-CA"/>
        </w:rPr>
        <w:t>d</w:t>
      </w:r>
      <w:r w:rsidR="005D54D2" w:rsidRPr="00B27419">
        <w:rPr>
          <w:szCs w:val="24"/>
          <w:lang w:val="fr-CA"/>
        </w:rPr>
        <w:t xml:space="preserve">) </w:t>
      </w:r>
      <w:r w:rsidRPr="00B27419">
        <w:rPr>
          <w:szCs w:val="24"/>
          <w:lang w:val="fr-CA"/>
        </w:rPr>
        <w:t>les entraves à l’accès à un marché, notamment</w:t>
      </w:r>
      <w:r w:rsidR="00E6271F" w:rsidRPr="00B27419">
        <w:rPr>
          <w:szCs w:val="24"/>
          <w:lang w:val="fr-CA"/>
        </w:rPr>
        <w:t> :</w:t>
      </w:r>
    </w:p>
    <w:p w:rsidR="005D54D2" w:rsidRPr="00B27419" w:rsidRDefault="005D54D2" w:rsidP="00B27419">
      <w:pPr>
        <w:ind w:left="1530"/>
        <w:jc w:val="both"/>
        <w:rPr>
          <w:szCs w:val="24"/>
          <w:lang w:val="fr-CA"/>
        </w:rPr>
      </w:pPr>
    </w:p>
    <w:p w:rsidR="0039493A" w:rsidRPr="00B27419" w:rsidRDefault="005D54D2" w:rsidP="00B27419">
      <w:pPr>
        <w:ind w:left="1890"/>
        <w:contextualSpacing/>
        <w:jc w:val="both"/>
        <w:rPr>
          <w:szCs w:val="24"/>
          <w:lang w:val="fr-CA"/>
        </w:rPr>
      </w:pPr>
      <w:r w:rsidRPr="00B27419">
        <w:rPr>
          <w:szCs w:val="24"/>
          <w:lang w:val="fr-CA"/>
        </w:rPr>
        <w:t xml:space="preserve">(i) </w:t>
      </w:r>
      <w:r w:rsidR="0039493A" w:rsidRPr="00B27419">
        <w:rPr>
          <w:szCs w:val="24"/>
          <w:lang w:val="fr-CA"/>
        </w:rPr>
        <w:t>les barrières tarifaires et non tarifaires au commerce international,</w:t>
      </w:r>
    </w:p>
    <w:p w:rsidR="005D54D2" w:rsidRPr="00B27419" w:rsidRDefault="005D54D2" w:rsidP="00B27419">
      <w:pPr>
        <w:ind w:left="1890"/>
        <w:contextualSpacing/>
        <w:jc w:val="both"/>
        <w:rPr>
          <w:szCs w:val="24"/>
          <w:lang w:val="fr-CA"/>
        </w:rPr>
      </w:pPr>
    </w:p>
    <w:p w:rsidR="0039493A" w:rsidRPr="00B27419" w:rsidRDefault="005D54D2" w:rsidP="00B27419">
      <w:pPr>
        <w:ind w:left="1890"/>
        <w:contextualSpacing/>
        <w:jc w:val="both"/>
        <w:rPr>
          <w:szCs w:val="24"/>
          <w:lang w:val="fr-CA"/>
        </w:rPr>
      </w:pPr>
      <w:r w:rsidRPr="00B27419">
        <w:rPr>
          <w:szCs w:val="24"/>
          <w:lang w:val="fr-CA"/>
        </w:rPr>
        <w:t xml:space="preserve">(ii) </w:t>
      </w:r>
      <w:r w:rsidR="0039493A" w:rsidRPr="00B27419">
        <w:rPr>
          <w:szCs w:val="24"/>
          <w:lang w:val="fr-CA"/>
        </w:rPr>
        <w:t>les barrières interprovinciales au commerce,</w:t>
      </w:r>
    </w:p>
    <w:p w:rsidR="005D54D2" w:rsidRPr="00B27419" w:rsidRDefault="005D54D2" w:rsidP="00B27419">
      <w:pPr>
        <w:ind w:left="1890"/>
        <w:contextualSpacing/>
        <w:jc w:val="both"/>
        <w:rPr>
          <w:szCs w:val="24"/>
          <w:lang w:val="fr-CA"/>
        </w:rPr>
      </w:pPr>
    </w:p>
    <w:p w:rsidR="0039493A" w:rsidRPr="00B27419" w:rsidRDefault="005D54D2" w:rsidP="00B27419">
      <w:pPr>
        <w:ind w:left="1890"/>
        <w:contextualSpacing/>
        <w:jc w:val="both"/>
        <w:rPr>
          <w:szCs w:val="24"/>
          <w:lang w:val="fr-CA"/>
        </w:rPr>
      </w:pPr>
      <w:r w:rsidRPr="00B27419">
        <w:rPr>
          <w:szCs w:val="24"/>
          <w:lang w:val="fr-CA"/>
        </w:rPr>
        <w:t xml:space="preserve">(iii) </w:t>
      </w:r>
      <w:r w:rsidR="0039493A" w:rsidRPr="00B27419">
        <w:rPr>
          <w:szCs w:val="24"/>
          <w:lang w:val="fr-CA"/>
        </w:rPr>
        <w:t>la réglementation de cet accès,</w:t>
      </w:r>
    </w:p>
    <w:p w:rsidR="005D54D2" w:rsidRPr="00B27419" w:rsidRDefault="005D54D2" w:rsidP="00B27419">
      <w:pPr>
        <w:ind w:left="1890"/>
        <w:contextualSpacing/>
        <w:jc w:val="both"/>
        <w:rPr>
          <w:szCs w:val="24"/>
          <w:lang w:val="fr-CA"/>
        </w:rPr>
      </w:pPr>
    </w:p>
    <w:p w:rsidR="0039493A" w:rsidRPr="00B27419" w:rsidRDefault="0039493A" w:rsidP="00B27419">
      <w:pPr>
        <w:tabs>
          <w:tab w:val="num" w:pos="1440"/>
        </w:tabs>
        <w:ind w:left="1530"/>
        <w:jc w:val="both"/>
        <w:rPr>
          <w:szCs w:val="24"/>
          <w:lang w:val="fr-CA"/>
        </w:rPr>
      </w:pPr>
      <w:proofErr w:type="gramStart"/>
      <w:r w:rsidRPr="00B27419">
        <w:rPr>
          <w:szCs w:val="24"/>
          <w:lang w:val="fr-CA"/>
        </w:rPr>
        <w:t>et</w:t>
      </w:r>
      <w:proofErr w:type="gramEnd"/>
      <w:r w:rsidRPr="00B27419">
        <w:rPr>
          <w:szCs w:val="24"/>
          <w:lang w:val="fr-CA"/>
        </w:rPr>
        <w:t xml:space="preserve"> tous les effets du </w:t>
      </w:r>
      <w:r w:rsidRPr="00B27419">
        <w:rPr>
          <w:lang w:val="fr-CA"/>
        </w:rPr>
        <w:t>fusionnement</w:t>
      </w:r>
      <w:r w:rsidRPr="00B27419">
        <w:rPr>
          <w:szCs w:val="24"/>
          <w:lang w:val="fr-CA"/>
        </w:rPr>
        <w:t>, réalisé ou proposé, sur ces entraves;</w:t>
      </w:r>
    </w:p>
    <w:p w:rsidR="005D54D2" w:rsidRPr="00B27419" w:rsidRDefault="005D54D2" w:rsidP="00B27419">
      <w:pPr>
        <w:tabs>
          <w:tab w:val="num" w:pos="1440"/>
        </w:tabs>
        <w:ind w:left="1530"/>
        <w:jc w:val="both"/>
        <w:rPr>
          <w:szCs w:val="24"/>
          <w:lang w:val="fr-CA"/>
        </w:rPr>
      </w:pPr>
    </w:p>
    <w:p w:rsidR="0039493A" w:rsidRPr="00B27419" w:rsidRDefault="0039493A" w:rsidP="00B27419">
      <w:pPr>
        <w:ind w:left="1530"/>
        <w:jc w:val="both"/>
        <w:rPr>
          <w:szCs w:val="24"/>
          <w:lang w:val="fr-CA"/>
        </w:rPr>
      </w:pPr>
      <w:r w:rsidRPr="00B27419">
        <w:rPr>
          <w:i/>
          <w:szCs w:val="24"/>
          <w:lang w:val="fr-CA"/>
        </w:rPr>
        <w:t>e</w:t>
      </w:r>
      <w:r w:rsidR="005D54D2" w:rsidRPr="00B27419">
        <w:rPr>
          <w:szCs w:val="24"/>
          <w:lang w:val="fr-CA"/>
        </w:rPr>
        <w:t xml:space="preserve">) </w:t>
      </w:r>
      <w:r w:rsidRPr="00B27419">
        <w:rPr>
          <w:szCs w:val="24"/>
          <w:lang w:val="fr-CA"/>
        </w:rPr>
        <w:t>la mesure dans laquelle il y a ou il y aurait encore de la concurrence réelle dans un marché qui est ou serait touché par le fusionnement réalisé ou proposé;</w:t>
      </w:r>
    </w:p>
    <w:p w:rsidR="005D54D2" w:rsidRPr="00B27419" w:rsidRDefault="005D54D2" w:rsidP="00B27419">
      <w:pPr>
        <w:ind w:left="1530"/>
        <w:jc w:val="both"/>
        <w:rPr>
          <w:szCs w:val="24"/>
          <w:lang w:val="fr-CA"/>
        </w:rPr>
      </w:pPr>
    </w:p>
    <w:p w:rsidR="0039493A" w:rsidRPr="00B27419" w:rsidRDefault="0039493A" w:rsidP="00B27419">
      <w:pPr>
        <w:ind w:left="1530"/>
        <w:jc w:val="both"/>
        <w:rPr>
          <w:szCs w:val="24"/>
          <w:lang w:val="fr-CA"/>
        </w:rPr>
      </w:pPr>
      <w:r w:rsidRPr="00B27419">
        <w:rPr>
          <w:i/>
          <w:szCs w:val="24"/>
          <w:lang w:val="fr-CA"/>
        </w:rPr>
        <w:t>f</w:t>
      </w:r>
      <w:r w:rsidR="005D54D2" w:rsidRPr="00B27419">
        <w:rPr>
          <w:szCs w:val="24"/>
          <w:lang w:val="fr-CA"/>
        </w:rPr>
        <w:t xml:space="preserve">) </w:t>
      </w:r>
      <w:r w:rsidRPr="00B27419">
        <w:rPr>
          <w:szCs w:val="24"/>
          <w:lang w:val="fr-CA"/>
        </w:rPr>
        <w:t>la possibilité que le fusionnement réalisé ou proposé entraîne ou puisse entraîner la disparition d’un concurrent dynamique et efficace;</w:t>
      </w:r>
    </w:p>
    <w:p w:rsidR="005D54D2" w:rsidRPr="00B27419" w:rsidRDefault="005D54D2" w:rsidP="00B27419">
      <w:pPr>
        <w:ind w:left="1530"/>
        <w:jc w:val="both"/>
        <w:rPr>
          <w:szCs w:val="24"/>
          <w:lang w:val="fr-CA"/>
        </w:rPr>
      </w:pPr>
    </w:p>
    <w:p w:rsidR="0039493A" w:rsidRPr="00B27419" w:rsidRDefault="0039493A" w:rsidP="00B27419">
      <w:pPr>
        <w:ind w:left="1530"/>
        <w:jc w:val="both"/>
        <w:rPr>
          <w:szCs w:val="24"/>
          <w:lang w:val="fr-CA"/>
        </w:rPr>
      </w:pPr>
      <w:r w:rsidRPr="00B27419">
        <w:rPr>
          <w:i/>
          <w:szCs w:val="24"/>
          <w:lang w:val="fr-CA"/>
        </w:rPr>
        <w:t>g</w:t>
      </w:r>
      <w:r w:rsidR="005D54D2" w:rsidRPr="00B27419">
        <w:rPr>
          <w:szCs w:val="24"/>
          <w:lang w:val="fr-CA"/>
        </w:rPr>
        <w:t xml:space="preserve">) </w:t>
      </w:r>
      <w:r w:rsidRPr="00B27419">
        <w:rPr>
          <w:szCs w:val="24"/>
          <w:lang w:val="fr-CA"/>
        </w:rPr>
        <w:t>la nature et la portée des changements et des innovations sur un marché pertinent;</w:t>
      </w:r>
    </w:p>
    <w:p w:rsidR="005D54D2" w:rsidRPr="00B27419" w:rsidRDefault="005D54D2" w:rsidP="00B27419">
      <w:pPr>
        <w:ind w:left="1530"/>
        <w:jc w:val="both"/>
        <w:rPr>
          <w:szCs w:val="24"/>
          <w:lang w:val="fr-CA"/>
        </w:rPr>
      </w:pPr>
    </w:p>
    <w:p w:rsidR="0039493A" w:rsidRPr="00B27419" w:rsidRDefault="0039493A" w:rsidP="00B27419">
      <w:pPr>
        <w:ind w:left="1530"/>
        <w:jc w:val="both"/>
        <w:rPr>
          <w:szCs w:val="24"/>
          <w:lang w:val="fr-CA"/>
        </w:rPr>
      </w:pPr>
      <w:r w:rsidRPr="00B27419">
        <w:rPr>
          <w:i/>
          <w:szCs w:val="24"/>
          <w:lang w:val="fr-CA"/>
        </w:rPr>
        <w:t>h</w:t>
      </w:r>
      <w:r w:rsidR="005D54D2" w:rsidRPr="00B27419">
        <w:rPr>
          <w:szCs w:val="24"/>
          <w:lang w:val="fr-CA"/>
        </w:rPr>
        <w:t xml:space="preserve">) </w:t>
      </w:r>
      <w:r w:rsidRPr="00B27419">
        <w:rPr>
          <w:szCs w:val="24"/>
          <w:lang w:val="fr-CA"/>
        </w:rPr>
        <w:t>tout autre facteur pertinent à la concurrence dans un marché qui est ou serait touché par le fusionnement réalisé ou proposé.</w:t>
      </w:r>
    </w:p>
    <w:p w:rsidR="005D54D2" w:rsidRPr="00B27419" w:rsidRDefault="005D54D2" w:rsidP="00B27419">
      <w:pPr>
        <w:ind w:left="1530"/>
        <w:jc w:val="both"/>
        <w:rPr>
          <w:szCs w:val="24"/>
          <w:lang w:val="fr-CA"/>
        </w:rPr>
      </w:pPr>
    </w:p>
    <w:p w:rsidR="0039493A" w:rsidRPr="00B27419" w:rsidRDefault="005D54D2" w:rsidP="00B27419">
      <w:pPr>
        <w:tabs>
          <w:tab w:val="left" w:pos="1530"/>
        </w:tabs>
        <w:ind w:left="1080"/>
        <w:jc w:val="both"/>
        <w:rPr>
          <w:szCs w:val="24"/>
          <w:lang w:val="fr-CA"/>
        </w:rPr>
      </w:pPr>
      <w:r w:rsidRPr="00B27419">
        <w:rPr>
          <w:b/>
          <w:bCs/>
          <w:szCs w:val="24"/>
          <w:lang w:val="fr-CA"/>
        </w:rPr>
        <w:tab/>
      </w:r>
      <w:r w:rsidR="0039493A" w:rsidRPr="00B27419">
        <w:rPr>
          <w:b/>
          <w:bCs/>
          <w:szCs w:val="24"/>
          <w:lang w:val="fr-CA"/>
        </w:rPr>
        <w:t>96.</w:t>
      </w:r>
      <w:r w:rsidR="00E6271F" w:rsidRPr="00B27419">
        <w:rPr>
          <w:szCs w:val="24"/>
          <w:lang w:val="fr-CA"/>
        </w:rPr>
        <w:t xml:space="preserve"> </w:t>
      </w:r>
      <w:r w:rsidR="0039493A" w:rsidRPr="00B27419">
        <w:rPr>
          <w:szCs w:val="24"/>
          <w:lang w:val="fr-CA"/>
        </w:rPr>
        <w:t>(1)</w:t>
      </w:r>
      <w:r w:rsidR="00E6271F" w:rsidRPr="00B27419">
        <w:rPr>
          <w:szCs w:val="24"/>
          <w:lang w:val="fr-CA"/>
        </w:rPr>
        <w:t xml:space="preserve"> </w:t>
      </w:r>
      <w:r w:rsidR="0039493A" w:rsidRPr="00B27419">
        <w:rPr>
          <w:szCs w:val="24"/>
          <w:lang w:val="fr-CA"/>
        </w:rPr>
        <w:t>Le Tribunal ne rend pas l’ordonnance prévue à l’article 92 dans les cas où il conclut que le fusionnement, réalisé ou proposé, qui fait l’objet de la demande a eu pour effet ou aura vraisemblablement pour effet d’entraîner des gains en efficience, que ces gains surpasseront et neutraliseront les effets de l’empêchement ou de la diminution de la concurrence qui résulteront ou résulteront vraisemblablement du fusionnement réalisé ou proposé et que ces gains ne seraient vraisemblablement pas réalisés si l’ordonnance était rendue.</w:t>
      </w:r>
    </w:p>
    <w:p w:rsidR="005D54D2" w:rsidRPr="00B27419" w:rsidRDefault="005D54D2" w:rsidP="00B27419">
      <w:pPr>
        <w:tabs>
          <w:tab w:val="left" w:pos="1530"/>
        </w:tabs>
        <w:ind w:left="1080"/>
        <w:jc w:val="both"/>
        <w:rPr>
          <w:szCs w:val="24"/>
          <w:lang w:val="fr-CA"/>
        </w:rPr>
      </w:pPr>
    </w:p>
    <w:p w:rsidR="0039493A" w:rsidRPr="00B27419" w:rsidRDefault="005D54D2" w:rsidP="00B27419">
      <w:pPr>
        <w:tabs>
          <w:tab w:val="left" w:pos="1530"/>
        </w:tabs>
        <w:ind w:left="1080"/>
        <w:jc w:val="both"/>
        <w:rPr>
          <w:szCs w:val="24"/>
          <w:lang w:val="fr-CA"/>
        </w:rPr>
      </w:pPr>
      <w:bookmarkStart w:id="130" w:name="art96par2"/>
      <w:bookmarkEnd w:id="130"/>
      <w:r w:rsidRPr="00B27419">
        <w:rPr>
          <w:szCs w:val="24"/>
          <w:lang w:val="fr-CA"/>
        </w:rPr>
        <w:tab/>
        <w:t xml:space="preserve">(2) </w:t>
      </w:r>
      <w:r w:rsidR="0039493A" w:rsidRPr="00B27419">
        <w:rPr>
          <w:szCs w:val="24"/>
          <w:lang w:val="fr-CA"/>
        </w:rPr>
        <w:t>Dans l’étude de la question de savoir si un fusionnement, réalisé ou proposé, entraînera vraisemblablement les gains en efficience visés au paragraphe (1), le Tribunal évalue si ces gains se traduiront</w:t>
      </w:r>
      <w:r w:rsidR="00E6271F" w:rsidRPr="00B27419">
        <w:rPr>
          <w:szCs w:val="24"/>
          <w:lang w:val="fr-CA"/>
        </w:rPr>
        <w:t> :</w:t>
      </w:r>
    </w:p>
    <w:p w:rsidR="005D54D2" w:rsidRPr="00B27419" w:rsidRDefault="005D54D2" w:rsidP="00B27419">
      <w:pPr>
        <w:tabs>
          <w:tab w:val="left" w:pos="1530"/>
        </w:tabs>
        <w:ind w:left="1080"/>
        <w:jc w:val="both"/>
        <w:rPr>
          <w:szCs w:val="24"/>
          <w:lang w:val="fr-CA"/>
        </w:rPr>
      </w:pPr>
    </w:p>
    <w:p w:rsidR="0039493A" w:rsidRPr="00B27419" w:rsidRDefault="0039493A" w:rsidP="00B27419">
      <w:pPr>
        <w:ind w:left="1530"/>
        <w:jc w:val="both"/>
        <w:rPr>
          <w:szCs w:val="24"/>
          <w:lang w:val="fr-CA"/>
        </w:rPr>
      </w:pPr>
      <w:r w:rsidRPr="00B27419">
        <w:rPr>
          <w:i/>
          <w:szCs w:val="24"/>
          <w:lang w:val="fr-CA"/>
        </w:rPr>
        <w:lastRenderedPageBreak/>
        <w:t>a</w:t>
      </w:r>
      <w:r w:rsidR="005D54D2" w:rsidRPr="00B27419">
        <w:rPr>
          <w:szCs w:val="24"/>
          <w:lang w:val="fr-CA"/>
        </w:rPr>
        <w:t xml:space="preserve">) </w:t>
      </w:r>
      <w:r w:rsidRPr="00B27419">
        <w:rPr>
          <w:szCs w:val="24"/>
          <w:lang w:val="fr-CA"/>
        </w:rPr>
        <w:t>soit en une augmentation relativement importante de la valeur réelle des exportations;</w:t>
      </w:r>
    </w:p>
    <w:p w:rsidR="005D54D2" w:rsidRPr="00B27419" w:rsidRDefault="005D54D2" w:rsidP="00B27419">
      <w:pPr>
        <w:ind w:left="1530"/>
        <w:jc w:val="both"/>
        <w:rPr>
          <w:szCs w:val="24"/>
          <w:lang w:val="fr-CA"/>
        </w:rPr>
      </w:pPr>
    </w:p>
    <w:p w:rsidR="0039493A" w:rsidRPr="00B27419" w:rsidRDefault="0039493A" w:rsidP="00B27419">
      <w:pPr>
        <w:ind w:left="1530"/>
        <w:jc w:val="both"/>
        <w:rPr>
          <w:szCs w:val="24"/>
          <w:lang w:val="fr-CA"/>
        </w:rPr>
      </w:pPr>
      <w:r w:rsidRPr="00B27419">
        <w:rPr>
          <w:i/>
          <w:szCs w:val="24"/>
          <w:lang w:val="fr-CA"/>
        </w:rPr>
        <w:t>b</w:t>
      </w:r>
      <w:r w:rsidR="005D54D2" w:rsidRPr="00B27419">
        <w:rPr>
          <w:szCs w:val="24"/>
          <w:lang w:val="fr-CA"/>
        </w:rPr>
        <w:t xml:space="preserve">) </w:t>
      </w:r>
      <w:r w:rsidRPr="00B27419">
        <w:rPr>
          <w:szCs w:val="24"/>
          <w:lang w:val="fr-CA"/>
        </w:rPr>
        <w:t>soit en une substitution relativement importante de produits nationaux à des produits étrangers.</w:t>
      </w:r>
    </w:p>
    <w:p w:rsidR="005D54D2" w:rsidRPr="00B27419" w:rsidRDefault="005D54D2" w:rsidP="00B27419">
      <w:pPr>
        <w:ind w:left="1530"/>
        <w:jc w:val="both"/>
        <w:rPr>
          <w:szCs w:val="24"/>
          <w:lang w:val="fr-CA"/>
        </w:rPr>
      </w:pPr>
    </w:p>
    <w:p w:rsidR="0039493A" w:rsidRPr="00B27419" w:rsidRDefault="005D54D2" w:rsidP="00B27419">
      <w:pPr>
        <w:tabs>
          <w:tab w:val="left" w:pos="1530"/>
        </w:tabs>
        <w:ind w:left="1080"/>
        <w:jc w:val="both"/>
        <w:rPr>
          <w:rFonts w:eastAsiaTheme="minorHAnsi"/>
          <w:szCs w:val="24"/>
          <w:u w:val="single"/>
          <w:lang w:val="fr-CA" w:eastAsia="en-US"/>
        </w:rPr>
      </w:pPr>
      <w:bookmarkStart w:id="131" w:name="art96par3"/>
      <w:bookmarkEnd w:id="131"/>
      <w:r w:rsidRPr="00B27419">
        <w:rPr>
          <w:szCs w:val="24"/>
          <w:lang w:val="fr-CA"/>
        </w:rPr>
        <w:tab/>
        <w:t xml:space="preserve">(3) </w:t>
      </w:r>
      <w:r w:rsidR="0039493A" w:rsidRPr="00B27419">
        <w:rPr>
          <w:szCs w:val="24"/>
          <w:lang w:val="fr-CA"/>
        </w:rPr>
        <w:t>Pour l’application du présent article, le Tribunal ne conclut pas, en raison seulement d’une redistribution de revenu entre plusieurs personnes, qu’un fusionnement réalisé ou proposé a entraîné ou entraînera vraisemblablement des gains en efficience.</w:t>
      </w:r>
    </w:p>
    <w:p w:rsidR="0039493A" w:rsidRPr="00B27419" w:rsidRDefault="0039493A" w:rsidP="00B27419">
      <w:pPr>
        <w:rPr>
          <w:lang w:val="fr-CA"/>
        </w:rPr>
      </w:pPr>
    </w:p>
    <w:p w:rsidR="0039493A" w:rsidRPr="00B27419" w:rsidRDefault="0039493A" w:rsidP="00B27419">
      <w:pPr>
        <w:pStyle w:val="SCCNormalDoubleSpacing"/>
        <w:spacing w:before="480" w:after="480"/>
        <w:rPr>
          <w:lang w:val="fr-CA"/>
        </w:rPr>
      </w:pPr>
      <w:r w:rsidRPr="00B27419">
        <w:rPr>
          <w:lang w:val="fr-CA"/>
        </w:rPr>
        <w:tab/>
      </w:r>
      <w:r w:rsidRPr="00B27419">
        <w:rPr>
          <w:i/>
          <w:lang w:val="fr-CA"/>
        </w:rPr>
        <w:t xml:space="preserve">Pourvoi accueilli avec dépens, la juge </w:t>
      </w:r>
      <w:proofErr w:type="spellStart"/>
      <w:r w:rsidRPr="00B27419">
        <w:rPr>
          <w:smallCaps/>
          <w:lang w:val="fr-CA"/>
        </w:rPr>
        <w:t>Karakatsanis</w:t>
      </w:r>
      <w:proofErr w:type="spellEnd"/>
      <w:r w:rsidRPr="00B27419">
        <w:rPr>
          <w:i/>
          <w:lang w:val="fr-CA"/>
        </w:rPr>
        <w:t xml:space="preserve"> est dissidente.</w:t>
      </w:r>
    </w:p>
    <w:p w:rsidR="0039493A" w:rsidRPr="00B27419" w:rsidRDefault="0039493A" w:rsidP="00B27419">
      <w:pPr>
        <w:pStyle w:val="SCCLawFirm"/>
        <w:spacing w:before="480" w:after="480"/>
        <w:rPr>
          <w:lang w:val="fr-CA"/>
        </w:rPr>
      </w:pPr>
      <w:r w:rsidRPr="00B27419">
        <w:rPr>
          <w:lang w:val="fr-CA"/>
        </w:rPr>
        <w:tab/>
        <w:t>Procureurs des appelantes</w:t>
      </w:r>
      <w:r w:rsidR="00E6271F" w:rsidRPr="00B27419">
        <w:rPr>
          <w:lang w:val="fr-CA"/>
        </w:rPr>
        <w:t xml:space="preserve"> : </w:t>
      </w:r>
      <w:r w:rsidRPr="00B27419">
        <w:rPr>
          <w:lang w:val="fr-CA"/>
        </w:rPr>
        <w:t>Torys, Toronto.</w:t>
      </w:r>
    </w:p>
    <w:p w:rsidR="0039493A" w:rsidRPr="00B27419" w:rsidRDefault="0039493A" w:rsidP="00B27419">
      <w:pPr>
        <w:pStyle w:val="SCCLawFirm"/>
        <w:rPr>
          <w:lang w:val="fr-CA"/>
        </w:rPr>
      </w:pPr>
      <w:r w:rsidRPr="00B27419">
        <w:rPr>
          <w:lang w:val="fr-CA"/>
        </w:rPr>
        <w:tab/>
        <w:t>Procureur de l’intimé</w:t>
      </w:r>
      <w:r w:rsidR="00E6271F" w:rsidRPr="00B27419">
        <w:rPr>
          <w:lang w:val="fr-CA"/>
        </w:rPr>
        <w:t xml:space="preserve"> : </w:t>
      </w:r>
      <w:r w:rsidRPr="00B27419">
        <w:rPr>
          <w:lang w:val="fr-CA"/>
        </w:rPr>
        <w:t>Procureur général du Canada, Ottawa.</w:t>
      </w:r>
    </w:p>
    <w:p w:rsidR="0039493A" w:rsidRPr="00B27419" w:rsidRDefault="0039493A" w:rsidP="00B27419">
      <w:pPr>
        <w:pStyle w:val="SCCNormalDoubleSpacing"/>
        <w:rPr>
          <w:lang w:val="fr-CA"/>
        </w:rPr>
      </w:pPr>
    </w:p>
    <w:sectPr w:rsidR="0039493A" w:rsidRPr="00B27419" w:rsidSect="00B43B07">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3A" w:rsidRDefault="000C5B3A" w:rsidP="0039493A">
      <w:r>
        <w:separator/>
      </w:r>
    </w:p>
  </w:endnote>
  <w:endnote w:type="continuationSeparator" w:id="0">
    <w:p w:rsidR="000C5B3A" w:rsidRDefault="000C5B3A" w:rsidP="003949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3A" w:rsidRDefault="000C5B3A" w:rsidP="0039493A">
      <w:r>
        <w:separator/>
      </w:r>
    </w:p>
  </w:footnote>
  <w:footnote w:type="continuationSeparator" w:id="0">
    <w:p w:rsidR="000C5B3A" w:rsidRDefault="000C5B3A" w:rsidP="0039493A">
      <w:r>
        <w:continuationSeparator/>
      </w:r>
    </w:p>
  </w:footnote>
  <w:footnote w:id="1">
    <w:p w:rsidR="000C5B3A" w:rsidRPr="00D977F0" w:rsidRDefault="000C5B3A" w:rsidP="0039493A">
      <w:pPr>
        <w:pStyle w:val="FootnoteText"/>
        <w:rPr>
          <w:lang w:val="fr-CA"/>
        </w:rPr>
      </w:pPr>
      <w:r>
        <w:rPr>
          <w:rStyle w:val="FootnoteReference"/>
        </w:rPr>
        <w:footnoteRef/>
      </w:r>
      <w:r w:rsidRPr="0007394C">
        <w:rPr>
          <w:lang w:val="fr-CA"/>
        </w:rPr>
        <w:t xml:space="preserve"> </w:t>
      </w:r>
      <w:r>
        <w:rPr>
          <w:lang w:val="fr-CA"/>
        </w:rPr>
        <w:t>Le juge en chef Crampton est juge du Tribunal de la concurrence et juge en chef de la Cour fédérale.</w:t>
      </w:r>
    </w:p>
  </w:footnote>
  <w:footnote w:id="2">
    <w:p w:rsidR="000C5B3A" w:rsidRPr="007D1AC0" w:rsidRDefault="000C5B3A" w:rsidP="009264BA">
      <w:pPr>
        <w:pStyle w:val="FootnoteText"/>
        <w:ind w:left="180" w:hanging="180"/>
        <w:jc w:val="both"/>
        <w:rPr>
          <w:lang w:val="fr-CA"/>
        </w:rPr>
      </w:pPr>
      <w:r>
        <w:rPr>
          <w:rStyle w:val="FootnoteReference"/>
        </w:rPr>
        <w:footnoteRef/>
      </w:r>
      <w:r w:rsidRPr="007D1AC0">
        <w:rPr>
          <w:lang w:val="fr-CA"/>
        </w:rPr>
        <w:t xml:space="preserve"> </w:t>
      </w:r>
      <w:r>
        <w:rPr>
          <w:lang w:val="fr-CA"/>
        </w:rPr>
        <w:tab/>
      </w:r>
      <w:r w:rsidRPr="007D1AC0">
        <w:rPr>
          <w:lang w:val="fr-CA"/>
        </w:rPr>
        <w:t xml:space="preserve">Voir </w:t>
      </w:r>
      <w:r w:rsidRPr="007D1AC0">
        <w:rPr>
          <w:i/>
          <w:iCs/>
          <w:lang w:val="fr-CA"/>
        </w:rPr>
        <w:t>Rogers Communications Inc. c. Société canadienne des auteurs, compositeurs et éditeurs de musique</w:t>
      </w:r>
      <w:r w:rsidRPr="007D1AC0">
        <w:rPr>
          <w:lang w:val="fr-CA"/>
        </w:rPr>
        <w:t>, [2012] 2 R.C.S. 283.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3A" w:rsidRPr="00450352" w:rsidRDefault="000C5B3A" w:rsidP="00B43B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C30"/>
    <w:multiLevelType w:val="hybridMultilevel"/>
    <w:tmpl w:val="621C37B8"/>
    <w:lvl w:ilvl="0" w:tplc="CA90A28C">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97A353A"/>
    <w:multiLevelType w:val="hybridMultilevel"/>
    <w:tmpl w:val="50E0F4DE"/>
    <w:lvl w:ilvl="0" w:tplc="10090001">
      <w:start w:val="1"/>
      <w:numFmt w:val="bullet"/>
      <w:lvlText w:val=""/>
      <w:lvlJc w:val="left"/>
      <w:pPr>
        <w:ind w:left="1935" w:hanging="360"/>
      </w:pPr>
      <w:rPr>
        <w:rFonts w:ascii="Symbol" w:hAnsi="Symbol" w:hint="default"/>
      </w:rPr>
    </w:lvl>
    <w:lvl w:ilvl="1" w:tplc="10090003" w:tentative="1">
      <w:start w:val="1"/>
      <w:numFmt w:val="bullet"/>
      <w:lvlText w:val="o"/>
      <w:lvlJc w:val="left"/>
      <w:pPr>
        <w:ind w:left="2655" w:hanging="360"/>
      </w:pPr>
      <w:rPr>
        <w:rFonts w:ascii="Courier New" w:hAnsi="Courier New" w:cs="Courier New" w:hint="default"/>
      </w:rPr>
    </w:lvl>
    <w:lvl w:ilvl="2" w:tplc="10090005" w:tentative="1">
      <w:start w:val="1"/>
      <w:numFmt w:val="bullet"/>
      <w:lvlText w:val=""/>
      <w:lvlJc w:val="left"/>
      <w:pPr>
        <w:ind w:left="3375" w:hanging="360"/>
      </w:pPr>
      <w:rPr>
        <w:rFonts w:ascii="Wingdings" w:hAnsi="Wingdings" w:hint="default"/>
      </w:rPr>
    </w:lvl>
    <w:lvl w:ilvl="3" w:tplc="10090001" w:tentative="1">
      <w:start w:val="1"/>
      <w:numFmt w:val="bullet"/>
      <w:lvlText w:val=""/>
      <w:lvlJc w:val="left"/>
      <w:pPr>
        <w:ind w:left="4095" w:hanging="360"/>
      </w:pPr>
      <w:rPr>
        <w:rFonts w:ascii="Symbol" w:hAnsi="Symbol" w:hint="default"/>
      </w:rPr>
    </w:lvl>
    <w:lvl w:ilvl="4" w:tplc="10090003" w:tentative="1">
      <w:start w:val="1"/>
      <w:numFmt w:val="bullet"/>
      <w:lvlText w:val="o"/>
      <w:lvlJc w:val="left"/>
      <w:pPr>
        <w:ind w:left="4815" w:hanging="360"/>
      </w:pPr>
      <w:rPr>
        <w:rFonts w:ascii="Courier New" w:hAnsi="Courier New" w:cs="Courier New" w:hint="default"/>
      </w:rPr>
    </w:lvl>
    <w:lvl w:ilvl="5" w:tplc="10090005" w:tentative="1">
      <w:start w:val="1"/>
      <w:numFmt w:val="bullet"/>
      <w:lvlText w:val=""/>
      <w:lvlJc w:val="left"/>
      <w:pPr>
        <w:ind w:left="5535" w:hanging="360"/>
      </w:pPr>
      <w:rPr>
        <w:rFonts w:ascii="Wingdings" w:hAnsi="Wingdings" w:hint="default"/>
      </w:rPr>
    </w:lvl>
    <w:lvl w:ilvl="6" w:tplc="10090001" w:tentative="1">
      <w:start w:val="1"/>
      <w:numFmt w:val="bullet"/>
      <w:lvlText w:val=""/>
      <w:lvlJc w:val="left"/>
      <w:pPr>
        <w:ind w:left="6255" w:hanging="360"/>
      </w:pPr>
      <w:rPr>
        <w:rFonts w:ascii="Symbol" w:hAnsi="Symbol" w:hint="default"/>
      </w:rPr>
    </w:lvl>
    <w:lvl w:ilvl="7" w:tplc="10090003" w:tentative="1">
      <w:start w:val="1"/>
      <w:numFmt w:val="bullet"/>
      <w:lvlText w:val="o"/>
      <w:lvlJc w:val="left"/>
      <w:pPr>
        <w:ind w:left="6975" w:hanging="360"/>
      </w:pPr>
      <w:rPr>
        <w:rFonts w:ascii="Courier New" w:hAnsi="Courier New" w:cs="Courier New" w:hint="default"/>
      </w:rPr>
    </w:lvl>
    <w:lvl w:ilvl="8" w:tplc="10090005" w:tentative="1">
      <w:start w:val="1"/>
      <w:numFmt w:val="bullet"/>
      <w:lvlText w:val=""/>
      <w:lvlJc w:val="left"/>
      <w:pPr>
        <w:ind w:left="7695" w:hanging="360"/>
      </w:pPr>
      <w:rPr>
        <w:rFonts w:ascii="Wingdings" w:hAnsi="Wingdings" w:hint="default"/>
      </w:rPr>
    </w:lvl>
  </w:abstractNum>
  <w:abstractNum w:abstractNumId="2">
    <w:nsid w:val="0E1739AA"/>
    <w:multiLevelType w:val="hybridMultilevel"/>
    <w:tmpl w:val="BFD28628"/>
    <w:lvl w:ilvl="0" w:tplc="CA90A28C">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CC90BF2"/>
    <w:multiLevelType w:val="hybridMultilevel"/>
    <w:tmpl w:val="038ECE4C"/>
    <w:lvl w:ilvl="0" w:tplc="1660BC0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1F72161C"/>
    <w:multiLevelType w:val="hybridMultilevel"/>
    <w:tmpl w:val="31CA9FBC"/>
    <w:lvl w:ilvl="0" w:tplc="6D12CF52">
      <w:start w:val="1"/>
      <w:numFmt w:val="lowerLetter"/>
      <w:lvlText w:val="%1)"/>
      <w:lvlJc w:val="left"/>
      <w:pPr>
        <w:ind w:left="927" w:hanging="360"/>
      </w:pPr>
      <w:rPr>
        <w:rFonts w:hint="default"/>
        <w:b w:val="0"/>
        <w:i/>
      </w:rPr>
    </w:lvl>
    <w:lvl w:ilvl="1" w:tplc="2EE8CCE6">
      <w:start w:val="1"/>
      <w:numFmt w:val="lowerLetter"/>
      <w:lvlText w:val="%2)"/>
      <w:lvlJc w:val="left"/>
      <w:pPr>
        <w:ind w:left="960" w:hanging="360"/>
      </w:pPr>
      <w:rPr>
        <w:rFonts w:hint="default"/>
        <w:b w:val="0"/>
        <w:i/>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51874CB"/>
    <w:multiLevelType w:val="hybridMultilevel"/>
    <w:tmpl w:val="05563864"/>
    <w:lvl w:ilvl="0" w:tplc="C3843DB8">
      <w:start w:val="1"/>
      <w:numFmt w:val="lowerLetter"/>
      <w:lvlText w:val="%1)"/>
      <w:lvlJc w:val="left"/>
      <w:pPr>
        <w:ind w:left="360" w:hanging="360"/>
      </w:pPr>
      <w:rPr>
        <w:rFonts w:hint="default"/>
        <w:b w:val="0"/>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4603130A"/>
    <w:multiLevelType w:val="multilevel"/>
    <w:tmpl w:val="8E0E155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Letter"/>
      <w:pStyle w:val="Title5LevelTitre5Niveau"/>
      <w:lvlText w:val="%5)"/>
      <w:lvlJc w:val="left"/>
      <w:pPr>
        <w:tabs>
          <w:tab w:val="num" w:pos="6912"/>
        </w:tabs>
        <w:ind w:left="6912" w:hanging="432"/>
      </w:pPr>
      <w:rPr>
        <w:rFonts w:hint="default"/>
        <w:i w:val="0"/>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nsid w:val="52E67B9C"/>
    <w:multiLevelType w:val="hybridMultilevel"/>
    <w:tmpl w:val="8792797C"/>
    <w:lvl w:ilvl="0" w:tplc="4464015C">
      <w:start w:val="1"/>
      <w:numFmt w:val="lowerLetter"/>
      <w:lvlText w:val="%1)"/>
      <w:lvlJc w:val="left"/>
      <w:pPr>
        <w:ind w:left="360" w:hanging="360"/>
      </w:pPr>
      <w:rPr>
        <w:rFonts w:hint="default"/>
        <w:b w:val="0"/>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54283EE8"/>
    <w:multiLevelType w:val="multilevel"/>
    <w:tmpl w:val="3EACB4E8"/>
    <w:lvl w:ilvl="0">
      <w:start w:val="1"/>
      <w:numFmt w:val="decimal"/>
      <w:pStyle w:val="ParaNoNdepar-AltN"/>
      <w:lvlText w:val="[%1]"/>
      <w:lvlJc w:val="left"/>
      <w:pPr>
        <w:tabs>
          <w:tab w:val="num" w:pos="1294"/>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55D757E"/>
    <w:multiLevelType w:val="hybridMultilevel"/>
    <w:tmpl w:val="4DDEC604"/>
    <w:lvl w:ilvl="0" w:tplc="CA90A28C">
      <w:start w:val="1"/>
      <w:numFmt w:val="lowerRoman"/>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702759A8"/>
    <w:multiLevelType w:val="hybridMultilevel"/>
    <w:tmpl w:val="F5CAFFF8"/>
    <w:lvl w:ilvl="0" w:tplc="BDA6FA8E">
      <w:start w:val="1"/>
      <w:numFmt w:val="lowerLetter"/>
      <w:lvlText w:val="%1)"/>
      <w:lvlJc w:val="left"/>
      <w:pPr>
        <w:ind w:left="360" w:hanging="360"/>
      </w:pPr>
      <w:rPr>
        <w:rFonts w:hint="default"/>
        <w:b w:val="0"/>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60786912">
      <w:start w:val="1"/>
      <w:numFmt w:val="lowerRoman"/>
      <w:lvlText w:val="%5."/>
      <w:lvlJc w:val="right"/>
      <w:pPr>
        <w:ind w:left="3240" w:hanging="360"/>
      </w:pPr>
      <w:rPr>
        <w:i w:val="0"/>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70D85021"/>
    <w:multiLevelType w:val="multilevel"/>
    <w:tmpl w:val="8CBA65FC"/>
    <w:lvl w:ilvl="0">
      <w:start w:val="1"/>
      <w:numFmt w:val="decimal"/>
      <w:lvlText w:val="[%1]"/>
      <w:lvlJc w:val="left"/>
      <w:pPr>
        <w:tabs>
          <w:tab w:val="num" w:pos="1294"/>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6"/>
  </w:num>
  <w:num w:numId="3">
    <w:abstractNumId w:val="7"/>
  </w:num>
  <w:num w:numId="4">
    <w:abstractNumId w:val="2"/>
  </w:num>
  <w:num w:numId="5">
    <w:abstractNumId w:val="9"/>
  </w:num>
  <w:num w:numId="6">
    <w:abstractNumId w:val="3"/>
  </w:num>
  <w:num w:numId="7">
    <w:abstractNumId w:val="10"/>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4"/>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536D5"/>
    <w:rsid w:val="00000E1C"/>
    <w:rsid w:val="000017E9"/>
    <w:rsid w:val="00004BE5"/>
    <w:rsid w:val="00010080"/>
    <w:rsid w:val="00010E93"/>
    <w:rsid w:val="00011371"/>
    <w:rsid w:val="00011C46"/>
    <w:rsid w:val="00013F1C"/>
    <w:rsid w:val="00015F6D"/>
    <w:rsid w:val="00016078"/>
    <w:rsid w:val="00017094"/>
    <w:rsid w:val="00020CC2"/>
    <w:rsid w:val="0002338B"/>
    <w:rsid w:val="00025FF1"/>
    <w:rsid w:val="00027773"/>
    <w:rsid w:val="00031B08"/>
    <w:rsid w:val="00032600"/>
    <w:rsid w:val="00032A3E"/>
    <w:rsid w:val="000366C8"/>
    <w:rsid w:val="00036A7E"/>
    <w:rsid w:val="00036FBC"/>
    <w:rsid w:val="00040D63"/>
    <w:rsid w:val="00044BFC"/>
    <w:rsid w:val="00047190"/>
    <w:rsid w:val="00047295"/>
    <w:rsid w:val="0004737D"/>
    <w:rsid w:val="00047BED"/>
    <w:rsid w:val="00050A6A"/>
    <w:rsid w:val="000518E8"/>
    <w:rsid w:val="000520DD"/>
    <w:rsid w:val="00053847"/>
    <w:rsid w:val="00053DC8"/>
    <w:rsid w:val="00054267"/>
    <w:rsid w:val="000579B2"/>
    <w:rsid w:val="000614F0"/>
    <w:rsid w:val="00062B92"/>
    <w:rsid w:val="00066011"/>
    <w:rsid w:val="000679A8"/>
    <w:rsid w:val="00067F38"/>
    <w:rsid w:val="0007117B"/>
    <w:rsid w:val="00071731"/>
    <w:rsid w:val="000724A8"/>
    <w:rsid w:val="00073921"/>
    <w:rsid w:val="0007393A"/>
    <w:rsid w:val="0007509A"/>
    <w:rsid w:val="000750F5"/>
    <w:rsid w:val="00076992"/>
    <w:rsid w:val="00077843"/>
    <w:rsid w:val="000816A4"/>
    <w:rsid w:val="0008207F"/>
    <w:rsid w:val="00082784"/>
    <w:rsid w:val="00083144"/>
    <w:rsid w:val="00083A63"/>
    <w:rsid w:val="0008592D"/>
    <w:rsid w:val="000864DC"/>
    <w:rsid w:val="00087ABC"/>
    <w:rsid w:val="00091D31"/>
    <w:rsid w:val="000952C5"/>
    <w:rsid w:val="00095A2E"/>
    <w:rsid w:val="00096CF2"/>
    <w:rsid w:val="000A5FFE"/>
    <w:rsid w:val="000A6131"/>
    <w:rsid w:val="000A69D0"/>
    <w:rsid w:val="000B0046"/>
    <w:rsid w:val="000B1CF3"/>
    <w:rsid w:val="000B209A"/>
    <w:rsid w:val="000B2799"/>
    <w:rsid w:val="000B3033"/>
    <w:rsid w:val="000B421C"/>
    <w:rsid w:val="000B42EA"/>
    <w:rsid w:val="000B54F7"/>
    <w:rsid w:val="000B625B"/>
    <w:rsid w:val="000C0097"/>
    <w:rsid w:val="000C02A5"/>
    <w:rsid w:val="000C5209"/>
    <w:rsid w:val="000C5B3A"/>
    <w:rsid w:val="000D0302"/>
    <w:rsid w:val="000D2356"/>
    <w:rsid w:val="000D3034"/>
    <w:rsid w:val="000D57F5"/>
    <w:rsid w:val="000E3543"/>
    <w:rsid w:val="000E4936"/>
    <w:rsid w:val="000F0AFE"/>
    <w:rsid w:val="000F0C3E"/>
    <w:rsid w:val="000F330E"/>
    <w:rsid w:val="000F3B8D"/>
    <w:rsid w:val="000F4124"/>
    <w:rsid w:val="000F695E"/>
    <w:rsid w:val="0010174D"/>
    <w:rsid w:val="00102052"/>
    <w:rsid w:val="00103879"/>
    <w:rsid w:val="00105667"/>
    <w:rsid w:val="001057E1"/>
    <w:rsid w:val="001061E3"/>
    <w:rsid w:val="00107160"/>
    <w:rsid w:val="0011058C"/>
    <w:rsid w:val="001106D4"/>
    <w:rsid w:val="001122B2"/>
    <w:rsid w:val="00112464"/>
    <w:rsid w:val="00115C4C"/>
    <w:rsid w:val="00116D00"/>
    <w:rsid w:val="00116FCF"/>
    <w:rsid w:val="001209A5"/>
    <w:rsid w:val="00121D4E"/>
    <w:rsid w:val="00125351"/>
    <w:rsid w:val="0013030C"/>
    <w:rsid w:val="001342FB"/>
    <w:rsid w:val="0013481D"/>
    <w:rsid w:val="001355B2"/>
    <w:rsid w:val="001355D0"/>
    <w:rsid w:val="00137C6B"/>
    <w:rsid w:val="00137D6A"/>
    <w:rsid w:val="00142BB0"/>
    <w:rsid w:val="00142DDD"/>
    <w:rsid w:val="00145655"/>
    <w:rsid w:val="00147A8C"/>
    <w:rsid w:val="00150E8F"/>
    <w:rsid w:val="001511E2"/>
    <w:rsid w:val="001576C5"/>
    <w:rsid w:val="00157E8B"/>
    <w:rsid w:val="00160E84"/>
    <w:rsid w:val="001626F9"/>
    <w:rsid w:val="00165A08"/>
    <w:rsid w:val="001678A2"/>
    <w:rsid w:val="00172B8D"/>
    <w:rsid w:val="00173CCE"/>
    <w:rsid w:val="00174EF2"/>
    <w:rsid w:val="00176EB1"/>
    <w:rsid w:val="00180FAE"/>
    <w:rsid w:val="00183AB5"/>
    <w:rsid w:val="00183E5B"/>
    <w:rsid w:val="001845B0"/>
    <w:rsid w:val="00185D8F"/>
    <w:rsid w:val="00190376"/>
    <w:rsid w:val="00190422"/>
    <w:rsid w:val="001917C7"/>
    <w:rsid w:val="0019691E"/>
    <w:rsid w:val="001A0567"/>
    <w:rsid w:val="001A0FB5"/>
    <w:rsid w:val="001A104F"/>
    <w:rsid w:val="001A10BC"/>
    <w:rsid w:val="001A3EB6"/>
    <w:rsid w:val="001A5BA6"/>
    <w:rsid w:val="001A6FB9"/>
    <w:rsid w:val="001A7D84"/>
    <w:rsid w:val="001B0310"/>
    <w:rsid w:val="001B2197"/>
    <w:rsid w:val="001B2ABF"/>
    <w:rsid w:val="001B31ED"/>
    <w:rsid w:val="001B36BF"/>
    <w:rsid w:val="001B63FE"/>
    <w:rsid w:val="001C05C3"/>
    <w:rsid w:val="001C0BD8"/>
    <w:rsid w:val="001C25DA"/>
    <w:rsid w:val="001C28D4"/>
    <w:rsid w:val="001C3097"/>
    <w:rsid w:val="001C50A0"/>
    <w:rsid w:val="001C58F9"/>
    <w:rsid w:val="001C7ECC"/>
    <w:rsid w:val="001D0004"/>
    <w:rsid w:val="001D02BE"/>
    <w:rsid w:val="001D0922"/>
    <w:rsid w:val="001D1DC4"/>
    <w:rsid w:val="001D2135"/>
    <w:rsid w:val="001D2625"/>
    <w:rsid w:val="001D27D7"/>
    <w:rsid w:val="001D5BA5"/>
    <w:rsid w:val="001D62FA"/>
    <w:rsid w:val="001E0C3D"/>
    <w:rsid w:val="001E0D98"/>
    <w:rsid w:val="001E2ADB"/>
    <w:rsid w:val="001E47AB"/>
    <w:rsid w:val="001E60CF"/>
    <w:rsid w:val="001E625E"/>
    <w:rsid w:val="001E71AF"/>
    <w:rsid w:val="001F0621"/>
    <w:rsid w:val="001F6648"/>
    <w:rsid w:val="001F70F6"/>
    <w:rsid w:val="001F7BB3"/>
    <w:rsid w:val="002002C3"/>
    <w:rsid w:val="002012C2"/>
    <w:rsid w:val="0020509A"/>
    <w:rsid w:val="002059BB"/>
    <w:rsid w:val="00210C59"/>
    <w:rsid w:val="002139BB"/>
    <w:rsid w:val="0021458C"/>
    <w:rsid w:val="00214F4A"/>
    <w:rsid w:val="00215BE5"/>
    <w:rsid w:val="00216A94"/>
    <w:rsid w:val="00217496"/>
    <w:rsid w:val="00220A6F"/>
    <w:rsid w:val="00221677"/>
    <w:rsid w:val="00222145"/>
    <w:rsid w:val="00222398"/>
    <w:rsid w:val="0022535E"/>
    <w:rsid w:val="00225857"/>
    <w:rsid w:val="00225F90"/>
    <w:rsid w:val="002260DF"/>
    <w:rsid w:val="002260FF"/>
    <w:rsid w:val="00230459"/>
    <w:rsid w:val="002304CD"/>
    <w:rsid w:val="002308F9"/>
    <w:rsid w:val="00234EB1"/>
    <w:rsid w:val="00236FF5"/>
    <w:rsid w:val="00241BB8"/>
    <w:rsid w:val="00242E70"/>
    <w:rsid w:val="00243822"/>
    <w:rsid w:val="00243BDC"/>
    <w:rsid w:val="00243C2B"/>
    <w:rsid w:val="00245402"/>
    <w:rsid w:val="00246469"/>
    <w:rsid w:val="00246A7F"/>
    <w:rsid w:val="00247ECF"/>
    <w:rsid w:val="00251886"/>
    <w:rsid w:val="0025221F"/>
    <w:rsid w:val="002537C9"/>
    <w:rsid w:val="00254121"/>
    <w:rsid w:val="00256F50"/>
    <w:rsid w:val="002600A7"/>
    <w:rsid w:val="002610A3"/>
    <w:rsid w:val="002634C5"/>
    <w:rsid w:val="00263AEA"/>
    <w:rsid w:val="00265E5A"/>
    <w:rsid w:val="00267A87"/>
    <w:rsid w:val="00271494"/>
    <w:rsid w:val="00272DED"/>
    <w:rsid w:val="00274C6A"/>
    <w:rsid w:val="00275325"/>
    <w:rsid w:val="002768AE"/>
    <w:rsid w:val="002816D5"/>
    <w:rsid w:val="002820B3"/>
    <w:rsid w:val="00282135"/>
    <w:rsid w:val="00283CDB"/>
    <w:rsid w:val="00286BCA"/>
    <w:rsid w:val="00291A1E"/>
    <w:rsid w:val="0029248B"/>
    <w:rsid w:val="00292ED2"/>
    <w:rsid w:val="00293A64"/>
    <w:rsid w:val="00295F78"/>
    <w:rsid w:val="00297115"/>
    <w:rsid w:val="002A0198"/>
    <w:rsid w:val="002A29A7"/>
    <w:rsid w:val="002B267D"/>
    <w:rsid w:val="002B2A90"/>
    <w:rsid w:val="002B345C"/>
    <w:rsid w:val="002B41E5"/>
    <w:rsid w:val="002B77DB"/>
    <w:rsid w:val="002C118A"/>
    <w:rsid w:val="002C2E91"/>
    <w:rsid w:val="002C59D4"/>
    <w:rsid w:val="002C6123"/>
    <w:rsid w:val="002C645F"/>
    <w:rsid w:val="002C6AE9"/>
    <w:rsid w:val="002C6F04"/>
    <w:rsid w:val="002D1513"/>
    <w:rsid w:val="002D3A95"/>
    <w:rsid w:val="002D670E"/>
    <w:rsid w:val="002D7C83"/>
    <w:rsid w:val="002E03D4"/>
    <w:rsid w:val="002E0BD3"/>
    <w:rsid w:val="002E13D0"/>
    <w:rsid w:val="002E2088"/>
    <w:rsid w:val="002E2584"/>
    <w:rsid w:val="002E37E4"/>
    <w:rsid w:val="002E4630"/>
    <w:rsid w:val="002E7345"/>
    <w:rsid w:val="002E7CE1"/>
    <w:rsid w:val="002F0FBA"/>
    <w:rsid w:val="002F3A4D"/>
    <w:rsid w:val="002F437C"/>
    <w:rsid w:val="002F6C5E"/>
    <w:rsid w:val="00303A1D"/>
    <w:rsid w:val="00303B3E"/>
    <w:rsid w:val="003045AC"/>
    <w:rsid w:val="003049C5"/>
    <w:rsid w:val="0030585A"/>
    <w:rsid w:val="00311F36"/>
    <w:rsid w:val="00315EDD"/>
    <w:rsid w:val="0031641C"/>
    <w:rsid w:val="003206C7"/>
    <w:rsid w:val="00325595"/>
    <w:rsid w:val="003265A2"/>
    <w:rsid w:val="00330696"/>
    <w:rsid w:val="00331CA2"/>
    <w:rsid w:val="003329BF"/>
    <w:rsid w:val="003335F5"/>
    <w:rsid w:val="003341EE"/>
    <w:rsid w:val="003351A0"/>
    <w:rsid w:val="00337B0C"/>
    <w:rsid w:val="00337CC4"/>
    <w:rsid w:val="00337DC3"/>
    <w:rsid w:val="00337DDF"/>
    <w:rsid w:val="003400A7"/>
    <w:rsid w:val="0034057A"/>
    <w:rsid w:val="00341D2F"/>
    <w:rsid w:val="00343DC0"/>
    <w:rsid w:val="00351456"/>
    <w:rsid w:val="00351681"/>
    <w:rsid w:val="00352090"/>
    <w:rsid w:val="003536D5"/>
    <w:rsid w:val="003567F8"/>
    <w:rsid w:val="00361CDA"/>
    <w:rsid w:val="00362D88"/>
    <w:rsid w:val="00363FC8"/>
    <w:rsid w:val="00367D99"/>
    <w:rsid w:val="00370F3D"/>
    <w:rsid w:val="003730D0"/>
    <w:rsid w:val="003731FC"/>
    <w:rsid w:val="0037718E"/>
    <w:rsid w:val="00381C38"/>
    <w:rsid w:val="0038377D"/>
    <w:rsid w:val="00384EC5"/>
    <w:rsid w:val="00386975"/>
    <w:rsid w:val="00387120"/>
    <w:rsid w:val="0038746D"/>
    <w:rsid w:val="00392B95"/>
    <w:rsid w:val="0039338C"/>
    <w:rsid w:val="00393B08"/>
    <w:rsid w:val="00393D37"/>
    <w:rsid w:val="0039493A"/>
    <w:rsid w:val="00394DEC"/>
    <w:rsid w:val="00395606"/>
    <w:rsid w:val="003A031B"/>
    <w:rsid w:val="003A11AE"/>
    <w:rsid w:val="003A453B"/>
    <w:rsid w:val="003B3F96"/>
    <w:rsid w:val="003C0894"/>
    <w:rsid w:val="003C0F67"/>
    <w:rsid w:val="003C2F3E"/>
    <w:rsid w:val="003C39D4"/>
    <w:rsid w:val="003C40E2"/>
    <w:rsid w:val="003C4114"/>
    <w:rsid w:val="003C4FB0"/>
    <w:rsid w:val="003C605E"/>
    <w:rsid w:val="003D13F6"/>
    <w:rsid w:val="003D3381"/>
    <w:rsid w:val="003D3DFA"/>
    <w:rsid w:val="003D4040"/>
    <w:rsid w:val="003D4523"/>
    <w:rsid w:val="003D4D8D"/>
    <w:rsid w:val="003E1AB8"/>
    <w:rsid w:val="003E539C"/>
    <w:rsid w:val="003E773E"/>
    <w:rsid w:val="003E7C73"/>
    <w:rsid w:val="003F02C5"/>
    <w:rsid w:val="003F05DD"/>
    <w:rsid w:val="003F1399"/>
    <w:rsid w:val="003F1B95"/>
    <w:rsid w:val="003F432F"/>
    <w:rsid w:val="003F4503"/>
    <w:rsid w:val="003F480B"/>
    <w:rsid w:val="003F4C92"/>
    <w:rsid w:val="00400CA7"/>
    <w:rsid w:val="004010F5"/>
    <w:rsid w:val="00403290"/>
    <w:rsid w:val="00403F4E"/>
    <w:rsid w:val="004048B5"/>
    <w:rsid w:val="00406986"/>
    <w:rsid w:val="004100D6"/>
    <w:rsid w:val="00411876"/>
    <w:rsid w:val="00414829"/>
    <w:rsid w:val="00420E40"/>
    <w:rsid w:val="00423CB9"/>
    <w:rsid w:val="00425992"/>
    <w:rsid w:val="00431207"/>
    <w:rsid w:val="00433028"/>
    <w:rsid w:val="00433184"/>
    <w:rsid w:val="0043463B"/>
    <w:rsid w:val="00434C0D"/>
    <w:rsid w:val="0043528E"/>
    <w:rsid w:val="0043578A"/>
    <w:rsid w:val="004377EF"/>
    <w:rsid w:val="0044162C"/>
    <w:rsid w:val="00441A0A"/>
    <w:rsid w:val="00441AEE"/>
    <w:rsid w:val="0044284C"/>
    <w:rsid w:val="00442F96"/>
    <w:rsid w:val="004448C1"/>
    <w:rsid w:val="0044535A"/>
    <w:rsid w:val="004456CC"/>
    <w:rsid w:val="00445811"/>
    <w:rsid w:val="004463F7"/>
    <w:rsid w:val="00454B53"/>
    <w:rsid w:val="00455A8F"/>
    <w:rsid w:val="00455C02"/>
    <w:rsid w:val="00455E17"/>
    <w:rsid w:val="004601E8"/>
    <w:rsid w:val="00460465"/>
    <w:rsid w:val="004624BF"/>
    <w:rsid w:val="00464F12"/>
    <w:rsid w:val="0046504D"/>
    <w:rsid w:val="00466D0D"/>
    <w:rsid w:val="00471418"/>
    <w:rsid w:val="00472AAD"/>
    <w:rsid w:val="00475EA5"/>
    <w:rsid w:val="004762ED"/>
    <w:rsid w:val="0047768F"/>
    <w:rsid w:val="00480C18"/>
    <w:rsid w:val="00481065"/>
    <w:rsid w:val="00483027"/>
    <w:rsid w:val="00487A40"/>
    <w:rsid w:val="004907C0"/>
    <w:rsid w:val="00491B25"/>
    <w:rsid w:val="004940AE"/>
    <w:rsid w:val="00494390"/>
    <w:rsid w:val="0049648E"/>
    <w:rsid w:val="00497AB8"/>
    <w:rsid w:val="004A048D"/>
    <w:rsid w:val="004A1A66"/>
    <w:rsid w:val="004A1CFF"/>
    <w:rsid w:val="004A2198"/>
    <w:rsid w:val="004A2742"/>
    <w:rsid w:val="004A289F"/>
    <w:rsid w:val="004A44F0"/>
    <w:rsid w:val="004A476E"/>
    <w:rsid w:val="004A5BC3"/>
    <w:rsid w:val="004A7FE4"/>
    <w:rsid w:val="004B0358"/>
    <w:rsid w:val="004B302C"/>
    <w:rsid w:val="004B408D"/>
    <w:rsid w:val="004B469A"/>
    <w:rsid w:val="004B51F6"/>
    <w:rsid w:val="004C034B"/>
    <w:rsid w:val="004C0954"/>
    <w:rsid w:val="004C0F77"/>
    <w:rsid w:val="004C3CDE"/>
    <w:rsid w:val="004C4E46"/>
    <w:rsid w:val="004C69F1"/>
    <w:rsid w:val="004D114F"/>
    <w:rsid w:val="004D19F5"/>
    <w:rsid w:val="004D1A5B"/>
    <w:rsid w:val="004D22BD"/>
    <w:rsid w:val="004D4C6A"/>
    <w:rsid w:val="004D6D56"/>
    <w:rsid w:val="004D70AA"/>
    <w:rsid w:val="004D7F4E"/>
    <w:rsid w:val="004E16AA"/>
    <w:rsid w:val="004E1AF7"/>
    <w:rsid w:val="004F336E"/>
    <w:rsid w:val="004F60E6"/>
    <w:rsid w:val="004F6C4F"/>
    <w:rsid w:val="00502A82"/>
    <w:rsid w:val="00503630"/>
    <w:rsid w:val="00503A04"/>
    <w:rsid w:val="005107F8"/>
    <w:rsid w:val="005114A1"/>
    <w:rsid w:val="00515365"/>
    <w:rsid w:val="00515C41"/>
    <w:rsid w:val="00516227"/>
    <w:rsid w:val="00517C6F"/>
    <w:rsid w:val="005220EB"/>
    <w:rsid w:val="00524663"/>
    <w:rsid w:val="0052526D"/>
    <w:rsid w:val="005268ED"/>
    <w:rsid w:val="00527EA1"/>
    <w:rsid w:val="00531778"/>
    <w:rsid w:val="0053271E"/>
    <w:rsid w:val="00532C67"/>
    <w:rsid w:val="00532E9A"/>
    <w:rsid w:val="0053527A"/>
    <w:rsid w:val="0053738C"/>
    <w:rsid w:val="005377FB"/>
    <w:rsid w:val="0054256C"/>
    <w:rsid w:val="00543F4D"/>
    <w:rsid w:val="00545432"/>
    <w:rsid w:val="005469A0"/>
    <w:rsid w:val="00546CD4"/>
    <w:rsid w:val="00550AEF"/>
    <w:rsid w:val="00551192"/>
    <w:rsid w:val="0055201F"/>
    <w:rsid w:val="005521B4"/>
    <w:rsid w:val="0055276C"/>
    <w:rsid w:val="0055292C"/>
    <w:rsid w:val="00553462"/>
    <w:rsid w:val="0055613D"/>
    <w:rsid w:val="005564BE"/>
    <w:rsid w:val="00557C4C"/>
    <w:rsid w:val="00562189"/>
    <w:rsid w:val="00562A35"/>
    <w:rsid w:val="00562A79"/>
    <w:rsid w:val="00562B55"/>
    <w:rsid w:val="00563042"/>
    <w:rsid w:val="00565DAE"/>
    <w:rsid w:val="00567803"/>
    <w:rsid w:val="00567C0D"/>
    <w:rsid w:val="005719A5"/>
    <w:rsid w:val="005728CE"/>
    <w:rsid w:val="00575838"/>
    <w:rsid w:val="00580D7D"/>
    <w:rsid w:val="00582F50"/>
    <w:rsid w:val="00583349"/>
    <w:rsid w:val="00583A1A"/>
    <w:rsid w:val="00585625"/>
    <w:rsid w:val="0058758F"/>
    <w:rsid w:val="00591668"/>
    <w:rsid w:val="00593AB0"/>
    <w:rsid w:val="005951EE"/>
    <w:rsid w:val="00595BCC"/>
    <w:rsid w:val="0059654B"/>
    <w:rsid w:val="0059658D"/>
    <w:rsid w:val="00596946"/>
    <w:rsid w:val="00596C8C"/>
    <w:rsid w:val="00597BB8"/>
    <w:rsid w:val="005A029B"/>
    <w:rsid w:val="005A1AEF"/>
    <w:rsid w:val="005A528F"/>
    <w:rsid w:val="005B02F6"/>
    <w:rsid w:val="005B0889"/>
    <w:rsid w:val="005B2EC3"/>
    <w:rsid w:val="005B41A6"/>
    <w:rsid w:val="005B48D8"/>
    <w:rsid w:val="005B6230"/>
    <w:rsid w:val="005B652A"/>
    <w:rsid w:val="005B7361"/>
    <w:rsid w:val="005C12F9"/>
    <w:rsid w:val="005C34EF"/>
    <w:rsid w:val="005C432D"/>
    <w:rsid w:val="005C4F76"/>
    <w:rsid w:val="005C5511"/>
    <w:rsid w:val="005C5B93"/>
    <w:rsid w:val="005C5BAD"/>
    <w:rsid w:val="005C681B"/>
    <w:rsid w:val="005C73DF"/>
    <w:rsid w:val="005C74BC"/>
    <w:rsid w:val="005D11F3"/>
    <w:rsid w:val="005D217E"/>
    <w:rsid w:val="005D279C"/>
    <w:rsid w:val="005D2B39"/>
    <w:rsid w:val="005D32D2"/>
    <w:rsid w:val="005D357D"/>
    <w:rsid w:val="005D3F49"/>
    <w:rsid w:val="005D442D"/>
    <w:rsid w:val="005D54D2"/>
    <w:rsid w:val="005D782C"/>
    <w:rsid w:val="005E30A3"/>
    <w:rsid w:val="005E5420"/>
    <w:rsid w:val="005E59AA"/>
    <w:rsid w:val="005E61B0"/>
    <w:rsid w:val="005E66E6"/>
    <w:rsid w:val="005F24CF"/>
    <w:rsid w:val="005F2DE4"/>
    <w:rsid w:val="005F30CA"/>
    <w:rsid w:val="005F7259"/>
    <w:rsid w:val="006022EA"/>
    <w:rsid w:val="00603395"/>
    <w:rsid w:val="006104EB"/>
    <w:rsid w:val="006113F6"/>
    <w:rsid w:val="0061144E"/>
    <w:rsid w:val="006118DB"/>
    <w:rsid w:val="00614CD8"/>
    <w:rsid w:val="006155CE"/>
    <w:rsid w:val="0061564F"/>
    <w:rsid w:val="006173C1"/>
    <w:rsid w:val="00622BE7"/>
    <w:rsid w:val="00623E1D"/>
    <w:rsid w:val="00626229"/>
    <w:rsid w:val="00630162"/>
    <w:rsid w:val="00630971"/>
    <w:rsid w:val="00632D8A"/>
    <w:rsid w:val="00633654"/>
    <w:rsid w:val="00634F50"/>
    <w:rsid w:val="00634FD8"/>
    <w:rsid w:val="00636F6A"/>
    <w:rsid w:val="0064014A"/>
    <w:rsid w:val="00641583"/>
    <w:rsid w:val="0064190F"/>
    <w:rsid w:val="00643DDF"/>
    <w:rsid w:val="00645B6F"/>
    <w:rsid w:val="006470B3"/>
    <w:rsid w:val="006506A7"/>
    <w:rsid w:val="006518EF"/>
    <w:rsid w:val="00652DCC"/>
    <w:rsid w:val="006537A6"/>
    <w:rsid w:val="0065491C"/>
    <w:rsid w:val="00654C8A"/>
    <w:rsid w:val="0065623D"/>
    <w:rsid w:val="00657CCE"/>
    <w:rsid w:val="0066159F"/>
    <w:rsid w:val="00661F7E"/>
    <w:rsid w:val="0066375F"/>
    <w:rsid w:val="0066398E"/>
    <w:rsid w:val="00663D75"/>
    <w:rsid w:val="00663D8D"/>
    <w:rsid w:val="00663DBC"/>
    <w:rsid w:val="00664D36"/>
    <w:rsid w:val="006653E7"/>
    <w:rsid w:val="006672BA"/>
    <w:rsid w:val="00667F9B"/>
    <w:rsid w:val="00672C76"/>
    <w:rsid w:val="00673510"/>
    <w:rsid w:val="00673D25"/>
    <w:rsid w:val="00674499"/>
    <w:rsid w:val="00675EEC"/>
    <w:rsid w:val="006772F5"/>
    <w:rsid w:val="00681E96"/>
    <w:rsid w:val="00682C16"/>
    <w:rsid w:val="00682E6A"/>
    <w:rsid w:val="0068388B"/>
    <w:rsid w:val="00686BCD"/>
    <w:rsid w:val="00686FCE"/>
    <w:rsid w:val="0068784B"/>
    <w:rsid w:val="006907A3"/>
    <w:rsid w:val="00690DE1"/>
    <w:rsid w:val="006955EE"/>
    <w:rsid w:val="00695626"/>
    <w:rsid w:val="0069588E"/>
    <w:rsid w:val="00695DA2"/>
    <w:rsid w:val="00697D41"/>
    <w:rsid w:val="006A111C"/>
    <w:rsid w:val="006A289B"/>
    <w:rsid w:val="006A4151"/>
    <w:rsid w:val="006A41D6"/>
    <w:rsid w:val="006A584F"/>
    <w:rsid w:val="006A739A"/>
    <w:rsid w:val="006A7DC6"/>
    <w:rsid w:val="006B20A1"/>
    <w:rsid w:val="006B29BE"/>
    <w:rsid w:val="006B3695"/>
    <w:rsid w:val="006B5AF5"/>
    <w:rsid w:val="006B5AF7"/>
    <w:rsid w:val="006B5BFC"/>
    <w:rsid w:val="006C232D"/>
    <w:rsid w:val="006C272D"/>
    <w:rsid w:val="006C3204"/>
    <w:rsid w:val="006C3734"/>
    <w:rsid w:val="006C4517"/>
    <w:rsid w:val="006C6666"/>
    <w:rsid w:val="006C776C"/>
    <w:rsid w:val="006D2438"/>
    <w:rsid w:val="006D3DC6"/>
    <w:rsid w:val="006D40D3"/>
    <w:rsid w:val="006D42D6"/>
    <w:rsid w:val="006D6ED9"/>
    <w:rsid w:val="006E0D55"/>
    <w:rsid w:val="006E1D73"/>
    <w:rsid w:val="006E24C0"/>
    <w:rsid w:val="006E57F0"/>
    <w:rsid w:val="006E58E2"/>
    <w:rsid w:val="006E64AA"/>
    <w:rsid w:val="006E72BF"/>
    <w:rsid w:val="006E76C7"/>
    <w:rsid w:val="006E77F2"/>
    <w:rsid w:val="006F1AF9"/>
    <w:rsid w:val="006F5A46"/>
    <w:rsid w:val="006F5C21"/>
    <w:rsid w:val="006F5EC3"/>
    <w:rsid w:val="006F643E"/>
    <w:rsid w:val="006F6C0C"/>
    <w:rsid w:val="00700FF1"/>
    <w:rsid w:val="00701481"/>
    <w:rsid w:val="007020EC"/>
    <w:rsid w:val="007063AC"/>
    <w:rsid w:val="007113F1"/>
    <w:rsid w:val="0071141C"/>
    <w:rsid w:val="00711618"/>
    <w:rsid w:val="007127DF"/>
    <w:rsid w:val="007153CF"/>
    <w:rsid w:val="00720984"/>
    <w:rsid w:val="0072204A"/>
    <w:rsid w:val="007230AA"/>
    <w:rsid w:val="0072443B"/>
    <w:rsid w:val="00724DE3"/>
    <w:rsid w:val="00727CB8"/>
    <w:rsid w:val="00730566"/>
    <w:rsid w:val="00733713"/>
    <w:rsid w:val="00733960"/>
    <w:rsid w:val="007374BF"/>
    <w:rsid w:val="00737FF3"/>
    <w:rsid w:val="00737FF6"/>
    <w:rsid w:val="007410F3"/>
    <w:rsid w:val="00741250"/>
    <w:rsid w:val="0074146A"/>
    <w:rsid w:val="00741BEC"/>
    <w:rsid w:val="00741C37"/>
    <w:rsid w:val="007469F8"/>
    <w:rsid w:val="0075021C"/>
    <w:rsid w:val="00750F8A"/>
    <w:rsid w:val="00755A0E"/>
    <w:rsid w:val="00757E4E"/>
    <w:rsid w:val="00760ECD"/>
    <w:rsid w:val="00761EF6"/>
    <w:rsid w:val="00763C18"/>
    <w:rsid w:val="00765806"/>
    <w:rsid w:val="007659CE"/>
    <w:rsid w:val="00766A2E"/>
    <w:rsid w:val="0076730A"/>
    <w:rsid w:val="00767F17"/>
    <w:rsid w:val="007709A6"/>
    <w:rsid w:val="00772D38"/>
    <w:rsid w:val="007735E0"/>
    <w:rsid w:val="00776379"/>
    <w:rsid w:val="00776BB9"/>
    <w:rsid w:val="00777D2D"/>
    <w:rsid w:val="0078001C"/>
    <w:rsid w:val="007918F1"/>
    <w:rsid w:val="007929D6"/>
    <w:rsid w:val="00795999"/>
    <w:rsid w:val="007A0D1B"/>
    <w:rsid w:val="007A1AEE"/>
    <w:rsid w:val="007A32E3"/>
    <w:rsid w:val="007A4C00"/>
    <w:rsid w:val="007A66CE"/>
    <w:rsid w:val="007A66D5"/>
    <w:rsid w:val="007A72E4"/>
    <w:rsid w:val="007B07AD"/>
    <w:rsid w:val="007B1965"/>
    <w:rsid w:val="007B55CF"/>
    <w:rsid w:val="007B5A8E"/>
    <w:rsid w:val="007B5BEB"/>
    <w:rsid w:val="007C0205"/>
    <w:rsid w:val="007C027D"/>
    <w:rsid w:val="007C0353"/>
    <w:rsid w:val="007C0634"/>
    <w:rsid w:val="007C1052"/>
    <w:rsid w:val="007C3E0A"/>
    <w:rsid w:val="007C4957"/>
    <w:rsid w:val="007C4B60"/>
    <w:rsid w:val="007C6236"/>
    <w:rsid w:val="007C64F2"/>
    <w:rsid w:val="007C6574"/>
    <w:rsid w:val="007D1212"/>
    <w:rsid w:val="007D28B6"/>
    <w:rsid w:val="007D28CC"/>
    <w:rsid w:val="007D43C3"/>
    <w:rsid w:val="007D5909"/>
    <w:rsid w:val="007D7276"/>
    <w:rsid w:val="007D7534"/>
    <w:rsid w:val="007D7973"/>
    <w:rsid w:val="007E4605"/>
    <w:rsid w:val="007E531F"/>
    <w:rsid w:val="007E570F"/>
    <w:rsid w:val="007E5B48"/>
    <w:rsid w:val="007E793A"/>
    <w:rsid w:val="007F1652"/>
    <w:rsid w:val="007F32FF"/>
    <w:rsid w:val="007F3416"/>
    <w:rsid w:val="007F3451"/>
    <w:rsid w:val="007F49C7"/>
    <w:rsid w:val="007F5715"/>
    <w:rsid w:val="007F68ED"/>
    <w:rsid w:val="00800A10"/>
    <w:rsid w:val="008043F1"/>
    <w:rsid w:val="00804D85"/>
    <w:rsid w:val="00805AD8"/>
    <w:rsid w:val="008065A5"/>
    <w:rsid w:val="008076EA"/>
    <w:rsid w:val="008111D7"/>
    <w:rsid w:val="00811418"/>
    <w:rsid w:val="00811888"/>
    <w:rsid w:val="00814A81"/>
    <w:rsid w:val="008151D9"/>
    <w:rsid w:val="00815824"/>
    <w:rsid w:val="00816B8D"/>
    <w:rsid w:val="0082210E"/>
    <w:rsid w:val="00822136"/>
    <w:rsid w:val="00824C09"/>
    <w:rsid w:val="00825940"/>
    <w:rsid w:val="00827A48"/>
    <w:rsid w:val="00827B06"/>
    <w:rsid w:val="0083003D"/>
    <w:rsid w:val="008308F9"/>
    <w:rsid w:val="008317F8"/>
    <w:rsid w:val="00832422"/>
    <w:rsid w:val="0083407C"/>
    <w:rsid w:val="00834B21"/>
    <w:rsid w:val="008428A2"/>
    <w:rsid w:val="00846CA3"/>
    <w:rsid w:val="008477F5"/>
    <w:rsid w:val="00850921"/>
    <w:rsid w:val="0085229E"/>
    <w:rsid w:val="008628E3"/>
    <w:rsid w:val="0086323A"/>
    <w:rsid w:val="008642E1"/>
    <w:rsid w:val="00866BAB"/>
    <w:rsid w:val="00867AF5"/>
    <w:rsid w:val="00870F90"/>
    <w:rsid w:val="00871314"/>
    <w:rsid w:val="008725A3"/>
    <w:rsid w:val="008747C9"/>
    <w:rsid w:val="00876E4B"/>
    <w:rsid w:val="00882760"/>
    <w:rsid w:val="00882A9F"/>
    <w:rsid w:val="00883964"/>
    <w:rsid w:val="00883AC8"/>
    <w:rsid w:val="008869EE"/>
    <w:rsid w:val="00890CBB"/>
    <w:rsid w:val="008912B1"/>
    <w:rsid w:val="008914A6"/>
    <w:rsid w:val="00891AB7"/>
    <w:rsid w:val="008925B4"/>
    <w:rsid w:val="008926BB"/>
    <w:rsid w:val="00893856"/>
    <w:rsid w:val="00893EA4"/>
    <w:rsid w:val="00894CAA"/>
    <w:rsid w:val="008A03B7"/>
    <w:rsid w:val="008A0E9B"/>
    <w:rsid w:val="008A183B"/>
    <w:rsid w:val="008A1FE9"/>
    <w:rsid w:val="008A480B"/>
    <w:rsid w:val="008A4E8A"/>
    <w:rsid w:val="008A660E"/>
    <w:rsid w:val="008A7B8C"/>
    <w:rsid w:val="008B1B12"/>
    <w:rsid w:val="008B2775"/>
    <w:rsid w:val="008B45A0"/>
    <w:rsid w:val="008C0E24"/>
    <w:rsid w:val="008C1957"/>
    <w:rsid w:val="008C2F2C"/>
    <w:rsid w:val="008D14C5"/>
    <w:rsid w:val="008D3BA5"/>
    <w:rsid w:val="008D52C2"/>
    <w:rsid w:val="008D5660"/>
    <w:rsid w:val="008E0BD8"/>
    <w:rsid w:val="008E0DAF"/>
    <w:rsid w:val="008E1015"/>
    <w:rsid w:val="008E1178"/>
    <w:rsid w:val="008E3BA9"/>
    <w:rsid w:val="008E4183"/>
    <w:rsid w:val="008E53BD"/>
    <w:rsid w:val="008E63A0"/>
    <w:rsid w:val="008E6CDD"/>
    <w:rsid w:val="008E6D14"/>
    <w:rsid w:val="008F026F"/>
    <w:rsid w:val="008F0F93"/>
    <w:rsid w:val="008F3253"/>
    <w:rsid w:val="008F3A1F"/>
    <w:rsid w:val="008F3CA4"/>
    <w:rsid w:val="00900247"/>
    <w:rsid w:val="00900F2F"/>
    <w:rsid w:val="00901192"/>
    <w:rsid w:val="009014C6"/>
    <w:rsid w:val="009016B4"/>
    <w:rsid w:val="009029D6"/>
    <w:rsid w:val="00903705"/>
    <w:rsid w:val="009039B9"/>
    <w:rsid w:val="00904FCC"/>
    <w:rsid w:val="00905689"/>
    <w:rsid w:val="0090572B"/>
    <w:rsid w:val="00906DFB"/>
    <w:rsid w:val="00912A37"/>
    <w:rsid w:val="0091368B"/>
    <w:rsid w:val="009149DE"/>
    <w:rsid w:val="0091746A"/>
    <w:rsid w:val="00923233"/>
    <w:rsid w:val="00923F56"/>
    <w:rsid w:val="009263C2"/>
    <w:rsid w:val="009264BA"/>
    <w:rsid w:val="00926A72"/>
    <w:rsid w:val="00927FF6"/>
    <w:rsid w:val="009304C4"/>
    <w:rsid w:val="0093299C"/>
    <w:rsid w:val="0093309D"/>
    <w:rsid w:val="009342E4"/>
    <w:rsid w:val="00934586"/>
    <w:rsid w:val="00934CFB"/>
    <w:rsid w:val="00935508"/>
    <w:rsid w:val="00935FBE"/>
    <w:rsid w:val="00942018"/>
    <w:rsid w:val="00942EC3"/>
    <w:rsid w:val="00955D3C"/>
    <w:rsid w:val="00956F38"/>
    <w:rsid w:val="0096206F"/>
    <w:rsid w:val="009624C1"/>
    <w:rsid w:val="00963DA4"/>
    <w:rsid w:val="00964E69"/>
    <w:rsid w:val="0096582F"/>
    <w:rsid w:val="009658D0"/>
    <w:rsid w:val="00966957"/>
    <w:rsid w:val="00966D87"/>
    <w:rsid w:val="009676AD"/>
    <w:rsid w:val="00967857"/>
    <w:rsid w:val="00970907"/>
    <w:rsid w:val="00973C42"/>
    <w:rsid w:val="00975413"/>
    <w:rsid w:val="009762C4"/>
    <w:rsid w:val="0097710B"/>
    <w:rsid w:val="009778DD"/>
    <w:rsid w:val="009817AC"/>
    <w:rsid w:val="00981ECD"/>
    <w:rsid w:val="009840EE"/>
    <w:rsid w:val="00985963"/>
    <w:rsid w:val="00986F2A"/>
    <w:rsid w:val="00991D82"/>
    <w:rsid w:val="00991F58"/>
    <w:rsid w:val="00995B0B"/>
    <w:rsid w:val="00997D44"/>
    <w:rsid w:val="009A0258"/>
    <w:rsid w:val="009A3EA6"/>
    <w:rsid w:val="009A46B8"/>
    <w:rsid w:val="009A5AE1"/>
    <w:rsid w:val="009A738E"/>
    <w:rsid w:val="009B021E"/>
    <w:rsid w:val="009B072C"/>
    <w:rsid w:val="009B31BD"/>
    <w:rsid w:val="009B3DCE"/>
    <w:rsid w:val="009B4AE8"/>
    <w:rsid w:val="009B70C6"/>
    <w:rsid w:val="009B7388"/>
    <w:rsid w:val="009B761F"/>
    <w:rsid w:val="009C0675"/>
    <w:rsid w:val="009C0942"/>
    <w:rsid w:val="009C462A"/>
    <w:rsid w:val="009D246A"/>
    <w:rsid w:val="009D56B0"/>
    <w:rsid w:val="009D576B"/>
    <w:rsid w:val="009D59DE"/>
    <w:rsid w:val="009D6571"/>
    <w:rsid w:val="009D6FA0"/>
    <w:rsid w:val="009E3461"/>
    <w:rsid w:val="009E3D1C"/>
    <w:rsid w:val="009F36FF"/>
    <w:rsid w:val="009F392E"/>
    <w:rsid w:val="009F4934"/>
    <w:rsid w:val="00A019D6"/>
    <w:rsid w:val="00A051B2"/>
    <w:rsid w:val="00A0520D"/>
    <w:rsid w:val="00A06CF2"/>
    <w:rsid w:val="00A108D1"/>
    <w:rsid w:val="00A12583"/>
    <w:rsid w:val="00A16E81"/>
    <w:rsid w:val="00A17E0F"/>
    <w:rsid w:val="00A208C3"/>
    <w:rsid w:val="00A22228"/>
    <w:rsid w:val="00A222DC"/>
    <w:rsid w:val="00A238B4"/>
    <w:rsid w:val="00A241E6"/>
    <w:rsid w:val="00A25751"/>
    <w:rsid w:val="00A25900"/>
    <w:rsid w:val="00A274AA"/>
    <w:rsid w:val="00A27E18"/>
    <w:rsid w:val="00A30392"/>
    <w:rsid w:val="00A311F8"/>
    <w:rsid w:val="00A32307"/>
    <w:rsid w:val="00A34676"/>
    <w:rsid w:val="00A358F4"/>
    <w:rsid w:val="00A404F9"/>
    <w:rsid w:val="00A40FFA"/>
    <w:rsid w:val="00A4280E"/>
    <w:rsid w:val="00A428F3"/>
    <w:rsid w:val="00A448AE"/>
    <w:rsid w:val="00A449EB"/>
    <w:rsid w:val="00A45231"/>
    <w:rsid w:val="00A453B2"/>
    <w:rsid w:val="00A50A81"/>
    <w:rsid w:val="00A5186F"/>
    <w:rsid w:val="00A51AE0"/>
    <w:rsid w:val="00A52742"/>
    <w:rsid w:val="00A53B9C"/>
    <w:rsid w:val="00A56078"/>
    <w:rsid w:val="00A566E6"/>
    <w:rsid w:val="00A601E6"/>
    <w:rsid w:val="00A60D90"/>
    <w:rsid w:val="00A6285D"/>
    <w:rsid w:val="00A643D4"/>
    <w:rsid w:val="00A64E7C"/>
    <w:rsid w:val="00A716E8"/>
    <w:rsid w:val="00A72612"/>
    <w:rsid w:val="00A72E33"/>
    <w:rsid w:val="00A748AA"/>
    <w:rsid w:val="00A749A0"/>
    <w:rsid w:val="00A82A9B"/>
    <w:rsid w:val="00A83774"/>
    <w:rsid w:val="00A83DB5"/>
    <w:rsid w:val="00A85452"/>
    <w:rsid w:val="00A85FCF"/>
    <w:rsid w:val="00A877B8"/>
    <w:rsid w:val="00A91D49"/>
    <w:rsid w:val="00A91D9B"/>
    <w:rsid w:val="00A92925"/>
    <w:rsid w:val="00A92D63"/>
    <w:rsid w:val="00A93099"/>
    <w:rsid w:val="00A936AE"/>
    <w:rsid w:val="00A939C6"/>
    <w:rsid w:val="00A95C77"/>
    <w:rsid w:val="00A9652C"/>
    <w:rsid w:val="00A967B0"/>
    <w:rsid w:val="00A97777"/>
    <w:rsid w:val="00AA048E"/>
    <w:rsid w:val="00AA0770"/>
    <w:rsid w:val="00AA0DD5"/>
    <w:rsid w:val="00AA1268"/>
    <w:rsid w:val="00AA2878"/>
    <w:rsid w:val="00AA319E"/>
    <w:rsid w:val="00AA4B7A"/>
    <w:rsid w:val="00AA4CD7"/>
    <w:rsid w:val="00AA5439"/>
    <w:rsid w:val="00AA63AD"/>
    <w:rsid w:val="00AB0BE1"/>
    <w:rsid w:val="00AB28A8"/>
    <w:rsid w:val="00AB338B"/>
    <w:rsid w:val="00AB3B64"/>
    <w:rsid w:val="00AB4D99"/>
    <w:rsid w:val="00AB724C"/>
    <w:rsid w:val="00AC1F0A"/>
    <w:rsid w:val="00AC228C"/>
    <w:rsid w:val="00AC44D2"/>
    <w:rsid w:val="00AD01EA"/>
    <w:rsid w:val="00AD1865"/>
    <w:rsid w:val="00AD246B"/>
    <w:rsid w:val="00AD6C78"/>
    <w:rsid w:val="00AE15BA"/>
    <w:rsid w:val="00AE355D"/>
    <w:rsid w:val="00AE38AC"/>
    <w:rsid w:val="00AE41F5"/>
    <w:rsid w:val="00AE4900"/>
    <w:rsid w:val="00AE498A"/>
    <w:rsid w:val="00AE4FDE"/>
    <w:rsid w:val="00AE57F1"/>
    <w:rsid w:val="00AE701A"/>
    <w:rsid w:val="00AF163C"/>
    <w:rsid w:val="00AF22C2"/>
    <w:rsid w:val="00AF3D50"/>
    <w:rsid w:val="00AF491F"/>
    <w:rsid w:val="00B01201"/>
    <w:rsid w:val="00B045AA"/>
    <w:rsid w:val="00B046A5"/>
    <w:rsid w:val="00B06A51"/>
    <w:rsid w:val="00B1360C"/>
    <w:rsid w:val="00B142B1"/>
    <w:rsid w:val="00B14F1C"/>
    <w:rsid w:val="00B2301D"/>
    <w:rsid w:val="00B27419"/>
    <w:rsid w:val="00B30591"/>
    <w:rsid w:val="00B3138D"/>
    <w:rsid w:val="00B31F43"/>
    <w:rsid w:val="00B325E1"/>
    <w:rsid w:val="00B32807"/>
    <w:rsid w:val="00B3280C"/>
    <w:rsid w:val="00B34BCC"/>
    <w:rsid w:val="00B35E2E"/>
    <w:rsid w:val="00B35EAF"/>
    <w:rsid w:val="00B3625E"/>
    <w:rsid w:val="00B36DED"/>
    <w:rsid w:val="00B37D1C"/>
    <w:rsid w:val="00B423C9"/>
    <w:rsid w:val="00B43B07"/>
    <w:rsid w:val="00B46682"/>
    <w:rsid w:val="00B46E74"/>
    <w:rsid w:val="00B52ED2"/>
    <w:rsid w:val="00B567CB"/>
    <w:rsid w:val="00B56C1D"/>
    <w:rsid w:val="00B60F6B"/>
    <w:rsid w:val="00B662F8"/>
    <w:rsid w:val="00B66750"/>
    <w:rsid w:val="00B66C19"/>
    <w:rsid w:val="00B6782F"/>
    <w:rsid w:val="00B702FF"/>
    <w:rsid w:val="00B710D7"/>
    <w:rsid w:val="00B71B15"/>
    <w:rsid w:val="00B73594"/>
    <w:rsid w:val="00B73B50"/>
    <w:rsid w:val="00B7509B"/>
    <w:rsid w:val="00B810E0"/>
    <w:rsid w:val="00B81170"/>
    <w:rsid w:val="00B8402E"/>
    <w:rsid w:val="00B85B7F"/>
    <w:rsid w:val="00B85E48"/>
    <w:rsid w:val="00B90F42"/>
    <w:rsid w:val="00B9182F"/>
    <w:rsid w:val="00B94415"/>
    <w:rsid w:val="00BA00CE"/>
    <w:rsid w:val="00BA05FF"/>
    <w:rsid w:val="00BA0741"/>
    <w:rsid w:val="00BA18AC"/>
    <w:rsid w:val="00BA29A4"/>
    <w:rsid w:val="00BA2AB4"/>
    <w:rsid w:val="00BA2C24"/>
    <w:rsid w:val="00BA4A5E"/>
    <w:rsid w:val="00BA626A"/>
    <w:rsid w:val="00BB03C9"/>
    <w:rsid w:val="00BB177A"/>
    <w:rsid w:val="00BB1A6B"/>
    <w:rsid w:val="00BB3258"/>
    <w:rsid w:val="00BB3C8C"/>
    <w:rsid w:val="00BB439B"/>
    <w:rsid w:val="00BB696F"/>
    <w:rsid w:val="00BB7F58"/>
    <w:rsid w:val="00BC53ED"/>
    <w:rsid w:val="00BC6FFE"/>
    <w:rsid w:val="00BC74D6"/>
    <w:rsid w:val="00BD0D71"/>
    <w:rsid w:val="00BD3307"/>
    <w:rsid w:val="00BD3D1B"/>
    <w:rsid w:val="00BD5CA2"/>
    <w:rsid w:val="00BD6699"/>
    <w:rsid w:val="00BD7A36"/>
    <w:rsid w:val="00BE1432"/>
    <w:rsid w:val="00BE2E8D"/>
    <w:rsid w:val="00BE4D26"/>
    <w:rsid w:val="00BE5E74"/>
    <w:rsid w:val="00BF284A"/>
    <w:rsid w:val="00BF48BC"/>
    <w:rsid w:val="00BF4D43"/>
    <w:rsid w:val="00BF7395"/>
    <w:rsid w:val="00C00EE5"/>
    <w:rsid w:val="00C01DCA"/>
    <w:rsid w:val="00C02784"/>
    <w:rsid w:val="00C044FA"/>
    <w:rsid w:val="00C04786"/>
    <w:rsid w:val="00C04995"/>
    <w:rsid w:val="00C06F9F"/>
    <w:rsid w:val="00C072B7"/>
    <w:rsid w:val="00C078BF"/>
    <w:rsid w:val="00C11009"/>
    <w:rsid w:val="00C119EC"/>
    <w:rsid w:val="00C130BA"/>
    <w:rsid w:val="00C156C6"/>
    <w:rsid w:val="00C16141"/>
    <w:rsid w:val="00C169F4"/>
    <w:rsid w:val="00C17AA9"/>
    <w:rsid w:val="00C24272"/>
    <w:rsid w:val="00C2435E"/>
    <w:rsid w:val="00C244E4"/>
    <w:rsid w:val="00C2522A"/>
    <w:rsid w:val="00C262ED"/>
    <w:rsid w:val="00C26F35"/>
    <w:rsid w:val="00C334D8"/>
    <w:rsid w:val="00C3519D"/>
    <w:rsid w:val="00C40F18"/>
    <w:rsid w:val="00C424B5"/>
    <w:rsid w:val="00C4441B"/>
    <w:rsid w:val="00C47650"/>
    <w:rsid w:val="00C509D8"/>
    <w:rsid w:val="00C50FB4"/>
    <w:rsid w:val="00C51A0F"/>
    <w:rsid w:val="00C52D1F"/>
    <w:rsid w:val="00C53BDE"/>
    <w:rsid w:val="00C544DC"/>
    <w:rsid w:val="00C564BF"/>
    <w:rsid w:val="00C57D74"/>
    <w:rsid w:val="00C61416"/>
    <w:rsid w:val="00C6173D"/>
    <w:rsid w:val="00C62823"/>
    <w:rsid w:val="00C62C1A"/>
    <w:rsid w:val="00C6545A"/>
    <w:rsid w:val="00C66B2C"/>
    <w:rsid w:val="00C673C6"/>
    <w:rsid w:val="00C73BE3"/>
    <w:rsid w:val="00C74158"/>
    <w:rsid w:val="00C77F9A"/>
    <w:rsid w:val="00C8108C"/>
    <w:rsid w:val="00C81DC0"/>
    <w:rsid w:val="00C82388"/>
    <w:rsid w:val="00C8398B"/>
    <w:rsid w:val="00C86402"/>
    <w:rsid w:val="00C87502"/>
    <w:rsid w:val="00C902B0"/>
    <w:rsid w:val="00C90CF5"/>
    <w:rsid w:val="00C92B27"/>
    <w:rsid w:val="00C93003"/>
    <w:rsid w:val="00C9356A"/>
    <w:rsid w:val="00C939C7"/>
    <w:rsid w:val="00C96792"/>
    <w:rsid w:val="00C96F49"/>
    <w:rsid w:val="00C97CA7"/>
    <w:rsid w:val="00CA0FCF"/>
    <w:rsid w:val="00CA2C85"/>
    <w:rsid w:val="00CA47EE"/>
    <w:rsid w:val="00CA5435"/>
    <w:rsid w:val="00CA5718"/>
    <w:rsid w:val="00CB212C"/>
    <w:rsid w:val="00CB2742"/>
    <w:rsid w:val="00CB2C35"/>
    <w:rsid w:val="00CB2FA4"/>
    <w:rsid w:val="00CB35B6"/>
    <w:rsid w:val="00CB54FB"/>
    <w:rsid w:val="00CB6CC5"/>
    <w:rsid w:val="00CB77AF"/>
    <w:rsid w:val="00CB7C2F"/>
    <w:rsid w:val="00CC07D8"/>
    <w:rsid w:val="00CC557F"/>
    <w:rsid w:val="00CD00F8"/>
    <w:rsid w:val="00CD0B8C"/>
    <w:rsid w:val="00CD107C"/>
    <w:rsid w:val="00CD1BAF"/>
    <w:rsid w:val="00CE0BD0"/>
    <w:rsid w:val="00CE29BF"/>
    <w:rsid w:val="00CE5CD6"/>
    <w:rsid w:val="00CE7EC6"/>
    <w:rsid w:val="00CF3E73"/>
    <w:rsid w:val="00CF4AFB"/>
    <w:rsid w:val="00CF630E"/>
    <w:rsid w:val="00CF69F2"/>
    <w:rsid w:val="00CF6E36"/>
    <w:rsid w:val="00CF6E6C"/>
    <w:rsid w:val="00CF7456"/>
    <w:rsid w:val="00CF7A17"/>
    <w:rsid w:val="00D022EC"/>
    <w:rsid w:val="00D04AE4"/>
    <w:rsid w:val="00D04D1F"/>
    <w:rsid w:val="00D060B9"/>
    <w:rsid w:val="00D07750"/>
    <w:rsid w:val="00D11100"/>
    <w:rsid w:val="00D1182F"/>
    <w:rsid w:val="00D12656"/>
    <w:rsid w:val="00D1380A"/>
    <w:rsid w:val="00D16FE3"/>
    <w:rsid w:val="00D21C65"/>
    <w:rsid w:val="00D22EB6"/>
    <w:rsid w:val="00D2372F"/>
    <w:rsid w:val="00D26CD7"/>
    <w:rsid w:val="00D2764A"/>
    <w:rsid w:val="00D30B4C"/>
    <w:rsid w:val="00D336B2"/>
    <w:rsid w:val="00D3425E"/>
    <w:rsid w:val="00D36252"/>
    <w:rsid w:val="00D363BF"/>
    <w:rsid w:val="00D3647A"/>
    <w:rsid w:val="00D377A7"/>
    <w:rsid w:val="00D40AC3"/>
    <w:rsid w:val="00D41641"/>
    <w:rsid w:val="00D42550"/>
    <w:rsid w:val="00D45256"/>
    <w:rsid w:val="00D46188"/>
    <w:rsid w:val="00D46DC4"/>
    <w:rsid w:val="00D479A2"/>
    <w:rsid w:val="00D50836"/>
    <w:rsid w:val="00D511EA"/>
    <w:rsid w:val="00D52442"/>
    <w:rsid w:val="00D53A70"/>
    <w:rsid w:val="00D559BE"/>
    <w:rsid w:val="00D56082"/>
    <w:rsid w:val="00D574D0"/>
    <w:rsid w:val="00D606A2"/>
    <w:rsid w:val="00D62B5D"/>
    <w:rsid w:val="00D62DCC"/>
    <w:rsid w:val="00D634F5"/>
    <w:rsid w:val="00D644E2"/>
    <w:rsid w:val="00D64B0F"/>
    <w:rsid w:val="00D65035"/>
    <w:rsid w:val="00D65136"/>
    <w:rsid w:val="00D6581F"/>
    <w:rsid w:val="00D706C9"/>
    <w:rsid w:val="00D709BE"/>
    <w:rsid w:val="00D72048"/>
    <w:rsid w:val="00D73B2C"/>
    <w:rsid w:val="00D74F4C"/>
    <w:rsid w:val="00D758D3"/>
    <w:rsid w:val="00D763DF"/>
    <w:rsid w:val="00D76971"/>
    <w:rsid w:val="00D76B24"/>
    <w:rsid w:val="00D76CAE"/>
    <w:rsid w:val="00D84E28"/>
    <w:rsid w:val="00D85720"/>
    <w:rsid w:val="00D86CDC"/>
    <w:rsid w:val="00D9009C"/>
    <w:rsid w:val="00D921C2"/>
    <w:rsid w:val="00D93D47"/>
    <w:rsid w:val="00D96C7E"/>
    <w:rsid w:val="00D96F4E"/>
    <w:rsid w:val="00DA1CC3"/>
    <w:rsid w:val="00DA2974"/>
    <w:rsid w:val="00DA3461"/>
    <w:rsid w:val="00DA5EEF"/>
    <w:rsid w:val="00DB0D62"/>
    <w:rsid w:val="00DB1E04"/>
    <w:rsid w:val="00DB23DD"/>
    <w:rsid w:val="00DB4085"/>
    <w:rsid w:val="00DB4C0B"/>
    <w:rsid w:val="00DB57B5"/>
    <w:rsid w:val="00DC1B23"/>
    <w:rsid w:val="00DC3379"/>
    <w:rsid w:val="00DD220D"/>
    <w:rsid w:val="00DD2AF4"/>
    <w:rsid w:val="00DD56C9"/>
    <w:rsid w:val="00DD56D0"/>
    <w:rsid w:val="00DD6259"/>
    <w:rsid w:val="00DD6428"/>
    <w:rsid w:val="00DD76B9"/>
    <w:rsid w:val="00DD7DE4"/>
    <w:rsid w:val="00DE0EA3"/>
    <w:rsid w:val="00DE1D76"/>
    <w:rsid w:val="00DE43B5"/>
    <w:rsid w:val="00DE4DEE"/>
    <w:rsid w:val="00DE681B"/>
    <w:rsid w:val="00DF041A"/>
    <w:rsid w:val="00DF1D03"/>
    <w:rsid w:val="00DF4111"/>
    <w:rsid w:val="00E00457"/>
    <w:rsid w:val="00E00487"/>
    <w:rsid w:val="00E005E9"/>
    <w:rsid w:val="00E00EDD"/>
    <w:rsid w:val="00E01E7A"/>
    <w:rsid w:val="00E03C81"/>
    <w:rsid w:val="00E060A0"/>
    <w:rsid w:val="00E06CFD"/>
    <w:rsid w:val="00E06D11"/>
    <w:rsid w:val="00E103CF"/>
    <w:rsid w:val="00E122DB"/>
    <w:rsid w:val="00E167D0"/>
    <w:rsid w:val="00E16E8F"/>
    <w:rsid w:val="00E17177"/>
    <w:rsid w:val="00E2001E"/>
    <w:rsid w:val="00E21D30"/>
    <w:rsid w:val="00E22F4F"/>
    <w:rsid w:val="00E23B04"/>
    <w:rsid w:val="00E23DE9"/>
    <w:rsid w:val="00E23F04"/>
    <w:rsid w:val="00E2461D"/>
    <w:rsid w:val="00E2602D"/>
    <w:rsid w:val="00E26570"/>
    <w:rsid w:val="00E27BB2"/>
    <w:rsid w:val="00E305D2"/>
    <w:rsid w:val="00E30698"/>
    <w:rsid w:val="00E31FB0"/>
    <w:rsid w:val="00E33449"/>
    <w:rsid w:val="00E34337"/>
    <w:rsid w:val="00E353DD"/>
    <w:rsid w:val="00E35A80"/>
    <w:rsid w:val="00E365F4"/>
    <w:rsid w:val="00E3764F"/>
    <w:rsid w:val="00E37B36"/>
    <w:rsid w:val="00E43253"/>
    <w:rsid w:val="00E446D5"/>
    <w:rsid w:val="00E44DF3"/>
    <w:rsid w:val="00E50AC9"/>
    <w:rsid w:val="00E50DB4"/>
    <w:rsid w:val="00E511A3"/>
    <w:rsid w:val="00E52695"/>
    <w:rsid w:val="00E541C3"/>
    <w:rsid w:val="00E5432F"/>
    <w:rsid w:val="00E55230"/>
    <w:rsid w:val="00E5568A"/>
    <w:rsid w:val="00E55998"/>
    <w:rsid w:val="00E576B0"/>
    <w:rsid w:val="00E576E9"/>
    <w:rsid w:val="00E607A6"/>
    <w:rsid w:val="00E60E38"/>
    <w:rsid w:val="00E6271F"/>
    <w:rsid w:val="00E65483"/>
    <w:rsid w:val="00E659D7"/>
    <w:rsid w:val="00E65C30"/>
    <w:rsid w:val="00E67ADF"/>
    <w:rsid w:val="00E71C44"/>
    <w:rsid w:val="00E75986"/>
    <w:rsid w:val="00E80286"/>
    <w:rsid w:val="00E80A05"/>
    <w:rsid w:val="00E830C0"/>
    <w:rsid w:val="00E84720"/>
    <w:rsid w:val="00E84A41"/>
    <w:rsid w:val="00E85D9D"/>
    <w:rsid w:val="00E86A6B"/>
    <w:rsid w:val="00E87D67"/>
    <w:rsid w:val="00E90E89"/>
    <w:rsid w:val="00E9135E"/>
    <w:rsid w:val="00E91DFD"/>
    <w:rsid w:val="00E91FC0"/>
    <w:rsid w:val="00E96B23"/>
    <w:rsid w:val="00E9702B"/>
    <w:rsid w:val="00E97D59"/>
    <w:rsid w:val="00EA1A62"/>
    <w:rsid w:val="00EB148D"/>
    <w:rsid w:val="00EB285B"/>
    <w:rsid w:val="00EB4516"/>
    <w:rsid w:val="00EB5018"/>
    <w:rsid w:val="00EB568C"/>
    <w:rsid w:val="00EB63A8"/>
    <w:rsid w:val="00EC0EB7"/>
    <w:rsid w:val="00EC280C"/>
    <w:rsid w:val="00EC2E03"/>
    <w:rsid w:val="00EC3259"/>
    <w:rsid w:val="00EC5DCD"/>
    <w:rsid w:val="00EC645C"/>
    <w:rsid w:val="00EC7011"/>
    <w:rsid w:val="00ED25F9"/>
    <w:rsid w:val="00ED27BF"/>
    <w:rsid w:val="00ED353D"/>
    <w:rsid w:val="00ED6D67"/>
    <w:rsid w:val="00EE0521"/>
    <w:rsid w:val="00EE1778"/>
    <w:rsid w:val="00EE1BF7"/>
    <w:rsid w:val="00EE3FC6"/>
    <w:rsid w:val="00EE53C4"/>
    <w:rsid w:val="00EE6011"/>
    <w:rsid w:val="00EF01AA"/>
    <w:rsid w:val="00EF2028"/>
    <w:rsid w:val="00EF24E2"/>
    <w:rsid w:val="00EF2612"/>
    <w:rsid w:val="00EF26C7"/>
    <w:rsid w:val="00EF2B16"/>
    <w:rsid w:val="00EF335A"/>
    <w:rsid w:val="00EF3900"/>
    <w:rsid w:val="00EF3FE3"/>
    <w:rsid w:val="00EF57F6"/>
    <w:rsid w:val="00EF68DA"/>
    <w:rsid w:val="00EF7D8C"/>
    <w:rsid w:val="00F012BC"/>
    <w:rsid w:val="00F01EC8"/>
    <w:rsid w:val="00F03068"/>
    <w:rsid w:val="00F04A6F"/>
    <w:rsid w:val="00F0532D"/>
    <w:rsid w:val="00F06308"/>
    <w:rsid w:val="00F0793B"/>
    <w:rsid w:val="00F1008A"/>
    <w:rsid w:val="00F10AFD"/>
    <w:rsid w:val="00F11785"/>
    <w:rsid w:val="00F12E41"/>
    <w:rsid w:val="00F1312C"/>
    <w:rsid w:val="00F1349E"/>
    <w:rsid w:val="00F163C3"/>
    <w:rsid w:val="00F17542"/>
    <w:rsid w:val="00F17C4E"/>
    <w:rsid w:val="00F21103"/>
    <w:rsid w:val="00F21122"/>
    <w:rsid w:val="00F2164B"/>
    <w:rsid w:val="00F232F4"/>
    <w:rsid w:val="00F23CCC"/>
    <w:rsid w:val="00F256DB"/>
    <w:rsid w:val="00F258A5"/>
    <w:rsid w:val="00F27E8E"/>
    <w:rsid w:val="00F30672"/>
    <w:rsid w:val="00F30B0D"/>
    <w:rsid w:val="00F31876"/>
    <w:rsid w:val="00F335DC"/>
    <w:rsid w:val="00F33CE0"/>
    <w:rsid w:val="00F35149"/>
    <w:rsid w:val="00F36934"/>
    <w:rsid w:val="00F40271"/>
    <w:rsid w:val="00F44349"/>
    <w:rsid w:val="00F45439"/>
    <w:rsid w:val="00F4637A"/>
    <w:rsid w:val="00F4638D"/>
    <w:rsid w:val="00F50C72"/>
    <w:rsid w:val="00F51AAA"/>
    <w:rsid w:val="00F51F1E"/>
    <w:rsid w:val="00F5292B"/>
    <w:rsid w:val="00F52B67"/>
    <w:rsid w:val="00F53970"/>
    <w:rsid w:val="00F57169"/>
    <w:rsid w:val="00F57980"/>
    <w:rsid w:val="00F61D45"/>
    <w:rsid w:val="00F62580"/>
    <w:rsid w:val="00F6298B"/>
    <w:rsid w:val="00F62D58"/>
    <w:rsid w:val="00F63E92"/>
    <w:rsid w:val="00F653BC"/>
    <w:rsid w:val="00F6630A"/>
    <w:rsid w:val="00F666E9"/>
    <w:rsid w:val="00F67AA9"/>
    <w:rsid w:val="00F70286"/>
    <w:rsid w:val="00F72AEE"/>
    <w:rsid w:val="00F74BDC"/>
    <w:rsid w:val="00F76924"/>
    <w:rsid w:val="00F81999"/>
    <w:rsid w:val="00F81AFB"/>
    <w:rsid w:val="00F82213"/>
    <w:rsid w:val="00F828FC"/>
    <w:rsid w:val="00F85447"/>
    <w:rsid w:val="00F87044"/>
    <w:rsid w:val="00F9023C"/>
    <w:rsid w:val="00F90C4F"/>
    <w:rsid w:val="00F91EF9"/>
    <w:rsid w:val="00F92938"/>
    <w:rsid w:val="00F96416"/>
    <w:rsid w:val="00FA337B"/>
    <w:rsid w:val="00FA49F6"/>
    <w:rsid w:val="00FA66BD"/>
    <w:rsid w:val="00FA69A4"/>
    <w:rsid w:val="00FB074C"/>
    <w:rsid w:val="00FB36D9"/>
    <w:rsid w:val="00FB3A70"/>
    <w:rsid w:val="00FC0FB1"/>
    <w:rsid w:val="00FC12C9"/>
    <w:rsid w:val="00FC1D95"/>
    <w:rsid w:val="00FC314C"/>
    <w:rsid w:val="00FC3A59"/>
    <w:rsid w:val="00FC50DC"/>
    <w:rsid w:val="00FC5780"/>
    <w:rsid w:val="00FC593D"/>
    <w:rsid w:val="00FC621B"/>
    <w:rsid w:val="00FC6B8C"/>
    <w:rsid w:val="00FD3171"/>
    <w:rsid w:val="00FD69E9"/>
    <w:rsid w:val="00FD750F"/>
    <w:rsid w:val="00FD7D4A"/>
    <w:rsid w:val="00FE4713"/>
    <w:rsid w:val="00FE58D0"/>
    <w:rsid w:val="00FF097A"/>
    <w:rsid w:val="00FF1FEF"/>
    <w:rsid w:val="00FF3BAB"/>
    <w:rsid w:val="00FF3C8C"/>
    <w:rsid w:val="00FF417B"/>
    <w:rsid w:val="00FF4936"/>
    <w:rsid w:val="00FF5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D5"/>
    <w:rPr>
      <w:sz w:val="24"/>
    </w:rPr>
  </w:style>
  <w:style w:type="paragraph" w:styleId="Heading1">
    <w:name w:val="heading 1"/>
    <w:basedOn w:val="Normal"/>
    <w:next w:val="Normal"/>
    <w:link w:val="Heading1Char"/>
    <w:uiPriority w:val="9"/>
    <w:qFormat/>
    <w:rsid w:val="00F81A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3949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AF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81AFB"/>
    <w:rPr>
      <w:b/>
      <w:bCs/>
    </w:rPr>
  </w:style>
  <w:style w:type="paragraph" w:styleId="Quote">
    <w:name w:val="Quote"/>
    <w:basedOn w:val="Normal"/>
    <w:next w:val="Normal"/>
    <w:link w:val="QuoteChar"/>
    <w:uiPriority w:val="29"/>
    <w:qFormat/>
    <w:rsid w:val="00F81AFB"/>
    <w:rPr>
      <w:i/>
      <w:iCs/>
      <w:color w:val="000000" w:themeColor="text1"/>
      <w:lang w:val="en-US"/>
    </w:rPr>
  </w:style>
  <w:style w:type="character" w:customStyle="1" w:styleId="QuoteChar">
    <w:name w:val="Quote Char"/>
    <w:basedOn w:val="DefaultParagraphFont"/>
    <w:link w:val="Quote"/>
    <w:uiPriority w:val="29"/>
    <w:rsid w:val="00F81AFB"/>
    <w:rPr>
      <w:i/>
      <w:iCs/>
      <w:color w:val="000000" w:themeColor="text1"/>
      <w:sz w:val="24"/>
      <w:lang w:val="en-US"/>
    </w:rPr>
  </w:style>
  <w:style w:type="paragraph" w:customStyle="1" w:styleId="SCCNormalDoubleSpacing">
    <w:name w:val="SCC.Normal.DoubleSpacing"/>
    <w:basedOn w:val="Normal"/>
    <w:link w:val="SCCNormalDoubleSpacingChar"/>
    <w:rsid w:val="003536D5"/>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3536D5"/>
    <w:rPr>
      <w:sz w:val="24"/>
    </w:rPr>
  </w:style>
  <w:style w:type="paragraph" w:styleId="Header">
    <w:name w:val="header"/>
    <w:basedOn w:val="Normal"/>
    <w:link w:val="HeaderChar"/>
    <w:uiPriority w:val="99"/>
    <w:unhideWhenUsed/>
    <w:rsid w:val="003536D5"/>
    <w:pPr>
      <w:tabs>
        <w:tab w:val="center" w:pos="4680"/>
        <w:tab w:val="right" w:pos="9360"/>
      </w:tabs>
    </w:pPr>
  </w:style>
  <w:style w:type="character" w:customStyle="1" w:styleId="HeaderChar">
    <w:name w:val="Header Char"/>
    <w:basedOn w:val="DefaultParagraphFont"/>
    <w:link w:val="Header"/>
    <w:uiPriority w:val="99"/>
    <w:rsid w:val="003536D5"/>
    <w:rPr>
      <w:sz w:val="24"/>
    </w:rPr>
  </w:style>
  <w:style w:type="paragraph" w:styleId="Footer">
    <w:name w:val="footer"/>
    <w:basedOn w:val="Normal"/>
    <w:link w:val="FooterChar"/>
    <w:uiPriority w:val="99"/>
    <w:semiHidden/>
    <w:unhideWhenUsed/>
    <w:rsid w:val="003536D5"/>
    <w:pPr>
      <w:tabs>
        <w:tab w:val="center" w:pos="4680"/>
        <w:tab w:val="right" w:pos="9360"/>
      </w:tabs>
    </w:pPr>
  </w:style>
  <w:style w:type="character" w:customStyle="1" w:styleId="FooterChar">
    <w:name w:val="Footer Char"/>
    <w:basedOn w:val="DefaultParagraphFont"/>
    <w:link w:val="Footer"/>
    <w:uiPriority w:val="99"/>
    <w:semiHidden/>
    <w:rsid w:val="003536D5"/>
    <w:rPr>
      <w:sz w:val="24"/>
    </w:rPr>
  </w:style>
  <w:style w:type="paragraph" w:customStyle="1" w:styleId="SCCLsocParty">
    <w:name w:val="SCC.Lsoc.Party"/>
    <w:basedOn w:val="Normal"/>
    <w:next w:val="Normal"/>
    <w:link w:val="SCCLsocPartyChar"/>
    <w:rsid w:val="003536D5"/>
    <w:pPr>
      <w:tabs>
        <w:tab w:val="right" w:pos="8222"/>
      </w:tabs>
      <w:jc w:val="both"/>
    </w:pPr>
    <w:rPr>
      <w:b/>
    </w:rPr>
  </w:style>
  <w:style w:type="character" w:customStyle="1" w:styleId="SCCLsocPartyChar">
    <w:name w:val="SCC.Lsoc.Party Char"/>
    <w:basedOn w:val="DefaultParagraphFont"/>
    <w:link w:val="SCCLsocParty"/>
    <w:rsid w:val="003536D5"/>
    <w:rPr>
      <w:b/>
      <w:sz w:val="24"/>
    </w:rPr>
  </w:style>
  <w:style w:type="paragraph" w:customStyle="1" w:styleId="SCCLsocVersus">
    <w:name w:val="SCC.Lsoc.Versus"/>
    <w:basedOn w:val="Normal"/>
    <w:next w:val="Normal"/>
    <w:link w:val="SCCLsocVersusChar"/>
    <w:rsid w:val="003536D5"/>
    <w:pPr>
      <w:spacing w:after="720"/>
    </w:pPr>
    <w:rPr>
      <w:i/>
    </w:rPr>
  </w:style>
  <w:style w:type="character" w:customStyle="1" w:styleId="SCCLsocVersusChar">
    <w:name w:val="SCC.Lsoc.Versus Char"/>
    <w:basedOn w:val="DefaultParagraphFont"/>
    <w:link w:val="SCCLsocVersus"/>
    <w:rsid w:val="003536D5"/>
    <w:rPr>
      <w:i/>
      <w:sz w:val="24"/>
    </w:rPr>
  </w:style>
  <w:style w:type="character" w:customStyle="1" w:styleId="SCCLsocPartyRole">
    <w:name w:val="SCC.Lsoc.PartyRole"/>
    <w:basedOn w:val="SCCLsocLastPartyInRoleChar"/>
    <w:uiPriority w:val="1"/>
    <w:rsid w:val="003536D5"/>
    <w:rPr>
      <w:i/>
    </w:rPr>
  </w:style>
  <w:style w:type="paragraph" w:customStyle="1" w:styleId="SCCAppellantForRunningHead">
    <w:name w:val="SCC.AppellantForRunningHead"/>
    <w:basedOn w:val="Normal"/>
    <w:next w:val="Normal"/>
    <w:link w:val="SCCAppellantForRunningHeadChar"/>
    <w:rsid w:val="003536D5"/>
    <w:rPr>
      <w:smallCaps/>
    </w:rPr>
  </w:style>
  <w:style w:type="character" w:customStyle="1" w:styleId="SCCAppellantForRunningHeadChar">
    <w:name w:val="SCC.AppellantForRunningHead Char"/>
    <w:basedOn w:val="DefaultParagraphFont"/>
    <w:link w:val="SCCAppellantForRunningHead"/>
    <w:rsid w:val="003536D5"/>
    <w:rPr>
      <w:smallCaps/>
      <w:sz w:val="24"/>
    </w:rPr>
  </w:style>
  <w:style w:type="paragraph" w:customStyle="1" w:styleId="SCCRespondentForRunningHead">
    <w:name w:val="SCC.RespondentForRunningHead"/>
    <w:basedOn w:val="Normal"/>
    <w:next w:val="Normal"/>
    <w:link w:val="SCCRespondentForRunningHeadChar"/>
    <w:rsid w:val="003536D5"/>
    <w:rPr>
      <w:smallCaps/>
    </w:rPr>
  </w:style>
  <w:style w:type="character" w:customStyle="1" w:styleId="SCCRespondentForRunningHeadChar">
    <w:name w:val="SCC.RespondentForRunningHead Char"/>
    <w:basedOn w:val="DefaultParagraphFont"/>
    <w:link w:val="SCCRespondentForRunningHead"/>
    <w:rsid w:val="003536D5"/>
    <w:rPr>
      <w:smallCaps/>
      <w:sz w:val="24"/>
    </w:rPr>
  </w:style>
  <w:style w:type="paragraph" w:customStyle="1" w:styleId="SCCAppellantForIndex">
    <w:name w:val="SCC.AppellantForIndex"/>
    <w:basedOn w:val="Normal"/>
    <w:next w:val="Normal"/>
    <w:link w:val="SCCAppellantForIndexChar"/>
    <w:rsid w:val="003536D5"/>
    <w:rPr>
      <w:b/>
    </w:rPr>
  </w:style>
  <w:style w:type="character" w:customStyle="1" w:styleId="SCCAppellantForIndexChar">
    <w:name w:val="SCC.AppellantForIndex Char"/>
    <w:basedOn w:val="DefaultParagraphFont"/>
    <w:link w:val="SCCAppellantForIndex"/>
    <w:rsid w:val="003536D5"/>
    <w:rPr>
      <w:b/>
      <w:sz w:val="24"/>
    </w:rPr>
  </w:style>
  <w:style w:type="paragraph" w:customStyle="1" w:styleId="SCCRespondentForIndex">
    <w:name w:val="SCC.RespondentForIndex"/>
    <w:basedOn w:val="Normal"/>
    <w:next w:val="Normal"/>
    <w:link w:val="SCCRespondentForIndexChar"/>
    <w:rsid w:val="003536D5"/>
    <w:rPr>
      <w:b/>
    </w:rPr>
  </w:style>
  <w:style w:type="character" w:customStyle="1" w:styleId="SCCRespondentForIndexChar">
    <w:name w:val="SCC.RespondentForIndex Char"/>
    <w:basedOn w:val="DefaultParagraphFont"/>
    <w:link w:val="SCCRespondentForIndex"/>
    <w:rsid w:val="003536D5"/>
    <w:rPr>
      <w:b/>
      <w:sz w:val="24"/>
    </w:rPr>
  </w:style>
  <w:style w:type="paragraph" w:customStyle="1" w:styleId="SCCSystemYear">
    <w:name w:val="SCC.SystemYear"/>
    <w:basedOn w:val="Normal"/>
    <w:next w:val="Normal"/>
    <w:link w:val="SCCSystemYearChar"/>
    <w:rsid w:val="003536D5"/>
    <w:rPr>
      <w:b/>
    </w:rPr>
  </w:style>
  <w:style w:type="character" w:customStyle="1" w:styleId="SCCSystemYearChar">
    <w:name w:val="SCC.SystemYear Char"/>
    <w:basedOn w:val="DefaultParagraphFont"/>
    <w:link w:val="SCCSystemYear"/>
    <w:rsid w:val="003536D5"/>
    <w:rPr>
      <w:b/>
      <w:sz w:val="24"/>
    </w:rPr>
  </w:style>
  <w:style w:type="paragraph" w:customStyle="1" w:styleId="SCCCounselName">
    <w:name w:val="SCC.CounselName"/>
    <w:basedOn w:val="SCCNormalDoubleSpacing"/>
    <w:next w:val="SCCNormalDoubleSpacing"/>
    <w:link w:val="SCCCounselNameChar"/>
    <w:rsid w:val="003536D5"/>
    <w:rPr>
      <w:i/>
    </w:rPr>
  </w:style>
  <w:style w:type="character" w:customStyle="1" w:styleId="SCCCounselNameChar">
    <w:name w:val="SCC.CounselName Char"/>
    <w:basedOn w:val="SCCNormalDoubleSpacingChar"/>
    <w:link w:val="SCCCounselName"/>
    <w:rsid w:val="003536D5"/>
    <w:rPr>
      <w:i/>
    </w:rPr>
  </w:style>
  <w:style w:type="paragraph" w:customStyle="1" w:styleId="SCCItalic">
    <w:name w:val="SCC.Italic"/>
    <w:basedOn w:val="SCCNormalDoubleSpacing"/>
    <w:next w:val="SCCNormalDoubleSpacing"/>
    <w:rsid w:val="003536D5"/>
    <w:rPr>
      <w:i/>
    </w:rPr>
  </w:style>
  <w:style w:type="paragraph" w:customStyle="1" w:styleId="SCCAppellantForCitation">
    <w:name w:val="SCC.AppellantForCitation"/>
    <w:basedOn w:val="Normal"/>
    <w:next w:val="Normal"/>
    <w:link w:val="SCCAppellantForCitationChar"/>
    <w:rsid w:val="003536D5"/>
    <w:rPr>
      <w:i/>
    </w:rPr>
  </w:style>
  <w:style w:type="character" w:customStyle="1" w:styleId="SCCAppellantForCitationChar">
    <w:name w:val="SCC.AppellantForCitation Char"/>
    <w:basedOn w:val="DefaultParagraphFont"/>
    <w:link w:val="SCCAppellantForCitation"/>
    <w:rsid w:val="003536D5"/>
    <w:rPr>
      <w:i/>
      <w:sz w:val="24"/>
    </w:rPr>
  </w:style>
  <w:style w:type="paragraph" w:customStyle="1" w:styleId="SCCRespondentForCitation">
    <w:name w:val="SCC.RespondentForCitation"/>
    <w:basedOn w:val="Normal"/>
    <w:next w:val="Normal"/>
    <w:link w:val="SCCRespondentForCitationChar"/>
    <w:rsid w:val="003536D5"/>
    <w:rPr>
      <w:i/>
    </w:rPr>
  </w:style>
  <w:style w:type="character" w:customStyle="1" w:styleId="SCCRespondentForCitationChar">
    <w:name w:val="SCC.RespondentForCitation Char"/>
    <w:basedOn w:val="DefaultParagraphFont"/>
    <w:link w:val="SCCRespondentForCitation"/>
    <w:rsid w:val="003536D5"/>
    <w:rPr>
      <w:i/>
      <w:sz w:val="24"/>
    </w:rPr>
  </w:style>
  <w:style w:type="paragraph" w:customStyle="1" w:styleId="SCCCounselSeparator">
    <w:name w:val="SCC.CounselSeparator"/>
    <w:basedOn w:val="SCCNormalDoubleSpacing"/>
    <w:next w:val="SCCNormalDoubleSpacing"/>
    <w:link w:val="SCCCounselSeparatorChar"/>
    <w:rsid w:val="003536D5"/>
  </w:style>
  <w:style w:type="character" w:customStyle="1" w:styleId="SCCCounselSeparatorChar">
    <w:name w:val="SCC.CounselSeparator Char"/>
    <w:basedOn w:val="SCCNormalDoubleSpacingChar"/>
    <w:link w:val="SCCCounselSeparator"/>
    <w:rsid w:val="003536D5"/>
  </w:style>
  <w:style w:type="paragraph" w:customStyle="1" w:styleId="SCCLawFirm">
    <w:name w:val="SCC.LawFirm"/>
    <w:basedOn w:val="SCCNormalDoubleSpacing"/>
    <w:next w:val="SCCNormalDoubleSpacing"/>
    <w:link w:val="SCCLawFirmChar"/>
    <w:rsid w:val="003536D5"/>
    <w:rPr>
      <w:i/>
    </w:rPr>
  </w:style>
  <w:style w:type="character" w:customStyle="1" w:styleId="SCCLawFirmChar">
    <w:name w:val="SCC.LawFirm Char"/>
    <w:basedOn w:val="SCCNormalDoubleSpacingChar"/>
    <w:link w:val="SCCLawFirm"/>
    <w:rsid w:val="003536D5"/>
    <w:rPr>
      <w:i/>
    </w:rPr>
  </w:style>
  <w:style w:type="paragraph" w:customStyle="1" w:styleId="SCCCounselPartyRole">
    <w:name w:val="SCC.CounselPartyRole"/>
    <w:basedOn w:val="SCCNormalDoubleSpacing"/>
    <w:next w:val="SCCNormalDoubleSpacing"/>
    <w:link w:val="SCCCounselPartyRoleChar"/>
    <w:rsid w:val="003536D5"/>
  </w:style>
  <w:style w:type="character" w:customStyle="1" w:styleId="SCCCounselPartyRoleChar">
    <w:name w:val="SCC.CounselPartyRole Char"/>
    <w:basedOn w:val="SCCNormalDoubleSpacingChar"/>
    <w:link w:val="SCCCounselPartyRole"/>
    <w:rsid w:val="003536D5"/>
  </w:style>
  <w:style w:type="paragraph" w:customStyle="1" w:styleId="SCCLsocLastPartyInRole">
    <w:name w:val="SCC.Lsoc.LastPartyInRole"/>
    <w:basedOn w:val="Normal"/>
    <w:next w:val="Normal"/>
    <w:link w:val="SCCLsocLastPartyInRoleChar"/>
    <w:qFormat/>
    <w:rsid w:val="003536D5"/>
    <w:pPr>
      <w:tabs>
        <w:tab w:val="right" w:pos="8222"/>
      </w:tabs>
      <w:spacing w:after="720"/>
    </w:pPr>
    <w:rPr>
      <w:b/>
    </w:rPr>
  </w:style>
  <w:style w:type="character" w:customStyle="1" w:styleId="SCCLsocLastPartyInRoleChar">
    <w:name w:val="SCC.Lsoc.LastPartyInRole Char"/>
    <w:basedOn w:val="SCCLsocPartyChar"/>
    <w:link w:val="SCCLsocLastPartyInRole"/>
    <w:rsid w:val="003536D5"/>
  </w:style>
  <w:style w:type="character" w:customStyle="1" w:styleId="SCCLowerCourtJudge">
    <w:name w:val="SCC.LowerCourtJudge"/>
    <w:basedOn w:val="DefaultParagraphFont"/>
    <w:uiPriority w:val="1"/>
    <w:qFormat/>
    <w:rsid w:val="003536D5"/>
  </w:style>
  <w:style w:type="character" w:customStyle="1" w:styleId="Heading2Char">
    <w:name w:val="Heading 2 Char"/>
    <w:basedOn w:val="DefaultParagraphFont"/>
    <w:link w:val="Heading2"/>
    <w:uiPriority w:val="9"/>
    <w:semiHidden/>
    <w:rsid w:val="0039493A"/>
    <w:rPr>
      <w:rFonts w:asciiTheme="majorHAnsi" w:eastAsiaTheme="majorEastAsia" w:hAnsiTheme="majorHAnsi" w:cstheme="majorBidi"/>
      <w:b/>
      <w:bCs/>
      <w:color w:val="4F81BD" w:themeColor="accent1"/>
      <w:sz w:val="26"/>
      <w:szCs w:val="26"/>
    </w:rPr>
  </w:style>
  <w:style w:type="paragraph" w:customStyle="1" w:styleId="SCCLsocOtherPartyRoleSeparator">
    <w:name w:val="SCC.Lsoc.OtherPartyRoleSeparator"/>
    <w:basedOn w:val="Normal"/>
    <w:next w:val="Normal"/>
    <w:link w:val="SCCLsocOtherPartyRoleSeparatorChar"/>
    <w:rsid w:val="0039493A"/>
    <w:pPr>
      <w:spacing w:after="480"/>
    </w:pPr>
    <w:rPr>
      <w:rFonts w:eastAsiaTheme="minorHAnsi" w:cstheme="minorBidi"/>
      <w:szCs w:val="22"/>
      <w:lang w:eastAsia="en-US"/>
    </w:rPr>
  </w:style>
  <w:style w:type="paragraph" w:customStyle="1" w:styleId="SCCLsocOtherPartySeparator">
    <w:name w:val="SCC.Lsoc.OtherPartySeparator"/>
    <w:basedOn w:val="Normal"/>
    <w:next w:val="Normal"/>
    <w:link w:val="SCCLsocOtherPartySeparatorChar"/>
    <w:rsid w:val="0039493A"/>
    <w:pPr>
      <w:spacing w:after="480"/>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39493A"/>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9493A"/>
    <w:rPr>
      <w:rFonts w:eastAsiaTheme="minorHAnsi" w:cstheme="minorBidi"/>
      <w:sz w:val="24"/>
      <w:szCs w:val="22"/>
      <w:lang w:eastAsia="en-US"/>
    </w:rPr>
  </w:style>
  <w:style w:type="character" w:customStyle="1" w:styleId="SCCLsocOtherPartySeparatorChar">
    <w:name w:val="SCC.Lsoc.OtherPartySeparator Char"/>
    <w:basedOn w:val="DefaultParagraphFont"/>
    <w:link w:val="SCCLsocOtherPartySeparator"/>
    <w:rsid w:val="0039493A"/>
    <w:rPr>
      <w:rFonts w:eastAsiaTheme="minorHAnsi" w:cstheme="minorBidi"/>
      <w:sz w:val="24"/>
      <w:szCs w:val="22"/>
      <w:lang w:eastAsia="en-US"/>
    </w:rPr>
  </w:style>
  <w:style w:type="character" w:customStyle="1" w:styleId="SCCLsocSubfileSeparatorChar">
    <w:name w:val="SCC.Lsoc.SubfileSeparator Char"/>
    <w:basedOn w:val="DefaultParagraphFont"/>
    <w:link w:val="SCCLsocSubfileSeparator"/>
    <w:rsid w:val="0039493A"/>
    <w:rPr>
      <w:rFonts w:eastAsiaTheme="minorHAnsi" w:cstheme="minorBidi"/>
      <w:sz w:val="24"/>
      <w:szCs w:val="22"/>
      <w:lang w:eastAsia="en-US"/>
    </w:rPr>
  </w:style>
  <w:style w:type="paragraph" w:customStyle="1" w:styleId="SCCBanSummary">
    <w:name w:val="SCC.BanSummary"/>
    <w:basedOn w:val="Normal"/>
    <w:next w:val="Normal"/>
    <w:link w:val="SCCBanSummaryChar"/>
    <w:rsid w:val="0039493A"/>
    <w:pPr>
      <w:jc w:val="right"/>
    </w:pPr>
    <w:rPr>
      <w:rFonts w:eastAsiaTheme="minorEastAsia"/>
      <w:b/>
      <w:szCs w:val="24"/>
    </w:rPr>
  </w:style>
  <w:style w:type="character" w:customStyle="1" w:styleId="SCCBanSummaryChar">
    <w:name w:val="SCC.BanSummary Char"/>
    <w:basedOn w:val="DefaultParagraphFont"/>
    <w:link w:val="SCCBanSummary"/>
    <w:rsid w:val="0039493A"/>
    <w:rPr>
      <w:rFonts w:eastAsiaTheme="minorEastAsia"/>
      <w:b/>
      <w:sz w:val="24"/>
      <w:szCs w:val="24"/>
    </w:rPr>
  </w:style>
  <w:style w:type="character" w:styleId="PlaceholderText">
    <w:name w:val="Placeholder Text"/>
    <w:basedOn w:val="DefaultParagraphFont"/>
    <w:uiPriority w:val="99"/>
    <w:semiHidden/>
    <w:rsid w:val="0039493A"/>
    <w:rPr>
      <w:color w:val="808080"/>
    </w:rPr>
  </w:style>
  <w:style w:type="paragraph" w:styleId="BalloonText">
    <w:name w:val="Balloon Text"/>
    <w:basedOn w:val="Normal"/>
    <w:link w:val="BalloonTextChar"/>
    <w:uiPriority w:val="99"/>
    <w:semiHidden/>
    <w:unhideWhenUsed/>
    <w:rsid w:val="0039493A"/>
    <w:rPr>
      <w:rFonts w:ascii="Tahoma" w:hAnsi="Tahoma" w:cs="Tahoma"/>
      <w:sz w:val="16"/>
      <w:szCs w:val="16"/>
    </w:rPr>
  </w:style>
  <w:style w:type="character" w:customStyle="1" w:styleId="BalloonTextChar">
    <w:name w:val="Balloon Text Char"/>
    <w:basedOn w:val="DefaultParagraphFont"/>
    <w:link w:val="BalloonText"/>
    <w:uiPriority w:val="99"/>
    <w:semiHidden/>
    <w:rsid w:val="0039493A"/>
    <w:rPr>
      <w:rFonts w:ascii="Tahoma" w:hAnsi="Tahoma" w:cs="Tahoma"/>
      <w:sz w:val="16"/>
      <w:szCs w:val="16"/>
    </w:rPr>
  </w:style>
  <w:style w:type="table" w:styleId="TableGrid">
    <w:name w:val="Table Grid"/>
    <w:basedOn w:val="TableNormal"/>
    <w:uiPriority w:val="59"/>
    <w:rsid w:val="0039493A"/>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9493A"/>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9493A"/>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39493A"/>
    <w:pPr>
      <w:tabs>
        <w:tab w:val="left" w:pos="1166"/>
      </w:tabs>
      <w:spacing w:after="480" w:line="480" w:lineRule="auto"/>
    </w:pPr>
    <w:rPr>
      <w:smallCaps/>
      <w:sz w:val="24"/>
      <w:szCs w:val="24"/>
    </w:rPr>
  </w:style>
  <w:style w:type="paragraph" w:customStyle="1" w:styleId="ParaNoNdepar-AltN">
    <w:name w:val="Para. No. / Nº de par. - Alt N"/>
    <w:qFormat/>
    <w:rsid w:val="0039493A"/>
    <w:pPr>
      <w:numPr>
        <w:numId w:val="1"/>
      </w:numPr>
      <w:tabs>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39493A"/>
    <w:pPr>
      <w:numPr>
        <w:numId w:val="2"/>
      </w:numPr>
      <w:tabs>
        <w:tab w:val="left" w:pos="576"/>
      </w:tabs>
      <w:spacing w:before="480" w:after="720"/>
      <w:ind w:left="576" w:hanging="576"/>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9493A"/>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39493A"/>
    <w:pPr>
      <w:numPr>
        <w:ilvl w:val="2"/>
      </w:numPr>
      <w:tabs>
        <w:tab w:val="clear" w:pos="576"/>
        <w:tab w:val="num" w:pos="1080"/>
      </w:tabs>
      <w:spacing w:before="0"/>
      <w:ind w:left="1094" w:hanging="547"/>
    </w:pPr>
  </w:style>
  <w:style w:type="paragraph" w:customStyle="1" w:styleId="Title4LevelTitre4Niveau">
    <w:name w:val="Title 4 Level / Titre 4 Niveau"/>
    <w:basedOn w:val="Title3LevelTitre3Niveau"/>
    <w:next w:val="ParaNoNdepar-AltN"/>
    <w:uiPriority w:val="4"/>
    <w:qFormat/>
    <w:rsid w:val="0039493A"/>
    <w:pPr>
      <w:numPr>
        <w:ilvl w:val="3"/>
      </w:numPr>
      <w:tabs>
        <w:tab w:val="left" w:pos="1080"/>
        <w:tab w:val="num" w:pos="6048"/>
      </w:tabs>
    </w:pPr>
    <w:rPr>
      <w:i/>
      <w:u w:val="none"/>
    </w:rPr>
  </w:style>
  <w:style w:type="paragraph" w:customStyle="1" w:styleId="Title5LevelTitre5Niveau">
    <w:name w:val="Title 5 Level / Titre 5 Niveau"/>
    <w:basedOn w:val="Title1LevelTitre1Niveau-AltL"/>
    <w:next w:val="ParaNoNdepar-AltN"/>
    <w:uiPriority w:val="4"/>
    <w:qFormat/>
    <w:rsid w:val="0039493A"/>
    <w:pPr>
      <w:numPr>
        <w:ilvl w:val="4"/>
      </w:numPr>
      <w:tabs>
        <w:tab w:val="clear" w:pos="576"/>
        <w:tab w:val="left" w:pos="1620"/>
      </w:tabs>
      <w:spacing w:before="0"/>
    </w:pPr>
  </w:style>
  <w:style w:type="paragraph" w:styleId="TOC1">
    <w:name w:val="toc 1"/>
    <w:basedOn w:val="Normal"/>
    <w:next w:val="Normal"/>
    <w:autoRedefine/>
    <w:uiPriority w:val="39"/>
    <w:unhideWhenUsed/>
    <w:rsid w:val="008E3BA9"/>
    <w:pPr>
      <w:tabs>
        <w:tab w:val="left" w:pos="0"/>
        <w:tab w:val="right" w:leader="dot" w:pos="8270"/>
      </w:tabs>
      <w:spacing w:before="120" w:after="120"/>
      <w:ind w:left="540" w:hanging="540"/>
    </w:pPr>
    <w:rPr>
      <w:rFonts w:eastAsiaTheme="minorEastAsia" w:cstheme="minorBidi"/>
      <w:noProof/>
      <w:szCs w:val="22"/>
    </w:rPr>
  </w:style>
  <w:style w:type="paragraph" w:styleId="TOC2">
    <w:name w:val="toc 2"/>
    <w:basedOn w:val="Normal"/>
    <w:next w:val="Normal"/>
    <w:autoRedefine/>
    <w:uiPriority w:val="39"/>
    <w:unhideWhenUsed/>
    <w:rsid w:val="0039493A"/>
    <w:pPr>
      <w:tabs>
        <w:tab w:val="left" w:pos="540"/>
        <w:tab w:val="right" w:leader="dot" w:pos="8270"/>
      </w:tabs>
      <w:spacing w:before="120" w:after="120"/>
      <w:ind w:left="540" w:hanging="540"/>
    </w:pPr>
    <w:rPr>
      <w:rFonts w:eastAsiaTheme="minorEastAsia" w:cstheme="minorBidi"/>
      <w:i/>
      <w:noProof/>
      <w:szCs w:val="22"/>
    </w:rPr>
  </w:style>
  <w:style w:type="paragraph" w:styleId="TOC3">
    <w:name w:val="toc 3"/>
    <w:basedOn w:val="Normal"/>
    <w:next w:val="Normal"/>
    <w:autoRedefine/>
    <w:uiPriority w:val="39"/>
    <w:unhideWhenUsed/>
    <w:rsid w:val="0039493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9493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9493A"/>
    <w:pPr>
      <w:keepNext/>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9493A"/>
    <w:pPr>
      <w:tabs>
        <w:tab w:val="left" w:pos="2160"/>
        <w:tab w:val="right" w:leader="dot" w:pos="8270"/>
      </w:tabs>
      <w:spacing w:after="100"/>
      <w:ind w:left="1800"/>
    </w:pPr>
    <w:rPr>
      <w:noProof/>
    </w:rPr>
  </w:style>
  <w:style w:type="table" w:customStyle="1" w:styleId="TableGrid1">
    <w:name w:val="Table Grid1"/>
    <w:basedOn w:val="TableNormal"/>
    <w:uiPriority w:val="59"/>
    <w:rsid w:val="0039493A"/>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39493A"/>
    <w:pPr>
      <w:tabs>
        <w:tab w:val="left" w:pos="360"/>
      </w:tabs>
      <w:spacing w:before="480" w:after="720"/>
      <w:ind w:left="360" w:hanging="360"/>
      <w:jc w:val="both"/>
    </w:pPr>
    <w:rPr>
      <w:rFonts w:eastAsiaTheme="minorHAnsi" w:cstheme="minorBidi"/>
      <w:sz w:val="24"/>
      <w:szCs w:val="22"/>
      <w:lang w:eastAsia="en-US"/>
    </w:rPr>
  </w:style>
  <w:style w:type="paragraph" w:styleId="DocumentMap">
    <w:name w:val="Document Map"/>
    <w:basedOn w:val="Normal"/>
    <w:link w:val="DocumentMapChar"/>
    <w:uiPriority w:val="99"/>
    <w:semiHidden/>
    <w:unhideWhenUsed/>
    <w:rsid w:val="0039493A"/>
    <w:rPr>
      <w:rFonts w:ascii="Tahoma" w:hAnsi="Tahoma" w:cs="Tahoma"/>
      <w:sz w:val="16"/>
      <w:szCs w:val="16"/>
    </w:rPr>
  </w:style>
  <w:style w:type="character" w:customStyle="1" w:styleId="DocumentMapChar">
    <w:name w:val="Document Map Char"/>
    <w:basedOn w:val="DefaultParagraphFont"/>
    <w:link w:val="DocumentMap"/>
    <w:uiPriority w:val="99"/>
    <w:semiHidden/>
    <w:rsid w:val="0039493A"/>
    <w:rPr>
      <w:rFonts w:ascii="Tahoma" w:hAnsi="Tahoma" w:cs="Tahoma"/>
      <w:sz w:val="16"/>
      <w:szCs w:val="16"/>
    </w:rPr>
  </w:style>
  <w:style w:type="character" w:styleId="Hyperlink">
    <w:name w:val="Hyperlink"/>
    <w:basedOn w:val="DefaultParagraphFont"/>
    <w:uiPriority w:val="99"/>
    <w:unhideWhenUsed/>
    <w:rsid w:val="0039493A"/>
    <w:rPr>
      <w:color w:val="0000FF" w:themeColor="hyperlink"/>
      <w:u w:val="single"/>
    </w:rPr>
  </w:style>
  <w:style w:type="paragraph" w:styleId="FootnoteText">
    <w:name w:val="footnote text"/>
    <w:basedOn w:val="Normal"/>
    <w:link w:val="FootnoteTextChar"/>
    <w:uiPriority w:val="99"/>
    <w:semiHidden/>
    <w:unhideWhenUsed/>
    <w:rsid w:val="0039493A"/>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39493A"/>
    <w:rPr>
      <w:rFonts w:eastAsiaTheme="minorHAnsi" w:cstheme="minorBidi"/>
      <w:lang w:val="en-US" w:eastAsia="en-US" w:bidi="en-US"/>
    </w:rPr>
  </w:style>
  <w:style w:type="character" w:styleId="FootnoteReference">
    <w:name w:val="footnote reference"/>
    <w:basedOn w:val="DefaultParagraphFont"/>
    <w:uiPriority w:val="99"/>
    <w:semiHidden/>
    <w:unhideWhenUsed/>
    <w:rsid w:val="0039493A"/>
    <w:rPr>
      <w:vertAlign w:val="superscript"/>
    </w:rPr>
  </w:style>
  <w:style w:type="paragraph" w:styleId="ListParagraph">
    <w:name w:val="List Paragraph"/>
    <w:basedOn w:val="Normal"/>
    <w:uiPriority w:val="34"/>
    <w:rsid w:val="0039493A"/>
    <w:pPr>
      <w:ind w:left="720"/>
      <w:contextualSpacing/>
    </w:pPr>
    <w:rPr>
      <w:rFonts w:eastAsiaTheme="minorHAnsi" w:cstheme="minorBidi"/>
      <w:szCs w:val="22"/>
      <w:lang w:val="en-US" w:eastAsia="en-US" w:bidi="en-US"/>
    </w:rPr>
  </w:style>
  <w:style w:type="character" w:styleId="SubtleEmphasis">
    <w:name w:val="Subtle Emphasis"/>
    <w:basedOn w:val="DefaultParagraphFont"/>
    <w:uiPriority w:val="19"/>
    <w:rsid w:val="0039493A"/>
    <w:rPr>
      <w:i/>
      <w:iCs/>
      <w:color w:val="808080" w:themeColor="text1" w:themeTint="7F"/>
    </w:rPr>
  </w:style>
  <w:style w:type="character" w:styleId="CommentReference">
    <w:name w:val="annotation reference"/>
    <w:basedOn w:val="DefaultParagraphFont"/>
    <w:uiPriority w:val="99"/>
    <w:semiHidden/>
    <w:unhideWhenUsed/>
    <w:rsid w:val="0039493A"/>
    <w:rPr>
      <w:sz w:val="16"/>
      <w:szCs w:val="16"/>
    </w:rPr>
  </w:style>
  <w:style w:type="paragraph" w:styleId="CommentText">
    <w:name w:val="annotation text"/>
    <w:basedOn w:val="Normal"/>
    <w:link w:val="CommentTextChar"/>
    <w:uiPriority w:val="99"/>
    <w:semiHidden/>
    <w:unhideWhenUsed/>
    <w:rsid w:val="0039493A"/>
    <w:rPr>
      <w:sz w:val="20"/>
    </w:rPr>
  </w:style>
  <w:style w:type="character" w:customStyle="1" w:styleId="CommentTextChar">
    <w:name w:val="Comment Text Char"/>
    <w:basedOn w:val="DefaultParagraphFont"/>
    <w:link w:val="CommentText"/>
    <w:uiPriority w:val="99"/>
    <w:semiHidden/>
    <w:rsid w:val="0039493A"/>
  </w:style>
  <w:style w:type="paragraph" w:styleId="CommentSubject">
    <w:name w:val="annotation subject"/>
    <w:basedOn w:val="CommentText"/>
    <w:next w:val="CommentText"/>
    <w:link w:val="CommentSubjectChar"/>
    <w:uiPriority w:val="99"/>
    <w:semiHidden/>
    <w:unhideWhenUsed/>
    <w:rsid w:val="0039493A"/>
    <w:rPr>
      <w:b/>
      <w:bCs/>
    </w:rPr>
  </w:style>
  <w:style w:type="character" w:customStyle="1" w:styleId="CommentSubjectChar">
    <w:name w:val="Comment Subject Char"/>
    <w:basedOn w:val="CommentTextChar"/>
    <w:link w:val="CommentSubject"/>
    <w:uiPriority w:val="99"/>
    <w:semiHidden/>
    <w:rsid w:val="0039493A"/>
    <w:rPr>
      <w:b/>
      <w:bCs/>
    </w:rPr>
  </w:style>
  <w:style w:type="character" w:styleId="FollowedHyperlink">
    <w:name w:val="FollowedHyperlink"/>
    <w:basedOn w:val="DefaultParagraphFont"/>
    <w:uiPriority w:val="99"/>
    <w:semiHidden/>
    <w:unhideWhenUsed/>
    <w:rsid w:val="0039493A"/>
    <w:rPr>
      <w:color w:val="800080" w:themeColor="followedHyperlink"/>
      <w:u w:val="single"/>
    </w:rPr>
  </w:style>
  <w:style w:type="character" w:styleId="HTMLDefinition">
    <w:name w:val="HTML Definition"/>
    <w:basedOn w:val="DefaultParagraphFont"/>
    <w:uiPriority w:val="99"/>
    <w:semiHidden/>
    <w:unhideWhenUsed/>
    <w:rsid w:val="0039493A"/>
    <w:rPr>
      <w:i w:val="0"/>
      <w:iCs w:val="0"/>
    </w:rPr>
  </w:style>
  <w:style w:type="character" w:customStyle="1" w:styleId="c16">
    <w:name w:val="c16"/>
    <w:basedOn w:val="DefaultParagraphFont"/>
    <w:rsid w:val="0039493A"/>
  </w:style>
  <w:style w:type="character" w:customStyle="1" w:styleId="term01">
    <w:name w:val="term01"/>
    <w:basedOn w:val="DefaultParagraphFont"/>
    <w:rsid w:val="0039493A"/>
    <w:rPr>
      <w:shd w:val="clear" w:color="auto" w:fill="BFE8FD"/>
    </w:rPr>
  </w:style>
  <w:style w:type="character" w:customStyle="1" w:styleId="SCCLsocPartyRoleChar">
    <w:name w:val="SCC.Lsoc.PartyRole Char"/>
    <w:basedOn w:val="DefaultParagraphFont"/>
    <w:rsid w:val="00F74BDC"/>
    <w:rPr>
      <w:lang w:val="fr-CA"/>
    </w:rPr>
  </w:style>
  <w:style w:type="paragraph" w:customStyle="1" w:styleId="SCCLsocPrefix">
    <w:name w:val="SCC.Lsoc.Prefix"/>
    <w:basedOn w:val="Normal"/>
    <w:next w:val="Normal"/>
    <w:link w:val="SCCLsocPrefixChar"/>
    <w:rsid w:val="00F74BD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74BDC"/>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63D44-3D6F-4B8D-8CC7-2821FB3C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111</Pages>
  <Words>26968</Words>
  <Characters>153724</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68</cp:revision>
  <cp:lastPrinted>2015-05-21T13:11:00Z</cp:lastPrinted>
  <dcterms:created xsi:type="dcterms:W3CDTF">2015-01-27T19:27:00Z</dcterms:created>
  <dcterms:modified xsi:type="dcterms:W3CDTF">2015-05-21T13:13:00Z</dcterms:modified>
</cp:coreProperties>
</file>