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F8" w:rsidRDefault="000512F8" w:rsidP="000512F8">
      <w:pPr>
        <w:pStyle w:val="Header"/>
        <w:jc w:val="center"/>
      </w:pP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503292864" r:id="rId9"/>
        </w:object>
      </w:r>
    </w:p>
    <w:p w:rsidR="000512F8" w:rsidRDefault="000512F8" w:rsidP="000512F8">
      <w:pPr>
        <w:pStyle w:val="Header"/>
      </w:pPr>
    </w:p>
    <w:p w:rsidR="000512F8" w:rsidRPr="001E12E2" w:rsidRDefault="000512F8" w:rsidP="000512F8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0512F8" w:rsidRDefault="000512F8" w:rsidP="000512F8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6768"/>
        <w:gridCol w:w="2808"/>
      </w:tblGrid>
      <w:tr w:rsidR="000512F8" w:rsidRPr="001E12E2" w:rsidTr="00536CD0">
        <w:trPr>
          <w:cantSplit/>
        </w:trPr>
        <w:tc>
          <w:tcPr>
            <w:tcW w:w="6768" w:type="dxa"/>
          </w:tcPr>
          <w:p w:rsidR="000512F8" w:rsidRPr="000512F8" w:rsidRDefault="000512F8" w:rsidP="00536CD0">
            <w:pPr>
              <w:rPr>
                <w:lang w:val="fr-CA"/>
              </w:rPr>
            </w:pPr>
            <w:r w:rsidRPr="000512F8">
              <w:rPr>
                <w:b/>
                <w:smallCaps/>
                <w:lang w:val="fr-CA"/>
              </w:rPr>
              <w:t>Référence :</w:t>
            </w:r>
            <w:r w:rsidRPr="000512F8">
              <w:rPr>
                <w:lang w:val="fr-CA"/>
              </w:rPr>
              <w:t xml:space="preserve"> R.</w:t>
            </w:r>
            <w:r w:rsidRPr="000512F8">
              <w:rPr>
                <w:i/>
                <w:lang w:val="fr-CA"/>
              </w:rPr>
              <w:t xml:space="preserve"> c. </w:t>
            </w:r>
            <w:proofErr w:type="spellStart"/>
            <w:r w:rsidRPr="000512F8">
              <w:rPr>
                <w:lang w:val="fr-CA"/>
              </w:rPr>
              <w:t>Sanghera</w:t>
            </w:r>
            <w:proofErr w:type="spellEnd"/>
            <w:r w:rsidRPr="000512F8">
              <w:rPr>
                <w:lang w:val="fr-CA"/>
              </w:rPr>
              <w:t>, 2015 CSC 13, [2015] 1 R.C.S. 691</w:t>
            </w:r>
          </w:p>
        </w:tc>
        <w:tc>
          <w:tcPr>
            <w:tcW w:w="2808" w:type="dxa"/>
          </w:tcPr>
          <w:p w:rsidR="000512F8" w:rsidRPr="001E12E2" w:rsidRDefault="000512F8" w:rsidP="00536CD0">
            <w:r w:rsidRPr="001E12E2">
              <w:rPr>
                <w:b/>
                <w:smallCaps/>
              </w:rPr>
              <w:t>Date</w:t>
            </w:r>
            <w:r>
              <w:rPr>
                <w:b/>
                <w:smallCaps/>
              </w:rPr>
              <w:t> :</w:t>
            </w:r>
            <w:r w:rsidRPr="001E12E2">
              <w:t xml:space="preserve"> </w:t>
            </w:r>
            <w:r>
              <w:t>20150319</w:t>
            </w:r>
          </w:p>
          <w:p w:rsidR="000512F8" w:rsidRPr="001E12E2" w:rsidRDefault="000512F8" w:rsidP="00536CD0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 w:rsidRPr="00CF60C4">
              <w:t>3</w:t>
            </w:r>
            <w:r>
              <w:t>6017</w:t>
            </w:r>
          </w:p>
        </w:tc>
      </w:tr>
    </w:tbl>
    <w:p w:rsidR="000512F8" w:rsidRPr="001E12E2" w:rsidRDefault="000512F8" w:rsidP="000512F8"/>
    <w:p w:rsidR="000512F8" w:rsidRDefault="000512F8" w:rsidP="000512F8">
      <w:pPr>
        <w:pStyle w:val="SCCLsocPrefix"/>
      </w:pPr>
      <w:r>
        <w:t>Entre :</w:t>
      </w:r>
    </w:p>
    <w:p w:rsidR="000512F8" w:rsidRPr="000512F8" w:rsidRDefault="000512F8" w:rsidP="000512F8">
      <w:pPr>
        <w:pStyle w:val="SCCLsocParty"/>
        <w:jc w:val="center"/>
        <w:rPr>
          <w:lang w:val="fr-CA"/>
        </w:rPr>
      </w:pPr>
      <w:proofErr w:type="spellStart"/>
      <w:r w:rsidRPr="000512F8">
        <w:rPr>
          <w:lang w:val="fr-CA"/>
        </w:rPr>
        <w:t>Savdip</w:t>
      </w:r>
      <w:proofErr w:type="spellEnd"/>
      <w:r w:rsidRPr="000512F8">
        <w:rPr>
          <w:lang w:val="fr-CA"/>
        </w:rPr>
        <w:t xml:space="preserve"> </w:t>
      </w:r>
      <w:proofErr w:type="spellStart"/>
      <w:r w:rsidRPr="000512F8">
        <w:rPr>
          <w:lang w:val="fr-CA"/>
        </w:rPr>
        <w:t>Sanghera</w:t>
      </w:r>
      <w:proofErr w:type="spellEnd"/>
    </w:p>
    <w:p w:rsidR="000512F8" w:rsidRPr="000512F8" w:rsidRDefault="000512F8" w:rsidP="000512F8">
      <w:pPr>
        <w:jc w:val="center"/>
        <w:rPr>
          <w:lang w:val="fr-CA"/>
        </w:rPr>
      </w:pPr>
      <w:r w:rsidRPr="000512F8">
        <w:rPr>
          <w:lang w:val="fr-CA"/>
        </w:rPr>
        <w:t>Appelant</w:t>
      </w:r>
    </w:p>
    <w:p w:rsidR="000512F8" w:rsidRPr="000512F8" w:rsidRDefault="000512F8" w:rsidP="000512F8">
      <w:pPr>
        <w:pStyle w:val="SCCLsocVersus"/>
        <w:spacing w:after="0"/>
        <w:jc w:val="center"/>
        <w:rPr>
          <w:i w:val="0"/>
          <w:lang w:val="fr-CA"/>
        </w:rPr>
      </w:pPr>
      <w:proofErr w:type="gramStart"/>
      <w:r w:rsidRPr="000512F8">
        <w:rPr>
          <w:i w:val="0"/>
          <w:lang w:val="fr-CA"/>
        </w:rPr>
        <w:t>et</w:t>
      </w:r>
      <w:proofErr w:type="gramEnd"/>
    </w:p>
    <w:p w:rsidR="000512F8" w:rsidRPr="000512F8" w:rsidRDefault="000512F8" w:rsidP="000512F8">
      <w:pPr>
        <w:pStyle w:val="SCCLsocParty"/>
        <w:jc w:val="center"/>
        <w:rPr>
          <w:lang w:val="fr-CA"/>
        </w:rPr>
      </w:pPr>
      <w:r w:rsidRPr="000512F8">
        <w:rPr>
          <w:lang w:val="fr-CA"/>
        </w:rPr>
        <w:t>Sa Majesté la Reine</w:t>
      </w:r>
    </w:p>
    <w:p w:rsidR="000512F8" w:rsidRPr="000512F8" w:rsidRDefault="000512F8" w:rsidP="000512F8">
      <w:pPr>
        <w:jc w:val="center"/>
        <w:rPr>
          <w:lang w:val="fr-CA"/>
        </w:rPr>
      </w:pPr>
      <w:r w:rsidRPr="000512F8">
        <w:rPr>
          <w:lang w:val="fr-CA"/>
        </w:rPr>
        <w:t>Intimée</w:t>
      </w:r>
    </w:p>
    <w:p w:rsidR="000512F8" w:rsidRPr="000512F8" w:rsidRDefault="000512F8" w:rsidP="000512F8">
      <w:pPr>
        <w:jc w:val="center"/>
        <w:rPr>
          <w:lang w:val="fr-CA"/>
        </w:rPr>
      </w:pPr>
    </w:p>
    <w:p w:rsidR="000512F8" w:rsidRPr="000512F8" w:rsidRDefault="000512F8" w:rsidP="000512F8">
      <w:pPr>
        <w:jc w:val="center"/>
        <w:rPr>
          <w:b/>
          <w:smallCaps/>
          <w:lang w:val="fr-CA"/>
        </w:rPr>
      </w:pPr>
      <w:r w:rsidRPr="000512F8">
        <w:rPr>
          <w:b/>
          <w:smallCaps/>
          <w:lang w:val="fr-CA"/>
        </w:rPr>
        <w:t>Traduction française officielle</w:t>
      </w:r>
    </w:p>
    <w:p w:rsidR="000512F8" w:rsidRPr="000512F8" w:rsidRDefault="000512F8" w:rsidP="000512F8">
      <w:pPr>
        <w:rPr>
          <w:lang w:val="fr-CA"/>
        </w:rPr>
      </w:pPr>
    </w:p>
    <w:p w:rsidR="000512F8" w:rsidRPr="000512F8" w:rsidRDefault="000512F8" w:rsidP="000512F8">
      <w:pPr>
        <w:jc w:val="both"/>
        <w:rPr>
          <w:lang w:val="fr-CA"/>
        </w:rPr>
      </w:pPr>
      <w:r w:rsidRPr="000512F8">
        <w:rPr>
          <w:b/>
          <w:smallCaps/>
          <w:lang w:val="fr-CA"/>
        </w:rPr>
        <w:t>Coram :</w:t>
      </w:r>
      <w:r w:rsidRPr="000512F8">
        <w:rPr>
          <w:lang w:val="fr-CA"/>
        </w:rPr>
        <w:t xml:space="preserve"> La juge en chef </w:t>
      </w:r>
      <w:proofErr w:type="spellStart"/>
      <w:r w:rsidRPr="000512F8">
        <w:rPr>
          <w:lang w:val="fr-CA"/>
        </w:rPr>
        <w:t>McLachlin</w:t>
      </w:r>
      <w:proofErr w:type="spellEnd"/>
      <w:r w:rsidRPr="000512F8">
        <w:rPr>
          <w:lang w:val="fr-CA"/>
        </w:rPr>
        <w:t xml:space="preserve"> et les juges Abella, </w:t>
      </w:r>
      <w:proofErr w:type="spellStart"/>
      <w:r w:rsidRPr="000512F8">
        <w:rPr>
          <w:lang w:val="fr-CA"/>
        </w:rPr>
        <w:t>Rothstein</w:t>
      </w:r>
      <w:proofErr w:type="spellEnd"/>
      <w:r w:rsidRPr="000512F8">
        <w:rPr>
          <w:lang w:val="fr-CA"/>
        </w:rPr>
        <w:t xml:space="preserve">, </w:t>
      </w:r>
      <w:proofErr w:type="spellStart"/>
      <w:r w:rsidRPr="000512F8">
        <w:rPr>
          <w:lang w:val="fr-CA"/>
        </w:rPr>
        <w:t>Moldaver</w:t>
      </w:r>
      <w:proofErr w:type="spellEnd"/>
      <w:r w:rsidRPr="000512F8">
        <w:rPr>
          <w:lang w:val="fr-CA"/>
        </w:rPr>
        <w:t xml:space="preserve">, </w:t>
      </w:r>
      <w:proofErr w:type="spellStart"/>
      <w:r w:rsidRPr="000512F8">
        <w:rPr>
          <w:lang w:val="fr-CA"/>
        </w:rPr>
        <w:t>Karakatsanis</w:t>
      </w:r>
      <w:proofErr w:type="spellEnd"/>
      <w:r w:rsidRPr="000512F8">
        <w:rPr>
          <w:lang w:val="fr-CA"/>
        </w:rPr>
        <w:t>, Gascon et Côté</w:t>
      </w:r>
    </w:p>
    <w:p w:rsidR="000512F8" w:rsidRPr="000512F8" w:rsidRDefault="000512F8" w:rsidP="000512F8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0512F8" w:rsidRPr="005B612B" w:rsidTr="00536CD0">
        <w:trPr>
          <w:cantSplit/>
        </w:trPr>
        <w:tc>
          <w:tcPr>
            <w:tcW w:w="3618" w:type="dxa"/>
          </w:tcPr>
          <w:p w:rsidR="000512F8" w:rsidRPr="000512F8" w:rsidRDefault="000512F8" w:rsidP="00536CD0">
            <w:pPr>
              <w:rPr>
                <w:b/>
                <w:smallCaps/>
                <w:lang w:val="fr-CA"/>
              </w:rPr>
            </w:pPr>
            <w:r w:rsidRPr="000512F8">
              <w:rPr>
                <w:b/>
                <w:smallCaps/>
                <w:lang w:val="fr-CA"/>
              </w:rPr>
              <w:t>Motifs de jugement :</w:t>
            </w:r>
          </w:p>
          <w:p w:rsidR="000512F8" w:rsidRPr="000512F8" w:rsidRDefault="000512F8" w:rsidP="00536CD0">
            <w:pPr>
              <w:rPr>
                <w:lang w:val="fr-CA"/>
              </w:rPr>
            </w:pPr>
            <w:r w:rsidRPr="000512F8">
              <w:rPr>
                <w:lang w:val="fr-CA"/>
              </w:rPr>
              <w:t>(par. 1 à 5)</w:t>
            </w:r>
          </w:p>
        </w:tc>
        <w:tc>
          <w:tcPr>
            <w:tcW w:w="5958" w:type="dxa"/>
          </w:tcPr>
          <w:p w:rsidR="000512F8" w:rsidRPr="000512F8" w:rsidRDefault="000512F8" w:rsidP="00536CD0">
            <w:pPr>
              <w:jc w:val="both"/>
              <w:rPr>
                <w:lang w:val="fr-CA"/>
              </w:rPr>
            </w:pPr>
            <w:r w:rsidRPr="000512F8">
              <w:rPr>
                <w:lang w:val="fr-CA"/>
              </w:rPr>
              <w:t xml:space="preserve">La juge en chef </w:t>
            </w:r>
            <w:proofErr w:type="spellStart"/>
            <w:r w:rsidRPr="000512F8">
              <w:rPr>
                <w:lang w:val="fr-CA"/>
              </w:rPr>
              <w:t>McLachlin</w:t>
            </w:r>
            <w:proofErr w:type="spellEnd"/>
            <w:r w:rsidRPr="000512F8">
              <w:rPr>
                <w:lang w:val="fr-CA"/>
              </w:rPr>
              <w:t xml:space="preserve"> (avec l’accord des juges Abella, </w:t>
            </w:r>
            <w:proofErr w:type="spellStart"/>
            <w:r w:rsidRPr="000512F8">
              <w:rPr>
                <w:lang w:val="fr-CA"/>
              </w:rPr>
              <w:t>Rothstein</w:t>
            </w:r>
            <w:proofErr w:type="spellEnd"/>
            <w:r w:rsidRPr="000512F8">
              <w:rPr>
                <w:lang w:val="fr-CA"/>
              </w:rPr>
              <w:t xml:space="preserve">, </w:t>
            </w:r>
            <w:proofErr w:type="spellStart"/>
            <w:r w:rsidRPr="000512F8">
              <w:rPr>
                <w:lang w:val="fr-CA"/>
              </w:rPr>
              <w:t>Moldaver</w:t>
            </w:r>
            <w:proofErr w:type="spellEnd"/>
            <w:r w:rsidRPr="000512F8">
              <w:rPr>
                <w:lang w:val="fr-CA"/>
              </w:rPr>
              <w:t xml:space="preserve">, </w:t>
            </w:r>
            <w:proofErr w:type="spellStart"/>
            <w:r w:rsidRPr="000512F8">
              <w:rPr>
                <w:lang w:val="fr-CA"/>
              </w:rPr>
              <w:t>Karakatsanis</w:t>
            </w:r>
            <w:proofErr w:type="spellEnd"/>
            <w:r w:rsidRPr="000512F8">
              <w:rPr>
                <w:lang w:val="fr-CA"/>
              </w:rPr>
              <w:t>, Gascon et Côté)</w:t>
            </w:r>
          </w:p>
        </w:tc>
      </w:tr>
    </w:tbl>
    <w:p w:rsidR="000512F8" w:rsidRPr="000512F8" w:rsidRDefault="000512F8" w:rsidP="000512F8">
      <w:pPr>
        <w:rPr>
          <w:lang w:val="fr-CA"/>
        </w:rPr>
      </w:pPr>
    </w:p>
    <w:p w:rsidR="000512F8" w:rsidRPr="000512F8" w:rsidRDefault="005B612B" w:rsidP="000512F8">
      <w:pPr>
        <w:rPr>
          <w:lang w:val="fr-C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</w:pict>
      </w:r>
    </w:p>
    <w:p w:rsidR="000512F8" w:rsidRPr="000512F8" w:rsidRDefault="000512F8" w:rsidP="000512F8">
      <w:pPr>
        <w:rPr>
          <w:lang w:val="fr-CA"/>
        </w:rPr>
      </w:pPr>
    </w:p>
    <w:p w:rsidR="000512F8" w:rsidRPr="000512F8" w:rsidRDefault="000512F8" w:rsidP="000512F8">
      <w:pPr>
        <w:rPr>
          <w:lang w:val="fr-CA"/>
        </w:rPr>
      </w:pPr>
    </w:p>
    <w:p w:rsidR="000512F8" w:rsidRDefault="000512F8" w:rsidP="004D7D95">
      <w:pPr>
        <w:spacing w:line="480" w:lineRule="auto"/>
        <w:jc w:val="both"/>
        <w:rPr>
          <w:smallCaps/>
          <w:lang w:val="fr-CA"/>
        </w:rPr>
      </w:pPr>
    </w:p>
    <w:p w:rsidR="004D7D95" w:rsidRDefault="005B612B" w:rsidP="004D7D95">
      <w:pPr>
        <w:spacing w:line="480" w:lineRule="auto"/>
        <w:jc w:val="both"/>
        <w:rPr>
          <w:rStyle w:val="SCCAppellantForRunningHeadChar"/>
          <w:lang w:val="fr-CA"/>
        </w:rPr>
      </w:pPr>
      <w:r>
        <w:rPr>
          <w:lang w:val="fr-CA"/>
        </w:rPr>
        <w:t>R</w:t>
      </w:r>
      <w:r w:rsidR="00655BA7" w:rsidRPr="005B612B">
        <w:rPr>
          <w:lang w:val="fr-CA"/>
        </w:rPr>
        <w:t xml:space="preserve">. </w:t>
      </w:r>
      <w:r w:rsidR="00655BA7" w:rsidRPr="005B612B">
        <w:rPr>
          <w:i/>
          <w:lang w:val="fr-CA"/>
        </w:rPr>
        <w:t xml:space="preserve">c. </w:t>
      </w:r>
      <w:proofErr w:type="spellStart"/>
      <w:r>
        <w:rPr>
          <w:rStyle w:val="SCCAppellantForRunningHeadChar"/>
          <w:smallCaps w:val="0"/>
          <w:lang w:val="fr-CA"/>
        </w:rPr>
        <w:t>S</w:t>
      </w:r>
      <w:bookmarkStart w:id="0" w:name="_GoBack"/>
      <w:bookmarkEnd w:id="0"/>
      <w:r w:rsidR="004D7D95" w:rsidRPr="005B612B">
        <w:rPr>
          <w:rStyle w:val="SCCAppellantForRunningHeadChar"/>
          <w:smallCaps w:val="0"/>
          <w:lang w:val="fr-CA"/>
        </w:rPr>
        <w:t>anghera</w:t>
      </w:r>
      <w:proofErr w:type="spellEnd"/>
      <w:r w:rsidR="00584D73">
        <w:rPr>
          <w:rStyle w:val="SCCAppellantForRunningHeadChar"/>
          <w:lang w:val="fr-CA"/>
        </w:rPr>
        <w:t xml:space="preserve">, </w:t>
      </w:r>
      <w:r w:rsidR="00584D73" w:rsidRPr="00FC7A00">
        <w:rPr>
          <w:lang w:val="fr-CA"/>
        </w:rPr>
        <w:t>2015 CSC</w:t>
      </w:r>
      <w:r w:rsidR="00584D73">
        <w:rPr>
          <w:lang w:val="fr-CA"/>
        </w:rPr>
        <w:t xml:space="preserve"> 13, [2015] 1 R.C.S. 691</w:t>
      </w:r>
    </w:p>
    <w:p w:rsidR="00584D73" w:rsidRPr="00FC7A00" w:rsidRDefault="00584D73" w:rsidP="004D7D95">
      <w:pPr>
        <w:spacing w:line="480" w:lineRule="auto"/>
        <w:jc w:val="both"/>
        <w:rPr>
          <w:lang w:val="fr-CA"/>
        </w:rPr>
      </w:pPr>
    </w:p>
    <w:p w:rsidR="007E6299" w:rsidRPr="00FC7A00" w:rsidRDefault="00655BA7">
      <w:pPr>
        <w:pStyle w:val="SCCLsocLastPartyInRole"/>
        <w:rPr>
          <w:lang w:val="fr-CA"/>
        </w:rPr>
      </w:pPr>
      <w:proofErr w:type="spellStart"/>
      <w:r w:rsidRPr="00FC7A00">
        <w:rPr>
          <w:lang w:val="fr-CA"/>
        </w:rPr>
        <w:t>Savdip</w:t>
      </w:r>
      <w:proofErr w:type="spellEnd"/>
      <w:r w:rsidRPr="00FC7A00">
        <w:rPr>
          <w:lang w:val="fr-CA"/>
        </w:rPr>
        <w:t xml:space="preserve"> </w:t>
      </w:r>
      <w:proofErr w:type="spellStart"/>
      <w:r w:rsidRPr="00FC7A00">
        <w:rPr>
          <w:lang w:val="fr-CA"/>
        </w:rPr>
        <w:t>Sanghera</w:t>
      </w:r>
      <w:proofErr w:type="spellEnd"/>
      <w:r w:rsidRPr="00FC7A00">
        <w:rPr>
          <w:rStyle w:val="SCCLsocPartyRole"/>
          <w:lang w:val="fr-CA"/>
        </w:rPr>
        <w:tab/>
        <w:t>Appelant</w:t>
      </w:r>
    </w:p>
    <w:p w:rsidR="007E6299" w:rsidRPr="00FC7A00" w:rsidRDefault="00655BA7">
      <w:pPr>
        <w:pStyle w:val="SCCLsocVersus"/>
        <w:rPr>
          <w:lang w:val="fr-CA"/>
        </w:rPr>
      </w:pPr>
      <w:proofErr w:type="gramStart"/>
      <w:r w:rsidRPr="00FC7A00">
        <w:rPr>
          <w:lang w:val="fr-CA"/>
        </w:rPr>
        <w:t>c</w:t>
      </w:r>
      <w:proofErr w:type="gramEnd"/>
      <w:r w:rsidRPr="00FC7A00">
        <w:rPr>
          <w:lang w:val="fr-CA"/>
        </w:rPr>
        <w:t>.</w:t>
      </w:r>
    </w:p>
    <w:p w:rsidR="007E6299" w:rsidRPr="00FC7A00" w:rsidRDefault="00655BA7">
      <w:pPr>
        <w:pStyle w:val="SCCLsocLastPartyInRole"/>
        <w:rPr>
          <w:lang w:val="fr-CA"/>
        </w:rPr>
      </w:pPr>
      <w:r w:rsidRPr="00FC7A00">
        <w:rPr>
          <w:lang w:val="fr-CA"/>
        </w:rPr>
        <w:t>Sa Majesté la Reine</w:t>
      </w:r>
      <w:r w:rsidRPr="00FC7A00">
        <w:rPr>
          <w:rStyle w:val="SCCLsocPartyRole"/>
          <w:lang w:val="fr-CA"/>
        </w:rPr>
        <w:tab/>
        <w:t>Intimé</w:t>
      </w:r>
      <w:r>
        <w:rPr>
          <w:rStyle w:val="SCCLsocPartyRole"/>
          <w:lang w:val="fr-CA"/>
        </w:rPr>
        <w:t>e</w:t>
      </w:r>
    </w:p>
    <w:p w:rsidR="004D7D95" w:rsidRPr="00FC7A00" w:rsidRDefault="00771523" w:rsidP="00584D73">
      <w:pPr>
        <w:spacing w:after="240"/>
        <w:jc w:val="both"/>
        <w:rPr>
          <w:b/>
          <w:lang w:val="fr-CA"/>
        </w:rPr>
      </w:pPr>
      <w:r>
        <w:rPr>
          <w:b/>
          <w:lang w:val="fr-CA"/>
        </w:rPr>
        <w:lastRenderedPageBreak/>
        <w:t xml:space="preserve">Répertorié : </w:t>
      </w:r>
      <w:r w:rsidR="00655BA7">
        <w:rPr>
          <w:b/>
          <w:lang w:val="fr-CA"/>
        </w:rPr>
        <w:t xml:space="preserve">R. </w:t>
      </w:r>
      <w:r w:rsidR="00655BA7" w:rsidRPr="00655BA7">
        <w:rPr>
          <w:b/>
          <w:i/>
          <w:lang w:val="fr-CA"/>
        </w:rPr>
        <w:t>c.</w:t>
      </w:r>
      <w:r w:rsidR="00655BA7">
        <w:rPr>
          <w:b/>
          <w:lang w:val="fr-CA"/>
        </w:rPr>
        <w:t xml:space="preserve"> </w:t>
      </w:r>
      <w:proofErr w:type="spellStart"/>
      <w:r w:rsidR="004D7D95" w:rsidRPr="00FC7A00">
        <w:rPr>
          <w:rStyle w:val="SCCAppellantForIndexChar"/>
          <w:lang w:val="fr-CA"/>
        </w:rPr>
        <w:t>Sanghera</w:t>
      </w:r>
      <w:proofErr w:type="spellEnd"/>
      <w:r w:rsidR="004D7D95" w:rsidRPr="00BB4C92">
        <w:rPr>
          <w:b/>
          <w:lang w:val="fr-CA"/>
        </w:rPr>
        <w:t xml:space="preserve"> </w:t>
      </w:r>
    </w:p>
    <w:p w:rsidR="00991227" w:rsidRDefault="00991227" w:rsidP="00584D73">
      <w:pPr>
        <w:pStyle w:val="SCCSystemYear"/>
        <w:spacing w:after="240"/>
        <w:jc w:val="both"/>
        <w:rPr>
          <w:lang w:val="fr-CA"/>
        </w:rPr>
      </w:pPr>
    </w:p>
    <w:p w:rsidR="004D7D95" w:rsidRPr="00FC7A00" w:rsidRDefault="00F62639" w:rsidP="00584D73">
      <w:pPr>
        <w:pStyle w:val="SCCSystemYear"/>
        <w:spacing w:after="240"/>
        <w:jc w:val="both"/>
        <w:rPr>
          <w:lang w:val="fr-CA"/>
        </w:rPr>
      </w:pPr>
      <w:r w:rsidRPr="00FC7A00">
        <w:rPr>
          <w:lang w:val="fr-CA"/>
        </w:rPr>
        <w:t>2015</w:t>
      </w:r>
      <w:r w:rsidR="004D7D95" w:rsidRPr="00FC7A00">
        <w:rPr>
          <w:lang w:val="fr-CA"/>
        </w:rPr>
        <w:t xml:space="preserve"> CSC</w:t>
      </w:r>
      <w:r w:rsidR="00655BA7">
        <w:rPr>
          <w:lang w:val="fr-CA"/>
        </w:rPr>
        <w:t xml:space="preserve"> 13</w:t>
      </w:r>
    </w:p>
    <w:p w:rsidR="004D7D95" w:rsidRPr="00FC7A00" w:rsidRDefault="004D7D95" w:rsidP="00584D73">
      <w:pPr>
        <w:spacing w:after="240"/>
        <w:jc w:val="both"/>
        <w:rPr>
          <w:lang w:val="fr-CA"/>
        </w:rPr>
      </w:pPr>
    </w:p>
    <w:p w:rsidR="004D7D95" w:rsidRPr="00FC7A00" w:rsidRDefault="004D7D95" w:rsidP="00584D73">
      <w:pPr>
        <w:spacing w:after="240"/>
        <w:jc w:val="both"/>
        <w:rPr>
          <w:lang w:val="fr-CA"/>
        </w:rPr>
      </w:pPr>
      <w:r w:rsidRPr="00FC7A00">
        <w:rPr>
          <w:lang w:val="fr-CA"/>
        </w:rPr>
        <w:t>N</w:t>
      </w:r>
      <w:r w:rsidRPr="00FC7A00">
        <w:rPr>
          <w:vertAlign w:val="superscript"/>
          <w:lang w:val="fr-CA"/>
        </w:rPr>
        <w:t>o</w:t>
      </w:r>
      <w:r w:rsidR="00771523">
        <w:rPr>
          <w:lang w:val="fr-CA"/>
        </w:rPr>
        <w:t xml:space="preserve"> du greffe : </w:t>
      </w:r>
      <w:r w:rsidRPr="00FC7A00">
        <w:rPr>
          <w:lang w:val="fr-CA"/>
        </w:rPr>
        <w:t>36017.</w:t>
      </w:r>
    </w:p>
    <w:p w:rsidR="004D7D95" w:rsidRDefault="004D7D95" w:rsidP="00584D73">
      <w:pPr>
        <w:spacing w:after="240"/>
        <w:jc w:val="both"/>
        <w:rPr>
          <w:lang w:val="fr-CA"/>
        </w:rPr>
      </w:pPr>
    </w:p>
    <w:p w:rsidR="004D7D95" w:rsidRPr="00FC7A00" w:rsidRDefault="00F62639" w:rsidP="00584D73">
      <w:pPr>
        <w:spacing w:after="240"/>
        <w:jc w:val="both"/>
        <w:rPr>
          <w:lang w:val="fr-CA"/>
        </w:rPr>
      </w:pPr>
      <w:r w:rsidRPr="00FC7A00">
        <w:rPr>
          <w:lang w:val="fr-CA"/>
        </w:rPr>
        <w:t>2015 : 19 mars</w:t>
      </w:r>
      <w:r w:rsidR="00655BA7">
        <w:rPr>
          <w:lang w:val="fr-CA"/>
        </w:rPr>
        <w:t>.</w:t>
      </w:r>
    </w:p>
    <w:p w:rsidR="004D7D95" w:rsidRPr="00FC7A00" w:rsidRDefault="004D7D95" w:rsidP="00584D73">
      <w:pPr>
        <w:spacing w:after="240"/>
        <w:jc w:val="both"/>
        <w:rPr>
          <w:lang w:val="fr-CA"/>
        </w:rPr>
      </w:pPr>
    </w:p>
    <w:p w:rsidR="004D7D95" w:rsidRPr="0018498D" w:rsidRDefault="00771523" w:rsidP="00584D73">
      <w:pPr>
        <w:spacing w:after="240"/>
        <w:jc w:val="both"/>
        <w:rPr>
          <w:lang w:val="fr-CA"/>
        </w:rPr>
      </w:pPr>
      <w:r>
        <w:rPr>
          <w:lang w:val="fr-CA"/>
        </w:rPr>
        <w:t xml:space="preserve">Présents : </w:t>
      </w:r>
      <w:r w:rsidR="004D7D95" w:rsidRPr="0018498D">
        <w:rPr>
          <w:lang w:val="fr-CA"/>
        </w:rPr>
        <w:t>La juge en chef McLachlin et les juges Abella, Rothstein, Moldaver, Karakatsanis, Gascon et Côté.</w:t>
      </w:r>
    </w:p>
    <w:p w:rsidR="001B44A9" w:rsidRDefault="001B44A9" w:rsidP="00584D73">
      <w:pPr>
        <w:spacing w:after="240"/>
        <w:jc w:val="both"/>
        <w:rPr>
          <w:smallCaps/>
          <w:lang w:val="fr-CA"/>
        </w:rPr>
      </w:pPr>
    </w:p>
    <w:p w:rsidR="004D7D95" w:rsidRPr="001B44A9" w:rsidRDefault="004D7D95" w:rsidP="00584D73">
      <w:pPr>
        <w:spacing w:after="240"/>
        <w:jc w:val="both"/>
        <w:rPr>
          <w:smallCaps/>
          <w:lang w:val="fr-CA"/>
        </w:rPr>
      </w:pPr>
      <w:r w:rsidRPr="001B44A9">
        <w:rPr>
          <w:smallCaps/>
          <w:lang w:val="fr-CA"/>
        </w:rPr>
        <w:t xml:space="preserve">en appel de la cour d’appel de la </w:t>
      </w:r>
      <w:proofErr w:type="spellStart"/>
      <w:r w:rsidRPr="001B44A9">
        <w:rPr>
          <w:smallCaps/>
          <w:lang w:val="fr-CA"/>
        </w:rPr>
        <w:t>colombie-britannique</w:t>
      </w:r>
      <w:proofErr w:type="spellEnd"/>
      <w:r w:rsidRPr="001B44A9">
        <w:rPr>
          <w:smallCaps/>
          <w:lang w:val="fr-CA"/>
        </w:rPr>
        <w:t xml:space="preserve"> </w:t>
      </w:r>
    </w:p>
    <w:p w:rsidR="004D7D95" w:rsidRPr="00BB4C92" w:rsidRDefault="004D7D95" w:rsidP="00584D73">
      <w:pPr>
        <w:pStyle w:val="SCCNormalDoubleSpacing"/>
        <w:spacing w:after="240" w:line="240" w:lineRule="auto"/>
        <w:rPr>
          <w:lang w:val="fr-CA"/>
        </w:rPr>
      </w:pPr>
    </w:p>
    <w:p w:rsidR="004D7D95" w:rsidRPr="006726B9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6726B9">
        <w:rPr>
          <w:i/>
          <w:lang w:val="fr-CA"/>
        </w:rPr>
        <w:t xml:space="preserve">Droit constitutionnel </w:t>
      </w:r>
      <w:r w:rsidR="006726B9" w:rsidRPr="006726B9">
        <w:rPr>
          <w:i/>
          <w:lang w:val="fr-CA"/>
        </w:rPr>
        <w:t xml:space="preserve">— </w:t>
      </w:r>
      <w:r w:rsidR="006726B9">
        <w:rPr>
          <w:i/>
          <w:lang w:val="fr-CA"/>
        </w:rPr>
        <w:t xml:space="preserve">Charte des droits </w:t>
      </w:r>
      <w:r w:rsidR="006726B9" w:rsidRPr="006726B9">
        <w:rPr>
          <w:i/>
          <w:lang w:val="fr-CA"/>
        </w:rPr>
        <w:t>—</w:t>
      </w:r>
      <w:r w:rsidR="006726B9">
        <w:rPr>
          <w:i/>
          <w:lang w:val="fr-CA"/>
        </w:rPr>
        <w:t xml:space="preserve"> </w:t>
      </w:r>
      <w:r w:rsidR="006726B9" w:rsidRPr="006726B9">
        <w:rPr>
          <w:i/>
          <w:lang w:val="fr-CA"/>
        </w:rPr>
        <w:t>Procès dans un délai raisonnable —</w:t>
      </w:r>
      <w:r w:rsidR="00282838">
        <w:rPr>
          <w:i/>
          <w:lang w:val="fr-CA"/>
        </w:rPr>
        <w:t>Accusations déposées</w:t>
      </w:r>
      <w:r w:rsidR="00B722A7">
        <w:rPr>
          <w:i/>
          <w:lang w:val="fr-CA"/>
        </w:rPr>
        <w:t xml:space="preserve"> en 2009 et déclaration</w:t>
      </w:r>
      <w:r w:rsidR="00243D76">
        <w:rPr>
          <w:i/>
          <w:lang w:val="fr-CA"/>
        </w:rPr>
        <w:t>s</w:t>
      </w:r>
      <w:r w:rsidR="00B722A7">
        <w:rPr>
          <w:i/>
          <w:lang w:val="fr-CA"/>
        </w:rPr>
        <w:t xml:space="preserve"> de culpabilité</w:t>
      </w:r>
      <w:r w:rsidR="00243D76">
        <w:rPr>
          <w:i/>
          <w:lang w:val="fr-CA"/>
        </w:rPr>
        <w:t>s</w:t>
      </w:r>
      <w:r w:rsidR="00B722A7">
        <w:rPr>
          <w:i/>
          <w:lang w:val="fr-CA"/>
        </w:rPr>
        <w:t xml:space="preserve"> </w:t>
      </w:r>
      <w:r w:rsidR="00B722A7" w:rsidRPr="00282838">
        <w:rPr>
          <w:i/>
          <w:lang w:val="fr-CA"/>
        </w:rPr>
        <w:t>prononcée</w:t>
      </w:r>
      <w:r w:rsidR="00FF72E1">
        <w:rPr>
          <w:i/>
          <w:lang w:val="fr-CA"/>
        </w:rPr>
        <w:t>s</w:t>
      </w:r>
      <w:r w:rsidR="00B722A7">
        <w:rPr>
          <w:i/>
          <w:lang w:val="fr-CA"/>
        </w:rPr>
        <w:t xml:space="preserve"> en 2012</w:t>
      </w:r>
      <w:r w:rsidR="00B722A7" w:rsidRPr="006726B9">
        <w:rPr>
          <w:i/>
          <w:lang w:val="fr-CA"/>
        </w:rPr>
        <w:t xml:space="preserve"> —</w:t>
      </w:r>
      <w:r w:rsidR="00B722A7">
        <w:rPr>
          <w:i/>
          <w:lang w:val="fr-CA"/>
        </w:rPr>
        <w:t xml:space="preserve"> Délai de cinq m</w:t>
      </w:r>
      <w:r w:rsidR="00B722A7" w:rsidRPr="00282838">
        <w:rPr>
          <w:i/>
          <w:lang w:val="fr-CA"/>
        </w:rPr>
        <w:t xml:space="preserve">ois résultant du dépôt d’un acte d’accusation direct </w:t>
      </w:r>
      <w:r w:rsidR="00B722A7" w:rsidRPr="006726B9">
        <w:rPr>
          <w:i/>
          <w:lang w:val="fr-CA"/>
        </w:rPr>
        <w:t>—</w:t>
      </w:r>
      <w:r w:rsidR="00B722A7">
        <w:rPr>
          <w:i/>
          <w:lang w:val="fr-CA"/>
        </w:rPr>
        <w:t xml:space="preserve"> Délai global jugé raisonnable</w:t>
      </w:r>
      <w:r w:rsidR="00B722A7" w:rsidRPr="006726B9">
        <w:rPr>
          <w:i/>
          <w:lang w:val="fr-CA"/>
        </w:rPr>
        <w:t xml:space="preserve"> —</w:t>
      </w:r>
      <w:r w:rsidR="00B722A7">
        <w:rPr>
          <w:i/>
          <w:lang w:val="fr-CA"/>
        </w:rPr>
        <w:t xml:space="preserve"> </w:t>
      </w:r>
      <w:r w:rsidR="00282838">
        <w:rPr>
          <w:i/>
          <w:lang w:val="fr-CA"/>
        </w:rPr>
        <w:t>Les juges majoritaires de la Cour d’appel n’ont pas commis d’erreur en concluant que la juge du procès avait omis d’imputer une part suffisante du délai à l’accusé</w:t>
      </w:r>
      <w:r w:rsidR="00282838" w:rsidRPr="006726B9">
        <w:rPr>
          <w:i/>
          <w:lang w:val="fr-CA"/>
        </w:rPr>
        <w:t xml:space="preserve"> —</w:t>
      </w:r>
      <w:r w:rsidR="00282838">
        <w:rPr>
          <w:i/>
          <w:lang w:val="fr-CA"/>
        </w:rPr>
        <w:t xml:space="preserve"> Charte canadienne des droits et libertés, art. 11b). </w:t>
      </w:r>
    </w:p>
    <w:p w:rsidR="004D7D95" w:rsidRPr="004D7D95" w:rsidRDefault="004D7D95" w:rsidP="004D7D95">
      <w:pPr>
        <w:pStyle w:val="SCCNormalDoubleSpacing"/>
        <w:rPr>
          <w:lang w:val="fr-CA"/>
        </w:rPr>
      </w:pPr>
    </w:p>
    <w:p w:rsidR="004D7D95" w:rsidRPr="004D7D95" w:rsidRDefault="004D7D95" w:rsidP="00AC0E70">
      <w:pPr>
        <w:pStyle w:val="SCCNormalDoubleSpacing"/>
        <w:widowControl w:val="0"/>
        <w:spacing w:after="240" w:line="240" w:lineRule="auto"/>
        <w:ind w:left="539" w:hanging="539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Default="00AC0E70" w:rsidP="001B44A9">
      <w:pPr>
        <w:pStyle w:val="SCCNormalDoubleSpacing"/>
        <w:widowControl w:val="0"/>
        <w:spacing w:after="480" w:line="240" w:lineRule="auto"/>
        <w:ind w:left="533" w:hanging="533"/>
        <w:rPr>
          <w:lang w:val="fr-CA"/>
        </w:rPr>
      </w:pPr>
      <w:r w:rsidRPr="00101D96">
        <w:rPr>
          <w:i/>
          <w:szCs w:val="24"/>
          <w:lang w:val="fr-CA"/>
        </w:rPr>
        <w:t>Charte</w:t>
      </w:r>
      <w:r w:rsidRPr="00AC0E70">
        <w:rPr>
          <w:i/>
          <w:lang w:val="fr-CA"/>
        </w:rPr>
        <w:t xml:space="preserve"> canadienne des droits et libertés</w:t>
      </w:r>
      <w:r>
        <w:rPr>
          <w:lang w:val="fr-CA"/>
        </w:rPr>
        <w:t>, art. 11</w:t>
      </w:r>
      <w:r w:rsidRPr="00AC0E70">
        <w:rPr>
          <w:i/>
          <w:lang w:val="fr-CA"/>
        </w:rPr>
        <w:t>b</w:t>
      </w:r>
      <w:r>
        <w:rPr>
          <w:lang w:val="fr-CA"/>
        </w:rPr>
        <w:t>).</w:t>
      </w:r>
    </w:p>
    <w:p w:rsidR="00AC0E70" w:rsidRDefault="00AC0E70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Default="004D7D95" w:rsidP="004D7D95">
      <w:pPr>
        <w:pStyle w:val="SCCNormalDoubleSpacing"/>
        <w:rPr>
          <w:lang w:val="fr-CA"/>
        </w:rPr>
      </w:pPr>
      <w:r w:rsidRPr="004D7D95">
        <w:rPr>
          <w:lang w:val="fr-CA"/>
        </w:rPr>
        <w:lastRenderedPageBreak/>
        <w:tab/>
        <w:t xml:space="preserve">POURVOI contre un arrêt de la </w:t>
      </w:r>
      <w:r w:rsidRPr="00FC7A00">
        <w:rPr>
          <w:lang w:val="fr-CA"/>
        </w:rPr>
        <w:t xml:space="preserve">Cour d’appel de la Colombie-Britannique </w:t>
      </w:r>
      <w:r w:rsidR="001732B0">
        <w:rPr>
          <w:lang w:val="fr-CA"/>
        </w:rPr>
        <w:t xml:space="preserve">(les juges Lowry, Bennett et MacKenzie), </w:t>
      </w:r>
      <w:r w:rsidR="001732B0" w:rsidRPr="001732B0">
        <w:rPr>
          <w:lang w:val="fr-CA"/>
        </w:rPr>
        <w:t xml:space="preserve">2014 BCCA 249, 313 C.C.C. (3d) 113, 357 B.C.A.C. 175, [2014] B.C.J. No. 1316 (QL), 2014 </w:t>
      </w:r>
      <w:proofErr w:type="spellStart"/>
      <w:r w:rsidR="001732B0" w:rsidRPr="001732B0">
        <w:rPr>
          <w:lang w:val="fr-CA"/>
        </w:rPr>
        <w:t>CarswellBC</w:t>
      </w:r>
      <w:proofErr w:type="spellEnd"/>
      <w:r w:rsidR="001732B0" w:rsidRPr="001732B0">
        <w:rPr>
          <w:lang w:val="fr-CA"/>
        </w:rPr>
        <w:t xml:space="preserve"> 1847 (WL Can.),</w:t>
      </w:r>
      <w:r w:rsidR="001732B0">
        <w:rPr>
          <w:lang w:val="fr-CA"/>
        </w:rPr>
        <w:t xml:space="preserve"> </w:t>
      </w:r>
      <w:r w:rsidR="00837DA5">
        <w:rPr>
          <w:lang w:val="fr-CA"/>
        </w:rPr>
        <w:t>qui a confirmé les déclarations de culpabilité prononcées contre l’accusé.  Pourvoi</w:t>
      </w:r>
      <w:r w:rsidR="001B44A9">
        <w:rPr>
          <w:lang w:val="fr-CA"/>
        </w:rPr>
        <w:t xml:space="preserve"> rejeté</w:t>
      </w:r>
      <w:r w:rsidR="006726B9">
        <w:rPr>
          <w:lang w:val="fr-CA"/>
        </w:rPr>
        <w:t xml:space="preserve">, les juges </w:t>
      </w:r>
      <w:proofErr w:type="spellStart"/>
      <w:r w:rsidR="006726B9">
        <w:rPr>
          <w:lang w:val="fr-CA"/>
        </w:rPr>
        <w:t>Karakatsanis</w:t>
      </w:r>
      <w:proofErr w:type="spellEnd"/>
      <w:r w:rsidR="006726B9">
        <w:rPr>
          <w:lang w:val="fr-CA"/>
        </w:rPr>
        <w:t xml:space="preserve"> et Côté sont dissidentes</w:t>
      </w:r>
      <w:r w:rsidR="001B44A9">
        <w:rPr>
          <w:lang w:val="fr-CA"/>
        </w:rPr>
        <w:t>.</w:t>
      </w:r>
    </w:p>
    <w:p w:rsidR="00837DA5" w:rsidRDefault="00837DA5" w:rsidP="004D7D95">
      <w:pPr>
        <w:pStyle w:val="SCCNormalDoubleSpacing"/>
        <w:rPr>
          <w:lang w:val="fr-CA"/>
        </w:rPr>
      </w:pPr>
    </w:p>
    <w:p w:rsidR="007E6299" w:rsidRPr="00FC7A00" w:rsidRDefault="00655BA7">
      <w:pPr>
        <w:pStyle w:val="SCCNormalDoubleSpacing"/>
        <w:rPr>
          <w:lang w:val="fr-CA"/>
        </w:rPr>
      </w:pPr>
      <w:r w:rsidRPr="00FC7A00">
        <w:rPr>
          <w:rStyle w:val="SCCCounselNameChar"/>
          <w:lang w:val="fr-CA"/>
        </w:rPr>
        <w:tab/>
      </w:r>
      <w:proofErr w:type="spellStart"/>
      <w:r w:rsidRPr="00FC7A00">
        <w:rPr>
          <w:rStyle w:val="SCCCounselNameChar"/>
          <w:lang w:val="fr-CA"/>
        </w:rPr>
        <w:t>Colleen</w:t>
      </w:r>
      <w:proofErr w:type="spellEnd"/>
      <w:r w:rsidRPr="00FC7A00">
        <w:rPr>
          <w:rStyle w:val="SCCCounselNameChar"/>
          <w:lang w:val="fr-CA"/>
        </w:rPr>
        <w:t xml:space="preserve"> E. </w:t>
      </w:r>
      <w:proofErr w:type="spellStart"/>
      <w:r w:rsidRPr="00FC7A00">
        <w:rPr>
          <w:rStyle w:val="SCCCounselNameChar"/>
          <w:lang w:val="fr-CA"/>
        </w:rPr>
        <w:t>Elden</w:t>
      </w:r>
      <w:proofErr w:type="spellEnd"/>
      <w:r w:rsidR="00E24903">
        <w:rPr>
          <w:rStyle w:val="SCCCounselPartyRoleChar"/>
          <w:lang w:val="fr-CA"/>
        </w:rPr>
        <w:t>, pour l</w:t>
      </w:r>
      <w:r w:rsidR="00997B5F">
        <w:rPr>
          <w:rStyle w:val="SCCCounselPartyRoleChar"/>
          <w:lang w:val="fr-CA"/>
        </w:rPr>
        <w:t>’</w:t>
      </w:r>
      <w:r w:rsidR="00E24903">
        <w:rPr>
          <w:rStyle w:val="SCCCounselPartyRoleChar"/>
          <w:lang w:val="fr-CA"/>
        </w:rPr>
        <w:t>appelant</w:t>
      </w:r>
      <w:r w:rsidRPr="00FC7A00">
        <w:rPr>
          <w:rStyle w:val="SCCCounselPartyRoleChar"/>
          <w:lang w:val="fr-CA"/>
        </w:rPr>
        <w:t>.</w:t>
      </w:r>
    </w:p>
    <w:p w:rsidR="007E6299" w:rsidRPr="00FC7A00" w:rsidRDefault="007E6299">
      <w:pPr>
        <w:pStyle w:val="SCCNormalDoubleSpacing"/>
        <w:rPr>
          <w:lang w:val="fr-CA"/>
        </w:rPr>
      </w:pPr>
    </w:p>
    <w:p w:rsidR="007E6299" w:rsidRPr="00FC7A00" w:rsidRDefault="00655BA7">
      <w:pPr>
        <w:pStyle w:val="SCCNormalDoubleSpacing"/>
        <w:rPr>
          <w:lang w:val="fr-CA"/>
        </w:rPr>
      </w:pPr>
      <w:r w:rsidRPr="00FC7A00">
        <w:rPr>
          <w:rStyle w:val="SCCCounselNameChar"/>
          <w:lang w:val="fr-CA"/>
        </w:rPr>
        <w:tab/>
        <w:t>Christie Lusk</w:t>
      </w:r>
      <w:r w:rsidR="00E24903">
        <w:rPr>
          <w:rStyle w:val="SCCCounselPartyRoleChar"/>
          <w:lang w:val="fr-CA"/>
        </w:rPr>
        <w:t xml:space="preserve"> et </w:t>
      </w:r>
      <w:r w:rsidR="00E24903" w:rsidRPr="00E24903">
        <w:rPr>
          <w:rStyle w:val="SCCCounselPartyRoleChar"/>
          <w:i/>
          <w:lang w:val="fr-CA"/>
        </w:rPr>
        <w:t>John Gordon</w:t>
      </w:r>
      <w:r w:rsidR="00E24903">
        <w:rPr>
          <w:rStyle w:val="SCCCounselPartyRoleChar"/>
          <w:lang w:val="fr-CA"/>
        </w:rPr>
        <w:t xml:space="preserve">, </w:t>
      </w:r>
      <w:proofErr w:type="gramStart"/>
      <w:r w:rsidR="00E24903" w:rsidRPr="00E24903">
        <w:rPr>
          <w:rStyle w:val="SCCCounselPartyRoleChar"/>
          <w:i/>
          <w:lang w:val="fr-CA"/>
        </w:rPr>
        <w:t>c.r.</w:t>
      </w:r>
      <w:r w:rsidR="00E24903">
        <w:rPr>
          <w:rStyle w:val="SCCCounselPartyRoleChar"/>
          <w:lang w:val="fr-CA"/>
        </w:rPr>
        <w:t>,</w:t>
      </w:r>
      <w:proofErr w:type="gramEnd"/>
      <w:r w:rsidR="00E24903">
        <w:rPr>
          <w:rStyle w:val="SCCCounselPartyRoleChar"/>
          <w:lang w:val="fr-CA"/>
        </w:rPr>
        <w:t xml:space="preserve"> pour l’intimé</w:t>
      </w:r>
      <w:r w:rsidRPr="00FC7A00">
        <w:rPr>
          <w:rStyle w:val="SCCCounselPartyRoleChar"/>
          <w:lang w:val="fr-CA"/>
        </w:rPr>
        <w:t>e.</w:t>
      </w:r>
    </w:p>
    <w:p w:rsidR="007E6299" w:rsidRDefault="007E6299">
      <w:pPr>
        <w:pStyle w:val="SCCNormalDoubleSpacing"/>
        <w:rPr>
          <w:lang w:val="fr-CA"/>
        </w:rPr>
      </w:pPr>
    </w:p>
    <w:p w:rsidR="004D7D95" w:rsidRDefault="00E24903" w:rsidP="00AC0E70">
      <w:pPr>
        <w:pStyle w:val="SCCNormalDoubleSpacing"/>
        <w:rPr>
          <w:lang w:val="fr-CA"/>
        </w:rPr>
      </w:pPr>
      <w:r>
        <w:rPr>
          <w:rStyle w:val="SCCCounselPartyRoleChar"/>
          <w:lang w:val="fr-CA"/>
        </w:rPr>
        <w:tab/>
        <w:t>Version française du jugement de la Cour rendu oralement par</w:t>
      </w:r>
      <w:r>
        <w:rPr>
          <w:lang w:val="fr-CA"/>
        </w:rPr>
        <w:tab/>
        <w:t xml:space="preserve"> </w:t>
      </w:r>
    </w:p>
    <w:p w:rsidR="00AC0E70" w:rsidRPr="007A302D" w:rsidRDefault="00AC0E70" w:rsidP="00AC0E70">
      <w:pPr>
        <w:pStyle w:val="ParaNoNdepar-AltN"/>
        <w:tabs>
          <w:tab w:val="clear" w:pos="1242"/>
          <w:tab w:val="num" w:pos="1152"/>
        </w:tabs>
        <w:ind w:left="0"/>
        <w:rPr>
          <w:lang w:val="fr-CA"/>
        </w:rPr>
      </w:pPr>
      <w:r w:rsidRPr="007A302D">
        <w:rPr>
          <w:smallCaps/>
          <w:lang w:val="fr-CA"/>
        </w:rPr>
        <w:t>La Juge en chef</w:t>
      </w:r>
      <w:r w:rsidRPr="007A302D">
        <w:rPr>
          <w:lang w:val="fr-CA"/>
        </w:rPr>
        <w:t xml:space="preserve"> </w:t>
      </w:r>
      <w:r w:rsidRPr="007A302D">
        <w:rPr>
          <w:rFonts w:cs="Times New Roman"/>
          <w:lang w:val="fr-CA"/>
        </w:rPr>
        <w:t xml:space="preserve">— Il s’agit d’un appel de plein droit fondé sur l’opinion dissidente </w:t>
      </w:r>
      <w:r>
        <w:rPr>
          <w:rFonts w:cs="Times New Roman"/>
          <w:lang w:val="fr-CA"/>
        </w:rPr>
        <w:t xml:space="preserve">exprimée par </w:t>
      </w:r>
      <w:r w:rsidRPr="007A302D">
        <w:rPr>
          <w:rFonts w:cs="Times New Roman"/>
          <w:lang w:val="fr-CA"/>
        </w:rPr>
        <w:t xml:space="preserve">la juge </w:t>
      </w:r>
      <w:r w:rsidRPr="007A302D">
        <w:rPr>
          <w:lang w:val="fr-CA"/>
        </w:rPr>
        <w:t xml:space="preserve">Bennett de la Cour d’appel de la Colombie-Britannique, </w:t>
      </w:r>
      <w:r>
        <w:rPr>
          <w:lang w:val="fr-CA"/>
        </w:rPr>
        <w:t>selon laquelle</w:t>
      </w:r>
      <w:r w:rsidRPr="007A302D">
        <w:rPr>
          <w:lang w:val="fr-CA"/>
        </w:rPr>
        <w:t xml:space="preserve"> le délai de cinq</w:t>
      </w:r>
      <w:r w:rsidR="00771523">
        <w:rPr>
          <w:lang w:val="fr-CA"/>
        </w:rPr>
        <w:t xml:space="preserve"> </w:t>
      </w:r>
      <w:r w:rsidRPr="007A302D">
        <w:rPr>
          <w:lang w:val="fr-CA"/>
        </w:rPr>
        <w:t xml:space="preserve">mois </w:t>
      </w:r>
      <w:r>
        <w:rPr>
          <w:lang w:val="fr-CA"/>
        </w:rPr>
        <w:t>résultant du dépôt par la Couronne d’un acte d’</w:t>
      </w:r>
      <w:r w:rsidRPr="007A302D">
        <w:rPr>
          <w:lang w:val="fr-CA"/>
        </w:rPr>
        <w:t>accusation</w:t>
      </w:r>
      <w:r>
        <w:rPr>
          <w:lang w:val="fr-CA"/>
        </w:rPr>
        <w:t xml:space="preserve"> direct</w:t>
      </w:r>
      <w:r w:rsidRPr="007A302D">
        <w:rPr>
          <w:lang w:val="fr-CA"/>
        </w:rPr>
        <w:t xml:space="preserve">, </w:t>
      </w:r>
      <w:r>
        <w:rPr>
          <w:lang w:val="fr-CA"/>
        </w:rPr>
        <w:t xml:space="preserve">facteur que n’a pas pris en considération la juge du procès, démontrait </w:t>
      </w:r>
      <w:r w:rsidRPr="007A302D">
        <w:rPr>
          <w:lang w:val="fr-CA"/>
        </w:rPr>
        <w:t>l’existence d’un</w:t>
      </w:r>
      <w:r>
        <w:rPr>
          <w:lang w:val="fr-CA"/>
        </w:rPr>
        <w:t xml:space="preserve"> délai déraisonnable et contrair</w:t>
      </w:r>
      <w:r w:rsidR="00771523">
        <w:rPr>
          <w:lang w:val="fr-CA"/>
        </w:rPr>
        <w:t xml:space="preserve">e à l’al. </w:t>
      </w:r>
      <w:r w:rsidRPr="007A302D">
        <w:rPr>
          <w:lang w:val="fr-CA"/>
        </w:rPr>
        <w:t>11</w:t>
      </w:r>
      <w:r w:rsidRPr="007A302D">
        <w:rPr>
          <w:i/>
          <w:lang w:val="fr-CA"/>
        </w:rPr>
        <w:t>b</w:t>
      </w:r>
      <w:r w:rsidRPr="007A302D">
        <w:rPr>
          <w:lang w:val="fr-CA"/>
        </w:rPr>
        <w:t xml:space="preserve">) </w:t>
      </w:r>
      <w:r>
        <w:rPr>
          <w:lang w:val="fr-CA"/>
        </w:rPr>
        <w:t xml:space="preserve">de la </w:t>
      </w:r>
      <w:r w:rsidRPr="007A302D">
        <w:rPr>
          <w:i/>
          <w:lang w:val="fr-CA"/>
        </w:rPr>
        <w:t>Charte</w:t>
      </w:r>
      <w:r w:rsidR="006726B9">
        <w:rPr>
          <w:i/>
          <w:lang w:val="fr-CA"/>
        </w:rPr>
        <w:t xml:space="preserve"> canadienne des droits et libertés</w:t>
      </w:r>
      <w:r w:rsidRPr="007A302D">
        <w:rPr>
          <w:lang w:val="fr-CA"/>
        </w:rPr>
        <w:t xml:space="preserve">. </w:t>
      </w:r>
    </w:p>
    <w:p w:rsidR="00AC0E70" w:rsidRDefault="00AC0E70" w:rsidP="00AC0E70">
      <w:pPr>
        <w:pStyle w:val="ParaNoNdepar-AltN"/>
        <w:tabs>
          <w:tab w:val="clear" w:pos="1242"/>
          <w:tab w:val="num" w:pos="1152"/>
        </w:tabs>
        <w:ind w:left="0"/>
        <w:rPr>
          <w:lang w:val="fr-CA"/>
        </w:rPr>
      </w:pPr>
      <w:r>
        <w:rPr>
          <w:lang w:val="fr-CA"/>
        </w:rPr>
        <w:t xml:space="preserve">La juge MacKenzie, qui a </w:t>
      </w:r>
      <w:r w:rsidRPr="00AC0E70">
        <w:rPr>
          <w:lang w:val="fr-CA"/>
        </w:rPr>
        <w:t>rédigé</w:t>
      </w:r>
      <w:r>
        <w:rPr>
          <w:lang w:val="fr-CA"/>
        </w:rPr>
        <w:t xml:space="preserve"> l’opinion de la majorité en Cour d’appel de la Colombie-Britannique, a tiré la conclusion suivante :</w:t>
      </w:r>
    </w:p>
    <w:p w:rsidR="00AC0E70" w:rsidRDefault="00AC0E70" w:rsidP="00AC0E70">
      <w:pPr>
        <w:spacing w:after="720"/>
        <w:ind w:left="1166"/>
        <w:jc w:val="both"/>
        <w:rPr>
          <w:lang w:val="fr-CA"/>
        </w:rPr>
      </w:pPr>
      <w:r>
        <w:rPr>
          <w:lang w:val="fr-CA"/>
        </w:rPr>
        <w:t>[</w:t>
      </w:r>
      <w:r w:rsidRPr="00AC0E70">
        <w:rPr>
          <w:smallCaps/>
          <w:lang w:val="fr-CA"/>
        </w:rPr>
        <w:t>t</w:t>
      </w:r>
      <w:r w:rsidRPr="009C2B3A">
        <w:rPr>
          <w:smallCaps/>
          <w:lang w:val="fr-CA"/>
        </w:rPr>
        <w:t>raduction]</w:t>
      </w:r>
      <w:r>
        <w:rPr>
          <w:smallCaps/>
          <w:lang w:val="fr-CA"/>
        </w:rPr>
        <w:t xml:space="preserve"> </w:t>
      </w:r>
      <w:r w:rsidRPr="001B72B9">
        <w:rPr>
          <w:lang w:val="fr-CA"/>
        </w:rPr>
        <w:t>J</w:t>
      </w:r>
      <w:r>
        <w:rPr>
          <w:lang w:val="fr-CA"/>
        </w:rPr>
        <w:t>e suis d’avis que</w:t>
      </w:r>
      <w:r w:rsidRPr="001B72B9">
        <w:rPr>
          <w:lang w:val="fr-CA"/>
        </w:rPr>
        <w:t xml:space="preserve"> si [la juge d</w:t>
      </w:r>
      <w:r>
        <w:rPr>
          <w:lang w:val="fr-CA"/>
        </w:rPr>
        <w:t>u procès</w:t>
      </w:r>
      <w:r w:rsidRPr="001B72B9">
        <w:rPr>
          <w:lang w:val="fr-CA"/>
        </w:rPr>
        <w:t xml:space="preserve">] a fait erreur en n’imputant pas </w:t>
      </w:r>
      <w:r>
        <w:rPr>
          <w:lang w:val="fr-CA"/>
        </w:rPr>
        <w:t>à la Couronne</w:t>
      </w:r>
      <w:r w:rsidRPr="001B72B9">
        <w:rPr>
          <w:lang w:val="fr-CA"/>
        </w:rPr>
        <w:t xml:space="preserve"> la responsabilité du délai de cinq mois découlant de l</w:t>
      </w:r>
      <w:r w:rsidR="00E81B3F">
        <w:rPr>
          <w:lang w:val="fr-CA"/>
        </w:rPr>
        <w:t>a mise en accusation directe, [. . .</w:t>
      </w:r>
      <w:r w:rsidRPr="001B72B9">
        <w:rPr>
          <w:lang w:val="fr-CA"/>
        </w:rPr>
        <w:t xml:space="preserve">] cette erreur </w:t>
      </w:r>
      <w:r>
        <w:rPr>
          <w:lang w:val="fr-CA"/>
        </w:rPr>
        <w:t xml:space="preserve">ne </w:t>
      </w:r>
      <w:r>
        <w:rPr>
          <w:lang w:val="fr-CA"/>
        </w:rPr>
        <w:lastRenderedPageBreak/>
        <w:t xml:space="preserve">compromet pas le résultat global, car j’estime que d’autres facteurs font davantage pencher la balance de l’autre côté. </w:t>
      </w:r>
    </w:p>
    <w:p w:rsidR="00771523" w:rsidRPr="001B72B9" w:rsidRDefault="00771523" w:rsidP="00771523">
      <w:pPr>
        <w:pStyle w:val="ParaNoNdepar-AltN"/>
        <w:numPr>
          <w:ilvl w:val="0"/>
          <w:numId w:val="0"/>
        </w:numPr>
        <w:rPr>
          <w:lang w:val="fr-CA"/>
        </w:rPr>
      </w:pPr>
      <w:r>
        <w:rPr>
          <w:lang w:val="fr-CA"/>
        </w:rPr>
        <w:t>(</w:t>
      </w:r>
      <w:r w:rsidRPr="001732B0">
        <w:rPr>
          <w:lang w:val="fr-CA"/>
        </w:rPr>
        <w:t>2014 BCCA 249, 313 C.C.C. (3d) 113</w:t>
      </w:r>
      <w:r>
        <w:rPr>
          <w:lang w:val="fr-CA"/>
        </w:rPr>
        <w:t>, par. 148)</w:t>
      </w:r>
    </w:p>
    <w:p w:rsidR="00AC0E70" w:rsidRDefault="00AC0E70" w:rsidP="00AC0E70">
      <w:pPr>
        <w:pStyle w:val="ParaNoNdepar-AltN"/>
        <w:tabs>
          <w:tab w:val="clear" w:pos="1242"/>
          <w:tab w:val="num" w:pos="1152"/>
        </w:tabs>
        <w:ind w:left="0"/>
        <w:rPr>
          <w:lang w:val="fr-CA"/>
        </w:rPr>
      </w:pPr>
      <w:r>
        <w:rPr>
          <w:lang w:val="fr-CA"/>
        </w:rPr>
        <w:t>Les juges majoritaires de notre Cour ne voient aucune erreur dans la conclusion de la majorité en Cour d’appel de la Colombie-Britannique. Ils sont en conséquence d’avis de rejeter l’appel.</w:t>
      </w:r>
    </w:p>
    <w:p w:rsidR="00AC0E70" w:rsidRDefault="00AC0E70" w:rsidP="00AC0E70">
      <w:pPr>
        <w:pStyle w:val="ParaNoNdepar-AltN"/>
        <w:tabs>
          <w:tab w:val="clear" w:pos="1242"/>
          <w:tab w:val="num" w:pos="1152"/>
        </w:tabs>
        <w:ind w:left="0"/>
        <w:rPr>
          <w:lang w:val="fr-CA"/>
        </w:rPr>
      </w:pPr>
      <w:r>
        <w:rPr>
          <w:lang w:val="fr-CA"/>
        </w:rPr>
        <w:t xml:space="preserve">Les juges </w:t>
      </w:r>
      <w:proofErr w:type="spellStart"/>
      <w:r>
        <w:rPr>
          <w:lang w:val="fr-CA"/>
        </w:rPr>
        <w:t>Karakatsanis</w:t>
      </w:r>
      <w:proofErr w:type="spellEnd"/>
      <w:r>
        <w:rPr>
          <w:lang w:val="fr-CA"/>
        </w:rPr>
        <w:t xml:space="preserve"> et Côté sont </w:t>
      </w:r>
      <w:proofErr w:type="gramStart"/>
      <w:r>
        <w:rPr>
          <w:lang w:val="fr-CA"/>
        </w:rPr>
        <w:t>dissidentes</w:t>
      </w:r>
      <w:proofErr w:type="gramEnd"/>
      <w:r>
        <w:rPr>
          <w:lang w:val="fr-CA"/>
        </w:rPr>
        <w:t xml:space="preserve"> et accueilleraient l’appel, pour les motifs exposés par la juge </w:t>
      </w:r>
      <w:r w:rsidRPr="00AC0E70">
        <w:rPr>
          <w:lang w:val="fr-CA"/>
        </w:rPr>
        <w:t>d’appel</w:t>
      </w:r>
      <w:r>
        <w:rPr>
          <w:lang w:val="fr-CA"/>
        </w:rPr>
        <w:t xml:space="preserve"> Bennett.</w:t>
      </w:r>
    </w:p>
    <w:p w:rsidR="004D7D95" w:rsidRPr="00AC0E70" w:rsidRDefault="00AC0E70" w:rsidP="004D7D95">
      <w:pPr>
        <w:pStyle w:val="ParaNoNdepar-AltN"/>
        <w:tabs>
          <w:tab w:val="clear" w:pos="1242"/>
          <w:tab w:val="num" w:pos="1152"/>
        </w:tabs>
        <w:ind w:left="0"/>
        <w:rPr>
          <w:lang w:val="fr-CA"/>
        </w:rPr>
      </w:pPr>
      <w:r w:rsidRPr="00B9284D">
        <w:rPr>
          <w:lang w:val="fr-CA"/>
        </w:rPr>
        <w:t xml:space="preserve">L’appel est </w:t>
      </w:r>
      <w:r w:rsidRPr="00AC0E70">
        <w:t>rejeté</w:t>
      </w:r>
      <w:r>
        <w:rPr>
          <w:smallCaps/>
          <w:lang w:val="fr-CA"/>
        </w:rPr>
        <w:t>.</w:t>
      </w:r>
    </w:p>
    <w:p w:rsidR="00AC0E70" w:rsidRPr="00AC0E70" w:rsidRDefault="00AC0E70" w:rsidP="00AC0E70">
      <w:pPr>
        <w:pStyle w:val="SCCLawFirm"/>
        <w:rPr>
          <w:lang w:val="fr-CA"/>
        </w:rPr>
      </w:pPr>
      <w:r w:rsidRPr="00AC0E70">
        <w:rPr>
          <w:lang w:val="fr-CA"/>
        </w:rPr>
        <w:tab/>
        <w:t>Jugement en conséquence.</w:t>
      </w:r>
    </w:p>
    <w:p w:rsidR="00AC0E70" w:rsidRPr="00AC0E70" w:rsidRDefault="00AC0E70" w:rsidP="00AC0E70">
      <w:pPr>
        <w:pStyle w:val="SCCNormalDoubleSpacing"/>
        <w:rPr>
          <w:lang w:val="fr-CA"/>
        </w:rPr>
      </w:pPr>
    </w:p>
    <w:p w:rsidR="007E6299" w:rsidRPr="00FC7A00" w:rsidRDefault="00E24903">
      <w:pPr>
        <w:pStyle w:val="SCCLawFirm"/>
        <w:rPr>
          <w:lang w:val="fr-CA"/>
        </w:rPr>
      </w:pPr>
      <w:r>
        <w:rPr>
          <w:lang w:val="fr-CA"/>
        </w:rPr>
        <w:tab/>
        <w:t>Procureur</w:t>
      </w:r>
      <w:r w:rsidR="00243D76">
        <w:rPr>
          <w:lang w:val="fr-CA"/>
        </w:rPr>
        <w:t>e</w:t>
      </w:r>
      <w:r w:rsidR="006726B9">
        <w:rPr>
          <w:lang w:val="fr-CA"/>
        </w:rPr>
        <w:t xml:space="preserve"> de l’</w:t>
      </w:r>
      <w:r w:rsidR="00655BA7" w:rsidRPr="00FC7A00">
        <w:rPr>
          <w:lang w:val="fr-CA"/>
        </w:rPr>
        <w:t xml:space="preserve">appelant : </w:t>
      </w:r>
      <w:proofErr w:type="spellStart"/>
      <w:r w:rsidR="00655BA7" w:rsidRPr="00FC7A00">
        <w:rPr>
          <w:lang w:val="fr-CA"/>
        </w:rPr>
        <w:t>Colleen</w:t>
      </w:r>
      <w:proofErr w:type="spellEnd"/>
      <w:r w:rsidR="00655BA7" w:rsidRPr="00FC7A00">
        <w:rPr>
          <w:lang w:val="fr-CA"/>
        </w:rPr>
        <w:t xml:space="preserve"> E. </w:t>
      </w:r>
      <w:proofErr w:type="spellStart"/>
      <w:r w:rsidR="00655BA7" w:rsidRPr="00FC7A00">
        <w:rPr>
          <w:lang w:val="fr-CA"/>
        </w:rPr>
        <w:t>Elden</w:t>
      </w:r>
      <w:proofErr w:type="spellEnd"/>
      <w:r w:rsidR="00655BA7" w:rsidRPr="00FC7A00">
        <w:rPr>
          <w:lang w:val="fr-CA"/>
        </w:rPr>
        <w:t>, Vancouver.</w:t>
      </w:r>
    </w:p>
    <w:p w:rsidR="007E6299" w:rsidRPr="00FC7A00" w:rsidRDefault="007E6299">
      <w:pPr>
        <w:pStyle w:val="SCCLawFirm"/>
        <w:rPr>
          <w:lang w:val="fr-CA"/>
        </w:rPr>
      </w:pPr>
    </w:p>
    <w:p w:rsidR="007E6299" w:rsidRPr="00E24903" w:rsidRDefault="00655BA7">
      <w:pPr>
        <w:pStyle w:val="SCCLawFirm"/>
        <w:rPr>
          <w:lang w:val="fr-CA"/>
        </w:rPr>
      </w:pPr>
      <w:r w:rsidRPr="00FC7A00">
        <w:rPr>
          <w:lang w:val="fr-CA"/>
        </w:rPr>
        <w:tab/>
      </w:r>
      <w:r w:rsidR="00E24903" w:rsidRPr="00E24903">
        <w:rPr>
          <w:lang w:val="fr-CA"/>
        </w:rPr>
        <w:t>Procureur de l’intimée</w:t>
      </w:r>
      <w:r w:rsidRPr="00E24903">
        <w:rPr>
          <w:lang w:val="fr-CA"/>
        </w:rPr>
        <w:t xml:space="preserve"> : </w:t>
      </w:r>
      <w:r w:rsidR="00E24903" w:rsidRPr="00E24903">
        <w:rPr>
          <w:lang w:val="fr-CA"/>
        </w:rPr>
        <w:t>Procureur g</w:t>
      </w:r>
      <w:r w:rsidR="00667443">
        <w:rPr>
          <w:lang w:val="fr-CA"/>
        </w:rPr>
        <w:t>énér</w:t>
      </w:r>
      <w:r w:rsidR="00E24903" w:rsidRPr="00E24903">
        <w:rPr>
          <w:lang w:val="fr-CA"/>
        </w:rPr>
        <w:t>al de la Colombie-Britannique</w:t>
      </w:r>
      <w:r w:rsidRPr="00E24903">
        <w:rPr>
          <w:lang w:val="fr-CA"/>
        </w:rPr>
        <w:t>, Vancouver.</w:t>
      </w:r>
    </w:p>
    <w:sectPr w:rsidR="007E6299" w:rsidRPr="00E24903" w:rsidSect="000648CC">
      <w:headerReference w:type="default" r:id="rId10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27" w:rsidRDefault="00991227">
      <w:r>
        <w:separator/>
      </w:r>
    </w:p>
  </w:endnote>
  <w:endnote w:type="continuationSeparator" w:id="0">
    <w:p w:rsidR="00991227" w:rsidRDefault="009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27" w:rsidRDefault="00991227">
      <w:r>
        <w:separator/>
      </w:r>
    </w:p>
  </w:footnote>
  <w:footnote w:type="continuationSeparator" w:id="0">
    <w:p w:rsidR="00991227" w:rsidRDefault="0099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7" w:rsidRPr="00450352" w:rsidRDefault="00991227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A7C0F7F4"/>
    <w:lvl w:ilvl="0">
      <w:start w:val="1"/>
      <w:numFmt w:val="decimal"/>
      <w:pStyle w:val="ParaNoNdepar-AltN"/>
      <w:lvlText w:val="[%1]"/>
      <w:lvlJc w:val="left"/>
      <w:pPr>
        <w:tabs>
          <w:tab w:val="num" w:pos="1242"/>
        </w:tabs>
        <w:ind w:left="90" w:firstLine="0"/>
      </w:pPr>
      <w:rPr>
        <w:rFonts w:ascii="Times New Roman" w:hAnsi="Times New Roman" w:hint="default"/>
        <w:b w:val="0"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14C"/>
    <w:rsid w:val="00000ED4"/>
    <w:rsid w:val="00023FC7"/>
    <w:rsid w:val="00025198"/>
    <w:rsid w:val="00033858"/>
    <w:rsid w:val="000512F8"/>
    <w:rsid w:val="000578A3"/>
    <w:rsid w:val="000648CC"/>
    <w:rsid w:val="000C59B8"/>
    <w:rsid w:val="000C6AF0"/>
    <w:rsid w:val="000D0A77"/>
    <w:rsid w:val="000F7993"/>
    <w:rsid w:val="00101D96"/>
    <w:rsid w:val="00104F33"/>
    <w:rsid w:val="00111DE2"/>
    <w:rsid w:val="00115BBD"/>
    <w:rsid w:val="00116B38"/>
    <w:rsid w:val="00122FC6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732B0"/>
    <w:rsid w:val="0018498D"/>
    <w:rsid w:val="00195D83"/>
    <w:rsid w:val="001A00C1"/>
    <w:rsid w:val="001B33E0"/>
    <w:rsid w:val="001B44A9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406EE"/>
    <w:rsid w:val="00243D76"/>
    <w:rsid w:val="00243EC8"/>
    <w:rsid w:val="00270D93"/>
    <w:rsid w:val="002745CC"/>
    <w:rsid w:val="00277E21"/>
    <w:rsid w:val="00282838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84D73"/>
    <w:rsid w:val="0059326E"/>
    <w:rsid w:val="005A6079"/>
    <w:rsid w:val="005B612B"/>
    <w:rsid w:val="005E4698"/>
    <w:rsid w:val="00603924"/>
    <w:rsid w:val="00610539"/>
    <w:rsid w:val="00613969"/>
    <w:rsid w:val="00625C35"/>
    <w:rsid w:val="0062614E"/>
    <w:rsid w:val="00647E49"/>
    <w:rsid w:val="00655BA7"/>
    <w:rsid w:val="00656313"/>
    <w:rsid w:val="006565F4"/>
    <w:rsid w:val="00667443"/>
    <w:rsid w:val="006726B9"/>
    <w:rsid w:val="00684EEA"/>
    <w:rsid w:val="00694CC8"/>
    <w:rsid w:val="0069689B"/>
    <w:rsid w:val="006B5FF5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1613"/>
    <w:rsid w:val="00766D14"/>
    <w:rsid w:val="00767A0F"/>
    <w:rsid w:val="00771523"/>
    <w:rsid w:val="00791272"/>
    <w:rsid w:val="007A05F6"/>
    <w:rsid w:val="007B6F4A"/>
    <w:rsid w:val="007E1C47"/>
    <w:rsid w:val="007E337A"/>
    <w:rsid w:val="007E5C70"/>
    <w:rsid w:val="007E6299"/>
    <w:rsid w:val="007F2FF5"/>
    <w:rsid w:val="007F3F08"/>
    <w:rsid w:val="00804CC6"/>
    <w:rsid w:val="00817190"/>
    <w:rsid w:val="008260E2"/>
    <w:rsid w:val="008322BD"/>
    <w:rsid w:val="00834F73"/>
    <w:rsid w:val="00837DA5"/>
    <w:rsid w:val="00864C8A"/>
    <w:rsid w:val="00864CF8"/>
    <w:rsid w:val="00874914"/>
    <w:rsid w:val="00891422"/>
    <w:rsid w:val="00892E1A"/>
    <w:rsid w:val="008B660A"/>
    <w:rsid w:val="008C01DA"/>
    <w:rsid w:val="008D1604"/>
    <w:rsid w:val="008F2674"/>
    <w:rsid w:val="008F78E9"/>
    <w:rsid w:val="009179F9"/>
    <w:rsid w:val="00917C7A"/>
    <w:rsid w:val="00933E5E"/>
    <w:rsid w:val="00935218"/>
    <w:rsid w:val="00937C52"/>
    <w:rsid w:val="009403F3"/>
    <w:rsid w:val="009555B7"/>
    <w:rsid w:val="009567AA"/>
    <w:rsid w:val="009602C9"/>
    <w:rsid w:val="00967374"/>
    <w:rsid w:val="00991227"/>
    <w:rsid w:val="00997B5F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A7FD4"/>
    <w:rsid w:val="00AB670D"/>
    <w:rsid w:val="00AC0E70"/>
    <w:rsid w:val="00AF03C5"/>
    <w:rsid w:val="00B000D8"/>
    <w:rsid w:val="00B00F75"/>
    <w:rsid w:val="00B145B6"/>
    <w:rsid w:val="00B279EB"/>
    <w:rsid w:val="00B50C81"/>
    <w:rsid w:val="00B557F8"/>
    <w:rsid w:val="00B7051D"/>
    <w:rsid w:val="00B722A7"/>
    <w:rsid w:val="00B80ADF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14D0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A6391"/>
    <w:rsid w:val="00CE036E"/>
    <w:rsid w:val="00CE3171"/>
    <w:rsid w:val="00CF1601"/>
    <w:rsid w:val="00D0172F"/>
    <w:rsid w:val="00D01E33"/>
    <w:rsid w:val="00D068A7"/>
    <w:rsid w:val="00D17476"/>
    <w:rsid w:val="00D32086"/>
    <w:rsid w:val="00D37A3F"/>
    <w:rsid w:val="00D4431D"/>
    <w:rsid w:val="00D4667A"/>
    <w:rsid w:val="00D570ED"/>
    <w:rsid w:val="00D63A1C"/>
    <w:rsid w:val="00D7516F"/>
    <w:rsid w:val="00D95F8E"/>
    <w:rsid w:val="00DA0590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4903"/>
    <w:rsid w:val="00E25E1E"/>
    <w:rsid w:val="00E27EE7"/>
    <w:rsid w:val="00E35404"/>
    <w:rsid w:val="00E45109"/>
    <w:rsid w:val="00E47B7A"/>
    <w:rsid w:val="00E56A44"/>
    <w:rsid w:val="00E60269"/>
    <w:rsid w:val="00E81B3F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C7A00"/>
    <w:rsid w:val="00FD068D"/>
    <w:rsid w:val="00FD4F28"/>
    <w:rsid w:val="00FE6784"/>
    <w:rsid w:val="00FE7A8B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AC0E70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0512F8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0512F8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0512F8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0512F8"/>
    <w:rPr>
      <w:rFonts w:eastAsiaTheme="minorHAnsi" w:cstheme="minorBidi"/>
      <w:b/>
      <w:smallCaps/>
      <w:sz w:val="24"/>
      <w:szCs w:val="24"/>
      <w:lang w:val="fr-CA" w:eastAsia="en-US"/>
    </w:rPr>
  </w:style>
  <w:style w:type="paragraph" w:styleId="ListParagraph">
    <w:name w:val="List Paragraph"/>
    <w:basedOn w:val="Normal"/>
    <w:uiPriority w:val="34"/>
    <w:qFormat/>
    <w:rsid w:val="0005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1144-B0C8-4B3C-8D80-F047E78E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2015-04-28T19:32:00Z</dcterms:created>
  <dcterms:modified xsi:type="dcterms:W3CDTF">2015-09-09T12:35:00Z</dcterms:modified>
</cp:coreProperties>
</file>