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73" w:rsidRDefault="00857D73" w:rsidP="00857D73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8" o:title=""/>
          </v:shape>
          <o:OLEObject Type="Embed" ProgID="Presentations.Drawing.13" ShapeID="_x0000_i1025" DrawAspect="Content" ObjectID="_1505645769" r:id="rId9"/>
        </w:object>
      </w:r>
      <w:r>
        <w:t xml:space="preserve"> </w:t>
      </w:r>
      <w:r>
        <w:ptab w:relativeTo="margin" w:alignment="right" w:leader="none"/>
      </w:r>
    </w:p>
    <w:p w:rsidR="00857D73" w:rsidRDefault="00857D73" w:rsidP="00857D73">
      <w:pPr>
        <w:pStyle w:val="Header"/>
      </w:pPr>
    </w:p>
    <w:p w:rsidR="00857D73" w:rsidRPr="001E12E2" w:rsidRDefault="00857D73" w:rsidP="00857D73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857D73" w:rsidRDefault="00857D73" w:rsidP="00857D73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768"/>
        <w:gridCol w:w="2808"/>
      </w:tblGrid>
      <w:tr w:rsidR="00857D73" w:rsidRPr="001E12E2" w:rsidTr="00BC0EE5">
        <w:trPr>
          <w:cantSplit/>
        </w:trPr>
        <w:tc>
          <w:tcPr>
            <w:tcW w:w="6768" w:type="dxa"/>
          </w:tcPr>
          <w:p w:rsidR="00857D73" w:rsidRPr="00857D73" w:rsidRDefault="00857D73" w:rsidP="00BC0EE5">
            <w:pPr>
              <w:rPr>
                <w:lang w:val="fr-CA"/>
              </w:rPr>
            </w:pPr>
            <w:r w:rsidRPr="00857D73">
              <w:rPr>
                <w:b/>
                <w:smallCaps/>
                <w:lang w:val="fr-CA"/>
              </w:rPr>
              <w:t>Référence :</w:t>
            </w:r>
            <w:r w:rsidRPr="00857D73">
              <w:rPr>
                <w:lang w:val="fr-CA"/>
              </w:rPr>
              <w:t xml:space="preserve"> </w:t>
            </w:r>
            <w:r w:rsidRPr="00857D73">
              <w:rPr>
                <w:rStyle w:val="SCCAppellantForRunningHeadChar"/>
                <w:smallCaps w:val="0"/>
                <w:lang w:val="fr-CA"/>
              </w:rPr>
              <w:t>Zurich Cie d’Assurances</w:t>
            </w:r>
            <w:r w:rsidRPr="00857D73">
              <w:rPr>
                <w:smallCaps/>
                <w:lang w:val="fr-CA"/>
              </w:rPr>
              <w:t xml:space="preserve"> </w:t>
            </w:r>
            <w:r w:rsidRPr="00857D73">
              <w:rPr>
                <w:i/>
                <w:lang w:val="fr-CA"/>
              </w:rPr>
              <w:t>c.</w:t>
            </w:r>
            <w:r w:rsidRPr="00857D73">
              <w:rPr>
                <w:i/>
                <w:smallCaps/>
                <w:lang w:val="fr-CA"/>
              </w:rPr>
              <w:t xml:space="preserve"> </w:t>
            </w:r>
            <w:r w:rsidRPr="00857D73">
              <w:rPr>
                <w:rStyle w:val="SCCRespondentForRunningHeadChar"/>
                <w:smallCaps w:val="0"/>
                <w:lang w:val="fr-CA"/>
              </w:rPr>
              <w:t>Chubb du Canada Cie d’Assurance</w:t>
            </w:r>
            <w:r w:rsidRPr="00857D73">
              <w:rPr>
                <w:lang w:val="fr-CA"/>
              </w:rPr>
              <w:t>, 2015 CSC 19, [2015] 2 R.C.S. 134</w:t>
            </w:r>
          </w:p>
        </w:tc>
        <w:tc>
          <w:tcPr>
            <w:tcW w:w="2808" w:type="dxa"/>
          </w:tcPr>
          <w:p w:rsidR="00857D73" w:rsidRPr="001E12E2" w:rsidRDefault="00857D73" w:rsidP="00BC0EE5">
            <w:r w:rsidRPr="001E12E2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 :</w:t>
            </w:r>
            <w:r w:rsidRPr="001E12E2">
              <w:t xml:space="preserve"> </w:t>
            </w:r>
            <w:r>
              <w:t>20150417</w:t>
            </w:r>
          </w:p>
          <w:p w:rsidR="00857D73" w:rsidRPr="001E12E2" w:rsidRDefault="00857D73" w:rsidP="00BC0EE5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36002</w:t>
            </w:r>
          </w:p>
        </w:tc>
      </w:tr>
    </w:tbl>
    <w:p w:rsidR="00857D73" w:rsidRPr="001E12E2" w:rsidRDefault="00857D73" w:rsidP="00857D73"/>
    <w:p w:rsidR="00857D73" w:rsidRDefault="00857D73" w:rsidP="00857D73">
      <w:pPr>
        <w:pStyle w:val="SCCLsocPrefix"/>
      </w:pPr>
      <w:r>
        <w:t>Entre :</w:t>
      </w:r>
    </w:p>
    <w:p w:rsidR="00857D73" w:rsidRDefault="00857D73" w:rsidP="00857D73">
      <w:pPr>
        <w:pStyle w:val="SCCLsocParty"/>
        <w:jc w:val="center"/>
      </w:pPr>
      <w:r w:rsidRPr="00755B46">
        <w:t xml:space="preserve">Zurich </w:t>
      </w:r>
      <w:proofErr w:type="spellStart"/>
      <w:r w:rsidRPr="00755B46">
        <w:t>Compagnie</w:t>
      </w:r>
      <w:proofErr w:type="spellEnd"/>
      <w:r w:rsidRPr="00755B46">
        <w:t xml:space="preserve"> </w:t>
      </w:r>
      <w:proofErr w:type="spellStart"/>
      <w:r w:rsidRPr="00755B46">
        <w:t>d</w:t>
      </w:r>
      <w:r>
        <w:t>’</w:t>
      </w:r>
      <w:r w:rsidRPr="00755B46">
        <w:t>Assurances</w:t>
      </w:r>
      <w:proofErr w:type="spellEnd"/>
      <w:r>
        <w:t xml:space="preserve"> SA</w:t>
      </w:r>
    </w:p>
    <w:p w:rsidR="00857D73" w:rsidRDefault="00857D73" w:rsidP="00857D73">
      <w:pPr>
        <w:jc w:val="center"/>
      </w:pPr>
      <w:proofErr w:type="spellStart"/>
      <w:r>
        <w:t>Appelants</w:t>
      </w:r>
      <w:proofErr w:type="spellEnd"/>
    </w:p>
    <w:p w:rsidR="00857D73" w:rsidRPr="00857D73" w:rsidRDefault="00857D73" w:rsidP="00857D73">
      <w:pPr>
        <w:pStyle w:val="SCCLsocVersus"/>
        <w:spacing w:after="0"/>
        <w:jc w:val="center"/>
        <w:rPr>
          <w:i w:val="0"/>
        </w:rPr>
      </w:pPr>
      <w:proofErr w:type="gramStart"/>
      <w:r w:rsidRPr="00857D73">
        <w:rPr>
          <w:i w:val="0"/>
        </w:rPr>
        <w:t>et</w:t>
      </w:r>
      <w:proofErr w:type="gramEnd"/>
    </w:p>
    <w:p w:rsidR="00857D73" w:rsidRDefault="00857D73" w:rsidP="00857D73">
      <w:pPr>
        <w:pStyle w:val="SCCLsocParty"/>
        <w:jc w:val="center"/>
      </w:pPr>
      <w:r w:rsidRPr="00755B46">
        <w:t xml:space="preserve">Chubb du Canada </w:t>
      </w:r>
      <w:proofErr w:type="spellStart"/>
      <w:r w:rsidRPr="00755B46">
        <w:t>Compagnie</w:t>
      </w:r>
      <w:proofErr w:type="spellEnd"/>
      <w:r w:rsidRPr="00755B46">
        <w:t xml:space="preserve"> </w:t>
      </w:r>
      <w:proofErr w:type="spellStart"/>
      <w:r w:rsidRPr="00755B46">
        <w:t>d</w:t>
      </w:r>
      <w:r>
        <w:t>’</w:t>
      </w:r>
      <w:r w:rsidRPr="00755B46">
        <w:t>Assurance</w:t>
      </w:r>
      <w:proofErr w:type="spellEnd"/>
    </w:p>
    <w:p w:rsidR="00857D73" w:rsidRDefault="00857D73" w:rsidP="00857D73">
      <w:pPr>
        <w:jc w:val="center"/>
      </w:pPr>
      <w:proofErr w:type="spellStart"/>
      <w:r>
        <w:t>Intimée</w:t>
      </w:r>
      <w:proofErr w:type="spellEnd"/>
    </w:p>
    <w:p w:rsidR="00857D73" w:rsidRDefault="00857D73" w:rsidP="00857D73"/>
    <w:p w:rsidR="00857D73" w:rsidRPr="008979F6" w:rsidRDefault="00857D73" w:rsidP="00857D73">
      <w:pPr>
        <w:jc w:val="center"/>
        <w:rPr>
          <w:b/>
          <w:smallCaps/>
          <w:lang w:val="fr-CA"/>
        </w:rPr>
      </w:pPr>
      <w:r w:rsidRPr="008979F6">
        <w:rPr>
          <w:b/>
          <w:smallCaps/>
          <w:lang w:val="fr-CA"/>
        </w:rPr>
        <w:t>Traduction française officielle</w:t>
      </w:r>
    </w:p>
    <w:p w:rsidR="00857D73" w:rsidRPr="008979F6" w:rsidRDefault="00857D73" w:rsidP="00857D73">
      <w:pPr>
        <w:rPr>
          <w:lang w:val="fr-CA"/>
        </w:rPr>
      </w:pPr>
    </w:p>
    <w:p w:rsidR="00857D73" w:rsidRPr="00857D73" w:rsidRDefault="00857D73" w:rsidP="00857D73">
      <w:pPr>
        <w:rPr>
          <w:lang w:val="fr-CA"/>
        </w:rPr>
      </w:pPr>
      <w:r w:rsidRPr="00857D73">
        <w:rPr>
          <w:b/>
          <w:smallCaps/>
          <w:lang w:val="fr-CA"/>
        </w:rPr>
        <w:t>Coram :</w:t>
      </w:r>
      <w:r w:rsidRPr="00857D73">
        <w:rPr>
          <w:lang w:val="fr-CA"/>
        </w:rPr>
        <w:t xml:space="preserve"> Les juges Abella, </w:t>
      </w:r>
      <w:proofErr w:type="spellStart"/>
      <w:r w:rsidRPr="00857D73">
        <w:rPr>
          <w:lang w:val="fr-CA"/>
        </w:rPr>
        <w:t>Rothstein</w:t>
      </w:r>
      <w:proofErr w:type="spellEnd"/>
      <w:r w:rsidRPr="00857D73">
        <w:rPr>
          <w:lang w:val="fr-CA"/>
        </w:rPr>
        <w:t xml:space="preserve">, Cromwell, </w:t>
      </w:r>
      <w:proofErr w:type="spellStart"/>
      <w:r w:rsidRPr="00857D73">
        <w:rPr>
          <w:lang w:val="fr-CA"/>
        </w:rPr>
        <w:t>Moldaver</w:t>
      </w:r>
      <w:proofErr w:type="spellEnd"/>
      <w:r w:rsidRPr="00857D73">
        <w:rPr>
          <w:lang w:val="fr-CA"/>
        </w:rPr>
        <w:t xml:space="preserve">, </w:t>
      </w:r>
      <w:proofErr w:type="spellStart"/>
      <w:r w:rsidRPr="00857D73">
        <w:rPr>
          <w:lang w:val="fr-CA"/>
        </w:rPr>
        <w:t>Karakatsanis</w:t>
      </w:r>
      <w:proofErr w:type="spellEnd"/>
      <w:r w:rsidRPr="00857D73">
        <w:rPr>
          <w:lang w:val="fr-CA"/>
        </w:rPr>
        <w:t xml:space="preserve"> et Wagner</w:t>
      </w:r>
    </w:p>
    <w:p w:rsidR="00857D73" w:rsidRPr="00857D73" w:rsidRDefault="00857D73" w:rsidP="00857D73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857D73" w:rsidRPr="001E12E2" w:rsidTr="00BC0EE5">
        <w:trPr>
          <w:cantSplit/>
        </w:trPr>
        <w:tc>
          <w:tcPr>
            <w:tcW w:w="3618" w:type="dxa"/>
          </w:tcPr>
          <w:p w:rsidR="00857D73" w:rsidRDefault="00857D73" w:rsidP="00BC0EE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proofErr w:type="spellEnd"/>
            <w:r>
              <w:rPr>
                <w:b/>
                <w:smallCaps/>
              </w:rPr>
              <w:t> :</w:t>
            </w:r>
          </w:p>
          <w:p w:rsidR="00857D73" w:rsidRPr="001E12E2" w:rsidRDefault="00857D73" w:rsidP="00BC0EE5">
            <w:r>
              <w:t>(par. 1)</w:t>
            </w:r>
          </w:p>
        </w:tc>
        <w:tc>
          <w:tcPr>
            <w:tcW w:w="5958" w:type="dxa"/>
          </w:tcPr>
          <w:p w:rsidR="00857D73" w:rsidRPr="001E12E2" w:rsidRDefault="00857D73" w:rsidP="00BC0EE5">
            <w:r>
              <w:t xml:space="preserve">La </w:t>
            </w:r>
            <w:proofErr w:type="spellStart"/>
            <w:r>
              <w:t>Cour</w:t>
            </w:r>
            <w:proofErr w:type="spellEnd"/>
          </w:p>
        </w:tc>
      </w:tr>
    </w:tbl>
    <w:p w:rsidR="00857D73" w:rsidRDefault="00857D73" w:rsidP="00857D73"/>
    <w:p w:rsidR="00857D73" w:rsidRPr="001E12E2" w:rsidRDefault="008979F6" w:rsidP="00857D7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+T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"/>
        </w:pict>
      </w:r>
    </w:p>
    <w:p w:rsidR="00857D73" w:rsidRDefault="00857D73" w:rsidP="00857D73"/>
    <w:p w:rsidR="004D7D95" w:rsidRPr="00755B46" w:rsidRDefault="009F3190" w:rsidP="00A87656">
      <w:pPr>
        <w:spacing w:after="720"/>
        <w:jc w:val="both"/>
        <w:rPr>
          <w:lang w:val="fr-CA"/>
        </w:rPr>
      </w:pPr>
      <w:r>
        <w:rPr>
          <w:rStyle w:val="SCCAppellantForRunningHeadChar"/>
          <w:smallCaps w:val="0"/>
          <w:lang w:val="fr-CA"/>
        </w:rPr>
        <w:t>Z</w:t>
      </w:r>
      <w:r w:rsidR="00755B46" w:rsidRPr="009F3190">
        <w:rPr>
          <w:rStyle w:val="SCCAppellantForRunningHeadChar"/>
          <w:smallCaps w:val="0"/>
          <w:lang w:val="fr-CA"/>
        </w:rPr>
        <w:t xml:space="preserve">urich </w:t>
      </w:r>
      <w:r>
        <w:rPr>
          <w:rStyle w:val="SCCAppellantForRunningHeadChar"/>
          <w:smallCaps w:val="0"/>
          <w:lang w:val="fr-CA"/>
        </w:rPr>
        <w:t>Cie d’A</w:t>
      </w:r>
      <w:r w:rsidR="005D0A2B" w:rsidRPr="009F3190">
        <w:rPr>
          <w:rStyle w:val="SCCAppellantForRunningHeadChar"/>
          <w:smallCaps w:val="0"/>
          <w:lang w:val="fr-CA"/>
        </w:rPr>
        <w:t>ssurances</w:t>
      </w:r>
      <w:r w:rsidR="00755B46" w:rsidRPr="009F3190">
        <w:rPr>
          <w:smallCaps/>
          <w:lang w:val="fr-CA"/>
        </w:rPr>
        <w:t xml:space="preserve"> </w:t>
      </w:r>
      <w:r w:rsidR="004D7D95" w:rsidRPr="009F3190">
        <w:rPr>
          <w:i/>
          <w:lang w:val="fr-CA"/>
        </w:rPr>
        <w:t>c.</w:t>
      </w:r>
      <w:r w:rsidR="004D7D95" w:rsidRPr="009F3190">
        <w:rPr>
          <w:smallCaps/>
          <w:lang w:val="fr-CA"/>
        </w:rPr>
        <w:t xml:space="preserve"> </w:t>
      </w:r>
      <w:r>
        <w:rPr>
          <w:rStyle w:val="SCCRespondentForRunningHeadChar"/>
          <w:smallCaps w:val="0"/>
          <w:lang w:val="fr-CA"/>
        </w:rPr>
        <w:t>C</w:t>
      </w:r>
      <w:r w:rsidR="005D0A2B" w:rsidRPr="009F3190">
        <w:rPr>
          <w:rStyle w:val="SCCRespondentForRunningHeadChar"/>
          <w:smallCaps w:val="0"/>
          <w:lang w:val="fr-CA"/>
        </w:rPr>
        <w:t>hubb</w:t>
      </w:r>
      <w:r>
        <w:rPr>
          <w:rStyle w:val="SCCRespondentForRunningHeadChar"/>
          <w:smallCaps w:val="0"/>
          <w:lang w:val="fr-CA"/>
        </w:rPr>
        <w:t xml:space="preserve"> du Canada Cie d’A</w:t>
      </w:r>
      <w:r w:rsidR="005D0A2B" w:rsidRPr="009F3190">
        <w:rPr>
          <w:rStyle w:val="SCCRespondentForRunningHeadChar"/>
          <w:smallCaps w:val="0"/>
          <w:lang w:val="fr-CA"/>
        </w:rPr>
        <w:t>ssurance</w:t>
      </w:r>
      <w:r w:rsidR="00A87656">
        <w:rPr>
          <w:rStyle w:val="SCCRespondentForRunningHeadChar"/>
          <w:lang w:val="fr-CA"/>
        </w:rPr>
        <w:t xml:space="preserve">, </w:t>
      </w:r>
      <w:r w:rsidR="00A87656" w:rsidRPr="00755B46">
        <w:rPr>
          <w:lang w:val="fr-CA"/>
        </w:rPr>
        <w:t>2015</w:t>
      </w:r>
      <w:r w:rsidR="00A87656">
        <w:rPr>
          <w:lang w:val="fr-CA"/>
        </w:rPr>
        <w:t xml:space="preserve"> CSC 19, [2015] 2 R.C.S. 134</w:t>
      </w:r>
    </w:p>
    <w:p w:rsidR="00953175" w:rsidRPr="00755B46" w:rsidRDefault="00755B46" w:rsidP="00A87656">
      <w:pPr>
        <w:pStyle w:val="SCCLsocLastPartyInRole"/>
        <w:rPr>
          <w:lang w:val="fr-CA"/>
        </w:rPr>
      </w:pPr>
      <w:r w:rsidRPr="00755B46">
        <w:rPr>
          <w:lang w:val="fr-CA"/>
        </w:rPr>
        <w:t>Zurich Compagnie d</w:t>
      </w:r>
      <w:r w:rsidR="005D0A2B">
        <w:rPr>
          <w:lang w:val="fr-CA"/>
        </w:rPr>
        <w:t>’</w:t>
      </w:r>
      <w:r w:rsidRPr="00755B46">
        <w:rPr>
          <w:lang w:val="fr-CA"/>
        </w:rPr>
        <w:t>Assurances</w:t>
      </w:r>
      <w:r w:rsidR="00030F70">
        <w:rPr>
          <w:lang w:val="fr-CA"/>
        </w:rPr>
        <w:t xml:space="preserve"> SA</w:t>
      </w:r>
      <w:r w:rsidR="00EF27D5">
        <w:rPr>
          <w:rStyle w:val="SCCLsocPartyRole"/>
          <w:lang w:val="fr-CA"/>
        </w:rPr>
        <w:tab/>
        <w:t>Appelant</w:t>
      </w:r>
      <w:r w:rsidRPr="00755B46">
        <w:rPr>
          <w:rStyle w:val="SCCLsocPartyRole"/>
          <w:lang w:val="fr-CA"/>
        </w:rPr>
        <w:t>e</w:t>
      </w:r>
    </w:p>
    <w:p w:rsidR="00953175" w:rsidRPr="00755B46" w:rsidRDefault="00755B46" w:rsidP="00A87656">
      <w:pPr>
        <w:pStyle w:val="SCCLsocVersus"/>
        <w:rPr>
          <w:lang w:val="fr-CA"/>
        </w:rPr>
      </w:pPr>
      <w:proofErr w:type="gramStart"/>
      <w:r w:rsidRPr="00755B46">
        <w:rPr>
          <w:lang w:val="fr-CA"/>
        </w:rPr>
        <w:t>c</w:t>
      </w:r>
      <w:proofErr w:type="gramEnd"/>
      <w:r w:rsidRPr="00755B46">
        <w:rPr>
          <w:lang w:val="fr-CA"/>
        </w:rPr>
        <w:t>.</w:t>
      </w:r>
    </w:p>
    <w:p w:rsidR="00953175" w:rsidRPr="00755B46" w:rsidRDefault="00755B46" w:rsidP="00A87656">
      <w:pPr>
        <w:pStyle w:val="SCCLsocLastPartyInRole"/>
        <w:rPr>
          <w:lang w:val="fr-CA"/>
        </w:rPr>
      </w:pPr>
      <w:r w:rsidRPr="00755B46">
        <w:rPr>
          <w:lang w:val="fr-CA"/>
        </w:rPr>
        <w:t>Chubb du Canada Compagnie d</w:t>
      </w:r>
      <w:r w:rsidR="005D0A2B">
        <w:rPr>
          <w:lang w:val="fr-CA"/>
        </w:rPr>
        <w:t>’</w:t>
      </w:r>
      <w:r w:rsidRPr="00755B46">
        <w:rPr>
          <w:lang w:val="fr-CA"/>
        </w:rPr>
        <w:t>Assurance</w:t>
      </w:r>
      <w:r w:rsidR="00EF27D5">
        <w:rPr>
          <w:rStyle w:val="SCCLsocPartyRole"/>
          <w:lang w:val="fr-CA"/>
        </w:rPr>
        <w:tab/>
        <w:t>Intimé</w:t>
      </w:r>
      <w:r w:rsidRPr="00755B46">
        <w:rPr>
          <w:rStyle w:val="SCCLsocPartyRole"/>
          <w:lang w:val="fr-CA"/>
        </w:rPr>
        <w:t>e</w:t>
      </w:r>
    </w:p>
    <w:p w:rsidR="004D7D95" w:rsidRPr="00755B46" w:rsidRDefault="004D7D95" w:rsidP="00A87656">
      <w:pPr>
        <w:spacing w:after="720"/>
        <w:jc w:val="both"/>
        <w:rPr>
          <w:b/>
          <w:lang w:val="fr-CA"/>
        </w:rPr>
      </w:pPr>
      <w:r w:rsidRPr="00BB4C92">
        <w:rPr>
          <w:b/>
          <w:lang w:val="fr-CA"/>
        </w:rPr>
        <w:t>Répertorié : </w:t>
      </w:r>
      <w:r w:rsidRPr="00755B46">
        <w:rPr>
          <w:rStyle w:val="SCCAppellantForIndexChar"/>
          <w:lang w:val="fr-CA"/>
        </w:rPr>
        <w:t xml:space="preserve">Zurich </w:t>
      </w:r>
      <w:r w:rsidR="000E2EF4">
        <w:rPr>
          <w:rStyle w:val="SCCAppellantForIndexChar"/>
          <w:lang w:val="fr-CA"/>
        </w:rPr>
        <w:t>Cie</w:t>
      </w:r>
      <w:r w:rsidRPr="00755B46">
        <w:rPr>
          <w:rStyle w:val="SCCAppellantForIndexChar"/>
          <w:lang w:val="fr-CA"/>
        </w:rPr>
        <w:t xml:space="preserve"> d</w:t>
      </w:r>
      <w:r w:rsidR="005D0A2B">
        <w:rPr>
          <w:rStyle w:val="SCCAppellantForIndexChar"/>
          <w:lang w:val="fr-CA"/>
        </w:rPr>
        <w:t>’</w:t>
      </w:r>
      <w:r w:rsidRPr="00755B46">
        <w:rPr>
          <w:rStyle w:val="SCCAppellantForIndexChar"/>
          <w:lang w:val="fr-CA"/>
        </w:rPr>
        <w:t>Assura</w:t>
      </w:r>
      <w:r w:rsidR="00EF27D5">
        <w:rPr>
          <w:rStyle w:val="SCCAppellantForIndexChar"/>
          <w:lang w:val="fr-CA"/>
        </w:rPr>
        <w:t>nces</w:t>
      </w:r>
      <w:r w:rsidRPr="00BB4C92">
        <w:rPr>
          <w:b/>
          <w:lang w:val="fr-CA"/>
        </w:rPr>
        <w:t xml:space="preserve"> </w:t>
      </w:r>
      <w:r w:rsidRPr="00BB4C92">
        <w:rPr>
          <w:b/>
          <w:i/>
          <w:lang w:val="fr-CA"/>
        </w:rPr>
        <w:t>c.</w:t>
      </w:r>
      <w:r w:rsidRPr="00BB4C92">
        <w:rPr>
          <w:b/>
          <w:lang w:val="fr-CA"/>
        </w:rPr>
        <w:t xml:space="preserve"> </w:t>
      </w:r>
      <w:r w:rsidRPr="00755B46">
        <w:rPr>
          <w:rStyle w:val="SCCRespondentForIndexChar"/>
          <w:lang w:val="fr-CA"/>
        </w:rPr>
        <w:t xml:space="preserve">Chubb du Canada </w:t>
      </w:r>
      <w:r w:rsidR="000E2EF4">
        <w:rPr>
          <w:rStyle w:val="SCCRespondentForIndexChar"/>
          <w:lang w:val="fr-CA"/>
        </w:rPr>
        <w:t>Cie</w:t>
      </w:r>
      <w:r w:rsidR="00EF27D5">
        <w:rPr>
          <w:rStyle w:val="SCCRespondentForIndexChar"/>
          <w:lang w:val="fr-CA"/>
        </w:rPr>
        <w:t xml:space="preserve"> d’Assurance</w:t>
      </w:r>
    </w:p>
    <w:p w:rsidR="004D7D95" w:rsidRPr="00755B46" w:rsidRDefault="00F62639" w:rsidP="00A87656">
      <w:pPr>
        <w:pStyle w:val="SCCSystemYear"/>
        <w:spacing w:after="720"/>
        <w:jc w:val="both"/>
        <w:rPr>
          <w:lang w:val="fr-CA"/>
        </w:rPr>
      </w:pPr>
      <w:r w:rsidRPr="00755B46">
        <w:rPr>
          <w:lang w:val="fr-CA"/>
        </w:rPr>
        <w:lastRenderedPageBreak/>
        <w:t>2015</w:t>
      </w:r>
      <w:r w:rsidR="00E53FFC">
        <w:rPr>
          <w:lang w:val="fr-CA"/>
        </w:rPr>
        <w:t xml:space="preserve"> CSC 19</w:t>
      </w:r>
    </w:p>
    <w:p w:rsidR="004D7D95" w:rsidRPr="00755B46" w:rsidRDefault="004D7D95" w:rsidP="00A87656">
      <w:pPr>
        <w:spacing w:after="720"/>
        <w:jc w:val="both"/>
        <w:rPr>
          <w:lang w:val="fr-CA"/>
        </w:rPr>
      </w:pPr>
      <w:r w:rsidRPr="00755B46">
        <w:rPr>
          <w:lang w:val="fr-CA"/>
        </w:rPr>
        <w:t>N</w:t>
      </w:r>
      <w:r w:rsidRPr="00755B46">
        <w:rPr>
          <w:vertAlign w:val="superscript"/>
          <w:lang w:val="fr-CA"/>
        </w:rPr>
        <w:t>o</w:t>
      </w:r>
      <w:r w:rsidRPr="00755B46">
        <w:rPr>
          <w:lang w:val="fr-CA"/>
        </w:rPr>
        <w:t xml:space="preserve"> du greffe : 36002.</w:t>
      </w:r>
    </w:p>
    <w:p w:rsidR="004D7D95" w:rsidRPr="00755B46" w:rsidRDefault="00F62639" w:rsidP="00A87656">
      <w:pPr>
        <w:spacing w:after="720"/>
        <w:jc w:val="both"/>
        <w:rPr>
          <w:lang w:val="fr-CA"/>
        </w:rPr>
      </w:pPr>
      <w:r w:rsidRPr="00755B46">
        <w:rPr>
          <w:lang w:val="fr-CA"/>
        </w:rPr>
        <w:t>2015 : 17 avril</w:t>
      </w:r>
      <w:r w:rsidR="004D7D95" w:rsidRPr="00755B46">
        <w:rPr>
          <w:lang w:val="fr-CA"/>
        </w:rPr>
        <w:t>.</w:t>
      </w:r>
    </w:p>
    <w:p w:rsidR="004D7D95" w:rsidRPr="00EB61B3" w:rsidRDefault="004D7D95" w:rsidP="00A87656">
      <w:pPr>
        <w:spacing w:after="720"/>
        <w:jc w:val="both"/>
        <w:rPr>
          <w:lang w:val="fr-CA"/>
        </w:rPr>
      </w:pPr>
      <w:r w:rsidRPr="00EB61B3">
        <w:rPr>
          <w:lang w:val="fr-CA"/>
        </w:rPr>
        <w:t>Présents : Les juges Abella, Rothstein, Cromwell, Karakatsanis, Wagner, Gascon et Côté.</w:t>
      </w:r>
    </w:p>
    <w:p w:rsidR="004D7D95" w:rsidRPr="00C963DE" w:rsidRDefault="004D7D95" w:rsidP="00A87656">
      <w:pPr>
        <w:spacing w:after="720"/>
        <w:jc w:val="both"/>
        <w:rPr>
          <w:smallCaps/>
          <w:lang w:val="fr-CA"/>
        </w:rPr>
      </w:pPr>
      <w:r w:rsidRPr="00C963DE">
        <w:rPr>
          <w:smallCaps/>
          <w:lang w:val="fr-CA"/>
        </w:rPr>
        <w:t>en appel de la cour d</w:t>
      </w:r>
      <w:r w:rsidR="005D0A2B" w:rsidRPr="00C963DE">
        <w:rPr>
          <w:smallCaps/>
          <w:lang w:val="fr-CA"/>
        </w:rPr>
        <w:t>’</w:t>
      </w:r>
      <w:r w:rsidRPr="00C963DE">
        <w:rPr>
          <w:smallCaps/>
          <w:lang w:val="fr-CA"/>
        </w:rPr>
        <w:t xml:space="preserve">appel de </w:t>
      </w:r>
      <w:proofErr w:type="spellStart"/>
      <w:r w:rsidRPr="00C963DE">
        <w:rPr>
          <w:smallCaps/>
          <w:lang w:val="fr-CA"/>
        </w:rPr>
        <w:t>l</w:t>
      </w:r>
      <w:r w:rsidR="005D0A2B" w:rsidRPr="00C963DE">
        <w:rPr>
          <w:smallCaps/>
          <w:lang w:val="fr-CA"/>
        </w:rPr>
        <w:t>’</w:t>
      </w:r>
      <w:r w:rsidRPr="00C963DE">
        <w:rPr>
          <w:smallCaps/>
          <w:lang w:val="fr-CA"/>
        </w:rPr>
        <w:t>ontario</w:t>
      </w:r>
      <w:proofErr w:type="spellEnd"/>
    </w:p>
    <w:p w:rsidR="00030F70" w:rsidRPr="007B4E7C" w:rsidRDefault="004D7D95" w:rsidP="00030F70">
      <w:pPr>
        <w:pStyle w:val="SCCNormalDoubleSpacing"/>
        <w:rPr>
          <w:i/>
          <w:lang w:val="fr-CA"/>
        </w:rPr>
      </w:pPr>
      <w:r w:rsidRPr="00BB4C92">
        <w:rPr>
          <w:lang w:val="fr-CA"/>
        </w:rPr>
        <w:tab/>
      </w:r>
      <w:r w:rsidR="00DA30D8" w:rsidRPr="007B4E7C">
        <w:rPr>
          <w:i/>
          <w:lang w:val="fr-CA"/>
        </w:rPr>
        <w:t>Assurance</w:t>
      </w:r>
      <w:r w:rsidR="00030F70" w:rsidRPr="007B4E7C">
        <w:rPr>
          <w:i/>
          <w:lang w:val="fr-CA"/>
        </w:rPr>
        <w:t xml:space="preserve"> — A</w:t>
      </w:r>
      <w:r w:rsidR="00DA30D8" w:rsidRPr="007B4E7C">
        <w:rPr>
          <w:i/>
          <w:lang w:val="fr-CA"/>
        </w:rPr>
        <w:t>ssurance automobile</w:t>
      </w:r>
      <w:r w:rsidR="00030F70" w:rsidRPr="007B4E7C">
        <w:rPr>
          <w:i/>
          <w:lang w:val="fr-CA"/>
        </w:rPr>
        <w:t xml:space="preserve"> —</w:t>
      </w:r>
      <w:r w:rsidR="000E25FA" w:rsidRPr="007B4E7C">
        <w:rPr>
          <w:i/>
          <w:lang w:val="fr-CA"/>
        </w:rPr>
        <w:t xml:space="preserve"> Régime d’indemnités d’accident légales</w:t>
      </w:r>
      <w:r w:rsidR="00030F70" w:rsidRPr="007B4E7C">
        <w:rPr>
          <w:i/>
          <w:lang w:val="fr-CA"/>
        </w:rPr>
        <w:t xml:space="preserve"> —</w:t>
      </w:r>
      <w:r w:rsidR="007B4E7C" w:rsidRPr="007B4E7C">
        <w:rPr>
          <w:i/>
          <w:lang w:val="fr-CA"/>
        </w:rPr>
        <w:t xml:space="preserve"> Blessures subies par la réclamante </w:t>
      </w:r>
      <w:r w:rsidR="00D56888">
        <w:rPr>
          <w:i/>
          <w:lang w:val="fr-CA"/>
        </w:rPr>
        <w:t xml:space="preserve">à l’occasion </w:t>
      </w:r>
      <w:r w:rsidR="007B4E7C" w:rsidRPr="007B4E7C">
        <w:rPr>
          <w:i/>
          <w:lang w:val="fr-CA"/>
        </w:rPr>
        <w:t xml:space="preserve">d’un accident </w:t>
      </w:r>
      <w:r w:rsidR="007B4E7C">
        <w:rPr>
          <w:i/>
          <w:lang w:val="fr-CA"/>
        </w:rPr>
        <w:t>touchant u</w:t>
      </w:r>
      <w:r w:rsidR="007B4E7C" w:rsidRPr="007B4E7C">
        <w:rPr>
          <w:i/>
          <w:lang w:val="fr-CA"/>
        </w:rPr>
        <w:t xml:space="preserve">n seul véhicule survenu après </w:t>
      </w:r>
      <w:r w:rsidR="00D56888">
        <w:rPr>
          <w:i/>
          <w:lang w:val="fr-CA"/>
        </w:rPr>
        <w:t>que celle-ci eut refusé de souscrire à une police de responsabilité automobile optionnelle offerte par la société d’assurance</w:t>
      </w:r>
      <w:r w:rsidR="00D56888" w:rsidRPr="00D56888">
        <w:rPr>
          <w:i/>
          <w:lang w:val="fr-CA"/>
        </w:rPr>
        <w:t xml:space="preserve"> </w:t>
      </w:r>
      <w:r w:rsidR="00D56888">
        <w:rPr>
          <w:i/>
          <w:lang w:val="fr-CA"/>
        </w:rPr>
        <w:t>lors de la location du véhicule</w:t>
      </w:r>
      <w:r w:rsidR="00030F70" w:rsidRPr="007B4E7C">
        <w:rPr>
          <w:i/>
          <w:lang w:val="fr-CA"/>
        </w:rPr>
        <w:t xml:space="preserve"> —</w:t>
      </w:r>
      <w:r w:rsidR="007B4E7C" w:rsidRPr="007B4E7C">
        <w:rPr>
          <w:i/>
          <w:lang w:val="fr-CA"/>
        </w:rPr>
        <w:t xml:space="preserve"> Refus de la société d</w:t>
      </w:r>
      <w:r w:rsidR="007B4E7C">
        <w:rPr>
          <w:i/>
          <w:lang w:val="fr-CA"/>
        </w:rPr>
        <w:t>’</w:t>
      </w:r>
      <w:r w:rsidR="007B4E7C" w:rsidRPr="007B4E7C">
        <w:rPr>
          <w:i/>
          <w:lang w:val="fr-CA"/>
        </w:rPr>
        <w:t xml:space="preserve">assurance </w:t>
      </w:r>
      <w:r w:rsidR="007B4E7C">
        <w:rPr>
          <w:i/>
          <w:lang w:val="fr-CA"/>
        </w:rPr>
        <w:t>de verser les indemnités prévues par le régime légal</w:t>
      </w:r>
      <w:r w:rsidR="00030F70" w:rsidRPr="007B4E7C">
        <w:rPr>
          <w:i/>
          <w:lang w:val="fr-CA"/>
        </w:rPr>
        <w:t xml:space="preserve"> — </w:t>
      </w:r>
      <w:r w:rsidR="00D56888">
        <w:rPr>
          <w:i/>
          <w:lang w:val="fr-CA"/>
        </w:rPr>
        <w:t>Lien entre l’</w:t>
      </w:r>
      <w:r w:rsidR="007B4E7C" w:rsidRPr="007B4E7C">
        <w:rPr>
          <w:i/>
          <w:lang w:val="fr-CA"/>
        </w:rPr>
        <w:t>assureur et la réclamante</w:t>
      </w:r>
      <w:r w:rsidR="00B5696D">
        <w:rPr>
          <w:i/>
          <w:lang w:val="fr-CA"/>
        </w:rPr>
        <w:t xml:space="preserve"> — Le juge saisi de la demande a à juste titre décidé que l’arbitre avait fait erreur en concluant que la société d’assurance n’était pas un assureur pour l’application du régime légal — Loi sur les assurances, L.R.O.</w:t>
      </w:r>
      <w:r w:rsidR="00030F70" w:rsidRPr="007B4E7C">
        <w:rPr>
          <w:i/>
          <w:lang w:val="fr-CA"/>
        </w:rPr>
        <w:t xml:space="preserve"> 1990, c. I.8, </w:t>
      </w:r>
      <w:r w:rsidR="00B5696D">
        <w:rPr>
          <w:i/>
          <w:lang w:val="fr-CA"/>
        </w:rPr>
        <w:t>art</w:t>
      </w:r>
      <w:r w:rsidR="00030F70" w:rsidRPr="007B4E7C">
        <w:rPr>
          <w:i/>
          <w:lang w:val="fr-CA"/>
        </w:rPr>
        <w:t xml:space="preserve">. 268 — Disputes </w:t>
      </w:r>
      <w:proofErr w:type="spellStart"/>
      <w:r w:rsidR="00030F70" w:rsidRPr="007B4E7C">
        <w:rPr>
          <w:i/>
          <w:lang w:val="fr-CA"/>
        </w:rPr>
        <w:t>Between</w:t>
      </w:r>
      <w:proofErr w:type="spellEnd"/>
      <w:r w:rsidR="00030F70" w:rsidRPr="007B4E7C">
        <w:rPr>
          <w:i/>
          <w:lang w:val="fr-CA"/>
        </w:rPr>
        <w:t xml:space="preserve"> </w:t>
      </w:r>
      <w:proofErr w:type="spellStart"/>
      <w:r w:rsidR="00030F70" w:rsidRPr="007B4E7C">
        <w:rPr>
          <w:i/>
          <w:lang w:val="fr-CA"/>
        </w:rPr>
        <w:t>Insurers</w:t>
      </w:r>
      <w:proofErr w:type="spellEnd"/>
      <w:r w:rsidR="00030F70" w:rsidRPr="007B4E7C">
        <w:rPr>
          <w:i/>
          <w:lang w:val="fr-CA"/>
        </w:rPr>
        <w:t>, O. Reg. 283/95.</w:t>
      </w:r>
    </w:p>
    <w:p w:rsidR="004D7D95" w:rsidRPr="007B4E7C" w:rsidRDefault="004D7D95" w:rsidP="004D7D95">
      <w:pPr>
        <w:pStyle w:val="SCCNormalDoubleSpacing"/>
        <w:rPr>
          <w:lang w:val="fr-CA"/>
        </w:rPr>
      </w:pPr>
    </w:p>
    <w:p w:rsidR="004D7D95" w:rsidRPr="004D7D95" w:rsidRDefault="00EC0759" w:rsidP="004D7D95">
      <w:pPr>
        <w:pStyle w:val="SCCNormalDoubleSpacing"/>
        <w:rPr>
          <w:lang w:val="fr-CA"/>
        </w:rPr>
      </w:pPr>
      <w:r w:rsidRPr="007B4E7C">
        <w:rPr>
          <w:lang w:val="fr-CA"/>
        </w:rPr>
        <w:tab/>
      </w:r>
      <w:r w:rsidR="004D7D95" w:rsidRPr="00A87656">
        <w:rPr>
          <w:lang w:val="fr-CA"/>
        </w:rPr>
        <w:t>POURVOI contre un arrêt de la Cour d</w:t>
      </w:r>
      <w:r w:rsidR="005D0A2B" w:rsidRPr="00A87656">
        <w:rPr>
          <w:lang w:val="fr-CA"/>
        </w:rPr>
        <w:t>’</w:t>
      </w:r>
      <w:r w:rsidR="004D7D95" w:rsidRPr="00A87656">
        <w:rPr>
          <w:lang w:val="fr-CA"/>
        </w:rPr>
        <w:t>appel de l</w:t>
      </w:r>
      <w:r w:rsidR="005D0A2B" w:rsidRPr="00A87656">
        <w:rPr>
          <w:lang w:val="fr-CA"/>
        </w:rPr>
        <w:t>’</w:t>
      </w:r>
      <w:r w:rsidR="004D7D95" w:rsidRPr="00A87656">
        <w:rPr>
          <w:lang w:val="fr-CA"/>
        </w:rPr>
        <w:t>Ontario</w:t>
      </w:r>
      <w:r w:rsidRPr="00A87656">
        <w:rPr>
          <w:lang w:val="fr-CA"/>
        </w:rPr>
        <w:t xml:space="preserve"> (les juges </w:t>
      </w:r>
      <w:proofErr w:type="spellStart"/>
      <w:r w:rsidRPr="00A87656">
        <w:rPr>
          <w:lang w:val="fr-CA"/>
        </w:rPr>
        <w:t>Juriansz</w:t>
      </w:r>
      <w:proofErr w:type="spellEnd"/>
      <w:r w:rsidR="003F51AB" w:rsidRPr="00A87656">
        <w:rPr>
          <w:lang w:val="fr-CA"/>
        </w:rPr>
        <w:t xml:space="preserve">, </w:t>
      </w:r>
      <w:proofErr w:type="spellStart"/>
      <w:r w:rsidR="003F51AB" w:rsidRPr="00A87656">
        <w:rPr>
          <w:lang w:val="fr-CA"/>
        </w:rPr>
        <w:t>Pepall</w:t>
      </w:r>
      <w:proofErr w:type="spellEnd"/>
      <w:r w:rsidR="003F51AB" w:rsidRPr="00A87656">
        <w:rPr>
          <w:lang w:val="fr-CA"/>
        </w:rPr>
        <w:t xml:space="preserve"> et </w:t>
      </w:r>
      <w:proofErr w:type="spellStart"/>
      <w:r w:rsidR="003F51AB" w:rsidRPr="00A87656">
        <w:rPr>
          <w:lang w:val="fr-CA"/>
        </w:rPr>
        <w:t>Pardu</w:t>
      </w:r>
      <w:proofErr w:type="spellEnd"/>
      <w:r w:rsidR="003F51AB" w:rsidRPr="00A87656">
        <w:rPr>
          <w:lang w:val="fr-CA"/>
        </w:rPr>
        <w:t xml:space="preserve">), </w:t>
      </w:r>
      <w:r w:rsidR="00A47AE5" w:rsidRPr="00A87656">
        <w:rPr>
          <w:lang w:val="fr-CA"/>
        </w:rPr>
        <w:t xml:space="preserve">2014 ONCA 400, 120 O.R. (3d) 161, 319 O.A.C. 287, </w:t>
      </w:r>
      <w:r w:rsidR="004B67FB" w:rsidRPr="00A87656">
        <w:rPr>
          <w:lang w:val="fr-CA"/>
        </w:rPr>
        <w:t xml:space="preserve">379 D.L.R. (4th) 427, </w:t>
      </w:r>
      <w:r w:rsidR="00A47AE5" w:rsidRPr="00A87656">
        <w:rPr>
          <w:lang w:val="fr-CA"/>
        </w:rPr>
        <w:t>65 M.V.R. (6th) 159</w:t>
      </w:r>
      <w:r w:rsidR="004B67FB" w:rsidRPr="00A87656">
        <w:rPr>
          <w:lang w:val="fr-CA"/>
        </w:rPr>
        <w:t xml:space="preserve">, 34 C.C.L.I. (5th) 216, [2014] I.L.R. I-5615, </w:t>
      </w:r>
      <w:r w:rsidR="00820315" w:rsidRPr="00A87656">
        <w:rPr>
          <w:lang w:val="fr-CA"/>
        </w:rPr>
        <w:lastRenderedPageBreak/>
        <w:t xml:space="preserve">[2014] O.J. No. 2330 (QL), 2014 </w:t>
      </w:r>
      <w:proofErr w:type="spellStart"/>
      <w:r w:rsidR="00820315" w:rsidRPr="00A87656">
        <w:rPr>
          <w:lang w:val="fr-CA"/>
        </w:rPr>
        <w:t>CarswellOnt</w:t>
      </w:r>
      <w:proofErr w:type="spellEnd"/>
      <w:r w:rsidR="00820315" w:rsidRPr="00A87656">
        <w:rPr>
          <w:lang w:val="fr-CA"/>
        </w:rPr>
        <w:t xml:space="preserve"> 6274 (WL Can.)</w:t>
      </w:r>
      <w:r w:rsidR="00A47AE5" w:rsidRPr="00A87656">
        <w:rPr>
          <w:lang w:val="fr-CA"/>
        </w:rPr>
        <w:t xml:space="preserve">, </w:t>
      </w:r>
      <w:r w:rsidR="00A2326E" w:rsidRPr="00A87656">
        <w:rPr>
          <w:lang w:val="fr-CA"/>
        </w:rPr>
        <w:t xml:space="preserve">qui a infirmé la décision </w:t>
      </w:r>
      <w:r w:rsidR="00D15B18" w:rsidRPr="00A87656">
        <w:rPr>
          <w:lang w:val="fr-CA"/>
        </w:rPr>
        <w:t>du juge Goldstein, 2012 ONSC</w:t>
      </w:r>
      <w:r w:rsidR="00BC285C" w:rsidRPr="00A87656">
        <w:rPr>
          <w:lang w:val="fr-CA"/>
        </w:rPr>
        <w:t xml:space="preserve"> 6363</w:t>
      </w:r>
      <w:r w:rsidR="00D15B18" w:rsidRPr="00A87656">
        <w:rPr>
          <w:lang w:val="fr-CA"/>
        </w:rPr>
        <w:t xml:space="preserve">, 15 C.C.L.I. (5th) 287, </w:t>
      </w:r>
      <w:r w:rsidR="00BC285C" w:rsidRPr="00A87656">
        <w:rPr>
          <w:lang w:val="fr-CA"/>
        </w:rPr>
        <w:t xml:space="preserve">[2013] I.L.R. I-5360, [2012] O.J. No. 5336 (QL), 2012 </w:t>
      </w:r>
      <w:proofErr w:type="spellStart"/>
      <w:r w:rsidR="00BC285C" w:rsidRPr="00A87656">
        <w:rPr>
          <w:lang w:val="fr-CA"/>
        </w:rPr>
        <w:t>CarswellOnt</w:t>
      </w:r>
      <w:proofErr w:type="spellEnd"/>
      <w:r w:rsidR="00BC285C" w:rsidRPr="00A87656">
        <w:rPr>
          <w:lang w:val="fr-CA"/>
        </w:rPr>
        <w:t xml:space="preserve"> 14170</w:t>
      </w:r>
      <w:r w:rsidR="003403EE" w:rsidRPr="00A87656">
        <w:rPr>
          <w:lang w:val="fr-CA"/>
        </w:rPr>
        <w:t xml:space="preserve"> (WL Can.)</w:t>
      </w:r>
      <w:r w:rsidR="00BC285C" w:rsidRPr="00A87656">
        <w:rPr>
          <w:lang w:val="fr-CA"/>
        </w:rPr>
        <w:t xml:space="preserve">. </w:t>
      </w:r>
      <w:r w:rsidR="001E747A">
        <w:rPr>
          <w:lang w:val="fr-CA"/>
        </w:rPr>
        <w:t>Pourvoi accueilli</w:t>
      </w:r>
      <w:r w:rsidR="00EE45A3">
        <w:rPr>
          <w:lang w:val="fr-CA"/>
        </w:rPr>
        <w:t xml:space="preserve">. </w:t>
      </w:r>
    </w:p>
    <w:p w:rsidR="008979F6" w:rsidRDefault="008979F6">
      <w:pPr>
        <w:pStyle w:val="SCCNormalDoubleSpacing"/>
        <w:rPr>
          <w:rStyle w:val="SCCCounselNameChar"/>
          <w:lang w:val="fr-CA"/>
        </w:rPr>
      </w:pPr>
    </w:p>
    <w:p w:rsidR="00953175" w:rsidRPr="00556388" w:rsidRDefault="00755B46">
      <w:pPr>
        <w:pStyle w:val="SCCNormalDoubleSpacing"/>
        <w:rPr>
          <w:lang w:val="fr-CA"/>
        </w:rPr>
      </w:pPr>
      <w:bookmarkStart w:id="0" w:name="_GoBack"/>
      <w:bookmarkEnd w:id="0"/>
      <w:r w:rsidRPr="00755B46">
        <w:rPr>
          <w:rStyle w:val="SCCCounselNameChar"/>
          <w:lang w:val="fr-CA"/>
        </w:rPr>
        <w:tab/>
      </w:r>
      <w:proofErr w:type="spellStart"/>
      <w:r w:rsidR="00556388" w:rsidRPr="00556388">
        <w:rPr>
          <w:i/>
          <w:lang w:val="fr-CA"/>
        </w:rPr>
        <w:t>Eric</w:t>
      </w:r>
      <w:proofErr w:type="spellEnd"/>
      <w:r w:rsidR="00556388" w:rsidRPr="00556388">
        <w:rPr>
          <w:i/>
          <w:lang w:val="fr-CA"/>
        </w:rPr>
        <w:t xml:space="preserve"> K. </w:t>
      </w:r>
      <w:proofErr w:type="spellStart"/>
      <w:r w:rsidR="00556388" w:rsidRPr="00556388">
        <w:rPr>
          <w:i/>
          <w:lang w:val="fr-CA"/>
        </w:rPr>
        <w:t>Grossman</w:t>
      </w:r>
      <w:proofErr w:type="spellEnd"/>
      <w:r w:rsidR="00556388" w:rsidRPr="00556388">
        <w:rPr>
          <w:lang w:val="fr-CA"/>
        </w:rPr>
        <w:t>,</w:t>
      </w:r>
      <w:r w:rsidR="00556388" w:rsidRPr="00556388">
        <w:rPr>
          <w:i/>
          <w:lang w:val="fr-CA"/>
        </w:rPr>
        <w:t xml:space="preserve"> Michael </w:t>
      </w:r>
      <w:proofErr w:type="spellStart"/>
      <w:r w:rsidR="00556388" w:rsidRPr="00556388">
        <w:rPr>
          <w:i/>
          <w:lang w:val="fr-CA"/>
        </w:rPr>
        <w:t>Warfe</w:t>
      </w:r>
      <w:proofErr w:type="spellEnd"/>
      <w:r w:rsidR="00556388" w:rsidRPr="00556388">
        <w:rPr>
          <w:i/>
          <w:lang w:val="fr-CA"/>
        </w:rPr>
        <w:t xml:space="preserve"> </w:t>
      </w:r>
      <w:r w:rsidR="00556388" w:rsidRPr="00556388">
        <w:rPr>
          <w:lang w:val="fr-CA"/>
        </w:rPr>
        <w:t>et</w:t>
      </w:r>
      <w:r w:rsidR="00556388" w:rsidRPr="00556388">
        <w:rPr>
          <w:i/>
          <w:lang w:val="fr-CA"/>
        </w:rPr>
        <w:t xml:space="preserve"> Kate M. </w:t>
      </w:r>
      <w:proofErr w:type="spellStart"/>
      <w:r w:rsidR="00556388" w:rsidRPr="00556388">
        <w:rPr>
          <w:i/>
          <w:lang w:val="fr-CA"/>
        </w:rPr>
        <w:t>MacLeod</w:t>
      </w:r>
      <w:proofErr w:type="spellEnd"/>
      <w:r w:rsidRPr="00556388">
        <w:rPr>
          <w:rStyle w:val="SCCCounselPartyRoleChar"/>
          <w:lang w:val="fr-CA"/>
        </w:rPr>
        <w:t>, pour l</w:t>
      </w:r>
      <w:r w:rsidR="005D0A2B" w:rsidRPr="00556388">
        <w:rPr>
          <w:rStyle w:val="SCCCounselPartyRoleChar"/>
          <w:lang w:val="fr-CA"/>
        </w:rPr>
        <w:t>’</w:t>
      </w:r>
      <w:r w:rsidR="00556388">
        <w:rPr>
          <w:rStyle w:val="SCCCounselPartyRoleChar"/>
          <w:lang w:val="fr-CA"/>
        </w:rPr>
        <w:t>appelante</w:t>
      </w:r>
      <w:r w:rsidRPr="00556388">
        <w:rPr>
          <w:rStyle w:val="SCCCounselPartyRoleChar"/>
          <w:lang w:val="fr-CA"/>
        </w:rPr>
        <w:t>.</w:t>
      </w:r>
    </w:p>
    <w:p w:rsidR="00953175" w:rsidRPr="00556388" w:rsidRDefault="00953175">
      <w:pPr>
        <w:pStyle w:val="SCCNormalDoubleSpacing"/>
        <w:rPr>
          <w:lang w:val="fr-CA"/>
        </w:rPr>
      </w:pPr>
    </w:p>
    <w:p w:rsidR="00953175" w:rsidRDefault="00755B46">
      <w:pPr>
        <w:pStyle w:val="SCCNormalDoubleSpacing"/>
        <w:rPr>
          <w:rStyle w:val="SCCCounselPartyRoleChar"/>
          <w:lang w:val="fr-CA"/>
        </w:rPr>
      </w:pPr>
      <w:r w:rsidRPr="00556388">
        <w:rPr>
          <w:rStyle w:val="SCCCounselNameChar"/>
          <w:lang w:val="fr-CA"/>
        </w:rPr>
        <w:tab/>
      </w:r>
      <w:r w:rsidR="00F208C5" w:rsidRPr="00F208C5">
        <w:rPr>
          <w:rStyle w:val="SCCCounselNameChar"/>
          <w:lang w:val="fr-CA"/>
        </w:rPr>
        <w:t xml:space="preserve">Eugene </w:t>
      </w:r>
      <w:proofErr w:type="spellStart"/>
      <w:r w:rsidR="00F208C5" w:rsidRPr="00F208C5">
        <w:rPr>
          <w:rStyle w:val="SCCCounselNameChar"/>
          <w:lang w:val="fr-CA"/>
        </w:rPr>
        <w:t>Meehan</w:t>
      </w:r>
      <w:proofErr w:type="spellEnd"/>
      <w:r w:rsidR="00F208C5" w:rsidRPr="00F208C5">
        <w:rPr>
          <w:rStyle w:val="SCCCounselNameChar"/>
          <w:i w:val="0"/>
          <w:lang w:val="fr-CA"/>
        </w:rPr>
        <w:t xml:space="preserve">, </w:t>
      </w:r>
      <w:proofErr w:type="spellStart"/>
      <w:proofErr w:type="gramStart"/>
      <w:r w:rsidR="00F208C5" w:rsidRPr="00F208C5">
        <w:rPr>
          <w:rStyle w:val="SCCCounselNameChar"/>
          <w:lang w:val="fr-CA"/>
        </w:rPr>
        <w:t>c.r</w:t>
      </w:r>
      <w:proofErr w:type="spellEnd"/>
      <w:r w:rsidR="00F208C5" w:rsidRPr="00F208C5">
        <w:rPr>
          <w:rStyle w:val="SCCCounselNameChar"/>
          <w:lang w:val="fr-CA"/>
        </w:rPr>
        <w:t>.</w:t>
      </w:r>
      <w:r w:rsidR="00F208C5" w:rsidRPr="00F208C5">
        <w:rPr>
          <w:rStyle w:val="SCCCounselNameChar"/>
          <w:i w:val="0"/>
          <w:lang w:val="fr-CA"/>
        </w:rPr>
        <w:t>,</w:t>
      </w:r>
      <w:proofErr w:type="gramEnd"/>
      <w:r w:rsidR="00F208C5" w:rsidRPr="00F208C5">
        <w:rPr>
          <w:rStyle w:val="SCCCounselNameChar"/>
          <w:i w:val="0"/>
          <w:lang w:val="fr-CA"/>
        </w:rPr>
        <w:t xml:space="preserve"> et </w:t>
      </w:r>
      <w:r w:rsidR="00F208C5" w:rsidRPr="00F208C5">
        <w:rPr>
          <w:rStyle w:val="SCCCounselNameChar"/>
          <w:lang w:val="fr-CA"/>
        </w:rPr>
        <w:t xml:space="preserve">George </w:t>
      </w:r>
      <w:proofErr w:type="spellStart"/>
      <w:r w:rsidR="00F208C5" w:rsidRPr="00F208C5">
        <w:rPr>
          <w:rStyle w:val="SCCCounselNameChar"/>
          <w:lang w:val="fr-CA"/>
        </w:rPr>
        <w:t>Kanellakos</w:t>
      </w:r>
      <w:proofErr w:type="spellEnd"/>
      <w:r w:rsidRPr="00F208C5">
        <w:rPr>
          <w:rStyle w:val="SCCCounselPartyRoleChar"/>
          <w:lang w:val="fr-CA"/>
        </w:rPr>
        <w:t>, pour l</w:t>
      </w:r>
      <w:r w:rsidR="005D0A2B" w:rsidRPr="00F208C5">
        <w:rPr>
          <w:rStyle w:val="SCCCounselPartyRoleChar"/>
          <w:lang w:val="fr-CA"/>
        </w:rPr>
        <w:t>’</w:t>
      </w:r>
      <w:r w:rsidRPr="00F208C5">
        <w:rPr>
          <w:rStyle w:val="SCCCounselPartyRoleChar"/>
          <w:lang w:val="fr-CA"/>
        </w:rPr>
        <w:t>intimé</w:t>
      </w:r>
      <w:r w:rsidR="00F208C5">
        <w:rPr>
          <w:rStyle w:val="SCCCounselPartyRoleChar"/>
          <w:lang w:val="fr-CA"/>
        </w:rPr>
        <w:t>e</w:t>
      </w:r>
      <w:r w:rsidRPr="00F208C5">
        <w:rPr>
          <w:rStyle w:val="SCCCounselPartyRoleChar"/>
          <w:lang w:val="fr-CA"/>
        </w:rPr>
        <w:t>.</w:t>
      </w:r>
    </w:p>
    <w:p w:rsidR="007D3C79" w:rsidRDefault="007D3C79">
      <w:pPr>
        <w:pStyle w:val="SCCNormalDoubleSpacing"/>
        <w:rPr>
          <w:rStyle w:val="SCCCounselPartyRoleChar"/>
          <w:lang w:val="fr-CA"/>
        </w:rPr>
      </w:pPr>
    </w:p>
    <w:p w:rsidR="00C963DE" w:rsidRPr="00B921EA" w:rsidRDefault="00F208C5" w:rsidP="00EF37B6">
      <w:pPr>
        <w:pStyle w:val="SCCLawFirm"/>
        <w:rPr>
          <w:i w:val="0"/>
          <w:szCs w:val="24"/>
          <w:lang w:val="fr-CA"/>
        </w:rPr>
      </w:pPr>
      <w:r w:rsidRPr="00B921EA">
        <w:rPr>
          <w:i w:val="0"/>
          <w:lang w:val="fr-CA"/>
        </w:rPr>
        <w:tab/>
      </w:r>
      <w:r w:rsidR="00C963DE" w:rsidRPr="00B921EA">
        <w:rPr>
          <w:i w:val="0"/>
          <w:szCs w:val="24"/>
          <w:lang w:val="fr-CA"/>
        </w:rPr>
        <w:t>Version française du jugement rendu oralement par</w:t>
      </w:r>
    </w:p>
    <w:p w:rsidR="00C963DE" w:rsidRPr="00384179" w:rsidRDefault="007D3C79" w:rsidP="00C963DE">
      <w:pPr>
        <w:pStyle w:val="ParaNoNdepar-AltN"/>
        <w:tabs>
          <w:tab w:val="clear" w:pos="1152"/>
          <w:tab w:val="left" w:pos="1166"/>
        </w:tabs>
        <w:rPr>
          <w:rFonts w:cs="Times New Roman"/>
          <w:szCs w:val="24"/>
          <w:lang w:val="fr-CA"/>
        </w:rPr>
      </w:pPr>
      <w:r>
        <w:rPr>
          <w:smallCaps/>
          <w:lang w:val="fr-CA"/>
        </w:rPr>
        <w:t xml:space="preserve">La </w:t>
      </w:r>
      <w:r w:rsidR="00030F70">
        <w:rPr>
          <w:smallCaps/>
          <w:lang w:val="fr-CA"/>
        </w:rPr>
        <w:t>Cour</w:t>
      </w:r>
      <w:r w:rsidR="00C963DE" w:rsidRPr="00384179">
        <w:rPr>
          <w:lang w:val="fr-CA"/>
        </w:rPr>
        <w:t xml:space="preserve"> </w:t>
      </w:r>
      <w:r w:rsidR="00C963DE" w:rsidRPr="00384179">
        <w:rPr>
          <w:rFonts w:cs="Times New Roman"/>
          <w:lang w:val="fr-CA"/>
        </w:rPr>
        <w:t>—</w:t>
      </w:r>
      <w:r w:rsidR="00C963DE" w:rsidRPr="00384179">
        <w:rPr>
          <w:lang w:val="fr-CA"/>
        </w:rPr>
        <w:t xml:space="preserve"> </w:t>
      </w:r>
      <w:r w:rsidR="001E747A" w:rsidRPr="001E747A">
        <w:rPr>
          <w:rFonts w:cs="Times New Roman"/>
          <w:szCs w:val="24"/>
          <w:lang w:val="fr-CA"/>
        </w:rPr>
        <w:t>Nous sommes d’avis d’accueillir le pourvoi, avec dépens, pour les motifs exposés par le juge Juriansz de la Cour d’appel.</w:t>
      </w:r>
    </w:p>
    <w:p w:rsidR="00C963DE" w:rsidRPr="006024B0" w:rsidRDefault="00C963DE" w:rsidP="00C963DE">
      <w:pPr>
        <w:pStyle w:val="SCCNormalDoubleSpacing"/>
        <w:rPr>
          <w:i/>
          <w:szCs w:val="24"/>
          <w:lang w:val="fr-CA"/>
        </w:rPr>
      </w:pPr>
      <w:r w:rsidRPr="006024B0">
        <w:rPr>
          <w:szCs w:val="24"/>
          <w:lang w:val="fr-CA"/>
        </w:rPr>
        <w:tab/>
      </w:r>
      <w:r>
        <w:rPr>
          <w:i/>
          <w:szCs w:val="24"/>
          <w:lang w:val="fr-CA"/>
        </w:rPr>
        <w:t>Jugement en conséquence</w:t>
      </w:r>
      <w:r w:rsidRPr="006024B0">
        <w:rPr>
          <w:i/>
          <w:szCs w:val="24"/>
          <w:lang w:val="fr-CA"/>
        </w:rPr>
        <w:t>.</w:t>
      </w:r>
    </w:p>
    <w:p w:rsidR="00C963DE" w:rsidRPr="00C963DE" w:rsidRDefault="00C963DE" w:rsidP="00C963DE">
      <w:pPr>
        <w:pStyle w:val="SCCNormalDoubleSpacing"/>
        <w:rPr>
          <w:lang w:val="fr-CA"/>
        </w:rPr>
      </w:pPr>
    </w:p>
    <w:p w:rsidR="001E747A" w:rsidRPr="00755B46" w:rsidRDefault="00755B46" w:rsidP="001E747A">
      <w:pPr>
        <w:pStyle w:val="SCCLawFirm"/>
        <w:rPr>
          <w:lang w:val="fr-CA"/>
        </w:rPr>
      </w:pPr>
      <w:r w:rsidRPr="00755B46">
        <w:rPr>
          <w:lang w:val="fr-CA"/>
        </w:rPr>
        <w:tab/>
      </w:r>
      <w:r w:rsidR="001E747A">
        <w:rPr>
          <w:lang w:val="fr-CA"/>
        </w:rPr>
        <w:t>Procureurs</w:t>
      </w:r>
      <w:r w:rsidR="001E747A" w:rsidRPr="00755B46">
        <w:rPr>
          <w:lang w:val="fr-CA"/>
        </w:rPr>
        <w:t xml:space="preserve"> de l</w:t>
      </w:r>
      <w:r w:rsidR="001E747A">
        <w:rPr>
          <w:lang w:val="fr-CA"/>
        </w:rPr>
        <w:t xml:space="preserve">’appelante : </w:t>
      </w:r>
      <w:proofErr w:type="spellStart"/>
      <w:r w:rsidR="001E747A">
        <w:rPr>
          <w:lang w:val="fr-CA"/>
        </w:rPr>
        <w:t>Zarek</w:t>
      </w:r>
      <w:proofErr w:type="spellEnd"/>
      <w:r w:rsidR="001E747A">
        <w:rPr>
          <w:lang w:val="fr-CA"/>
        </w:rPr>
        <w:t xml:space="preserve"> Taylor</w:t>
      </w:r>
      <w:r w:rsidR="001E747A" w:rsidRPr="00755B46">
        <w:rPr>
          <w:lang w:val="fr-CA"/>
        </w:rPr>
        <w:t xml:space="preserve"> </w:t>
      </w:r>
      <w:proofErr w:type="spellStart"/>
      <w:r w:rsidR="001E747A" w:rsidRPr="00755B46">
        <w:rPr>
          <w:lang w:val="fr-CA"/>
        </w:rPr>
        <w:t>Grossman</w:t>
      </w:r>
      <w:proofErr w:type="spellEnd"/>
      <w:r w:rsidR="001E747A" w:rsidRPr="00755B46">
        <w:rPr>
          <w:lang w:val="fr-CA"/>
        </w:rPr>
        <w:t xml:space="preserve"> </w:t>
      </w:r>
      <w:proofErr w:type="spellStart"/>
      <w:r w:rsidR="001E747A" w:rsidRPr="00755B46">
        <w:rPr>
          <w:lang w:val="fr-CA"/>
        </w:rPr>
        <w:t>Hanrahan</w:t>
      </w:r>
      <w:proofErr w:type="spellEnd"/>
      <w:r w:rsidR="001E747A" w:rsidRPr="00755B46">
        <w:rPr>
          <w:lang w:val="fr-CA"/>
        </w:rPr>
        <w:t>, Toronto.</w:t>
      </w:r>
    </w:p>
    <w:p w:rsidR="001E747A" w:rsidRPr="00755B46" w:rsidRDefault="001E747A" w:rsidP="001E747A">
      <w:pPr>
        <w:pStyle w:val="SCCLawFirm"/>
        <w:rPr>
          <w:lang w:val="fr-CA"/>
        </w:rPr>
      </w:pPr>
    </w:p>
    <w:p w:rsidR="001E747A" w:rsidRPr="00755B46" w:rsidRDefault="001E747A" w:rsidP="001E747A">
      <w:pPr>
        <w:pStyle w:val="SCCLawFirm"/>
        <w:rPr>
          <w:lang w:val="fr-CA"/>
        </w:rPr>
      </w:pPr>
      <w:r>
        <w:rPr>
          <w:lang w:val="fr-CA"/>
        </w:rPr>
        <w:tab/>
        <w:t>Procureurs</w:t>
      </w:r>
      <w:r w:rsidRPr="00755B46">
        <w:rPr>
          <w:lang w:val="fr-CA"/>
        </w:rPr>
        <w:t xml:space="preserve"> de l</w:t>
      </w:r>
      <w:r>
        <w:rPr>
          <w:lang w:val="fr-CA"/>
        </w:rPr>
        <w:t xml:space="preserve">’intimée : </w:t>
      </w:r>
      <w:proofErr w:type="spellStart"/>
      <w:r>
        <w:rPr>
          <w:lang w:val="fr-CA"/>
        </w:rPr>
        <w:t>Supreme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Advocacy</w:t>
      </w:r>
      <w:proofErr w:type="spellEnd"/>
      <w:r>
        <w:rPr>
          <w:lang w:val="fr-CA"/>
        </w:rPr>
        <w:t xml:space="preserve">, Ottawa; </w:t>
      </w:r>
      <w:r w:rsidRPr="00755B46">
        <w:rPr>
          <w:lang w:val="fr-CA"/>
        </w:rPr>
        <w:t>KBM Law, Toronto.</w:t>
      </w:r>
    </w:p>
    <w:sectPr w:rsidR="001E747A" w:rsidRPr="00755B46" w:rsidSect="00064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6D" w:rsidRDefault="00B5696D">
      <w:r>
        <w:separator/>
      </w:r>
    </w:p>
  </w:endnote>
  <w:endnote w:type="continuationSeparator" w:id="0">
    <w:p w:rsidR="00B5696D" w:rsidRDefault="00B5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6D" w:rsidRDefault="00B569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6D" w:rsidRDefault="00B569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6D" w:rsidRDefault="00B56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6D" w:rsidRDefault="00B5696D">
      <w:r>
        <w:separator/>
      </w:r>
    </w:p>
  </w:footnote>
  <w:footnote w:type="continuationSeparator" w:id="0">
    <w:p w:rsidR="00B5696D" w:rsidRDefault="00B56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6D" w:rsidRDefault="00B569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6D" w:rsidRPr="00450352" w:rsidRDefault="00B5696D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6D" w:rsidRDefault="00B569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3EE8"/>
    <w:multiLevelType w:val="multilevel"/>
    <w:tmpl w:val="461CEFC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14C"/>
    <w:rsid w:val="00000ED4"/>
    <w:rsid w:val="00011A89"/>
    <w:rsid w:val="00023FC7"/>
    <w:rsid w:val="00025198"/>
    <w:rsid w:val="00030F70"/>
    <w:rsid w:val="000578A3"/>
    <w:rsid w:val="000648CC"/>
    <w:rsid w:val="000727FD"/>
    <w:rsid w:val="000C59B8"/>
    <w:rsid w:val="000C6AF0"/>
    <w:rsid w:val="000D0A77"/>
    <w:rsid w:val="000E25FA"/>
    <w:rsid w:val="000E2EF4"/>
    <w:rsid w:val="000F7993"/>
    <w:rsid w:val="00104F33"/>
    <w:rsid w:val="00111DE2"/>
    <w:rsid w:val="00116B38"/>
    <w:rsid w:val="00117236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1E1663"/>
    <w:rsid w:val="001E747A"/>
    <w:rsid w:val="00220FC2"/>
    <w:rsid w:val="002222F4"/>
    <w:rsid w:val="00224FC0"/>
    <w:rsid w:val="00225EA4"/>
    <w:rsid w:val="00226EAF"/>
    <w:rsid w:val="00231F3A"/>
    <w:rsid w:val="00233196"/>
    <w:rsid w:val="002406EE"/>
    <w:rsid w:val="00243EC8"/>
    <w:rsid w:val="00270D93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3EE"/>
    <w:rsid w:val="00340A49"/>
    <w:rsid w:val="0035169A"/>
    <w:rsid w:val="0035259D"/>
    <w:rsid w:val="00364B18"/>
    <w:rsid w:val="003A125D"/>
    <w:rsid w:val="003A4C70"/>
    <w:rsid w:val="003A6CFC"/>
    <w:rsid w:val="003B215F"/>
    <w:rsid w:val="003C799C"/>
    <w:rsid w:val="003D0399"/>
    <w:rsid w:val="003D355D"/>
    <w:rsid w:val="003E1C71"/>
    <w:rsid w:val="003F327B"/>
    <w:rsid w:val="003F51A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B67FB"/>
    <w:rsid w:val="004C478D"/>
    <w:rsid w:val="004D7D95"/>
    <w:rsid w:val="004E2C26"/>
    <w:rsid w:val="005125A8"/>
    <w:rsid w:val="00517549"/>
    <w:rsid w:val="00520ABC"/>
    <w:rsid w:val="00521AE8"/>
    <w:rsid w:val="00527180"/>
    <w:rsid w:val="00555291"/>
    <w:rsid w:val="00556388"/>
    <w:rsid w:val="00566AD1"/>
    <w:rsid w:val="00583EDE"/>
    <w:rsid w:val="005A6079"/>
    <w:rsid w:val="005D0A2B"/>
    <w:rsid w:val="005D52F6"/>
    <w:rsid w:val="005E4698"/>
    <w:rsid w:val="00603924"/>
    <w:rsid w:val="00610539"/>
    <w:rsid w:val="00613969"/>
    <w:rsid w:val="00616BCB"/>
    <w:rsid w:val="00625C35"/>
    <w:rsid w:val="00647E49"/>
    <w:rsid w:val="00656313"/>
    <w:rsid w:val="006565F4"/>
    <w:rsid w:val="00674053"/>
    <w:rsid w:val="006834D6"/>
    <w:rsid w:val="00684EEA"/>
    <w:rsid w:val="0069689B"/>
    <w:rsid w:val="006B5FF5"/>
    <w:rsid w:val="006F30AF"/>
    <w:rsid w:val="00701759"/>
    <w:rsid w:val="00705C15"/>
    <w:rsid w:val="007110F6"/>
    <w:rsid w:val="007208D1"/>
    <w:rsid w:val="00731B4A"/>
    <w:rsid w:val="00744518"/>
    <w:rsid w:val="00747288"/>
    <w:rsid w:val="00747DD3"/>
    <w:rsid w:val="007549C8"/>
    <w:rsid w:val="00755B46"/>
    <w:rsid w:val="00766D14"/>
    <w:rsid w:val="00767A0F"/>
    <w:rsid w:val="00791272"/>
    <w:rsid w:val="007A05F6"/>
    <w:rsid w:val="007B4E7C"/>
    <w:rsid w:val="007B6F4A"/>
    <w:rsid w:val="007D3C79"/>
    <w:rsid w:val="007E1C47"/>
    <w:rsid w:val="007E337A"/>
    <w:rsid w:val="007E5C70"/>
    <w:rsid w:val="007F2FF5"/>
    <w:rsid w:val="007F3F08"/>
    <w:rsid w:val="00804CC6"/>
    <w:rsid w:val="00817190"/>
    <w:rsid w:val="00820315"/>
    <w:rsid w:val="008260E2"/>
    <w:rsid w:val="008322BD"/>
    <w:rsid w:val="00834F73"/>
    <w:rsid w:val="00857D73"/>
    <w:rsid w:val="00864C8A"/>
    <w:rsid w:val="00864CF8"/>
    <w:rsid w:val="00874914"/>
    <w:rsid w:val="00891422"/>
    <w:rsid w:val="00892E1A"/>
    <w:rsid w:val="008979F6"/>
    <w:rsid w:val="008A4994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53175"/>
    <w:rsid w:val="009555B7"/>
    <w:rsid w:val="009567AA"/>
    <w:rsid w:val="009602C9"/>
    <w:rsid w:val="00967374"/>
    <w:rsid w:val="009A343A"/>
    <w:rsid w:val="009A7B62"/>
    <w:rsid w:val="009B2F23"/>
    <w:rsid w:val="009B57B3"/>
    <w:rsid w:val="009C1F28"/>
    <w:rsid w:val="009C73ED"/>
    <w:rsid w:val="009D2920"/>
    <w:rsid w:val="009D5AEB"/>
    <w:rsid w:val="009F0E33"/>
    <w:rsid w:val="009F3190"/>
    <w:rsid w:val="00A149DF"/>
    <w:rsid w:val="00A1755C"/>
    <w:rsid w:val="00A21B90"/>
    <w:rsid w:val="00A22AAC"/>
    <w:rsid w:val="00A2326E"/>
    <w:rsid w:val="00A26259"/>
    <w:rsid w:val="00A41805"/>
    <w:rsid w:val="00A43D4F"/>
    <w:rsid w:val="00A47AE5"/>
    <w:rsid w:val="00A51882"/>
    <w:rsid w:val="00A52AFB"/>
    <w:rsid w:val="00A548CB"/>
    <w:rsid w:val="00A5521C"/>
    <w:rsid w:val="00A643E7"/>
    <w:rsid w:val="00A73C38"/>
    <w:rsid w:val="00A87656"/>
    <w:rsid w:val="00AB670D"/>
    <w:rsid w:val="00AF03C5"/>
    <w:rsid w:val="00B000D8"/>
    <w:rsid w:val="00B00F75"/>
    <w:rsid w:val="00B145B6"/>
    <w:rsid w:val="00B279EB"/>
    <w:rsid w:val="00B50C81"/>
    <w:rsid w:val="00B557F8"/>
    <w:rsid w:val="00B5696D"/>
    <w:rsid w:val="00B815FC"/>
    <w:rsid w:val="00B921EA"/>
    <w:rsid w:val="00B93FBC"/>
    <w:rsid w:val="00BA7DA0"/>
    <w:rsid w:val="00BB2EE4"/>
    <w:rsid w:val="00BB4C92"/>
    <w:rsid w:val="00BC2108"/>
    <w:rsid w:val="00BC285C"/>
    <w:rsid w:val="00BD0E9E"/>
    <w:rsid w:val="00BD1BEC"/>
    <w:rsid w:val="00BD32FF"/>
    <w:rsid w:val="00BF6FE9"/>
    <w:rsid w:val="00C02092"/>
    <w:rsid w:val="00C24D91"/>
    <w:rsid w:val="00C26DB2"/>
    <w:rsid w:val="00C40221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963DE"/>
    <w:rsid w:val="00CA6391"/>
    <w:rsid w:val="00CE036E"/>
    <w:rsid w:val="00CE3171"/>
    <w:rsid w:val="00CF1601"/>
    <w:rsid w:val="00D0172F"/>
    <w:rsid w:val="00D01E33"/>
    <w:rsid w:val="00D068A7"/>
    <w:rsid w:val="00D15B18"/>
    <w:rsid w:val="00D17476"/>
    <w:rsid w:val="00D32086"/>
    <w:rsid w:val="00D37A3F"/>
    <w:rsid w:val="00D4431D"/>
    <w:rsid w:val="00D4667A"/>
    <w:rsid w:val="00D56888"/>
    <w:rsid w:val="00D63A1C"/>
    <w:rsid w:val="00D7516F"/>
    <w:rsid w:val="00D95F8E"/>
    <w:rsid w:val="00DA0590"/>
    <w:rsid w:val="00DA30D8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6664"/>
    <w:rsid w:val="00E47B7A"/>
    <w:rsid w:val="00E53FFC"/>
    <w:rsid w:val="00E56A44"/>
    <w:rsid w:val="00E60269"/>
    <w:rsid w:val="00E92EF2"/>
    <w:rsid w:val="00E97830"/>
    <w:rsid w:val="00EB61B3"/>
    <w:rsid w:val="00EC0759"/>
    <w:rsid w:val="00EE0830"/>
    <w:rsid w:val="00EE3634"/>
    <w:rsid w:val="00EE45A3"/>
    <w:rsid w:val="00EE6CB8"/>
    <w:rsid w:val="00EF0683"/>
    <w:rsid w:val="00EF27D5"/>
    <w:rsid w:val="00EF37B6"/>
    <w:rsid w:val="00F0070C"/>
    <w:rsid w:val="00F00EB7"/>
    <w:rsid w:val="00F208C5"/>
    <w:rsid w:val="00F36AB6"/>
    <w:rsid w:val="00F37A09"/>
    <w:rsid w:val="00F409CE"/>
    <w:rsid w:val="00F4379D"/>
    <w:rsid w:val="00F46763"/>
    <w:rsid w:val="00F50D2D"/>
    <w:rsid w:val="00F56C8B"/>
    <w:rsid w:val="00F62639"/>
    <w:rsid w:val="00F66810"/>
    <w:rsid w:val="00F84DF4"/>
    <w:rsid w:val="00F85C97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customStyle="1" w:styleId="ParaNoNdepar-AltN">
    <w:name w:val="Para. No. / Nº de par. - Alt N"/>
    <w:qFormat/>
    <w:rsid w:val="00C963DE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857D73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857D73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857D73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857D73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33C7-EEF9-4081-A8F2-9F71840C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2015-04-24T17:58:00Z</dcterms:created>
  <dcterms:modified xsi:type="dcterms:W3CDTF">2015-10-06T18:10:00Z</dcterms:modified>
</cp:coreProperties>
</file>