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B7" w:rsidRDefault="000779B7" w:rsidP="000779B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645274" r:id="rId9"/>
        </w:object>
      </w:r>
      <w:r>
        <w:t xml:space="preserve"> </w:t>
      </w:r>
      <w:r>
        <w:ptab w:relativeTo="margin" w:alignment="right" w:leader="none"/>
      </w:r>
    </w:p>
    <w:p w:rsidR="000779B7" w:rsidRDefault="000779B7" w:rsidP="000779B7">
      <w:pPr>
        <w:pStyle w:val="Header"/>
      </w:pPr>
    </w:p>
    <w:p w:rsidR="000779B7" w:rsidRPr="001E12E2" w:rsidRDefault="000779B7" w:rsidP="000779B7">
      <w:pPr>
        <w:jc w:val="center"/>
        <w:rPr>
          <w:b/>
        </w:rPr>
      </w:pPr>
      <w:r w:rsidRPr="001E12E2">
        <w:rPr>
          <w:b/>
        </w:rPr>
        <w:t>COUR SUPRÊME DU CANADA</w:t>
      </w:r>
    </w:p>
    <w:p w:rsidR="000779B7" w:rsidRDefault="000779B7" w:rsidP="000779B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0779B7" w:rsidRPr="001E12E2" w:rsidTr="000B63C2">
        <w:trPr>
          <w:cantSplit/>
        </w:trPr>
        <w:tc>
          <w:tcPr>
            <w:tcW w:w="6768" w:type="dxa"/>
          </w:tcPr>
          <w:p w:rsidR="000779B7" w:rsidRPr="000779B7" w:rsidRDefault="000779B7" w:rsidP="000B63C2">
            <w:pPr>
              <w:rPr>
                <w:lang w:val="fr-CA"/>
              </w:rPr>
            </w:pPr>
            <w:r w:rsidRPr="000779B7">
              <w:rPr>
                <w:b/>
                <w:smallCaps/>
                <w:lang w:val="fr-CA"/>
              </w:rPr>
              <w:t>Référence :</w:t>
            </w:r>
            <w:r w:rsidRPr="000779B7">
              <w:rPr>
                <w:lang w:val="fr-CA"/>
              </w:rPr>
              <w:t xml:space="preserve"> Commission scolaire francophone du Yukon, district scolaire #23 </w:t>
            </w:r>
            <w:r w:rsidRPr="000779B7">
              <w:rPr>
                <w:i/>
                <w:lang w:val="fr-CA"/>
              </w:rPr>
              <w:t>c.</w:t>
            </w:r>
            <w:r w:rsidRPr="000779B7">
              <w:rPr>
                <w:lang w:val="fr-CA"/>
              </w:rPr>
              <w:t xml:space="preserve"> Yukon (Procureure générale), 2015 CSC 25, [2015] 2 R.C.S. 282</w:t>
            </w:r>
          </w:p>
        </w:tc>
        <w:tc>
          <w:tcPr>
            <w:tcW w:w="2808" w:type="dxa"/>
          </w:tcPr>
          <w:p w:rsidR="000779B7" w:rsidRPr="001E12E2" w:rsidRDefault="000779B7" w:rsidP="000B63C2">
            <w:r w:rsidRPr="001E12E2">
              <w:rPr>
                <w:b/>
                <w:smallCaps/>
              </w:rPr>
              <w:t>Date</w:t>
            </w:r>
            <w:r>
              <w:rPr>
                <w:b/>
                <w:smallCaps/>
              </w:rPr>
              <w:t> :</w:t>
            </w:r>
            <w:r w:rsidRPr="001E12E2">
              <w:t xml:space="preserve"> </w:t>
            </w:r>
            <w:r>
              <w:t>20150514</w:t>
            </w:r>
          </w:p>
          <w:p w:rsidR="000779B7" w:rsidRPr="001E12E2" w:rsidRDefault="000779B7" w:rsidP="000B63C2">
            <w:r w:rsidRPr="001E12E2">
              <w:rPr>
                <w:b/>
                <w:smallCaps/>
              </w:rPr>
              <w:t>Do</w:t>
            </w:r>
            <w:r>
              <w:rPr>
                <w:b/>
                <w:smallCaps/>
              </w:rPr>
              <w:t>ssier :</w:t>
            </w:r>
            <w:r w:rsidRPr="001E12E2">
              <w:t xml:space="preserve"> </w:t>
            </w:r>
            <w:r>
              <w:t>35823</w:t>
            </w:r>
          </w:p>
        </w:tc>
      </w:tr>
    </w:tbl>
    <w:p w:rsidR="000779B7" w:rsidRPr="001E12E2" w:rsidRDefault="000779B7" w:rsidP="000779B7"/>
    <w:p w:rsidR="000779B7" w:rsidRDefault="000779B7" w:rsidP="000779B7">
      <w:pPr>
        <w:pStyle w:val="SCCLsocPrefix"/>
      </w:pPr>
      <w:r>
        <w:t>Entre :</w:t>
      </w:r>
    </w:p>
    <w:p w:rsidR="000779B7" w:rsidRPr="000779B7" w:rsidRDefault="000779B7" w:rsidP="000779B7">
      <w:pPr>
        <w:pStyle w:val="SCCLsocParty"/>
        <w:jc w:val="center"/>
        <w:rPr>
          <w:lang w:val="fr-CA"/>
        </w:rPr>
      </w:pPr>
      <w:r w:rsidRPr="000779B7">
        <w:rPr>
          <w:lang w:val="fr-CA"/>
        </w:rPr>
        <w:t>Commission scolaire francophone du Yukon, district scolaire #23</w:t>
      </w:r>
    </w:p>
    <w:p w:rsidR="000779B7" w:rsidRPr="000779B7" w:rsidRDefault="000779B7" w:rsidP="000779B7">
      <w:pPr>
        <w:jc w:val="center"/>
        <w:rPr>
          <w:lang w:val="fr-CA"/>
        </w:rPr>
      </w:pPr>
      <w:r w:rsidRPr="000779B7">
        <w:rPr>
          <w:lang w:val="fr-CA"/>
        </w:rPr>
        <w:t>Appelante</w:t>
      </w:r>
    </w:p>
    <w:p w:rsidR="000779B7" w:rsidRPr="000779B7" w:rsidRDefault="000779B7" w:rsidP="000779B7">
      <w:pPr>
        <w:pStyle w:val="SCCLsocVersus"/>
        <w:spacing w:after="0"/>
        <w:jc w:val="center"/>
        <w:rPr>
          <w:i w:val="0"/>
          <w:lang w:val="fr-CA"/>
        </w:rPr>
      </w:pPr>
      <w:r w:rsidRPr="000779B7">
        <w:rPr>
          <w:i w:val="0"/>
          <w:lang w:val="fr-CA"/>
        </w:rPr>
        <w:t>et</w:t>
      </w:r>
    </w:p>
    <w:p w:rsidR="000779B7" w:rsidRPr="000779B7" w:rsidRDefault="000779B7" w:rsidP="000779B7">
      <w:pPr>
        <w:pStyle w:val="SCCLsocParty"/>
        <w:jc w:val="center"/>
        <w:rPr>
          <w:lang w:val="fr-CA"/>
        </w:rPr>
      </w:pPr>
      <w:r w:rsidRPr="000779B7">
        <w:rPr>
          <w:lang w:val="fr-CA"/>
        </w:rPr>
        <w:t>Procureure générale du Territoire du Yukon</w:t>
      </w:r>
    </w:p>
    <w:p w:rsidR="000779B7" w:rsidRPr="000779B7" w:rsidRDefault="000779B7" w:rsidP="000779B7">
      <w:pPr>
        <w:jc w:val="center"/>
        <w:rPr>
          <w:lang w:val="fr-CA"/>
        </w:rPr>
      </w:pPr>
      <w:r w:rsidRPr="000779B7">
        <w:rPr>
          <w:lang w:val="fr-CA"/>
        </w:rPr>
        <w:t>Intimée</w:t>
      </w:r>
    </w:p>
    <w:p w:rsidR="000779B7" w:rsidRPr="000779B7" w:rsidRDefault="000779B7" w:rsidP="000779B7">
      <w:pPr>
        <w:pStyle w:val="SCCLsocOtherPartySeparator"/>
        <w:spacing w:after="0"/>
        <w:jc w:val="center"/>
        <w:rPr>
          <w:lang w:val="fr-CA"/>
        </w:rPr>
      </w:pPr>
      <w:r w:rsidRPr="000779B7">
        <w:rPr>
          <w:lang w:val="fr-CA"/>
        </w:rPr>
        <w:t>- et -</w:t>
      </w:r>
    </w:p>
    <w:p w:rsidR="000779B7" w:rsidRPr="000779B7" w:rsidRDefault="000779B7" w:rsidP="000779B7">
      <w:pPr>
        <w:pStyle w:val="SCCLsocParty"/>
        <w:jc w:val="center"/>
        <w:rPr>
          <w:lang w:val="fr-CA"/>
        </w:rPr>
      </w:pPr>
      <w:r w:rsidRPr="000779B7">
        <w:rPr>
          <w:lang w:val="fr-CA"/>
        </w:rPr>
        <w:t>Procureure générale du Québec, procureur général de la Colombie-Britannique, procureur général de la Saskatchewan, procureur général des Territoires du Nord-Ouest, commissaire aux langues officielles du Canada, Conseil scolaire francophone de la Colombie-Britannique, Fédération des parents francophones de Colombie-Britannique, Fédération des parents francophones de l’Alberta, Fédération nationale des conseils scolaires francophones et Fédérat</w:t>
      </w:r>
      <w:bookmarkStart w:id="0" w:name="_GoBack"/>
      <w:bookmarkEnd w:id="0"/>
      <w:r w:rsidRPr="000779B7">
        <w:rPr>
          <w:lang w:val="fr-CA"/>
        </w:rPr>
        <w:t>ion des communautés francophones et acadienne du Canada</w:t>
      </w:r>
    </w:p>
    <w:p w:rsidR="000779B7" w:rsidRDefault="000779B7" w:rsidP="000779B7">
      <w:pPr>
        <w:jc w:val="center"/>
      </w:pPr>
      <w:r>
        <w:t>Intervenants</w:t>
      </w:r>
    </w:p>
    <w:p w:rsidR="000779B7" w:rsidRDefault="000779B7" w:rsidP="000779B7"/>
    <w:p w:rsidR="000779B7" w:rsidRPr="001E12E2" w:rsidRDefault="000779B7" w:rsidP="000779B7"/>
    <w:p w:rsidR="000779B7" w:rsidRPr="000779B7" w:rsidRDefault="000779B7" w:rsidP="000779B7">
      <w:pPr>
        <w:jc w:val="center"/>
        <w:rPr>
          <w:b/>
          <w:smallCaps/>
          <w:lang w:val="fr-CA"/>
        </w:rPr>
      </w:pPr>
      <w:r w:rsidRPr="000779B7">
        <w:rPr>
          <w:b/>
          <w:smallCaps/>
          <w:lang w:val="fr-CA"/>
        </w:rPr>
        <w:t>Traduction française officielle</w:t>
      </w:r>
    </w:p>
    <w:p w:rsidR="000779B7" w:rsidRPr="000779B7" w:rsidRDefault="000779B7" w:rsidP="000779B7">
      <w:pPr>
        <w:rPr>
          <w:lang w:val="fr-CA"/>
        </w:rPr>
      </w:pPr>
    </w:p>
    <w:p w:rsidR="000779B7" w:rsidRPr="000779B7" w:rsidRDefault="000779B7" w:rsidP="000779B7">
      <w:pPr>
        <w:rPr>
          <w:lang w:val="fr-CA"/>
        </w:rPr>
      </w:pPr>
      <w:r w:rsidRPr="000779B7">
        <w:rPr>
          <w:b/>
          <w:smallCaps/>
          <w:lang w:val="fr-CA"/>
        </w:rPr>
        <w:t>Coram :</w:t>
      </w:r>
      <w:r w:rsidRPr="000779B7">
        <w:rPr>
          <w:lang w:val="fr-CA"/>
        </w:rPr>
        <w:t xml:space="preserve"> La juge en chef McLachlin et les juges Abella, Rothstein, Moldaver, Karakatsanis, Wagner et Gascon</w:t>
      </w:r>
    </w:p>
    <w:p w:rsidR="000779B7" w:rsidRPr="000779B7" w:rsidRDefault="000779B7" w:rsidP="000779B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779B7" w:rsidRPr="000779B7" w:rsidTr="000B63C2">
        <w:trPr>
          <w:cantSplit/>
        </w:trPr>
        <w:tc>
          <w:tcPr>
            <w:tcW w:w="3618" w:type="dxa"/>
          </w:tcPr>
          <w:p w:rsidR="000779B7" w:rsidRPr="000779B7" w:rsidRDefault="000779B7" w:rsidP="000B63C2">
            <w:pPr>
              <w:rPr>
                <w:b/>
                <w:smallCaps/>
                <w:lang w:val="fr-CA"/>
              </w:rPr>
            </w:pPr>
            <w:r w:rsidRPr="000779B7">
              <w:rPr>
                <w:b/>
                <w:smallCaps/>
                <w:lang w:val="fr-CA"/>
              </w:rPr>
              <w:t>Motifs de jugement :</w:t>
            </w:r>
          </w:p>
          <w:p w:rsidR="000779B7" w:rsidRPr="000779B7" w:rsidRDefault="000779B7" w:rsidP="000B63C2">
            <w:pPr>
              <w:rPr>
                <w:lang w:val="fr-CA"/>
              </w:rPr>
            </w:pPr>
            <w:r w:rsidRPr="000779B7">
              <w:rPr>
                <w:lang w:val="fr-CA"/>
              </w:rPr>
              <w:t>(par. 1 à 78)</w:t>
            </w:r>
          </w:p>
        </w:tc>
        <w:tc>
          <w:tcPr>
            <w:tcW w:w="5958" w:type="dxa"/>
          </w:tcPr>
          <w:p w:rsidR="000779B7" w:rsidRPr="000779B7" w:rsidRDefault="000779B7" w:rsidP="000B63C2">
            <w:pPr>
              <w:rPr>
                <w:lang w:val="fr-CA"/>
              </w:rPr>
            </w:pPr>
            <w:r w:rsidRPr="000779B7">
              <w:rPr>
                <w:lang w:val="fr-CA"/>
              </w:rPr>
              <w:t>La juge Abella (avec l’accord de la juge en chef McLachlin et des juges Rothstein, Moldaver, Karakatsanis, Wagner et Gascon)</w:t>
            </w:r>
          </w:p>
        </w:tc>
      </w:tr>
    </w:tbl>
    <w:p w:rsidR="000779B7" w:rsidRPr="000779B7" w:rsidRDefault="000779B7" w:rsidP="000779B7">
      <w:pPr>
        <w:rPr>
          <w:lang w:val="fr-CA"/>
        </w:rPr>
      </w:pPr>
    </w:p>
    <w:p w:rsidR="000779B7" w:rsidRPr="000779B7" w:rsidRDefault="000779B7" w:rsidP="000779B7">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0779B7" w:rsidRDefault="000779B7" w:rsidP="0095762B">
      <w:pPr>
        <w:widowControl w:val="0"/>
        <w:spacing w:after="720"/>
        <w:jc w:val="both"/>
        <w:rPr>
          <w:lang w:val="fr-CA"/>
        </w:rPr>
      </w:pPr>
    </w:p>
    <w:p w:rsidR="004D7D95" w:rsidRPr="001F313E" w:rsidRDefault="00B2193B" w:rsidP="0095762B">
      <w:pPr>
        <w:widowControl w:val="0"/>
        <w:spacing w:after="720"/>
        <w:jc w:val="both"/>
        <w:rPr>
          <w:lang w:val="fr-CA"/>
        </w:rPr>
      </w:pPr>
      <w:r>
        <w:rPr>
          <w:lang w:val="fr-CA"/>
        </w:rPr>
        <w:t>Conseil scolaire francophone du Y</w:t>
      </w:r>
      <w:r w:rsidR="00D15EED" w:rsidRPr="00B2193B">
        <w:rPr>
          <w:lang w:val="fr-CA"/>
        </w:rPr>
        <w:t>ukon</w:t>
      </w:r>
      <w:r w:rsidRPr="00B2193B">
        <w:rPr>
          <w:lang w:val="fr-CA"/>
        </w:rPr>
        <w:t>, district scolaire #23</w:t>
      </w:r>
      <w:r w:rsidRPr="001F313E">
        <w:rPr>
          <w:b/>
          <w:lang w:val="fr-CA"/>
        </w:rPr>
        <w:t xml:space="preserve"> </w:t>
      </w:r>
      <w:r w:rsidR="00D15EED" w:rsidRPr="001F313E">
        <w:rPr>
          <w:smallCaps/>
          <w:lang w:val="fr-CA"/>
        </w:rPr>
        <w:t xml:space="preserve"> </w:t>
      </w:r>
      <w:r w:rsidR="004D7D95" w:rsidRPr="001F313E">
        <w:rPr>
          <w:i/>
          <w:lang w:val="fr-CA"/>
        </w:rPr>
        <w:t>c.</w:t>
      </w:r>
      <w:r w:rsidR="004D7D95" w:rsidRPr="001F313E">
        <w:rPr>
          <w:lang w:val="fr-CA"/>
        </w:rPr>
        <w:t xml:space="preserve"> </w:t>
      </w:r>
      <w:r>
        <w:rPr>
          <w:lang w:val="fr-CA"/>
        </w:rPr>
        <w:t>Y</w:t>
      </w:r>
      <w:r w:rsidR="00542C13" w:rsidRPr="00B2193B">
        <w:rPr>
          <w:lang w:val="fr-CA"/>
        </w:rPr>
        <w:t>ukon (</w:t>
      </w:r>
      <w:r>
        <w:rPr>
          <w:lang w:val="fr-CA"/>
        </w:rPr>
        <w:t>Procureure générale</w:t>
      </w:r>
      <w:r w:rsidR="00542C13" w:rsidRPr="00B2193B">
        <w:rPr>
          <w:lang w:val="fr-CA"/>
        </w:rPr>
        <w:t>)</w:t>
      </w:r>
      <w:r w:rsidR="00F37989">
        <w:rPr>
          <w:lang w:val="fr-CA"/>
        </w:rPr>
        <w:t xml:space="preserve">, </w:t>
      </w:r>
      <w:r w:rsidR="00F37989" w:rsidRPr="001F313E">
        <w:rPr>
          <w:lang w:val="fr-CA"/>
        </w:rPr>
        <w:t>2015 CSC</w:t>
      </w:r>
      <w:r w:rsidR="00F37989">
        <w:rPr>
          <w:lang w:val="fr-CA"/>
        </w:rPr>
        <w:t xml:space="preserve"> </w:t>
      </w:r>
      <w:r w:rsidR="00F37989" w:rsidRPr="001F313E">
        <w:rPr>
          <w:lang w:val="fr-CA"/>
        </w:rPr>
        <w:t>25</w:t>
      </w:r>
      <w:r w:rsidR="00F37989">
        <w:rPr>
          <w:lang w:val="fr-CA"/>
        </w:rPr>
        <w:t>, [2015] 2 R.C.S. 282</w:t>
      </w:r>
    </w:p>
    <w:p w:rsidR="00542C13" w:rsidRPr="001F313E" w:rsidRDefault="005A1113" w:rsidP="0095762B">
      <w:pPr>
        <w:pStyle w:val="SCCLsocLastPartyInRole"/>
        <w:widowControl w:val="0"/>
        <w:spacing w:after="0"/>
        <w:rPr>
          <w:lang w:val="fr-CA"/>
        </w:rPr>
      </w:pPr>
      <w:r w:rsidRPr="001F313E">
        <w:rPr>
          <w:lang w:val="fr-CA"/>
        </w:rPr>
        <w:lastRenderedPageBreak/>
        <w:t>Commission scolaire francopho</w:t>
      </w:r>
      <w:r w:rsidR="00542C13" w:rsidRPr="001F313E">
        <w:rPr>
          <w:lang w:val="fr-CA"/>
        </w:rPr>
        <w:t xml:space="preserve">ne du Yukon, </w:t>
      </w:r>
    </w:p>
    <w:p w:rsidR="00080F1F" w:rsidRPr="001F313E" w:rsidRDefault="003319D2" w:rsidP="0095762B">
      <w:pPr>
        <w:pStyle w:val="SCCLsocLastPartyInRole"/>
        <w:widowControl w:val="0"/>
        <w:rPr>
          <w:lang w:val="fr-CA"/>
        </w:rPr>
      </w:pPr>
      <w:r w:rsidRPr="001F313E">
        <w:rPr>
          <w:lang w:val="fr-CA"/>
        </w:rPr>
        <w:t>district scolaire #</w:t>
      </w:r>
      <w:r w:rsidR="005A1113" w:rsidRPr="001F313E">
        <w:rPr>
          <w:lang w:val="fr-CA"/>
        </w:rPr>
        <w:t>23</w:t>
      </w:r>
      <w:r w:rsidR="00542C13" w:rsidRPr="001F313E">
        <w:rPr>
          <w:rStyle w:val="SCCLsocPartyRole"/>
          <w:lang w:val="fr-CA"/>
        </w:rPr>
        <w:tab/>
        <w:t>Appelant</w:t>
      </w:r>
      <w:r w:rsidR="005A1113" w:rsidRPr="001F313E">
        <w:rPr>
          <w:rStyle w:val="SCCLsocPartyRole"/>
          <w:lang w:val="fr-CA"/>
        </w:rPr>
        <w:t>e</w:t>
      </w:r>
    </w:p>
    <w:p w:rsidR="00080F1F" w:rsidRPr="001F313E" w:rsidRDefault="005A1113" w:rsidP="0095762B">
      <w:pPr>
        <w:pStyle w:val="SCCLsocVersus"/>
        <w:widowControl w:val="0"/>
        <w:rPr>
          <w:lang w:val="fr-CA"/>
        </w:rPr>
      </w:pPr>
      <w:r w:rsidRPr="001F313E">
        <w:rPr>
          <w:lang w:val="fr-CA"/>
        </w:rPr>
        <w:t>c.</w:t>
      </w:r>
    </w:p>
    <w:p w:rsidR="00080F1F" w:rsidRPr="001F313E" w:rsidRDefault="00542C13" w:rsidP="0095762B">
      <w:pPr>
        <w:pStyle w:val="SCCLsocLastPartyInRole"/>
        <w:widowControl w:val="0"/>
        <w:rPr>
          <w:lang w:val="fr-CA"/>
        </w:rPr>
      </w:pPr>
      <w:r w:rsidRPr="001F313E">
        <w:rPr>
          <w:lang w:val="fr-CA"/>
        </w:rPr>
        <w:t>Procureur</w:t>
      </w:r>
      <w:r w:rsidR="0081089C" w:rsidRPr="001F313E">
        <w:rPr>
          <w:lang w:val="fr-CA"/>
        </w:rPr>
        <w:t>e</w:t>
      </w:r>
      <w:r w:rsidRPr="001F313E">
        <w:rPr>
          <w:lang w:val="fr-CA"/>
        </w:rPr>
        <w:t xml:space="preserve"> général</w:t>
      </w:r>
      <w:r w:rsidR="0081089C" w:rsidRPr="001F313E">
        <w:rPr>
          <w:lang w:val="fr-CA"/>
        </w:rPr>
        <w:t>e</w:t>
      </w:r>
      <w:r w:rsidR="005A1113" w:rsidRPr="001F313E">
        <w:rPr>
          <w:lang w:val="fr-CA"/>
        </w:rPr>
        <w:t xml:space="preserve"> du Territoire du Yukon</w:t>
      </w:r>
      <w:r w:rsidR="005A1113" w:rsidRPr="001F313E">
        <w:rPr>
          <w:rStyle w:val="SCCLsocPartyRole"/>
          <w:lang w:val="fr-CA"/>
        </w:rPr>
        <w:tab/>
        <w:t>Intimé</w:t>
      </w:r>
      <w:r w:rsidR="0081089C" w:rsidRPr="001F313E">
        <w:rPr>
          <w:rStyle w:val="SCCLsocPartyRole"/>
          <w:lang w:val="fr-CA"/>
        </w:rPr>
        <w:t>e</w:t>
      </w:r>
    </w:p>
    <w:p w:rsidR="00080F1F" w:rsidRPr="001F313E" w:rsidRDefault="005A1113" w:rsidP="0095762B">
      <w:pPr>
        <w:pStyle w:val="SCCLsocOtherPartySeparator"/>
        <w:widowControl w:val="0"/>
        <w:rPr>
          <w:lang w:val="fr-CA"/>
        </w:rPr>
      </w:pPr>
      <w:r w:rsidRPr="001F313E">
        <w:rPr>
          <w:lang w:val="fr-CA"/>
        </w:rPr>
        <w:t>et</w:t>
      </w:r>
    </w:p>
    <w:p w:rsidR="00080F1F" w:rsidRPr="001F313E" w:rsidRDefault="00542C13" w:rsidP="0095762B">
      <w:pPr>
        <w:pStyle w:val="SCCLsocParty"/>
        <w:widowControl w:val="0"/>
        <w:rPr>
          <w:lang w:val="fr-CA"/>
        </w:rPr>
      </w:pPr>
      <w:r w:rsidRPr="001F313E">
        <w:rPr>
          <w:lang w:val="fr-CA"/>
        </w:rPr>
        <w:t>Procureur</w:t>
      </w:r>
      <w:r w:rsidR="00C77ED3">
        <w:rPr>
          <w:lang w:val="fr-CA"/>
        </w:rPr>
        <w:t>e</w:t>
      </w:r>
      <w:r w:rsidRPr="001F313E">
        <w:rPr>
          <w:lang w:val="fr-CA"/>
        </w:rPr>
        <w:t xml:space="preserve"> général</w:t>
      </w:r>
      <w:r w:rsidR="00C77ED3">
        <w:rPr>
          <w:lang w:val="fr-CA"/>
        </w:rPr>
        <w:t>e</w:t>
      </w:r>
      <w:r w:rsidR="005A1113" w:rsidRPr="001F313E">
        <w:rPr>
          <w:lang w:val="fr-CA"/>
        </w:rPr>
        <w:t xml:space="preserve"> du Québec,</w:t>
      </w:r>
    </w:p>
    <w:p w:rsidR="009B534D" w:rsidRPr="001F313E" w:rsidRDefault="009B534D" w:rsidP="0095762B">
      <w:pPr>
        <w:pStyle w:val="SCCLsocParty"/>
        <w:widowControl w:val="0"/>
        <w:rPr>
          <w:lang w:val="fr-CA"/>
        </w:rPr>
      </w:pPr>
      <w:r w:rsidRPr="001F313E">
        <w:rPr>
          <w:lang w:val="fr-CA"/>
        </w:rPr>
        <w:t>procureur général de la Colombie</w:t>
      </w:r>
      <w:r w:rsidR="00BB6F2A">
        <w:rPr>
          <w:lang w:val="fr-CA"/>
        </w:rPr>
        <w:t>-</w:t>
      </w:r>
      <w:r w:rsidRPr="001F313E">
        <w:rPr>
          <w:lang w:val="fr-CA"/>
        </w:rPr>
        <w:t>Britannique,</w:t>
      </w:r>
    </w:p>
    <w:p w:rsidR="00542C13" w:rsidRPr="001F313E" w:rsidRDefault="00542C13" w:rsidP="0095762B">
      <w:pPr>
        <w:pStyle w:val="SCCLsocParty"/>
        <w:widowControl w:val="0"/>
        <w:rPr>
          <w:lang w:val="fr-CA"/>
        </w:rPr>
      </w:pPr>
      <w:r w:rsidRPr="001F313E">
        <w:rPr>
          <w:lang w:val="fr-CA"/>
        </w:rPr>
        <w:t>procureur général de la Saskatchewan,</w:t>
      </w:r>
    </w:p>
    <w:p w:rsidR="00080F1F" w:rsidRPr="001F313E" w:rsidRDefault="00542C13" w:rsidP="0095762B">
      <w:pPr>
        <w:pStyle w:val="SCCLsocParty"/>
        <w:widowControl w:val="0"/>
        <w:rPr>
          <w:lang w:val="fr-CA"/>
        </w:rPr>
      </w:pPr>
      <w:r w:rsidRPr="001F313E">
        <w:rPr>
          <w:lang w:val="fr-CA"/>
        </w:rPr>
        <w:t>p</w:t>
      </w:r>
      <w:r w:rsidR="005A1113" w:rsidRPr="001F313E">
        <w:rPr>
          <w:lang w:val="fr-CA"/>
        </w:rPr>
        <w:t>rocureur général des Territoires du Nord</w:t>
      </w:r>
      <w:r w:rsidR="00BB6F2A">
        <w:rPr>
          <w:lang w:val="fr-CA"/>
        </w:rPr>
        <w:t>-</w:t>
      </w:r>
      <w:r w:rsidR="005A1113" w:rsidRPr="001F313E">
        <w:rPr>
          <w:lang w:val="fr-CA"/>
        </w:rPr>
        <w:t>Ouest,</w:t>
      </w:r>
    </w:p>
    <w:p w:rsidR="00080F1F" w:rsidRPr="001F313E" w:rsidRDefault="00542C13" w:rsidP="0095762B">
      <w:pPr>
        <w:pStyle w:val="SCCLsocParty"/>
        <w:widowControl w:val="0"/>
        <w:rPr>
          <w:lang w:val="fr-CA"/>
        </w:rPr>
      </w:pPr>
      <w:r w:rsidRPr="001F313E">
        <w:rPr>
          <w:lang w:val="fr-CA"/>
        </w:rPr>
        <w:t>c</w:t>
      </w:r>
      <w:r w:rsidR="005A1113" w:rsidRPr="001F313E">
        <w:rPr>
          <w:lang w:val="fr-CA"/>
        </w:rPr>
        <w:t>ommissaire aux langues officielles du Canada,</w:t>
      </w:r>
    </w:p>
    <w:p w:rsidR="00542C13" w:rsidRPr="001F313E" w:rsidRDefault="005A1113" w:rsidP="0095762B">
      <w:pPr>
        <w:pStyle w:val="SCCLsocParty"/>
        <w:widowControl w:val="0"/>
        <w:rPr>
          <w:lang w:val="fr-CA"/>
        </w:rPr>
      </w:pPr>
      <w:r w:rsidRPr="001F313E">
        <w:rPr>
          <w:lang w:val="fr-CA"/>
        </w:rPr>
        <w:t>Conseil scolaire francophone de la Colomb</w:t>
      </w:r>
      <w:r w:rsidR="00542C13" w:rsidRPr="001F313E">
        <w:rPr>
          <w:lang w:val="fr-CA"/>
        </w:rPr>
        <w:t>ie</w:t>
      </w:r>
      <w:r w:rsidR="00BB6F2A">
        <w:rPr>
          <w:lang w:val="fr-CA"/>
        </w:rPr>
        <w:t>-</w:t>
      </w:r>
      <w:r w:rsidR="00542C13" w:rsidRPr="001F313E">
        <w:rPr>
          <w:lang w:val="fr-CA"/>
        </w:rPr>
        <w:t>Britannique,</w:t>
      </w:r>
    </w:p>
    <w:p w:rsidR="00080F1F" w:rsidRPr="001F313E" w:rsidRDefault="005A1113" w:rsidP="0095762B">
      <w:pPr>
        <w:pStyle w:val="SCCLsocParty"/>
        <w:widowControl w:val="0"/>
        <w:rPr>
          <w:lang w:val="fr-CA"/>
        </w:rPr>
      </w:pPr>
      <w:r w:rsidRPr="001F313E">
        <w:rPr>
          <w:lang w:val="fr-CA"/>
        </w:rPr>
        <w:t>Fédération des parents francophones de Colombie</w:t>
      </w:r>
      <w:r w:rsidR="00BB6F2A">
        <w:rPr>
          <w:lang w:val="fr-CA"/>
        </w:rPr>
        <w:t>-</w:t>
      </w:r>
      <w:r w:rsidRPr="001F313E">
        <w:rPr>
          <w:lang w:val="fr-CA"/>
        </w:rPr>
        <w:t>Britannique,</w:t>
      </w:r>
    </w:p>
    <w:p w:rsidR="00080F1F" w:rsidRPr="001F313E" w:rsidRDefault="005A1113" w:rsidP="0095762B">
      <w:pPr>
        <w:pStyle w:val="SCCLsocParty"/>
        <w:widowControl w:val="0"/>
        <w:rPr>
          <w:lang w:val="fr-CA"/>
        </w:rPr>
      </w:pPr>
      <w:r w:rsidRPr="001F313E">
        <w:rPr>
          <w:lang w:val="fr-CA"/>
        </w:rPr>
        <w:t>Fédération des parents francophones de l</w:t>
      </w:r>
      <w:r w:rsidR="00653003" w:rsidRPr="001F313E">
        <w:rPr>
          <w:lang w:val="fr-CA"/>
        </w:rPr>
        <w:t>’</w:t>
      </w:r>
      <w:r w:rsidRPr="001F313E">
        <w:rPr>
          <w:lang w:val="fr-CA"/>
        </w:rPr>
        <w:t>Alberta,</w:t>
      </w:r>
    </w:p>
    <w:p w:rsidR="00542C13" w:rsidRPr="001F313E" w:rsidRDefault="005A1113" w:rsidP="0095762B">
      <w:pPr>
        <w:pStyle w:val="SCCLsocLastPartyInRole"/>
        <w:widowControl w:val="0"/>
        <w:spacing w:after="0"/>
        <w:rPr>
          <w:lang w:val="fr-CA"/>
        </w:rPr>
      </w:pPr>
      <w:r w:rsidRPr="001F313E">
        <w:rPr>
          <w:lang w:val="fr-CA"/>
        </w:rPr>
        <w:t>Fédération nationale des consei</w:t>
      </w:r>
      <w:r w:rsidR="00542C13" w:rsidRPr="001F313E">
        <w:rPr>
          <w:lang w:val="fr-CA"/>
        </w:rPr>
        <w:t xml:space="preserve">ls scolaires francophones et </w:t>
      </w:r>
    </w:p>
    <w:p w:rsidR="00542C13" w:rsidRPr="001F313E" w:rsidRDefault="005A1113" w:rsidP="0095762B">
      <w:pPr>
        <w:pStyle w:val="SCCLsocLastPartyInRole"/>
        <w:widowControl w:val="0"/>
        <w:spacing w:after="0"/>
        <w:rPr>
          <w:lang w:val="fr-CA"/>
        </w:rPr>
      </w:pPr>
      <w:r w:rsidRPr="001F313E">
        <w:rPr>
          <w:lang w:val="fr-CA"/>
        </w:rPr>
        <w:t xml:space="preserve">Fédération des communautés francophones </w:t>
      </w:r>
    </w:p>
    <w:p w:rsidR="00080F1F" w:rsidRPr="001F313E" w:rsidRDefault="005A1113" w:rsidP="0095762B">
      <w:pPr>
        <w:pStyle w:val="SCCLsocLastPartyInRole"/>
        <w:widowControl w:val="0"/>
        <w:rPr>
          <w:lang w:val="fr-CA"/>
        </w:rPr>
      </w:pPr>
      <w:r w:rsidRPr="001F313E">
        <w:rPr>
          <w:lang w:val="fr-CA"/>
        </w:rPr>
        <w:t>et acadienne du Canada</w:t>
      </w:r>
      <w:r w:rsidR="00542C13" w:rsidRPr="001F313E">
        <w:rPr>
          <w:rStyle w:val="SCCLsocPartyRole"/>
          <w:lang w:val="fr-CA"/>
        </w:rPr>
        <w:tab/>
        <w:t>Intervenant</w:t>
      </w:r>
      <w:r w:rsidRPr="001F313E">
        <w:rPr>
          <w:rStyle w:val="SCCLsocPartyRole"/>
          <w:lang w:val="fr-CA"/>
        </w:rPr>
        <w:t>s</w:t>
      </w:r>
    </w:p>
    <w:p w:rsidR="004D7D95" w:rsidRPr="001F313E" w:rsidRDefault="004D7D95" w:rsidP="0095762B">
      <w:pPr>
        <w:widowControl w:val="0"/>
        <w:spacing w:after="720"/>
        <w:jc w:val="both"/>
        <w:rPr>
          <w:b/>
          <w:lang w:val="fr-CA"/>
        </w:rPr>
      </w:pPr>
      <w:r w:rsidRPr="001F313E">
        <w:rPr>
          <w:b/>
          <w:lang w:val="fr-CA"/>
        </w:rPr>
        <w:t>Répertorié</w:t>
      </w:r>
      <w:r w:rsidR="00BB6F2A">
        <w:rPr>
          <w:b/>
          <w:lang w:val="fr-CA"/>
        </w:rPr>
        <w:t xml:space="preserve"> : </w:t>
      </w:r>
      <w:r w:rsidR="00A652E1" w:rsidRPr="001F313E">
        <w:rPr>
          <w:b/>
          <w:lang w:val="fr-CA"/>
        </w:rPr>
        <w:t>Commission scolaire francophone du Yukon, district scolaire</w:t>
      </w:r>
      <w:r w:rsidR="003870AB" w:rsidRPr="001F313E">
        <w:rPr>
          <w:b/>
          <w:lang w:val="fr-CA"/>
        </w:rPr>
        <w:t xml:space="preserve"> </w:t>
      </w:r>
      <w:r w:rsidR="00E121C7" w:rsidRPr="001F313E">
        <w:rPr>
          <w:lang w:val="fr-CA"/>
        </w:rPr>
        <w:t>#</w:t>
      </w:r>
      <w:r w:rsidR="003870AB" w:rsidRPr="001F313E">
        <w:rPr>
          <w:b/>
          <w:lang w:val="fr-CA"/>
        </w:rPr>
        <w:t>23</w:t>
      </w:r>
      <w:r w:rsidRPr="001F313E">
        <w:rPr>
          <w:b/>
          <w:lang w:val="fr-CA"/>
        </w:rPr>
        <w:t xml:space="preserve"> </w:t>
      </w:r>
      <w:r w:rsidRPr="001F313E">
        <w:rPr>
          <w:b/>
          <w:i/>
          <w:lang w:val="fr-CA"/>
        </w:rPr>
        <w:t>c.</w:t>
      </w:r>
      <w:r w:rsidRPr="001F313E">
        <w:rPr>
          <w:b/>
          <w:lang w:val="fr-CA"/>
        </w:rPr>
        <w:t xml:space="preserve"> </w:t>
      </w:r>
      <w:r w:rsidR="003870AB" w:rsidRPr="001F313E">
        <w:rPr>
          <w:b/>
          <w:lang w:val="fr-CA"/>
        </w:rPr>
        <w:t>Yukon (Procureur</w:t>
      </w:r>
      <w:r w:rsidR="000D5176" w:rsidRPr="001F313E">
        <w:rPr>
          <w:b/>
          <w:lang w:val="fr-CA"/>
        </w:rPr>
        <w:t>e</w:t>
      </w:r>
      <w:r w:rsidR="003870AB" w:rsidRPr="001F313E">
        <w:rPr>
          <w:b/>
          <w:lang w:val="fr-CA"/>
        </w:rPr>
        <w:t xml:space="preserve"> général</w:t>
      </w:r>
      <w:r w:rsidR="000D5176" w:rsidRPr="001F313E">
        <w:rPr>
          <w:b/>
          <w:lang w:val="fr-CA"/>
        </w:rPr>
        <w:t>e</w:t>
      </w:r>
      <w:r w:rsidR="003870AB" w:rsidRPr="001F313E">
        <w:rPr>
          <w:b/>
          <w:lang w:val="fr-CA"/>
        </w:rPr>
        <w:t>)</w:t>
      </w:r>
    </w:p>
    <w:p w:rsidR="004D7D95" w:rsidRPr="001F313E" w:rsidRDefault="00F62639" w:rsidP="0095762B">
      <w:pPr>
        <w:pStyle w:val="SCCSystemYear"/>
        <w:widowControl w:val="0"/>
        <w:spacing w:after="720"/>
        <w:jc w:val="both"/>
        <w:rPr>
          <w:lang w:val="fr-CA"/>
        </w:rPr>
      </w:pPr>
      <w:r w:rsidRPr="001F313E">
        <w:rPr>
          <w:lang w:val="fr-CA"/>
        </w:rPr>
        <w:t>2015</w:t>
      </w:r>
      <w:r w:rsidR="00D15EED" w:rsidRPr="001F313E">
        <w:rPr>
          <w:lang w:val="fr-CA"/>
        </w:rPr>
        <w:t xml:space="preserve"> CSC</w:t>
      </w:r>
      <w:r w:rsidR="00BB6F2A">
        <w:rPr>
          <w:lang w:val="fr-CA"/>
        </w:rPr>
        <w:t xml:space="preserve"> </w:t>
      </w:r>
      <w:r w:rsidR="00D15EED" w:rsidRPr="001F313E">
        <w:rPr>
          <w:lang w:val="fr-CA"/>
        </w:rPr>
        <w:t>25</w:t>
      </w:r>
    </w:p>
    <w:p w:rsidR="004D7D95" w:rsidRPr="001F313E" w:rsidRDefault="004D7D95" w:rsidP="0095762B">
      <w:pPr>
        <w:widowControl w:val="0"/>
        <w:spacing w:after="720"/>
        <w:jc w:val="both"/>
        <w:rPr>
          <w:lang w:val="fr-CA"/>
        </w:rPr>
      </w:pPr>
      <w:r w:rsidRPr="001F313E">
        <w:rPr>
          <w:lang w:val="fr-CA"/>
        </w:rPr>
        <w:t>N</w:t>
      </w:r>
      <w:r w:rsidRPr="001F313E">
        <w:rPr>
          <w:vertAlign w:val="superscript"/>
          <w:lang w:val="fr-CA"/>
        </w:rPr>
        <w:t>o</w:t>
      </w:r>
      <w:r w:rsidRPr="001F313E">
        <w:rPr>
          <w:lang w:val="fr-CA"/>
        </w:rPr>
        <w:t xml:space="preserve"> du greffe</w:t>
      </w:r>
      <w:r w:rsidR="00BB6F2A">
        <w:rPr>
          <w:lang w:val="fr-CA"/>
        </w:rPr>
        <w:t xml:space="preserve"> : </w:t>
      </w:r>
      <w:r w:rsidRPr="001F313E">
        <w:rPr>
          <w:lang w:val="fr-CA"/>
        </w:rPr>
        <w:t>35823.</w:t>
      </w:r>
    </w:p>
    <w:p w:rsidR="004D7D95" w:rsidRPr="001F313E" w:rsidRDefault="00F62639" w:rsidP="0095762B">
      <w:pPr>
        <w:widowControl w:val="0"/>
        <w:spacing w:after="720"/>
        <w:jc w:val="both"/>
        <w:rPr>
          <w:lang w:val="fr-CA"/>
        </w:rPr>
      </w:pPr>
      <w:r w:rsidRPr="001F313E">
        <w:rPr>
          <w:lang w:val="fr-CA"/>
        </w:rPr>
        <w:t>2015</w:t>
      </w:r>
      <w:r w:rsidR="00BB6F2A">
        <w:rPr>
          <w:lang w:val="fr-CA"/>
        </w:rPr>
        <w:t xml:space="preserve"> : </w:t>
      </w:r>
      <w:r w:rsidR="00AF038E" w:rsidRPr="001F313E">
        <w:rPr>
          <w:lang w:val="fr-CA"/>
        </w:rPr>
        <w:t>21</w:t>
      </w:r>
      <w:r w:rsidR="00BB6F2A">
        <w:rPr>
          <w:lang w:val="fr-CA"/>
        </w:rPr>
        <w:t xml:space="preserve"> </w:t>
      </w:r>
      <w:r w:rsidRPr="001F313E">
        <w:rPr>
          <w:lang w:val="fr-CA"/>
        </w:rPr>
        <w:t>janvier</w:t>
      </w:r>
      <w:r w:rsidR="004D7D95" w:rsidRPr="001F313E">
        <w:rPr>
          <w:lang w:val="fr-CA"/>
        </w:rPr>
        <w:t xml:space="preserve">; </w:t>
      </w:r>
      <w:r w:rsidR="00E84ADC" w:rsidRPr="001F313E">
        <w:rPr>
          <w:lang w:val="fr-CA"/>
        </w:rPr>
        <w:t>2015</w:t>
      </w:r>
      <w:r w:rsidR="00BB6F2A">
        <w:rPr>
          <w:lang w:val="fr-CA"/>
        </w:rPr>
        <w:t xml:space="preserve"> : </w:t>
      </w:r>
      <w:r w:rsidR="00C25045" w:rsidRPr="001F313E">
        <w:rPr>
          <w:lang w:val="fr-CA"/>
        </w:rPr>
        <w:t>14</w:t>
      </w:r>
      <w:r w:rsidR="00BB6F2A">
        <w:rPr>
          <w:lang w:val="fr-CA"/>
        </w:rPr>
        <w:t xml:space="preserve"> </w:t>
      </w:r>
      <w:r w:rsidR="00E121C7" w:rsidRPr="001F313E">
        <w:rPr>
          <w:lang w:val="fr-CA"/>
        </w:rPr>
        <w:t>mai</w:t>
      </w:r>
      <w:r w:rsidR="004D7D95" w:rsidRPr="001F313E">
        <w:rPr>
          <w:lang w:val="fr-CA"/>
        </w:rPr>
        <w:t>.</w:t>
      </w:r>
    </w:p>
    <w:p w:rsidR="004D7D95" w:rsidRPr="001F313E" w:rsidRDefault="004D7D95" w:rsidP="0095762B">
      <w:pPr>
        <w:widowControl w:val="0"/>
        <w:spacing w:after="720"/>
        <w:jc w:val="both"/>
        <w:rPr>
          <w:lang w:val="fr-CA"/>
        </w:rPr>
      </w:pPr>
      <w:r w:rsidRPr="001F313E">
        <w:rPr>
          <w:lang w:val="fr-CA"/>
        </w:rPr>
        <w:t>Présents</w:t>
      </w:r>
      <w:r w:rsidR="00BB6F2A">
        <w:rPr>
          <w:lang w:val="fr-CA"/>
        </w:rPr>
        <w:t xml:space="preserve"> : </w:t>
      </w:r>
      <w:r w:rsidRPr="001F313E">
        <w:rPr>
          <w:lang w:val="fr-CA"/>
        </w:rPr>
        <w:t xml:space="preserve">La juge en chef McLachlin et les juges Abella, Rothstein, Moldaver, </w:t>
      </w:r>
      <w:r w:rsidRPr="001F313E">
        <w:rPr>
          <w:lang w:val="fr-CA"/>
        </w:rPr>
        <w:lastRenderedPageBreak/>
        <w:t>Karakatsanis, Wagner et Gascon.</w:t>
      </w:r>
    </w:p>
    <w:p w:rsidR="004D7D95" w:rsidRPr="001F313E" w:rsidRDefault="004D7D95" w:rsidP="0095762B">
      <w:pPr>
        <w:widowControl w:val="0"/>
        <w:spacing w:after="720"/>
        <w:jc w:val="both"/>
        <w:rPr>
          <w:smallCaps/>
          <w:lang w:val="fr-CA"/>
        </w:rPr>
      </w:pPr>
      <w:r w:rsidRPr="001F313E">
        <w:rPr>
          <w:smallCaps/>
          <w:lang w:val="fr-CA"/>
        </w:rPr>
        <w:t>en appel de la cour d</w:t>
      </w:r>
      <w:r w:rsidR="00653003" w:rsidRPr="001F313E">
        <w:rPr>
          <w:smallCaps/>
          <w:lang w:val="fr-CA"/>
        </w:rPr>
        <w:t>’</w:t>
      </w:r>
      <w:r w:rsidRPr="001F313E">
        <w:rPr>
          <w:smallCaps/>
          <w:lang w:val="fr-CA"/>
        </w:rPr>
        <w:t>a</w:t>
      </w:r>
      <w:r w:rsidR="005B1397" w:rsidRPr="001F313E">
        <w:rPr>
          <w:smallCaps/>
          <w:lang w:val="fr-CA"/>
        </w:rPr>
        <w:t xml:space="preserve">ppel </w:t>
      </w:r>
      <w:r w:rsidRPr="001F313E">
        <w:rPr>
          <w:smallCaps/>
          <w:lang w:val="fr-CA"/>
        </w:rPr>
        <w:t>du yukon</w:t>
      </w:r>
    </w:p>
    <w:p w:rsidR="00E121C7" w:rsidRPr="001F313E" w:rsidRDefault="004D7D95" w:rsidP="0095762B">
      <w:pPr>
        <w:pStyle w:val="SCCNormalDoubleSpacing"/>
        <w:widowControl w:val="0"/>
        <w:spacing w:before="480" w:after="480"/>
        <w:rPr>
          <w:i/>
          <w:lang w:val="fr-CA"/>
        </w:rPr>
      </w:pPr>
      <w:r w:rsidRPr="001F313E">
        <w:rPr>
          <w:lang w:val="fr-CA"/>
        </w:rPr>
        <w:tab/>
      </w:r>
      <w:r w:rsidR="00E121C7" w:rsidRPr="001F313E">
        <w:rPr>
          <w:i/>
          <w:lang w:val="fr-CA"/>
        </w:rPr>
        <w:t xml:space="preserve">Tribunaux — Juges — Impartialité — Crainte raisonnable de partialité — </w:t>
      </w:r>
      <w:r w:rsidR="00683D44" w:rsidRPr="001F313E">
        <w:rPr>
          <w:i/>
          <w:lang w:val="fr-CA"/>
        </w:rPr>
        <w:t xml:space="preserve">Allégation que les commentaires et les interventions du juge au procès ainsi que son engagement dans la communauté tant avant qu’après sa nomination à titre de juge suscitaient une crainte raisonnable de partialité </w:t>
      </w:r>
      <w:r w:rsidR="00E121C7" w:rsidRPr="001F313E">
        <w:rPr>
          <w:i/>
          <w:lang w:val="fr-CA"/>
        </w:rPr>
        <w:t xml:space="preserve">— </w:t>
      </w:r>
      <w:r w:rsidR="00683D44" w:rsidRPr="001F313E">
        <w:rPr>
          <w:i/>
          <w:lang w:val="fr-CA"/>
        </w:rPr>
        <w:t>Le comportement du juge et son engagement dans la communauté suscitaient</w:t>
      </w:r>
      <w:r w:rsidR="00BB6F2A">
        <w:rPr>
          <w:i/>
          <w:lang w:val="fr-CA"/>
        </w:rPr>
        <w:t>-</w:t>
      </w:r>
      <w:r w:rsidR="00683D44" w:rsidRPr="001F313E">
        <w:rPr>
          <w:i/>
          <w:lang w:val="fr-CA"/>
        </w:rPr>
        <w:t xml:space="preserve">ils une crainte raisonnable de partialité? </w:t>
      </w:r>
    </w:p>
    <w:p w:rsidR="00E121C7" w:rsidRPr="001F313E" w:rsidRDefault="00E121C7" w:rsidP="0095762B">
      <w:pPr>
        <w:pStyle w:val="SCCNormalDoubleSpacing"/>
        <w:widowControl w:val="0"/>
        <w:spacing w:before="480" w:after="480"/>
        <w:rPr>
          <w:i/>
          <w:lang w:val="fr-CA"/>
        </w:rPr>
      </w:pPr>
      <w:r w:rsidRPr="001F313E">
        <w:rPr>
          <w:i/>
          <w:lang w:val="fr-CA"/>
        </w:rPr>
        <w:tab/>
        <w:t xml:space="preserve">Droit constitutionnel — Charte des droits — </w:t>
      </w:r>
      <w:r w:rsidR="00683D44" w:rsidRPr="001F313E">
        <w:rPr>
          <w:i/>
          <w:lang w:val="fr-CA"/>
        </w:rPr>
        <w:t>La commission scolaire</w:t>
      </w:r>
      <w:r w:rsidR="00A43318" w:rsidRPr="001F313E">
        <w:rPr>
          <w:i/>
          <w:lang w:val="fr-CA"/>
        </w:rPr>
        <w:t xml:space="preserve"> peut</w:t>
      </w:r>
      <w:r w:rsidR="00BB6F2A">
        <w:rPr>
          <w:i/>
          <w:lang w:val="fr-CA"/>
        </w:rPr>
        <w:t>-</w:t>
      </w:r>
      <w:r w:rsidR="00683D44" w:rsidRPr="001F313E">
        <w:rPr>
          <w:i/>
          <w:lang w:val="fr-CA"/>
        </w:rPr>
        <w:t xml:space="preserve">elle décider unilatéralement </w:t>
      </w:r>
      <w:r w:rsidR="00A43318" w:rsidRPr="001F313E">
        <w:rPr>
          <w:i/>
          <w:lang w:val="fr-CA"/>
        </w:rPr>
        <w:t>d’admettre des élèves qui ne sont pas visés par l’</w:t>
      </w:r>
      <w:r w:rsidR="00C25045" w:rsidRPr="001F313E">
        <w:rPr>
          <w:i/>
          <w:lang w:val="fr-CA"/>
        </w:rPr>
        <w:t>art.</w:t>
      </w:r>
      <w:r w:rsidR="00BB6F2A">
        <w:rPr>
          <w:i/>
          <w:lang w:val="fr-CA"/>
        </w:rPr>
        <w:t xml:space="preserve"> </w:t>
      </w:r>
      <w:r w:rsidR="00A43318" w:rsidRPr="001F313E">
        <w:rPr>
          <w:i/>
          <w:lang w:val="fr-CA"/>
        </w:rPr>
        <w:t xml:space="preserve">23 de la </w:t>
      </w:r>
      <w:r w:rsidRPr="001F313E">
        <w:rPr>
          <w:i/>
          <w:lang w:val="fr-CA"/>
        </w:rPr>
        <w:t>Charte</w:t>
      </w:r>
      <w:r w:rsidR="00683D44" w:rsidRPr="001F313E">
        <w:rPr>
          <w:i/>
          <w:lang w:val="fr-CA"/>
        </w:rPr>
        <w:t xml:space="preserve"> canadienne des droits et libertés</w:t>
      </w:r>
      <w:r w:rsidR="00A43318" w:rsidRPr="001F313E">
        <w:rPr>
          <w:i/>
          <w:lang w:val="fr-CA"/>
        </w:rPr>
        <w:t>?</w:t>
      </w:r>
    </w:p>
    <w:p w:rsidR="00683D44" w:rsidRPr="001F313E" w:rsidRDefault="00683D44" w:rsidP="0095762B">
      <w:pPr>
        <w:pStyle w:val="SCCNormalDoubleSpacing"/>
        <w:widowControl w:val="0"/>
        <w:spacing w:before="480" w:after="480"/>
        <w:rPr>
          <w:lang w:val="fr-CA"/>
        </w:rPr>
      </w:pPr>
      <w:r w:rsidRPr="001F313E">
        <w:rPr>
          <w:i/>
          <w:lang w:val="fr-CA"/>
        </w:rPr>
        <w:tab/>
      </w:r>
      <w:r w:rsidRPr="001F313E">
        <w:rPr>
          <w:lang w:val="fr-CA"/>
        </w:rPr>
        <w:t xml:space="preserve">La Commission scolaire francophone du Yukon est </w:t>
      </w:r>
      <w:r w:rsidR="00FD13AA" w:rsidRPr="001F313E">
        <w:rPr>
          <w:lang w:val="fr-CA"/>
        </w:rPr>
        <w:t>la première et la seule commission scolaire de ce territoire. Elle ne gère qu’une seule école, l’école Émilie</w:t>
      </w:r>
      <w:r w:rsidR="00BB6F2A">
        <w:rPr>
          <w:lang w:val="fr-CA"/>
        </w:rPr>
        <w:t>-</w:t>
      </w:r>
      <w:r w:rsidR="00FD13AA" w:rsidRPr="001F313E">
        <w:rPr>
          <w:lang w:val="fr-CA"/>
        </w:rPr>
        <w:t>Tremblay, une école de langue française fondée en</w:t>
      </w:r>
      <w:r w:rsidR="00C25045" w:rsidRPr="001F313E">
        <w:rPr>
          <w:lang w:val="fr-CA"/>
        </w:rPr>
        <w:t xml:space="preserve"> </w:t>
      </w:r>
      <w:r w:rsidR="00FD13AA" w:rsidRPr="001F313E">
        <w:rPr>
          <w:lang w:val="fr-CA"/>
        </w:rPr>
        <w:t>1984</w:t>
      </w:r>
      <w:r w:rsidRPr="001F313E">
        <w:rPr>
          <w:lang w:val="fr-CA"/>
        </w:rPr>
        <w:t xml:space="preserve">. </w:t>
      </w:r>
      <w:r w:rsidR="00FD13AA" w:rsidRPr="001F313E">
        <w:rPr>
          <w:lang w:val="fr-CA"/>
        </w:rPr>
        <w:t xml:space="preserve">En </w:t>
      </w:r>
      <w:r w:rsidRPr="001F313E">
        <w:rPr>
          <w:lang w:val="fr-CA"/>
        </w:rPr>
        <w:t xml:space="preserve">2009, </w:t>
      </w:r>
      <w:r w:rsidR="00FD13AA" w:rsidRPr="001F313E">
        <w:rPr>
          <w:lang w:val="fr-CA"/>
        </w:rPr>
        <w:t>la Commission a intenté une poursuite contre le gouvernement du Yukon pour ce qui, selon elle, constituait des failles dans la prestation de l’instruction dans la langue de la minorité</w:t>
      </w:r>
      <w:r w:rsidRPr="001F313E">
        <w:rPr>
          <w:lang w:val="fr-CA"/>
        </w:rPr>
        <w:t xml:space="preserve">. </w:t>
      </w:r>
      <w:r w:rsidR="00FD13AA" w:rsidRPr="001F313E">
        <w:rPr>
          <w:lang w:val="fr-CA"/>
        </w:rPr>
        <w:t>Le juge du procès a tranch</w:t>
      </w:r>
      <w:r w:rsidR="00456A8E" w:rsidRPr="001F313E">
        <w:rPr>
          <w:lang w:val="fr-CA"/>
        </w:rPr>
        <w:t>é</w:t>
      </w:r>
      <w:r w:rsidR="00FD13AA" w:rsidRPr="001F313E">
        <w:rPr>
          <w:lang w:val="fr-CA"/>
        </w:rPr>
        <w:t xml:space="preserve"> en faveur de la Commission sur la plupart des points</w:t>
      </w:r>
      <w:r w:rsidRPr="001F313E">
        <w:rPr>
          <w:lang w:val="fr-CA"/>
        </w:rPr>
        <w:t xml:space="preserve">. </w:t>
      </w:r>
    </w:p>
    <w:p w:rsidR="00683D44" w:rsidRPr="001F313E" w:rsidRDefault="00683D44" w:rsidP="0095762B">
      <w:pPr>
        <w:pStyle w:val="SCCNormalDoubleSpacing"/>
        <w:widowControl w:val="0"/>
        <w:spacing w:after="480"/>
        <w:rPr>
          <w:lang w:val="fr-CA"/>
        </w:rPr>
      </w:pPr>
      <w:r w:rsidRPr="001F313E">
        <w:rPr>
          <w:lang w:val="fr-CA"/>
        </w:rPr>
        <w:tab/>
      </w:r>
      <w:r w:rsidR="00FD13AA" w:rsidRPr="001F313E">
        <w:rPr>
          <w:lang w:val="fr-CA"/>
        </w:rPr>
        <w:t xml:space="preserve">La Cour d’appel a </w:t>
      </w:r>
      <w:r w:rsidR="000034E8" w:rsidRPr="001F313E">
        <w:rPr>
          <w:lang w:val="fr-CA"/>
        </w:rPr>
        <w:t xml:space="preserve">conclu qu’il y avait une crainte raisonnable de partialité de la part du juge du procès en raison de plusieurs incidents survenus durant </w:t>
      </w:r>
      <w:r w:rsidR="000034E8" w:rsidRPr="001F313E">
        <w:rPr>
          <w:lang w:val="fr-CA"/>
        </w:rPr>
        <w:lastRenderedPageBreak/>
        <w:t xml:space="preserve">le procès ainsi que de l’engagement du juge à titre de gouverneur d’un organisme communautaire </w:t>
      </w:r>
      <w:r w:rsidR="00DB1CD8" w:rsidRPr="001F313E">
        <w:rPr>
          <w:lang w:val="fr-CA"/>
        </w:rPr>
        <w:t>philanthropique</w:t>
      </w:r>
      <w:r w:rsidR="000034E8" w:rsidRPr="001F313E">
        <w:rPr>
          <w:lang w:val="fr-CA"/>
        </w:rPr>
        <w:t xml:space="preserve"> </w:t>
      </w:r>
      <w:r w:rsidR="006968E0" w:rsidRPr="001F313E">
        <w:rPr>
          <w:lang w:val="fr-CA"/>
        </w:rPr>
        <w:t xml:space="preserve">francophone </w:t>
      </w:r>
      <w:r w:rsidR="000034E8" w:rsidRPr="001F313E">
        <w:rPr>
          <w:lang w:val="fr-CA"/>
        </w:rPr>
        <w:t xml:space="preserve">en </w:t>
      </w:r>
      <w:r w:rsidRPr="001F313E">
        <w:rPr>
          <w:lang w:val="fr-CA"/>
        </w:rPr>
        <w:t xml:space="preserve">Alberta. </w:t>
      </w:r>
      <w:r w:rsidR="000034E8" w:rsidRPr="001F313E">
        <w:rPr>
          <w:lang w:val="fr-CA"/>
        </w:rPr>
        <w:t>Par conséquent, elle a ordonné la tenue d’un nouveau procès sauf à l’égard de trois que</w:t>
      </w:r>
      <w:r w:rsidR="000D4472" w:rsidRPr="001F313E">
        <w:rPr>
          <w:lang w:val="fr-CA"/>
        </w:rPr>
        <w:t xml:space="preserve">stions, dont seulement deux font l’objet du pourvoi </w:t>
      </w:r>
      <w:r w:rsidR="007A15A0" w:rsidRPr="001F313E">
        <w:rPr>
          <w:lang w:val="fr-CA"/>
        </w:rPr>
        <w:t>devant notre</w:t>
      </w:r>
      <w:r w:rsidR="000034E8" w:rsidRPr="001F313E">
        <w:rPr>
          <w:lang w:val="fr-CA"/>
        </w:rPr>
        <w:t xml:space="preserve"> Cour</w:t>
      </w:r>
      <w:r w:rsidR="00BB6F2A">
        <w:rPr>
          <w:lang w:val="fr-CA"/>
        </w:rPr>
        <w:t> :</w:t>
      </w:r>
      <w:r w:rsidR="000034E8" w:rsidRPr="001F313E">
        <w:rPr>
          <w:lang w:val="fr-CA"/>
        </w:rPr>
        <w:t xml:space="preserve"> la </w:t>
      </w:r>
      <w:r w:rsidRPr="001F313E">
        <w:rPr>
          <w:lang w:val="fr-CA"/>
        </w:rPr>
        <w:t>conclusion</w:t>
      </w:r>
      <w:r w:rsidR="000034E8" w:rsidRPr="001F313E">
        <w:rPr>
          <w:lang w:val="fr-CA"/>
        </w:rPr>
        <w:t xml:space="preserve"> du juge du procès selon laquelle l’</w:t>
      </w:r>
      <w:r w:rsidR="00C25045" w:rsidRPr="001F313E">
        <w:rPr>
          <w:lang w:val="fr-CA"/>
        </w:rPr>
        <w:t>art.</w:t>
      </w:r>
      <w:r w:rsidR="00BB6F2A">
        <w:rPr>
          <w:lang w:val="fr-CA"/>
        </w:rPr>
        <w:t xml:space="preserve"> </w:t>
      </w:r>
      <w:r w:rsidR="000034E8" w:rsidRPr="001F313E">
        <w:rPr>
          <w:lang w:val="fr-CA"/>
        </w:rPr>
        <w:t xml:space="preserve">23 de la </w:t>
      </w:r>
      <w:r w:rsidRPr="001F313E">
        <w:rPr>
          <w:i/>
          <w:lang w:val="fr-CA"/>
        </w:rPr>
        <w:t>Charte</w:t>
      </w:r>
      <w:r w:rsidR="000034E8" w:rsidRPr="001F313E">
        <w:rPr>
          <w:lang w:val="fr-CA"/>
        </w:rPr>
        <w:t xml:space="preserve"> accorde à la Commission le droit unilatéral de </w:t>
      </w:r>
      <w:r w:rsidR="00A43318" w:rsidRPr="001F313E">
        <w:rPr>
          <w:lang w:val="fr-CA"/>
        </w:rPr>
        <w:t>fixer les critères d</w:t>
      </w:r>
      <w:r w:rsidR="000034E8" w:rsidRPr="001F313E">
        <w:rPr>
          <w:lang w:val="fr-CA"/>
        </w:rPr>
        <w:t xml:space="preserve">’admission </w:t>
      </w:r>
      <w:r w:rsidR="00A43318" w:rsidRPr="001F313E">
        <w:rPr>
          <w:lang w:val="fr-CA"/>
        </w:rPr>
        <w:t>de manière à ce que ceux</w:t>
      </w:r>
      <w:r w:rsidR="00BB6F2A">
        <w:rPr>
          <w:lang w:val="fr-CA"/>
        </w:rPr>
        <w:t>-</w:t>
      </w:r>
      <w:r w:rsidR="00A43318" w:rsidRPr="001F313E">
        <w:rPr>
          <w:lang w:val="fr-CA"/>
        </w:rPr>
        <w:t xml:space="preserve">ci s’appliquent aux élèves non </w:t>
      </w:r>
      <w:r w:rsidR="000034E8" w:rsidRPr="001F313E">
        <w:rPr>
          <w:lang w:val="fr-CA"/>
        </w:rPr>
        <w:t>visés par l’</w:t>
      </w:r>
      <w:r w:rsidR="00C25045" w:rsidRPr="001F313E">
        <w:rPr>
          <w:lang w:val="fr-CA"/>
        </w:rPr>
        <w:t>art.</w:t>
      </w:r>
      <w:r w:rsidR="00BB6F2A">
        <w:rPr>
          <w:lang w:val="fr-CA"/>
        </w:rPr>
        <w:t xml:space="preserve"> </w:t>
      </w:r>
      <w:r w:rsidR="000034E8" w:rsidRPr="001F313E">
        <w:rPr>
          <w:lang w:val="fr-CA"/>
        </w:rPr>
        <w:t>23</w:t>
      </w:r>
      <w:r w:rsidR="00A43318" w:rsidRPr="001F313E">
        <w:rPr>
          <w:lang w:val="fr-CA"/>
        </w:rPr>
        <w:t xml:space="preserve">; </w:t>
      </w:r>
      <w:r w:rsidR="000034E8" w:rsidRPr="001F313E">
        <w:rPr>
          <w:lang w:val="fr-CA"/>
        </w:rPr>
        <w:t xml:space="preserve">la décision du juge du procès que le </w:t>
      </w:r>
      <w:r w:rsidRPr="001F313E">
        <w:rPr>
          <w:lang w:val="fr-CA"/>
        </w:rPr>
        <w:t xml:space="preserve">Yukon </w:t>
      </w:r>
      <w:r w:rsidR="000034E8" w:rsidRPr="001F313E">
        <w:rPr>
          <w:lang w:val="fr-CA"/>
        </w:rPr>
        <w:t xml:space="preserve">est tenu de communiquer avec la Commission en français. </w:t>
      </w:r>
    </w:p>
    <w:p w:rsidR="00683D44" w:rsidRPr="001F313E" w:rsidRDefault="00683D44" w:rsidP="0095762B">
      <w:pPr>
        <w:pStyle w:val="SCCNormalDoubleSpacing"/>
        <w:widowControl w:val="0"/>
        <w:spacing w:after="480"/>
        <w:rPr>
          <w:lang w:val="fr-CA"/>
        </w:rPr>
      </w:pPr>
      <w:r w:rsidRPr="001F313E">
        <w:rPr>
          <w:lang w:val="fr-CA"/>
        </w:rPr>
        <w:tab/>
      </w:r>
      <w:r w:rsidR="000034E8" w:rsidRPr="001F313E">
        <w:rPr>
          <w:i/>
          <w:lang w:val="fr-CA"/>
        </w:rPr>
        <w:t>Arrêt</w:t>
      </w:r>
      <w:r w:rsidR="00BB6F2A">
        <w:rPr>
          <w:lang w:val="fr-CA"/>
        </w:rPr>
        <w:t> :</w:t>
      </w:r>
      <w:r w:rsidRPr="001F313E">
        <w:rPr>
          <w:lang w:val="fr-CA"/>
        </w:rPr>
        <w:t xml:space="preserve"> </w:t>
      </w:r>
      <w:r w:rsidR="00BB78FD" w:rsidRPr="001F313E">
        <w:rPr>
          <w:lang w:val="fr-CA"/>
        </w:rPr>
        <w:t xml:space="preserve">L’appel interjeté à l’encontre de la conclusion de la Cour d’appel selon laquelle il existe une crainte raisonnable de partialité nécessitant la tenue d’un nouveau procès est rejeté, mais les demandes de la Commission fondées sur la </w:t>
      </w:r>
      <w:r w:rsidR="00BB78FD" w:rsidRPr="001F313E">
        <w:rPr>
          <w:i/>
          <w:lang w:val="fr-CA"/>
        </w:rPr>
        <w:t>Loi sur les langues</w:t>
      </w:r>
      <w:r w:rsidR="00BB78FD" w:rsidRPr="001F313E">
        <w:rPr>
          <w:lang w:val="fr-CA"/>
        </w:rPr>
        <w:t xml:space="preserve"> doivent être jointes aux autres questions renvoyées à la Cour d’appel pour décision à l’issue d’un nouveau procès. </w:t>
      </w:r>
    </w:p>
    <w:p w:rsidR="00683D44" w:rsidRPr="001F313E" w:rsidRDefault="00683D44" w:rsidP="0095762B">
      <w:pPr>
        <w:pStyle w:val="SCCNormalDoubleSpacing"/>
        <w:widowControl w:val="0"/>
        <w:spacing w:after="480"/>
        <w:rPr>
          <w:lang w:val="fr-CA"/>
        </w:rPr>
      </w:pPr>
      <w:r w:rsidRPr="001F313E">
        <w:rPr>
          <w:lang w:val="fr-CA"/>
        </w:rPr>
        <w:tab/>
      </w:r>
      <w:r w:rsidR="00BB78FD" w:rsidRPr="001F313E">
        <w:rPr>
          <w:lang w:val="fr-CA"/>
        </w:rPr>
        <w:t xml:space="preserve">Le critère applicable pour déterminer s’il existe une crainte raisonnable de partialité </w:t>
      </w:r>
      <w:r w:rsidR="00850249" w:rsidRPr="001F313E">
        <w:rPr>
          <w:lang w:val="fr-CA"/>
        </w:rPr>
        <w:t xml:space="preserve">est de savoir à quelle conclusion en arriverait une </w:t>
      </w:r>
      <w:r w:rsidR="00BB78FD" w:rsidRPr="001F313E">
        <w:rPr>
          <w:lang w:val="fr-CA"/>
        </w:rPr>
        <w:t>personne raisonnable et bien renseignée</w:t>
      </w:r>
      <w:r w:rsidRPr="001F313E">
        <w:rPr>
          <w:lang w:val="fr-CA"/>
        </w:rPr>
        <w:t xml:space="preserve">. </w:t>
      </w:r>
      <w:r w:rsidR="00AD340C" w:rsidRPr="001F313E">
        <w:rPr>
          <w:lang w:val="fr-CA"/>
        </w:rPr>
        <w:t xml:space="preserve">L’objectif est </w:t>
      </w:r>
      <w:r w:rsidR="00A43318" w:rsidRPr="001F313E">
        <w:rPr>
          <w:lang w:val="fr-CA"/>
        </w:rPr>
        <w:t xml:space="preserve">de préserver la confiance du public dans le système juridique en assurant </w:t>
      </w:r>
      <w:r w:rsidR="00AD340C" w:rsidRPr="001F313E">
        <w:rPr>
          <w:lang w:val="fr-CA"/>
        </w:rPr>
        <w:t>non seulement l’existence, mais l’apparence d’un processus décisionnel juste</w:t>
      </w:r>
      <w:r w:rsidRPr="001F313E">
        <w:rPr>
          <w:lang w:val="fr-CA"/>
        </w:rPr>
        <w:t xml:space="preserve">. </w:t>
      </w:r>
      <w:r w:rsidR="00AD340C" w:rsidRPr="001F313E">
        <w:rPr>
          <w:lang w:val="fr-CA"/>
        </w:rPr>
        <w:t>Les notions d’impartialité et d’absence de préjugé sont devenues des exigences tant juridiques qu’éthiques</w:t>
      </w:r>
      <w:r w:rsidRPr="001F313E">
        <w:rPr>
          <w:lang w:val="fr-CA"/>
        </w:rPr>
        <w:t xml:space="preserve">. </w:t>
      </w:r>
      <w:r w:rsidR="00AD340C" w:rsidRPr="001F313E">
        <w:rPr>
          <w:lang w:val="fr-CA"/>
        </w:rPr>
        <w:t>Les juges doivent — et sont censés — aborder toute affaire avec impartialité et un esprit ouvert</w:t>
      </w:r>
      <w:r w:rsidRPr="001F313E">
        <w:rPr>
          <w:lang w:val="fr-CA"/>
        </w:rPr>
        <w:t xml:space="preserve">. </w:t>
      </w:r>
      <w:r w:rsidR="00CF3E04" w:rsidRPr="001F313E">
        <w:rPr>
          <w:lang w:val="fr-CA"/>
        </w:rPr>
        <w:t xml:space="preserve">Puisqu’il y a une présomption d’impartialité judiciaire, le critère servant à déterminer s’il existe une </w:t>
      </w:r>
      <w:r w:rsidR="00CF3E04" w:rsidRPr="001F313E">
        <w:rPr>
          <w:lang w:val="fr-CA"/>
        </w:rPr>
        <w:lastRenderedPageBreak/>
        <w:t>crainte raisonnable de partialité exige une réelle probabilité de partialité. L’impartialité et la neutralité judiciaires ne signifient pas que le juge ne doit avoir aucune conception, opinion ou sensibilité préexistante</w:t>
      </w:r>
      <w:r w:rsidRPr="001F313E">
        <w:rPr>
          <w:lang w:val="fr-CA"/>
        </w:rPr>
        <w:t xml:space="preserve">. </w:t>
      </w:r>
      <w:r w:rsidR="00A12710" w:rsidRPr="001F313E">
        <w:rPr>
          <w:lang w:val="fr-CA"/>
        </w:rPr>
        <w:t xml:space="preserve">Ces notions requièrent plutôt que l’identité et l’expérience du juge ne l’empêchent pas de faire preuve d’ouverture d’esprit à l’égard de la preuve et des questions en litige. Le critère de la crainte raisonnable de partialité reconnaît que, bien que les juges doivent s’efforcer d’atteindre l’impartialité, ils ne sont pas tenus d’abandonner qui ils sont ou ce qu’ils savent. </w:t>
      </w:r>
      <w:r w:rsidR="00BC6267" w:rsidRPr="001F313E">
        <w:rPr>
          <w:lang w:val="fr-CA"/>
        </w:rPr>
        <w:t>L’identité et l’expérience du juge forment une partie importante de qui il est, et ces deux aspects ne compromettent intrinsèquement ni la neutralité ni l’impartialité</w:t>
      </w:r>
      <w:r w:rsidRPr="001F313E">
        <w:rPr>
          <w:lang w:val="fr-CA"/>
        </w:rPr>
        <w:t xml:space="preserve">. </w:t>
      </w:r>
      <w:r w:rsidR="00BC6267" w:rsidRPr="001F313E">
        <w:rPr>
          <w:lang w:val="fr-CA"/>
        </w:rPr>
        <w:t xml:space="preserve">Les juges devraient être encouragés à expérimenter, à apprendre et à saisir la </w:t>
      </w:r>
      <w:r w:rsidR="00BB6F2A">
        <w:rPr>
          <w:lang w:val="fr-CA"/>
        </w:rPr>
        <w:t>« </w:t>
      </w:r>
      <w:r w:rsidR="00BC6267" w:rsidRPr="001F313E">
        <w:rPr>
          <w:lang w:val="fr-CA"/>
        </w:rPr>
        <w:t>vie</w:t>
      </w:r>
      <w:r w:rsidR="00BB6F2A">
        <w:rPr>
          <w:lang w:val="fr-CA"/>
        </w:rPr>
        <w:t> » :</w:t>
      </w:r>
      <w:r w:rsidR="00A051A3" w:rsidRPr="001F313E">
        <w:rPr>
          <w:lang w:val="fr-CA"/>
        </w:rPr>
        <w:t xml:space="preserve"> </w:t>
      </w:r>
      <w:r w:rsidR="00BC6267" w:rsidRPr="001F313E">
        <w:rPr>
          <w:lang w:val="fr-CA"/>
        </w:rPr>
        <w:t xml:space="preserve">la leur et celles d’autrui qui témoignent d’autres réalités. </w:t>
      </w:r>
      <w:r w:rsidR="00714681" w:rsidRPr="001F313E">
        <w:rPr>
          <w:lang w:val="fr-CA"/>
        </w:rPr>
        <w:t xml:space="preserve">La capacité d’être ouvert d’esprit est renforcée par ces connaissances et cette compréhension. L’impartialité exige donc, non pas qu’un juge passe sous silence ou néglige son vécu ou son identité, mais qu’il aborde chaque affaire avec un esprit ouvert, sans supposition inopportune et injustifiée. </w:t>
      </w:r>
    </w:p>
    <w:p w:rsidR="00683D44" w:rsidRPr="001F313E" w:rsidRDefault="00683D44" w:rsidP="0095762B">
      <w:pPr>
        <w:pStyle w:val="SCCNormalDoubleSpacing"/>
        <w:widowControl w:val="0"/>
        <w:spacing w:after="480"/>
        <w:rPr>
          <w:lang w:val="fr-CA"/>
        </w:rPr>
      </w:pPr>
      <w:r w:rsidRPr="001F313E">
        <w:rPr>
          <w:lang w:val="fr-CA"/>
        </w:rPr>
        <w:tab/>
      </w:r>
      <w:r w:rsidR="00714681" w:rsidRPr="001F313E">
        <w:rPr>
          <w:lang w:val="fr-CA"/>
        </w:rPr>
        <w:t xml:space="preserve">En l’espèce, le critère applicable pour conclure à l’existence d’une crainte raisonnable de partialité a été satisfait. </w:t>
      </w:r>
      <w:r w:rsidR="008A6306" w:rsidRPr="001F313E">
        <w:rPr>
          <w:lang w:val="fr-CA"/>
        </w:rPr>
        <w:t xml:space="preserve">Outre les commentaires désobligeants et irrespectueux que le juge du procès a faits envers l’avocat du </w:t>
      </w:r>
      <w:r w:rsidRPr="001F313E">
        <w:rPr>
          <w:lang w:val="fr-CA"/>
        </w:rPr>
        <w:t xml:space="preserve">Yukon, </w:t>
      </w:r>
      <w:r w:rsidR="008A6306" w:rsidRPr="001F313E">
        <w:rPr>
          <w:lang w:val="fr-CA"/>
        </w:rPr>
        <w:t>il s’est produit plusieurs incidents qui, lorsqu’examinés dans les circonstances du procès en entier, mènent inexorablement à cette conclusion</w:t>
      </w:r>
      <w:r w:rsidRPr="001F313E">
        <w:rPr>
          <w:lang w:val="fr-CA"/>
        </w:rPr>
        <w:t xml:space="preserve">.  </w:t>
      </w:r>
    </w:p>
    <w:p w:rsidR="00683D44" w:rsidRPr="001F313E" w:rsidRDefault="00683D44" w:rsidP="0095762B">
      <w:pPr>
        <w:pStyle w:val="SCCNormalDoubleSpacing"/>
        <w:widowControl w:val="0"/>
        <w:spacing w:after="480"/>
        <w:rPr>
          <w:lang w:val="fr-CA"/>
        </w:rPr>
      </w:pPr>
      <w:r w:rsidRPr="001F313E">
        <w:rPr>
          <w:lang w:val="fr-CA"/>
        </w:rPr>
        <w:tab/>
      </w:r>
      <w:r w:rsidR="0006550F" w:rsidRPr="001F313E">
        <w:rPr>
          <w:lang w:val="fr-CA"/>
        </w:rPr>
        <w:t xml:space="preserve">Tout d’abord, il y a </w:t>
      </w:r>
      <w:r w:rsidR="008A6306" w:rsidRPr="001F313E">
        <w:rPr>
          <w:lang w:val="fr-CA"/>
        </w:rPr>
        <w:t xml:space="preserve">le comportement du juge du procès au cours d’un </w:t>
      </w:r>
      <w:r w:rsidR="008A6306" w:rsidRPr="001F313E">
        <w:rPr>
          <w:lang w:val="fr-CA"/>
        </w:rPr>
        <w:lastRenderedPageBreak/>
        <w:t>incident durant lequel l’avocat du Yukon a tenté de contre</w:t>
      </w:r>
      <w:r w:rsidR="00BB6F2A">
        <w:rPr>
          <w:lang w:val="fr-CA"/>
        </w:rPr>
        <w:t>-</w:t>
      </w:r>
      <w:r w:rsidR="008A6306" w:rsidRPr="001F313E">
        <w:rPr>
          <w:lang w:val="fr-CA"/>
        </w:rPr>
        <w:t xml:space="preserve">interroger un témoin sur la foi des renseignements confidentiels figurant dans les dossiers d’élèves. </w:t>
      </w:r>
      <w:r w:rsidR="00A320EF" w:rsidRPr="001F313E">
        <w:rPr>
          <w:lang w:val="fr-CA"/>
        </w:rPr>
        <w:t>A</w:t>
      </w:r>
      <w:r w:rsidR="00A43318" w:rsidRPr="001F313E">
        <w:rPr>
          <w:lang w:val="fr-CA"/>
        </w:rPr>
        <w:t xml:space="preserve">près avoir </w:t>
      </w:r>
      <w:r w:rsidR="00A320EF" w:rsidRPr="001F313E">
        <w:rPr>
          <w:lang w:val="fr-CA"/>
        </w:rPr>
        <w:t xml:space="preserve">entendu quelques arguments </w:t>
      </w:r>
      <w:r w:rsidR="00A43318" w:rsidRPr="001F313E">
        <w:rPr>
          <w:lang w:val="fr-CA"/>
        </w:rPr>
        <w:t xml:space="preserve">sur </w:t>
      </w:r>
      <w:r w:rsidR="00A320EF" w:rsidRPr="001F313E">
        <w:rPr>
          <w:lang w:val="fr-CA"/>
        </w:rPr>
        <w:t xml:space="preserve">la question de la confidentialité, le juge du procès a dit aux avocats qu’il entendrait d’autres arguments sur </w:t>
      </w:r>
      <w:r w:rsidR="00DD2503" w:rsidRPr="001F313E">
        <w:rPr>
          <w:lang w:val="fr-CA"/>
        </w:rPr>
        <w:t>cette</w:t>
      </w:r>
      <w:r w:rsidR="00A320EF" w:rsidRPr="001F313E">
        <w:rPr>
          <w:lang w:val="fr-CA"/>
        </w:rPr>
        <w:t xml:space="preserve"> question le lendemain</w:t>
      </w:r>
      <w:r w:rsidRPr="001F313E">
        <w:rPr>
          <w:lang w:val="fr-CA"/>
        </w:rPr>
        <w:t xml:space="preserve">. </w:t>
      </w:r>
      <w:r w:rsidR="00A320EF" w:rsidRPr="001F313E">
        <w:rPr>
          <w:lang w:val="fr-CA"/>
        </w:rPr>
        <w:t xml:space="preserve">Il a cependant ouvert l’audience le jour suivant en rendant une décision défavorable au </w:t>
      </w:r>
      <w:r w:rsidRPr="001F313E">
        <w:rPr>
          <w:lang w:val="fr-CA"/>
        </w:rPr>
        <w:t xml:space="preserve">Yukon </w:t>
      </w:r>
      <w:r w:rsidR="00A320EF" w:rsidRPr="001F313E">
        <w:rPr>
          <w:lang w:val="fr-CA"/>
        </w:rPr>
        <w:t>et sans donner aux parties l’occasion de présenter d’autres arguments</w:t>
      </w:r>
      <w:r w:rsidRPr="001F313E">
        <w:rPr>
          <w:lang w:val="fr-CA"/>
        </w:rPr>
        <w:t xml:space="preserve">. </w:t>
      </w:r>
      <w:r w:rsidR="00A320EF" w:rsidRPr="001F313E">
        <w:rPr>
          <w:lang w:val="fr-CA"/>
        </w:rPr>
        <w:t>Ce comportement est peu judicieux en soi, mais le refus du juge du procès d’entendre les arguments du Yukon après le prononcé de sa décision et sa réaction envers l’avocat sont plus troublants. Il a non seulement qualifié de répréhensible le comportement du Yukon, mais aussi accusé l’avocat</w:t>
      </w:r>
      <w:r w:rsidR="00D14B8F" w:rsidRPr="001F313E">
        <w:rPr>
          <w:lang w:val="fr-CA"/>
        </w:rPr>
        <w:t xml:space="preserve"> du Yukon</w:t>
      </w:r>
      <w:r w:rsidR="00A320EF" w:rsidRPr="001F313E">
        <w:rPr>
          <w:lang w:val="fr-CA"/>
        </w:rPr>
        <w:t xml:space="preserve"> de jouer un petit j</w:t>
      </w:r>
      <w:r w:rsidR="00D14B8F" w:rsidRPr="001F313E">
        <w:rPr>
          <w:lang w:val="fr-CA"/>
        </w:rPr>
        <w:t>eu</w:t>
      </w:r>
      <w:r w:rsidRPr="001F313E">
        <w:rPr>
          <w:lang w:val="fr-CA"/>
        </w:rPr>
        <w:t xml:space="preserve">. </w:t>
      </w:r>
      <w:r w:rsidR="008F6401" w:rsidRPr="001F313E">
        <w:rPr>
          <w:lang w:val="fr-CA"/>
        </w:rPr>
        <w:t>Au vu de l’ensemble du dossier, le comportement du juge du procès était troublant et posait problème</w:t>
      </w:r>
      <w:r w:rsidRPr="001F313E">
        <w:rPr>
          <w:lang w:val="fr-CA"/>
        </w:rPr>
        <w:t xml:space="preserve">. </w:t>
      </w:r>
    </w:p>
    <w:p w:rsidR="00683D44" w:rsidRPr="001F313E" w:rsidRDefault="00683D44" w:rsidP="0095762B">
      <w:pPr>
        <w:pStyle w:val="SCCNormalDoubleSpacing"/>
        <w:widowControl w:val="0"/>
        <w:spacing w:after="480"/>
        <w:rPr>
          <w:lang w:val="fr-CA"/>
        </w:rPr>
      </w:pPr>
      <w:r w:rsidRPr="001F313E">
        <w:rPr>
          <w:lang w:val="fr-CA"/>
        </w:rPr>
        <w:tab/>
      </w:r>
      <w:r w:rsidR="00146A21" w:rsidRPr="001F313E">
        <w:rPr>
          <w:lang w:val="fr-CA"/>
        </w:rPr>
        <w:t>Le juge du procès a également réagi de manière inconvenante à la demande du Yukon visant à présenter par voie d’affidavit la déposition d’un témoin qui avait été victime d’un accident vasculaire cérébr</w:t>
      </w:r>
      <w:r w:rsidR="00C25045" w:rsidRPr="001F313E">
        <w:rPr>
          <w:lang w:val="fr-CA"/>
        </w:rPr>
        <w:t xml:space="preserve">al. </w:t>
      </w:r>
      <w:r w:rsidR="00146A21" w:rsidRPr="001F313E">
        <w:rPr>
          <w:lang w:val="fr-CA"/>
        </w:rPr>
        <w:t>Le juge a accusé l’avocat du Yukon de tenter de retarder le procès, l’a réprimandé pour avoir attend</w:t>
      </w:r>
      <w:r w:rsidR="008E2549">
        <w:rPr>
          <w:lang w:val="fr-CA"/>
        </w:rPr>
        <w:t>u</w:t>
      </w:r>
      <w:r w:rsidR="00146A21" w:rsidRPr="001F313E">
        <w:rPr>
          <w:lang w:val="fr-CA"/>
        </w:rPr>
        <w:t xml:space="preserve"> le milieu du procès avant de présenter la demande, a laissé entendre que l’incident équivalait à de la mauvaise foi de la part du gouvernement et a averti l’avocat du Yukon qu’il pourrait être condamné personnellement aux dépens s’il présentait la demande. </w:t>
      </w:r>
      <w:r w:rsidR="00106198" w:rsidRPr="001F313E">
        <w:rPr>
          <w:lang w:val="fr-CA"/>
        </w:rPr>
        <w:t>Le juge n’avait aucune raison de proférer des accusations et des réprimandes à l’endroit de l’avocat et, lorsqu’on examine cet incident dans le contexte de la suite du procès, il étaye davantage la conclusion qu’il existe une crainte raisonnable de partialité</w:t>
      </w:r>
      <w:r w:rsidRPr="001F313E">
        <w:rPr>
          <w:lang w:val="fr-CA"/>
        </w:rPr>
        <w:t>.</w:t>
      </w:r>
    </w:p>
    <w:p w:rsidR="00683D44" w:rsidRPr="001F313E" w:rsidRDefault="00683D44" w:rsidP="0095762B">
      <w:pPr>
        <w:pStyle w:val="SCCNormalDoubleSpacing"/>
        <w:widowControl w:val="0"/>
        <w:spacing w:after="480"/>
        <w:rPr>
          <w:lang w:val="fr-CA"/>
        </w:rPr>
      </w:pPr>
      <w:r w:rsidRPr="001F313E">
        <w:rPr>
          <w:lang w:val="fr-CA"/>
        </w:rPr>
        <w:lastRenderedPageBreak/>
        <w:tab/>
      </w:r>
      <w:r w:rsidR="002E2D80" w:rsidRPr="001F313E">
        <w:rPr>
          <w:lang w:val="fr-CA"/>
        </w:rPr>
        <w:t>De plus</w:t>
      </w:r>
      <w:r w:rsidR="00D01609" w:rsidRPr="001F313E">
        <w:rPr>
          <w:lang w:val="fr-CA"/>
        </w:rPr>
        <w:t xml:space="preserve">, </w:t>
      </w:r>
      <w:r w:rsidR="002E2D80" w:rsidRPr="001F313E">
        <w:rPr>
          <w:lang w:val="fr-CA"/>
        </w:rPr>
        <w:t>le refus du juge du procès de permettre au Yukon de déposer une réponse concernant les dépens est très problématique dans le contexte global du procès</w:t>
      </w:r>
      <w:r w:rsidRPr="001F313E">
        <w:rPr>
          <w:lang w:val="fr-CA"/>
        </w:rPr>
        <w:t xml:space="preserve">. </w:t>
      </w:r>
      <w:r w:rsidR="002E2D80" w:rsidRPr="001F313E">
        <w:rPr>
          <w:lang w:val="fr-CA"/>
        </w:rPr>
        <w:t xml:space="preserve">Après le prononcé de ses motifs sur le fond, le juge du procès a enjoint aux parties de présenter leurs mémoires des dépens le même jour. À la surprise du </w:t>
      </w:r>
      <w:r w:rsidRPr="001F313E">
        <w:rPr>
          <w:lang w:val="fr-CA"/>
        </w:rPr>
        <w:t>Yukon,</w:t>
      </w:r>
      <w:r w:rsidR="002E2D80" w:rsidRPr="001F313E">
        <w:rPr>
          <w:lang w:val="fr-CA"/>
        </w:rPr>
        <w:t xml:space="preserve"> la Commission a sollicité non seulement les dépens </w:t>
      </w:r>
      <w:r w:rsidR="00A16DC1" w:rsidRPr="001F313E">
        <w:rPr>
          <w:lang w:val="fr-CA"/>
        </w:rPr>
        <w:t>avocat</w:t>
      </w:r>
      <w:r w:rsidR="00BB6F2A">
        <w:rPr>
          <w:lang w:val="fr-CA"/>
        </w:rPr>
        <w:t>-</w:t>
      </w:r>
      <w:r w:rsidR="002E2D80" w:rsidRPr="001F313E">
        <w:rPr>
          <w:lang w:val="fr-CA"/>
        </w:rPr>
        <w:t xml:space="preserve">client, mais aussi des dépens punitifs et des dépens </w:t>
      </w:r>
      <w:r w:rsidR="00A16DC1" w:rsidRPr="001F313E">
        <w:rPr>
          <w:lang w:val="fr-CA"/>
        </w:rPr>
        <w:t>avocat</w:t>
      </w:r>
      <w:r w:rsidR="00BB6F2A">
        <w:rPr>
          <w:lang w:val="fr-CA"/>
        </w:rPr>
        <w:t>-</w:t>
      </w:r>
      <w:r w:rsidR="002E2D80" w:rsidRPr="001F313E">
        <w:rPr>
          <w:lang w:val="fr-CA"/>
        </w:rPr>
        <w:t xml:space="preserve">client remontant à </w:t>
      </w:r>
      <w:r w:rsidRPr="001F313E">
        <w:rPr>
          <w:lang w:val="fr-CA"/>
        </w:rPr>
        <w:t xml:space="preserve">2002. </w:t>
      </w:r>
      <w:r w:rsidR="002E2D80" w:rsidRPr="001F313E">
        <w:rPr>
          <w:lang w:val="fr-CA"/>
        </w:rPr>
        <w:t>Le refus du juge du procès de permettre au Yukon de présenter un mémoire en réplique est contestable</w:t>
      </w:r>
      <w:r w:rsidRPr="001F313E">
        <w:rPr>
          <w:lang w:val="fr-CA"/>
        </w:rPr>
        <w:t xml:space="preserve">, </w:t>
      </w:r>
      <w:r w:rsidR="002E2D80" w:rsidRPr="001F313E">
        <w:rPr>
          <w:lang w:val="fr-CA"/>
        </w:rPr>
        <w:t>surtout compte tenu du fait que</w:t>
      </w:r>
      <w:r w:rsidR="00A16DC1" w:rsidRPr="001F313E">
        <w:rPr>
          <w:lang w:val="fr-CA"/>
        </w:rPr>
        <w:t xml:space="preserve"> le Yukon </w:t>
      </w:r>
      <w:r w:rsidR="002E2D80" w:rsidRPr="001F313E">
        <w:rPr>
          <w:lang w:val="fr-CA"/>
        </w:rPr>
        <w:t>ne pouvait connaître le montant des dépens sollicités par la Commission au moment où il a déposé son mémoire</w:t>
      </w:r>
      <w:r w:rsidRPr="001F313E">
        <w:rPr>
          <w:lang w:val="fr-CA"/>
        </w:rPr>
        <w:t xml:space="preserve">. </w:t>
      </w:r>
      <w:r w:rsidR="002E2D80" w:rsidRPr="001F313E">
        <w:rPr>
          <w:lang w:val="fr-CA"/>
        </w:rPr>
        <w:t xml:space="preserve">Le refus du juge est d’autant plus </w:t>
      </w:r>
      <w:r w:rsidR="00A16DC1" w:rsidRPr="001F313E">
        <w:rPr>
          <w:lang w:val="fr-CA"/>
        </w:rPr>
        <w:t xml:space="preserve">inquiétant qu’il a décidé d’accorder une somme forfaitaire à la Commission, en plus des dépens rétroactifs. </w:t>
      </w:r>
    </w:p>
    <w:p w:rsidR="00683D44" w:rsidRPr="001F313E" w:rsidRDefault="00683D44" w:rsidP="0095762B">
      <w:pPr>
        <w:pStyle w:val="SCCNormalDoubleSpacing"/>
        <w:widowControl w:val="0"/>
        <w:spacing w:after="480"/>
        <w:rPr>
          <w:lang w:val="fr-CA"/>
        </w:rPr>
      </w:pPr>
      <w:r w:rsidRPr="001F313E">
        <w:rPr>
          <w:lang w:val="fr-CA"/>
        </w:rPr>
        <w:tab/>
      </w:r>
      <w:r w:rsidR="00975FD6" w:rsidRPr="001F313E">
        <w:rPr>
          <w:lang w:val="fr-CA"/>
        </w:rPr>
        <w:t xml:space="preserve">Pris ensemble et situés dans leur contexte, tous ces incidents amèneraient une personne raisonnable et bien renseignée à estimer que le comportement du juge du procès fait naître une crainte raisonnable de partialité. </w:t>
      </w:r>
      <w:r w:rsidRPr="001F313E">
        <w:rPr>
          <w:lang w:val="fr-CA"/>
        </w:rPr>
        <w:t xml:space="preserve">  </w:t>
      </w:r>
    </w:p>
    <w:p w:rsidR="00683D44" w:rsidRPr="001F313E" w:rsidRDefault="00683D44" w:rsidP="0095762B">
      <w:pPr>
        <w:pStyle w:val="SCCNormalDoubleSpacing"/>
        <w:widowControl w:val="0"/>
        <w:spacing w:after="480"/>
        <w:rPr>
          <w:lang w:val="fr-CA"/>
        </w:rPr>
      </w:pPr>
      <w:r w:rsidRPr="001F313E">
        <w:rPr>
          <w:lang w:val="fr-CA"/>
        </w:rPr>
        <w:tab/>
      </w:r>
      <w:r w:rsidR="00B970EE" w:rsidRPr="001F313E">
        <w:rPr>
          <w:lang w:val="fr-CA"/>
        </w:rPr>
        <w:t>Cependant, la Cour d’appel a commis une erreur lorsqu’elle a conclu que l’exercice actuel, par le juge du procès, de la fonction de gouverneur de la Fondation franco</w:t>
      </w:r>
      <w:r w:rsidR="00BB6F2A">
        <w:rPr>
          <w:lang w:val="fr-CA"/>
        </w:rPr>
        <w:t>-</w:t>
      </w:r>
      <w:r w:rsidR="00B970EE" w:rsidRPr="001F313E">
        <w:rPr>
          <w:lang w:val="fr-CA"/>
        </w:rPr>
        <w:t>albertaine a largement contribué à une crainte raisonnable de partialité</w:t>
      </w:r>
      <w:r w:rsidRPr="001F313E">
        <w:rPr>
          <w:lang w:val="fr-CA"/>
        </w:rPr>
        <w:t xml:space="preserve">. </w:t>
      </w:r>
      <w:r w:rsidR="00D465C3" w:rsidRPr="001F313E">
        <w:rPr>
          <w:lang w:val="fr-CA"/>
        </w:rPr>
        <w:t xml:space="preserve">L’appartenance à une association affiliée aux intérêts d’une race, d’une nationalité, d’une religion ou d’une langue en particulier ne peut servir de fondement, sans plus, pour conclure raisonnablement qu’il y a apparence de partialité. </w:t>
      </w:r>
      <w:r w:rsidR="00FB78EB" w:rsidRPr="001F313E">
        <w:rPr>
          <w:lang w:val="fr-CA"/>
        </w:rPr>
        <w:t xml:space="preserve">Le Canada a déployé beaucoup d’efforts pour se doter d’une magistrature plus diversifiée. Cette même </w:t>
      </w:r>
      <w:r w:rsidR="00FB78EB" w:rsidRPr="001F313E">
        <w:rPr>
          <w:lang w:val="fr-CA"/>
        </w:rPr>
        <w:lastRenderedPageBreak/>
        <w:t>diversité ne devrait pas faire office de présomption que l’identité du juge ferme l’esprit judiciaire</w:t>
      </w:r>
      <w:r w:rsidRPr="001F313E">
        <w:rPr>
          <w:lang w:val="fr-CA"/>
        </w:rPr>
        <w:t xml:space="preserve">. </w:t>
      </w:r>
    </w:p>
    <w:p w:rsidR="00683D44" w:rsidRPr="001F313E" w:rsidRDefault="00683D44" w:rsidP="0095762B">
      <w:pPr>
        <w:pStyle w:val="SCCNormalDoubleSpacing"/>
        <w:widowControl w:val="0"/>
        <w:spacing w:after="480"/>
        <w:rPr>
          <w:lang w:val="fr-CA"/>
        </w:rPr>
      </w:pPr>
      <w:r w:rsidRPr="001F313E">
        <w:rPr>
          <w:lang w:val="fr-CA"/>
        </w:rPr>
        <w:tab/>
      </w:r>
      <w:r w:rsidR="00A66CA3" w:rsidRPr="001F313E">
        <w:rPr>
          <w:lang w:val="fr-CA"/>
        </w:rPr>
        <w:t>En l’espèce, il est difficile de voir comment, au vu de la preuve, on pourrait conclure que la vision de la Fondation</w:t>
      </w:r>
      <w:r w:rsidR="00DD2503" w:rsidRPr="001F313E">
        <w:rPr>
          <w:lang w:val="fr-CA"/>
        </w:rPr>
        <w:t xml:space="preserve"> franco</w:t>
      </w:r>
      <w:r w:rsidR="00BB6F2A">
        <w:rPr>
          <w:lang w:val="fr-CA"/>
        </w:rPr>
        <w:t>-</w:t>
      </w:r>
      <w:r w:rsidR="00DD2503" w:rsidRPr="001F313E">
        <w:rPr>
          <w:lang w:val="fr-CA"/>
        </w:rPr>
        <w:t>albertaine</w:t>
      </w:r>
      <w:r w:rsidR="00A66CA3" w:rsidRPr="001F313E">
        <w:rPr>
          <w:lang w:val="fr-CA"/>
        </w:rPr>
        <w:t xml:space="preserve"> pourrait</w:t>
      </w:r>
      <w:r w:rsidR="0028352B" w:rsidRPr="001F313E">
        <w:rPr>
          <w:lang w:val="fr-CA"/>
        </w:rPr>
        <w:t xml:space="preserve"> </w:t>
      </w:r>
      <w:r w:rsidR="00BB6F2A">
        <w:rPr>
          <w:lang w:val="fr-CA"/>
        </w:rPr>
        <w:t>« </w:t>
      </w:r>
      <w:r w:rsidR="00A66CA3" w:rsidRPr="001F313E">
        <w:rPr>
          <w:lang w:val="fr-CA"/>
        </w:rPr>
        <w:t>très bien s’harmoniser</w:t>
      </w:r>
      <w:r w:rsidR="00BB6F2A">
        <w:rPr>
          <w:lang w:val="fr-CA"/>
        </w:rPr>
        <w:t> »</w:t>
      </w:r>
      <w:r w:rsidR="00A66CA3" w:rsidRPr="001F313E">
        <w:rPr>
          <w:lang w:val="fr-CA"/>
        </w:rPr>
        <w:t xml:space="preserve"> avec certaines positions mises de l’avant par la Commission dans la présente affaire ou que l’engagement du juge du procès </w:t>
      </w:r>
      <w:r w:rsidR="004D5CD6">
        <w:rPr>
          <w:lang w:val="fr-CA"/>
        </w:rPr>
        <w:t xml:space="preserve">au sein de </w:t>
      </w:r>
      <w:r w:rsidR="00A66CA3" w:rsidRPr="001F313E">
        <w:rPr>
          <w:lang w:val="fr-CA"/>
        </w:rPr>
        <w:t>l’organisme l’empêchait d’aborder l’affaire avec un esprit ouvert. À elles seules, les déclarations vagues concernant la mission et la vision de l’organisme ne réfutent pas la présomption d’impartialité</w:t>
      </w:r>
      <w:r w:rsidRPr="001F313E">
        <w:rPr>
          <w:lang w:val="fr-CA"/>
        </w:rPr>
        <w:t xml:space="preserve">. </w:t>
      </w:r>
      <w:r w:rsidR="006A4CBC" w:rsidRPr="001F313E">
        <w:rPr>
          <w:lang w:val="fr-CA"/>
        </w:rPr>
        <w:t>Même si la prise en compte de la fonction de gouverneur de l</w:t>
      </w:r>
      <w:r w:rsidR="00DD2503" w:rsidRPr="001F313E">
        <w:rPr>
          <w:lang w:val="fr-CA"/>
        </w:rPr>
        <w:t>a Fondation franco</w:t>
      </w:r>
      <w:r w:rsidR="00BB6F2A">
        <w:rPr>
          <w:lang w:val="fr-CA"/>
        </w:rPr>
        <w:t>-</w:t>
      </w:r>
      <w:r w:rsidR="00DD2503" w:rsidRPr="001F313E">
        <w:rPr>
          <w:lang w:val="fr-CA"/>
        </w:rPr>
        <w:t xml:space="preserve">albertaine </w:t>
      </w:r>
      <w:r w:rsidR="006A4CBC" w:rsidRPr="001F313E">
        <w:rPr>
          <w:lang w:val="fr-CA"/>
        </w:rPr>
        <w:t xml:space="preserve">exercée présentement par le juge du procès faisait partie à juste titre de l’analyse contextuelle de la partialité en l’espèce, son engagement dans un organisme, dont les attributions sont en grande partie indéfinies d’après la preuve, ne saurait faire naître une crainte </w:t>
      </w:r>
      <w:r w:rsidRPr="001F313E">
        <w:rPr>
          <w:lang w:val="fr-CA"/>
        </w:rPr>
        <w:t>ra</w:t>
      </w:r>
      <w:r w:rsidR="006A4CBC" w:rsidRPr="001F313E">
        <w:rPr>
          <w:lang w:val="fr-CA"/>
        </w:rPr>
        <w:t>i</w:t>
      </w:r>
      <w:r w:rsidRPr="001F313E">
        <w:rPr>
          <w:lang w:val="fr-CA"/>
        </w:rPr>
        <w:t>so</w:t>
      </w:r>
      <w:r w:rsidR="006A4CBC" w:rsidRPr="001F313E">
        <w:rPr>
          <w:lang w:val="fr-CA"/>
        </w:rPr>
        <w:t>n</w:t>
      </w:r>
      <w:r w:rsidRPr="001F313E">
        <w:rPr>
          <w:lang w:val="fr-CA"/>
        </w:rPr>
        <w:t>nable</w:t>
      </w:r>
      <w:r w:rsidR="006A4CBC" w:rsidRPr="001F313E">
        <w:rPr>
          <w:lang w:val="fr-CA"/>
        </w:rPr>
        <w:t xml:space="preserve"> de partialité</w:t>
      </w:r>
      <w:r w:rsidRPr="001F313E">
        <w:rPr>
          <w:lang w:val="fr-CA"/>
        </w:rPr>
        <w:t>.</w:t>
      </w:r>
    </w:p>
    <w:p w:rsidR="00683D44" w:rsidRPr="001F313E" w:rsidRDefault="00683D44" w:rsidP="0095762B">
      <w:pPr>
        <w:pStyle w:val="SCCNormalDoubleSpacing"/>
        <w:widowControl w:val="0"/>
        <w:spacing w:after="480"/>
        <w:rPr>
          <w:lang w:val="fr-CA"/>
        </w:rPr>
      </w:pPr>
      <w:r w:rsidRPr="001F313E">
        <w:rPr>
          <w:lang w:val="fr-CA"/>
        </w:rPr>
        <w:tab/>
      </w:r>
      <w:r w:rsidR="006A4CBC" w:rsidRPr="001F313E">
        <w:rPr>
          <w:lang w:val="fr-CA"/>
        </w:rPr>
        <w:t xml:space="preserve">Il n’y a pas lieu de modifier la </w:t>
      </w:r>
      <w:r w:rsidRPr="001F313E">
        <w:rPr>
          <w:lang w:val="fr-CA"/>
        </w:rPr>
        <w:t>conclusion</w:t>
      </w:r>
      <w:r w:rsidR="006A4CBC" w:rsidRPr="001F313E">
        <w:rPr>
          <w:lang w:val="fr-CA"/>
        </w:rPr>
        <w:t xml:space="preserve"> de la Cour d’appel que la Commission n’était pas habilitée à décider unilatéralement qui pouvait être admis à son école. Il ne fait aucun doute </w:t>
      </w:r>
      <w:r w:rsidR="00E63C7C" w:rsidRPr="001F313E">
        <w:rPr>
          <w:lang w:val="fr-CA"/>
        </w:rPr>
        <w:t xml:space="preserve">qu’une province ou un territoire puisse déléguer </w:t>
      </w:r>
      <w:r w:rsidR="003C035F" w:rsidRPr="001F313E">
        <w:rPr>
          <w:lang w:val="fr-CA"/>
        </w:rPr>
        <w:t xml:space="preserve">à une commission scolaire la fonction </w:t>
      </w:r>
      <w:r w:rsidR="00E63C7C" w:rsidRPr="001F313E">
        <w:rPr>
          <w:lang w:val="fr-CA"/>
        </w:rPr>
        <w:t xml:space="preserve">de fixer les critères d’admission </w:t>
      </w:r>
      <w:r w:rsidR="003C035F" w:rsidRPr="001F313E">
        <w:rPr>
          <w:lang w:val="fr-CA"/>
        </w:rPr>
        <w:t>à l’égard d</w:t>
      </w:r>
      <w:r w:rsidR="00E63C7C" w:rsidRPr="001F313E">
        <w:rPr>
          <w:lang w:val="fr-CA"/>
        </w:rPr>
        <w:t>es enfants de non</w:t>
      </w:r>
      <w:r w:rsidR="00BB6F2A">
        <w:rPr>
          <w:lang w:val="fr-CA"/>
        </w:rPr>
        <w:t>-</w:t>
      </w:r>
      <w:r w:rsidR="00E63C7C" w:rsidRPr="001F313E">
        <w:rPr>
          <w:lang w:val="fr-CA"/>
        </w:rPr>
        <w:t>ayants droit. Par cette délégation, on peut conférer à une commission scolaire de la minorité linguistique un large pouvoir discrétionnaire pour admettre les enfants de non</w:t>
      </w:r>
      <w:r w:rsidR="00BB6F2A">
        <w:rPr>
          <w:lang w:val="fr-CA"/>
        </w:rPr>
        <w:t>-</w:t>
      </w:r>
      <w:r w:rsidR="00E63C7C" w:rsidRPr="001F313E">
        <w:rPr>
          <w:lang w:val="fr-CA"/>
        </w:rPr>
        <w:t xml:space="preserve">ayants droit. </w:t>
      </w:r>
      <w:r w:rsidR="00404B7E" w:rsidRPr="001F313E">
        <w:rPr>
          <w:lang w:val="fr-CA"/>
        </w:rPr>
        <w:t xml:space="preserve">En l’espèce, toutefois, </w:t>
      </w:r>
      <w:r w:rsidR="00DD2503" w:rsidRPr="001F313E">
        <w:rPr>
          <w:lang w:val="fr-CA"/>
        </w:rPr>
        <w:t>le Yukon n’</w:t>
      </w:r>
      <w:r w:rsidR="003B2463" w:rsidRPr="001F313E">
        <w:rPr>
          <w:lang w:val="fr-CA"/>
        </w:rPr>
        <w:t xml:space="preserve">a pas délégué à la Commission la fonction </w:t>
      </w:r>
      <w:r w:rsidR="00DD2503" w:rsidRPr="001F313E">
        <w:rPr>
          <w:lang w:val="fr-CA"/>
        </w:rPr>
        <w:t>de fixer les critères d’admission à l’</w:t>
      </w:r>
      <w:r w:rsidR="003B2463" w:rsidRPr="001F313E">
        <w:rPr>
          <w:lang w:val="fr-CA"/>
        </w:rPr>
        <w:t>égard</w:t>
      </w:r>
      <w:r w:rsidR="00DD2503" w:rsidRPr="001F313E">
        <w:rPr>
          <w:lang w:val="fr-CA"/>
        </w:rPr>
        <w:t xml:space="preserve"> des enfants de non</w:t>
      </w:r>
      <w:r w:rsidR="00BB6F2A">
        <w:rPr>
          <w:lang w:val="fr-CA"/>
        </w:rPr>
        <w:t>-</w:t>
      </w:r>
      <w:r w:rsidR="00DD2503" w:rsidRPr="001F313E">
        <w:rPr>
          <w:lang w:val="fr-CA"/>
        </w:rPr>
        <w:lastRenderedPageBreak/>
        <w:t>ayants droit. À</w:t>
      </w:r>
      <w:r w:rsidR="00404B7E" w:rsidRPr="001F313E">
        <w:rPr>
          <w:lang w:val="fr-CA"/>
        </w:rPr>
        <w:t xml:space="preserve"> défaut d’une </w:t>
      </w:r>
      <w:r w:rsidR="00DD2503" w:rsidRPr="001F313E">
        <w:rPr>
          <w:lang w:val="fr-CA"/>
        </w:rPr>
        <w:t>telle</w:t>
      </w:r>
      <w:r w:rsidR="00404B7E" w:rsidRPr="001F313E">
        <w:rPr>
          <w:lang w:val="fr-CA"/>
        </w:rPr>
        <w:t xml:space="preserve"> délégation, la Commission n’a pas le pouvoir de fixer unilatéralement des critères d’admission différents de ceux établis dans le règlement territorial applicable à l’instruction en français. </w:t>
      </w:r>
      <w:r w:rsidRPr="001F313E">
        <w:rPr>
          <w:lang w:val="fr-CA"/>
        </w:rPr>
        <w:t xml:space="preserve"> </w:t>
      </w:r>
    </w:p>
    <w:p w:rsidR="00683D44" w:rsidRPr="001F313E" w:rsidRDefault="00683D44" w:rsidP="0095762B">
      <w:pPr>
        <w:pStyle w:val="SCCNormalDoubleSpacing"/>
        <w:widowControl w:val="0"/>
        <w:spacing w:after="480"/>
        <w:rPr>
          <w:lang w:val="fr-CA"/>
        </w:rPr>
      </w:pPr>
      <w:r w:rsidRPr="001F313E">
        <w:rPr>
          <w:lang w:val="fr-CA"/>
        </w:rPr>
        <w:tab/>
      </w:r>
      <w:r w:rsidR="00DB1CD8" w:rsidRPr="001F313E">
        <w:rPr>
          <w:lang w:val="fr-CA"/>
        </w:rPr>
        <w:t>La Commission n’est pas pour autant empêchée de faire valoir que le Yukon n’a pas assuré suffisamment le respect de l’</w:t>
      </w:r>
      <w:r w:rsidR="00C25045" w:rsidRPr="001F313E">
        <w:rPr>
          <w:lang w:val="fr-CA"/>
        </w:rPr>
        <w:t>art.</w:t>
      </w:r>
      <w:r w:rsidR="00BB6F2A">
        <w:rPr>
          <w:lang w:val="fr-CA"/>
        </w:rPr>
        <w:t xml:space="preserve"> </w:t>
      </w:r>
      <w:r w:rsidR="00DB1CD8" w:rsidRPr="001F313E">
        <w:rPr>
          <w:lang w:val="fr-CA"/>
        </w:rPr>
        <w:t>23 et rien ne l’empêche de soutenir que l</w:t>
      </w:r>
      <w:r w:rsidR="004B49C3" w:rsidRPr="001F313E">
        <w:rPr>
          <w:lang w:val="fr-CA"/>
        </w:rPr>
        <w:t xml:space="preserve">’approche adoptée par le </w:t>
      </w:r>
      <w:r w:rsidR="00DB1CD8" w:rsidRPr="001F313E">
        <w:rPr>
          <w:lang w:val="fr-CA"/>
        </w:rPr>
        <w:t>Yukon</w:t>
      </w:r>
      <w:r w:rsidR="004B49C3" w:rsidRPr="001F313E">
        <w:rPr>
          <w:lang w:val="fr-CA"/>
        </w:rPr>
        <w:t xml:space="preserve"> à l’égard </w:t>
      </w:r>
      <w:r w:rsidR="00DB1CD8" w:rsidRPr="001F313E">
        <w:rPr>
          <w:lang w:val="fr-CA"/>
        </w:rPr>
        <w:t>des admissions fait obstacle à la réalisation de l’objet de l’</w:t>
      </w:r>
      <w:r w:rsidR="00C25045" w:rsidRPr="001F313E">
        <w:rPr>
          <w:lang w:val="fr-CA"/>
        </w:rPr>
        <w:t>art.</w:t>
      </w:r>
      <w:r w:rsidR="00BB6F2A">
        <w:rPr>
          <w:lang w:val="fr-CA"/>
        </w:rPr>
        <w:t xml:space="preserve"> </w:t>
      </w:r>
      <w:r w:rsidR="00DB1CD8" w:rsidRPr="001F313E">
        <w:rPr>
          <w:lang w:val="fr-CA"/>
        </w:rPr>
        <w:t xml:space="preserve">23. </w:t>
      </w:r>
    </w:p>
    <w:p w:rsidR="00683D44" w:rsidRPr="001F313E" w:rsidRDefault="00683D44" w:rsidP="0095762B">
      <w:pPr>
        <w:pStyle w:val="SCCNormalDoubleSpacing"/>
        <w:widowControl w:val="0"/>
        <w:spacing w:after="480"/>
        <w:rPr>
          <w:lang w:val="fr-CA"/>
        </w:rPr>
      </w:pPr>
      <w:r w:rsidRPr="001F313E">
        <w:rPr>
          <w:lang w:val="fr-CA"/>
        </w:rPr>
        <w:tab/>
      </w:r>
      <w:r w:rsidR="006A4CBC" w:rsidRPr="001F313E">
        <w:rPr>
          <w:lang w:val="fr-CA"/>
        </w:rPr>
        <w:t>Enfin</w:t>
      </w:r>
      <w:r w:rsidRPr="001F313E">
        <w:rPr>
          <w:lang w:val="fr-CA"/>
        </w:rPr>
        <w:t>,</w:t>
      </w:r>
      <w:r w:rsidRPr="001F313E">
        <w:rPr>
          <w:b/>
          <w:lang w:val="fr-CA"/>
        </w:rPr>
        <w:t xml:space="preserve"> </w:t>
      </w:r>
      <w:r w:rsidR="00DB1CD8" w:rsidRPr="001F313E">
        <w:rPr>
          <w:lang w:val="fr-CA"/>
        </w:rPr>
        <w:t>on ne voit pas pourquoi la Cour d’appel a décidé que la présente affaire ne se prêtait pas à la définition des droits conférés par la</w:t>
      </w:r>
      <w:r w:rsidR="00DB1CD8" w:rsidRPr="001F313E">
        <w:rPr>
          <w:i/>
          <w:lang w:val="fr-CA"/>
        </w:rPr>
        <w:t xml:space="preserve"> Loi sur les langues</w:t>
      </w:r>
      <w:r w:rsidR="00DB1CD8" w:rsidRPr="001F313E">
        <w:rPr>
          <w:lang w:val="fr-CA"/>
        </w:rPr>
        <w:t xml:space="preserve"> du Yukon. Les demandes de la Commission fondées sur la</w:t>
      </w:r>
      <w:r w:rsidR="00DB1CD8" w:rsidRPr="001F313E">
        <w:rPr>
          <w:i/>
          <w:lang w:val="fr-CA"/>
        </w:rPr>
        <w:t xml:space="preserve"> Loi sur les langues</w:t>
      </w:r>
      <w:r w:rsidR="00DB1CD8" w:rsidRPr="001F313E">
        <w:rPr>
          <w:lang w:val="fr-CA"/>
        </w:rPr>
        <w:t xml:space="preserve"> soulèvent des questions de fait importantes qui pourraient fort bien mener à la conclusion que des parties des demandes étaient justifiées et </w:t>
      </w:r>
      <w:r w:rsidR="00101C1C">
        <w:rPr>
          <w:lang w:val="fr-CA"/>
        </w:rPr>
        <w:t xml:space="preserve">que ces demandes devraient être tranchées </w:t>
      </w:r>
      <w:r w:rsidR="00DB1CD8" w:rsidRPr="001F313E">
        <w:rPr>
          <w:lang w:val="fr-CA"/>
        </w:rPr>
        <w:t xml:space="preserve">lors du nouveau procès à la lumière d’un dossier de preuve complet. </w:t>
      </w:r>
      <w:r w:rsidRPr="001F313E">
        <w:rPr>
          <w:lang w:val="fr-CA"/>
        </w:rPr>
        <w:t xml:space="preserve"> </w:t>
      </w:r>
    </w:p>
    <w:p w:rsidR="004D7D95" w:rsidRPr="001F313E" w:rsidRDefault="004D7D95" w:rsidP="0095762B">
      <w:pPr>
        <w:pStyle w:val="SCCNormalDoubleSpacing"/>
        <w:widowControl w:val="0"/>
        <w:spacing w:after="720" w:line="240" w:lineRule="auto"/>
        <w:rPr>
          <w:b/>
          <w:lang w:val="fr-CA"/>
        </w:rPr>
      </w:pPr>
      <w:r w:rsidRPr="001F313E">
        <w:rPr>
          <w:b/>
          <w:lang w:val="fr-CA"/>
        </w:rPr>
        <w:t>Jurisprudence</w:t>
      </w:r>
    </w:p>
    <w:p w:rsidR="005E11F8" w:rsidRPr="001F313E" w:rsidRDefault="00950F43" w:rsidP="0095762B">
      <w:pPr>
        <w:pStyle w:val="SCCNormalDoubleSpacing"/>
        <w:widowControl w:val="0"/>
        <w:spacing w:after="480"/>
        <w:rPr>
          <w:lang w:val="fr-CA"/>
        </w:rPr>
      </w:pPr>
      <w:r w:rsidRPr="001F313E">
        <w:rPr>
          <w:b/>
          <w:lang w:val="fr-CA"/>
        </w:rPr>
        <w:tab/>
      </w:r>
      <w:r w:rsidR="00755139" w:rsidRPr="001F313E">
        <w:rPr>
          <w:b/>
          <w:lang w:val="fr-CA"/>
        </w:rPr>
        <w:t>Arrêt a</w:t>
      </w:r>
      <w:r w:rsidR="006F3D38" w:rsidRPr="001F313E">
        <w:rPr>
          <w:b/>
          <w:lang w:val="fr-CA"/>
        </w:rPr>
        <w:t>nalysé</w:t>
      </w:r>
      <w:r w:rsidR="00BB6F2A">
        <w:rPr>
          <w:b/>
          <w:lang w:val="fr-CA"/>
        </w:rPr>
        <w:t> :</w:t>
      </w:r>
      <w:r w:rsidR="00755139" w:rsidRPr="001F313E">
        <w:rPr>
          <w:b/>
          <w:lang w:val="fr-CA"/>
        </w:rPr>
        <w:t xml:space="preserve"> </w:t>
      </w:r>
      <w:r w:rsidR="00755139" w:rsidRPr="001F313E">
        <w:rPr>
          <w:i/>
          <w:lang w:val="fr-CA"/>
        </w:rPr>
        <w:t>R. c. S. (R.D.)</w:t>
      </w:r>
      <w:r w:rsidR="00755139" w:rsidRPr="001F313E">
        <w:rPr>
          <w:lang w:val="fr-CA"/>
        </w:rPr>
        <w:t xml:space="preserve">, [1997] 3 R.C.S. 484; </w:t>
      </w:r>
      <w:r w:rsidR="00EC0629" w:rsidRPr="001F313E">
        <w:rPr>
          <w:b/>
          <w:lang w:val="fr-CA"/>
        </w:rPr>
        <w:t>a</w:t>
      </w:r>
      <w:r w:rsidR="004D7D95" w:rsidRPr="001F313E">
        <w:rPr>
          <w:b/>
          <w:lang w:val="fr-CA"/>
        </w:rPr>
        <w:t>rrêts mentionnés</w:t>
      </w:r>
      <w:r w:rsidR="00BB6F2A">
        <w:rPr>
          <w:b/>
          <w:lang w:val="fr-CA"/>
        </w:rPr>
        <w:t> :</w:t>
      </w:r>
      <w:r w:rsidR="004D7D95" w:rsidRPr="001F313E">
        <w:rPr>
          <w:lang w:val="fr-CA"/>
        </w:rPr>
        <w:t xml:space="preserve"> </w:t>
      </w:r>
      <w:r w:rsidR="005E11F8" w:rsidRPr="001F313E">
        <w:rPr>
          <w:i/>
          <w:lang w:val="fr-CA"/>
        </w:rPr>
        <w:t>Com</w:t>
      </w:r>
      <w:r w:rsidR="00E84942" w:rsidRPr="001F313E">
        <w:rPr>
          <w:i/>
          <w:lang w:val="fr-CA"/>
        </w:rPr>
        <w:t>mittee for Justice and Liberty c</w:t>
      </w:r>
      <w:r w:rsidR="005E11F8" w:rsidRPr="001F313E">
        <w:rPr>
          <w:i/>
          <w:lang w:val="fr-CA"/>
        </w:rPr>
        <w:t xml:space="preserve">. </w:t>
      </w:r>
      <w:r w:rsidR="00E84942" w:rsidRPr="001F313E">
        <w:rPr>
          <w:i/>
          <w:lang w:val="fr-CA"/>
        </w:rPr>
        <w:t>Office national de l’énergie</w:t>
      </w:r>
      <w:r w:rsidR="005E11F8" w:rsidRPr="001F313E">
        <w:rPr>
          <w:lang w:val="fr-CA"/>
        </w:rPr>
        <w:t xml:space="preserve">, [1978] 1 </w:t>
      </w:r>
      <w:r w:rsidR="00E84942" w:rsidRPr="001F313E">
        <w:rPr>
          <w:lang w:val="fr-CA"/>
        </w:rPr>
        <w:t>R.C.S</w:t>
      </w:r>
      <w:r w:rsidR="005E11F8" w:rsidRPr="001F313E">
        <w:rPr>
          <w:lang w:val="fr-CA"/>
        </w:rPr>
        <w:t xml:space="preserve">. 369; </w:t>
      </w:r>
      <w:r w:rsidR="001D15A7" w:rsidRPr="001F313E">
        <w:rPr>
          <w:i/>
          <w:lang w:val="fr-CA"/>
        </w:rPr>
        <w:t xml:space="preserve">Bande indienne </w:t>
      </w:r>
      <w:r w:rsidR="005E11F8" w:rsidRPr="001F313E">
        <w:rPr>
          <w:i/>
          <w:lang w:val="fr-CA"/>
        </w:rPr>
        <w:t xml:space="preserve">Wewaykum </w:t>
      </w:r>
      <w:r w:rsidR="001D15A7" w:rsidRPr="001F313E">
        <w:rPr>
          <w:i/>
          <w:lang w:val="fr-CA"/>
        </w:rPr>
        <w:t>c</w:t>
      </w:r>
      <w:r w:rsidR="005E11F8" w:rsidRPr="001F313E">
        <w:rPr>
          <w:i/>
          <w:lang w:val="fr-CA"/>
        </w:rPr>
        <w:t>. Canada</w:t>
      </w:r>
      <w:r w:rsidR="005E11F8" w:rsidRPr="001F313E">
        <w:rPr>
          <w:lang w:val="fr-CA"/>
        </w:rPr>
        <w:t xml:space="preserve">, 2003 </w:t>
      </w:r>
      <w:r w:rsidR="001D15A7" w:rsidRPr="001F313E">
        <w:rPr>
          <w:lang w:val="fr-CA"/>
        </w:rPr>
        <w:t>CSC</w:t>
      </w:r>
      <w:r w:rsidR="005E11F8" w:rsidRPr="001F313E">
        <w:rPr>
          <w:lang w:val="fr-CA"/>
        </w:rPr>
        <w:t xml:space="preserve"> 45, [2003] 2 </w:t>
      </w:r>
      <w:r w:rsidR="001D15A7" w:rsidRPr="001F313E">
        <w:rPr>
          <w:lang w:val="fr-CA"/>
        </w:rPr>
        <w:t>R.C.S.</w:t>
      </w:r>
      <w:r w:rsidR="005E11F8" w:rsidRPr="001F313E">
        <w:rPr>
          <w:lang w:val="fr-CA"/>
        </w:rPr>
        <w:t xml:space="preserve"> 259; </w:t>
      </w:r>
      <w:r w:rsidR="001D15A7" w:rsidRPr="001F313E">
        <w:rPr>
          <w:i/>
          <w:lang w:val="fr-CA"/>
        </w:rPr>
        <w:t>S.C.F.</w:t>
      </w:r>
      <w:r w:rsidR="00C25045" w:rsidRPr="001F313E">
        <w:rPr>
          <w:i/>
          <w:lang w:val="fr-CA"/>
        </w:rPr>
        <w:t>P.</w:t>
      </w:r>
      <w:r w:rsidR="00BB6F2A">
        <w:rPr>
          <w:i/>
          <w:lang w:val="fr-CA"/>
        </w:rPr>
        <w:t xml:space="preserve"> </w:t>
      </w:r>
      <w:r w:rsidR="00980300" w:rsidRPr="001F313E">
        <w:rPr>
          <w:i/>
          <w:lang w:val="fr-CA"/>
        </w:rPr>
        <w:t>c</w:t>
      </w:r>
      <w:r w:rsidR="005E11F8" w:rsidRPr="001F313E">
        <w:rPr>
          <w:i/>
          <w:lang w:val="fr-CA"/>
        </w:rPr>
        <w:t>. Ontario (</w:t>
      </w:r>
      <w:r w:rsidR="00980300" w:rsidRPr="001F313E">
        <w:rPr>
          <w:i/>
          <w:lang w:val="fr-CA"/>
        </w:rPr>
        <w:t>Ministre du Travail</w:t>
      </w:r>
      <w:r w:rsidR="005E11F8" w:rsidRPr="001F313E">
        <w:rPr>
          <w:i/>
          <w:lang w:val="fr-CA"/>
        </w:rPr>
        <w:t>)</w:t>
      </w:r>
      <w:r w:rsidR="005E11F8" w:rsidRPr="001F313E">
        <w:rPr>
          <w:lang w:val="fr-CA"/>
        </w:rPr>
        <w:t xml:space="preserve">, 2003 </w:t>
      </w:r>
      <w:r w:rsidR="00980300" w:rsidRPr="001F313E">
        <w:rPr>
          <w:lang w:val="fr-CA"/>
        </w:rPr>
        <w:t>CSC</w:t>
      </w:r>
      <w:r w:rsidR="005E11F8" w:rsidRPr="001F313E">
        <w:rPr>
          <w:lang w:val="fr-CA"/>
        </w:rPr>
        <w:t xml:space="preserve"> 29, [2003] 1 </w:t>
      </w:r>
      <w:r w:rsidR="00980300" w:rsidRPr="001F313E">
        <w:rPr>
          <w:lang w:val="fr-CA"/>
        </w:rPr>
        <w:t>R.C.S.</w:t>
      </w:r>
      <w:r w:rsidR="005E11F8" w:rsidRPr="001F313E">
        <w:rPr>
          <w:lang w:val="fr-CA"/>
        </w:rPr>
        <w:t xml:space="preserve"> 539; </w:t>
      </w:r>
      <w:r w:rsidR="005E11F8" w:rsidRPr="001F313E">
        <w:rPr>
          <w:i/>
          <w:lang w:val="fr-CA"/>
        </w:rPr>
        <w:t xml:space="preserve">Miglin </w:t>
      </w:r>
      <w:r w:rsidR="00980300" w:rsidRPr="001F313E">
        <w:rPr>
          <w:i/>
          <w:lang w:val="fr-CA"/>
        </w:rPr>
        <w:t>c</w:t>
      </w:r>
      <w:r w:rsidR="005E11F8" w:rsidRPr="001F313E">
        <w:rPr>
          <w:i/>
          <w:lang w:val="fr-CA"/>
        </w:rPr>
        <w:t>. Miglin</w:t>
      </w:r>
      <w:r w:rsidR="005E11F8" w:rsidRPr="001F313E">
        <w:rPr>
          <w:lang w:val="fr-CA"/>
        </w:rPr>
        <w:t xml:space="preserve">, 2003 </w:t>
      </w:r>
      <w:r w:rsidR="00980300" w:rsidRPr="001F313E">
        <w:rPr>
          <w:lang w:val="fr-CA"/>
        </w:rPr>
        <w:t>CSC</w:t>
      </w:r>
      <w:r w:rsidR="005E11F8" w:rsidRPr="001F313E">
        <w:rPr>
          <w:lang w:val="fr-CA"/>
        </w:rPr>
        <w:t xml:space="preserve"> 24, [2003] 1 </w:t>
      </w:r>
      <w:r w:rsidR="00980300" w:rsidRPr="001F313E">
        <w:rPr>
          <w:lang w:val="fr-CA"/>
        </w:rPr>
        <w:t>R.C.S. 303, inf.</w:t>
      </w:r>
      <w:r w:rsidR="005E11F8" w:rsidRPr="001F313E">
        <w:rPr>
          <w:lang w:val="fr-CA"/>
        </w:rPr>
        <w:t xml:space="preserve"> </w:t>
      </w:r>
      <w:r w:rsidR="00980300" w:rsidRPr="001F313E">
        <w:rPr>
          <w:lang w:val="fr-CA"/>
        </w:rPr>
        <w:t>pour d’autres motifs</w:t>
      </w:r>
      <w:r w:rsidR="00C9074D">
        <w:rPr>
          <w:lang w:val="fr-CA"/>
        </w:rPr>
        <w:t xml:space="preserve"> (2001</w:t>
      </w:r>
      <w:r w:rsidR="005E11F8" w:rsidRPr="001F313E">
        <w:rPr>
          <w:lang w:val="fr-CA"/>
        </w:rPr>
        <w:t xml:space="preserve">), 53 O.R. (3d) 641; </w:t>
      </w:r>
      <w:r w:rsidR="005E11F8" w:rsidRPr="001F313E">
        <w:rPr>
          <w:i/>
          <w:lang w:val="fr-CA"/>
        </w:rPr>
        <w:t xml:space="preserve">Baker </w:t>
      </w:r>
      <w:r w:rsidR="005F54CA" w:rsidRPr="001F313E">
        <w:rPr>
          <w:i/>
          <w:lang w:val="fr-CA"/>
        </w:rPr>
        <w:t>c</w:t>
      </w:r>
      <w:r w:rsidR="005E11F8" w:rsidRPr="001F313E">
        <w:rPr>
          <w:i/>
          <w:lang w:val="fr-CA"/>
        </w:rPr>
        <w:t>. Canada (</w:t>
      </w:r>
      <w:r w:rsidR="00FF2348" w:rsidRPr="001F313E">
        <w:rPr>
          <w:i/>
          <w:lang w:val="fr-CA"/>
        </w:rPr>
        <w:t>Ministre de la Citoyenneté et de l’Immigration</w:t>
      </w:r>
      <w:r w:rsidR="005E11F8" w:rsidRPr="001F313E">
        <w:rPr>
          <w:i/>
          <w:lang w:val="fr-CA"/>
        </w:rPr>
        <w:t>)</w:t>
      </w:r>
      <w:r w:rsidR="005E11F8" w:rsidRPr="001F313E">
        <w:rPr>
          <w:lang w:val="fr-CA"/>
        </w:rPr>
        <w:t xml:space="preserve">, </w:t>
      </w:r>
      <w:r w:rsidR="005E11F8" w:rsidRPr="001F313E">
        <w:rPr>
          <w:lang w:val="fr-CA"/>
        </w:rPr>
        <w:lastRenderedPageBreak/>
        <w:t xml:space="preserve">[1999] 2 </w:t>
      </w:r>
      <w:r w:rsidR="005F54CA" w:rsidRPr="001F313E">
        <w:rPr>
          <w:lang w:val="fr-CA"/>
        </w:rPr>
        <w:t xml:space="preserve">R.C.S. </w:t>
      </w:r>
      <w:r w:rsidR="005E11F8" w:rsidRPr="001F313E">
        <w:rPr>
          <w:lang w:val="fr-CA"/>
        </w:rPr>
        <w:t xml:space="preserve">817; </w:t>
      </w:r>
      <w:r w:rsidR="005E11F8" w:rsidRPr="001F313E">
        <w:rPr>
          <w:i/>
          <w:lang w:val="fr-CA"/>
        </w:rPr>
        <w:t xml:space="preserve">Ruffo </w:t>
      </w:r>
      <w:r w:rsidR="00102575" w:rsidRPr="001F313E">
        <w:rPr>
          <w:i/>
          <w:lang w:val="fr-CA"/>
        </w:rPr>
        <w:t>c</w:t>
      </w:r>
      <w:r w:rsidR="005E11F8" w:rsidRPr="001F313E">
        <w:rPr>
          <w:i/>
          <w:lang w:val="fr-CA"/>
        </w:rPr>
        <w:t>. Conseil de la magistrature</w:t>
      </w:r>
      <w:r w:rsidR="005E11F8" w:rsidRPr="001F313E">
        <w:rPr>
          <w:lang w:val="fr-CA"/>
        </w:rPr>
        <w:t xml:space="preserve">, [1995] 4 </w:t>
      </w:r>
      <w:r w:rsidR="00102575" w:rsidRPr="001F313E">
        <w:rPr>
          <w:lang w:val="fr-CA"/>
        </w:rPr>
        <w:t xml:space="preserve">R.C.S. </w:t>
      </w:r>
      <w:r w:rsidR="005E11F8" w:rsidRPr="001F313E">
        <w:rPr>
          <w:lang w:val="fr-CA"/>
        </w:rPr>
        <w:t xml:space="preserve">267; </w:t>
      </w:r>
      <w:r w:rsidR="005E11F8" w:rsidRPr="001F313E">
        <w:rPr>
          <w:i/>
          <w:lang w:val="fr-CA"/>
        </w:rPr>
        <w:t xml:space="preserve">R. </w:t>
      </w:r>
      <w:r w:rsidR="005C3761" w:rsidRPr="001F313E">
        <w:rPr>
          <w:i/>
          <w:lang w:val="fr-CA"/>
        </w:rPr>
        <w:t>c</w:t>
      </w:r>
      <w:r w:rsidR="005E11F8" w:rsidRPr="001F313E">
        <w:rPr>
          <w:i/>
          <w:lang w:val="fr-CA"/>
        </w:rPr>
        <w:t>. Lippé</w:t>
      </w:r>
      <w:r w:rsidR="005E11F8" w:rsidRPr="001F313E">
        <w:rPr>
          <w:lang w:val="fr-CA"/>
        </w:rPr>
        <w:t xml:space="preserve">, [1991] 2 </w:t>
      </w:r>
      <w:r w:rsidR="005C3761" w:rsidRPr="001F313E">
        <w:rPr>
          <w:lang w:val="fr-CA"/>
        </w:rPr>
        <w:t xml:space="preserve">R.C.S. </w:t>
      </w:r>
      <w:r w:rsidR="005E11F8" w:rsidRPr="001F313E">
        <w:rPr>
          <w:lang w:val="fr-CA"/>
        </w:rPr>
        <w:t xml:space="preserve">114; </w:t>
      </w:r>
      <w:r w:rsidR="005E11F8" w:rsidRPr="001F313E">
        <w:rPr>
          <w:i/>
          <w:iCs/>
          <w:lang w:val="fr-CA"/>
        </w:rPr>
        <w:t xml:space="preserve">Valente </w:t>
      </w:r>
      <w:r w:rsidR="005C3761" w:rsidRPr="001F313E">
        <w:rPr>
          <w:i/>
          <w:iCs/>
          <w:lang w:val="fr-CA"/>
        </w:rPr>
        <w:t>c</w:t>
      </w:r>
      <w:r w:rsidR="005E11F8" w:rsidRPr="001F313E">
        <w:rPr>
          <w:i/>
          <w:iCs/>
          <w:lang w:val="fr-CA"/>
        </w:rPr>
        <w:t>.</w:t>
      </w:r>
      <w:r w:rsidR="005E11F8" w:rsidRPr="001F313E">
        <w:rPr>
          <w:lang w:val="fr-CA"/>
        </w:rPr>
        <w:t xml:space="preserve"> </w:t>
      </w:r>
      <w:r w:rsidR="005C3761" w:rsidRPr="001F313E">
        <w:rPr>
          <w:i/>
          <w:iCs/>
          <w:lang w:val="fr-CA"/>
        </w:rPr>
        <w:t>La Reine</w:t>
      </w:r>
      <w:r w:rsidR="005E11F8" w:rsidRPr="001F313E">
        <w:rPr>
          <w:lang w:val="fr-CA"/>
        </w:rPr>
        <w:t xml:space="preserve">, [1985] 2 </w:t>
      </w:r>
      <w:r w:rsidR="005C3761" w:rsidRPr="001F313E">
        <w:rPr>
          <w:lang w:val="fr-CA"/>
        </w:rPr>
        <w:t xml:space="preserve">R.C.S. </w:t>
      </w:r>
      <w:r w:rsidR="005E11F8" w:rsidRPr="001F313E">
        <w:rPr>
          <w:lang w:val="fr-CA"/>
        </w:rPr>
        <w:t xml:space="preserve">673; </w:t>
      </w:r>
      <w:r w:rsidR="00D7535A" w:rsidRPr="001F313E">
        <w:rPr>
          <w:i/>
          <w:lang w:val="fr-CA"/>
        </w:rPr>
        <w:t>Cojocaru c</w:t>
      </w:r>
      <w:r w:rsidR="005E11F8" w:rsidRPr="001F313E">
        <w:rPr>
          <w:i/>
          <w:lang w:val="fr-CA"/>
        </w:rPr>
        <w:t>. British Columbia Women’s Hospital and Health Centre</w:t>
      </w:r>
      <w:r w:rsidR="005E11F8" w:rsidRPr="001F313E">
        <w:rPr>
          <w:lang w:val="fr-CA"/>
        </w:rPr>
        <w:t xml:space="preserve">, 2013 </w:t>
      </w:r>
      <w:r w:rsidR="00D7535A" w:rsidRPr="001F313E">
        <w:rPr>
          <w:lang w:val="fr-CA"/>
        </w:rPr>
        <w:t>CSC</w:t>
      </w:r>
      <w:r w:rsidR="005E11F8" w:rsidRPr="001F313E">
        <w:rPr>
          <w:lang w:val="fr-CA"/>
        </w:rPr>
        <w:t xml:space="preserve"> 30, [2013] 2 </w:t>
      </w:r>
      <w:r w:rsidR="00D7535A" w:rsidRPr="001F313E">
        <w:rPr>
          <w:lang w:val="fr-CA"/>
        </w:rPr>
        <w:t xml:space="preserve">R.C.S. </w:t>
      </w:r>
      <w:r w:rsidR="005E11F8" w:rsidRPr="001F313E">
        <w:rPr>
          <w:lang w:val="fr-CA"/>
        </w:rPr>
        <w:t xml:space="preserve">357; </w:t>
      </w:r>
      <w:r w:rsidR="00D7535A" w:rsidRPr="001F313E">
        <w:rPr>
          <w:i/>
          <w:lang w:val="fr-CA"/>
        </w:rPr>
        <w:t>Arsenault</w:t>
      </w:r>
      <w:r w:rsidR="00BB6F2A">
        <w:rPr>
          <w:i/>
          <w:lang w:val="fr-CA"/>
        </w:rPr>
        <w:t>-</w:t>
      </w:r>
      <w:r w:rsidR="00D7535A" w:rsidRPr="001F313E">
        <w:rPr>
          <w:i/>
          <w:lang w:val="fr-CA"/>
        </w:rPr>
        <w:t>Cameron c</w:t>
      </w:r>
      <w:r w:rsidR="005E11F8" w:rsidRPr="001F313E">
        <w:rPr>
          <w:i/>
          <w:lang w:val="fr-CA"/>
        </w:rPr>
        <w:t xml:space="preserve">. </w:t>
      </w:r>
      <w:r w:rsidR="00D7535A" w:rsidRPr="001F313E">
        <w:rPr>
          <w:i/>
          <w:lang w:val="fr-CA"/>
        </w:rPr>
        <w:t>Île</w:t>
      </w:r>
      <w:r w:rsidR="00BB6F2A">
        <w:rPr>
          <w:i/>
          <w:lang w:val="fr-CA"/>
        </w:rPr>
        <w:t>-</w:t>
      </w:r>
      <w:r w:rsidR="00D7535A" w:rsidRPr="001F313E">
        <w:rPr>
          <w:i/>
          <w:lang w:val="fr-CA"/>
        </w:rPr>
        <w:t>du</w:t>
      </w:r>
      <w:r w:rsidR="00BB6F2A">
        <w:rPr>
          <w:i/>
          <w:lang w:val="fr-CA"/>
        </w:rPr>
        <w:t>-</w:t>
      </w:r>
      <w:r w:rsidR="00D7535A" w:rsidRPr="001F313E">
        <w:rPr>
          <w:i/>
          <w:lang w:val="fr-CA"/>
        </w:rPr>
        <w:t>Prince</w:t>
      </w:r>
      <w:r w:rsidR="00BB6F2A">
        <w:rPr>
          <w:i/>
          <w:lang w:val="fr-CA"/>
        </w:rPr>
        <w:t>-</w:t>
      </w:r>
      <w:r w:rsidR="00D7535A" w:rsidRPr="001F313E">
        <w:rPr>
          <w:i/>
          <w:lang w:val="fr-CA"/>
        </w:rPr>
        <w:t>Édou</w:t>
      </w:r>
      <w:r w:rsidR="00F07010" w:rsidRPr="001F313E">
        <w:rPr>
          <w:i/>
          <w:lang w:val="fr-CA"/>
        </w:rPr>
        <w:t>a</w:t>
      </w:r>
      <w:r w:rsidR="00D7535A" w:rsidRPr="001F313E">
        <w:rPr>
          <w:i/>
          <w:lang w:val="fr-CA"/>
        </w:rPr>
        <w:t>rd</w:t>
      </w:r>
      <w:r w:rsidR="005E11F8" w:rsidRPr="001F313E">
        <w:rPr>
          <w:lang w:val="fr-CA"/>
        </w:rPr>
        <w:t xml:space="preserve">, [1999] 3 </w:t>
      </w:r>
      <w:r w:rsidR="00D7535A" w:rsidRPr="001F313E">
        <w:rPr>
          <w:lang w:val="fr-CA"/>
        </w:rPr>
        <w:t xml:space="preserve">R.C.S. </w:t>
      </w:r>
      <w:r w:rsidR="005E11F8" w:rsidRPr="001F313E">
        <w:rPr>
          <w:lang w:val="fr-CA"/>
        </w:rPr>
        <w:t xml:space="preserve">851; </w:t>
      </w:r>
      <w:r w:rsidR="00D7535A" w:rsidRPr="001F313E">
        <w:rPr>
          <w:i/>
          <w:lang w:val="fr-CA"/>
        </w:rPr>
        <w:t>Brouillard c</w:t>
      </w:r>
      <w:r w:rsidR="005E11F8" w:rsidRPr="001F313E">
        <w:rPr>
          <w:i/>
          <w:lang w:val="fr-CA"/>
        </w:rPr>
        <w:t xml:space="preserve">. </w:t>
      </w:r>
      <w:r w:rsidR="00F07010" w:rsidRPr="001F313E">
        <w:rPr>
          <w:i/>
          <w:lang w:val="fr-CA"/>
        </w:rPr>
        <w:t>La Reine</w:t>
      </w:r>
      <w:r w:rsidR="005E11F8" w:rsidRPr="001F313E">
        <w:rPr>
          <w:lang w:val="fr-CA"/>
        </w:rPr>
        <w:t xml:space="preserve">, [1985] 1 </w:t>
      </w:r>
      <w:r w:rsidR="00F07010" w:rsidRPr="001F313E">
        <w:rPr>
          <w:lang w:val="fr-CA"/>
        </w:rPr>
        <w:t xml:space="preserve">R.C.S. </w:t>
      </w:r>
      <w:r w:rsidR="005E11F8" w:rsidRPr="001F313E">
        <w:rPr>
          <w:lang w:val="fr-CA"/>
        </w:rPr>
        <w:t xml:space="preserve">39; </w:t>
      </w:r>
      <w:r w:rsidR="00F07010" w:rsidRPr="001F313E">
        <w:rPr>
          <w:i/>
          <w:iCs/>
          <w:lang w:val="fr-CA"/>
        </w:rPr>
        <w:t>Jones c</w:t>
      </w:r>
      <w:r w:rsidR="005E11F8" w:rsidRPr="001F313E">
        <w:rPr>
          <w:i/>
          <w:iCs/>
          <w:lang w:val="fr-CA"/>
        </w:rPr>
        <w:t>.</w:t>
      </w:r>
      <w:r w:rsidR="005E11F8" w:rsidRPr="001F313E">
        <w:rPr>
          <w:lang w:val="fr-CA"/>
        </w:rPr>
        <w:t xml:space="preserve"> </w:t>
      </w:r>
      <w:r w:rsidR="005E11F8" w:rsidRPr="001F313E">
        <w:rPr>
          <w:i/>
          <w:iCs/>
          <w:lang w:val="fr-CA"/>
        </w:rPr>
        <w:t>National Coal Board</w:t>
      </w:r>
      <w:r w:rsidR="005E11F8" w:rsidRPr="001F313E">
        <w:rPr>
          <w:lang w:val="fr-CA"/>
        </w:rPr>
        <w:t xml:space="preserve">, [1957] 2 All E.R. 155; </w:t>
      </w:r>
      <w:r w:rsidR="00455DB7" w:rsidRPr="001F313E">
        <w:rPr>
          <w:i/>
          <w:lang w:val="fr-CA"/>
        </w:rPr>
        <w:t>Take and Save Trading CC c</w:t>
      </w:r>
      <w:r w:rsidR="005E11F8" w:rsidRPr="001F313E">
        <w:rPr>
          <w:i/>
          <w:lang w:val="fr-CA"/>
        </w:rPr>
        <w:t>. Standard Bank of SA Ltd.</w:t>
      </w:r>
      <w:r w:rsidR="005E11F8" w:rsidRPr="001F313E">
        <w:rPr>
          <w:lang w:val="fr-CA"/>
        </w:rPr>
        <w:t xml:space="preserve">, 2004 (4) S.A. 1; </w:t>
      </w:r>
      <w:r w:rsidR="005E11F8" w:rsidRPr="001F313E">
        <w:rPr>
          <w:i/>
          <w:lang w:val="fr-CA"/>
        </w:rPr>
        <w:t>South African Commercial Cat</w:t>
      </w:r>
      <w:r w:rsidR="00455DB7" w:rsidRPr="001F313E">
        <w:rPr>
          <w:i/>
          <w:lang w:val="fr-CA"/>
        </w:rPr>
        <w:t>ering and Allied Workers Union c</w:t>
      </w:r>
      <w:r w:rsidR="005E11F8" w:rsidRPr="001F313E">
        <w:rPr>
          <w:i/>
          <w:lang w:val="fr-CA"/>
        </w:rPr>
        <w:t>. Irvin &amp; Johnson Ltd. (Seafoods Division Fish Processing)</w:t>
      </w:r>
      <w:r w:rsidR="005E11F8" w:rsidRPr="001F313E">
        <w:rPr>
          <w:lang w:val="fr-CA"/>
        </w:rPr>
        <w:t xml:space="preserve">, 2000 (3) S.A. 705; </w:t>
      </w:r>
      <w:r w:rsidR="00455DB7" w:rsidRPr="001F313E">
        <w:rPr>
          <w:i/>
          <w:lang w:val="fr-CA"/>
        </w:rPr>
        <w:t>Locabail (U.K.) Ltd. c</w:t>
      </w:r>
      <w:r w:rsidR="005E11F8" w:rsidRPr="001F313E">
        <w:rPr>
          <w:i/>
          <w:lang w:val="fr-CA"/>
        </w:rPr>
        <w:t>. Bayfield Properties Ltd.</w:t>
      </w:r>
      <w:r w:rsidR="005E11F8" w:rsidRPr="001F313E">
        <w:rPr>
          <w:lang w:val="fr-CA"/>
        </w:rPr>
        <w:t xml:space="preserve">, [2000] Q.B. 451; </w:t>
      </w:r>
      <w:r w:rsidR="008410DE" w:rsidRPr="001F313E">
        <w:rPr>
          <w:i/>
          <w:lang w:val="fr-CA"/>
        </w:rPr>
        <w:t xml:space="preserve">Mahe </w:t>
      </w:r>
      <w:r w:rsidR="008410DE" w:rsidRPr="001F313E">
        <w:rPr>
          <w:i/>
          <w:iCs/>
          <w:lang w:val="fr-CA"/>
        </w:rPr>
        <w:t>c. Alberta</w:t>
      </w:r>
      <w:r w:rsidR="008410DE" w:rsidRPr="001F313E">
        <w:rPr>
          <w:lang w:val="fr-CA"/>
        </w:rPr>
        <w:t xml:space="preserve">, [1990] 1 R.C.S. 342; </w:t>
      </w:r>
      <w:r w:rsidR="003615A9" w:rsidRPr="001F313E">
        <w:rPr>
          <w:i/>
          <w:lang w:val="fr-CA"/>
        </w:rPr>
        <w:t>Québec (É</w:t>
      </w:r>
      <w:r w:rsidR="005E11F8" w:rsidRPr="001F313E">
        <w:rPr>
          <w:i/>
          <w:lang w:val="fr-CA"/>
        </w:rPr>
        <w:t>du</w:t>
      </w:r>
      <w:r w:rsidR="00455DB7" w:rsidRPr="001F313E">
        <w:rPr>
          <w:i/>
          <w:lang w:val="fr-CA"/>
        </w:rPr>
        <w:t xml:space="preserve">cation, </w:t>
      </w:r>
      <w:r w:rsidR="003615A9" w:rsidRPr="001F313E">
        <w:rPr>
          <w:i/>
          <w:lang w:val="fr-CA"/>
        </w:rPr>
        <w:t>Loisir</w:t>
      </w:r>
      <w:r w:rsidR="00455DB7" w:rsidRPr="001F313E">
        <w:rPr>
          <w:i/>
          <w:lang w:val="fr-CA"/>
        </w:rPr>
        <w:t xml:space="preserve"> </w:t>
      </w:r>
      <w:r w:rsidR="003615A9" w:rsidRPr="001F313E">
        <w:rPr>
          <w:i/>
          <w:lang w:val="fr-CA"/>
        </w:rPr>
        <w:t>et</w:t>
      </w:r>
      <w:r w:rsidR="00455DB7" w:rsidRPr="001F313E">
        <w:rPr>
          <w:i/>
          <w:lang w:val="fr-CA"/>
        </w:rPr>
        <w:t xml:space="preserve"> Sport) c</w:t>
      </w:r>
      <w:r w:rsidR="005E11F8" w:rsidRPr="001F313E">
        <w:rPr>
          <w:i/>
          <w:lang w:val="fr-CA"/>
        </w:rPr>
        <w:t>. Nguyen</w:t>
      </w:r>
      <w:r w:rsidR="005E11F8" w:rsidRPr="001F313E">
        <w:rPr>
          <w:lang w:val="fr-CA"/>
        </w:rPr>
        <w:t xml:space="preserve">, 2009 </w:t>
      </w:r>
      <w:r w:rsidR="00455DB7" w:rsidRPr="001F313E">
        <w:rPr>
          <w:lang w:val="fr-CA"/>
        </w:rPr>
        <w:t>CSC</w:t>
      </w:r>
      <w:r w:rsidR="005E11F8" w:rsidRPr="001F313E">
        <w:rPr>
          <w:lang w:val="fr-CA"/>
        </w:rPr>
        <w:t xml:space="preserve"> 47, [2009] 3 </w:t>
      </w:r>
      <w:r w:rsidR="003615A9" w:rsidRPr="001F313E">
        <w:rPr>
          <w:lang w:val="fr-CA"/>
        </w:rPr>
        <w:t xml:space="preserve">R.C.S. </w:t>
      </w:r>
      <w:r w:rsidR="005E11F8" w:rsidRPr="001F313E">
        <w:rPr>
          <w:lang w:val="fr-CA"/>
        </w:rPr>
        <w:t xml:space="preserve">208; </w:t>
      </w:r>
      <w:r w:rsidR="00F96CF1" w:rsidRPr="001F313E">
        <w:rPr>
          <w:i/>
          <w:lang w:val="fr-CA"/>
        </w:rPr>
        <w:t>Procureur général du Québec c</w:t>
      </w:r>
      <w:r w:rsidR="005E11F8" w:rsidRPr="001F313E">
        <w:rPr>
          <w:i/>
          <w:lang w:val="fr-CA"/>
        </w:rPr>
        <w:t>. Quebec Association of Protestant School Boards</w:t>
      </w:r>
      <w:r w:rsidR="005E11F8" w:rsidRPr="001F313E">
        <w:rPr>
          <w:lang w:val="fr-CA"/>
        </w:rPr>
        <w:t xml:space="preserve">, [1984] 2 </w:t>
      </w:r>
      <w:r w:rsidR="00C147F2" w:rsidRPr="001F313E">
        <w:rPr>
          <w:lang w:val="fr-CA"/>
        </w:rPr>
        <w:t xml:space="preserve">R.C.S. </w:t>
      </w:r>
      <w:r w:rsidR="005E11F8" w:rsidRPr="001F313E">
        <w:rPr>
          <w:lang w:val="fr-CA"/>
        </w:rPr>
        <w:t xml:space="preserve">66; </w:t>
      </w:r>
      <w:r w:rsidR="00C147F2" w:rsidRPr="001F313E">
        <w:rPr>
          <w:i/>
          <w:lang w:val="fr-CA"/>
        </w:rPr>
        <w:t>Solski (Tuteur de) c. Qué</w:t>
      </w:r>
      <w:r w:rsidR="005E11F8" w:rsidRPr="001F313E">
        <w:rPr>
          <w:i/>
          <w:lang w:val="fr-CA"/>
        </w:rPr>
        <w:t>bec (</w:t>
      </w:r>
      <w:r w:rsidR="00C147F2" w:rsidRPr="001F313E">
        <w:rPr>
          <w:i/>
          <w:lang w:val="fr-CA"/>
        </w:rPr>
        <w:t>Procureur général</w:t>
      </w:r>
      <w:r w:rsidR="005E11F8" w:rsidRPr="001F313E">
        <w:rPr>
          <w:i/>
          <w:lang w:val="fr-CA"/>
        </w:rPr>
        <w:t>)</w:t>
      </w:r>
      <w:r w:rsidR="005E11F8" w:rsidRPr="001F313E">
        <w:rPr>
          <w:lang w:val="fr-CA"/>
        </w:rPr>
        <w:t xml:space="preserve">, 2005 </w:t>
      </w:r>
      <w:r w:rsidR="00C147F2" w:rsidRPr="001F313E">
        <w:rPr>
          <w:lang w:val="fr-CA"/>
        </w:rPr>
        <w:t>CSC</w:t>
      </w:r>
      <w:r w:rsidR="005E11F8" w:rsidRPr="001F313E">
        <w:rPr>
          <w:lang w:val="fr-CA"/>
        </w:rPr>
        <w:t xml:space="preserve"> 14, [2005] 1 </w:t>
      </w:r>
      <w:r w:rsidR="00C147F2" w:rsidRPr="001F313E">
        <w:rPr>
          <w:lang w:val="fr-CA"/>
        </w:rPr>
        <w:t xml:space="preserve">R.C.S. </w:t>
      </w:r>
      <w:r w:rsidR="005E11F8" w:rsidRPr="001F313E">
        <w:rPr>
          <w:lang w:val="fr-CA"/>
        </w:rPr>
        <w:t xml:space="preserve">201; </w:t>
      </w:r>
      <w:r w:rsidR="005E11F8" w:rsidRPr="001F313E">
        <w:rPr>
          <w:i/>
          <w:lang w:val="fr-CA"/>
        </w:rPr>
        <w:t>Conseil scolaire francoph</w:t>
      </w:r>
      <w:r w:rsidR="00C147F2" w:rsidRPr="001F313E">
        <w:rPr>
          <w:i/>
          <w:lang w:val="fr-CA"/>
        </w:rPr>
        <w:t>one de la Colombie</w:t>
      </w:r>
      <w:r w:rsidR="00BB6F2A">
        <w:rPr>
          <w:i/>
          <w:lang w:val="fr-CA"/>
        </w:rPr>
        <w:t>-</w:t>
      </w:r>
      <w:r w:rsidR="00C147F2" w:rsidRPr="001F313E">
        <w:rPr>
          <w:i/>
          <w:lang w:val="fr-CA"/>
        </w:rPr>
        <w:t>Britannique c</w:t>
      </w:r>
      <w:r w:rsidR="005E11F8" w:rsidRPr="001F313E">
        <w:rPr>
          <w:i/>
          <w:lang w:val="fr-CA"/>
        </w:rPr>
        <w:t xml:space="preserve">. </w:t>
      </w:r>
      <w:r w:rsidR="00F50F3C" w:rsidRPr="001F313E">
        <w:rPr>
          <w:i/>
          <w:lang w:val="fr-CA"/>
        </w:rPr>
        <w:t>Colombie</w:t>
      </w:r>
      <w:r w:rsidR="00BB6F2A">
        <w:rPr>
          <w:i/>
          <w:lang w:val="fr-CA"/>
        </w:rPr>
        <w:t>-</w:t>
      </w:r>
      <w:r w:rsidR="00F50F3C" w:rsidRPr="001F313E">
        <w:rPr>
          <w:i/>
          <w:lang w:val="fr-CA"/>
        </w:rPr>
        <w:t>Britannique</w:t>
      </w:r>
      <w:r w:rsidR="005E11F8" w:rsidRPr="001F313E">
        <w:rPr>
          <w:lang w:val="fr-CA"/>
        </w:rPr>
        <w:t xml:space="preserve">, 2013 </w:t>
      </w:r>
      <w:r w:rsidR="005C708B" w:rsidRPr="001F313E">
        <w:rPr>
          <w:lang w:val="fr-CA"/>
        </w:rPr>
        <w:t>CSC</w:t>
      </w:r>
      <w:r w:rsidR="005E11F8" w:rsidRPr="001F313E">
        <w:rPr>
          <w:lang w:val="fr-CA"/>
        </w:rPr>
        <w:t xml:space="preserve"> 42, [2013] 2 </w:t>
      </w:r>
      <w:r w:rsidR="005C708B" w:rsidRPr="001F313E">
        <w:rPr>
          <w:lang w:val="fr-CA"/>
        </w:rPr>
        <w:t xml:space="preserve">R.C.S. </w:t>
      </w:r>
      <w:r w:rsidR="005E11F8" w:rsidRPr="001F313E">
        <w:rPr>
          <w:lang w:val="fr-CA"/>
        </w:rPr>
        <w:t>774.</w:t>
      </w:r>
    </w:p>
    <w:p w:rsidR="004D7D95" w:rsidRPr="001F313E" w:rsidRDefault="004D7D95" w:rsidP="0095762B">
      <w:pPr>
        <w:pStyle w:val="SCCNormalDoubleSpacing"/>
        <w:widowControl w:val="0"/>
        <w:spacing w:after="720" w:line="240" w:lineRule="auto"/>
        <w:rPr>
          <w:b/>
          <w:lang w:val="fr-CA"/>
        </w:rPr>
      </w:pPr>
      <w:r w:rsidRPr="001F313E">
        <w:rPr>
          <w:b/>
          <w:lang w:val="fr-CA"/>
        </w:rPr>
        <w:t>Lois et règlements cités</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Charte canadienne des droits et libertés</w:t>
      </w:r>
      <w:r w:rsidRPr="001F313E">
        <w:rPr>
          <w:lang w:val="fr-CA"/>
        </w:rPr>
        <w:t xml:space="preserve">, </w:t>
      </w:r>
      <w:r w:rsidR="00C25045" w:rsidRPr="001F313E">
        <w:rPr>
          <w:lang w:val="fr-CA"/>
        </w:rPr>
        <w:t>art.</w:t>
      </w:r>
      <w:r w:rsidR="00BB6F2A">
        <w:rPr>
          <w:lang w:val="fr-CA"/>
        </w:rPr>
        <w:t xml:space="preserve"> </w:t>
      </w:r>
      <w:r w:rsidR="00A447FA" w:rsidRPr="001F313E">
        <w:rPr>
          <w:lang w:val="fr-CA"/>
        </w:rPr>
        <w:t>23</w:t>
      </w:r>
      <w:r w:rsidRPr="001F313E">
        <w:rPr>
          <w:lang w:val="fr-CA"/>
        </w:rPr>
        <w:t>.</w:t>
      </w:r>
    </w:p>
    <w:p w:rsidR="00D32B48" w:rsidRPr="001F313E" w:rsidRDefault="00D32B48" w:rsidP="0095762B">
      <w:pPr>
        <w:pStyle w:val="SCCNormalDoubleSpacing"/>
        <w:widowControl w:val="0"/>
        <w:spacing w:after="240" w:line="240" w:lineRule="auto"/>
        <w:ind w:left="539" w:hanging="539"/>
        <w:rPr>
          <w:lang w:val="fr-CA"/>
        </w:rPr>
      </w:pPr>
      <w:r w:rsidRPr="001F313E">
        <w:rPr>
          <w:i/>
        </w:rPr>
        <w:t>French First Language Instruction Regulations</w:t>
      </w:r>
      <w:r w:rsidRPr="001F313E">
        <w:t xml:space="preserve">, P.E.I. Reg. </w:t>
      </w:r>
      <w:r w:rsidRPr="001F313E">
        <w:rPr>
          <w:lang w:val="fr-CA"/>
        </w:rPr>
        <w:t xml:space="preserve">EC480/98, </w:t>
      </w:r>
      <w:r w:rsidR="00C25045" w:rsidRPr="001F313E">
        <w:rPr>
          <w:lang w:val="fr-CA"/>
        </w:rPr>
        <w:t>art.</w:t>
      </w:r>
      <w:r w:rsidR="00BB6F2A">
        <w:rPr>
          <w:lang w:val="fr-CA"/>
        </w:rPr>
        <w:t xml:space="preserve"> </w:t>
      </w:r>
      <w:r w:rsidRPr="001F313E">
        <w:rPr>
          <w:lang w:val="fr-CA"/>
        </w:rPr>
        <w:t>10.</w:t>
      </w:r>
    </w:p>
    <w:p w:rsidR="00D32B48" w:rsidRPr="001F313E" w:rsidRDefault="00D32B48" w:rsidP="0095762B">
      <w:pPr>
        <w:pStyle w:val="SCCNormalDoubleSpacing"/>
        <w:widowControl w:val="0"/>
        <w:spacing w:after="240" w:line="240" w:lineRule="auto"/>
        <w:ind w:left="539" w:hanging="539"/>
        <w:rPr>
          <w:iCs/>
          <w:szCs w:val="24"/>
          <w:shd w:val="clear" w:color="auto" w:fill="FFFFFF" w:themeFill="background1"/>
          <w:lang w:val="fr-CA"/>
        </w:rPr>
      </w:pPr>
      <w:r w:rsidRPr="001F313E">
        <w:rPr>
          <w:i/>
          <w:lang w:val="fr-CA"/>
        </w:rPr>
        <w:t>Loi constitutionnelle de 1867</w:t>
      </w:r>
      <w:r w:rsidRPr="001F313E">
        <w:rPr>
          <w:lang w:val="fr-CA"/>
        </w:rPr>
        <w:t xml:space="preserve">, </w:t>
      </w:r>
      <w:r w:rsidR="00C25045" w:rsidRPr="001F313E">
        <w:rPr>
          <w:lang w:val="fr-CA"/>
        </w:rPr>
        <w:t>art.</w:t>
      </w:r>
      <w:r w:rsidR="00BB6F2A">
        <w:rPr>
          <w:lang w:val="fr-CA"/>
        </w:rPr>
        <w:t xml:space="preserve"> </w:t>
      </w:r>
      <w:r w:rsidR="00A447FA" w:rsidRPr="001F313E">
        <w:rPr>
          <w:lang w:val="fr-CA"/>
        </w:rPr>
        <w:t>93</w:t>
      </w:r>
      <w:r w:rsidRPr="001F313E">
        <w:rPr>
          <w:iCs/>
          <w:szCs w:val="24"/>
          <w:shd w:val="clear" w:color="auto" w:fill="FFFFFF" w:themeFill="background1"/>
          <w:lang w:val="fr-CA"/>
        </w:rPr>
        <w:t>, 93A.</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constitutionnelle de 1982</w:t>
      </w:r>
      <w:r w:rsidRPr="001F313E">
        <w:rPr>
          <w:lang w:val="fr-CA"/>
        </w:rPr>
        <w:t xml:space="preserve">, </w:t>
      </w:r>
      <w:r w:rsidR="00C25045" w:rsidRPr="001F313E">
        <w:rPr>
          <w:lang w:val="fr-CA"/>
        </w:rPr>
        <w:t>art.</w:t>
      </w:r>
      <w:r w:rsidR="00BB6F2A">
        <w:rPr>
          <w:lang w:val="fr-CA"/>
        </w:rPr>
        <w:t xml:space="preserve"> </w:t>
      </w:r>
      <w:r w:rsidRPr="001F313E">
        <w:rPr>
          <w:lang w:val="fr-CA"/>
        </w:rPr>
        <w:t>59.</w:t>
      </w:r>
    </w:p>
    <w:p w:rsidR="00D32B48" w:rsidRPr="001F313E" w:rsidRDefault="00D32B48" w:rsidP="0095762B">
      <w:pPr>
        <w:pStyle w:val="SCCNormalDoubleSpacing"/>
        <w:widowControl w:val="0"/>
        <w:spacing w:after="240" w:line="240" w:lineRule="auto"/>
        <w:ind w:left="539" w:hanging="539"/>
        <w:rPr>
          <w:lang w:val="fr-CA"/>
        </w:rPr>
      </w:pPr>
      <w:r w:rsidRPr="001F313E">
        <w:rPr>
          <w:i/>
          <w:iCs/>
          <w:lang w:val="fr-CA"/>
        </w:rPr>
        <w:t>Loi de 1870 sur le Manitoba</w:t>
      </w:r>
      <w:r w:rsidR="00AF038E" w:rsidRPr="001F313E">
        <w:rPr>
          <w:lang w:val="fr-CA"/>
        </w:rPr>
        <w:t>, S.C. 1870, c.</w:t>
      </w:r>
      <w:r w:rsidR="00BB6F2A">
        <w:rPr>
          <w:lang w:val="fr-CA"/>
        </w:rPr>
        <w:t xml:space="preserve"> </w:t>
      </w:r>
      <w:r w:rsidRPr="001F313E">
        <w:rPr>
          <w:lang w:val="fr-CA"/>
        </w:rPr>
        <w:t>3</w:t>
      </w:r>
      <w:r w:rsidR="00EC2307">
        <w:rPr>
          <w:lang w:val="fr-CA"/>
        </w:rPr>
        <w:t xml:space="preserve"> (reproduite dans L.R.C. 1985, a</w:t>
      </w:r>
      <w:r w:rsidR="00C25045" w:rsidRPr="001F313E">
        <w:rPr>
          <w:lang w:val="fr-CA"/>
        </w:rPr>
        <w:t>pp.</w:t>
      </w:r>
      <w:r w:rsidR="00BB6F2A">
        <w:rPr>
          <w:lang w:val="fr-CA"/>
        </w:rPr>
        <w:t xml:space="preserve"> </w:t>
      </w:r>
      <w:r w:rsidRPr="001F313E">
        <w:rPr>
          <w:lang w:val="fr-CA"/>
        </w:rPr>
        <w:t>II, n</w:t>
      </w:r>
      <w:r w:rsidRPr="001F313E">
        <w:rPr>
          <w:vertAlign w:val="superscript"/>
          <w:lang w:val="fr-CA"/>
        </w:rPr>
        <w:t>o</w:t>
      </w:r>
      <w:r w:rsidR="00BB6F2A">
        <w:rPr>
          <w:lang w:val="fr-CA"/>
        </w:rPr>
        <w:t xml:space="preserve"> </w:t>
      </w:r>
      <w:r w:rsidRPr="001F313E">
        <w:rPr>
          <w:lang w:val="fr-CA"/>
        </w:rPr>
        <w:t xml:space="preserve">8), </w:t>
      </w:r>
      <w:r w:rsidR="00C25045" w:rsidRPr="001F313E">
        <w:rPr>
          <w:lang w:val="fr-CA"/>
        </w:rPr>
        <w:t>art.</w:t>
      </w:r>
      <w:r w:rsidR="00BB6F2A">
        <w:rPr>
          <w:lang w:val="fr-CA"/>
        </w:rPr>
        <w:t xml:space="preserve"> </w:t>
      </w:r>
      <w:r w:rsidRPr="001F313E">
        <w:rPr>
          <w:lang w:val="fr-CA"/>
        </w:rPr>
        <w:t>22.</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de 1995 sur l’éducation</w:t>
      </w:r>
      <w:r w:rsidRPr="001F313E">
        <w:rPr>
          <w:lang w:val="fr-CA"/>
        </w:rPr>
        <w:t xml:space="preserve">, </w:t>
      </w:r>
      <w:r w:rsidR="00AF038E" w:rsidRPr="001F313E">
        <w:rPr>
          <w:lang w:val="fr-CA"/>
        </w:rPr>
        <w:t>L.S. 1995, c.</w:t>
      </w:r>
      <w:r w:rsidR="00BB6F2A">
        <w:rPr>
          <w:lang w:val="fr-CA"/>
        </w:rPr>
        <w:t xml:space="preserve"> </w:t>
      </w:r>
      <w:r w:rsidRPr="001F313E">
        <w:rPr>
          <w:lang w:val="fr-CA"/>
        </w:rPr>
        <w:t>E</w:t>
      </w:r>
      <w:r w:rsidR="00BB6F2A">
        <w:rPr>
          <w:lang w:val="fr-CA"/>
        </w:rPr>
        <w:t>-</w:t>
      </w:r>
      <w:r w:rsidR="0013371F">
        <w:rPr>
          <w:lang w:val="fr-CA"/>
        </w:rPr>
        <w:t>0.</w:t>
      </w:r>
      <w:r w:rsidRPr="001F313E">
        <w:rPr>
          <w:lang w:val="fr-CA"/>
        </w:rPr>
        <w:t xml:space="preserve">2, </w:t>
      </w:r>
      <w:r w:rsidR="00C25045" w:rsidRPr="001F313E">
        <w:rPr>
          <w:lang w:val="fr-CA"/>
        </w:rPr>
        <w:t>art.</w:t>
      </w:r>
      <w:r w:rsidR="00BB6F2A">
        <w:rPr>
          <w:lang w:val="fr-CA"/>
        </w:rPr>
        <w:t xml:space="preserve"> </w:t>
      </w:r>
      <w:r w:rsidRPr="001F313E">
        <w:rPr>
          <w:lang w:val="fr-CA"/>
        </w:rPr>
        <w:t>144.</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lastRenderedPageBreak/>
        <w:t>Loi sur l’accès à l’information et la protection de la vie privée</w:t>
      </w:r>
      <w:r w:rsidRPr="001F313E">
        <w:rPr>
          <w:lang w:val="fr-CA"/>
        </w:rPr>
        <w:t>, L.R</w:t>
      </w:r>
      <w:r w:rsidR="00AF038E" w:rsidRPr="001F313E">
        <w:rPr>
          <w:lang w:val="fr-CA"/>
        </w:rPr>
        <w:t>.Y. 2002, c.</w:t>
      </w:r>
      <w:r w:rsidR="00BB6F2A">
        <w:rPr>
          <w:lang w:val="fr-CA"/>
        </w:rPr>
        <w:t xml:space="preserve"> </w:t>
      </w:r>
      <w:r w:rsidRPr="001F313E">
        <w:rPr>
          <w:lang w:val="fr-CA"/>
        </w:rPr>
        <w:t>1.</w:t>
      </w:r>
    </w:p>
    <w:p w:rsidR="00D32B48" w:rsidRPr="001F313E" w:rsidRDefault="00D32B48" w:rsidP="0095762B">
      <w:pPr>
        <w:pStyle w:val="SCCNormalDoubleSpacing"/>
        <w:widowControl w:val="0"/>
        <w:spacing w:after="240" w:line="240" w:lineRule="auto"/>
        <w:ind w:left="539" w:hanging="539"/>
        <w:rPr>
          <w:lang w:val="fr-CA"/>
        </w:rPr>
      </w:pPr>
      <w:r w:rsidRPr="001F313E">
        <w:rPr>
          <w:i/>
          <w:iCs/>
          <w:lang w:val="fr-CA"/>
        </w:rPr>
        <w:t>Loi sur l’Alberta</w:t>
      </w:r>
      <w:r w:rsidR="00AF038E" w:rsidRPr="001F313E">
        <w:rPr>
          <w:lang w:val="fr-CA"/>
        </w:rPr>
        <w:t>, S.C. 1905, c.</w:t>
      </w:r>
      <w:r w:rsidR="00BB6F2A">
        <w:rPr>
          <w:lang w:val="fr-CA"/>
        </w:rPr>
        <w:t xml:space="preserve"> </w:t>
      </w:r>
      <w:r w:rsidRPr="001F313E">
        <w:rPr>
          <w:lang w:val="fr-CA"/>
        </w:rPr>
        <w:t xml:space="preserve">3 (reproduite dans L.R.C. 1985, </w:t>
      </w:r>
      <w:r w:rsidR="005A4CA6">
        <w:rPr>
          <w:lang w:val="fr-CA"/>
        </w:rPr>
        <w:t>a</w:t>
      </w:r>
      <w:r w:rsidR="00C25045" w:rsidRPr="001F313E">
        <w:rPr>
          <w:lang w:val="fr-CA"/>
        </w:rPr>
        <w:t>pp.</w:t>
      </w:r>
      <w:r w:rsidR="00BB6F2A">
        <w:rPr>
          <w:lang w:val="fr-CA"/>
        </w:rPr>
        <w:t xml:space="preserve"> </w:t>
      </w:r>
      <w:r w:rsidRPr="001F313E">
        <w:rPr>
          <w:lang w:val="fr-CA"/>
        </w:rPr>
        <w:t>II, n</w:t>
      </w:r>
      <w:r w:rsidRPr="001F313E">
        <w:rPr>
          <w:vertAlign w:val="superscript"/>
          <w:lang w:val="fr-CA"/>
        </w:rPr>
        <w:t>o</w:t>
      </w:r>
      <w:r w:rsidR="00BB6F2A">
        <w:rPr>
          <w:lang w:val="fr-CA"/>
        </w:rPr>
        <w:t xml:space="preserve"> </w:t>
      </w:r>
      <w:r w:rsidRPr="001F313E">
        <w:rPr>
          <w:lang w:val="fr-CA"/>
        </w:rPr>
        <w:t xml:space="preserve">20), </w:t>
      </w:r>
      <w:r w:rsidR="00C25045" w:rsidRPr="001F313E">
        <w:rPr>
          <w:lang w:val="fr-CA"/>
        </w:rPr>
        <w:t>art.</w:t>
      </w:r>
      <w:r w:rsidR="00BB6F2A">
        <w:rPr>
          <w:lang w:val="fr-CA"/>
        </w:rPr>
        <w:t xml:space="preserve"> </w:t>
      </w:r>
      <w:r w:rsidRPr="001F313E">
        <w:rPr>
          <w:lang w:val="fr-CA"/>
        </w:rPr>
        <w:t>17.</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l’éducation</w:t>
      </w:r>
      <w:r w:rsidRPr="001F313E">
        <w:rPr>
          <w:lang w:val="fr-CA"/>
        </w:rPr>
        <w:t>, L.R</w:t>
      </w:r>
      <w:r w:rsidR="00AF038E" w:rsidRPr="001F313E">
        <w:rPr>
          <w:lang w:val="fr-CA"/>
        </w:rPr>
        <w:t>.O. 1990, c.</w:t>
      </w:r>
      <w:r w:rsidR="00BB6F2A">
        <w:rPr>
          <w:lang w:val="fr-CA"/>
        </w:rPr>
        <w:t xml:space="preserve"> </w:t>
      </w:r>
      <w:r w:rsidRPr="001F313E">
        <w:rPr>
          <w:lang w:val="fr-CA"/>
        </w:rPr>
        <w:t xml:space="preserve">E.2, </w:t>
      </w:r>
      <w:r w:rsidR="00C25045" w:rsidRPr="001F313E">
        <w:rPr>
          <w:lang w:val="fr-CA"/>
        </w:rPr>
        <w:t>art.</w:t>
      </w:r>
      <w:r w:rsidR="00BB6F2A">
        <w:rPr>
          <w:lang w:val="fr-CA"/>
        </w:rPr>
        <w:t xml:space="preserve"> </w:t>
      </w:r>
      <w:r w:rsidRPr="001F313E">
        <w:rPr>
          <w:lang w:val="fr-CA"/>
        </w:rPr>
        <w:t>293.</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l’éducation</w:t>
      </w:r>
      <w:r w:rsidRPr="001F313E">
        <w:rPr>
          <w:lang w:val="fr-CA"/>
        </w:rPr>
        <w:t>, L.R</w:t>
      </w:r>
      <w:r w:rsidR="00AF038E" w:rsidRPr="001F313E">
        <w:rPr>
          <w:lang w:val="fr-CA"/>
        </w:rPr>
        <w:t>.Y. 2002, c.</w:t>
      </w:r>
      <w:r w:rsidR="00BB6F2A">
        <w:rPr>
          <w:lang w:val="fr-CA"/>
        </w:rPr>
        <w:t xml:space="preserve"> </w:t>
      </w:r>
      <w:r w:rsidRPr="001F313E">
        <w:rPr>
          <w:lang w:val="fr-CA"/>
        </w:rPr>
        <w:t>61.</w:t>
      </w:r>
    </w:p>
    <w:p w:rsidR="00D32B48" w:rsidRPr="001F313E" w:rsidRDefault="00D32B48" w:rsidP="0095762B">
      <w:pPr>
        <w:pStyle w:val="SCCNormalDoubleSpacing"/>
        <w:widowControl w:val="0"/>
        <w:spacing w:after="240" w:line="240" w:lineRule="auto"/>
        <w:ind w:left="539" w:hanging="539"/>
        <w:rPr>
          <w:lang w:val="fr-CA"/>
        </w:rPr>
      </w:pPr>
      <w:r w:rsidRPr="001F313E">
        <w:rPr>
          <w:i/>
          <w:iCs/>
          <w:lang w:val="fr-CA"/>
        </w:rPr>
        <w:t>Loi sur la Saskatchewan</w:t>
      </w:r>
      <w:r w:rsidR="00AF038E" w:rsidRPr="001F313E">
        <w:rPr>
          <w:lang w:val="fr-CA"/>
        </w:rPr>
        <w:t>, S.C. 1905, c.</w:t>
      </w:r>
      <w:r w:rsidR="00BB6F2A">
        <w:rPr>
          <w:lang w:val="fr-CA"/>
        </w:rPr>
        <w:t xml:space="preserve"> </w:t>
      </w:r>
      <w:r w:rsidRPr="001F313E">
        <w:rPr>
          <w:lang w:val="fr-CA"/>
        </w:rPr>
        <w:t>42</w:t>
      </w:r>
      <w:r w:rsidR="005A4CA6">
        <w:rPr>
          <w:lang w:val="fr-CA"/>
        </w:rPr>
        <w:t xml:space="preserve"> (reproduite dans L.R.C. 1985, a</w:t>
      </w:r>
      <w:r w:rsidR="00C25045" w:rsidRPr="001F313E">
        <w:rPr>
          <w:lang w:val="fr-CA"/>
        </w:rPr>
        <w:t>pp.</w:t>
      </w:r>
      <w:r w:rsidR="00BB6F2A">
        <w:rPr>
          <w:lang w:val="fr-CA"/>
        </w:rPr>
        <w:t xml:space="preserve"> </w:t>
      </w:r>
      <w:r w:rsidRPr="001F313E">
        <w:rPr>
          <w:lang w:val="fr-CA"/>
        </w:rPr>
        <w:t>II, n</w:t>
      </w:r>
      <w:r w:rsidRPr="001F313E">
        <w:rPr>
          <w:vertAlign w:val="superscript"/>
          <w:lang w:val="fr-CA"/>
        </w:rPr>
        <w:t>o</w:t>
      </w:r>
      <w:r w:rsidR="00BB6F2A">
        <w:rPr>
          <w:lang w:val="fr-CA"/>
        </w:rPr>
        <w:t xml:space="preserve"> </w:t>
      </w:r>
      <w:r w:rsidRPr="001F313E">
        <w:rPr>
          <w:lang w:val="fr-CA"/>
        </w:rPr>
        <w:t xml:space="preserve">21), </w:t>
      </w:r>
      <w:r w:rsidR="00C25045" w:rsidRPr="001F313E">
        <w:rPr>
          <w:lang w:val="fr-CA"/>
        </w:rPr>
        <w:t>art.</w:t>
      </w:r>
      <w:r w:rsidR="00BB6F2A">
        <w:rPr>
          <w:lang w:val="fr-CA"/>
        </w:rPr>
        <w:t xml:space="preserve"> </w:t>
      </w:r>
      <w:r w:rsidRPr="001F313E">
        <w:rPr>
          <w:lang w:val="fr-CA"/>
        </w:rPr>
        <w:t>17.</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le Nunavut</w:t>
      </w:r>
      <w:r w:rsidRPr="001F313E">
        <w:rPr>
          <w:lang w:val="fr-CA"/>
        </w:rPr>
        <w:t xml:space="preserve">, </w:t>
      </w:r>
      <w:r w:rsidR="00AF038E" w:rsidRPr="001F313E">
        <w:rPr>
          <w:lang w:val="fr-CA"/>
        </w:rPr>
        <w:t>L.C. 1993, c.</w:t>
      </w:r>
      <w:r w:rsidR="00BB6F2A">
        <w:rPr>
          <w:lang w:val="fr-CA"/>
        </w:rPr>
        <w:t xml:space="preserve"> </w:t>
      </w:r>
      <w:r w:rsidRPr="001F313E">
        <w:rPr>
          <w:lang w:val="fr-CA"/>
        </w:rPr>
        <w:t xml:space="preserve">28, </w:t>
      </w:r>
      <w:r w:rsidR="00C25045" w:rsidRPr="001F313E">
        <w:rPr>
          <w:lang w:val="fr-CA"/>
        </w:rPr>
        <w:t>art.</w:t>
      </w:r>
      <w:r w:rsidR="00BB6F2A">
        <w:rPr>
          <w:lang w:val="fr-CA"/>
        </w:rPr>
        <w:t xml:space="preserve"> </w:t>
      </w:r>
      <w:r w:rsidRPr="001F313E">
        <w:rPr>
          <w:lang w:val="fr-CA"/>
        </w:rPr>
        <w:t>23(1)</w:t>
      </w:r>
      <w:r w:rsidRPr="001F313E">
        <w:rPr>
          <w:i/>
          <w:lang w:val="fr-CA"/>
        </w:rPr>
        <w:t>m</w:t>
      </w:r>
      <w:r w:rsidRPr="001F313E">
        <w:rPr>
          <w:lang w:val="fr-CA"/>
        </w:rPr>
        <w:t>).</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le Yukon</w:t>
      </w:r>
      <w:r w:rsidRPr="001F313E">
        <w:rPr>
          <w:lang w:val="fr-CA"/>
        </w:rPr>
        <w:t>, L</w:t>
      </w:r>
      <w:r w:rsidR="00AF038E" w:rsidRPr="001F313E">
        <w:rPr>
          <w:lang w:val="fr-CA"/>
        </w:rPr>
        <w:t>.C. 2002, c.</w:t>
      </w:r>
      <w:r w:rsidR="00BB6F2A">
        <w:rPr>
          <w:lang w:val="fr-CA"/>
        </w:rPr>
        <w:t xml:space="preserve"> </w:t>
      </w:r>
      <w:r w:rsidRPr="001F313E">
        <w:rPr>
          <w:lang w:val="fr-CA"/>
        </w:rPr>
        <w:t xml:space="preserve">7, </w:t>
      </w:r>
      <w:r w:rsidR="00C25045" w:rsidRPr="001F313E">
        <w:rPr>
          <w:lang w:val="fr-CA"/>
        </w:rPr>
        <w:t>art.</w:t>
      </w:r>
      <w:r w:rsidR="00BB6F2A">
        <w:rPr>
          <w:lang w:val="fr-CA"/>
        </w:rPr>
        <w:t xml:space="preserve"> </w:t>
      </w:r>
      <w:r w:rsidRPr="001F313E">
        <w:rPr>
          <w:lang w:val="fr-CA"/>
        </w:rPr>
        <w:t>18(1)</w:t>
      </w:r>
      <w:r w:rsidRPr="001F313E">
        <w:rPr>
          <w:i/>
          <w:lang w:val="fr-CA"/>
        </w:rPr>
        <w:t>o</w:t>
      </w:r>
      <w:r w:rsidRPr="001F313E">
        <w:rPr>
          <w:lang w:val="fr-CA"/>
        </w:rPr>
        <w:t>).</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les écoles publiques</w:t>
      </w:r>
      <w:r w:rsidRPr="001F313E">
        <w:rPr>
          <w:lang w:val="fr-CA"/>
        </w:rPr>
        <w:t xml:space="preserve">, </w:t>
      </w:r>
      <w:r w:rsidR="00AF038E" w:rsidRPr="001F313E">
        <w:rPr>
          <w:lang w:val="fr-CA"/>
        </w:rPr>
        <w:t>L.R.M. 1987, c.</w:t>
      </w:r>
      <w:r w:rsidR="00BB6F2A">
        <w:rPr>
          <w:lang w:val="fr-CA"/>
        </w:rPr>
        <w:t xml:space="preserve"> </w:t>
      </w:r>
      <w:r w:rsidRPr="001F313E">
        <w:rPr>
          <w:lang w:val="fr-CA"/>
        </w:rPr>
        <w:t xml:space="preserve">P250, </w:t>
      </w:r>
      <w:r w:rsidR="00C25045" w:rsidRPr="001F313E">
        <w:rPr>
          <w:lang w:val="fr-CA"/>
        </w:rPr>
        <w:t>art.</w:t>
      </w:r>
      <w:r w:rsidR="00BB6F2A">
        <w:rPr>
          <w:lang w:val="fr-CA"/>
        </w:rPr>
        <w:t xml:space="preserve"> </w:t>
      </w:r>
      <w:r w:rsidR="00B23070" w:rsidRPr="001F313E">
        <w:rPr>
          <w:lang w:val="fr-CA"/>
        </w:rPr>
        <w:t>21.15</w:t>
      </w:r>
      <w:r w:rsidR="00C00E13" w:rsidRPr="001F313E">
        <w:rPr>
          <w:lang w:val="fr-CA"/>
        </w:rPr>
        <w:t>(5)</w:t>
      </w:r>
      <w:r w:rsidRPr="001F313E">
        <w:rPr>
          <w:lang w:val="fr-CA"/>
        </w:rPr>
        <w:t>.</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les langues</w:t>
      </w:r>
      <w:r w:rsidRPr="001F313E">
        <w:rPr>
          <w:lang w:val="fr-CA"/>
        </w:rPr>
        <w:t>, L.R.</w:t>
      </w:r>
      <w:r w:rsidR="00AF038E" w:rsidRPr="001F313E">
        <w:rPr>
          <w:lang w:val="fr-CA"/>
        </w:rPr>
        <w:t>Y. 2002, c.</w:t>
      </w:r>
      <w:r w:rsidR="00BB6F2A">
        <w:rPr>
          <w:lang w:val="fr-CA"/>
        </w:rPr>
        <w:t xml:space="preserve"> </w:t>
      </w:r>
      <w:r w:rsidRPr="001F313E">
        <w:rPr>
          <w:lang w:val="fr-CA"/>
        </w:rPr>
        <w:t xml:space="preserve">133, </w:t>
      </w:r>
      <w:r w:rsidR="00C25045" w:rsidRPr="001F313E">
        <w:rPr>
          <w:lang w:val="fr-CA"/>
        </w:rPr>
        <w:t>art.</w:t>
      </w:r>
      <w:r w:rsidR="00BB6F2A">
        <w:rPr>
          <w:lang w:val="fr-CA"/>
        </w:rPr>
        <w:t xml:space="preserve"> </w:t>
      </w:r>
      <w:r w:rsidRPr="001F313E">
        <w:rPr>
          <w:lang w:val="fr-CA"/>
        </w:rPr>
        <w:t>6.</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Loi sur les Territoires du Nord</w:t>
      </w:r>
      <w:r w:rsidR="00BB6F2A">
        <w:rPr>
          <w:i/>
          <w:lang w:val="fr-CA"/>
        </w:rPr>
        <w:t>-</w:t>
      </w:r>
      <w:r w:rsidRPr="001F313E">
        <w:rPr>
          <w:i/>
          <w:lang w:val="fr-CA"/>
        </w:rPr>
        <w:t>Ouest</w:t>
      </w:r>
      <w:r w:rsidRPr="001F313E">
        <w:rPr>
          <w:lang w:val="fr-CA"/>
        </w:rPr>
        <w:t xml:space="preserve">, L.C. 2014, </w:t>
      </w:r>
      <w:r w:rsidR="00B23070" w:rsidRPr="001F313E">
        <w:rPr>
          <w:lang w:val="fr-CA"/>
        </w:rPr>
        <w:t xml:space="preserve">c. 2 [éd. par la </w:t>
      </w:r>
      <w:r w:rsidR="00FF5A1C" w:rsidRPr="001F313E">
        <w:rPr>
          <w:i/>
          <w:lang w:val="fr-CA"/>
        </w:rPr>
        <w:t>Loi sur le transfert de responsabilités aux Territoires du Nord</w:t>
      </w:r>
      <w:r w:rsidR="00BB6F2A">
        <w:rPr>
          <w:i/>
          <w:lang w:val="fr-CA"/>
        </w:rPr>
        <w:t>-</w:t>
      </w:r>
      <w:r w:rsidR="00FF5A1C" w:rsidRPr="001F313E">
        <w:rPr>
          <w:i/>
          <w:lang w:val="fr-CA"/>
        </w:rPr>
        <w:t>Ouest</w:t>
      </w:r>
      <w:r w:rsidR="00AF038E" w:rsidRPr="001F313E">
        <w:rPr>
          <w:lang w:val="fr-CA"/>
        </w:rPr>
        <w:t>, L.C. 2014, c.</w:t>
      </w:r>
      <w:r w:rsidR="00BB6F2A">
        <w:rPr>
          <w:lang w:val="fr-CA"/>
        </w:rPr>
        <w:t xml:space="preserve"> </w:t>
      </w:r>
      <w:r w:rsidR="00FF5A1C" w:rsidRPr="001F313E">
        <w:rPr>
          <w:lang w:val="fr-CA"/>
        </w:rPr>
        <w:t xml:space="preserve">2, </w:t>
      </w:r>
      <w:r w:rsidR="00C25045" w:rsidRPr="001F313E">
        <w:rPr>
          <w:lang w:val="fr-CA"/>
        </w:rPr>
        <w:t>art.</w:t>
      </w:r>
      <w:r w:rsidR="00BB6F2A">
        <w:rPr>
          <w:lang w:val="fr-CA"/>
        </w:rPr>
        <w:t xml:space="preserve"> </w:t>
      </w:r>
      <w:r w:rsidRPr="001F313E">
        <w:rPr>
          <w:lang w:val="fr-CA"/>
        </w:rPr>
        <w:t>2</w:t>
      </w:r>
      <w:r w:rsidR="00FF5A1C" w:rsidRPr="001F313E">
        <w:rPr>
          <w:lang w:val="fr-CA"/>
        </w:rPr>
        <w:t>]</w:t>
      </w:r>
      <w:r w:rsidRPr="001F313E">
        <w:rPr>
          <w:lang w:val="fr-CA"/>
        </w:rPr>
        <w:t xml:space="preserve">, </w:t>
      </w:r>
      <w:r w:rsidR="00C25045" w:rsidRPr="001F313E">
        <w:rPr>
          <w:lang w:val="fr-CA"/>
        </w:rPr>
        <w:t>art.</w:t>
      </w:r>
      <w:r w:rsidR="00BB6F2A">
        <w:rPr>
          <w:lang w:val="fr-CA"/>
        </w:rPr>
        <w:t xml:space="preserve"> </w:t>
      </w:r>
      <w:r w:rsidRPr="001F313E">
        <w:rPr>
          <w:lang w:val="fr-CA"/>
        </w:rPr>
        <w:t>18(1)</w:t>
      </w:r>
      <w:r w:rsidRPr="001F313E">
        <w:rPr>
          <w:i/>
          <w:lang w:val="fr-CA"/>
        </w:rPr>
        <w:t>o</w:t>
      </w:r>
      <w:r w:rsidRPr="001F313E">
        <w:rPr>
          <w:lang w:val="fr-CA"/>
        </w:rPr>
        <w:t>).</w:t>
      </w:r>
    </w:p>
    <w:p w:rsidR="00D32B48" w:rsidRPr="001F313E" w:rsidRDefault="00D32B48" w:rsidP="0095762B">
      <w:pPr>
        <w:pStyle w:val="SCCNormalDoubleSpacing"/>
        <w:widowControl w:val="0"/>
        <w:spacing w:after="240" w:line="240" w:lineRule="auto"/>
        <w:ind w:left="539" w:hanging="539"/>
        <w:rPr>
          <w:lang w:val="fr-CA"/>
        </w:rPr>
      </w:pPr>
      <w:r w:rsidRPr="001F313E">
        <w:rPr>
          <w:i/>
          <w:iCs/>
          <w:lang w:val="fr-CA"/>
        </w:rPr>
        <w:t>Modification constitutionnelle de 1997 (Québec)</w:t>
      </w:r>
      <w:r w:rsidRPr="001F313E">
        <w:rPr>
          <w:lang w:val="fr-CA"/>
        </w:rPr>
        <w:t>, TR/97</w:t>
      </w:r>
      <w:r w:rsidR="00BB6F2A">
        <w:rPr>
          <w:lang w:val="fr-CA"/>
        </w:rPr>
        <w:t>-</w:t>
      </w:r>
      <w:r w:rsidRPr="001F313E">
        <w:rPr>
          <w:lang w:val="fr-CA"/>
        </w:rPr>
        <w:t>141</w:t>
      </w:r>
      <w:r w:rsidR="00317BC1" w:rsidRPr="001F313E">
        <w:rPr>
          <w:lang w:val="fr-CA"/>
        </w:rPr>
        <w:t xml:space="preserve">, </w:t>
      </w:r>
      <w:r w:rsidR="00C25045" w:rsidRPr="001F313E">
        <w:rPr>
          <w:lang w:val="fr-CA"/>
        </w:rPr>
        <w:t>art.</w:t>
      </w:r>
      <w:r w:rsidR="00BB6F2A">
        <w:rPr>
          <w:lang w:val="fr-CA"/>
        </w:rPr>
        <w:t xml:space="preserve"> </w:t>
      </w:r>
      <w:r w:rsidR="00317BC1" w:rsidRPr="001F313E">
        <w:rPr>
          <w:lang w:val="fr-CA"/>
        </w:rPr>
        <w:t>1</w:t>
      </w:r>
      <w:r w:rsidRPr="001F313E">
        <w:rPr>
          <w:lang w:val="fr-CA"/>
        </w:rPr>
        <w:t xml:space="preserve">. </w:t>
      </w:r>
    </w:p>
    <w:p w:rsidR="00D32B48" w:rsidRPr="001F313E" w:rsidRDefault="00D32B48" w:rsidP="0095762B">
      <w:pPr>
        <w:pStyle w:val="SCCNormalDoubleSpacing"/>
        <w:widowControl w:val="0"/>
        <w:spacing w:after="240" w:line="240" w:lineRule="auto"/>
        <w:ind w:left="539" w:hanging="539"/>
        <w:rPr>
          <w:lang w:val="fr-CA"/>
        </w:rPr>
      </w:pPr>
      <w:r w:rsidRPr="001F313E">
        <w:rPr>
          <w:i/>
          <w:iCs/>
          <w:lang w:val="fr-CA"/>
        </w:rPr>
        <w:t>Modification constitutionnelle de 1998 (Loi sur Terre</w:t>
      </w:r>
      <w:r w:rsidR="00BB6F2A">
        <w:rPr>
          <w:i/>
          <w:iCs/>
          <w:lang w:val="fr-CA"/>
        </w:rPr>
        <w:t>-</w:t>
      </w:r>
      <w:r w:rsidRPr="001F313E">
        <w:rPr>
          <w:i/>
          <w:iCs/>
          <w:lang w:val="fr-CA"/>
        </w:rPr>
        <w:t>Neuve)</w:t>
      </w:r>
      <w:r w:rsidRPr="001F313E">
        <w:rPr>
          <w:lang w:val="fr-CA"/>
        </w:rPr>
        <w:t>, TR/98</w:t>
      </w:r>
      <w:r w:rsidR="00BB6F2A">
        <w:rPr>
          <w:lang w:val="fr-CA"/>
        </w:rPr>
        <w:t>-</w:t>
      </w:r>
      <w:r w:rsidRPr="001F313E">
        <w:rPr>
          <w:lang w:val="fr-CA"/>
        </w:rPr>
        <w:t>25</w:t>
      </w:r>
      <w:r w:rsidR="00317BC1" w:rsidRPr="001F313E">
        <w:rPr>
          <w:lang w:val="fr-CA"/>
        </w:rPr>
        <w:t xml:space="preserve">, </w:t>
      </w:r>
      <w:r w:rsidR="00C25045" w:rsidRPr="001F313E">
        <w:rPr>
          <w:lang w:val="fr-CA"/>
        </w:rPr>
        <w:t>art.</w:t>
      </w:r>
      <w:r w:rsidR="00BB6F2A">
        <w:rPr>
          <w:lang w:val="fr-CA"/>
        </w:rPr>
        <w:t xml:space="preserve"> </w:t>
      </w:r>
      <w:r w:rsidR="00317BC1" w:rsidRPr="001F313E">
        <w:rPr>
          <w:lang w:val="fr-CA"/>
        </w:rPr>
        <w:t>1(2)</w:t>
      </w:r>
      <w:r w:rsidRPr="001F313E">
        <w:rPr>
          <w:lang w:val="fr-CA"/>
        </w:rPr>
        <w:t>.</w:t>
      </w:r>
    </w:p>
    <w:p w:rsidR="00D32B48" w:rsidRPr="001F313E" w:rsidRDefault="00D32B48" w:rsidP="0095762B">
      <w:pPr>
        <w:pStyle w:val="SCCNormalDoubleSpacing"/>
        <w:widowControl w:val="0"/>
        <w:spacing w:after="240" w:line="240" w:lineRule="auto"/>
        <w:ind w:left="539" w:hanging="539"/>
        <w:rPr>
          <w:lang w:val="fr-CA"/>
        </w:rPr>
      </w:pPr>
      <w:r w:rsidRPr="001F313E">
        <w:rPr>
          <w:i/>
          <w:lang w:val="fr-CA"/>
        </w:rPr>
        <w:t>Règlement sur l’instruction en français</w:t>
      </w:r>
      <w:r w:rsidRPr="001F313E">
        <w:rPr>
          <w:lang w:val="fr-CA"/>
        </w:rPr>
        <w:t>, Y.D. 1996/99</w:t>
      </w:r>
      <w:r w:rsidR="00131743" w:rsidRPr="001F313E">
        <w:rPr>
          <w:lang w:val="fr-CA"/>
        </w:rPr>
        <w:t xml:space="preserve">, </w:t>
      </w:r>
      <w:r w:rsidR="00C25045" w:rsidRPr="001F313E">
        <w:rPr>
          <w:lang w:val="fr-CA"/>
        </w:rPr>
        <w:t>art.</w:t>
      </w:r>
      <w:r w:rsidR="00BB6F2A">
        <w:rPr>
          <w:lang w:val="fr-CA"/>
        </w:rPr>
        <w:t xml:space="preserve"> </w:t>
      </w:r>
      <w:r w:rsidR="00131743" w:rsidRPr="001F313E">
        <w:rPr>
          <w:lang w:val="fr-CA"/>
        </w:rPr>
        <w:t>2, 9</w:t>
      </w:r>
      <w:r w:rsidRPr="001F313E">
        <w:rPr>
          <w:lang w:val="fr-CA"/>
        </w:rPr>
        <w:t>.</w:t>
      </w:r>
    </w:p>
    <w:p w:rsidR="00D32B48" w:rsidRPr="001F313E" w:rsidRDefault="00D32B48" w:rsidP="0095762B">
      <w:pPr>
        <w:pStyle w:val="SCCNormalDoubleSpacing"/>
        <w:widowControl w:val="0"/>
        <w:spacing w:after="720" w:line="240" w:lineRule="auto"/>
        <w:ind w:left="540" w:hanging="540"/>
        <w:rPr>
          <w:lang w:val="en-US"/>
        </w:rPr>
      </w:pPr>
      <w:r w:rsidRPr="001F313E">
        <w:rPr>
          <w:i/>
        </w:rPr>
        <w:t>School Act</w:t>
      </w:r>
      <w:r w:rsidRPr="001F313E">
        <w:t>, R.S</w:t>
      </w:r>
      <w:r w:rsidR="00AF038E" w:rsidRPr="001F313E">
        <w:t>.B.C. 1996, c.</w:t>
      </w:r>
      <w:r w:rsidR="00BB6F2A">
        <w:t xml:space="preserve"> </w:t>
      </w:r>
      <w:r w:rsidR="00B23070" w:rsidRPr="001F313E">
        <w:t xml:space="preserve">412, </w:t>
      </w:r>
      <w:r w:rsidR="00C25045" w:rsidRPr="001F313E">
        <w:t>art.</w:t>
      </w:r>
      <w:r w:rsidR="00BB6F2A">
        <w:t xml:space="preserve"> </w:t>
      </w:r>
      <w:r w:rsidR="00B23070" w:rsidRPr="001F313E">
        <w:t>166.24</w:t>
      </w:r>
      <w:r w:rsidRPr="001F313E">
        <w:t>.</w:t>
      </w:r>
    </w:p>
    <w:p w:rsidR="004D7D95" w:rsidRPr="001F313E" w:rsidRDefault="004D7D95" w:rsidP="0095762B">
      <w:pPr>
        <w:pStyle w:val="SCCNormalDoubleSpacing"/>
        <w:widowControl w:val="0"/>
        <w:spacing w:after="720" w:line="240" w:lineRule="auto"/>
        <w:rPr>
          <w:b/>
          <w:lang w:val="fr-CA"/>
        </w:rPr>
      </w:pPr>
      <w:r w:rsidRPr="001F313E">
        <w:rPr>
          <w:b/>
          <w:lang w:val="fr-CA"/>
        </w:rPr>
        <w:t>Doctrine et autres documents cités</w:t>
      </w:r>
    </w:p>
    <w:p w:rsidR="00D32B48" w:rsidRPr="001F313E" w:rsidRDefault="00D32B48" w:rsidP="0095762B">
      <w:pPr>
        <w:pStyle w:val="SCCNormalDoubleSpacing"/>
        <w:widowControl w:val="0"/>
        <w:spacing w:after="240" w:line="240" w:lineRule="auto"/>
        <w:ind w:left="539" w:hanging="539"/>
      </w:pPr>
      <w:r w:rsidRPr="00206038">
        <w:rPr>
          <w:lang w:val="fr-CA"/>
        </w:rPr>
        <w:t xml:space="preserve">Barak, Aharon. </w:t>
      </w:r>
      <w:r w:rsidRPr="001F313E">
        <w:rPr>
          <w:i/>
        </w:rPr>
        <w:t>The Judge in a Democracy</w:t>
      </w:r>
      <w:r w:rsidRPr="001F313E">
        <w:t xml:space="preserve">, Princeton, Princeton University Press, 2006. </w:t>
      </w:r>
    </w:p>
    <w:p w:rsidR="00D32B48" w:rsidRPr="001F313E" w:rsidRDefault="00D32B48" w:rsidP="0095762B">
      <w:pPr>
        <w:pStyle w:val="SCCNormalDoubleSpacing"/>
        <w:widowControl w:val="0"/>
        <w:spacing w:after="240" w:line="240" w:lineRule="auto"/>
        <w:ind w:left="539" w:hanging="539"/>
      </w:pPr>
      <w:r w:rsidRPr="001F313E">
        <w:t xml:space="preserve">Cardozo, Benjamin N. </w:t>
      </w:r>
      <w:r w:rsidRPr="001F313E">
        <w:rPr>
          <w:i/>
        </w:rPr>
        <w:t>The Nature of the Judicial Process</w:t>
      </w:r>
      <w:r w:rsidRPr="001F313E">
        <w:t>, New Haven, Yale University Press, 1921.</w:t>
      </w:r>
    </w:p>
    <w:p w:rsidR="00D32B48" w:rsidRPr="001F313E" w:rsidRDefault="00D32B48" w:rsidP="0095762B">
      <w:pPr>
        <w:pStyle w:val="SCCNormalDoubleSpacing"/>
        <w:widowControl w:val="0"/>
        <w:spacing w:after="240" w:line="240" w:lineRule="auto"/>
        <w:ind w:left="539" w:hanging="539"/>
        <w:rPr>
          <w:lang w:val="fr-CA"/>
        </w:rPr>
      </w:pPr>
      <w:r w:rsidRPr="001F313E">
        <w:rPr>
          <w:lang w:val="fr-CA"/>
        </w:rPr>
        <w:t xml:space="preserve">Conseil canadien de la magistrature. </w:t>
      </w:r>
      <w:r w:rsidRPr="001F313E">
        <w:rPr>
          <w:i/>
          <w:lang w:val="fr-CA"/>
        </w:rPr>
        <w:t>Principes de déontologie judiciaire</w:t>
      </w:r>
      <w:r w:rsidRPr="001F313E">
        <w:rPr>
          <w:lang w:val="fr-CA"/>
        </w:rPr>
        <w:t>,</w:t>
      </w:r>
      <w:r w:rsidRPr="001F313E">
        <w:rPr>
          <w:i/>
          <w:lang w:val="fr-CA"/>
        </w:rPr>
        <w:t xml:space="preserve"> </w:t>
      </w:r>
      <w:r w:rsidRPr="001F313E">
        <w:rPr>
          <w:lang w:val="fr-CA"/>
        </w:rPr>
        <w:t>Ottawa</w:t>
      </w:r>
      <w:r w:rsidR="009B1F55" w:rsidRPr="001F313E">
        <w:rPr>
          <w:lang w:val="fr-CA"/>
        </w:rPr>
        <w:t>, l</w:t>
      </w:r>
      <w:r w:rsidRPr="001F313E">
        <w:rPr>
          <w:lang w:val="fr-CA"/>
        </w:rPr>
        <w:t>e Conseil, 1998.</w:t>
      </w:r>
    </w:p>
    <w:p w:rsidR="00D32B48" w:rsidRPr="001F313E" w:rsidRDefault="00D32B48" w:rsidP="0095762B">
      <w:pPr>
        <w:pStyle w:val="SCCNormalDoubleSpacing"/>
        <w:widowControl w:val="0"/>
        <w:spacing w:after="240" w:line="240" w:lineRule="auto"/>
        <w:ind w:left="539" w:hanging="539"/>
        <w:rPr>
          <w:lang w:val="fr-CA"/>
        </w:rPr>
      </w:pPr>
      <w:r w:rsidRPr="001F313E">
        <w:rPr>
          <w:lang w:val="fr-CA"/>
        </w:rPr>
        <w:t xml:space="preserve">Conseil canadien de la magistrature. </w:t>
      </w:r>
      <w:r w:rsidRPr="001F313E">
        <w:rPr>
          <w:i/>
          <w:lang w:val="fr-CA"/>
        </w:rPr>
        <w:t xml:space="preserve">Propos sur la conduite des juges </w:t>
      </w:r>
      <w:r w:rsidRPr="001F313E">
        <w:rPr>
          <w:lang w:val="fr-CA"/>
        </w:rPr>
        <w:t>(trad. par E.</w:t>
      </w:r>
      <w:r w:rsidR="00BB6F2A">
        <w:rPr>
          <w:lang w:val="fr-CA"/>
        </w:rPr>
        <w:t xml:space="preserve"> </w:t>
      </w:r>
      <w:r w:rsidRPr="001F313E">
        <w:rPr>
          <w:lang w:val="fr-CA"/>
        </w:rPr>
        <w:t>Didier), Cowansville (Qc), Yvon Blais, 1991.</w:t>
      </w:r>
    </w:p>
    <w:p w:rsidR="00004367" w:rsidRPr="001F313E" w:rsidRDefault="00004367" w:rsidP="0095762B">
      <w:pPr>
        <w:pStyle w:val="SCCNormalDoubleSpacing"/>
        <w:widowControl w:val="0"/>
        <w:spacing w:after="240" w:line="240" w:lineRule="auto"/>
        <w:ind w:left="539" w:hanging="539"/>
      </w:pPr>
      <w:r w:rsidRPr="001F313E">
        <w:lastRenderedPageBreak/>
        <w:t xml:space="preserve">Laskin, Bora. </w:t>
      </w:r>
      <w:r w:rsidR="00BB6F2A">
        <w:t>« </w:t>
      </w:r>
      <w:r w:rsidRPr="001F313E">
        <w:t>The Common Law is Alive and Well — And, Well?</w:t>
      </w:r>
      <w:r w:rsidR="00BB6F2A">
        <w:t> »</w:t>
      </w:r>
      <w:r w:rsidRPr="001F313E">
        <w:t xml:space="preserve"> (1975), 9 </w:t>
      </w:r>
      <w:r w:rsidRPr="001F313E">
        <w:rPr>
          <w:i/>
        </w:rPr>
        <w:t>L. Soc’y Gaz.</w:t>
      </w:r>
      <w:r w:rsidRPr="001F313E">
        <w:t xml:space="preserve"> 92.</w:t>
      </w:r>
    </w:p>
    <w:p w:rsidR="00D32B48" w:rsidRPr="001F313E" w:rsidRDefault="00D32B48" w:rsidP="0095762B">
      <w:pPr>
        <w:pStyle w:val="SCCNormalDoubleSpacing"/>
        <w:widowControl w:val="0"/>
        <w:spacing w:after="240" w:line="240" w:lineRule="auto"/>
        <w:ind w:left="539" w:hanging="539"/>
        <w:rPr>
          <w:lang w:val="en-US"/>
        </w:rPr>
      </w:pPr>
      <w:r w:rsidRPr="001F313E">
        <w:t>Minow, Martha.</w:t>
      </w:r>
      <w:r w:rsidRPr="001F313E">
        <w:rPr>
          <w:i/>
          <w:szCs w:val="24"/>
        </w:rPr>
        <w:t xml:space="preserve"> </w:t>
      </w:r>
      <w:r w:rsidR="00BB6F2A">
        <w:rPr>
          <w:szCs w:val="24"/>
        </w:rPr>
        <w:t>« </w:t>
      </w:r>
      <w:r w:rsidRPr="001F313E">
        <w:t>Stripped Down Like a Runner or Enriched by Experience</w:t>
      </w:r>
      <w:r w:rsidR="00BB6F2A">
        <w:t> :</w:t>
      </w:r>
      <w:r w:rsidRPr="001F313E">
        <w:t xml:space="preserve"> Bias and Impartiality of Judges and Jurors</w:t>
      </w:r>
      <w:r w:rsidR="00BB6F2A">
        <w:t> »</w:t>
      </w:r>
      <w:r w:rsidRPr="001F313E">
        <w:t xml:space="preserve"> (1992), 33 </w:t>
      </w:r>
      <w:r w:rsidRPr="001F313E">
        <w:rPr>
          <w:i/>
        </w:rPr>
        <w:t xml:space="preserve">Wm. </w:t>
      </w:r>
      <w:r w:rsidRPr="001F313E">
        <w:rPr>
          <w:i/>
          <w:lang w:val="en-US"/>
        </w:rPr>
        <w:t>&amp; Mary L. Rev</w:t>
      </w:r>
      <w:r w:rsidRPr="001F313E">
        <w:rPr>
          <w:lang w:val="en-US"/>
        </w:rPr>
        <w:t>. 1201.</w:t>
      </w:r>
    </w:p>
    <w:p w:rsidR="00D32B48" w:rsidRPr="001F313E" w:rsidRDefault="00D32B48" w:rsidP="0095762B">
      <w:pPr>
        <w:pStyle w:val="SCCNormalDoubleSpacing"/>
        <w:widowControl w:val="0"/>
        <w:spacing w:after="720" w:line="240" w:lineRule="auto"/>
        <w:ind w:left="539" w:hanging="539"/>
      </w:pPr>
      <w:r w:rsidRPr="001F313E">
        <w:t xml:space="preserve">Webber, Jeremy. </w:t>
      </w:r>
      <w:r w:rsidR="00BB6F2A">
        <w:t>« </w:t>
      </w:r>
      <w:r w:rsidRPr="001F313E">
        <w:t>The Limits to Judges’ Free Speech</w:t>
      </w:r>
      <w:r w:rsidR="00BB6F2A">
        <w:t> :</w:t>
      </w:r>
      <w:r w:rsidRPr="001F313E">
        <w:t xml:space="preserve"> A Comment on the Report of the Committee of Investigation into the Conduct of the Hon. Mr</w:t>
      </w:r>
      <w:r w:rsidR="00BB6F2A">
        <w:t xml:space="preserve"> </w:t>
      </w:r>
      <w:r w:rsidRPr="001F313E">
        <w:t>Justice Berger</w:t>
      </w:r>
      <w:r w:rsidR="00BB6F2A">
        <w:t> »</w:t>
      </w:r>
      <w:r w:rsidRPr="001F313E">
        <w:t xml:space="preserve"> (1984), 29 </w:t>
      </w:r>
      <w:r w:rsidRPr="001F313E">
        <w:rPr>
          <w:i/>
        </w:rPr>
        <w:t>R.D. McGill</w:t>
      </w:r>
      <w:r w:rsidRPr="001F313E">
        <w:t xml:space="preserve"> 369.</w:t>
      </w:r>
    </w:p>
    <w:p w:rsidR="004D7D95" w:rsidRPr="001F313E" w:rsidRDefault="00DE2B40" w:rsidP="0095762B">
      <w:pPr>
        <w:pStyle w:val="SCCNormalDoubleSpacing"/>
        <w:widowControl w:val="0"/>
        <w:spacing w:after="480"/>
        <w:rPr>
          <w:lang w:val="fr-CA"/>
        </w:rPr>
      </w:pPr>
      <w:r w:rsidRPr="001F313E">
        <w:tab/>
      </w:r>
      <w:r w:rsidR="004D7D95" w:rsidRPr="001F313E">
        <w:rPr>
          <w:lang w:val="fr-CA"/>
        </w:rPr>
        <w:t>POURVOI contre un arrêt de la Cour d</w:t>
      </w:r>
      <w:r w:rsidR="00653003" w:rsidRPr="001F313E">
        <w:rPr>
          <w:lang w:val="fr-CA"/>
        </w:rPr>
        <w:t>’</w:t>
      </w:r>
      <w:r w:rsidRPr="001F313E">
        <w:rPr>
          <w:lang w:val="fr-CA"/>
        </w:rPr>
        <w:t xml:space="preserve">appel </w:t>
      </w:r>
      <w:r w:rsidR="004D7D95" w:rsidRPr="001F313E">
        <w:rPr>
          <w:lang w:val="fr-CA"/>
        </w:rPr>
        <w:t>du Yukon</w:t>
      </w:r>
      <w:r w:rsidR="005458A6" w:rsidRPr="001F313E">
        <w:rPr>
          <w:lang w:val="fr-CA"/>
        </w:rPr>
        <w:t xml:space="preserve"> (</w:t>
      </w:r>
      <w:r w:rsidR="00C26C0D" w:rsidRPr="001F313E">
        <w:rPr>
          <w:lang w:val="fr-CA"/>
        </w:rPr>
        <w:t>les juges Groberman, Bennett et MacKenzie)</w:t>
      </w:r>
      <w:r w:rsidR="003D50EF" w:rsidRPr="001F313E">
        <w:rPr>
          <w:lang w:val="fr-CA"/>
        </w:rPr>
        <w:t xml:space="preserve">, </w:t>
      </w:r>
      <w:r w:rsidR="00E8446F" w:rsidRPr="001F313E">
        <w:rPr>
          <w:lang w:val="fr-CA"/>
        </w:rPr>
        <w:t xml:space="preserve">2014 YKCA 4, 351 B.C.A.C. 216, 599 W.A.C. 216, </w:t>
      </w:r>
      <w:r w:rsidR="005A4CA6">
        <w:rPr>
          <w:lang w:val="fr-CA"/>
        </w:rPr>
        <w:t>[2014] Y.J. n</w:t>
      </w:r>
      <w:r w:rsidR="005A4CA6" w:rsidRPr="005A4CA6">
        <w:rPr>
          <w:vertAlign w:val="superscript"/>
          <w:lang w:val="fr-CA"/>
        </w:rPr>
        <w:t>o</w:t>
      </w:r>
      <w:r w:rsidR="005A4CA6">
        <w:rPr>
          <w:lang w:val="fr-CA"/>
        </w:rPr>
        <w:t xml:space="preserve"> 110 (QL), </w:t>
      </w:r>
      <w:r w:rsidR="00E8446F" w:rsidRPr="001F313E">
        <w:rPr>
          <w:lang w:val="fr-CA"/>
        </w:rPr>
        <w:t>2014 CarswellYukon 11</w:t>
      </w:r>
      <w:r w:rsidR="00554C2B" w:rsidRPr="001F313E">
        <w:rPr>
          <w:lang w:val="fr-CA"/>
        </w:rPr>
        <w:t xml:space="preserve"> (WL Can.)</w:t>
      </w:r>
      <w:r w:rsidR="00E8446F" w:rsidRPr="001F313E">
        <w:rPr>
          <w:lang w:val="fr-CA"/>
        </w:rPr>
        <w:t xml:space="preserve">, </w:t>
      </w:r>
      <w:r w:rsidR="003A05DA" w:rsidRPr="001F313E">
        <w:rPr>
          <w:lang w:val="fr-CA"/>
        </w:rPr>
        <w:t xml:space="preserve">qui a </w:t>
      </w:r>
      <w:r w:rsidR="00741133" w:rsidRPr="001F313E">
        <w:rPr>
          <w:lang w:val="fr-CA"/>
        </w:rPr>
        <w:t xml:space="preserve">annulé une décision </w:t>
      </w:r>
      <w:r w:rsidR="00C75D99" w:rsidRPr="001F313E">
        <w:rPr>
          <w:lang w:val="fr-CA"/>
        </w:rPr>
        <w:t xml:space="preserve">du juge Ouellette, 2011 YKSC 57, </w:t>
      </w:r>
      <w:r w:rsidR="00A164FD" w:rsidRPr="001F313E">
        <w:rPr>
          <w:lang w:val="fr-CA"/>
        </w:rPr>
        <w:t xml:space="preserve">[2011] Y.J. </w:t>
      </w:r>
      <w:r w:rsidR="00EA1428" w:rsidRPr="001F313E">
        <w:rPr>
          <w:lang w:val="fr-CA"/>
        </w:rPr>
        <w:t>n</w:t>
      </w:r>
      <w:r w:rsidR="00EA1428" w:rsidRPr="001F313E">
        <w:rPr>
          <w:vertAlign w:val="superscript"/>
          <w:lang w:val="fr-CA"/>
        </w:rPr>
        <w:t>o</w:t>
      </w:r>
      <w:r w:rsidR="00BB6F2A">
        <w:rPr>
          <w:lang w:val="fr-CA"/>
        </w:rPr>
        <w:t xml:space="preserve"> </w:t>
      </w:r>
      <w:r w:rsidR="00A164FD" w:rsidRPr="001F313E">
        <w:rPr>
          <w:lang w:val="fr-CA"/>
        </w:rPr>
        <w:t xml:space="preserve">132 (QL), </w:t>
      </w:r>
      <w:r w:rsidR="00C75D99" w:rsidRPr="001F313E">
        <w:rPr>
          <w:lang w:val="fr-CA"/>
        </w:rPr>
        <w:t>2011 CarswellYukon 6</w:t>
      </w:r>
      <w:r w:rsidR="004A2673">
        <w:rPr>
          <w:lang w:val="fr-CA"/>
        </w:rPr>
        <w:t>4</w:t>
      </w:r>
      <w:r w:rsidR="00554C2B" w:rsidRPr="001F313E">
        <w:rPr>
          <w:lang w:val="fr-CA"/>
        </w:rPr>
        <w:t xml:space="preserve"> (WL Can.)</w:t>
      </w:r>
      <w:r w:rsidR="00C75D99" w:rsidRPr="001F313E">
        <w:rPr>
          <w:lang w:val="fr-CA"/>
        </w:rPr>
        <w:t xml:space="preserve">, et </w:t>
      </w:r>
      <w:r w:rsidR="003A05DA" w:rsidRPr="001F313E">
        <w:rPr>
          <w:lang w:val="fr-CA"/>
        </w:rPr>
        <w:t>ordonné</w:t>
      </w:r>
      <w:r w:rsidR="00C75D99" w:rsidRPr="001F313E">
        <w:rPr>
          <w:lang w:val="fr-CA"/>
        </w:rPr>
        <w:t xml:space="preserve"> la tenue d’un nouveau procès. Pourvoi </w:t>
      </w:r>
      <w:r w:rsidR="00571205" w:rsidRPr="001F313E">
        <w:rPr>
          <w:lang w:val="fr-CA"/>
        </w:rPr>
        <w:t>rejeté en grande partie</w:t>
      </w:r>
      <w:r w:rsidR="00C75D99" w:rsidRPr="001F313E">
        <w:rPr>
          <w:lang w:val="fr-CA"/>
        </w:rPr>
        <w:t>.</w:t>
      </w:r>
      <w:r w:rsidR="00184D58" w:rsidRPr="001F313E">
        <w:rPr>
          <w:lang w:val="fr-CA"/>
        </w:rPr>
        <w:t xml:space="preserve"> </w:t>
      </w:r>
    </w:p>
    <w:p w:rsidR="00080F1F" w:rsidRPr="001F313E" w:rsidRDefault="00975347" w:rsidP="0095762B">
      <w:pPr>
        <w:pStyle w:val="SCCNormalDoubleSpacing"/>
        <w:widowControl w:val="0"/>
        <w:spacing w:after="480"/>
        <w:rPr>
          <w:lang w:val="fr-CA"/>
        </w:rPr>
      </w:pPr>
      <w:r w:rsidRPr="001F313E">
        <w:rPr>
          <w:i/>
          <w:lang w:val="fr-CA"/>
        </w:rPr>
        <w:tab/>
        <w:t>Roger</w:t>
      </w:r>
      <w:r w:rsidR="00BB6F2A">
        <w:rPr>
          <w:i/>
          <w:lang w:val="fr-CA"/>
        </w:rPr>
        <w:t xml:space="preserve"> </w:t>
      </w:r>
      <w:r w:rsidR="005A1113" w:rsidRPr="001F313E">
        <w:rPr>
          <w:i/>
          <w:lang w:val="fr-CA"/>
        </w:rPr>
        <w:t>J.</w:t>
      </w:r>
      <w:r w:rsidR="00BB6F2A">
        <w:rPr>
          <w:i/>
          <w:lang w:val="fr-CA"/>
        </w:rPr>
        <w:t xml:space="preserve"> </w:t>
      </w:r>
      <w:r w:rsidR="005A1113" w:rsidRPr="001F313E">
        <w:rPr>
          <w:i/>
          <w:lang w:val="fr-CA"/>
        </w:rPr>
        <w:t>F. Lepage</w:t>
      </w:r>
      <w:r w:rsidR="005A1113" w:rsidRPr="001F313E">
        <w:rPr>
          <w:lang w:val="fr-CA"/>
        </w:rPr>
        <w:t xml:space="preserve">, </w:t>
      </w:r>
      <w:r w:rsidR="00C25045" w:rsidRPr="001F313E">
        <w:rPr>
          <w:i/>
          <w:lang w:val="fr-CA"/>
        </w:rPr>
        <w:t>Francis</w:t>
      </w:r>
      <w:r w:rsidR="00BB6F2A">
        <w:rPr>
          <w:i/>
          <w:lang w:val="fr-CA"/>
        </w:rPr>
        <w:t xml:space="preserve"> </w:t>
      </w:r>
      <w:r w:rsidR="00C25045" w:rsidRPr="001F313E">
        <w:rPr>
          <w:i/>
          <w:lang w:val="fr-CA"/>
        </w:rPr>
        <w:t xml:space="preserve">P. </w:t>
      </w:r>
      <w:r w:rsidR="005A1113" w:rsidRPr="001F313E">
        <w:rPr>
          <w:i/>
          <w:lang w:val="fr-CA"/>
        </w:rPr>
        <w:t>Poulin</w:t>
      </w:r>
      <w:r w:rsidR="003A05DA" w:rsidRPr="001F313E">
        <w:rPr>
          <w:i/>
          <w:lang w:val="fr-CA"/>
        </w:rPr>
        <w:t xml:space="preserve"> </w:t>
      </w:r>
      <w:r w:rsidR="005A1113" w:rsidRPr="001F313E">
        <w:rPr>
          <w:lang w:val="fr-CA"/>
        </w:rPr>
        <w:t xml:space="preserve">et </w:t>
      </w:r>
      <w:r w:rsidR="005A1113" w:rsidRPr="001F313E">
        <w:rPr>
          <w:i/>
          <w:lang w:val="fr-CA"/>
        </w:rPr>
        <w:t>André Poulin</w:t>
      </w:r>
      <w:r w:rsidR="00BB6F2A">
        <w:rPr>
          <w:i/>
          <w:lang w:val="fr-CA"/>
        </w:rPr>
        <w:t>-</w:t>
      </w:r>
      <w:r w:rsidR="005A1113" w:rsidRPr="001F313E">
        <w:rPr>
          <w:i/>
          <w:lang w:val="fr-CA"/>
        </w:rPr>
        <w:t>Denis</w:t>
      </w:r>
      <w:r w:rsidR="005A1113" w:rsidRPr="001F313E">
        <w:rPr>
          <w:lang w:val="fr-CA"/>
        </w:rPr>
        <w:t>, pour l</w:t>
      </w:r>
      <w:r w:rsidR="00653003" w:rsidRPr="001F313E">
        <w:rPr>
          <w:lang w:val="fr-CA"/>
        </w:rPr>
        <w:t>’</w:t>
      </w:r>
      <w:r w:rsidR="003A05DA" w:rsidRPr="001F313E">
        <w:rPr>
          <w:lang w:val="fr-CA"/>
        </w:rPr>
        <w:t>appelante</w:t>
      </w:r>
      <w:r w:rsidR="005A1113" w:rsidRPr="001F313E">
        <w:rPr>
          <w:lang w:val="fr-CA"/>
        </w:rPr>
        <w:t>.</w:t>
      </w:r>
    </w:p>
    <w:p w:rsidR="00080F1F" w:rsidRPr="001F313E" w:rsidRDefault="005A1113" w:rsidP="0095762B">
      <w:pPr>
        <w:pStyle w:val="SCCNormalDoubleSpacing"/>
        <w:widowControl w:val="0"/>
        <w:spacing w:after="480"/>
        <w:rPr>
          <w:lang w:val="fr-CA"/>
        </w:rPr>
      </w:pPr>
      <w:r w:rsidRPr="001F313E">
        <w:rPr>
          <w:i/>
          <w:lang w:val="fr-CA"/>
        </w:rPr>
        <w:tab/>
        <w:t>François Baril</w:t>
      </w:r>
      <w:r w:rsidR="003A05DA" w:rsidRPr="001F313E">
        <w:rPr>
          <w:lang w:val="fr-CA"/>
        </w:rPr>
        <w:t xml:space="preserve">, </w:t>
      </w:r>
      <w:r w:rsidR="003A05DA" w:rsidRPr="001F313E">
        <w:rPr>
          <w:i/>
          <w:lang w:val="fr-CA"/>
        </w:rPr>
        <w:t>Maxime Faille</w:t>
      </w:r>
      <w:r w:rsidR="003A05DA" w:rsidRPr="001F313E">
        <w:rPr>
          <w:lang w:val="fr-CA"/>
        </w:rPr>
        <w:t xml:space="preserve"> </w:t>
      </w:r>
      <w:r w:rsidRPr="001F313E">
        <w:rPr>
          <w:lang w:val="fr-CA"/>
        </w:rPr>
        <w:t xml:space="preserve">et </w:t>
      </w:r>
      <w:r w:rsidRPr="001F313E">
        <w:rPr>
          <w:i/>
          <w:lang w:val="fr-CA"/>
        </w:rPr>
        <w:t>Mark Pindera</w:t>
      </w:r>
      <w:r w:rsidRPr="001F313E">
        <w:rPr>
          <w:lang w:val="fr-CA"/>
        </w:rPr>
        <w:t>, pour l</w:t>
      </w:r>
      <w:r w:rsidR="00653003" w:rsidRPr="001F313E">
        <w:rPr>
          <w:lang w:val="fr-CA"/>
        </w:rPr>
        <w:t>’</w:t>
      </w:r>
      <w:r w:rsidR="003A05DA" w:rsidRPr="001F313E">
        <w:rPr>
          <w:lang w:val="fr-CA"/>
        </w:rPr>
        <w:t>intimé</w:t>
      </w:r>
      <w:r w:rsidR="0081089C" w:rsidRPr="001F313E">
        <w:rPr>
          <w:lang w:val="fr-CA"/>
        </w:rPr>
        <w:t>e</w:t>
      </w:r>
      <w:r w:rsidRPr="001F313E">
        <w:rPr>
          <w:lang w:val="fr-CA"/>
        </w:rPr>
        <w:t>.</w:t>
      </w:r>
    </w:p>
    <w:p w:rsidR="008B1A6F" w:rsidRPr="001F313E" w:rsidRDefault="005A1113" w:rsidP="0095762B">
      <w:pPr>
        <w:pStyle w:val="SCCNormalDoubleSpacing"/>
        <w:widowControl w:val="0"/>
        <w:spacing w:after="480"/>
        <w:rPr>
          <w:lang w:val="fr-CA"/>
        </w:rPr>
      </w:pPr>
      <w:r w:rsidRPr="001F313E">
        <w:rPr>
          <w:i/>
          <w:lang w:val="fr-CA"/>
        </w:rPr>
        <w:tab/>
      </w:r>
      <w:r w:rsidR="00C25045" w:rsidRPr="001F313E">
        <w:rPr>
          <w:i/>
          <w:lang w:val="fr-CA"/>
        </w:rPr>
        <w:t>Dominique</w:t>
      </w:r>
      <w:r w:rsidR="00BB6F2A">
        <w:rPr>
          <w:i/>
          <w:lang w:val="fr-CA"/>
        </w:rPr>
        <w:t xml:space="preserve"> </w:t>
      </w:r>
      <w:r w:rsidR="008B1A6F" w:rsidRPr="001F313E">
        <w:rPr>
          <w:i/>
          <w:lang w:val="fr-CA"/>
        </w:rPr>
        <w:t>A. Jobin</w:t>
      </w:r>
      <w:r w:rsidR="008B1A6F" w:rsidRPr="001F313E">
        <w:rPr>
          <w:lang w:val="fr-CA"/>
        </w:rPr>
        <w:t>, pour l’intervenant</w:t>
      </w:r>
      <w:r w:rsidR="00C77ED3">
        <w:rPr>
          <w:lang w:val="fr-CA"/>
        </w:rPr>
        <w:t>e la</w:t>
      </w:r>
      <w:r w:rsidR="008B1A6F" w:rsidRPr="001F313E">
        <w:rPr>
          <w:lang w:val="fr-CA"/>
        </w:rPr>
        <w:t xml:space="preserve"> procureur</w:t>
      </w:r>
      <w:r w:rsidR="00C77ED3">
        <w:rPr>
          <w:lang w:val="fr-CA"/>
        </w:rPr>
        <w:t>e</w:t>
      </w:r>
      <w:r w:rsidR="008B1A6F" w:rsidRPr="001F313E">
        <w:rPr>
          <w:lang w:val="fr-CA"/>
        </w:rPr>
        <w:t xml:space="preserve"> général</w:t>
      </w:r>
      <w:r w:rsidR="00C77ED3">
        <w:rPr>
          <w:lang w:val="fr-CA"/>
        </w:rPr>
        <w:t>e</w:t>
      </w:r>
      <w:r w:rsidR="008B1A6F" w:rsidRPr="001F313E">
        <w:rPr>
          <w:lang w:val="fr-CA"/>
        </w:rPr>
        <w:t xml:space="preserve"> du Québec.</w:t>
      </w:r>
    </w:p>
    <w:p w:rsidR="00364B63" w:rsidRPr="001F313E" w:rsidRDefault="008B1A6F" w:rsidP="0095762B">
      <w:pPr>
        <w:pStyle w:val="SCCNormalDoubleSpacing"/>
        <w:widowControl w:val="0"/>
        <w:spacing w:after="480"/>
        <w:rPr>
          <w:lang w:val="fr-CA"/>
        </w:rPr>
      </w:pPr>
      <w:r w:rsidRPr="001F313E">
        <w:rPr>
          <w:lang w:val="fr-CA"/>
        </w:rPr>
        <w:tab/>
      </w:r>
      <w:r w:rsidR="00364B63" w:rsidRPr="001F313E">
        <w:rPr>
          <w:i/>
          <w:lang w:val="fr-CA"/>
        </w:rPr>
        <w:t>Karrie Wolfe</w:t>
      </w:r>
      <w:r w:rsidR="00364B63" w:rsidRPr="001F313E">
        <w:rPr>
          <w:lang w:val="fr-CA"/>
        </w:rPr>
        <w:t>, pour l’intervenant le procureur général de la Colombie</w:t>
      </w:r>
      <w:r w:rsidR="00BB6F2A">
        <w:rPr>
          <w:lang w:val="fr-CA"/>
        </w:rPr>
        <w:t>-</w:t>
      </w:r>
      <w:r w:rsidR="00364B63" w:rsidRPr="001F313E">
        <w:rPr>
          <w:lang w:val="fr-CA"/>
        </w:rPr>
        <w:t>Britannique.</w:t>
      </w:r>
    </w:p>
    <w:p w:rsidR="008B1A6F" w:rsidRPr="001F313E" w:rsidRDefault="00364B63" w:rsidP="0095762B">
      <w:pPr>
        <w:pStyle w:val="SCCNormalDoubleSpacing"/>
        <w:widowControl w:val="0"/>
        <w:spacing w:after="480"/>
        <w:rPr>
          <w:lang w:val="fr-CA"/>
        </w:rPr>
      </w:pPr>
      <w:r w:rsidRPr="001F313E">
        <w:rPr>
          <w:lang w:val="fr-CA"/>
        </w:rPr>
        <w:lastRenderedPageBreak/>
        <w:tab/>
      </w:r>
      <w:r w:rsidR="00C25045" w:rsidRPr="001F313E">
        <w:rPr>
          <w:i/>
          <w:lang w:val="fr-CA"/>
        </w:rPr>
        <w:t>Alan</w:t>
      </w:r>
      <w:r w:rsidR="00BB6F2A">
        <w:rPr>
          <w:i/>
          <w:lang w:val="fr-CA"/>
        </w:rPr>
        <w:t xml:space="preserve"> </w:t>
      </w:r>
      <w:r w:rsidR="005A1113" w:rsidRPr="001F313E">
        <w:rPr>
          <w:i/>
          <w:lang w:val="fr-CA"/>
        </w:rPr>
        <w:t>F. Jacobson</w:t>
      </w:r>
      <w:r w:rsidR="005A1113" w:rsidRPr="001F313E">
        <w:rPr>
          <w:lang w:val="fr-CA"/>
        </w:rPr>
        <w:t xml:space="preserve"> et </w:t>
      </w:r>
      <w:r w:rsidR="00C25045" w:rsidRPr="001F313E">
        <w:rPr>
          <w:i/>
          <w:lang w:val="fr-CA"/>
        </w:rPr>
        <w:t>Barbara</w:t>
      </w:r>
      <w:r w:rsidR="00BB6F2A">
        <w:rPr>
          <w:i/>
          <w:lang w:val="fr-CA"/>
        </w:rPr>
        <w:t xml:space="preserve"> </w:t>
      </w:r>
      <w:r w:rsidR="005A1113" w:rsidRPr="001F313E">
        <w:rPr>
          <w:i/>
          <w:lang w:val="fr-CA"/>
        </w:rPr>
        <w:t>C. Mysko</w:t>
      </w:r>
      <w:r w:rsidR="005A1113" w:rsidRPr="001F313E">
        <w:rPr>
          <w:lang w:val="fr-CA"/>
        </w:rPr>
        <w:t>, pour l</w:t>
      </w:r>
      <w:r w:rsidR="00653003" w:rsidRPr="001F313E">
        <w:rPr>
          <w:lang w:val="fr-CA"/>
        </w:rPr>
        <w:t>’</w:t>
      </w:r>
      <w:r w:rsidR="008B1A6F" w:rsidRPr="001F313E">
        <w:rPr>
          <w:lang w:val="fr-CA"/>
        </w:rPr>
        <w:t>intervenant le</w:t>
      </w:r>
      <w:r w:rsidR="005A1113" w:rsidRPr="001F313E">
        <w:rPr>
          <w:lang w:val="fr-CA"/>
        </w:rPr>
        <w:t xml:space="preserve"> </w:t>
      </w:r>
      <w:r w:rsidR="008B1A6F" w:rsidRPr="001F313E">
        <w:rPr>
          <w:lang w:val="fr-CA"/>
        </w:rPr>
        <w:t>p</w:t>
      </w:r>
      <w:r w:rsidR="005A1113" w:rsidRPr="001F313E">
        <w:rPr>
          <w:lang w:val="fr-CA"/>
        </w:rPr>
        <w:t>rocureur général de la Saskatchewan.</w:t>
      </w:r>
    </w:p>
    <w:p w:rsidR="00080F1F" w:rsidRPr="001F313E" w:rsidRDefault="008B1A6F" w:rsidP="0095762B">
      <w:pPr>
        <w:pStyle w:val="SCCNormalDoubleSpacing"/>
        <w:widowControl w:val="0"/>
        <w:spacing w:after="480"/>
        <w:rPr>
          <w:lang w:val="fr-CA"/>
        </w:rPr>
      </w:pPr>
      <w:r w:rsidRPr="001F313E">
        <w:rPr>
          <w:lang w:val="fr-CA"/>
        </w:rPr>
        <w:tab/>
      </w:r>
      <w:r w:rsidR="005A1113" w:rsidRPr="001F313E">
        <w:rPr>
          <w:i/>
          <w:lang w:val="fr-CA"/>
        </w:rPr>
        <w:t>Guy Régimbald</w:t>
      </w:r>
      <w:r w:rsidR="005A1113" w:rsidRPr="001F313E">
        <w:rPr>
          <w:lang w:val="fr-CA"/>
        </w:rPr>
        <w:t>, pour l</w:t>
      </w:r>
      <w:r w:rsidR="00653003" w:rsidRPr="001F313E">
        <w:rPr>
          <w:lang w:val="fr-CA"/>
        </w:rPr>
        <w:t>’</w:t>
      </w:r>
      <w:r w:rsidR="00121906" w:rsidRPr="001F313E">
        <w:rPr>
          <w:lang w:val="fr-CA"/>
        </w:rPr>
        <w:t>intervenant le p</w:t>
      </w:r>
      <w:r w:rsidR="005A1113" w:rsidRPr="001F313E">
        <w:rPr>
          <w:lang w:val="fr-CA"/>
        </w:rPr>
        <w:t>rocureur général des Territoires du Nord</w:t>
      </w:r>
      <w:r w:rsidR="00BB6F2A">
        <w:rPr>
          <w:lang w:val="fr-CA"/>
        </w:rPr>
        <w:t>-</w:t>
      </w:r>
      <w:r w:rsidR="005A1113" w:rsidRPr="001F313E">
        <w:rPr>
          <w:lang w:val="fr-CA"/>
        </w:rPr>
        <w:t>Ouest.</w:t>
      </w:r>
    </w:p>
    <w:p w:rsidR="00080F1F" w:rsidRPr="001F313E" w:rsidRDefault="005A1113" w:rsidP="0095762B">
      <w:pPr>
        <w:pStyle w:val="SCCNormalDoubleSpacing"/>
        <w:widowControl w:val="0"/>
        <w:spacing w:after="480"/>
        <w:rPr>
          <w:lang w:val="fr-CA"/>
        </w:rPr>
      </w:pPr>
      <w:r w:rsidRPr="001F313E">
        <w:rPr>
          <w:i/>
          <w:lang w:val="fr-CA"/>
        </w:rPr>
        <w:tab/>
        <w:t>Pascale Giguère</w:t>
      </w:r>
      <w:r w:rsidRPr="001F313E">
        <w:rPr>
          <w:lang w:val="fr-CA"/>
        </w:rPr>
        <w:t xml:space="preserve"> et </w:t>
      </w:r>
      <w:r w:rsidRPr="001F313E">
        <w:rPr>
          <w:i/>
          <w:lang w:val="fr-CA"/>
        </w:rPr>
        <w:t>Mathew Croitoru</w:t>
      </w:r>
      <w:r w:rsidRPr="001F313E">
        <w:rPr>
          <w:lang w:val="fr-CA"/>
        </w:rPr>
        <w:t>, pour l</w:t>
      </w:r>
      <w:r w:rsidR="00653003" w:rsidRPr="001F313E">
        <w:rPr>
          <w:lang w:val="fr-CA"/>
        </w:rPr>
        <w:t>’</w:t>
      </w:r>
      <w:r w:rsidR="00121906" w:rsidRPr="001F313E">
        <w:rPr>
          <w:lang w:val="fr-CA"/>
        </w:rPr>
        <w:t>intervenant le c</w:t>
      </w:r>
      <w:r w:rsidRPr="001F313E">
        <w:rPr>
          <w:lang w:val="fr-CA"/>
        </w:rPr>
        <w:t>ommissaire aux langues officielles du Canada.</w:t>
      </w:r>
    </w:p>
    <w:p w:rsidR="00080F1F" w:rsidRPr="001F313E" w:rsidRDefault="005A1113" w:rsidP="0095762B">
      <w:pPr>
        <w:pStyle w:val="SCCNormalDoubleSpacing"/>
        <w:widowControl w:val="0"/>
        <w:spacing w:after="480"/>
        <w:rPr>
          <w:lang w:val="fr-CA"/>
        </w:rPr>
      </w:pPr>
      <w:r w:rsidRPr="001F313E">
        <w:rPr>
          <w:i/>
          <w:lang w:val="fr-CA"/>
        </w:rPr>
        <w:tab/>
      </w:r>
      <w:r w:rsidR="00C25045" w:rsidRPr="001F313E">
        <w:rPr>
          <w:i/>
          <w:lang w:val="fr-CA"/>
        </w:rPr>
        <w:t>Robert</w:t>
      </w:r>
      <w:r w:rsidR="00BB6F2A">
        <w:rPr>
          <w:i/>
          <w:lang w:val="fr-CA"/>
        </w:rPr>
        <w:t xml:space="preserve"> </w:t>
      </w:r>
      <w:r w:rsidR="00024B69" w:rsidRPr="001F313E">
        <w:rPr>
          <w:i/>
          <w:lang w:val="fr-CA"/>
        </w:rPr>
        <w:t>W. Grant</w:t>
      </w:r>
      <w:r w:rsidR="00024B69" w:rsidRPr="0013371F">
        <w:rPr>
          <w:lang w:val="fr-CA"/>
        </w:rPr>
        <w:t>,</w:t>
      </w:r>
      <w:r w:rsidR="00024B69" w:rsidRPr="001F313E">
        <w:rPr>
          <w:i/>
          <w:lang w:val="fr-CA"/>
        </w:rPr>
        <w:t xml:space="preserve"> c.r.</w:t>
      </w:r>
      <w:r w:rsidR="00024B69" w:rsidRPr="0013371F">
        <w:rPr>
          <w:lang w:val="fr-CA"/>
        </w:rPr>
        <w:t xml:space="preserve">, </w:t>
      </w:r>
      <w:r w:rsidR="00024B69" w:rsidRPr="001F313E">
        <w:rPr>
          <w:i/>
          <w:lang w:val="fr-CA"/>
        </w:rPr>
        <w:t>Maxine Vincelette</w:t>
      </w:r>
      <w:r w:rsidR="00024B69" w:rsidRPr="001F313E">
        <w:rPr>
          <w:lang w:val="fr-CA"/>
        </w:rPr>
        <w:t xml:space="preserve"> et </w:t>
      </w:r>
      <w:r w:rsidR="00C25045" w:rsidRPr="001F313E">
        <w:rPr>
          <w:i/>
          <w:lang w:val="fr-CA"/>
        </w:rPr>
        <w:t>David</w:t>
      </w:r>
      <w:r w:rsidR="00BB6F2A">
        <w:rPr>
          <w:i/>
          <w:lang w:val="fr-CA"/>
        </w:rPr>
        <w:t xml:space="preserve"> </w:t>
      </w:r>
      <w:r w:rsidR="00C25045" w:rsidRPr="001F313E">
        <w:rPr>
          <w:i/>
          <w:lang w:val="fr-CA"/>
        </w:rPr>
        <w:t xml:space="preserve">P. </w:t>
      </w:r>
      <w:r w:rsidRPr="001F313E">
        <w:rPr>
          <w:i/>
          <w:lang w:val="fr-CA"/>
        </w:rPr>
        <w:t>Taylor</w:t>
      </w:r>
      <w:r w:rsidR="00024B69" w:rsidRPr="0013371F">
        <w:rPr>
          <w:lang w:val="fr-CA"/>
        </w:rPr>
        <w:t>,</w:t>
      </w:r>
      <w:r w:rsidRPr="001F313E">
        <w:rPr>
          <w:lang w:val="fr-CA"/>
        </w:rPr>
        <w:t xml:space="preserve"> pour l</w:t>
      </w:r>
      <w:r w:rsidR="00024B69" w:rsidRPr="001F313E">
        <w:rPr>
          <w:lang w:val="fr-CA"/>
        </w:rPr>
        <w:t>es intervenants</w:t>
      </w:r>
      <w:r w:rsidRPr="001F313E">
        <w:rPr>
          <w:lang w:val="fr-CA"/>
        </w:rPr>
        <w:t xml:space="preserve"> </w:t>
      </w:r>
      <w:r w:rsidR="00024B69" w:rsidRPr="001F313E">
        <w:rPr>
          <w:lang w:val="fr-CA"/>
        </w:rPr>
        <w:t xml:space="preserve">le </w:t>
      </w:r>
      <w:r w:rsidRPr="001F313E">
        <w:rPr>
          <w:lang w:val="fr-CA"/>
        </w:rPr>
        <w:t>Conseil scolaire francophone de la Colombie</w:t>
      </w:r>
      <w:r w:rsidR="00BB6F2A">
        <w:rPr>
          <w:lang w:val="fr-CA"/>
        </w:rPr>
        <w:t>-</w:t>
      </w:r>
      <w:r w:rsidRPr="001F313E">
        <w:rPr>
          <w:lang w:val="fr-CA"/>
        </w:rPr>
        <w:t>Britannique et la Fédération des parents francophones de Colombie</w:t>
      </w:r>
      <w:r w:rsidR="00BB6F2A">
        <w:rPr>
          <w:lang w:val="fr-CA"/>
        </w:rPr>
        <w:t>-</w:t>
      </w:r>
      <w:r w:rsidRPr="001F313E">
        <w:rPr>
          <w:lang w:val="fr-CA"/>
        </w:rPr>
        <w:t>Britannique.</w:t>
      </w:r>
    </w:p>
    <w:p w:rsidR="00080F1F" w:rsidRPr="001F313E" w:rsidRDefault="005A1113" w:rsidP="0095762B">
      <w:pPr>
        <w:pStyle w:val="SCCNormalDoubleSpacing"/>
        <w:widowControl w:val="0"/>
        <w:spacing w:after="480"/>
        <w:rPr>
          <w:lang w:val="fr-CA"/>
        </w:rPr>
      </w:pPr>
      <w:r w:rsidRPr="001F313E">
        <w:rPr>
          <w:i/>
          <w:lang w:val="fr-CA"/>
        </w:rPr>
        <w:tab/>
        <w:t>Nicolas M. Rouleau</w:t>
      </w:r>
      <w:r w:rsidRPr="001F313E">
        <w:rPr>
          <w:lang w:val="fr-CA"/>
        </w:rPr>
        <w:t xml:space="preserve"> et </w:t>
      </w:r>
      <w:r w:rsidRPr="001F313E">
        <w:rPr>
          <w:i/>
          <w:lang w:val="fr-CA"/>
        </w:rPr>
        <w:t>Sylvain Rouleau</w:t>
      </w:r>
      <w:r w:rsidRPr="001F313E">
        <w:rPr>
          <w:lang w:val="fr-CA"/>
        </w:rPr>
        <w:t>, pour l</w:t>
      </w:r>
      <w:r w:rsidR="00653003" w:rsidRPr="001F313E">
        <w:rPr>
          <w:lang w:val="fr-CA"/>
        </w:rPr>
        <w:t>’</w:t>
      </w:r>
      <w:r w:rsidR="000C683D" w:rsidRPr="001F313E">
        <w:rPr>
          <w:lang w:val="fr-CA"/>
        </w:rPr>
        <w:t>intervenante la</w:t>
      </w:r>
      <w:r w:rsidRPr="001F313E">
        <w:rPr>
          <w:lang w:val="fr-CA"/>
        </w:rPr>
        <w:t xml:space="preserve"> Fédération des parents francophones de l</w:t>
      </w:r>
      <w:r w:rsidR="00653003" w:rsidRPr="001F313E">
        <w:rPr>
          <w:lang w:val="fr-CA"/>
        </w:rPr>
        <w:t>’</w:t>
      </w:r>
      <w:r w:rsidRPr="001F313E">
        <w:rPr>
          <w:lang w:val="fr-CA"/>
        </w:rPr>
        <w:t>Alberta.</w:t>
      </w:r>
    </w:p>
    <w:p w:rsidR="00080F1F" w:rsidRDefault="00C25045" w:rsidP="0095762B">
      <w:pPr>
        <w:pStyle w:val="SCCNormalDoubleSpacing"/>
        <w:widowControl w:val="0"/>
        <w:spacing w:after="480"/>
        <w:rPr>
          <w:lang w:val="fr-CA"/>
        </w:rPr>
      </w:pPr>
      <w:r w:rsidRPr="001F313E">
        <w:rPr>
          <w:i/>
          <w:lang w:val="fr-CA"/>
        </w:rPr>
        <w:tab/>
        <w:t>Mark</w:t>
      </w:r>
      <w:r w:rsidR="00BB6F2A">
        <w:rPr>
          <w:i/>
          <w:lang w:val="fr-CA"/>
        </w:rPr>
        <w:t xml:space="preserve"> </w:t>
      </w:r>
      <w:r w:rsidR="005A1113" w:rsidRPr="001F313E">
        <w:rPr>
          <w:i/>
          <w:lang w:val="fr-CA"/>
        </w:rPr>
        <w:t>C. Power</w:t>
      </w:r>
      <w:r w:rsidR="000C683D" w:rsidRPr="001F313E">
        <w:rPr>
          <w:lang w:val="fr-CA"/>
        </w:rPr>
        <w:t xml:space="preserve"> et </w:t>
      </w:r>
      <w:r w:rsidR="000C683D" w:rsidRPr="001F313E">
        <w:rPr>
          <w:i/>
          <w:lang w:val="fr-CA"/>
        </w:rPr>
        <w:t>Justin Dubois</w:t>
      </w:r>
      <w:r w:rsidR="00241C05" w:rsidRPr="001F313E">
        <w:rPr>
          <w:lang w:val="fr-CA"/>
        </w:rPr>
        <w:t>,</w:t>
      </w:r>
      <w:r w:rsidR="005A1113" w:rsidRPr="001F313E">
        <w:rPr>
          <w:lang w:val="fr-CA"/>
        </w:rPr>
        <w:t xml:space="preserve"> pour l</w:t>
      </w:r>
      <w:r w:rsidR="000C683D" w:rsidRPr="001F313E">
        <w:rPr>
          <w:lang w:val="fr-CA"/>
        </w:rPr>
        <w:t>es intervenantes</w:t>
      </w:r>
      <w:r w:rsidR="005A1113" w:rsidRPr="001F313E">
        <w:rPr>
          <w:lang w:val="fr-CA"/>
        </w:rPr>
        <w:t xml:space="preserve"> </w:t>
      </w:r>
      <w:r w:rsidR="000C683D" w:rsidRPr="001F313E">
        <w:rPr>
          <w:lang w:val="fr-CA"/>
        </w:rPr>
        <w:t xml:space="preserve">la </w:t>
      </w:r>
      <w:r w:rsidR="005A1113" w:rsidRPr="001F313E">
        <w:rPr>
          <w:lang w:val="fr-CA"/>
        </w:rPr>
        <w:t>Fédération nationale des conseils scolaires francophones et la Fédération des communautés francophones et acadienne du Canada.</w:t>
      </w:r>
    </w:p>
    <w:p w:rsidR="0095762B" w:rsidRDefault="0013371F" w:rsidP="0095762B">
      <w:pPr>
        <w:pStyle w:val="SCCNormalDoubleSpacing"/>
        <w:widowControl w:val="0"/>
        <w:spacing w:after="480"/>
        <w:rPr>
          <w:lang w:val="fr-CA"/>
        </w:rPr>
      </w:pPr>
      <w:r>
        <w:rPr>
          <w:lang w:val="fr-CA"/>
        </w:rPr>
        <w:tab/>
        <w:t>Version française du jugement de la Cour rendu par</w:t>
      </w:r>
    </w:p>
    <w:p w:rsidR="0095762B" w:rsidRPr="00285BDD" w:rsidRDefault="0013371F" w:rsidP="0095762B">
      <w:pPr>
        <w:pStyle w:val="ParaNoNdepar-AltN"/>
        <w:widowControl w:val="0"/>
        <w:rPr>
          <w:rFonts w:cs="Times New Roman"/>
          <w:lang w:val="fr-CA"/>
        </w:rPr>
      </w:pPr>
      <w:r w:rsidRPr="0013371F">
        <w:rPr>
          <w:smallCaps/>
          <w:lang w:val="fr-CA"/>
        </w:rPr>
        <w:t>La juge Abella</w:t>
      </w:r>
      <w:r w:rsidRPr="00285BDD">
        <w:rPr>
          <w:lang w:val="fr-CA"/>
        </w:rPr>
        <w:t xml:space="preserve"> — </w:t>
      </w:r>
      <w:r w:rsidR="0095762B" w:rsidRPr="00285BDD">
        <w:rPr>
          <w:rFonts w:cs="Times New Roman"/>
          <w:lang w:val="fr-CA"/>
        </w:rPr>
        <w:t xml:space="preserve">À l’issue d’un procès portant sur des demandes de la Commission scolaire francophone du Yukon concernant les droits à l’instruction dans </w:t>
      </w:r>
      <w:r w:rsidR="0095762B" w:rsidRPr="00285BDD">
        <w:rPr>
          <w:rFonts w:cs="Times New Roman"/>
          <w:lang w:val="fr-CA"/>
        </w:rPr>
        <w:lastRenderedPageBreak/>
        <w:t>la langue de la minorité, le juge du procès a conclu que le gouvernement du Yukon n’avait pas respecté les obligations que lui imposait l’art.</w:t>
      </w:r>
      <w:r w:rsidR="00BB6F2A">
        <w:rPr>
          <w:rFonts w:cs="Times New Roman"/>
          <w:lang w:val="fr-CA"/>
        </w:rPr>
        <w:t xml:space="preserve"> </w:t>
      </w:r>
      <w:r w:rsidR="0095762B" w:rsidRPr="00285BDD">
        <w:rPr>
          <w:rFonts w:cs="Times New Roman"/>
          <w:lang w:val="fr-CA"/>
        </w:rPr>
        <w:t xml:space="preserve">23 de la </w:t>
      </w:r>
      <w:r w:rsidR="0095762B" w:rsidRPr="00285BDD">
        <w:rPr>
          <w:rFonts w:cs="Times New Roman"/>
          <w:i/>
          <w:lang w:val="fr-CA"/>
        </w:rPr>
        <w:t>Charte canadienne des droits et libertés</w:t>
      </w:r>
      <w:r w:rsidR="0095762B" w:rsidRPr="00285BDD">
        <w:rPr>
          <w:rFonts w:cs="Times New Roman"/>
          <w:lang w:val="fr-CA"/>
        </w:rPr>
        <w:t>. Compte tenu en grande partie du comportement du juge du procès, la Cour</w:t>
      </w:r>
      <w:r w:rsidR="00BB6F2A">
        <w:rPr>
          <w:rFonts w:cs="Times New Roman"/>
          <w:lang w:val="fr-CA"/>
        </w:rPr>
        <w:t xml:space="preserve"> </w:t>
      </w:r>
      <w:r w:rsidR="0095762B" w:rsidRPr="00285BDD">
        <w:rPr>
          <w:rFonts w:cs="Times New Roman"/>
          <w:lang w:val="fr-CA"/>
        </w:rPr>
        <w:t>d’appel a conclu qu’il y avait une crainte raisonnable de partialité et a ordonné la tenue d’un nouveau procès. Ce comportement est au cœur du présent pourvoi.</w:t>
      </w:r>
    </w:p>
    <w:p w:rsidR="0095762B" w:rsidRPr="00285BDD" w:rsidRDefault="0095762B" w:rsidP="0095762B">
      <w:pPr>
        <w:pStyle w:val="Title1LevelTitre1Niveau-AltL"/>
        <w:widowControl w:val="0"/>
        <w:numPr>
          <w:ilvl w:val="0"/>
          <w:numId w:val="0"/>
        </w:numPr>
        <w:rPr>
          <w:lang w:val="fr-CA"/>
        </w:rPr>
      </w:pPr>
      <w:r w:rsidRPr="00285BDD">
        <w:rPr>
          <w:lang w:val="fr-CA"/>
        </w:rPr>
        <w:t>Contexte</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La Commission scolaire francophone du Yukon a été créée en 1996. C’est la première et la seule commission scolaire au Yukon. En général, les écoles publiques sont administrées directement par le gouvernement du Yukon en consultation avec les conseils scolaires. Selon la </w:t>
      </w:r>
      <w:r w:rsidRPr="00285BDD">
        <w:rPr>
          <w:rFonts w:cs="Times New Roman"/>
          <w:i/>
          <w:lang w:val="fr-CA"/>
        </w:rPr>
        <w:t>Loi sur l’éducation</w:t>
      </w:r>
      <w:r w:rsidRPr="00285BDD">
        <w:rPr>
          <w:rFonts w:cs="Times New Roman"/>
          <w:lang w:val="fr-CA"/>
        </w:rPr>
        <w:t>, L.R.Y. 2002, c.</w:t>
      </w:r>
      <w:r w:rsidR="00BB6F2A">
        <w:rPr>
          <w:rFonts w:cs="Times New Roman"/>
          <w:lang w:val="fr-CA"/>
        </w:rPr>
        <w:t xml:space="preserve"> </w:t>
      </w:r>
      <w:r w:rsidRPr="00285BDD">
        <w:rPr>
          <w:rFonts w:cs="Times New Roman"/>
          <w:lang w:val="fr-CA"/>
        </w:rPr>
        <w:t>61, les commissions scolaires ont beaucoup plus de pouvoirs que les conseils scolaires. La Commission scolaire francophone du Yukon ne gère qu’une seule école, l’école Émilie</w:t>
      </w:r>
      <w:r w:rsidR="00BB6F2A">
        <w:rPr>
          <w:rFonts w:cs="Times New Roman"/>
          <w:lang w:val="fr-CA"/>
        </w:rPr>
        <w:t>-</w:t>
      </w:r>
      <w:r w:rsidRPr="00285BDD">
        <w:rPr>
          <w:rFonts w:cs="Times New Roman"/>
          <w:lang w:val="fr-CA"/>
        </w:rPr>
        <w:t>Tremblay, une école de langue française fondée en</w:t>
      </w:r>
      <w:r w:rsidR="00BB6F2A">
        <w:rPr>
          <w:rFonts w:cs="Times New Roman"/>
          <w:lang w:val="fr-CA"/>
        </w:rPr>
        <w:t xml:space="preserve"> </w:t>
      </w:r>
      <w:r w:rsidRPr="00285BDD">
        <w:rPr>
          <w:rFonts w:cs="Times New Roman"/>
          <w:lang w:val="fr-CA"/>
        </w:rPr>
        <w:t>1984.</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En 2009, la Commission a intenté une poursuite contre le gouvernement du Yukon pour ce qui, selon elle, constituait des failles dans la prestation de l’instruction dans la langue de la minorité. Le procès s’est déroulé en deux volets. Plusieurs incidents survenus durant le procès ont ouvert la voie à l’allégation de partialité faite en Cour d’appel. Il convient de noter que, même durant le procès, le Yukon craignait que le juge du procès ne soit partial et a présenté une requête en récusation au motif que des commentaires et décisions du juge du procès ainsi que </w:t>
      </w:r>
      <w:r w:rsidRPr="00285BDD">
        <w:rPr>
          <w:rFonts w:cs="Times New Roman"/>
          <w:lang w:val="fr-CA"/>
        </w:rPr>
        <w:lastRenderedPageBreak/>
        <w:t>son engagement dans la communauté francophone de l’Alberta tant avant que pendant la période où il était juge suscitaient une crainte raisonnable de partialité. Le juge du procès a rejeté la requête, concluant que bon nombre des actes que lui reprochait le Yukon étaient de nature procédurale et touchaient des décisions discrétionnaires. Il a également conclu que son engagement dans la communauté francophone ne créait aucune crainte raisonnable de partialité et a fait remarquer que l’avocat du Yukon n’avait pas soulevé la question au moment où l’affaire lui avait été confiée, ni plus tôt durant l’instance.</w:t>
      </w:r>
    </w:p>
    <w:p w:rsidR="0095762B" w:rsidRPr="00285BDD" w:rsidRDefault="0095762B" w:rsidP="0095762B">
      <w:pPr>
        <w:pStyle w:val="ParaNoNdepar-AltN"/>
        <w:widowControl w:val="0"/>
        <w:rPr>
          <w:rFonts w:cs="Times New Roman"/>
          <w:lang w:val="fr-CA"/>
        </w:rPr>
      </w:pPr>
      <w:r w:rsidRPr="00285BDD">
        <w:rPr>
          <w:rFonts w:cs="Times New Roman"/>
          <w:lang w:val="fr-CA"/>
        </w:rPr>
        <w:t>La décision du juge du procès sur le fond abordait plusieurs points, dont seulement deux demeurent pertinents en l’espèce. Il a conclu que le Yukon n’avait pas accordé à la Commission le niveau suffisant de gestion et de contrôle à l’égard de l’instruction en français conformément à l’art.</w:t>
      </w:r>
      <w:r w:rsidR="00BB6F2A">
        <w:rPr>
          <w:rFonts w:cs="Times New Roman"/>
          <w:lang w:val="fr-CA"/>
        </w:rPr>
        <w:t xml:space="preserve"> </w:t>
      </w:r>
      <w:r w:rsidRPr="00285BDD">
        <w:rPr>
          <w:rFonts w:cs="Times New Roman"/>
          <w:lang w:val="fr-CA"/>
        </w:rPr>
        <w:t xml:space="preserve">23 de la </w:t>
      </w:r>
      <w:r w:rsidRPr="00285BDD">
        <w:rPr>
          <w:rFonts w:cs="Times New Roman"/>
          <w:i/>
          <w:lang w:val="fr-CA"/>
        </w:rPr>
        <w:t>Charte</w:t>
      </w:r>
      <w:r w:rsidRPr="00285BDD">
        <w:rPr>
          <w:rFonts w:cs="Times New Roman"/>
          <w:lang w:val="fr-CA"/>
        </w:rPr>
        <w:t xml:space="preserve"> et à la </w:t>
      </w:r>
      <w:r w:rsidRPr="00285BDD">
        <w:rPr>
          <w:rFonts w:cs="Times New Roman"/>
          <w:i/>
          <w:lang w:val="fr-CA"/>
        </w:rPr>
        <w:t>Loi sur l’éducation</w:t>
      </w:r>
      <w:r w:rsidRPr="00285BDD">
        <w:rPr>
          <w:rFonts w:cs="Times New Roman"/>
          <w:lang w:val="fr-CA"/>
        </w:rPr>
        <w:t>, et que la Commission avait le pouvoir de choisir les élèves qui seraient admis à l’école de langue française, y compris ceux qui ne sont pas expressément visés par l’art.</w:t>
      </w:r>
      <w:r w:rsidR="00BB6F2A">
        <w:rPr>
          <w:rFonts w:cs="Times New Roman"/>
          <w:lang w:val="fr-CA"/>
        </w:rPr>
        <w:t xml:space="preserve"> </w:t>
      </w:r>
      <w:r w:rsidRPr="00285BDD">
        <w:rPr>
          <w:rFonts w:cs="Times New Roman"/>
          <w:lang w:val="fr-CA"/>
        </w:rPr>
        <w:t xml:space="preserve">23 de la </w:t>
      </w:r>
      <w:r w:rsidRPr="00285BDD">
        <w:rPr>
          <w:rFonts w:cs="Times New Roman"/>
          <w:i/>
          <w:lang w:val="fr-CA"/>
        </w:rPr>
        <w:t>Charte</w:t>
      </w:r>
      <w:r w:rsidRPr="00285BDD">
        <w:rPr>
          <w:rFonts w:cs="Times New Roman"/>
          <w:lang w:val="fr-CA"/>
        </w:rPr>
        <w:t>. Il a également ordonné au Yukon de communiquer avec la Commission en français et de lui fournir des services dans cette langue, conformément à l’art.</w:t>
      </w:r>
      <w:r w:rsidR="00BB6F2A">
        <w:rPr>
          <w:rFonts w:cs="Times New Roman"/>
          <w:lang w:val="fr-CA"/>
        </w:rPr>
        <w:t xml:space="preserve"> </w:t>
      </w:r>
      <w:r w:rsidRPr="00285BDD">
        <w:rPr>
          <w:rFonts w:cs="Times New Roman"/>
          <w:lang w:val="fr-CA"/>
        </w:rPr>
        <w:t xml:space="preserve">6 de la </w:t>
      </w:r>
      <w:r w:rsidRPr="00285BDD">
        <w:rPr>
          <w:rFonts w:cs="Times New Roman"/>
          <w:i/>
          <w:lang w:val="fr-CA"/>
        </w:rPr>
        <w:t>Loi sur les langues</w:t>
      </w:r>
      <w:r w:rsidRPr="00285BDD">
        <w:rPr>
          <w:rFonts w:cs="Times New Roman"/>
          <w:lang w:val="fr-CA"/>
        </w:rPr>
        <w:t>, L.R.Y. 2002, c.</w:t>
      </w:r>
      <w:r w:rsidR="00BB6F2A">
        <w:rPr>
          <w:rFonts w:cs="Times New Roman"/>
          <w:lang w:val="fr-CA"/>
        </w:rPr>
        <w:t xml:space="preserve"> </w:t>
      </w:r>
      <w:r w:rsidRPr="00285BDD">
        <w:rPr>
          <w:rFonts w:cs="Times New Roman"/>
          <w:lang w:val="fr-CA"/>
        </w:rPr>
        <w:t>133. Le gouvernement du Yukon a interjeté appel de cette décision.</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En appel, la Cour d’appel a indiqué qu’une crainte de partialité peut découler soit des propos ou des actes d’un juge au cours d’une audience, soit d’une preuve extrinsèque démontrant que le juge, selon toute probabilité, a des </w:t>
      </w:r>
      <w:r w:rsidRPr="00285BDD">
        <w:rPr>
          <w:rFonts w:cs="Times New Roman"/>
          <w:lang w:val="fr-CA"/>
        </w:rPr>
        <w:lastRenderedPageBreak/>
        <w:t>prédispositions profondes qui l’empêchent d’examiner avec impartialité les questions dont il est saisi. Après avoir lu la transcription du procès et les décisions écrites du juge du procès, la Cour d’appel a conclu qu’étant donné certains incidents et l’engagement du juge du procès dans la communauté francophone, le critère applicable pour conclure à l’existence d’une crainte raisonnable de partialité avait été satisfait. Elle a fait état de nombreuses situations problématiques survenues pendant le procès.</w:t>
      </w:r>
    </w:p>
    <w:p w:rsidR="0095762B" w:rsidRPr="00285BDD" w:rsidRDefault="0095762B" w:rsidP="0095762B">
      <w:pPr>
        <w:pStyle w:val="ParaNoNdepar-AltN"/>
        <w:widowControl w:val="0"/>
        <w:rPr>
          <w:rFonts w:cs="Times New Roman"/>
          <w:lang w:val="fr-CA"/>
        </w:rPr>
      </w:pPr>
      <w:r w:rsidRPr="00285BDD">
        <w:rPr>
          <w:rFonts w:cs="Times New Roman"/>
          <w:lang w:val="fr-CA"/>
        </w:rPr>
        <w:t>La première concernait un incident relatif à la confidentialité des dossiers d’élèves. À un moment donné durant le procès, l’avocat du Yukon, à l’aide de renseignements contenus dans les dossiers d’élèves, a tenté de contre</w:t>
      </w:r>
      <w:r w:rsidR="00BB6F2A">
        <w:rPr>
          <w:rFonts w:cs="Times New Roman"/>
          <w:lang w:val="fr-CA"/>
        </w:rPr>
        <w:t>-</w:t>
      </w:r>
      <w:r w:rsidRPr="00285BDD">
        <w:rPr>
          <w:rFonts w:cs="Times New Roman"/>
          <w:lang w:val="fr-CA"/>
        </w:rPr>
        <w:t>interroger un parent qui avait témoigné que ses enfants avaient quitté l’école de langue française car celle</w:t>
      </w:r>
      <w:r w:rsidR="00BB6F2A">
        <w:rPr>
          <w:rFonts w:cs="Times New Roman"/>
          <w:lang w:val="fr-CA"/>
        </w:rPr>
        <w:t>-</w:t>
      </w:r>
      <w:r w:rsidRPr="00285BDD">
        <w:rPr>
          <w:rFonts w:cs="Times New Roman"/>
          <w:lang w:val="fr-CA"/>
        </w:rPr>
        <w:t>ci manquait de ressources pour répondre aux besoins spéciaux. L’avocat de la Commission s’y est opposé, faisant notamment valoir que les dossiers étaient confidentiels.</w:t>
      </w:r>
    </w:p>
    <w:p w:rsidR="0095762B" w:rsidRPr="00285BDD" w:rsidRDefault="0095762B" w:rsidP="0095762B">
      <w:pPr>
        <w:pStyle w:val="ParaNoNdepar-AltN"/>
        <w:widowControl w:val="0"/>
        <w:rPr>
          <w:rFonts w:cs="Times New Roman"/>
          <w:lang w:val="fr-CA"/>
        </w:rPr>
      </w:pPr>
      <w:r w:rsidRPr="00285BDD">
        <w:rPr>
          <w:rFonts w:cs="Times New Roman"/>
          <w:lang w:val="fr-CA"/>
        </w:rPr>
        <w:t>Le juge du procès a entendu des observations générales sur la question et s’est dit préoccupé par la possibilité que le Yukon ait manqué à ses obligations de confidentialité en communiquant les dossiers à son avocat. Il a toutefois indiqué que la question était très importante et qu’il entendrait d’autres arguments le lendemain matin. Le matin suivant, plutôt que d’inviter les avocats à présenter d’autres observations, le juge du procès a immédiatement ouvert l’audience en décidant que, par sa communication des dossiers, le Yukon avait semble</w:t>
      </w:r>
      <w:r w:rsidR="00BB6F2A">
        <w:rPr>
          <w:rFonts w:cs="Times New Roman"/>
          <w:lang w:val="fr-CA"/>
        </w:rPr>
        <w:t>-</w:t>
      </w:r>
      <w:r w:rsidRPr="00285BDD">
        <w:rPr>
          <w:rFonts w:cs="Times New Roman"/>
          <w:lang w:val="fr-CA"/>
        </w:rPr>
        <w:t>t</w:t>
      </w:r>
      <w:r w:rsidR="00BB6F2A">
        <w:rPr>
          <w:rFonts w:cs="Times New Roman"/>
          <w:lang w:val="fr-CA"/>
        </w:rPr>
        <w:t>-</w:t>
      </w:r>
      <w:r w:rsidRPr="00285BDD">
        <w:rPr>
          <w:rFonts w:cs="Times New Roman"/>
          <w:lang w:val="fr-CA"/>
        </w:rPr>
        <w:t xml:space="preserve">il violé la </w:t>
      </w:r>
      <w:r w:rsidRPr="00285BDD">
        <w:rPr>
          <w:rFonts w:cs="Times New Roman"/>
          <w:i/>
          <w:lang w:val="fr-CA"/>
        </w:rPr>
        <w:t xml:space="preserve">Loi sur </w:t>
      </w:r>
      <w:r w:rsidRPr="00285BDD">
        <w:rPr>
          <w:rFonts w:cs="Times New Roman"/>
          <w:i/>
          <w:lang w:val="fr-CA"/>
        </w:rPr>
        <w:lastRenderedPageBreak/>
        <w:t>l’éducation</w:t>
      </w:r>
      <w:r w:rsidRPr="00285BDD">
        <w:rPr>
          <w:rFonts w:cs="Times New Roman"/>
          <w:lang w:val="fr-CA"/>
        </w:rPr>
        <w:t xml:space="preserve"> et la </w:t>
      </w:r>
      <w:r w:rsidRPr="00285BDD">
        <w:rPr>
          <w:rFonts w:cs="Times New Roman"/>
          <w:i/>
          <w:lang w:val="fr-CA"/>
        </w:rPr>
        <w:t>Loi sur l’accès à l’information et la protection de la vie privée</w:t>
      </w:r>
      <w:r w:rsidRPr="00285BDD">
        <w:rPr>
          <w:rFonts w:cs="Times New Roman"/>
          <w:lang w:val="fr-CA"/>
        </w:rPr>
        <w:t>, L.R.Y. 2002, c.</w:t>
      </w:r>
      <w:r w:rsidR="00BB6F2A">
        <w:rPr>
          <w:rFonts w:cs="Times New Roman"/>
          <w:lang w:val="fr-CA"/>
        </w:rPr>
        <w:t xml:space="preserve"> </w:t>
      </w:r>
      <w:r w:rsidRPr="00285BDD">
        <w:rPr>
          <w:rFonts w:cs="Times New Roman"/>
          <w:lang w:val="fr-CA"/>
        </w:rPr>
        <w:t xml:space="preserve">1. Aux dires du juge du procès, ce comportement était </w:t>
      </w:r>
      <w:r w:rsidR="00BB6F2A">
        <w:rPr>
          <w:rFonts w:cs="Times New Roman"/>
          <w:lang w:val="fr-CA"/>
        </w:rPr>
        <w:t>« </w:t>
      </w:r>
      <w:r w:rsidRPr="00285BDD">
        <w:rPr>
          <w:rFonts w:cs="Times New Roman"/>
          <w:lang w:val="fr-CA"/>
        </w:rPr>
        <w:t>reprochable et répréhensible</w:t>
      </w:r>
      <w:r w:rsidR="00BB6F2A">
        <w:rPr>
          <w:rFonts w:cs="Times New Roman"/>
          <w:lang w:val="fr-CA"/>
        </w:rPr>
        <w:t> »</w:t>
      </w:r>
      <w:r w:rsidRPr="00285BDD">
        <w:rPr>
          <w:rFonts w:cs="Times New Roman"/>
          <w:lang w:val="fr-CA"/>
        </w:rPr>
        <w:t>.</w:t>
      </w:r>
    </w:p>
    <w:p w:rsidR="0095762B" w:rsidRPr="00285BDD" w:rsidRDefault="0095762B" w:rsidP="0095762B">
      <w:pPr>
        <w:pStyle w:val="ParaNoNdepar-AltN"/>
        <w:widowControl w:val="0"/>
        <w:rPr>
          <w:rFonts w:cs="Times New Roman"/>
          <w:lang w:val="fr-CA"/>
        </w:rPr>
      </w:pPr>
      <w:r w:rsidRPr="00285BDD">
        <w:rPr>
          <w:rFonts w:cs="Times New Roman"/>
          <w:lang w:val="fr-CA"/>
        </w:rPr>
        <w:t>À la suite de cette décision, l’avocat du Yukon, qui souhaitait présenter d’autres arguments sur la question, a rappelé au juge du procès qu’il avait indiqué la veille qu’il entendrait d’autres observations. Le juge du procès a toutefois refusé d’entendre d’autres arguments, demandant plutôt maintes fois à l’avocat s’il avait obtenu le consentement d’utiliser les dossiers. Lorsque l’avocat a rappelé au juge que les parties avaient toutes deux divulgué de nombreux dossiers d’élèves pendant les interrogatoires préalables, le juge du procès l’a accusé de jouer un petit jeu.</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En examinant l’incident, la Cour d’appel a conclu que, même si rien n’expliquait clairement pourquoi le juge du procès avait choisi d’ouvrir l’audience avant d’entendre l’avocat en rendant une décision qui porte à croire que le Yukon avait manqué à ses obligations de confidentialité en communiquant les dossiers, ce comportement ne témoignait pas en soi d’animosité envers le Yukon et son avocat. Mais sa réaction à la tentative ultérieure de l’avocat d’exprimer des préoccupations et de porter à son attention certaines dispositions législatives dont il n’avait pas tenu compte était plus troublante. Selon la Cour d’appel, </w:t>
      </w:r>
      <w:r w:rsidR="00BB6F2A">
        <w:rPr>
          <w:rFonts w:cs="Times New Roman"/>
          <w:lang w:val="fr-CA"/>
        </w:rPr>
        <w:t>« </w:t>
      </w:r>
      <w:r w:rsidRPr="00285BDD">
        <w:rPr>
          <w:rFonts w:cs="Times New Roman"/>
          <w:lang w:val="fr-CA"/>
        </w:rPr>
        <w:t>[i]l semble que les questions ne visaient pas véritablement l’obtention d’information; on dirait plutôt, d’après la transcription, que le juge défiait l’avocat</w:t>
      </w:r>
      <w:r w:rsidR="00245D53">
        <w:rPr>
          <w:rFonts w:cs="Times New Roman"/>
          <w:lang w:val="fr-CA"/>
        </w:rPr>
        <w:t>.</w:t>
      </w:r>
      <w:r w:rsidR="00BB6F2A">
        <w:rPr>
          <w:rFonts w:cs="Times New Roman"/>
          <w:lang w:val="fr-CA"/>
        </w:rPr>
        <w:t> »</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De même, la Cour d’appel a conclu que, quand une autre question </w:t>
      </w:r>
      <w:r w:rsidRPr="00285BDD">
        <w:rPr>
          <w:rFonts w:cs="Times New Roman"/>
          <w:lang w:val="fr-CA"/>
        </w:rPr>
        <w:lastRenderedPageBreak/>
        <w:t>concernant la confidentialité des dossiers d’élèves a été soulevée plus tard au cours du procès, le juge du procès n’était pas fondé à reprocher à l’avocat le manque de conviction et de sincérité de ses observations. De façon plus générale, elle était</w:t>
      </w:r>
      <w:r>
        <w:rPr>
          <w:rFonts w:cs="Times New Roman"/>
          <w:lang w:val="fr-CA"/>
        </w:rPr>
        <w:t xml:space="preserve"> </w:t>
      </w:r>
      <w:r w:rsidRPr="00285BDD">
        <w:rPr>
          <w:rFonts w:cs="Times New Roman"/>
          <w:lang w:val="fr-CA"/>
        </w:rPr>
        <w:t xml:space="preserve">également d’avis que le fait que le juge du procès ait </w:t>
      </w:r>
      <w:r w:rsidR="00BB6F2A">
        <w:rPr>
          <w:rFonts w:cs="Times New Roman"/>
          <w:lang w:val="fr-CA"/>
        </w:rPr>
        <w:t>« </w:t>
      </w:r>
      <w:r w:rsidRPr="00285BDD">
        <w:rPr>
          <w:rFonts w:cs="Times New Roman"/>
          <w:lang w:val="fr-CA"/>
        </w:rPr>
        <w:t>manqué de respect envers l’avocat du [Yukon] à de nombreuses reprises au cours du procès</w:t>
      </w:r>
      <w:r w:rsidR="00BB6F2A">
        <w:rPr>
          <w:rFonts w:cs="Times New Roman"/>
          <w:lang w:val="fr-CA"/>
        </w:rPr>
        <w:t> »</w:t>
      </w:r>
      <w:r w:rsidRPr="00285BDD">
        <w:rPr>
          <w:rFonts w:cs="Times New Roman"/>
          <w:lang w:val="fr-CA"/>
        </w:rPr>
        <w:t xml:space="preserve"> a contribué à la conclusion qu’il existait une crainte raisonnable de partialité.</w:t>
      </w:r>
    </w:p>
    <w:p w:rsidR="0095762B" w:rsidRPr="00285BDD" w:rsidRDefault="0095762B" w:rsidP="0095762B">
      <w:pPr>
        <w:pStyle w:val="ParaNoNdepar-AltN"/>
        <w:widowControl w:val="0"/>
        <w:rPr>
          <w:rFonts w:cs="Times New Roman"/>
          <w:lang w:val="fr-CA"/>
        </w:rPr>
      </w:pPr>
      <w:r w:rsidRPr="00285BDD">
        <w:rPr>
          <w:rFonts w:cs="Times New Roman"/>
          <w:lang w:val="fr-CA"/>
        </w:rPr>
        <w:t>Autre rebuffade, la Cour d’appel a estimé que la façon dont le juge du procès avait traité la demande du Yukon en vue de présenter la déposition d’un de ses témoins par voie d’affidavit était injustifiée. Le Yukon prévoyait appeler Gordon</w:t>
      </w:r>
      <w:r w:rsidR="00BB6F2A">
        <w:rPr>
          <w:rFonts w:cs="Times New Roman"/>
          <w:lang w:val="fr-CA"/>
        </w:rPr>
        <w:t xml:space="preserve"> </w:t>
      </w:r>
      <w:r w:rsidRPr="00285BDD">
        <w:rPr>
          <w:rFonts w:cs="Times New Roman"/>
          <w:lang w:val="fr-CA"/>
        </w:rPr>
        <w:t>DeBruyn, un fonctionnaire du ministère de l’Éducation, à témoigner au procès. Toutefois, M.</w:t>
      </w:r>
      <w:r w:rsidR="00BB6F2A">
        <w:rPr>
          <w:rFonts w:cs="Times New Roman"/>
          <w:lang w:val="fr-CA"/>
        </w:rPr>
        <w:t xml:space="preserve"> </w:t>
      </w:r>
      <w:r w:rsidRPr="00285BDD">
        <w:rPr>
          <w:rFonts w:cs="Times New Roman"/>
          <w:lang w:val="fr-CA"/>
        </w:rPr>
        <w:t>DeBruyn a été victime d’un accident vasculaire cérébral (AVC) juste avant l’ouverture du procès. Le juge du procès a refusé d’accorder un ajournement au Yukon et a plutôt décidé de diviser le procès en deux volets et de reporter l’étude des questions liées au témoignage prévu de M.</w:t>
      </w:r>
      <w:r w:rsidR="00BB6F2A">
        <w:rPr>
          <w:rFonts w:cs="Times New Roman"/>
          <w:lang w:val="fr-CA"/>
        </w:rPr>
        <w:t xml:space="preserve"> </w:t>
      </w:r>
      <w:r w:rsidRPr="00285BDD">
        <w:rPr>
          <w:rFonts w:cs="Times New Roman"/>
          <w:lang w:val="fr-CA"/>
        </w:rPr>
        <w:t>DeBruyn au deuxième volet.</w:t>
      </w:r>
    </w:p>
    <w:p w:rsidR="0095762B" w:rsidRPr="00285BDD" w:rsidRDefault="0095762B" w:rsidP="0095762B">
      <w:pPr>
        <w:pStyle w:val="ParaNoNdepar-AltN"/>
        <w:widowControl w:val="0"/>
        <w:rPr>
          <w:rFonts w:cs="Times New Roman"/>
          <w:lang w:val="fr-CA"/>
        </w:rPr>
      </w:pPr>
      <w:r w:rsidRPr="00285BDD">
        <w:rPr>
          <w:rFonts w:cs="Times New Roman"/>
          <w:lang w:val="fr-CA"/>
        </w:rPr>
        <w:t>Peu après le début du second volet du procès, l’avocat du Yukon a informé le juge du procès qu’il demanderait l’autorisation de présenter le témoignage de M.</w:t>
      </w:r>
      <w:r w:rsidR="00BB6F2A">
        <w:rPr>
          <w:rFonts w:cs="Times New Roman"/>
          <w:lang w:val="fr-CA"/>
        </w:rPr>
        <w:t xml:space="preserve"> </w:t>
      </w:r>
      <w:r w:rsidRPr="00285BDD">
        <w:rPr>
          <w:rFonts w:cs="Times New Roman"/>
          <w:lang w:val="fr-CA"/>
        </w:rPr>
        <w:t>DeBruyn par voie d’affidavit parce que ce dernier ne s’était pas complètement remis de son AVC. La lettre d’une orthophoniste a confirmé que M.</w:t>
      </w:r>
      <w:r w:rsidR="00BB6F2A">
        <w:rPr>
          <w:rFonts w:cs="Times New Roman"/>
          <w:lang w:val="fr-CA"/>
        </w:rPr>
        <w:t xml:space="preserve"> </w:t>
      </w:r>
      <w:r w:rsidRPr="00285BDD">
        <w:rPr>
          <w:rFonts w:cs="Times New Roman"/>
          <w:lang w:val="fr-CA"/>
        </w:rPr>
        <w:t>DeBruyn souffrait toujours d’une aphasie résiduelle légère et que se faire poser des questions pendant un contre</w:t>
      </w:r>
      <w:r w:rsidR="00BB6F2A">
        <w:rPr>
          <w:rFonts w:cs="Times New Roman"/>
          <w:lang w:val="fr-CA"/>
        </w:rPr>
        <w:t>-</w:t>
      </w:r>
      <w:r w:rsidRPr="00285BDD">
        <w:rPr>
          <w:rFonts w:cs="Times New Roman"/>
          <w:lang w:val="fr-CA"/>
        </w:rPr>
        <w:t>interrogatoire pourrait lui causer un stress qui aggraverait ses problèmes de communication.</w:t>
      </w:r>
    </w:p>
    <w:p w:rsidR="0095762B" w:rsidRPr="00285BDD" w:rsidRDefault="0095762B" w:rsidP="0095762B">
      <w:pPr>
        <w:pStyle w:val="ParaNoNdepar-AltN"/>
        <w:widowControl w:val="0"/>
        <w:rPr>
          <w:rFonts w:cs="Times New Roman"/>
          <w:lang w:val="fr-CA"/>
        </w:rPr>
      </w:pPr>
      <w:r w:rsidRPr="00285BDD">
        <w:rPr>
          <w:rFonts w:cs="Times New Roman"/>
          <w:lang w:val="fr-CA"/>
        </w:rPr>
        <w:lastRenderedPageBreak/>
        <w:t>Réprimandant l’avocat pour ne pas avoir déterminé plus tôt l’état de santé du témoin, le juge du procès n’a vu aucune raison d’accueillir la demande sur le fondement de la lettre de l’orthophoniste. Il a fait remarquer que M.</w:t>
      </w:r>
      <w:r w:rsidR="00BB6F2A">
        <w:rPr>
          <w:rFonts w:cs="Times New Roman"/>
          <w:lang w:val="fr-CA"/>
        </w:rPr>
        <w:t xml:space="preserve"> </w:t>
      </w:r>
      <w:r w:rsidRPr="00285BDD">
        <w:rPr>
          <w:rFonts w:cs="Times New Roman"/>
          <w:lang w:val="fr-CA"/>
        </w:rPr>
        <w:t>DeBruyn était retourné au travail et se trouvait dans la salle d’audience, et a mis en doute le fait même qu’il soit un témoin essentiel. Bien que le juge du procès ait dit à l’avocat qu’il pouvait tout de même présenter sa demande, il l’a également averti que cette demande pouvait être perçue comme une tentative de prolonger l’instance, ce qui pourrait donner lieu à une condamnation aux dépens contre lui personnellement. L’avocat a donc décidé de ne pas présenter sa demande et M.</w:t>
      </w:r>
      <w:r w:rsidR="00BB6F2A">
        <w:rPr>
          <w:rFonts w:cs="Times New Roman"/>
          <w:lang w:val="fr-CA"/>
        </w:rPr>
        <w:t xml:space="preserve"> </w:t>
      </w:r>
      <w:r w:rsidRPr="00285BDD">
        <w:rPr>
          <w:rFonts w:cs="Times New Roman"/>
          <w:lang w:val="fr-CA"/>
        </w:rPr>
        <w:t>DeBruyn n’a pas témoigné. En décrivant la situation dans son jugement subséquent sur les dépens, le juge du procès a conclu que cet incident était un exemple de mauvaise foi de la part du Yukon.</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La Cour d’appel ne partageait pas cet avis. Selon elle, le juge du procès n’avait aucune raison de conclure que M.</w:t>
      </w:r>
      <w:r w:rsidR="00BB6F2A">
        <w:rPr>
          <w:rFonts w:cs="Times New Roman"/>
          <w:lang w:val="fr-CA"/>
        </w:rPr>
        <w:t xml:space="preserve"> </w:t>
      </w:r>
      <w:r w:rsidRPr="00285BDD">
        <w:rPr>
          <w:rFonts w:cs="Times New Roman"/>
          <w:lang w:val="fr-CA"/>
        </w:rPr>
        <w:t>DeBruyn n’était pas un témoin important ni, compte tenu du rétablissement en cours de M.</w:t>
      </w:r>
      <w:r w:rsidR="00BB6F2A">
        <w:rPr>
          <w:rFonts w:cs="Times New Roman"/>
          <w:lang w:val="fr-CA"/>
        </w:rPr>
        <w:t xml:space="preserve"> </w:t>
      </w:r>
      <w:r w:rsidRPr="00285BDD">
        <w:rPr>
          <w:rFonts w:cs="Times New Roman"/>
          <w:lang w:val="fr-CA"/>
        </w:rPr>
        <w:t>DeBruyn à la suite de son AVC, de critiquer l’avocat pour avoir attendu le début du second volet avant de faire savoir qu’il demanderait l’autorisation de présenter le témoignage par voie d’affidavit. En accusant l’avocat de se livrer à des tactiques dilatoires et en le menaçant de le condamner personnellement aux dépens, le juge du procès a agi de manière à laisser croire qu’il était partial.</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Par ailleurs, la Cour d’appel a conclu que le refus du juge du procès de permettre au Yukon de déposer une réponse concernant les dépens et la procédure </w:t>
      </w:r>
      <w:r w:rsidRPr="00285BDD">
        <w:rPr>
          <w:rFonts w:cs="Times New Roman"/>
          <w:lang w:val="fr-CA"/>
        </w:rPr>
        <w:lastRenderedPageBreak/>
        <w:t xml:space="preserve">qu’il a adoptée dans l’octroi des dépens étaient </w:t>
      </w:r>
      <w:r w:rsidR="00BB6F2A">
        <w:rPr>
          <w:rFonts w:cs="Times New Roman"/>
          <w:lang w:val="fr-CA"/>
        </w:rPr>
        <w:t>« </w:t>
      </w:r>
      <w:r w:rsidRPr="00285BDD">
        <w:rPr>
          <w:rFonts w:cs="Times New Roman"/>
          <w:lang w:val="fr-CA"/>
        </w:rPr>
        <w:t>nettement injuste[s]</w:t>
      </w:r>
      <w:r w:rsidR="00BB6F2A">
        <w:rPr>
          <w:rFonts w:cs="Times New Roman"/>
          <w:lang w:val="fr-CA"/>
        </w:rPr>
        <w:t> »</w:t>
      </w:r>
      <w:r w:rsidRPr="00285BDD">
        <w:rPr>
          <w:rFonts w:cs="Times New Roman"/>
          <w:lang w:val="fr-CA"/>
        </w:rPr>
        <w:t>. Après le prononcé de ses motifs sur le fond, le juge du procès a accordé aux parties 14</w:t>
      </w:r>
      <w:r w:rsidR="00BB6F2A">
        <w:rPr>
          <w:rFonts w:cs="Times New Roman"/>
          <w:lang w:val="fr-CA"/>
        </w:rPr>
        <w:t xml:space="preserve"> </w:t>
      </w:r>
      <w:r w:rsidRPr="00285BDD">
        <w:rPr>
          <w:rFonts w:cs="Times New Roman"/>
          <w:lang w:val="fr-CA"/>
        </w:rPr>
        <w:t>jours pour présenter leurs mémoires des dépens, et elles devaient les présenter en même temps. Lorsque le Yukon a reçu le mémoire de la Commission, il a demandé au juge du procès s’il pouvait déposer une réponse parce que la Commission sollicitait non seulement les dépens procureur</w:t>
      </w:r>
      <w:r w:rsidR="00BB6F2A">
        <w:rPr>
          <w:rFonts w:cs="Times New Roman"/>
          <w:lang w:val="fr-CA"/>
        </w:rPr>
        <w:t>-</w:t>
      </w:r>
      <w:r w:rsidRPr="00285BDD">
        <w:rPr>
          <w:rFonts w:cs="Times New Roman"/>
          <w:lang w:val="fr-CA"/>
        </w:rPr>
        <w:t xml:space="preserve">client, mais aussi des </w:t>
      </w:r>
      <w:r w:rsidR="00BB6F2A">
        <w:rPr>
          <w:rFonts w:cs="Times New Roman"/>
          <w:lang w:val="fr-CA"/>
        </w:rPr>
        <w:t>« </w:t>
      </w:r>
      <w:r w:rsidRPr="00285BDD">
        <w:rPr>
          <w:rFonts w:cs="Times New Roman"/>
          <w:lang w:val="fr-CA"/>
        </w:rPr>
        <w:t>dépens punitifs</w:t>
      </w:r>
      <w:r w:rsidR="00BB6F2A">
        <w:rPr>
          <w:rFonts w:cs="Times New Roman"/>
          <w:lang w:val="fr-CA"/>
        </w:rPr>
        <w:t> »</w:t>
      </w:r>
      <w:r w:rsidRPr="00285BDD">
        <w:rPr>
          <w:rFonts w:cs="Times New Roman"/>
          <w:lang w:val="fr-CA"/>
        </w:rPr>
        <w:t xml:space="preserve"> et des dépens remontant à 2002. Le juge du procès a refusé la demande de présentation d’une réponse, demandant plutôt au gouvernement de lui remettre </w:t>
      </w:r>
      <w:r w:rsidR="00BB6F2A">
        <w:rPr>
          <w:rFonts w:cs="Times New Roman"/>
          <w:lang w:val="fr-CA"/>
        </w:rPr>
        <w:t>« </w:t>
      </w:r>
      <w:r w:rsidRPr="00285BDD">
        <w:rPr>
          <w:rFonts w:cs="Times New Roman"/>
          <w:lang w:val="fr-CA"/>
        </w:rPr>
        <w:t>les détails et l’échéancier des concessions que [le Yukon] va toujours accorder à la [Commission scolaire]</w:t>
      </w:r>
      <w:r w:rsidR="00BB6F2A">
        <w:rPr>
          <w:rFonts w:cs="Times New Roman"/>
          <w:lang w:val="fr-CA"/>
        </w:rPr>
        <w:t> »</w:t>
      </w:r>
      <w:r w:rsidRPr="00285BDD">
        <w:rPr>
          <w:rFonts w:cs="Times New Roman"/>
          <w:lang w:val="fr-CA"/>
        </w:rPr>
        <w:t>. Le juge du procès a accordé à la Commission 969</w:t>
      </w:r>
      <w:r w:rsidR="00BB6F2A">
        <w:rPr>
          <w:rFonts w:cs="Times New Roman"/>
          <w:lang w:val="fr-CA"/>
        </w:rPr>
        <w:t xml:space="preserve"> </w:t>
      </w:r>
      <w:r w:rsidRPr="00285BDD">
        <w:rPr>
          <w:rFonts w:cs="Times New Roman"/>
          <w:lang w:val="fr-CA"/>
        </w:rPr>
        <w:t>190</w:t>
      </w:r>
      <w:r w:rsidR="00BB6F2A">
        <w:rPr>
          <w:rFonts w:cs="Times New Roman"/>
          <w:lang w:val="fr-CA"/>
        </w:rPr>
        <w:t xml:space="preserve"> </w:t>
      </w:r>
      <w:r w:rsidRPr="00285BDD">
        <w:rPr>
          <w:rFonts w:cs="Times New Roman"/>
          <w:lang w:val="fr-CA"/>
        </w:rPr>
        <w:t>$ en dépens sur la base avocat</w:t>
      </w:r>
      <w:r w:rsidR="00BB6F2A">
        <w:rPr>
          <w:rFonts w:cs="Times New Roman"/>
          <w:lang w:val="fr-CA"/>
        </w:rPr>
        <w:t>-</w:t>
      </w:r>
      <w:r w:rsidRPr="00285BDD">
        <w:rPr>
          <w:rFonts w:cs="Times New Roman"/>
          <w:lang w:val="fr-CA"/>
        </w:rPr>
        <w:t xml:space="preserve">client ainsi qu’un </w:t>
      </w:r>
      <w:r w:rsidR="00BB6F2A">
        <w:rPr>
          <w:rFonts w:cs="Times New Roman"/>
          <w:lang w:val="fr-CA"/>
        </w:rPr>
        <w:t>« </w:t>
      </w:r>
      <w:r w:rsidRPr="00285BDD">
        <w:rPr>
          <w:rFonts w:cs="Times New Roman"/>
          <w:lang w:val="fr-CA"/>
        </w:rPr>
        <w:t>montant forfaitaire</w:t>
      </w:r>
      <w:r w:rsidR="00BB6F2A">
        <w:rPr>
          <w:rFonts w:cs="Times New Roman"/>
          <w:lang w:val="fr-CA"/>
        </w:rPr>
        <w:t> »</w:t>
      </w:r>
      <w:r w:rsidRPr="00285BDD">
        <w:rPr>
          <w:rFonts w:cs="Times New Roman"/>
          <w:lang w:val="fr-CA"/>
        </w:rPr>
        <w:t xml:space="preserve"> additionnel de 484</w:t>
      </w:r>
      <w:r w:rsidR="00BB6F2A">
        <w:rPr>
          <w:rFonts w:cs="Times New Roman"/>
          <w:lang w:val="fr-CA"/>
        </w:rPr>
        <w:t xml:space="preserve"> </w:t>
      </w:r>
      <w:r w:rsidRPr="00285BDD">
        <w:rPr>
          <w:rFonts w:cs="Times New Roman"/>
          <w:lang w:val="fr-CA"/>
        </w:rPr>
        <w:t>595</w:t>
      </w:r>
      <w:r w:rsidR="00BB6F2A">
        <w:rPr>
          <w:rFonts w:cs="Times New Roman"/>
          <w:lang w:val="fr-CA"/>
        </w:rPr>
        <w:t xml:space="preserve"> </w:t>
      </w:r>
      <w:r w:rsidRPr="00285BDD">
        <w:rPr>
          <w:rFonts w:cs="Times New Roman"/>
          <w:lang w:val="fr-CA"/>
        </w:rPr>
        <w:t>$ (50</w:t>
      </w:r>
      <w:r w:rsidR="00BB6F2A">
        <w:rPr>
          <w:rFonts w:cs="Times New Roman"/>
          <w:lang w:val="fr-CA"/>
        </w:rPr>
        <w:t xml:space="preserve"> </w:t>
      </w:r>
      <w:r w:rsidRPr="00285BDD">
        <w:rPr>
          <w:rFonts w:cs="Times New Roman"/>
          <w:lang w:val="fr-CA"/>
        </w:rPr>
        <w:t>% des dépens avocat</w:t>
      </w:r>
      <w:r w:rsidR="00BB6F2A">
        <w:rPr>
          <w:rFonts w:cs="Times New Roman"/>
          <w:lang w:val="fr-CA"/>
        </w:rPr>
        <w:t>-</w:t>
      </w:r>
      <w:r w:rsidRPr="00285BDD">
        <w:rPr>
          <w:rFonts w:cs="Times New Roman"/>
          <w:lang w:val="fr-CA"/>
        </w:rPr>
        <w:t>client), en partie parce qu’il estimait que la preuve démontrait la mauvaise foi du Yukon et l’existence de nombreuses violations de l’art.</w:t>
      </w:r>
      <w:r w:rsidR="00BB6F2A">
        <w:rPr>
          <w:rFonts w:cs="Times New Roman"/>
          <w:lang w:val="fr-CA"/>
        </w:rPr>
        <w:t xml:space="preserve"> </w:t>
      </w:r>
      <w:r w:rsidRPr="00285BDD">
        <w:rPr>
          <w:rFonts w:cs="Times New Roman"/>
          <w:lang w:val="fr-CA"/>
        </w:rPr>
        <w:t xml:space="preserve">23 de la </w:t>
      </w:r>
      <w:r w:rsidRPr="00285BDD">
        <w:rPr>
          <w:rFonts w:cs="Times New Roman"/>
          <w:i/>
          <w:lang w:val="fr-CA"/>
        </w:rPr>
        <w:t>Charte</w:t>
      </w:r>
      <w:r w:rsidRPr="00285BDD">
        <w:rPr>
          <w:rFonts w:cs="Times New Roman"/>
          <w:lang w:val="fr-CA"/>
        </w:rPr>
        <w:t>.</w:t>
      </w:r>
    </w:p>
    <w:p w:rsidR="0095762B" w:rsidRPr="00285BDD" w:rsidRDefault="0095762B" w:rsidP="0095762B">
      <w:pPr>
        <w:pStyle w:val="ParaNoNdepar-AltN"/>
        <w:widowControl w:val="0"/>
        <w:rPr>
          <w:rFonts w:cs="Times New Roman"/>
          <w:lang w:val="fr-CA"/>
        </w:rPr>
      </w:pPr>
      <w:r w:rsidRPr="00285BDD">
        <w:rPr>
          <w:rFonts w:cs="Times New Roman"/>
          <w:lang w:val="fr-CA"/>
        </w:rPr>
        <w:t>La Cour d’appel a annulé l’ordonnance relative aux dépens. Reconnaissant qu’une crainte raisonnable de partialité à l’égard des dépens ne constituait pas nécessairement une crainte raisonnable de partialité lors du procès, elle était néanmoins d’avis que le Yukon aurait dû avoir l’occasion de répondre parce qu’il ne pouvait raisonnablement prévoir l’ampleur inhabituelle des dépens réclamés par la Commission.</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Quant à l’allégation de partialité présentée par le Yukon au sujet de </w:t>
      </w:r>
      <w:r w:rsidRPr="00285BDD">
        <w:rPr>
          <w:rFonts w:cs="Times New Roman"/>
          <w:lang w:val="fr-CA"/>
        </w:rPr>
        <w:lastRenderedPageBreak/>
        <w:t xml:space="preserve">l’engagement du juge du procès dans la communauté francophone de l’Alberta, la Cour d’appel a conclu que les antécédents du juge du procès </w:t>
      </w:r>
      <w:r w:rsidRPr="00285BDD">
        <w:rPr>
          <w:rFonts w:cs="Times New Roman"/>
          <w:i/>
          <w:lang w:val="fr-CA"/>
        </w:rPr>
        <w:t>précédant</w:t>
      </w:r>
      <w:r w:rsidRPr="00285BDD">
        <w:rPr>
          <w:rFonts w:cs="Times New Roman"/>
          <w:lang w:val="fr-CA"/>
        </w:rPr>
        <w:t xml:space="preserve"> son accession à la magistrature ne suscitaient aucune crainte raisonnable de partialité</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r>
      <w:r w:rsidRPr="00285BDD">
        <w:rPr>
          <w:lang w:val="fr-CA"/>
        </w:rPr>
        <w:tab/>
        <w:t>L’expérience du juge de première instance dans l’instruction dans la langue de la minorité est, en l’espèce, un attribut positif. Il était en mesure d’aborder les questions avec une connaissance qui lui est propre et qui découle de son expérience. [par.</w:t>
      </w:r>
      <w:r w:rsidR="00BB6F2A">
        <w:rPr>
          <w:lang w:val="fr-CA"/>
        </w:rPr>
        <w:t xml:space="preserve"> </w:t>
      </w:r>
      <w:r w:rsidRPr="00285BDD">
        <w:rPr>
          <w:lang w:val="fr-CA"/>
        </w:rPr>
        <w:t>181]</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En revanche, la Cour d’appel a conclu que son engagement à titre de gouverneur de la Fondation franco</w:t>
      </w:r>
      <w:r w:rsidR="00BB6F2A">
        <w:rPr>
          <w:rFonts w:cs="Times New Roman"/>
          <w:lang w:val="fr-CA"/>
        </w:rPr>
        <w:t>-</w:t>
      </w:r>
      <w:r w:rsidRPr="00285BDD">
        <w:rPr>
          <w:rFonts w:cs="Times New Roman"/>
          <w:lang w:val="fr-CA"/>
        </w:rPr>
        <w:t>albertaine alors qu’il était saisi de la présente affaire était inconvenant. La Fondation franco</w:t>
      </w:r>
      <w:r w:rsidR="00BB6F2A">
        <w:rPr>
          <w:rFonts w:cs="Times New Roman"/>
          <w:lang w:val="fr-CA"/>
        </w:rPr>
        <w:t>-</w:t>
      </w:r>
      <w:r w:rsidRPr="00285BDD">
        <w:rPr>
          <w:rFonts w:cs="Times New Roman"/>
          <w:lang w:val="fr-CA"/>
        </w:rPr>
        <w:t xml:space="preserve">albertaine défendait une vision précise de la communauté francophone qui, selon la Cour d’appel, pourrait </w:t>
      </w:r>
      <w:r w:rsidR="00BB6F2A">
        <w:rPr>
          <w:rFonts w:cs="Times New Roman"/>
          <w:lang w:val="fr-CA"/>
        </w:rPr>
        <w:t>« </w:t>
      </w:r>
      <w:r w:rsidRPr="00285BDD">
        <w:rPr>
          <w:rFonts w:cs="Times New Roman"/>
          <w:lang w:val="fr-CA"/>
        </w:rPr>
        <w:t>très bien s’harmoniser avec certaines positions mises de l’avant par la [Commission] en l’espèce</w:t>
      </w:r>
      <w:r w:rsidR="00BB6F2A">
        <w:rPr>
          <w:rFonts w:cs="Times New Roman"/>
          <w:lang w:val="fr-CA"/>
        </w:rPr>
        <w:t> »</w:t>
      </w:r>
      <w:r w:rsidRPr="00285BDD">
        <w:rPr>
          <w:rFonts w:cs="Times New Roman"/>
          <w:lang w:val="fr-CA"/>
        </w:rPr>
        <w:t>. Si le juge du procès désirait poursuivre son engagement au sein de la Fondation franco</w:t>
      </w:r>
      <w:r w:rsidR="00BB6F2A">
        <w:rPr>
          <w:rFonts w:cs="Times New Roman"/>
          <w:lang w:val="fr-CA"/>
        </w:rPr>
        <w:t>-</w:t>
      </w:r>
      <w:r w:rsidRPr="00285BDD">
        <w:rPr>
          <w:rFonts w:cs="Times New Roman"/>
          <w:lang w:val="fr-CA"/>
        </w:rPr>
        <w:t>albertaine, il devait s’abstenir de siéger dans des affaires comme celle</w:t>
      </w:r>
      <w:r w:rsidR="00BB6F2A">
        <w:rPr>
          <w:rFonts w:cs="Times New Roman"/>
          <w:lang w:val="fr-CA"/>
        </w:rPr>
        <w:t>-</w:t>
      </w:r>
      <w:r w:rsidRPr="00285BDD">
        <w:rPr>
          <w:rFonts w:cs="Times New Roman"/>
          <w:lang w:val="fr-CA"/>
        </w:rPr>
        <w:t>ci. Rien dans le dossier ne portait à croire que le Yukon connaissait ou aurait dû connaître le parcours du juge mais, selon la Cour d’appel, on n’attend pas des parties qu’elles fassent des recherches sur le passé d’un juge et elles ont le droit de présumer que le juge dévoilera tout élément pertinent de son vécu.</w:t>
      </w:r>
    </w:p>
    <w:p w:rsidR="0095762B" w:rsidRPr="00285BDD" w:rsidRDefault="0095762B" w:rsidP="0095762B">
      <w:pPr>
        <w:pStyle w:val="ParaNoNdepar-AltN"/>
        <w:widowControl w:val="0"/>
        <w:rPr>
          <w:rFonts w:cs="Times New Roman"/>
          <w:lang w:val="fr-CA"/>
        </w:rPr>
      </w:pPr>
      <w:r w:rsidRPr="00285BDD">
        <w:rPr>
          <w:rFonts w:cs="Times New Roman"/>
          <w:lang w:val="fr-CA"/>
        </w:rPr>
        <w:t>En fin de compte, la Cour d’appel a conclu que le comportement du juge au cours du procès et son association avec la Fondation franco</w:t>
      </w:r>
      <w:r w:rsidR="00BB6F2A">
        <w:rPr>
          <w:rFonts w:cs="Times New Roman"/>
          <w:lang w:val="fr-CA"/>
        </w:rPr>
        <w:t>-</w:t>
      </w:r>
      <w:r w:rsidRPr="00285BDD">
        <w:rPr>
          <w:rFonts w:cs="Times New Roman"/>
          <w:lang w:val="fr-CA"/>
        </w:rPr>
        <w:t xml:space="preserve">albertaine suscitaient une crainte raisonnable de partialité. Elle a donc ordonné la tenue d’un nouveau procès relativement à la plupart des questions. La Cour d’appel n’a cependant pas </w:t>
      </w:r>
      <w:r w:rsidRPr="00285BDD">
        <w:rPr>
          <w:rFonts w:cs="Times New Roman"/>
          <w:lang w:val="fr-CA"/>
        </w:rPr>
        <w:lastRenderedPageBreak/>
        <w:t>renvoyé toutes les questions de droit et a tranché deux d’entre elles, qui font l’objet du pourvoi devant notre Cour. Premièrement, elle a décidé que le juge du procès avait commis une erreur en affirmant que l’art.</w:t>
      </w:r>
      <w:r w:rsidR="00BB6F2A">
        <w:rPr>
          <w:rFonts w:cs="Times New Roman"/>
          <w:lang w:val="fr-CA"/>
        </w:rPr>
        <w:t xml:space="preserve"> </w:t>
      </w:r>
      <w:r w:rsidRPr="00285BDD">
        <w:rPr>
          <w:rFonts w:cs="Times New Roman"/>
          <w:lang w:val="fr-CA"/>
        </w:rPr>
        <w:t xml:space="preserve">23 de la </w:t>
      </w:r>
      <w:r w:rsidRPr="00285BDD">
        <w:rPr>
          <w:rFonts w:cs="Times New Roman"/>
          <w:i/>
          <w:lang w:val="fr-CA"/>
        </w:rPr>
        <w:t>Charte</w:t>
      </w:r>
      <w:r w:rsidRPr="00285BDD">
        <w:rPr>
          <w:rFonts w:cs="Times New Roman"/>
          <w:lang w:val="fr-CA"/>
        </w:rPr>
        <w:t xml:space="preserve"> conférait à la Commission le droit unilatéral de fixer les critères d’admission de manière à inclure les élèves qui ne sont pas visés par l’art.</w:t>
      </w:r>
      <w:r w:rsidR="00BB6F2A">
        <w:rPr>
          <w:rFonts w:cs="Times New Roman"/>
          <w:lang w:val="fr-CA"/>
        </w:rPr>
        <w:t xml:space="preserve"> </w:t>
      </w:r>
      <w:r w:rsidRPr="00285BDD">
        <w:rPr>
          <w:rFonts w:cs="Times New Roman"/>
          <w:lang w:val="fr-CA"/>
        </w:rPr>
        <w:t>23. Deuxièmement, elle a conclu que le juge du procès avait fait erreur en ordonnant que toutes les communications entre le Yukon et la Commission soient en français puisque, à son avis, les demandes fondées sur l’art.</w:t>
      </w:r>
      <w:r w:rsidR="00BB6F2A">
        <w:rPr>
          <w:rFonts w:cs="Times New Roman"/>
          <w:lang w:val="fr-CA"/>
        </w:rPr>
        <w:t xml:space="preserve"> </w:t>
      </w:r>
      <w:r w:rsidRPr="00285BDD">
        <w:rPr>
          <w:rFonts w:cs="Times New Roman"/>
          <w:lang w:val="fr-CA"/>
        </w:rPr>
        <w:t xml:space="preserve">6 de la </w:t>
      </w:r>
      <w:r w:rsidRPr="00285BDD">
        <w:rPr>
          <w:rFonts w:cs="Times New Roman"/>
          <w:i/>
          <w:lang w:val="fr-CA"/>
        </w:rPr>
        <w:t>Loi sur les langues</w:t>
      </w:r>
      <w:r w:rsidRPr="00285BDD">
        <w:rPr>
          <w:rFonts w:cs="Times New Roman"/>
          <w:lang w:val="fr-CA"/>
        </w:rPr>
        <w:t xml:space="preserve"> ne faisaient pas partie à juste titre du litige.</w:t>
      </w:r>
    </w:p>
    <w:p w:rsidR="0095762B" w:rsidRPr="00285BDD" w:rsidRDefault="0095762B" w:rsidP="0095762B">
      <w:pPr>
        <w:pStyle w:val="Title1LevelTitre1Niveau-AltL"/>
        <w:widowControl w:val="0"/>
        <w:numPr>
          <w:ilvl w:val="0"/>
          <w:numId w:val="0"/>
        </w:numPr>
        <w:rPr>
          <w:rFonts w:cs="Times New Roman"/>
          <w:lang w:val="fr-CA"/>
        </w:rPr>
      </w:pPr>
      <w:r w:rsidRPr="00285BDD">
        <w:rPr>
          <w:lang w:val="fr-CA"/>
        </w:rPr>
        <w:t>Analyse</w:t>
      </w:r>
    </w:p>
    <w:p w:rsidR="0095762B" w:rsidRPr="00285BDD" w:rsidRDefault="0095762B" w:rsidP="0095762B">
      <w:pPr>
        <w:pStyle w:val="ParaNoNdepar-AltN"/>
        <w:widowControl w:val="0"/>
        <w:tabs>
          <w:tab w:val="num" w:pos="1242"/>
        </w:tabs>
        <w:rPr>
          <w:rFonts w:cs="Times New Roman"/>
          <w:lang w:val="fr-CA"/>
        </w:rPr>
      </w:pPr>
      <w:r w:rsidRPr="00285BDD">
        <w:rPr>
          <w:rFonts w:cs="Times New Roman"/>
          <w:lang w:val="fr-CA"/>
        </w:rPr>
        <w:t>Le critère applicable pour déterminer s’il existe une crainte raisonnable de partialité n’est pas contesté et il a été formulé pour la première fois par notre Cour en ces termes</w:t>
      </w:r>
      <w:r w:rsidR="00BB6F2A">
        <w:rPr>
          <w:rFonts w:cs="Times New Roman"/>
          <w:lang w:val="fr-CA"/>
        </w:rPr>
        <w:t> :</w:t>
      </w:r>
    </w:p>
    <w:p w:rsidR="00245D53" w:rsidRDefault="00245D53" w:rsidP="0095762B">
      <w:pPr>
        <w:pStyle w:val="Citation-AltC"/>
        <w:widowControl w:val="0"/>
        <w:ind w:hanging="1166"/>
        <w:contextualSpacing w:val="0"/>
        <w:rPr>
          <w:lang w:val="fr-CA"/>
        </w:rPr>
      </w:pPr>
      <w:r>
        <w:rPr>
          <w:lang w:val="fr-CA"/>
        </w:rPr>
        <w:tab/>
        <w:t xml:space="preserve">. . . </w:t>
      </w:r>
      <w:r w:rsidR="0095762B" w:rsidRPr="00285BDD">
        <w:rPr>
          <w:lang w:val="fr-CA"/>
        </w:rPr>
        <w:t>à quelle conclusion en arriverait une personne bien renseignée qui étudierait la question en profondeur, de façon réaliste et pratique. Croirait</w:t>
      </w:r>
      <w:r w:rsidR="00BB6F2A">
        <w:rPr>
          <w:lang w:val="fr-CA"/>
        </w:rPr>
        <w:t>-</w:t>
      </w:r>
      <w:r w:rsidR="0095762B" w:rsidRPr="00285BDD">
        <w:rPr>
          <w:lang w:val="fr-CA"/>
        </w:rPr>
        <w:t>elle que, selon toute vraisemblance, [le décideur], consciemment ou non, ne rendra pas une décision juste? [</w:t>
      </w:r>
      <w:r w:rsidR="00983A76">
        <w:rPr>
          <w:lang w:val="fr-CA"/>
        </w:rPr>
        <w:t>Référence</w:t>
      </w:r>
      <w:r w:rsidR="0095762B" w:rsidRPr="00285BDD">
        <w:rPr>
          <w:lang w:val="fr-CA"/>
        </w:rPr>
        <w:t xml:space="preserve"> omis</w:t>
      </w:r>
      <w:r w:rsidR="00983A76">
        <w:rPr>
          <w:lang w:val="fr-CA"/>
        </w:rPr>
        <w:t>e</w:t>
      </w:r>
      <w:r>
        <w:rPr>
          <w:lang w:val="fr-CA"/>
        </w:rPr>
        <w:t>.]</w:t>
      </w:r>
    </w:p>
    <w:p w:rsidR="0095762B" w:rsidRPr="00285BDD" w:rsidRDefault="00245D53" w:rsidP="00245D53">
      <w:pPr>
        <w:pStyle w:val="Citation-AltC"/>
        <w:widowControl w:val="0"/>
        <w:spacing w:after="480" w:line="480" w:lineRule="auto"/>
        <w:ind w:left="0"/>
        <w:contextualSpacing w:val="0"/>
        <w:rPr>
          <w:lang w:val="fr-CA"/>
        </w:rPr>
      </w:pPr>
      <w:r>
        <w:rPr>
          <w:lang w:val="fr-CA"/>
        </w:rPr>
        <w:t>(</w:t>
      </w:r>
      <w:r w:rsidR="0095762B" w:rsidRPr="00285BDD">
        <w:rPr>
          <w:i/>
          <w:lang w:val="fr-CA"/>
        </w:rPr>
        <w:t>Committee for Justice and Liberty c. Office national de l’énergie</w:t>
      </w:r>
      <w:r w:rsidR="0095762B" w:rsidRPr="00285BDD">
        <w:rPr>
          <w:lang w:val="fr-CA"/>
        </w:rPr>
        <w:t>, [1978] 1 R.C.S. 369, p.</w:t>
      </w:r>
      <w:r w:rsidR="00BB6F2A">
        <w:rPr>
          <w:lang w:val="fr-CA"/>
        </w:rPr>
        <w:t xml:space="preserve"> </w:t>
      </w:r>
      <w:r w:rsidR="0095762B" w:rsidRPr="00285BDD">
        <w:rPr>
          <w:lang w:val="fr-CA"/>
        </w:rPr>
        <w:t xml:space="preserve">394, le juge </w:t>
      </w:r>
      <w:r w:rsidR="0095762B">
        <w:rPr>
          <w:lang w:val="fr-CA"/>
        </w:rPr>
        <w:t xml:space="preserve">de </w:t>
      </w:r>
      <w:r>
        <w:rPr>
          <w:lang w:val="fr-CA"/>
        </w:rPr>
        <w:t>Grandpré (dissident))</w:t>
      </w:r>
    </w:p>
    <w:p w:rsidR="0095762B" w:rsidRPr="00285BDD" w:rsidRDefault="0095762B" w:rsidP="0095762B">
      <w:pPr>
        <w:pStyle w:val="ParaNoNdepar-AltN"/>
        <w:widowControl w:val="0"/>
        <w:rPr>
          <w:rFonts w:cs="Times New Roman"/>
          <w:lang w:val="fr-CA"/>
        </w:rPr>
      </w:pPr>
      <w:r w:rsidRPr="00285BDD">
        <w:rPr>
          <w:rFonts w:cs="Times New Roman"/>
          <w:lang w:val="fr-CA"/>
        </w:rPr>
        <w:t>Ce critère — à quelle conclusion en arriverait une personne raisonnable et bien renseignée — a été constamment approuvé et précisé par notre Cour</w:t>
      </w:r>
      <w:r w:rsidR="00BB6F2A">
        <w:rPr>
          <w:rFonts w:cs="Times New Roman"/>
          <w:lang w:val="fr-CA"/>
        </w:rPr>
        <w:t> :</w:t>
      </w:r>
      <w:r w:rsidRPr="00285BDD">
        <w:rPr>
          <w:rFonts w:cs="Times New Roman"/>
          <w:lang w:val="fr-CA"/>
        </w:rPr>
        <w:t xml:space="preserve"> p.</w:t>
      </w:r>
      <w:r w:rsidR="00BB6F2A">
        <w:rPr>
          <w:rFonts w:cs="Times New Roman"/>
          <w:lang w:val="fr-CA"/>
        </w:rPr>
        <w:t xml:space="preserve"> </w:t>
      </w:r>
      <w:r w:rsidRPr="00285BDD">
        <w:rPr>
          <w:rFonts w:cs="Times New Roman"/>
          <w:lang w:val="fr-CA"/>
        </w:rPr>
        <w:t xml:space="preserve">ex., </w:t>
      </w:r>
      <w:r w:rsidRPr="00285BDD">
        <w:rPr>
          <w:rFonts w:cs="Times New Roman"/>
          <w:i/>
          <w:lang w:val="fr-CA"/>
        </w:rPr>
        <w:lastRenderedPageBreak/>
        <w:t>Bande indienne Wewaykum c. Canada</w:t>
      </w:r>
      <w:r w:rsidRPr="00285BDD">
        <w:rPr>
          <w:rFonts w:cs="Times New Roman"/>
          <w:lang w:val="fr-CA"/>
        </w:rPr>
        <w:t>, [2003] 2 R.C.S. 259, par.</w:t>
      </w:r>
      <w:r w:rsidR="00BB6F2A">
        <w:rPr>
          <w:rFonts w:cs="Times New Roman"/>
          <w:lang w:val="fr-CA"/>
        </w:rPr>
        <w:t xml:space="preserve"> </w:t>
      </w:r>
      <w:r w:rsidRPr="00285BDD">
        <w:rPr>
          <w:rFonts w:cs="Times New Roman"/>
          <w:lang w:val="fr-CA"/>
        </w:rPr>
        <w:t xml:space="preserve">60; </w:t>
      </w:r>
      <w:r w:rsidRPr="00285BDD">
        <w:rPr>
          <w:rFonts w:cs="Times New Roman"/>
          <w:i/>
          <w:lang w:val="fr-CA"/>
        </w:rPr>
        <w:t>S.C.F.P.</w:t>
      </w:r>
      <w:r w:rsidR="00BB6F2A">
        <w:rPr>
          <w:rFonts w:cs="Times New Roman"/>
          <w:i/>
          <w:lang w:val="fr-CA"/>
        </w:rPr>
        <w:t xml:space="preserve"> </w:t>
      </w:r>
      <w:r w:rsidRPr="00285BDD">
        <w:rPr>
          <w:rFonts w:cs="Times New Roman"/>
          <w:i/>
          <w:lang w:val="fr-CA"/>
        </w:rPr>
        <w:t>c. Ontario (Ministre du Travail)</w:t>
      </w:r>
      <w:r w:rsidRPr="00285BDD">
        <w:rPr>
          <w:rFonts w:cs="Times New Roman"/>
          <w:lang w:val="fr-CA"/>
        </w:rPr>
        <w:t>, [2003] 1 R.C.S. 539, par.</w:t>
      </w:r>
      <w:r w:rsidR="00BB6F2A">
        <w:rPr>
          <w:rFonts w:cs="Times New Roman"/>
          <w:lang w:val="fr-CA"/>
        </w:rPr>
        <w:t xml:space="preserve"> </w:t>
      </w:r>
      <w:r w:rsidRPr="00285BDD">
        <w:rPr>
          <w:rFonts w:cs="Times New Roman"/>
          <w:lang w:val="fr-CA"/>
        </w:rPr>
        <w:t xml:space="preserve">199; </w:t>
      </w:r>
      <w:r w:rsidRPr="00285BDD">
        <w:rPr>
          <w:rFonts w:cs="Times New Roman"/>
          <w:i/>
          <w:lang w:val="fr-CA"/>
        </w:rPr>
        <w:t>Miglin c. Miglin</w:t>
      </w:r>
      <w:r w:rsidRPr="00285BDD">
        <w:rPr>
          <w:rFonts w:cs="Times New Roman"/>
          <w:lang w:val="fr-CA"/>
        </w:rPr>
        <w:t>, [2003] 1 R.C.S. 303, par.</w:t>
      </w:r>
      <w:r w:rsidR="00BB6F2A">
        <w:rPr>
          <w:rFonts w:cs="Times New Roman"/>
          <w:lang w:val="fr-CA"/>
        </w:rPr>
        <w:t xml:space="preserve"> </w:t>
      </w:r>
      <w:r w:rsidRPr="00285BDD">
        <w:rPr>
          <w:rFonts w:cs="Times New Roman"/>
          <w:lang w:val="fr-CA"/>
        </w:rPr>
        <w:t>26;</w:t>
      </w:r>
      <w:r w:rsidRPr="00285BDD">
        <w:rPr>
          <w:rFonts w:cs="Times New Roman"/>
          <w:i/>
          <w:lang w:val="fr-CA"/>
        </w:rPr>
        <w:t xml:space="preserve"> Baker c. Canada (Ministre de la Citoyenneté et de l’Immigration)</w:t>
      </w:r>
      <w:r w:rsidRPr="00285BDD">
        <w:rPr>
          <w:rFonts w:cs="Times New Roman"/>
          <w:lang w:val="fr-CA"/>
        </w:rPr>
        <w:t>, [1999] 2 R.C.S. 817, par.</w:t>
      </w:r>
      <w:r w:rsidR="00BB6F2A">
        <w:rPr>
          <w:rFonts w:cs="Times New Roman"/>
          <w:lang w:val="fr-CA"/>
        </w:rPr>
        <w:t xml:space="preserve"> </w:t>
      </w:r>
      <w:r w:rsidRPr="00285BDD">
        <w:rPr>
          <w:rFonts w:cs="Times New Roman"/>
          <w:lang w:val="fr-CA"/>
        </w:rPr>
        <w:t xml:space="preserve">46; </w:t>
      </w:r>
      <w:r w:rsidRPr="00285BDD">
        <w:rPr>
          <w:rFonts w:cs="Times New Roman"/>
          <w:i/>
          <w:lang w:val="fr-CA"/>
        </w:rPr>
        <w:t>R. c. S. (R.D.)</w:t>
      </w:r>
      <w:r w:rsidRPr="00285BDD">
        <w:rPr>
          <w:rFonts w:cs="Times New Roman"/>
          <w:lang w:val="fr-CA"/>
        </w:rPr>
        <w:t>, [1997] 3 R.C.S. 484, par.</w:t>
      </w:r>
      <w:r w:rsidR="00BB6F2A">
        <w:rPr>
          <w:rFonts w:cs="Times New Roman"/>
          <w:lang w:val="fr-CA"/>
        </w:rPr>
        <w:t xml:space="preserve"> </w:t>
      </w:r>
      <w:r w:rsidRPr="00285BDD">
        <w:rPr>
          <w:rFonts w:cs="Times New Roman"/>
          <w:lang w:val="fr-CA"/>
        </w:rPr>
        <w:t>11, le juge Major, par.</w:t>
      </w:r>
      <w:r w:rsidR="00BB6F2A">
        <w:rPr>
          <w:rFonts w:cs="Times New Roman"/>
          <w:lang w:val="fr-CA"/>
        </w:rPr>
        <w:t xml:space="preserve"> </w:t>
      </w:r>
      <w:r w:rsidRPr="00285BDD">
        <w:rPr>
          <w:rFonts w:cs="Times New Roman"/>
          <w:lang w:val="fr-CA"/>
        </w:rPr>
        <w:t>31, les juges L’Heureux</w:t>
      </w:r>
      <w:r w:rsidR="00BB6F2A">
        <w:rPr>
          <w:rFonts w:cs="Times New Roman"/>
          <w:lang w:val="fr-CA"/>
        </w:rPr>
        <w:t>-</w:t>
      </w:r>
      <w:r w:rsidRPr="00285BDD">
        <w:rPr>
          <w:rFonts w:cs="Times New Roman"/>
          <w:lang w:val="fr-CA"/>
        </w:rPr>
        <w:t>Dubé et McLachlin, par.</w:t>
      </w:r>
      <w:r w:rsidR="00BB6F2A">
        <w:rPr>
          <w:rFonts w:cs="Times New Roman"/>
          <w:lang w:val="fr-CA"/>
        </w:rPr>
        <w:t xml:space="preserve"> </w:t>
      </w:r>
      <w:r w:rsidRPr="00285BDD">
        <w:rPr>
          <w:rFonts w:cs="Times New Roman"/>
          <w:lang w:val="fr-CA"/>
        </w:rPr>
        <w:t xml:space="preserve">111, le juge Cory; </w:t>
      </w:r>
      <w:r w:rsidRPr="00285BDD">
        <w:rPr>
          <w:rFonts w:cs="Times New Roman"/>
          <w:i/>
          <w:lang w:val="fr-CA"/>
        </w:rPr>
        <w:t>Ruffo c. Conseil de la magistrature</w:t>
      </w:r>
      <w:r w:rsidRPr="00285BDD">
        <w:rPr>
          <w:rFonts w:cs="Times New Roman"/>
          <w:lang w:val="fr-CA"/>
        </w:rPr>
        <w:t>, [1995] 4 R.C.S. 267, par.</w:t>
      </w:r>
      <w:r w:rsidR="00BB6F2A">
        <w:rPr>
          <w:rFonts w:cs="Times New Roman"/>
          <w:lang w:val="fr-CA"/>
        </w:rPr>
        <w:t xml:space="preserve"> </w:t>
      </w:r>
      <w:r w:rsidRPr="00285BDD">
        <w:rPr>
          <w:rFonts w:cs="Times New Roman"/>
          <w:lang w:val="fr-CA"/>
        </w:rPr>
        <w:t xml:space="preserve">45; </w:t>
      </w:r>
      <w:r w:rsidRPr="00285BDD">
        <w:rPr>
          <w:rFonts w:cs="Times New Roman"/>
          <w:i/>
          <w:lang w:val="fr-CA"/>
        </w:rPr>
        <w:t>R. c. Lippé</w:t>
      </w:r>
      <w:r w:rsidRPr="00285BDD">
        <w:rPr>
          <w:rFonts w:cs="Times New Roman"/>
          <w:lang w:val="fr-CA"/>
        </w:rPr>
        <w:t>, [1991] 2 R.C.S. 114, p.</w:t>
      </w:r>
      <w:r w:rsidR="00BB6F2A">
        <w:rPr>
          <w:rFonts w:cs="Times New Roman"/>
          <w:lang w:val="fr-CA"/>
        </w:rPr>
        <w:t xml:space="preserve"> </w:t>
      </w:r>
      <w:r w:rsidRPr="00285BDD">
        <w:rPr>
          <w:rFonts w:cs="Times New Roman"/>
          <w:lang w:val="fr-CA"/>
        </w:rPr>
        <w:t>143;</w:t>
      </w:r>
      <w:r w:rsidRPr="00285BDD">
        <w:rPr>
          <w:rFonts w:cs="Times New Roman"/>
          <w:i/>
          <w:iCs/>
          <w:lang w:val="fr-CA"/>
        </w:rPr>
        <w:t xml:space="preserve"> Valente c.</w:t>
      </w:r>
      <w:r w:rsidRPr="00285BDD">
        <w:rPr>
          <w:rFonts w:cs="Times New Roman"/>
          <w:lang w:val="fr-CA"/>
        </w:rPr>
        <w:t xml:space="preserve"> </w:t>
      </w:r>
      <w:r w:rsidRPr="00285BDD">
        <w:rPr>
          <w:rFonts w:cs="Times New Roman"/>
          <w:i/>
          <w:iCs/>
          <w:lang w:val="fr-CA"/>
        </w:rPr>
        <w:t>La Reine</w:t>
      </w:r>
      <w:r w:rsidRPr="00285BDD">
        <w:rPr>
          <w:rFonts w:cs="Times New Roman"/>
          <w:lang w:val="fr-CA"/>
        </w:rPr>
        <w:t>, [1985] 2 R.C.S. 673, p.</w:t>
      </w:r>
      <w:r w:rsidR="00BB6F2A">
        <w:rPr>
          <w:rFonts w:cs="Times New Roman"/>
          <w:lang w:val="fr-CA"/>
        </w:rPr>
        <w:t xml:space="preserve"> </w:t>
      </w:r>
      <w:r w:rsidRPr="00285BDD">
        <w:rPr>
          <w:rFonts w:cs="Times New Roman"/>
          <w:lang w:val="fr-CA"/>
        </w:rPr>
        <w:t xml:space="preserve">684. </w:t>
      </w:r>
    </w:p>
    <w:p w:rsidR="0095762B" w:rsidRPr="00285BDD" w:rsidRDefault="0095762B" w:rsidP="0095762B">
      <w:pPr>
        <w:pStyle w:val="ParaNoNdepar-AltN"/>
        <w:widowControl w:val="0"/>
        <w:rPr>
          <w:rFonts w:cs="Times New Roman"/>
          <w:lang w:val="fr-CA"/>
        </w:rPr>
      </w:pPr>
      <w:r w:rsidRPr="00285BDD">
        <w:rPr>
          <w:rFonts w:cs="Times New Roman"/>
          <w:lang w:val="fr-CA"/>
        </w:rPr>
        <w:t>L’objectif du critère est d’assurer non seulement l’existence, mais l’</w:t>
      </w:r>
      <w:r w:rsidRPr="00285BDD">
        <w:rPr>
          <w:rFonts w:cs="Times New Roman"/>
          <w:i/>
          <w:lang w:val="fr-CA"/>
        </w:rPr>
        <w:t>apparence</w:t>
      </w:r>
      <w:r w:rsidRPr="00285BDD">
        <w:rPr>
          <w:rFonts w:cs="Times New Roman"/>
          <w:lang w:val="fr-CA"/>
        </w:rPr>
        <w:t xml:space="preserve"> d’un processus décisionnel juste. La question de la partialité est donc inextricablement liée au besoin d’impartialité. Dans l’arrêt</w:t>
      </w:r>
      <w:r w:rsidRPr="00285BDD">
        <w:rPr>
          <w:rFonts w:cs="Times New Roman"/>
          <w:i/>
          <w:lang w:val="fr-CA"/>
        </w:rPr>
        <w:t xml:space="preserve"> Valente</w:t>
      </w:r>
      <w:r w:rsidRPr="00285BDD">
        <w:rPr>
          <w:rFonts w:cs="Times New Roman"/>
          <w:lang w:val="fr-CA"/>
        </w:rPr>
        <w:t>, le juge Le</w:t>
      </w:r>
      <w:r w:rsidR="00BB6F2A">
        <w:rPr>
          <w:rFonts w:cs="Times New Roman"/>
          <w:lang w:val="fr-CA"/>
        </w:rPr>
        <w:t xml:space="preserve"> </w:t>
      </w:r>
      <w:r w:rsidRPr="00285BDD">
        <w:rPr>
          <w:rFonts w:cs="Times New Roman"/>
          <w:lang w:val="fr-CA"/>
        </w:rPr>
        <w:t xml:space="preserve">Dain a fait le lien entre l’absence de préjugé et l’impartialité, concluant que </w:t>
      </w:r>
      <w:r w:rsidR="00BB6F2A">
        <w:rPr>
          <w:rFonts w:cs="Times New Roman"/>
          <w:lang w:val="fr-CA"/>
        </w:rPr>
        <w:t>« </w:t>
      </w:r>
      <w:r w:rsidRPr="00285BDD">
        <w:rPr>
          <w:rFonts w:cs="Times New Roman"/>
          <w:lang w:val="fr-CA"/>
        </w:rPr>
        <w:t>[l]’impartialité désigne un état d’esprit ou une attitude du tribunal vis</w:t>
      </w:r>
      <w:r w:rsidR="00BB6F2A">
        <w:rPr>
          <w:rFonts w:cs="Times New Roman"/>
          <w:lang w:val="fr-CA"/>
        </w:rPr>
        <w:t>-</w:t>
      </w:r>
      <w:r w:rsidRPr="00285BDD">
        <w:rPr>
          <w:rFonts w:cs="Times New Roman"/>
          <w:lang w:val="fr-CA"/>
        </w:rPr>
        <w:t>à</w:t>
      </w:r>
      <w:r w:rsidR="00BB6F2A">
        <w:rPr>
          <w:rFonts w:cs="Times New Roman"/>
          <w:lang w:val="fr-CA"/>
        </w:rPr>
        <w:t>-</w:t>
      </w:r>
      <w:r w:rsidRPr="00285BDD">
        <w:rPr>
          <w:rFonts w:cs="Times New Roman"/>
          <w:lang w:val="fr-CA"/>
        </w:rPr>
        <w:t>vis des points en litige et des parties dans une instance donnée</w:t>
      </w:r>
      <w:r w:rsidR="00BB6F2A">
        <w:rPr>
          <w:rFonts w:cs="Times New Roman"/>
          <w:lang w:val="fr-CA"/>
        </w:rPr>
        <w:t> »</w:t>
      </w:r>
      <w:r w:rsidRPr="00285BDD">
        <w:rPr>
          <w:rFonts w:cs="Times New Roman"/>
          <w:lang w:val="fr-CA"/>
        </w:rPr>
        <w:t xml:space="preserve"> et </w:t>
      </w:r>
      <w:r w:rsidR="00BB6F2A">
        <w:rPr>
          <w:rFonts w:cs="Times New Roman"/>
          <w:lang w:val="fr-CA"/>
        </w:rPr>
        <w:t>« </w:t>
      </w:r>
      <w:r w:rsidRPr="00285BDD">
        <w:rPr>
          <w:rFonts w:cs="Times New Roman"/>
          <w:lang w:val="fr-CA"/>
        </w:rPr>
        <w:t>connote une absence de préjugé, réel ou apparent</w:t>
      </w:r>
      <w:r w:rsidR="00BB6F2A">
        <w:rPr>
          <w:rFonts w:cs="Times New Roman"/>
          <w:lang w:val="fr-CA"/>
        </w:rPr>
        <w:t> » :</w:t>
      </w:r>
      <w:r w:rsidRPr="00285BDD">
        <w:rPr>
          <w:rFonts w:cs="Times New Roman"/>
          <w:lang w:val="fr-CA"/>
        </w:rPr>
        <w:t xml:space="preserve"> p.</w:t>
      </w:r>
      <w:r w:rsidR="00BB6F2A">
        <w:rPr>
          <w:rFonts w:cs="Times New Roman"/>
          <w:lang w:val="fr-CA"/>
        </w:rPr>
        <w:t xml:space="preserve"> </w:t>
      </w:r>
      <w:r w:rsidRPr="00285BDD">
        <w:rPr>
          <w:rFonts w:cs="Times New Roman"/>
          <w:lang w:val="fr-CA"/>
        </w:rPr>
        <w:t>685. Les notions d’impartialité et d’absence de préjugé sont devenues des exigences tant juridiques qu’éthiques. Les juges doivent — et sont censés —aborder toute affaire avec impartialité et un esprit ouvert</w:t>
      </w:r>
      <w:r w:rsidR="00BB6F2A">
        <w:rPr>
          <w:rFonts w:cs="Times New Roman"/>
          <w:lang w:val="fr-CA"/>
        </w:rPr>
        <w:t> :</w:t>
      </w:r>
      <w:r w:rsidRPr="00285BDD">
        <w:rPr>
          <w:rFonts w:cs="Times New Roman"/>
          <w:lang w:val="fr-CA"/>
        </w:rPr>
        <w:t xml:space="preserve"> voir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par.</w:t>
      </w:r>
      <w:r w:rsidR="00BB6F2A">
        <w:rPr>
          <w:rFonts w:cs="Times New Roman"/>
          <w:lang w:val="fr-CA"/>
        </w:rPr>
        <w:t xml:space="preserve"> </w:t>
      </w:r>
      <w:r w:rsidRPr="00285BDD">
        <w:rPr>
          <w:rFonts w:cs="Times New Roman"/>
          <w:lang w:val="fr-CA"/>
        </w:rPr>
        <w:t>49, les juges L’Heureux</w:t>
      </w:r>
      <w:r w:rsidR="00BB6F2A">
        <w:rPr>
          <w:rFonts w:cs="Times New Roman"/>
          <w:lang w:val="fr-CA"/>
        </w:rPr>
        <w:t>-</w:t>
      </w:r>
      <w:r w:rsidRPr="00285BDD">
        <w:rPr>
          <w:rFonts w:cs="Times New Roman"/>
          <w:lang w:val="fr-CA"/>
        </w:rPr>
        <w:t>Dubé et McLachlin.</w:t>
      </w:r>
    </w:p>
    <w:p w:rsidR="0095762B" w:rsidRPr="00285BDD" w:rsidRDefault="0095762B" w:rsidP="0095762B">
      <w:pPr>
        <w:pStyle w:val="ParaNoNdepar-AltN"/>
        <w:widowControl w:val="0"/>
        <w:rPr>
          <w:rFonts w:cs="Times New Roman"/>
          <w:i/>
          <w:lang w:val="fr-CA"/>
        </w:rPr>
      </w:pPr>
      <w:r w:rsidRPr="00285BDD">
        <w:rPr>
          <w:rFonts w:cs="Times New Roman"/>
          <w:lang w:val="fr-CA"/>
        </w:rPr>
        <w:t xml:space="preserve">Dans l’arrêt </w:t>
      </w:r>
      <w:r w:rsidRPr="00285BDD">
        <w:rPr>
          <w:rFonts w:cs="Times New Roman"/>
          <w:i/>
          <w:lang w:val="fr-CA"/>
        </w:rPr>
        <w:t>Wewaykum</w:t>
      </w:r>
      <w:r w:rsidRPr="00285BDD">
        <w:rPr>
          <w:rFonts w:cs="Times New Roman"/>
          <w:lang w:val="fr-CA"/>
        </w:rPr>
        <w:t>, notre Cour a confirmé la nécessité de statuer en toute impartialité pour préserver la confiance du public dans la capacité du juge d’être véritablement ouvert d’esprit</w:t>
      </w:r>
      <w:r w:rsidR="00BB6F2A">
        <w:rPr>
          <w:rFonts w:cs="Times New Roman"/>
          <w:lang w:val="fr-CA"/>
        </w:rPr>
        <w:t> :</w:t>
      </w:r>
    </w:p>
    <w:p w:rsidR="0095762B" w:rsidRPr="00285BDD" w:rsidRDefault="00245D53" w:rsidP="0095762B">
      <w:pPr>
        <w:pStyle w:val="Citation-AltC"/>
        <w:widowControl w:val="0"/>
        <w:spacing w:after="240"/>
        <w:ind w:hanging="1166"/>
        <w:contextualSpacing w:val="0"/>
        <w:rPr>
          <w:lang w:val="fr-CA"/>
        </w:rPr>
      </w:pPr>
      <w:r>
        <w:rPr>
          <w:lang w:val="fr-CA"/>
        </w:rPr>
        <w:tab/>
        <w:t xml:space="preserve">. . . </w:t>
      </w:r>
      <w:r w:rsidR="0095762B" w:rsidRPr="00285BDD">
        <w:rPr>
          <w:lang w:val="fr-CA"/>
        </w:rPr>
        <w:t xml:space="preserve">la confiance du public dans notre système juridique prend sa source </w:t>
      </w:r>
      <w:r w:rsidR="0095762B" w:rsidRPr="00285BDD">
        <w:rPr>
          <w:lang w:val="fr-CA"/>
        </w:rPr>
        <w:lastRenderedPageBreak/>
        <w:t>dans la conviction fondamentale selon laquelle ceux qui rendent jugement doivent non seulement toujours le faire sans partialité ni préjugé, mais doivent également être perçus comme agissant de la sorte.</w:t>
      </w:r>
    </w:p>
    <w:p w:rsidR="0095762B" w:rsidRPr="00285BDD" w:rsidRDefault="0095762B" w:rsidP="0095762B">
      <w:pPr>
        <w:pStyle w:val="Citation-AltC"/>
        <w:widowControl w:val="0"/>
        <w:ind w:hanging="1166"/>
        <w:contextualSpacing w:val="0"/>
        <w:rPr>
          <w:lang w:val="fr-CA"/>
        </w:rPr>
      </w:pPr>
      <w:r w:rsidRPr="00285BDD">
        <w:rPr>
          <w:lang w:val="fr-CA"/>
        </w:rPr>
        <w:tab/>
      </w:r>
      <w:r w:rsidRPr="00285BDD">
        <w:rPr>
          <w:lang w:val="fr-CA"/>
        </w:rPr>
        <w:tab/>
      </w:r>
      <w:r w:rsidRPr="00285BDD">
        <w:rPr>
          <w:u w:val="single"/>
          <w:lang w:val="fr-CA"/>
        </w:rPr>
        <w:t>L’essence de l’impartialité est l’obligation qu’a le juge d’aborder avec un esprit ouvert l’affaire qu’il doit trancher.</w:t>
      </w:r>
      <w:r w:rsidRPr="00285BDD">
        <w:rPr>
          <w:lang w:val="fr-CA"/>
        </w:rPr>
        <w:t xml:space="preserve"> [Je souligne; par.</w:t>
      </w:r>
      <w:r w:rsidR="00BB6F2A">
        <w:rPr>
          <w:lang w:val="fr-CA"/>
        </w:rPr>
        <w:t xml:space="preserve"> </w:t>
      </w:r>
      <w:r w:rsidRPr="00285BDD">
        <w:rPr>
          <w:lang w:val="fr-CA"/>
        </w:rPr>
        <w:t>57</w:t>
      </w:r>
      <w:r w:rsidR="00BB6F2A">
        <w:rPr>
          <w:lang w:val="fr-CA"/>
        </w:rPr>
        <w:t>-</w:t>
      </w:r>
      <w:r w:rsidRPr="00285BDD">
        <w:rPr>
          <w:lang w:val="fr-CA"/>
        </w:rPr>
        <w:t>58</w:t>
      </w:r>
      <w:r w:rsidR="00245D53">
        <w:rPr>
          <w:lang w:val="fr-CA"/>
        </w:rPr>
        <w:t>.</w:t>
      </w:r>
      <w:r w:rsidRPr="00285BDD">
        <w:rPr>
          <w:lang w:val="fr-CA"/>
        </w:rPr>
        <w:t>]</w:t>
      </w:r>
    </w:p>
    <w:p w:rsidR="0095762B" w:rsidRPr="00285BDD" w:rsidRDefault="0095762B" w:rsidP="0095762B">
      <w:pPr>
        <w:pStyle w:val="ParaNoNdepar-AltN"/>
        <w:widowControl w:val="0"/>
        <w:rPr>
          <w:rFonts w:cs="Times New Roman"/>
          <w:lang w:val="fr-CA"/>
        </w:rPr>
      </w:pPr>
      <w:r w:rsidRPr="00285BDD">
        <w:rPr>
          <w:rFonts w:cs="Times New Roman"/>
          <w:lang w:val="fr-CA"/>
        </w:rPr>
        <w:t>Ou, comme l’a fait observer Jeremy Webber, [</w:t>
      </w:r>
      <w:r w:rsidRPr="00285BDD">
        <w:rPr>
          <w:rFonts w:cs="Times New Roman"/>
          <w:smallCaps/>
          <w:lang w:val="fr-CA"/>
        </w:rPr>
        <w:t>traduction</w:t>
      </w:r>
      <w:r w:rsidRPr="00285BDD">
        <w:rPr>
          <w:rFonts w:cs="Times New Roman"/>
          <w:lang w:val="fr-CA"/>
        </w:rPr>
        <w:t xml:space="preserve">] </w:t>
      </w:r>
      <w:r w:rsidR="00BB6F2A">
        <w:rPr>
          <w:rFonts w:cs="Times New Roman"/>
          <w:lang w:val="fr-CA"/>
        </w:rPr>
        <w:t>« </w:t>
      </w:r>
      <w:r w:rsidRPr="00285BDD">
        <w:rPr>
          <w:rFonts w:cs="Times New Roman"/>
          <w:lang w:val="fr-CA"/>
        </w:rPr>
        <w:t>l’impartialité est une vertu essentielle chez un juge. Pour que la décision soit acceptée, les parties doivent avoir la certitude que le juge n’est pas incité par des considérations non pertinentes à favoriser une partie plutôt que l’autre</w:t>
      </w:r>
      <w:r w:rsidR="00BB6F2A">
        <w:rPr>
          <w:rFonts w:cs="Times New Roman"/>
          <w:lang w:val="fr-CA"/>
        </w:rPr>
        <w:t> » :</w:t>
      </w:r>
      <w:r w:rsidRPr="00285BDD">
        <w:rPr>
          <w:rFonts w:cs="Times New Roman"/>
          <w:lang w:val="fr-CA"/>
        </w:rPr>
        <w:t xml:space="preserve"> </w:t>
      </w:r>
      <w:r w:rsidR="00BB6F2A">
        <w:rPr>
          <w:rFonts w:cs="Times New Roman"/>
          <w:lang w:val="fr-CA"/>
        </w:rPr>
        <w:t>« </w:t>
      </w:r>
      <w:r w:rsidRPr="00285BDD">
        <w:rPr>
          <w:rFonts w:cs="Times New Roman"/>
          <w:lang w:val="fr-CA"/>
        </w:rPr>
        <w:t>The Limits to Judges’ Free Speech</w:t>
      </w:r>
      <w:r w:rsidR="00245D53">
        <w:rPr>
          <w:rFonts w:cs="Times New Roman"/>
          <w:lang w:val="fr-CA"/>
        </w:rPr>
        <w:t> </w:t>
      </w:r>
      <w:r w:rsidRPr="00285BDD">
        <w:rPr>
          <w:rFonts w:cs="Times New Roman"/>
          <w:lang w:val="fr-CA"/>
        </w:rPr>
        <w:t>: A Comment on the Report of the Committee of Investigation into the Conduct of the Hon. Mr</w:t>
      </w:r>
      <w:r w:rsidR="00BB6F2A">
        <w:rPr>
          <w:rFonts w:cs="Times New Roman"/>
          <w:lang w:val="fr-CA"/>
        </w:rPr>
        <w:t xml:space="preserve"> </w:t>
      </w:r>
      <w:r w:rsidRPr="00285BDD">
        <w:rPr>
          <w:rFonts w:cs="Times New Roman"/>
          <w:lang w:val="fr-CA"/>
        </w:rPr>
        <w:t>Justice Berger</w:t>
      </w:r>
      <w:r w:rsidR="00BB6F2A">
        <w:rPr>
          <w:rFonts w:cs="Times New Roman"/>
          <w:lang w:val="fr-CA"/>
        </w:rPr>
        <w:t> »</w:t>
      </w:r>
      <w:r w:rsidRPr="00285BDD">
        <w:rPr>
          <w:rFonts w:cs="Times New Roman"/>
          <w:lang w:val="fr-CA"/>
        </w:rPr>
        <w:t xml:space="preserve"> (1984), 29 </w:t>
      </w:r>
      <w:r w:rsidR="00245D53" w:rsidRPr="00245D53">
        <w:rPr>
          <w:rFonts w:cs="Times New Roman"/>
          <w:i/>
          <w:lang w:val="fr-CA"/>
        </w:rPr>
        <w:t>R.D.</w:t>
      </w:r>
      <w:r w:rsidR="00245D53">
        <w:rPr>
          <w:rFonts w:cs="Times New Roman"/>
          <w:lang w:val="fr-CA"/>
        </w:rPr>
        <w:t xml:space="preserve"> </w:t>
      </w:r>
      <w:r w:rsidRPr="00285BDD">
        <w:rPr>
          <w:rFonts w:cs="Times New Roman"/>
          <w:i/>
          <w:lang w:val="fr-CA"/>
        </w:rPr>
        <w:t>McGill</w:t>
      </w:r>
      <w:r w:rsidR="00BB6F2A">
        <w:rPr>
          <w:rFonts w:cs="Times New Roman"/>
          <w:i/>
          <w:lang w:val="fr-CA"/>
        </w:rPr>
        <w:t xml:space="preserve"> </w:t>
      </w:r>
      <w:r w:rsidRPr="00285BDD">
        <w:rPr>
          <w:rFonts w:cs="Times New Roman"/>
          <w:lang w:val="fr-CA"/>
        </w:rPr>
        <w:t>369, p.</w:t>
      </w:r>
      <w:r w:rsidR="00BB6F2A">
        <w:rPr>
          <w:rFonts w:cs="Times New Roman"/>
          <w:lang w:val="fr-CA"/>
        </w:rPr>
        <w:t xml:space="preserve"> </w:t>
      </w:r>
      <w:r w:rsidRPr="00285BDD">
        <w:rPr>
          <w:rFonts w:cs="Times New Roman"/>
          <w:lang w:val="fr-CA"/>
        </w:rPr>
        <w:t>389.</w:t>
      </w:r>
    </w:p>
    <w:p w:rsidR="0095762B" w:rsidRPr="00285BDD" w:rsidRDefault="0095762B" w:rsidP="0095762B">
      <w:pPr>
        <w:pStyle w:val="ParaNoNdepar-AltN"/>
        <w:widowControl w:val="0"/>
        <w:rPr>
          <w:rFonts w:cs="Times New Roman"/>
          <w:lang w:val="fr-CA"/>
        </w:rPr>
      </w:pPr>
      <w:r w:rsidRPr="00285BDD">
        <w:rPr>
          <w:rFonts w:cs="Times New Roman"/>
          <w:lang w:val="fr-CA"/>
        </w:rPr>
        <w:t>Puisqu’il y a une forte présomption d’impartialité judiciaire qui n’est pas facilement réfutable (</w:t>
      </w:r>
      <w:r w:rsidRPr="00285BDD">
        <w:rPr>
          <w:rFonts w:cs="Times New Roman"/>
          <w:i/>
          <w:lang w:val="fr-CA"/>
        </w:rPr>
        <w:t>Cojocaru c. British Columbia Women’s Hospital and Health Centre</w:t>
      </w:r>
      <w:r w:rsidRPr="00285BDD">
        <w:rPr>
          <w:rFonts w:cs="Times New Roman"/>
          <w:lang w:val="fr-CA"/>
        </w:rPr>
        <w:t>, [2013] 2 R.C.S. 357, par.</w:t>
      </w:r>
      <w:r w:rsidR="00BB6F2A">
        <w:rPr>
          <w:rFonts w:cs="Times New Roman"/>
          <w:lang w:val="fr-CA"/>
        </w:rPr>
        <w:t xml:space="preserve"> </w:t>
      </w:r>
      <w:r w:rsidRPr="00285BDD">
        <w:rPr>
          <w:rFonts w:cs="Times New Roman"/>
          <w:lang w:val="fr-CA"/>
        </w:rPr>
        <w:t xml:space="preserve">22), le critère servant à déterminer s’il existe une crainte raisonnable de partialité exige une </w:t>
      </w:r>
      <w:r w:rsidR="00BB6F2A">
        <w:rPr>
          <w:rFonts w:cs="Times New Roman"/>
          <w:lang w:val="fr-CA"/>
        </w:rPr>
        <w:t>« </w:t>
      </w:r>
      <w:r w:rsidRPr="00285BDD">
        <w:rPr>
          <w:rFonts w:cs="Times New Roman"/>
          <w:lang w:val="fr-CA"/>
        </w:rPr>
        <w:t>réelle probabilité de partialité</w:t>
      </w:r>
      <w:r w:rsidR="00BB6F2A">
        <w:rPr>
          <w:rFonts w:cs="Times New Roman"/>
          <w:lang w:val="fr-CA"/>
        </w:rPr>
        <w:t> »</w:t>
      </w:r>
      <w:r w:rsidRPr="00285BDD">
        <w:rPr>
          <w:rFonts w:cs="Times New Roman"/>
          <w:lang w:val="fr-CA"/>
        </w:rPr>
        <w:t xml:space="preserve"> et que les commentaires faits par le juge pendant un procès ne soient pas considérés isolément</w:t>
      </w:r>
      <w:r w:rsidR="00BB6F2A">
        <w:rPr>
          <w:rFonts w:cs="Times New Roman"/>
          <w:lang w:val="fr-CA"/>
        </w:rPr>
        <w:t> :</w:t>
      </w:r>
      <w:r w:rsidRPr="00285BDD">
        <w:rPr>
          <w:rFonts w:cs="Times New Roman"/>
          <w:lang w:val="fr-CA"/>
        </w:rPr>
        <w:t xml:space="preserve"> voir </w:t>
      </w:r>
      <w:r w:rsidRPr="00285BDD">
        <w:rPr>
          <w:rFonts w:cs="Times New Roman"/>
          <w:i/>
          <w:lang w:val="fr-CA"/>
        </w:rPr>
        <w:t>Arsenault</w:t>
      </w:r>
      <w:r w:rsidR="00BB6F2A">
        <w:rPr>
          <w:rFonts w:cs="Times New Roman"/>
          <w:i/>
          <w:lang w:val="fr-CA"/>
        </w:rPr>
        <w:t>-</w:t>
      </w:r>
      <w:r w:rsidRPr="00285BDD">
        <w:rPr>
          <w:rFonts w:cs="Times New Roman"/>
          <w:i/>
          <w:lang w:val="fr-CA"/>
        </w:rPr>
        <w:t>Cameron c. Île</w:t>
      </w:r>
      <w:r w:rsidR="00BB6F2A">
        <w:rPr>
          <w:rFonts w:cs="Times New Roman"/>
          <w:i/>
          <w:lang w:val="fr-CA"/>
        </w:rPr>
        <w:t>-</w:t>
      </w:r>
      <w:r w:rsidRPr="00285BDD">
        <w:rPr>
          <w:rFonts w:cs="Times New Roman"/>
          <w:i/>
          <w:lang w:val="fr-CA"/>
        </w:rPr>
        <w:t>du</w:t>
      </w:r>
      <w:r w:rsidR="00BB6F2A">
        <w:rPr>
          <w:rFonts w:cs="Times New Roman"/>
          <w:i/>
          <w:lang w:val="fr-CA"/>
        </w:rPr>
        <w:t>-</w:t>
      </w:r>
      <w:r w:rsidRPr="00285BDD">
        <w:rPr>
          <w:rFonts w:cs="Times New Roman"/>
          <w:i/>
          <w:lang w:val="fr-CA"/>
        </w:rPr>
        <w:t>Prince</w:t>
      </w:r>
      <w:r w:rsidR="00BB6F2A">
        <w:rPr>
          <w:rFonts w:cs="Times New Roman"/>
          <w:i/>
          <w:lang w:val="fr-CA"/>
        </w:rPr>
        <w:t>-</w:t>
      </w:r>
      <w:r w:rsidRPr="00285BDD">
        <w:rPr>
          <w:rFonts w:cs="Times New Roman"/>
          <w:i/>
          <w:lang w:val="fr-CA"/>
        </w:rPr>
        <w:t>Édouard</w:t>
      </w:r>
      <w:r w:rsidRPr="00285BDD">
        <w:rPr>
          <w:rFonts w:cs="Times New Roman"/>
          <w:lang w:val="fr-CA"/>
        </w:rPr>
        <w:t>, [1999] 3 R.C.S. 851, par.</w:t>
      </w:r>
      <w:r w:rsidR="00BB6F2A">
        <w:rPr>
          <w:rFonts w:cs="Times New Roman"/>
          <w:lang w:val="fr-CA"/>
        </w:rPr>
        <w:t xml:space="preserve"> </w:t>
      </w:r>
      <w:r w:rsidRPr="00285BDD">
        <w:rPr>
          <w:rFonts w:cs="Times New Roman"/>
          <w:lang w:val="fr-CA"/>
        </w:rPr>
        <w:t xml:space="preserve">2;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par.</w:t>
      </w:r>
      <w:r w:rsidR="00BB6F2A">
        <w:rPr>
          <w:rFonts w:cs="Times New Roman"/>
          <w:lang w:val="fr-CA"/>
        </w:rPr>
        <w:t xml:space="preserve"> </w:t>
      </w:r>
      <w:r w:rsidRPr="00285BDD">
        <w:rPr>
          <w:rFonts w:cs="Times New Roman"/>
          <w:lang w:val="fr-CA"/>
        </w:rPr>
        <w:t>134, le juge Cory.</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Par conséquent, l’analyse de la question de savoir si le comportement du décideur suscite une crainte raisonnable de partialité est intrinsèquement contextuelle et fonction des faits, et le fardeau d’établir la partialité qui incombe à la partie qui en </w:t>
      </w:r>
      <w:r w:rsidRPr="00285BDD">
        <w:rPr>
          <w:rFonts w:cs="Times New Roman"/>
          <w:lang w:val="fr-CA"/>
        </w:rPr>
        <w:lastRenderedPageBreak/>
        <w:t>allègue l’existence est donc élevé</w:t>
      </w:r>
      <w:r w:rsidR="00BB6F2A">
        <w:rPr>
          <w:rFonts w:cs="Times New Roman"/>
          <w:lang w:val="fr-CA"/>
        </w:rPr>
        <w:t> :</w:t>
      </w:r>
      <w:r w:rsidRPr="00285BDD">
        <w:rPr>
          <w:rFonts w:cs="Times New Roman"/>
          <w:lang w:val="fr-CA"/>
        </w:rPr>
        <w:t xml:space="preserve"> voir </w:t>
      </w:r>
      <w:r w:rsidRPr="00285BDD">
        <w:rPr>
          <w:rFonts w:cs="Times New Roman"/>
          <w:i/>
          <w:lang w:val="fr-CA"/>
        </w:rPr>
        <w:t>Wewaykum</w:t>
      </w:r>
      <w:r w:rsidRPr="00285BDD">
        <w:rPr>
          <w:rFonts w:cs="Times New Roman"/>
          <w:lang w:val="fr-CA"/>
        </w:rPr>
        <w:t>, par.</w:t>
      </w:r>
      <w:r w:rsidR="00BB6F2A">
        <w:rPr>
          <w:rFonts w:cs="Times New Roman"/>
          <w:lang w:val="fr-CA"/>
        </w:rPr>
        <w:t xml:space="preserve"> </w:t>
      </w:r>
      <w:r w:rsidRPr="00285BDD">
        <w:rPr>
          <w:rFonts w:cs="Times New Roman"/>
          <w:lang w:val="fr-CA"/>
        </w:rPr>
        <w:t xml:space="preserve">77; </w:t>
      </w:r>
      <w:r w:rsidRPr="00285BDD">
        <w:rPr>
          <w:rFonts w:cs="Times New Roman"/>
          <w:i/>
          <w:lang w:val="fr-CA"/>
        </w:rPr>
        <w:t>S. (R.D.)</w:t>
      </w:r>
      <w:r w:rsidRPr="00285BDD">
        <w:rPr>
          <w:rFonts w:cs="Times New Roman"/>
          <w:lang w:val="fr-CA"/>
        </w:rPr>
        <w:t>, par.</w:t>
      </w:r>
      <w:r w:rsidR="00BB6F2A">
        <w:rPr>
          <w:rFonts w:cs="Times New Roman"/>
          <w:lang w:val="fr-CA"/>
        </w:rPr>
        <w:t xml:space="preserve"> </w:t>
      </w:r>
      <w:r w:rsidRPr="00285BDD">
        <w:rPr>
          <w:rFonts w:cs="Times New Roman"/>
          <w:lang w:val="fr-CA"/>
        </w:rPr>
        <w:t xml:space="preserve">114, le juge Cory. Comme le juge Cory l’a fait observer dans l’arrêt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00BB6F2A" w:rsidRPr="00245D53">
        <w:rPr>
          <w:rFonts w:cs="Times New Roman"/>
          <w:lang w:val="fr-CA"/>
        </w:rPr>
        <w:t> :</w:t>
      </w:r>
      <w:r w:rsidRPr="00285BDD">
        <w:rPr>
          <w:rFonts w:cs="Times New Roman"/>
          <w:lang w:val="fr-CA"/>
        </w:rPr>
        <w:t xml:space="preserve"> </w:t>
      </w:r>
    </w:p>
    <w:p w:rsidR="0095762B" w:rsidRPr="00285BDD" w:rsidRDefault="0095762B" w:rsidP="0095762B">
      <w:pPr>
        <w:pStyle w:val="Citation-AltC"/>
        <w:widowControl w:val="0"/>
        <w:ind w:hanging="1166"/>
        <w:contextualSpacing w:val="0"/>
        <w:rPr>
          <w:lang w:val="fr-CA"/>
        </w:rPr>
      </w:pPr>
      <w:r w:rsidRPr="00285BDD">
        <w:rPr>
          <w:lang w:val="fr-CA"/>
        </w:rPr>
        <w:tab/>
      </w:r>
      <w:r w:rsidRPr="00285BDD">
        <w:rPr>
          <w:lang w:val="fr-CA"/>
        </w:rPr>
        <w:tab/>
      </w:r>
      <w:r w:rsidR="00245D53">
        <w:rPr>
          <w:lang w:val="fr-CA"/>
        </w:rPr>
        <w:t xml:space="preserve">. . . </w:t>
      </w:r>
      <w:r w:rsidRPr="00285BDD">
        <w:rPr>
          <w:lang w:val="fr-CA"/>
        </w:rPr>
        <w:t xml:space="preserve">les allégations de crainte de partialité ne seront généralement pas admises à moins que la conduite reprochée, </w:t>
      </w:r>
      <w:r w:rsidRPr="00285BDD">
        <w:rPr>
          <w:u w:val="single"/>
          <w:lang w:val="fr-CA"/>
        </w:rPr>
        <w:t>interprétée selon son contexte</w:t>
      </w:r>
      <w:r w:rsidRPr="00285BDD">
        <w:rPr>
          <w:lang w:val="fr-CA"/>
        </w:rPr>
        <w:t>, ne crée véritablement l’impression qu’une décision a été prise sur la foi d’un préjugé ou de généralisations. Voici le principe primordial qui se dégage de cette jurisprudence</w:t>
      </w:r>
      <w:r w:rsidR="00BB6F2A">
        <w:rPr>
          <w:lang w:val="fr-CA"/>
        </w:rPr>
        <w:t> :</w:t>
      </w:r>
      <w:r w:rsidRPr="00285BDD">
        <w:rPr>
          <w:lang w:val="fr-CA"/>
        </w:rPr>
        <w:t xml:space="preserve"> les commentaires ou la conduite reprochés ne doivent pas être examinés isolément, mais bien </w:t>
      </w:r>
      <w:r w:rsidRPr="00285BDD">
        <w:rPr>
          <w:u w:val="single"/>
          <w:lang w:val="fr-CA"/>
        </w:rPr>
        <w:t>selon le contexte des circonstances et [eu égard] à l’ensemble de la procédure</w:t>
      </w:r>
      <w:r w:rsidRPr="00285BDD">
        <w:rPr>
          <w:lang w:val="fr-CA"/>
        </w:rPr>
        <w:t>. [Je souligne; par.</w:t>
      </w:r>
      <w:r w:rsidR="00BB6F2A">
        <w:rPr>
          <w:lang w:val="fr-CA"/>
        </w:rPr>
        <w:t xml:space="preserve"> </w:t>
      </w:r>
      <w:r w:rsidRPr="00285BDD">
        <w:rPr>
          <w:lang w:val="fr-CA"/>
        </w:rPr>
        <w:t>141</w:t>
      </w:r>
      <w:r w:rsidR="005A4CA6">
        <w:rPr>
          <w:lang w:val="fr-CA"/>
        </w:rPr>
        <w:t>.</w:t>
      </w:r>
      <w:r w:rsidRPr="00285BDD">
        <w:rPr>
          <w:lang w:val="fr-CA"/>
        </w:rPr>
        <w:t>]</w:t>
      </w:r>
    </w:p>
    <w:p w:rsidR="0095762B" w:rsidRPr="00285BDD" w:rsidRDefault="0095762B" w:rsidP="0095762B">
      <w:pPr>
        <w:pStyle w:val="ParaNoNdepar-AltN"/>
        <w:widowControl w:val="0"/>
        <w:tabs>
          <w:tab w:val="num" w:pos="1242"/>
        </w:tabs>
        <w:ind w:left="90"/>
        <w:rPr>
          <w:rFonts w:cs="Times New Roman"/>
          <w:i/>
          <w:lang w:val="fr-CA"/>
        </w:rPr>
      </w:pPr>
      <w:r w:rsidRPr="00285BDD">
        <w:rPr>
          <w:rFonts w:cs="Times New Roman"/>
          <w:lang w:val="fr-CA"/>
        </w:rPr>
        <w:t xml:space="preserve">Cela dit, notre Cour a reconnu que le comportement du juge du procès, et particulièrement ses interventions, peuvent réfuter la présomption d’impartialité. Dans </w:t>
      </w:r>
      <w:r w:rsidRPr="00285BDD">
        <w:rPr>
          <w:rFonts w:cs="Times New Roman"/>
          <w:i/>
          <w:lang w:val="fr-CA"/>
        </w:rPr>
        <w:t>Brouillard c. La Reine</w:t>
      </w:r>
      <w:r w:rsidRPr="00285BDD">
        <w:rPr>
          <w:rFonts w:cs="Times New Roman"/>
          <w:lang w:val="fr-CA"/>
        </w:rPr>
        <w:t>, [1985] 1 R.C.S. 39, par exemple, le juge du procès avait posé à un témoin de la défense près de soixante questions et l’avait interrompu plus de dix fois pendant son témoignage. Il avait également posé à l’accusé davantage de questions que les deux avocats, l’avait interrompu une douzaine de fois et avait fait preuve maintes fois de sarcasme envers lui et un autre témoin. Le juge Lamer a signalé que les interventions d’un juge en soi ne témoignent pas nécessairement d’une partialité. Au contraire,</w:t>
      </w:r>
    </w:p>
    <w:p w:rsidR="0095762B" w:rsidRPr="00285BDD" w:rsidRDefault="0095762B" w:rsidP="0095762B">
      <w:pPr>
        <w:pStyle w:val="Citation-AltC"/>
        <w:widowControl w:val="0"/>
        <w:ind w:hanging="1166"/>
        <w:contextualSpacing w:val="0"/>
        <w:rPr>
          <w:sz w:val="20"/>
          <w:lang w:val="fr-CA"/>
        </w:rPr>
      </w:pPr>
      <w:r w:rsidRPr="00285BDD">
        <w:rPr>
          <w:lang w:val="fr-CA"/>
        </w:rPr>
        <w:tab/>
      </w:r>
      <w:r w:rsidRPr="00285BDD">
        <w:rPr>
          <w:lang w:val="fr-CA"/>
        </w:rPr>
        <w:tab/>
        <w:t>il est clair que l’on n’exige plus du juge la passivité d’antan; d’être ce que, moi, j’appelle un juge sphinx. Non seulement acceptons</w:t>
      </w:r>
      <w:r w:rsidR="00BB6F2A">
        <w:rPr>
          <w:lang w:val="fr-CA"/>
        </w:rPr>
        <w:t>-</w:t>
      </w:r>
      <w:r w:rsidRPr="00285BDD">
        <w:rPr>
          <w:lang w:val="fr-CA"/>
        </w:rPr>
        <w:t>nous aujourd’hui que le juge intervienne dans le débat adversaire, mais croyons</w:t>
      </w:r>
      <w:r w:rsidR="00BB6F2A">
        <w:rPr>
          <w:lang w:val="fr-CA"/>
        </w:rPr>
        <w:t>-</w:t>
      </w:r>
      <w:r w:rsidRPr="00285BDD">
        <w:rPr>
          <w:lang w:val="fr-CA"/>
        </w:rPr>
        <w:t>nous aussi qu’il est parfois essentiel qu’il le fasse pour que justice soit effectivement rendue. Ainsi un juge peut et, parfois, doit poser des questions aux témoins, les interrompre dans leur témoignage, et au besoin les rappeler à l’ordre. [p.</w:t>
      </w:r>
      <w:r w:rsidR="00BB6F2A">
        <w:rPr>
          <w:lang w:val="fr-CA"/>
        </w:rPr>
        <w:t xml:space="preserve"> </w:t>
      </w:r>
      <w:r w:rsidRPr="00285BDD">
        <w:rPr>
          <w:lang w:val="fr-CA"/>
        </w:rPr>
        <w:t>44]</w:t>
      </w:r>
    </w:p>
    <w:p w:rsidR="0095762B" w:rsidRPr="00285BDD" w:rsidRDefault="0095762B" w:rsidP="0095762B">
      <w:pPr>
        <w:pStyle w:val="ParaNoNdepar-AltN"/>
        <w:widowControl w:val="0"/>
        <w:rPr>
          <w:rFonts w:cs="Times New Roman"/>
          <w:sz w:val="20"/>
          <w:lang w:val="fr-CA"/>
        </w:rPr>
      </w:pPr>
      <w:r w:rsidRPr="00285BDD">
        <w:rPr>
          <w:rFonts w:cs="Times New Roman"/>
          <w:lang w:val="fr-CA"/>
        </w:rPr>
        <w:lastRenderedPageBreak/>
        <w:t xml:space="preserve">En revanche, le juge Lamer a approuvé et appliqué la mise en garde suivante de lord Denning dans </w:t>
      </w:r>
      <w:r w:rsidRPr="00285BDD">
        <w:rPr>
          <w:rFonts w:cs="Times New Roman"/>
          <w:i/>
          <w:iCs/>
          <w:lang w:val="fr-CA"/>
        </w:rPr>
        <w:t>Jones c.</w:t>
      </w:r>
      <w:r w:rsidRPr="00285BDD">
        <w:rPr>
          <w:rFonts w:cs="Times New Roman"/>
          <w:lang w:val="fr-CA"/>
        </w:rPr>
        <w:t xml:space="preserve"> </w:t>
      </w:r>
      <w:r w:rsidRPr="00285BDD">
        <w:rPr>
          <w:rFonts w:cs="Times New Roman"/>
          <w:i/>
          <w:iCs/>
          <w:lang w:val="fr-CA"/>
        </w:rPr>
        <w:t>National Coal Board</w:t>
      </w:r>
      <w:r w:rsidRPr="00285BDD">
        <w:rPr>
          <w:rFonts w:cs="Times New Roman"/>
          <w:lang w:val="fr-CA"/>
        </w:rPr>
        <w:t xml:space="preserve">, </w:t>
      </w:r>
      <w:r w:rsidRPr="00285BDD">
        <w:rPr>
          <w:rStyle w:val="reflex3-reflex"/>
          <w:rFonts w:cs="Times New Roman"/>
          <w:lang w:val="fr-CA"/>
        </w:rPr>
        <w:t>[1957] 2 All E.R. 155 (C.A</w:t>
      </w:r>
      <w:r w:rsidR="00245D53">
        <w:rPr>
          <w:rStyle w:val="reflex3-reflex"/>
          <w:rFonts w:cs="Times New Roman"/>
          <w:lang w:val="fr-CA"/>
        </w:rPr>
        <w:t>.</w:t>
      </w:r>
      <w:r w:rsidRPr="00285BDD">
        <w:rPr>
          <w:rStyle w:val="reflex3-reflex"/>
          <w:rFonts w:cs="Times New Roman"/>
          <w:lang w:val="fr-CA"/>
        </w:rPr>
        <w:t>)</w:t>
      </w:r>
      <w:r w:rsidR="00BB6F2A">
        <w:rPr>
          <w:rStyle w:val="reflex3-reflex"/>
          <w:rFonts w:cs="Times New Roman"/>
          <w:lang w:val="fr-CA"/>
        </w:rPr>
        <w:t> :</w:t>
      </w:r>
    </w:p>
    <w:p w:rsidR="0095762B" w:rsidRPr="00285BDD" w:rsidRDefault="0095762B" w:rsidP="0095762B">
      <w:pPr>
        <w:pStyle w:val="Citation-AltC"/>
        <w:widowControl w:val="0"/>
        <w:spacing w:after="240"/>
        <w:ind w:hanging="1166"/>
        <w:contextualSpacing w:val="0"/>
        <w:rPr>
          <w:lang w:val="en-US"/>
        </w:rPr>
      </w:pPr>
      <w:r w:rsidRPr="00285BDD">
        <w:rPr>
          <w:lang w:val="fr-CA"/>
        </w:rPr>
        <w:tab/>
      </w:r>
      <w:r w:rsidR="00245D53">
        <w:rPr>
          <w:lang w:val="fr-CA"/>
        </w:rPr>
        <w:tab/>
      </w:r>
      <w:r w:rsidRPr="00285BDD">
        <w:rPr>
          <w:lang w:val="fr-CA"/>
        </w:rPr>
        <w:t>[</w:t>
      </w:r>
      <w:r w:rsidRPr="00285BDD">
        <w:rPr>
          <w:smallCaps/>
          <w:lang w:val="fr-CA"/>
        </w:rPr>
        <w:t>traduction</w:t>
      </w:r>
      <w:r w:rsidRPr="00285BDD">
        <w:rPr>
          <w:lang w:val="fr-CA"/>
        </w:rPr>
        <w:t xml:space="preserve">]  Nous sommes néanmoins sûrs que les interventions en cause, prises ensemble, dépassent largement les bornes de ce qui est permis. Selon le mode d’instruction que nous avons dans ce pays, le rôle du juge consiste à entendre et à trancher les questions que soulèvent les parties et non pas à mener une enquête au nom de la société dans son ensemble </w:t>
      </w:r>
      <w:r w:rsidR="00BB6F2A">
        <w:rPr>
          <w:lang w:val="fr-CA"/>
        </w:rPr>
        <w:t>. . .</w:t>
      </w:r>
      <w:r w:rsidRPr="00285BDD">
        <w:rPr>
          <w:lang w:val="fr-CA"/>
        </w:rPr>
        <w:t xml:space="preserve"> </w:t>
      </w:r>
      <w:r w:rsidRPr="00285BDD">
        <w:rPr>
          <w:lang w:val="en-US"/>
        </w:rPr>
        <w:t>[p.</w:t>
      </w:r>
      <w:r w:rsidR="00BB6F2A">
        <w:rPr>
          <w:lang w:val="en-US"/>
        </w:rPr>
        <w:t xml:space="preserve"> </w:t>
      </w:r>
      <w:r w:rsidRPr="00285BDD">
        <w:rPr>
          <w:lang w:val="en-US"/>
        </w:rPr>
        <w:t>159]</w:t>
      </w:r>
    </w:p>
    <w:p w:rsidR="0095762B" w:rsidRPr="00285BDD" w:rsidRDefault="0095762B" w:rsidP="0095762B">
      <w:pPr>
        <w:pStyle w:val="ContinueParaSuitedupar-AltP"/>
        <w:widowControl w:val="0"/>
        <w:rPr>
          <w:rFonts w:cs="Times New Roman"/>
          <w:lang w:val="en-US"/>
        </w:rPr>
      </w:pPr>
      <w:r w:rsidRPr="00285BDD">
        <w:rPr>
          <w:rFonts w:cs="Times New Roman"/>
          <w:lang w:val="en-US"/>
        </w:rPr>
        <w:t xml:space="preserve">(Voir également </w:t>
      </w:r>
      <w:r w:rsidRPr="00285BDD">
        <w:rPr>
          <w:rFonts w:cs="Times New Roman"/>
          <w:i/>
          <w:lang w:val="en-US"/>
        </w:rPr>
        <w:t>Take and Save Trading CC c. Standard Bank of</w:t>
      </w:r>
      <w:r w:rsidRPr="00285BDD">
        <w:rPr>
          <w:rFonts w:cs="Times New Roman"/>
          <w:lang w:val="en-US"/>
        </w:rPr>
        <w:t xml:space="preserve"> </w:t>
      </w:r>
      <w:r w:rsidRPr="00285BDD">
        <w:rPr>
          <w:rFonts w:cs="Times New Roman"/>
          <w:i/>
          <w:lang w:val="en-US"/>
        </w:rPr>
        <w:t>SA Ltd.</w:t>
      </w:r>
      <w:r w:rsidRPr="00285BDD">
        <w:rPr>
          <w:rFonts w:cs="Times New Roman"/>
          <w:lang w:val="en-US"/>
        </w:rPr>
        <w:t>, 2004 (4) S.A. 1 (C.S.A.), par.</w:t>
      </w:r>
      <w:r w:rsidR="00BB6F2A">
        <w:rPr>
          <w:rFonts w:cs="Times New Roman"/>
          <w:lang w:val="en-US"/>
        </w:rPr>
        <w:t xml:space="preserve"> </w:t>
      </w:r>
      <w:r w:rsidR="00245D53">
        <w:rPr>
          <w:rFonts w:cs="Times New Roman"/>
          <w:lang w:val="en-US"/>
        </w:rPr>
        <w:t>4.)</w:t>
      </w:r>
    </w:p>
    <w:p w:rsidR="0095762B" w:rsidRPr="00285BDD" w:rsidRDefault="0095762B" w:rsidP="0095762B">
      <w:pPr>
        <w:pStyle w:val="ParaNoNdepar-AltN"/>
        <w:widowControl w:val="0"/>
        <w:rPr>
          <w:rFonts w:cs="Times New Roman"/>
          <w:i/>
          <w:lang w:val="fr-CA"/>
        </w:rPr>
      </w:pPr>
      <w:r w:rsidRPr="00285BDD">
        <w:rPr>
          <w:rFonts w:cs="Times New Roman"/>
          <w:lang w:val="fr-CA"/>
        </w:rPr>
        <w:t>Le juge Lamer n’était pas convaincu que le juge du procès était réellement partial, mais il y avait suffisamment de doute dans son esprit pour conclure que la tenue d’un nouveau procès était justifiée dans les circonstances.</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Dans </w:t>
      </w:r>
      <w:r w:rsidRPr="00285BDD">
        <w:rPr>
          <w:rFonts w:cs="Times New Roman"/>
          <w:i/>
          <w:lang w:val="fr-CA"/>
        </w:rPr>
        <w:t>Miglin</w:t>
      </w:r>
      <w:r w:rsidRPr="00285BDD">
        <w:rPr>
          <w:rFonts w:cs="Times New Roman"/>
          <w:lang w:val="fr-CA"/>
        </w:rPr>
        <w:t>, une autre affaire où l’allégation de partialité découlait des interventions du juge du procès, notre Cour a convenu avec la Cour d’appel de l’Ontario que, si bon nombre des interventions du juge du procès étaient regrettables et traduisaient de l’impatience envers un des témoins, le seuil élevé qu’il fallait franchir pour démontrer une crainte raisonnable de partialité n’avait pas été atteint. La Cour d’appel a fait observer ce qui suit</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00245D53">
        <w:rPr>
          <w:lang w:val="fr-CA"/>
        </w:rPr>
        <w:tab/>
      </w:r>
      <w:r w:rsidRPr="00285BDD">
        <w:rPr>
          <w:lang w:val="fr-CA"/>
        </w:rPr>
        <w:t>[</w:t>
      </w:r>
      <w:r w:rsidRPr="00285BDD">
        <w:rPr>
          <w:smallCaps/>
          <w:lang w:val="fr-CA"/>
        </w:rPr>
        <w:t>traduction</w:t>
      </w:r>
      <w:r w:rsidRPr="00285BDD">
        <w:rPr>
          <w:lang w:val="fr-CA"/>
        </w:rPr>
        <w:t xml:space="preserve">]  Le principe [selon lequel les motifs de crainte de partialité doivent être sérieux] a été adopté et élargi dans l’arrêt </w:t>
      </w:r>
      <w:r w:rsidRPr="00285BDD">
        <w:rPr>
          <w:i/>
          <w:lang w:val="fr-CA"/>
        </w:rPr>
        <w:t>R. c. S. (R.D.)</w:t>
      </w:r>
      <w:r w:rsidRPr="00285BDD">
        <w:rPr>
          <w:lang w:val="fr-CA"/>
        </w:rPr>
        <w:t>, [1997] 3 R.C.S. 484</w:t>
      </w:r>
      <w:r w:rsidR="00245D53">
        <w:rPr>
          <w:lang w:val="fr-CA"/>
        </w:rPr>
        <w:t>,</w:t>
      </w:r>
      <w:r w:rsidRPr="00285BDD">
        <w:rPr>
          <w:lang w:val="fr-CA"/>
        </w:rPr>
        <w:t xml:space="preserve"> [</w:t>
      </w:r>
      <w:r w:rsidR="00BB6F2A">
        <w:rPr>
          <w:lang w:val="fr-CA"/>
        </w:rPr>
        <w:t>. . .</w:t>
      </w:r>
      <w:r w:rsidRPr="00285BDD">
        <w:rPr>
          <w:lang w:val="fr-CA"/>
        </w:rPr>
        <w:t xml:space="preserve">] de façon à mettre en évidence le </w:t>
      </w:r>
      <w:r w:rsidRPr="00285BDD">
        <w:rPr>
          <w:lang w:val="fr-CA"/>
        </w:rPr>
        <w:lastRenderedPageBreak/>
        <w:t>principe dominant que les paroles et la conduite du juge doivent convaincre une personne raisonnable et bien renseignée qu’il est ouvert à la preuve et aux arguments présentés. Le seuil de partialité est élevé puisque l’intégrité de l’administration de la justice suppose l’équité, l’impartialité et l’intégrité dans l’exercice de la fonction judiciaire, une présomption qui ne peut être réfutée que par la preuve d’un procès inéquitable. Toutefois, lorsque la présomption est ainsi réfutée, l’intégrité du système judiciaire exige la tenue d’un nouveau procès.</w:t>
      </w:r>
    </w:p>
    <w:p w:rsidR="0095762B" w:rsidRPr="00285BDD" w:rsidRDefault="0095762B" w:rsidP="0095762B">
      <w:pPr>
        <w:pStyle w:val="Citation-AltC"/>
        <w:widowControl w:val="0"/>
        <w:ind w:hanging="1166"/>
        <w:contextualSpacing w:val="0"/>
        <w:rPr>
          <w:lang w:val="fr-CA"/>
        </w:rPr>
      </w:pPr>
      <w:r w:rsidRPr="00285BDD">
        <w:rPr>
          <w:lang w:val="fr-CA"/>
        </w:rPr>
        <w:tab/>
      </w:r>
      <w:r w:rsidRPr="00285BDD">
        <w:rPr>
          <w:lang w:val="fr-CA"/>
        </w:rPr>
        <w:tab/>
        <w:t>Il est difficile d’évaluer la partialité judiciaire. Cela nécessite un examen méticuleux et complet de l’instance, puisque l’effet cumulatif des irrégularités alléguées compte davantage qu’une seule transgression</w:t>
      </w:r>
      <w:r w:rsidR="000D3496">
        <w:rPr>
          <w:lang w:val="fr-CA"/>
        </w:rPr>
        <w:t xml:space="preserve"> . . .</w:t>
      </w:r>
      <w:r w:rsidRPr="00285BDD">
        <w:rPr>
          <w:lang w:val="fr-CA"/>
        </w:rPr>
        <w:t xml:space="preserve"> [</w:t>
      </w:r>
      <w:r w:rsidR="00245D53">
        <w:rPr>
          <w:lang w:val="fr-CA"/>
        </w:rPr>
        <w:t>R</w:t>
      </w:r>
      <w:r w:rsidR="000D3496">
        <w:rPr>
          <w:lang w:val="fr-CA"/>
        </w:rPr>
        <w:t>éférence</w:t>
      </w:r>
      <w:r w:rsidR="00206038">
        <w:rPr>
          <w:lang w:val="fr-CA"/>
        </w:rPr>
        <w:t>s</w:t>
      </w:r>
      <w:r w:rsidR="00245D53">
        <w:rPr>
          <w:lang w:val="fr-CA"/>
        </w:rPr>
        <w:t xml:space="preserve"> omis</w:t>
      </w:r>
      <w:r w:rsidR="000D3496">
        <w:rPr>
          <w:lang w:val="fr-CA"/>
        </w:rPr>
        <w:t>e</w:t>
      </w:r>
      <w:r w:rsidR="00206038">
        <w:rPr>
          <w:lang w:val="fr-CA"/>
        </w:rPr>
        <w:t>s</w:t>
      </w:r>
      <w:r w:rsidR="00245D53">
        <w:rPr>
          <w:lang w:val="fr-CA"/>
        </w:rPr>
        <w:t>; (200</w:t>
      </w:r>
      <w:r w:rsidR="000D3496">
        <w:rPr>
          <w:lang w:val="fr-CA"/>
        </w:rPr>
        <w:t>1</w:t>
      </w:r>
      <w:r w:rsidR="00245D53">
        <w:rPr>
          <w:lang w:val="fr-CA"/>
        </w:rPr>
        <w:t xml:space="preserve">), </w:t>
      </w:r>
      <w:r w:rsidRPr="00285BDD">
        <w:rPr>
          <w:lang w:val="fr-CA"/>
        </w:rPr>
        <w:t>53</w:t>
      </w:r>
      <w:r w:rsidR="00BB6F2A">
        <w:rPr>
          <w:lang w:val="fr-CA"/>
        </w:rPr>
        <w:t xml:space="preserve"> </w:t>
      </w:r>
      <w:r w:rsidRPr="00285BDD">
        <w:rPr>
          <w:lang w:val="fr-CA"/>
        </w:rPr>
        <w:t>O.R. (3d) 641, par.</w:t>
      </w:r>
      <w:r w:rsidR="00BB6F2A">
        <w:rPr>
          <w:lang w:val="fr-CA"/>
        </w:rPr>
        <w:t xml:space="preserve"> </w:t>
      </w:r>
      <w:r w:rsidRPr="00285BDD">
        <w:rPr>
          <w:lang w:val="fr-CA"/>
        </w:rPr>
        <w:t>29</w:t>
      </w:r>
      <w:r w:rsidR="00BB6F2A">
        <w:rPr>
          <w:lang w:val="fr-CA"/>
        </w:rPr>
        <w:t>-</w:t>
      </w:r>
      <w:r w:rsidRPr="00285BDD">
        <w:rPr>
          <w:lang w:val="fr-CA"/>
        </w:rPr>
        <w:t>30</w:t>
      </w:r>
      <w:r w:rsidR="00245D53">
        <w:rPr>
          <w:lang w:val="fr-CA"/>
        </w:rPr>
        <w:t>.</w:t>
      </w:r>
      <w:r w:rsidRPr="00285BDD">
        <w:rPr>
          <w:lang w:val="fr-CA"/>
        </w:rPr>
        <w:t xml:space="preserve">] </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En ce qui concerne la façon dont il convient d’évaluer les répercussions de l’identité, de l’expérience et des affiliations du juge sur une apparence de partialité, les commentaires du juge Cory dans l’arrêt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xml:space="preserve"> constituent un point de départ utile</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r>
      <w:r w:rsidRPr="00285BDD">
        <w:rPr>
          <w:lang w:val="fr-CA"/>
        </w:rPr>
        <w:tab/>
        <w:t>Peu importe leur formation, leur sexe, leur origine ethnique ou raciale, tous les juges ont l’obligation fondamentale envers la collectivité de rendre des décisions impartiales et de paraître impartiaux. Il s’ensuit que les juges doivent s’efforcer de ne prononcer aucune parole et de n’accomplir aucun acte durant le procès ou en rendant jugement qui puisse donner à une personne raisonnable et bien renseignée l’impression qu’une question a été jugée prématurément ou tranchée sur la foi de suppositions ou de généralisations stéréotypées. [par.</w:t>
      </w:r>
      <w:r w:rsidR="00BB6F2A">
        <w:rPr>
          <w:lang w:val="fr-CA"/>
        </w:rPr>
        <w:t xml:space="preserve"> </w:t>
      </w:r>
      <w:r w:rsidRPr="00285BDD">
        <w:rPr>
          <w:lang w:val="fr-CA"/>
        </w:rPr>
        <w:t>120]</w:t>
      </w:r>
    </w:p>
    <w:p w:rsidR="0095762B" w:rsidRPr="00285BDD" w:rsidRDefault="0095762B" w:rsidP="0095762B">
      <w:pPr>
        <w:pStyle w:val="ParaNoNdepar-AltN"/>
        <w:widowControl w:val="0"/>
        <w:rPr>
          <w:rFonts w:cs="Times New Roman"/>
          <w:lang w:val="fr-CA"/>
        </w:rPr>
      </w:pPr>
      <w:r w:rsidRPr="00285BDD">
        <w:rPr>
          <w:rFonts w:cs="Times New Roman"/>
          <w:lang w:val="fr-CA"/>
        </w:rPr>
        <w:t>Mais il importe également de se rappeler des propos des juges L’Heureux</w:t>
      </w:r>
      <w:r w:rsidR="00BB6F2A">
        <w:rPr>
          <w:rFonts w:cs="Times New Roman"/>
          <w:lang w:val="fr-CA"/>
        </w:rPr>
        <w:t>-</w:t>
      </w:r>
      <w:r w:rsidRPr="00285BDD">
        <w:rPr>
          <w:rFonts w:cs="Times New Roman"/>
          <w:lang w:val="fr-CA"/>
        </w:rPr>
        <w:t xml:space="preserve">Dubé et McLachlin dans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où elles ont expliqué de manière convaincante l’interrelation entre les antécédents du juge et la fonction judiciaire</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Pr="00285BDD">
        <w:rPr>
          <w:lang w:val="fr-CA"/>
        </w:rPr>
        <w:tab/>
      </w:r>
      <w:r w:rsidR="00245D53">
        <w:rPr>
          <w:lang w:val="fr-CA"/>
        </w:rPr>
        <w:t xml:space="preserve">. . . </w:t>
      </w:r>
      <w:r w:rsidRPr="00285BDD">
        <w:rPr>
          <w:lang w:val="fr-CA"/>
        </w:rPr>
        <w:t xml:space="preserve">il est indubitable que dans une société bilingue, multiraciale et multiculturelle, chaque juge aborde l’exercice de la justice dans une </w:t>
      </w:r>
      <w:r w:rsidRPr="00285BDD">
        <w:rPr>
          <w:lang w:val="fr-CA"/>
        </w:rPr>
        <w:lastRenderedPageBreak/>
        <w:t>perspective qui lui est propre. Il aura certainement été conditionné et formé par ses expériences personnelles, et on ne peut s’attendre à ce qu’il s’en départisse dès qu’il est nommé juge. En fait, pareille transformation priverait la société du bénéfice des précieuses connaissances acquises alors qu’il était encore avocat. De même, elle empêcherait la réunion d’une diversité d’expériences au sein de la magistrature. La personne raisonnable ne s’attend pas à ce que le juge joue le rôle d’un figurant neutre; elle exige cependant qu’il fasse preuve d’impartialité lorsqu’il rend justice.</w:t>
      </w:r>
    </w:p>
    <w:p w:rsidR="0095762B" w:rsidRPr="00285BDD" w:rsidRDefault="0095762B" w:rsidP="0095762B">
      <w:pPr>
        <w:pStyle w:val="Citation-AltC"/>
        <w:widowControl w:val="0"/>
        <w:ind w:hanging="1166"/>
        <w:rPr>
          <w:lang w:val="fr-CA"/>
        </w:rPr>
      </w:pPr>
      <w:r w:rsidRPr="00285BDD">
        <w:rPr>
          <w:lang w:val="fr-CA"/>
        </w:rPr>
        <w:tab/>
      </w:r>
      <w:r w:rsidRPr="00285BDD">
        <w:rPr>
          <w:lang w:val="fr-CA"/>
        </w:rPr>
        <w:tab/>
        <w:t>Il est manifeste, et la personne raisonnable s’y attend, que le juge des faits est à juste titre influencé dans ses délibérations par sa propre conception du monde dans lequel ont eu lieu les faits litigieux. En effet, il doit s’appuyer sur ses acquis antérieurs pour exercer ses fonctions juridictionnelles. [par.</w:t>
      </w:r>
      <w:r w:rsidR="00BB6F2A">
        <w:rPr>
          <w:lang w:val="fr-CA"/>
        </w:rPr>
        <w:t xml:space="preserve"> </w:t>
      </w:r>
      <w:r w:rsidRPr="00285BDD">
        <w:rPr>
          <w:lang w:val="fr-CA"/>
        </w:rPr>
        <w:t>38</w:t>
      </w:r>
      <w:r w:rsidR="00BB6F2A">
        <w:rPr>
          <w:lang w:val="fr-CA"/>
        </w:rPr>
        <w:t>-</w:t>
      </w:r>
      <w:r w:rsidRPr="00285BDD">
        <w:rPr>
          <w:lang w:val="fr-CA"/>
        </w:rPr>
        <w:t>39]</w:t>
      </w:r>
    </w:p>
    <w:p w:rsidR="0095762B" w:rsidRPr="00285BDD" w:rsidRDefault="0095762B" w:rsidP="0095762B">
      <w:pPr>
        <w:pStyle w:val="ParaNoNdepar-AltN"/>
        <w:widowControl w:val="0"/>
        <w:rPr>
          <w:rFonts w:cs="Times New Roman"/>
          <w:lang w:val="fr-CA"/>
        </w:rPr>
      </w:pPr>
      <w:r w:rsidRPr="00285BDD">
        <w:rPr>
          <w:rFonts w:cs="Times New Roman"/>
          <w:lang w:val="fr-CA"/>
        </w:rPr>
        <w:t>L’impartialité et la neutralité judiciaires ne signifient pas que le juge ne doit avoir aucune conception, opinion ou sensibilité préexistante. Ces notions requièrent plutôt que l’identité et l’expérience du juge ne l’empêchent pas de faire preuve d’ouverture d’esprit à l’égard de la preuve et des questions en litige. Autrement dit, il y a une différence capitale entre un esprit ouvert et un esprit vide. Bora Laskin a indiqué que la force de la common law réside en partie dans le fait que</w:t>
      </w:r>
      <w:r w:rsidR="00DC1512">
        <w:rPr>
          <w:rFonts w:cs="Times New Roman"/>
          <w:lang w:val="fr-CA"/>
        </w:rPr>
        <w:t> </w:t>
      </w:r>
    </w:p>
    <w:p w:rsidR="00DC1512" w:rsidRPr="00C37415" w:rsidRDefault="0095762B" w:rsidP="0095762B">
      <w:pPr>
        <w:pStyle w:val="Citation-AltC"/>
        <w:widowControl w:val="0"/>
        <w:ind w:hanging="1166"/>
        <w:contextualSpacing w:val="0"/>
        <w:rPr>
          <w:lang w:val="fr-CA"/>
        </w:rPr>
      </w:pPr>
      <w:r w:rsidRPr="00285BDD">
        <w:rPr>
          <w:lang w:val="fr-CA"/>
        </w:rPr>
        <w:tab/>
        <w:t>[</w:t>
      </w:r>
      <w:r w:rsidRPr="00285BDD">
        <w:rPr>
          <w:smallCaps/>
          <w:lang w:val="fr-CA"/>
        </w:rPr>
        <w:t>traduction</w:t>
      </w:r>
      <w:r w:rsidRPr="00285BDD">
        <w:rPr>
          <w:lang w:val="fr-CA"/>
        </w:rPr>
        <w:t xml:space="preserve">]  les juges qui l’appliquent incarnent en soi et dans leur travail un mélange d’attitudes et d’opinions concernant le monde dans lequel ils vivent et la société dans laquelle ils exercent leurs fonctions judiciaires. Heureusement qu’il en est ainsi, et il est éminemment souhaitable qu’il en soit toujours ainsi. </w:t>
      </w:r>
    </w:p>
    <w:p w:rsidR="0095762B" w:rsidRPr="00285BDD" w:rsidRDefault="00DC1512" w:rsidP="00DC1512">
      <w:pPr>
        <w:pStyle w:val="Citation-AltC"/>
        <w:widowControl w:val="0"/>
        <w:spacing w:after="480" w:line="480" w:lineRule="auto"/>
        <w:ind w:left="0"/>
        <w:contextualSpacing w:val="0"/>
        <w:rPr>
          <w:lang w:val="en-US"/>
        </w:rPr>
      </w:pPr>
      <w:r>
        <w:rPr>
          <w:lang w:val="en-US"/>
        </w:rPr>
        <w:t>(</w:t>
      </w:r>
      <w:r w:rsidR="00BB6F2A">
        <w:rPr>
          <w:lang w:val="en-US"/>
        </w:rPr>
        <w:t>« </w:t>
      </w:r>
      <w:r w:rsidR="0095762B" w:rsidRPr="00285BDD">
        <w:rPr>
          <w:lang w:val="en-US"/>
        </w:rPr>
        <w:t>The Common Law is Alive and</w:t>
      </w:r>
      <w:r w:rsidR="0095762B" w:rsidRPr="00285BDD">
        <w:rPr>
          <w:i/>
          <w:lang w:val="en-US"/>
        </w:rPr>
        <w:t xml:space="preserve"> </w:t>
      </w:r>
      <w:r w:rsidR="0095762B" w:rsidRPr="00285BDD">
        <w:rPr>
          <w:lang w:val="en-US"/>
        </w:rPr>
        <w:t>Well — And, Well?</w:t>
      </w:r>
      <w:r w:rsidR="00BB6F2A">
        <w:rPr>
          <w:lang w:val="en-US"/>
        </w:rPr>
        <w:t> »</w:t>
      </w:r>
      <w:r w:rsidR="0095762B" w:rsidRPr="00285BDD">
        <w:rPr>
          <w:lang w:val="en-US"/>
        </w:rPr>
        <w:t xml:space="preserve"> (1975), 9 </w:t>
      </w:r>
      <w:r w:rsidR="0095762B" w:rsidRPr="00285BDD">
        <w:rPr>
          <w:i/>
          <w:lang w:val="en-US"/>
        </w:rPr>
        <w:t xml:space="preserve">L. Soc’y Gaz. </w:t>
      </w:r>
      <w:r w:rsidR="0095762B" w:rsidRPr="00285BDD">
        <w:rPr>
          <w:lang w:val="en-US"/>
        </w:rPr>
        <w:t>92, p.</w:t>
      </w:r>
      <w:r w:rsidR="00BB6F2A">
        <w:rPr>
          <w:lang w:val="en-US"/>
        </w:rPr>
        <w:t xml:space="preserve"> </w:t>
      </w:r>
      <w:r w:rsidR="0095762B" w:rsidRPr="00285BDD">
        <w:rPr>
          <w:lang w:val="en-US"/>
        </w:rPr>
        <w:t>99</w:t>
      </w:r>
      <w:r>
        <w:rPr>
          <w:lang w:val="en-US"/>
        </w:rPr>
        <w:t>)</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 xml:space="preserve">Le critère de la crainte raisonnable de partialité reconnaît que, bien que </w:t>
      </w:r>
      <w:r w:rsidRPr="00285BDD">
        <w:rPr>
          <w:rFonts w:cs="Times New Roman"/>
          <w:lang w:val="fr-CA"/>
        </w:rPr>
        <w:lastRenderedPageBreak/>
        <w:t xml:space="preserve">les juges doivent </w:t>
      </w:r>
      <w:r w:rsidR="00BB6F2A">
        <w:rPr>
          <w:rFonts w:cs="Times New Roman"/>
          <w:lang w:val="fr-CA"/>
        </w:rPr>
        <w:t>« </w:t>
      </w:r>
      <w:r w:rsidRPr="00285BDD">
        <w:rPr>
          <w:rFonts w:cs="Times New Roman"/>
          <w:lang w:val="fr-CA"/>
        </w:rPr>
        <w:t>s’efforcer d’atteindre l’impartialité</w:t>
      </w:r>
      <w:r w:rsidR="00BB6F2A">
        <w:rPr>
          <w:rFonts w:cs="Times New Roman"/>
          <w:lang w:val="fr-CA"/>
        </w:rPr>
        <w:t> »</w:t>
      </w:r>
      <w:r w:rsidRPr="00285BDD">
        <w:rPr>
          <w:rFonts w:cs="Times New Roman"/>
          <w:lang w:val="fr-CA"/>
        </w:rPr>
        <w:t>, ils ne sont pas tenus d’abandonner qui ils sont ou ce qu’ils savent</w:t>
      </w:r>
      <w:r w:rsidR="00BB6F2A">
        <w:rPr>
          <w:rFonts w:cs="Times New Roman"/>
          <w:lang w:val="fr-CA"/>
        </w:rPr>
        <w:t> :</w:t>
      </w:r>
      <w:r w:rsidRPr="00285BDD">
        <w:rPr>
          <w:rFonts w:cs="Times New Roman"/>
          <w:lang w:val="fr-CA"/>
        </w:rPr>
        <w:t xml:space="preserve">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par.</w:t>
      </w:r>
      <w:r w:rsidR="00BB6F2A">
        <w:rPr>
          <w:rFonts w:cs="Times New Roman"/>
          <w:lang w:val="fr-CA"/>
        </w:rPr>
        <w:t xml:space="preserve"> </w:t>
      </w:r>
      <w:r w:rsidRPr="00285BDD">
        <w:rPr>
          <w:rFonts w:cs="Times New Roman"/>
          <w:lang w:val="fr-CA"/>
        </w:rPr>
        <w:t>29, les juges L’Heureux</w:t>
      </w:r>
      <w:r w:rsidR="00BB6F2A">
        <w:rPr>
          <w:rFonts w:cs="Times New Roman"/>
          <w:lang w:val="fr-CA"/>
        </w:rPr>
        <w:t>-</w:t>
      </w:r>
      <w:r w:rsidRPr="00285BDD">
        <w:rPr>
          <w:rFonts w:cs="Times New Roman"/>
          <w:lang w:val="fr-CA"/>
        </w:rPr>
        <w:t xml:space="preserve">Dubé et McLachlin; voir aussi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par.</w:t>
      </w:r>
      <w:r w:rsidR="00BB6F2A">
        <w:rPr>
          <w:rFonts w:cs="Times New Roman"/>
          <w:lang w:val="fr-CA"/>
        </w:rPr>
        <w:t xml:space="preserve"> </w:t>
      </w:r>
      <w:r w:rsidRPr="00285BDD">
        <w:rPr>
          <w:rFonts w:cs="Times New Roman"/>
          <w:lang w:val="fr-CA"/>
        </w:rPr>
        <w:t xml:space="preserve">119, le juge Cory. L’identité et l’expérience du juge forment une partie importante de qui il est, et ces deux aspects ne compromettent intrinsèquement ni la neutralité ni l’impartialité. La justice constitue l’application ambitieuse de la loi à la vie. Les juges devraient être encouragés à expérimenter, à apprendre et à saisir la </w:t>
      </w:r>
      <w:r w:rsidR="00BB6F2A">
        <w:rPr>
          <w:rFonts w:cs="Times New Roman"/>
          <w:lang w:val="fr-CA"/>
        </w:rPr>
        <w:t>« </w:t>
      </w:r>
      <w:r w:rsidRPr="00285BDD">
        <w:rPr>
          <w:rFonts w:cs="Times New Roman"/>
          <w:lang w:val="fr-CA"/>
        </w:rPr>
        <w:t>vie</w:t>
      </w:r>
      <w:r w:rsidR="00BB6F2A">
        <w:rPr>
          <w:rFonts w:cs="Times New Roman"/>
          <w:lang w:val="fr-CA"/>
        </w:rPr>
        <w:t> » :</w:t>
      </w:r>
      <w:r w:rsidRPr="00285BDD">
        <w:rPr>
          <w:rFonts w:cs="Times New Roman"/>
          <w:lang w:val="fr-CA"/>
        </w:rPr>
        <w:t xml:space="preserve"> la leur et celles d’autrui qui témoignent d’autres réalités. Comme l’a élégamment fait remarquer Martha</w:t>
      </w:r>
      <w:r w:rsidR="00BB6F2A">
        <w:rPr>
          <w:rFonts w:cs="Times New Roman"/>
          <w:lang w:val="fr-CA"/>
        </w:rPr>
        <w:t xml:space="preserve"> </w:t>
      </w:r>
      <w:r w:rsidRPr="00285BDD">
        <w:rPr>
          <w:rFonts w:cs="Times New Roman"/>
          <w:lang w:val="fr-CA"/>
        </w:rPr>
        <w:t>Minow, la capacité d’être ouvert d’esprit est renforcée par ces connaissances et cette compréhension</w:t>
      </w:r>
      <w:r w:rsidR="00BB6F2A">
        <w:rPr>
          <w:rFonts w:cs="Times New Roman"/>
          <w:lang w:val="fr-CA"/>
        </w:rPr>
        <w:t> :</w:t>
      </w:r>
    </w:p>
    <w:p w:rsidR="00DC1512" w:rsidRPr="00C37415" w:rsidRDefault="0095762B" w:rsidP="0095762B">
      <w:pPr>
        <w:pStyle w:val="Citation-AltC"/>
        <w:widowControl w:val="0"/>
        <w:ind w:hanging="1166"/>
        <w:contextualSpacing w:val="0"/>
        <w:rPr>
          <w:lang w:val="fr-CA"/>
        </w:rPr>
      </w:pPr>
      <w:r w:rsidRPr="00285BDD">
        <w:rPr>
          <w:lang w:val="fr-CA"/>
        </w:rPr>
        <w:tab/>
        <w:t>[</w:t>
      </w:r>
      <w:r w:rsidRPr="00285BDD">
        <w:rPr>
          <w:smallCaps/>
          <w:lang w:val="fr-CA"/>
        </w:rPr>
        <w:t>traduction</w:t>
      </w:r>
      <w:r w:rsidRPr="00285BDD">
        <w:rPr>
          <w:lang w:val="fr-CA"/>
        </w:rPr>
        <w:t>]  Ce n’est qu’en tirant profit de nos connaissances et de nos perspectives, en les remettant en question et en en tenant compte qu</w:t>
      </w:r>
      <w:r w:rsidR="000D3496">
        <w:rPr>
          <w:lang w:val="fr-CA"/>
        </w:rPr>
        <w:t>e nous pouvons savoir quoi que c</w:t>
      </w:r>
      <w:r w:rsidRPr="00285BDD">
        <w:rPr>
          <w:lang w:val="fr-CA"/>
        </w:rPr>
        <w:t>e soit. Nous pouvons insister pour voir ce que l’on est habitué de voir, ou bien nous pouvons essayer de voir quelque chose de nouveau. Cette dernière approche est l’ouverture d’esprit à laquelle on s’attend de la part des personnes qui jugent, sans toutefois que leur esprit s’apparente à un filtre sans point de repère ni engagement antérieurs. Nous voulons que les juges et les jurys soient objectifs vis</w:t>
      </w:r>
      <w:r w:rsidR="00BB6F2A">
        <w:rPr>
          <w:lang w:val="fr-CA"/>
        </w:rPr>
        <w:t>-</w:t>
      </w:r>
      <w:r w:rsidRPr="00285BDD">
        <w:rPr>
          <w:lang w:val="fr-CA"/>
        </w:rPr>
        <w:t>à</w:t>
      </w:r>
      <w:r w:rsidR="00BB6F2A">
        <w:rPr>
          <w:lang w:val="fr-CA"/>
        </w:rPr>
        <w:t>-</w:t>
      </w:r>
      <w:r w:rsidRPr="00285BDD">
        <w:rPr>
          <w:lang w:val="fr-CA"/>
        </w:rPr>
        <w:t xml:space="preserve">vis des faits et des questions de culpabilité et d’innocence, mais engagés à tirer profit de ce qu’ils savent déjà à propos du monde, des êtres humains et de la participation de chaque personne dans la vie d’autrui. Faire semblant de ne rien savoir risque de laisser non examinées les présomptions mêmes qui méritent d’être revues. </w:t>
      </w:r>
    </w:p>
    <w:p w:rsidR="0095762B" w:rsidRPr="00285BDD" w:rsidRDefault="00DC1512" w:rsidP="00FE53FA">
      <w:pPr>
        <w:pStyle w:val="Citation-AltC"/>
        <w:widowControl w:val="0"/>
        <w:spacing w:after="480" w:line="480" w:lineRule="auto"/>
        <w:ind w:left="0"/>
        <w:contextualSpacing w:val="0"/>
      </w:pPr>
      <w:r>
        <w:rPr>
          <w:lang w:val="en-US"/>
        </w:rPr>
        <w:t>(</w:t>
      </w:r>
      <w:r w:rsidR="00BB6F2A">
        <w:rPr>
          <w:lang w:val="en-US"/>
        </w:rPr>
        <w:t>« </w:t>
      </w:r>
      <w:r w:rsidR="0095762B" w:rsidRPr="00285BDD">
        <w:rPr>
          <w:lang w:val="en-US"/>
        </w:rPr>
        <w:t>Stripped Down Like a Runner or Enriched by</w:t>
      </w:r>
      <w:r w:rsidR="0095762B" w:rsidRPr="00285BDD">
        <w:rPr>
          <w:i/>
          <w:lang w:val="en-US"/>
        </w:rPr>
        <w:t xml:space="preserve"> </w:t>
      </w:r>
      <w:r w:rsidR="0095762B" w:rsidRPr="00285BDD">
        <w:rPr>
          <w:lang w:val="en-US"/>
        </w:rPr>
        <w:t>Experience</w:t>
      </w:r>
      <w:r w:rsidR="00FE53FA">
        <w:rPr>
          <w:lang w:val="en-US"/>
        </w:rPr>
        <w:t xml:space="preserve"> </w:t>
      </w:r>
      <w:r w:rsidR="0095762B" w:rsidRPr="00285BDD">
        <w:rPr>
          <w:lang w:val="en-US"/>
        </w:rPr>
        <w:t>: Bias and Impartiality of Judges and Jurors</w:t>
      </w:r>
      <w:r w:rsidR="00BB6F2A">
        <w:rPr>
          <w:lang w:val="en-US"/>
        </w:rPr>
        <w:t> »</w:t>
      </w:r>
      <w:r>
        <w:rPr>
          <w:lang w:val="en-US"/>
        </w:rPr>
        <w:t xml:space="preserve"> </w:t>
      </w:r>
      <w:r w:rsidRPr="00285BDD">
        <w:t>(1992)</w:t>
      </w:r>
      <w:r w:rsidR="0095762B" w:rsidRPr="00285BDD">
        <w:rPr>
          <w:lang w:val="en-US"/>
        </w:rPr>
        <w:t xml:space="preserve">, 33 </w:t>
      </w:r>
      <w:r w:rsidR="0095762B" w:rsidRPr="00285BDD">
        <w:rPr>
          <w:i/>
          <w:lang w:val="en-US"/>
        </w:rPr>
        <w:t xml:space="preserve">Wm. </w:t>
      </w:r>
      <w:r w:rsidR="0095762B" w:rsidRPr="00285BDD">
        <w:rPr>
          <w:i/>
        </w:rPr>
        <w:t>&amp; Mary</w:t>
      </w:r>
      <w:r w:rsidR="00BB6F2A">
        <w:rPr>
          <w:i/>
        </w:rPr>
        <w:t xml:space="preserve"> </w:t>
      </w:r>
      <w:r w:rsidR="0095762B" w:rsidRPr="00285BDD">
        <w:rPr>
          <w:i/>
        </w:rPr>
        <w:t>L. Rev.</w:t>
      </w:r>
      <w:r w:rsidR="0095762B" w:rsidRPr="00285BDD">
        <w:t xml:space="preserve"> 1201, p.</w:t>
      </w:r>
      <w:r w:rsidR="00BB6F2A">
        <w:t xml:space="preserve"> </w:t>
      </w:r>
      <w:r>
        <w:t>1217)</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Cette reconnaissance a été renforcée par le juge Cameron, de la Cour constitutionnelle de l’Afrique du Sud, dans l’arrêt </w:t>
      </w:r>
      <w:r w:rsidRPr="00285BDD">
        <w:rPr>
          <w:rFonts w:cs="Times New Roman"/>
          <w:i/>
          <w:lang w:val="fr-CA"/>
        </w:rPr>
        <w:t xml:space="preserve">South African Commercial </w:t>
      </w:r>
      <w:r w:rsidRPr="00285BDD">
        <w:rPr>
          <w:rFonts w:cs="Times New Roman"/>
          <w:i/>
          <w:lang w:val="fr-CA"/>
        </w:rPr>
        <w:lastRenderedPageBreak/>
        <w:t>Catering and Allied Workers Union c. Irvin &amp; Johnson Ltd. (Seafoods Division Fish Processing)</w:t>
      </w:r>
      <w:r w:rsidRPr="00285BDD">
        <w:rPr>
          <w:rFonts w:cs="Times New Roman"/>
          <w:lang w:val="fr-CA"/>
        </w:rPr>
        <w:t>, 2000 (3) S.A. 705</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r>
      <w:r w:rsidR="00FE53FA">
        <w:rPr>
          <w:lang w:val="fr-CA"/>
        </w:rPr>
        <w:tab/>
      </w:r>
      <w:r w:rsidRPr="00285BDD">
        <w:rPr>
          <w:lang w:val="fr-CA"/>
        </w:rPr>
        <w:t>[</w:t>
      </w:r>
      <w:r w:rsidRPr="00285BDD">
        <w:rPr>
          <w:smallCaps/>
          <w:lang w:val="fr-CA"/>
        </w:rPr>
        <w:t>traduction</w:t>
      </w:r>
      <w:r w:rsidRPr="00285BDD">
        <w:rPr>
          <w:lang w:val="fr-CA"/>
        </w:rPr>
        <w:t xml:space="preserve">] </w:t>
      </w:r>
      <w:r w:rsidR="00FE53FA">
        <w:rPr>
          <w:lang w:val="fr-CA"/>
        </w:rPr>
        <w:t>. . .</w:t>
      </w:r>
      <w:r w:rsidRPr="00285BDD">
        <w:rPr>
          <w:lang w:val="fr-CA"/>
        </w:rPr>
        <w:t xml:space="preserve"> la </w:t>
      </w:r>
      <w:r w:rsidR="00BB6F2A">
        <w:rPr>
          <w:lang w:val="fr-CA"/>
        </w:rPr>
        <w:t>« </w:t>
      </w:r>
      <w:r w:rsidRPr="00285BDD">
        <w:rPr>
          <w:lang w:val="fr-CA"/>
        </w:rPr>
        <w:t>neutralité absolue</w:t>
      </w:r>
      <w:r w:rsidR="00BB6F2A">
        <w:rPr>
          <w:lang w:val="fr-CA"/>
        </w:rPr>
        <w:t> »</w:t>
      </w:r>
      <w:r w:rsidRPr="00285BDD">
        <w:rPr>
          <w:lang w:val="fr-CA"/>
        </w:rPr>
        <w:t xml:space="preserve"> est en quelque sorte une chimère dans le contexte judiciaire. Il en est ainsi parce que les juges sont humains. Ils sont inévitablement le produit de leur propre vécu, et la perspective qui en découle façonne inévitablement et distinctivement la façon dont chaque juge exerce ses fonctions judiciaires.</w:t>
      </w:r>
      <w:r w:rsidRPr="00285BDD">
        <w:rPr>
          <w:szCs w:val="16"/>
          <w:lang w:val="fr-CA"/>
        </w:rPr>
        <w:t xml:space="preserve"> Mais la neutralité incolore contraste avec l’impartialité judiciaire [</w:t>
      </w:r>
      <w:r w:rsidR="00BB6F2A">
        <w:rPr>
          <w:szCs w:val="16"/>
          <w:lang w:val="fr-CA"/>
        </w:rPr>
        <w:t>. . .</w:t>
      </w:r>
      <w:r w:rsidRPr="00285BDD">
        <w:rPr>
          <w:szCs w:val="16"/>
          <w:lang w:val="fr-CA"/>
        </w:rPr>
        <w:t>] L’impartialité est cette qualité du juge de faire preuve d’ouverture d’esprit et d’être prêt à se laisser convaincre</w:t>
      </w:r>
      <w:r w:rsidRPr="00285BDD">
        <w:rPr>
          <w:lang w:val="fr-CA"/>
        </w:rPr>
        <w:t xml:space="preserve"> sans avoir de parti pris pour l’une ou l’autre des parties, ou sans se laisser influencer par ses propres prédilections, idées préconçues et opinion</w:t>
      </w:r>
      <w:r w:rsidR="00394C54">
        <w:rPr>
          <w:lang w:val="fr-CA"/>
        </w:rPr>
        <w:t>s</w:t>
      </w:r>
      <w:r w:rsidRPr="00285BDD">
        <w:rPr>
          <w:lang w:val="fr-CA"/>
        </w:rPr>
        <w:t xml:space="preserve"> personnelles — il s’agit là de la pierre angulaire d’un système décisionnel civilisé. En bref, l’impartialité requiert que le juge soit </w:t>
      </w:r>
      <w:r w:rsidR="00BB6F2A">
        <w:rPr>
          <w:lang w:val="fr-CA"/>
        </w:rPr>
        <w:t>« </w:t>
      </w:r>
      <w:r w:rsidRPr="00285BDD">
        <w:rPr>
          <w:lang w:val="fr-CA"/>
        </w:rPr>
        <w:t>ouvert d’esprit et prêt à se laisser convaincre par la preuve et les observations des avocats</w:t>
      </w:r>
      <w:r w:rsidR="00BB6F2A">
        <w:rPr>
          <w:lang w:val="fr-CA"/>
        </w:rPr>
        <w:t> »</w:t>
      </w:r>
      <w:r w:rsidRPr="00285BDD">
        <w:rPr>
          <w:lang w:val="fr-CA"/>
        </w:rPr>
        <w:t>;</w:t>
      </w:r>
      <w:r w:rsidRPr="00285BDD">
        <w:rPr>
          <w:szCs w:val="16"/>
          <w:lang w:val="fr-CA"/>
        </w:rPr>
        <w:t xml:space="preserve"> et</w:t>
      </w:r>
      <w:r w:rsidRPr="00285BDD">
        <w:rPr>
          <w:lang w:val="fr-CA"/>
        </w:rPr>
        <w:t>, contrairement à la neutralité, c’est une exigence absolue dans toute instance judiciaire. [R</w:t>
      </w:r>
      <w:r w:rsidR="000D3496">
        <w:rPr>
          <w:lang w:val="fr-CA"/>
        </w:rPr>
        <w:t>éférences</w:t>
      </w:r>
      <w:r w:rsidRPr="00285BDD">
        <w:rPr>
          <w:lang w:val="fr-CA"/>
        </w:rPr>
        <w:t xml:space="preserve"> omis</w:t>
      </w:r>
      <w:r w:rsidR="000D3496">
        <w:rPr>
          <w:lang w:val="fr-CA"/>
        </w:rPr>
        <w:t>es</w:t>
      </w:r>
      <w:r w:rsidRPr="00285BDD">
        <w:rPr>
          <w:lang w:val="fr-CA"/>
        </w:rPr>
        <w:t>; par.</w:t>
      </w:r>
      <w:r w:rsidR="00BB6F2A">
        <w:rPr>
          <w:lang w:val="fr-CA"/>
        </w:rPr>
        <w:t xml:space="preserve"> </w:t>
      </w:r>
      <w:r w:rsidRPr="00285BDD">
        <w:rPr>
          <w:lang w:val="fr-CA"/>
        </w:rPr>
        <w:t>13.]</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L’impartialité exige donc, non pas qu’un juge passe sous silence ou néglige son vécu ou son identité, mais qu’il aborde chaque affaire avec un esprit ouvert, sans supposition inopportune et injustifiée. Elle oblige les juges </w:t>
      </w:r>
      <w:r w:rsidR="00BB6F2A">
        <w:rPr>
          <w:rFonts w:cs="Times New Roman"/>
          <w:lang w:val="fr-CA"/>
        </w:rPr>
        <w:t>« </w:t>
      </w:r>
      <w:r w:rsidRPr="00285BDD">
        <w:rPr>
          <w:rFonts w:cs="Times New Roman"/>
          <w:lang w:val="fr-CA"/>
        </w:rPr>
        <w:t>[à] admettre, [à] permettre consciemment, et peut</w:t>
      </w:r>
      <w:r w:rsidR="00BB6F2A">
        <w:rPr>
          <w:rFonts w:cs="Times New Roman"/>
          <w:lang w:val="fr-CA"/>
        </w:rPr>
        <w:t>-</w:t>
      </w:r>
      <w:r w:rsidRPr="00285BDD">
        <w:rPr>
          <w:rFonts w:cs="Times New Roman"/>
          <w:lang w:val="fr-CA"/>
        </w:rPr>
        <w:t>être [à] remettre en question, l’ensemble des attitudes et des sympathies</w:t>
      </w:r>
      <w:r w:rsidR="00BB6F2A">
        <w:rPr>
          <w:rFonts w:cs="Times New Roman"/>
          <w:lang w:val="fr-CA"/>
        </w:rPr>
        <w:t> » :</w:t>
      </w:r>
      <w:r w:rsidRPr="00285BDD">
        <w:rPr>
          <w:rFonts w:cs="Times New Roman"/>
          <w:lang w:val="fr-CA"/>
        </w:rPr>
        <w:t xml:space="preserve"> Conseil canadien de la magistrature, </w:t>
      </w:r>
      <w:r w:rsidRPr="00285BDD">
        <w:rPr>
          <w:rFonts w:cs="Times New Roman"/>
          <w:i/>
          <w:lang w:val="fr-CA"/>
        </w:rPr>
        <w:t>Propos sur la conduite des juges</w:t>
      </w:r>
      <w:r w:rsidRPr="00285BDD">
        <w:rPr>
          <w:rFonts w:cs="Times New Roman"/>
          <w:lang w:val="fr-CA"/>
        </w:rPr>
        <w:t xml:space="preserve"> (1991), p.</w:t>
      </w:r>
      <w:r w:rsidR="00BB6F2A">
        <w:rPr>
          <w:rFonts w:cs="Times New Roman"/>
          <w:lang w:val="fr-CA"/>
        </w:rPr>
        <w:t xml:space="preserve"> </w:t>
      </w:r>
      <w:r w:rsidRPr="00285BDD">
        <w:rPr>
          <w:rFonts w:cs="Times New Roman"/>
          <w:lang w:val="fr-CA"/>
        </w:rPr>
        <w:t>15. Comme l’a fait observer Aharon</w:t>
      </w:r>
      <w:r w:rsidR="00BB6F2A">
        <w:rPr>
          <w:rFonts w:cs="Times New Roman"/>
          <w:lang w:val="fr-CA"/>
        </w:rPr>
        <w:t xml:space="preserve"> </w:t>
      </w:r>
      <w:r w:rsidRPr="00285BDD">
        <w:rPr>
          <w:rFonts w:cs="Times New Roman"/>
          <w:lang w:val="fr-CA"/>
        </w:rPr>
        <w:t>Barak</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00FE53FA">
        <w:rPr>
          <w:lang w:val="fr-CA"/>
        </w:rPr>
        <w:tab/>
      </w:r>
      <w:r w:rsidRPr="00285BDD">
        <w:rPr>
          <w:lang w:val="fr-CA"/>
        </w:rPr>
        <w:t>[</w:t>
      </w:r>
      <w:r w:rsidRPr="00285BDD">
        <w:rPr>
          <w:smallCaps/>
          <w:lang w:val="fr-CA"/>
        </w:rPr>
        <w:t>traduction</w:t>
      </w:r>
      <w:r w:rsidRPr="00285BDD">
        <w:rPr>
          <w:lang w:val="fr-CA"/>
        </w:rPr>
        <w:t>]  Le juge doit être en mesure de se regarder de l’extérieur et de s’analyser, de se critiquer et de se maîtriser.</w:t>
      </w:r>
      <w:r w:rsidR="00FE53FA">
        <w:rPr>
          <w:lang w:val="fr-CA"/>
        </w:rPr>
        <w:t> . .</w:t>
      </w:r>
    </w:p>
    <w:p w:rsidR="00FE53FA" w:rsidRDefault="0095762B" w:rsidP="0095762B">
      <w:pPr>
        <w:pStyle w:val="Citation-AltC"/>
        <w:widowControl w:val="0"/>
        <w:ind w:hanging="1166"/>
        <w:contextualSpacing w:val="0"/>
        <w:rPr>
          <w:lang w:val="en-US"/>
        </w:rPr>
      </w:pPr>
      <w:r w:rsidRPr="00285BDD">
        <w:rPr>
          <w:lang w:val="fr-CA"/>
        </w:rPr>
        <w:tab/>
      </w:r>
      <w:r w:rsidRPr="00285BDD">
        <w:rPr>
          <w:lang w:val="fr-CA"/>
        </w:rPr>
        <w:tab/>
        <w:t>Le juge est le produit de son époque, vivant dans une société donnée dans une ère donnée et conditionné par celles</w:t>
      </w:r>
      <w:r w:rsidR="00BB6F2A">
        <w:rPr>
          <w:lang w:val="fr-CA"/>
        </w:rPr>
        <w:t>-</w:t>
      </w:r>
      <w:r w:rsidRPr="00285BDD">
        <w:rPr>
          <w:lang w:val="fr-CA"/>
        </w:rPr>
        <w:t xml:space="preserve">ci. L’objectivité n’a pas pour but de couper le juge de son environnement [ou] de débarrasser un juge de son passé, son éducation, son expérience, ses croyances ou ses </w:t>
      </w:r>
      <w:r w:rsidRPr="00285BDD">
        <w:rPr>
          <w:lang w:val="fr-CA"/>
        </w:rPr>
        <w:lastRenderedPageBreak/>
        <w:t xml:space="preserve">valeurs. Son objectif est d’encourager le juge à mettre à profit toutes ces caractéristiques personnelles de façon à refléter les valeurs fondamentales de la société le plus fidèlement possible. Une personne nommée juge n’est ni obligée ni en mesure de changer de peau. Le juge doit développer une sensibilité face à la dignité de ses fonctions et aux contraintes qu’elles imposent. </w:t>
      </w:r>
      <w:r w:rsidR="00FE53FA">
        <w:rPr>
          <w:lang w:val="en-US"/>
        </w:rPr>
        <w:t>[Note de bas de page omise.]</w:t>
      </w:r>
    </w:p>
    <w:p w:rsidR="0095762B" w:rsidRPr="00285BDD" w:rsidRDefault="00FE53FA" w:rsidP="0095762B">
      <w:pPr>
        <w:pStyle w:val="Citation-AltC"/>
        <w:widowControl w:val="0"/>
        <w:ind w:hanging="1166"/>
        <w:contextualSpacing w:val="0"/>
        <w:rPr>
          <w:lang w:val="en-US"/>
        </w:rPr>
      </w:pPr>
      <w:r w:rsidRPr="00FE53FA">
        <w:rPr>
          <w:lang w:val="en-US"/>
        </w:rPr>
        <w:t>(</w:t>
      </w:r>
      <w:r w:rsidR="0095762B" w:rsidRPr="00285BDD">
        <w:rPr>
          <w:i/>
          <w:lang w:val="en-US"/>
        </w:rPr>
        <w:t>The Judge in a Democracy</w:t>
      </w:r>
      <w:r w:rsidR="0095762B" w:rsidRPr="00285BDD">
        <w:rPr>
          <w:lang w:val="en-US"/>
        </w:rPr>
        <w:t xml:space="preserve"> (2006), p.</w:t>
      </w:r>
      <w:r w:rsidR="00BB6F2A">
        <w:rPr>
          <w:lang w:val="en-US"/>
        </w:rPr>
        <w:t xml:space="preserve"> </w:t>
      </w:r>
      <w:r w:rsidR="0095762B" w:rsidRPr="00285BDD">
        <w:rPr>
          <w:lang w:val="en-US"/>
        </w:rPr>
        <w:t>103</w:t>
      </w:r>
      <w:r w:rsidR="00BB6F2A">
        <w:rPr>
          <w:lang w:val="en-US"/>
        </w:rPr>
        <w:t>-</w:t>
      </w:r>
      <w:r>
        <w:rPr>
          <w:lang w:val="en-US"/>
        </w:rPr>
        <w:t>104)</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Mais peu importe si l’on a affaire à la conduite d’un juge au cours d’une instance ou à des questions </w:t>
      </w:r>
      <w:r w:rsidR="00BB6F2A">
        <w:rPr>
          <w:rFonts w:cs="Times New Roman"/>
          <w:lang w:val="fr-CA"/>
        </w:rPr>
        <w:t>« </w:t>
      </w:r>
      <w:r w:rsidRPr="00285BDD">
        <w:rPr>
          <w:rFonts w:cs="Times New Roman"/>
          <w:lang w:val="fr-CA"/>
        </w:rPr>
        <w:t>extrajudiciaires</w:t>
      </w:r>
      <w:r w:rsidR="00BB6F2A">
        <w:rPr>
          <w:rFonts w:cs="Times New Roman"/>
          <w:lang w:val="fr-CA"/>
        </w:rPr>
        <w:t> »</w:t>
      </w:r>
      <w:r w:rsidRPr="00285BDD">
        <w:rPr>
          <w:rFonts w:cs="Times New Roman"/>
          <w:lang w:val="fr-CA"/>
        </w:rPr>
        <w:t xml:space="preserve"> comme l’identité, le vécu ou les affiliations du juge, le critère demeure le même</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r>
      <w:r w:rsidR="00FE53FA">
        <w:rPr>
          <w:lang w:val="fr-CA"/>
        </w:rPr>
        <w:t>. . . i</w:t>
      </w:r>
      <w:r w:rsidRPr="00285BDD">
        <w:rPr>
          <w:lang w:val="fr-CA"/>
        </w:rPr>
        <w:t>l s’agit de savoir si une personne raisonnable et bien renseignée, qui serait au courant de l’ensemble des circonstances pertinentes et qui étudierait la question de façon réaliste et pratique, conclurait que la conduite du juge fait naître une crainte raisonnable de partialité [</w:t>
      </w:r>
      <w:r w:rsidR="00BB6F2A">
        <w:rPr>
          <w:lang w:val="fr-CA"/>
        </w:rPr>
        <w:t>. . .</w:t>
      </w:r>
      <w:r w:rsidRPr="00285BDD">
        <w:rPr>
          <w:lang w:val="fr-CA"/>
        </w:rPr>
        <w:t>] [L]a question est difficile à évaluer et nécessite un examen méticuleux et complet de l’instance.</w:t>
      </w:r>
      <w:r w:rsidR="00BB6F2A">
        <w:rPr>
          <w:lang w:val="fr-CA"/>
        </w:rPr>
        <w:t xml:space="preserve"> </w:t>
      </w:r>
      <w:r w:rsidRPr="00285BDD">
        <w:rPr>
          <w:lang w:val="fr-CA"/>
        </w:rPr>
        <w:t>Il faut considérer l’ensemble du dossier afin de déterminer l’effet cumulatif des transgressions ou irrégularités. [R</w:t>
      </w:r>
      <w:r w:rsidR="00A426C0">
        <w:rPr>
          <w:lang w:val="fr-CA"/>
        </w:rPr>
        <w:t>éférences</w:t>
      </w:r>
      <w:r w:rsidRPr="00285BDD">
        <w:rPr>
          <w:lang w:val="fr-CA"/>
        </w:rPr>
        <w:t xml:space="preserve"> omis</w:t>
      </w:r>
      <w:r w:rsidR="00A426C0">
        <w:rPr>
          <w:lang w:val="fr-CA"/>
        </w:rPr>
        <w:t>es</w:t>
      </w:r>
      <w:r w:rsidRPr="00285BDD">
        <w:rPr>
          <w:lang w:val="fr-CA"/>
        </w:rPr>
        <w:t xml:space="preserve">; </w:t>
      </w:r>
      <w:r w:rsidRPr="00285BDD">
        <w:rPr>
          <w:i/>
          <w:lang w:val="fr-CA"/>
        </w:rPr>
        <w:t>Miglin</w:t>
      </w:r>
      <w:r w:rsidRPr="00285BDD">
        <w:rPr>
          <w:lang w:val="fr-CA"/>
        </w:rPr>
        <w:t>, par.</w:t>
      </w:r>
      <w:r w:rsidR="00BB6F2A">
        <w:rPr>
          <w:lang w:val="fr-CA"/>
        </w:rPr>
        <w:t xml:space="preserve"> </w:t>
      </w:r>
      <w:r w:rsidRPr="00285BDD">
        <w:rPr>
          <w:lang w:val="fr-CA"/>
        </w:rPr>
        <w:t>26</w:t>
      </w:r>
      <w:r w:rsidR="00FE53FA">
        <w:rPr>
          <w:lang w:val="fr-CA"/>
        </w:rPr>
        <w:t>.</w:t>
      </w:r>
      <w:r w:rsidRPr="00285BDD">
        <w:rPr>
          <w:lang w:val="fr-CA"/>
        </w:rPr>
        <w:t>]</w:t>
      </w:r>
    </w:p>
    <w:p w:rsidR="0095762B" w:rsidRPr="00285BDD" w:rsidRDefault="0095762B" w:rsidP="0095762B">
      <w:pPr>
        <w:pStyle w:val="ParaNoNdepar-AltN"/>
        <w:widowControl w:val="0"/>
        <w:rPr>
          <w:rFonts w:cs="Times New Roman"/>
          <w:b/>
          <w:lang w:val="fr-CA"/>
        </w:rPr>
      </w:pPr>
      <w:r w:rsidRPr="00285BDD">
        <w:rPr>
          <w:rFonts w:cs="Times New Roman"/>
          <w:lang w:val="fr-CA"/>
        </w:rPr>
        <w:t>Si j’applique ce critère au comportement du juge du procès tout au long de l’instance, je conviens avec la Cour d’appel que le critère applicable pour conclure à l’existence d’une crainte raisonnable de partialité a été satisfait.</w:t>
      </w:r>
    </w:p>
    <w:p w:rsidR="0095762B" w:rsidRPr="00285BDD" w:rsidRDefault="0095762B" w:rsidP="0095762B">
      <w:pPr>
        <w:pStyle w:val="ParaNoNdepar-AltN"/>
        <w:widowControl w:val="0"/>
        <w:rPr>
          <w:rFonts w:cs="Times New Roman"/>
          <w:b/>
          <w:lang w:val="fr-CA"/>
        </w:rPr>
      </w:pPr>
      <w:r w:rsidRPr="00285BDD">
        <w:rPr>
          <w:rFonts w:cs="Times New Roman"/>
          <w:lang w:val="fr-CA"/>
        </w:rPr>
        <w:t xml:space="preserve">Comme je l’ai indiqué, la Cour d’appel a relevé plusieurs incidents qui, lorsqu’examinés dans les circonstances du procès en entier, mènent inexorablement à cette conclusion. Tout d’abord, il y a le comportement du juge du procès au cours de l’incident lié à la confidentialité des dossiers d’élèves. Quand un parent a mentionné </w:t>
      </w:r>
      <w:r w:rsidRPr="00285BDD">
        <w:rPr>
          <w:rFonts w:cs="Times New Roman"/>
          <w:lang w:val="fr-CA"/>
        </w:rPr>
        <w:lastRenderedPageBreak/>
        <w:t>que deux de ses enfants avaient quitté l’école car elle n’avait pas assez de ressources pour répondre aux besoins spéciaux, l’avocat du Yukon a tenté de contre</w:t>
      </w:r>
      <w:r w:rsidR="00BB6F2A">
        <w:rPr>
          <w:rFonts w:cs="Times New Roman"/>
          <w:lang w:val="fr-CA"/>
        </w:rPr>
        <w:t>-</w:t>
      </w:r>
      <w:r w:rsidRPr="00285BDD">
        <w:rPr>
          <w:rFonts w:cs="Times New Roman"/>
          <w:lang w:val="fr-CA"/>
        </w:rPr>
        <w:t>interroger le parent sur la foi des renseignements contenus dans les dossiers scolaires des enfants. L’avocat de la Commission s’y est opposé, principalement en raison du caractère confidentiel des dossiers, ce qui a amené le juge du procès à exprimer sa crainte que le Yukon ait porté atteinte au droit des élèves à la confidentialité en communiquant les renseignements à son avocat</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t>LA COUR</w:t>
      </w:r>
      <w:r w:rsidR="00BB6F2A">
        <w:rPr>
          <w:lang w:val="fr-CA"/>
        </w:rPr>
        <w:t> :</w:t>
      </w:r>
      <w:r w:rsidRPr="00285BDD">
        <w:rPr>
          <w:lang w:val="fr-CA"/>
        </w:rPr>
        <w:t xml:space="preserve"> Mon inquiétude et mon point plus direct, je vais le redire, c’est l’aspect fondamental que vous avez peut</w:t>
      </w:r>
      <w:r w:rsidR="00BB6F2A">
        <w:rPr>
          <w:lang w:val="fr-CA"/>
        </w:rPr>
        <w:t>-</w:t>
      </w:r>
      <w:r w:rsidRPr="00285BDD">
        <w:rPr>
          <w:lang w:val="fr-CA"/>
        </w:rPr>
        <w:t>être abusé de la position d’avoir obtenu des documents confidentiels sans le consentement du témoin.</w:t>
      </w:r>
    </w:p>
    <w:p w:rsidR="0095762B" w:rsidRPr="00285BDD" w:rsidRDefault="0095762B" w:rsidP="0095762B">
      <w:pPr>
        <w:pStyle w:val="ParaNoNdepar-AltN"/>
        <w:widowControl w:val="0"/>
        <w:rPr>
          <w:rFonts w:cs="Times New Roman"/>
          <w:lang w:val="fr-CA"/>
        </w:rPr>
      </w:pPr>
      <w:r w:rsidRPr="00285BDD">
        <w:rPr>
          <w:rFonts w:cs="Times New Roman"/>
          <w:lang w:val="fr-CA"/>
        </w:rPr>
        <w:t>Les deux parties s’étaient déjà largement servies des renseignements contenus dans les dossiers d’élèves. Ayant entendu quelques arguments après que la question de la confidentialité eut été soulevée, le juge du procès a dit qu’il attendrait que d’autres arguments soient présentés le lendemain matin parce qu’il estimait que la question était très grave</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t>LA COUR</w:t>
      </w:r>
      <w:r w:rsidR="00BB6F2A">
        <w:rPr>
          <w:lang w:val="fr-CA"/>
        </w:rPr>
        <w:t> :</w:t>
      </w:r>
      <w:r w:rsidRPr="00285BDD">
        <w:rPr>
          <w:lang w:val="fr-CA"/>
        </w:rPr>
        <w:t xml:space="preserve"> </w:t>
      </w:r>
      <w:r w:rsidR="00BB6F2A">
        <w:rPr>
          <w:lang w:val="fr-CA"/>
        </w:rPr>
        <w:t>. . .</w:t>
      </w:r>
      <w:r w:rsidRPr="00285BDD">
        <w:rPr>
          <w:lang w:val="fr-CA"/>
        </w:rPr>
        <w:t xml:space="preserve"> Mais je crois que vous êtes </w:t>
      </w:r>
      <w:r w:rsidR="00D14507">
        <w:rPr>
          <w:lang w:val="fr-CA"/>
        </w:rPr>
        <w:t>--</w:t>
      </w:r>
      <w:r w:rsidRPr="00285BDD">
        <w:rPr>
          <w:lang w:val="fr-CA"/>
        </w:rPr>
        <w:t xml:space="preserve"> je vais attendre les, d’autres arguments pour demain matin à savoir l’accès que votre client a fait à des documents confidentiels. Je crois qu’il y a une question beaucoup plus fondamentale ici à ce sujet puis à</w:t>
      </w:r>
      <w:r w:rsidR="00D14507">
        <w:rPr>
          <w:lang w:val="fr-CA"/>
        </w:rPr>
        <w:t xml:space="preserve"> savoir si vous auriez dû? Puis</w:t>
      </w:r>
      <w:r w:rsidRPr="00285BDD">
        <w:rPr>
          <w:lang w:val="fr-CA"/>
        </w:rPr>
        <w:t>que là vous l’avez fait, c’est quoi les conséquences? Si c’est quelque chose que votre client a fait, qu’il n’aurait dû pas faire. Et alors avec ça, on va se remettre à demain matin.</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Le lendemain matin, et avant même d’entendre quelque argument que ce </w:t>
      </w:r>
      <w:r w:rsidRPr="00285BDD">
        <w:rPr>
          <w:rFonts w:cs="Times New Roman"/>
          <w:lang w:val="fr-CA"/>
        </w:rPr>
        <w:lastRenderedPageBreak/>
        <w:t>soit, le juge du procès a décidé que le Yukon avait semble</w:t>
      </w:r>
      <w:r w:rsidR="00BB6F2A">
        <w:rPr>
          <w:rFonts w:cs="Times New Roman"/>
          <w:lang w:val="fr-CA"/>
        </w:rPr>
        <w:t>-</w:t>
      </w:r>
      <w:r w:rsidRPr="00285BDD">
        <w:rPr>
          <w:rFonts w:cs="Times New Roman"/>
          <w:lang w:val="fr-CA"/>
        </w:rPr>
        <w:t>t</w:t>
      </w:r>
      <w:r w:rsidR="00BB6F2A">
        <w:rPr>
          <w:rFonts w:cs="Times New Roman"/>
          <w:lang w:val="fr-CA"/>
        </w:rPr>
        <w:t>-</w:t>
      </w:r>
      <w:r w:rsidRPr="00285BDD">
        <w:rPr>
          <w:rFonts w:cs="Times New Roman"/>
          <w:lang w:val="fr-CA"/>
        </w:rPr>
        <w:t xml:space="preserve">il violé la </w:t>
      </w:r>
      <w:r w:rsidRPr="00285BDD">
        <w:rPr>
          <w:rFonts w:cs="Times New Roman"/>
          <w:i/>
          <w:lang w:val="fr-CA"/>
        </w:rPr>
        <w:t>Loi sur l’éducation</w:t>
      </w:r>
      <w:r w:rsidRPr="00285BDD">
        <w:rPr>
          <w:rFonts w:cs="Times New Roman"/>
          <w:lang w:val="fr-CA"/>
        </w:rPr>
        <w:t xml:space="preserve"> et la </w:t>
      </w:r>
      <w:r w:rsidRPr="00285BDD">
        <w:rPr>
          <w:rFonts w:cs="Times New Roman"/>
          <w:i/>
          <w:lang w:val="fr-CA"/>
        </w:rPr>
        <w:t>Loi sur l’accès à l’information et la protection de la vie privée</w:t>
      </w:r>
      <w:r w:rsidRPr="00285BDD">
        <w:rPr>
          <w:rFonts w:cs="Times New Roman"/>
          <w:lang w:val="fr-CA"/>
        </w:rPr>
        <w:t xml:space="preserve">, qualifiant son comportement de </w:t>
      </w:r>
      <w:r w:rsidR="00BB6F2A">
        <w:rPr>
          <w:rFonts w:cs="Times New Roman"/>
          <w:lang w:val="fr-CA"/>
        </w:rPr>
        <w:t>« </w:t>
      </w:r>
      <w:r w:rsidRPr="00285BDD">
        <w:rPr>
          <w:rFonts w:cs="Times New Roman"/>
          <w:lang w:val="fr-CA"/>
        </w:rPr>
        <w:t>reprochable et répréhensible</w:t>
      </w:r>
      <w:r w:rsidR="00BB6F2A">
        <w:rPr>
          <w:rFonts w:cs="Times New Roman"/>
          <w:lang w:val="fr-CA"/>
        </w:rPr>
        <w:t> »</w:t>
      </w:r>
      <w:r w:rsidRPr="00285BDD">
        <w:rPr>
          <w:rFonts w:cs="Times New Roman"/>
          <w:lang w:val="fr-CA"/>
        </w:rPr>
        <w:t>. Immédiatement après le prononcé de la décision inattendue, l’avocat du Yukon a demandé l’autorisation de présenter d’autres observations</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Avant que, qu’on rappelle le témoin j’aimerais faire des soumissions, M.</w:t>
      </w:r>
      <w:r w:rsidR="00BB6F2A">
        <w:rPr>
          <w:lang w:val="fr-CA"/>
        </w:rPr>
        <w:t xml:space="preserve"> </w:t>
      </w:r>
      <w:r w:rsidRPr="00285BDD">
        <w:rPr>
          <w:lang w:val="fr-CA"/>
        </w:rPr>
        <w:t>le juge. Si vous permettez.</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À quel sujet?</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Au sujet de ce que vous venez de dire, M.</w:t>
      </w:r>
      <w:r w:rsidR="00BB6F2A">
        <w:rPr>
          <w:lang w:val="fr-CA"/>
        </w:rPr>
        <w:t xml:space="preserve"> </w:t>
      </w:r>
      <w:r w:rsidRPr="00285BDD">
        <w:rPr>
          <w:lang w:val="fr-CA"/>
        </w:rPr>
        <w:t>le juge.</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Non.</w:t>
      </w:r>
    </w:p>
    <w:p w:rsidR="0095762B" w:rsidRPr="00285BDD" w:rsidRDefault="0095762B" w:rsidP="0095762B">
      <w:pPr>
        <w:pStyle w:val="Citation-AltC"/>
        <w:widowControl w:val="0"/>
        <w:ind w:hanging="1166"/>
        <w:contextualSpacing w:val="0"/>
        <w:rPr>
          <w:lang w:val="fr-CA"/>
        </w:rPr>
      </w:pPr>
      <w:r w:rsidRPr="00285BDD">
        <w:rPr>
          <w:lang w:val="fr-CA"/>
        </w:rPr>
        <w:tab/>
        <w:t>MAÎTRE FAILLE</w:t>
      </w:r>
      <w:r w:rsidR="00BB6F2A">
        <w:rPr>
          <w:lang w:val="fr-CA"/>
        </w:rPr>
        <w:t> :</w:t>
      </w:r>
      <w:r w:rsidRPr="00285BDD">
        <w:rPr>
          <w:lang w:val="fr-CA"/>
        </w:rPr>
        <w:t xml:space="preserve"> J’aurais souhaité pouvoir faire des soumissions avant que vous puissiez rendre la décision que vous venez de rendre parce que avec tout égard, nous estimons que, qu’elle est sans fondement en droit et, et je </w:t>
      </w:r>
      <w:r w:rsidR="00D14507">
        <w:rPr>
          <w:lang w:val="fr-CA"/>
        </w:rPr>
        <w:t>--</w:t>
      </w:r>
      <w:r w:rsidRPr="00285BDD">
        <w:rPr>
          <w:lang w:val="fr-CA"/>
        </w:rPr>
        <w:t xml:space="preserve"> j’avais pris pour acquis que ce matin on serait en mesure de faire des représentations là</w:t>
      </w:r>
      <w:r w:rsidR="00BB6F2A">
        <w:rPr>
          <w:lang w:val="fr-CA"/>
        </w:rPr>
        <w:t>-</w:t>
      </w:r>
      <w:r w:rsidRPr="00285BDD">
        <w:rPr>
          <w:lang w:val="fr-CA"/>
        </w:rPr>
        <w:t>dessus. C’est ce que j’avais compris de ce que vous avez dit hier après</w:t>
      </w:r>
      <w:r w:rsidR="00BB6F2A">
        <w:rPr>
          <w:lang w:val="fr-CA"/>
        </w:rPr>
        <w:t>-</w:t>
      </w:r>
      <w:r w:rsidRPr="00285BDD">
        <w:rPr>
          <w:lang w:val="fr-CA"/>
        </w:rPr>
        <w:t xml:space="preserve">midi. </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Lorsque l’avocat du Yukon a tenté d’attirer l’attention du juge du procès sur certaines dispositions de la </w:t>
      </w:r>
      <w:r w:rsidRPr="00285BDD">
        <w:rPr>
          <w:rFonts w:cs="Times New Roman"/>
          <w:i/>
          <w:lang w:val="fr-CA"/>
        </w:rPr>
        <w:t>Loi sur l’éducation</w:t>
      </w:r>
      <w:r w:rsidRPr="00285BDD">
        <w:rPr>
          <w:rFonts w:cs="Times New Roman"/>
          <w:lang w:val="fr-CA"/>
        </w:rPr>
        <w:t xml:space="preserve"> et de la </w:t>
      </w:r>
      <w:r w:rsidRPr="00285BDD">
        <w:rPr>
          <w:rFonts w:cs="Times New Roman"/>
          <w:i/>
          <w:lang w:val="fr-CA"/>
        </w:rPr>
        <w:t xml:space="preserve">Loi sur l’accès à l’information et la protection de la vie privée </w:t>
      </w:r>
      <w:r w:rsidRPr="00285BDD">
        <w:rPr>
          <w:rFonts w:cs="Times New Roman"/>
          <w:lang w:val="fr-CA"/>
        </w:rPr>
        <w:t>à l’appui de sa thèse, le juge du procès a demandé à l’avocat s’il avait obtenu le consentement d’utiliser les dossiers et a refusé d’entendre d’autres arguments</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w:t>
      </w:r>
      <w:r w:rsidR="00BB6F2A">
        <w:rPr>
          <w:lang w:val="fr-CA"/>
        </w:rPr>
        <w:t>. . .</w:t>
      </w:r>
      <w:r w:rsidRPr="00285BDD">
        <w:rPr>
          <w:lang w:val="fr-CA"/>
        </w:rPr>
        <w:t xml:space="preserve"> Nous avons fait de la recherche juridique sur la question, nous sommes parfaitement familiers avec les dispositions de l’article</w:t>
      </w:r>
      <w:r w:rsidR="00BB6F2A">
        <w:rPr>
          <w:lang w:val="fr-CA"/>
        </w:rPr>
        <w:t xml:space="preserve"> </w:t>
      </w:r>
      <w:r w:rsidRPr="00285BDD">
        <w:rPr>
          <w:lang w:val="fr-CA"/>
        </w:rPr>
        <w:t xml:space="preserve">20 de la </w:t>
      </w:r>
      <w:r w:rsidRPr="00285BDD">
        <w:rPr>
          <w:i/>
          <w:lang w:val="fr-CA"/>
        </w:rPr>
        <w:t>L</w:t>
      </w:r>
      <w:r w:rsidRPr="00285BDD">
        <w:rPr>
          <w:i/>
          <w:iCs/>
          <w:lang w:val="fr-CA"/>
        </w:rPr>
        <w:t>oi sur l’éducation</w:t>
      </w:r>
      <w:r w:rsidRPr="00285BDD">
        <w:rPr>
          <w:lang w:val="fr-CA"/>
        </w:rPr>
        <w:t>. Nous somme</w:t>
      </w:r>
      <w:r w:rsidR="006F488D">
        <w:rPr>
          <w:lang w:val="fr-CA"/>
        </w:rPr>
        <w:t>s</w:t>
      </w:r>
      <w:r w:rsidRPr="00285BDD">
        <w:rPr>
          <w:lang w:val="fr-CA"/>
        </w:rPr>
        <w:t xml:space="preserve"> également familiers avec les dispositions de la </w:t>
      </w:r>
      <w:r w:rsidRPr="00285BDD">
        <w:rPr>
          <w:i/>
          <w:lang w:val="fr-CA"/>
        </w:rPr>
        <w:t>L</w:t>
      </w:r>
      <w:r w:rsidRPr="00285BDD">
        <w:rPr>
          <w:i/>
          <w:iCs/>
          <w:lang w:val="fr-CA"/>
        </w:rPr>
        <w:t xml:space="preserve">oi sur l’accès à l’information </w:t>
      </w:r>
      <w:r w:rsidRPr="00285BDD">
        <w:rPr>
          <w:lang w:val="fr-CA"/>
        </w:rPr>
        <w:t xml:space="preserve">qui prévoit à son article </w:t>
      </w:r>
      <w:r w:rsidR="006F488D">
        <w:rPr>
          <w:lang w:val="fr-CA"/>
        </w:rPr>
        <w:t>2</w:t>
      </w:r>
      <w:r w:rsidR="00BB6F2A">
        <w:rPr>
          <w:lang w:val="fr-CA"/>
        </w:rPr>
        <w:t> :</w:t>
      </w:r>
    </w:p>
    <w:p w:rsidR="0095762B" w:rsidRPr="0010797E" w:rsidRDefault="0095762B" w:rsidP="0095762B">
      <w:pPr>
        <w:pStyle w:val="Citation-AltC"/>
        <w:widowControl w:val="0"/>
        <w:spacing w:after="240"/>
        <w:ind w:left="2160" w:hanging="2160"/>
        <w:contextualSpacing w:val="0"/>
        <w:rPr>
          <w:lang w:val="fr-CA"/>
        </w:rPr>
      </w:pPr>
      <w:r w:rsidRPr="00285BDD">
        <w:rPr>
          <w:lang w:val="fr-CA"/>
        </w:rPr>
        <w:lastRenderedPageBreak/>
        <w:tab/>
      </w:r>
      <w:r w:rsidRPr="0010797E">
        <w:rPr>
          <w:lang w:val="fr-CA"/>
        </w:rPr>
        <w:t>La présente loi ne limite pas les renseignements qui, sous le régime de la loi, sont accessibles aux parties à une instance devant un tribunal ou un organe juridictionnel.</w:t>
      </w:r>
    </w:p>
    <w:p w:rsidR="0095762B" w:rsidRPr="00285BDD" w:rsidRDefault="0095762B" w:rsidP="0095762B">
      <w:pPr>
        <w:pStyle w:val="Citation-AltC"/>
        <w:widowControl w:val="0"/>
        <w:spacing w:after="240"/>
        <w:ind w:hanging="1166"/>
        <w:contextualSpacing w:val="0"/>
        <w:rPr>
          <w:i/>
          <w:lang w:val="fr-CA"/>
        </w:rPr>
      </w:pPr>
      <w:r w:rsidRPr="00285BDD">
        <w:rPr>
          <w:lang w:val="fr-CA"/>
        </w:rPr>
        <w:tab/>
        <w:t>LA COUR</w:t>
      </w:r>
      <w:r w:rsidR="00BB6F2A">
        <w:rPr>
          <w:lang w:val="fr-CA"/>
        </w:rPr>
        <w:t> :</w:t>
      </w:r>
      <w:r w:rsidRPr="00285BDD">
        <w:rPr>
          <w:lang w:val="fr-CA"/>
        </w:rPr>
        <w:t xml:space="preserve"> J’ai une question.</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Oui.</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Est</w:t>
      </w:r>
      <w:r w:rsidR="00BB6F2A">
        <w:rPr>
          <w:lang w:val="fr-CA"/>
        </w:rPr>
        <w:t>-</w:t>
      </w:r>
      <w:r w:rsidRPr="00285BDD">
        <w:rPr>
          <w:lang w:val="fr-CA"/>
        </w:rPr>
        <w:t>ce que votre client ou vous, vous avez obtenu le consentement qui est prévu à l’article</w:t>
      </w:r>
      <w:r w:rsidR="00BB6F2A">
        <w:rPr>
          <w:lang w:val="fr-CA"/>
        </w:rPr>
        <w:t xml:space="preserve"> </w:t>
      </w:r>
      <w:r w:rsidRPr="00285BDD">
        <w:rPr>
          <w:lang w:val="fr-CA"/>
        </w:rPr>
        <w:t>20 paragraphe</w:t>
      </w:r>
      <w:r w:rsidR="00BB6F2A">
        <w:rPr>
          <w:lang w:val="fr-CA"/>
        </w:rPr>
        <w:t xml:space="preserve"> </w:t>
      </w:r>
      <w:r w:rsidRPr="00285BDD">
        <w:rPr>
          <w:lang w:val="fr-CA"/>
        </w:rPr>
        <w:t xml:space="preserve">3 de la </w:t>
      </w:r>
      <w:r w:rsidRPr="00285BDD">
        <w:rPr>
          <w:i/>
          <w:lang w:val="fr-CA"/>
        </w:rPr>
        <w:t>Loi sur</w:t>
      </w:r>
      <w:r w:rsidRPr="00285BDD">
        <w:rPr>
          <w:lang w:val="fr-CA"/>
        </w:rPr>
        <w:t xml:space="preserve"> </w:t>
      </w:r>
      <w:r w:rsidRPr="00285BDD">
        <w:rPr>
          <w:i/>
          <w:lang w:val="fr-CA"/>
        </w:rPr>
        <w:t>l’éducation</w:t>
      </w:r>
      <w:r w:rsidRPr="00285BDD">
        <w:rPr>
          <w:lang w:val="fr-CA"/>
        </w:rPr>
        <w:t>?</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Nous disons, M.</w:t>
      </w:r>
      <w:r w:rsidR="00BB6F2A">
        <w:rPr>
          <w:lang w:val="fr-CA"/>
        </w:rPr>
        <w:t xml:space="preserve"> </w:t>
      </w:r>
      <w:r w:rsidRPr="00285BDD">
        <w:rPr>
          <w:lang w:val="fr-CA"/>
        </w:rPr>
        <w:t xml:space="preserve">le juge, que le consentement </w:t>
      </w:r>
      <w:r w:rsidR="006F488D">
        <w:rPr>
          <w:lang w:val="fr-CA"/>
        </w:rPr>
        <w:t>--</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C’est oui ou non.</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M.</w:t>
      </w:r>
      <w:r w:rsidR="00BB6F2A">
        <w:rPr>
          <w:lang w:val="fr-CA"/>
        </w:rPr>
        <w:t xml:space="preserve"> </w:t>
      </w:r>
      <w:r w:rsidRPr="00285BDD">
        <w:rPr>
          <w:lang w:val="fr-CA"/>
        </w:rPr>
        <w:t xml:space="preserve">le juge, nous estimons </w:t>
      </w:r>
      <w:r w:rsidR="006F488D">
        <w:rPr>
          <w:lang w:val="fr-CA"/>
        </w:rPr>
        <w:t>--</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La réponse est non?</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M.</w:t>
      </w:r>
      <w:r w:rsidR="00BB6F2A">
        <w:rPr>
          <w:lang w:val="fr-CA"/>
        </w:rPr>
        <w:t xml:space="preserve"> </w:t>
      </w:r>
      <w:r w:rsidRPr="00285BDD">
        <w:rPr>
          <w:lang w:val="fr-CA"/>
        </w:rPr>
        <w:t>le juge, la réponse c’est que le consentement est implicite. Qui a une renonciation à la confidentialité. Nous savons fort bien que l’information est confidentielle et si vous permettez, M.</w:t>
      </w:r>
      <w:r w:rsidR="00BB6F2A">
        <w:rPr>
          <w:lang w:val="fr-CA"/>
        </w:rPr>
        <w:t xml:space="preserve"> </w:t>
      </w:r>
      <w:r w:rsidRPr="00285BDD">
        <w:rPr>
          <w:lang w:val="fr-CA"/>
        </w:rPr>
        <w:t>le juge, j’aimerais faire des soumissions à cet égard.</w:t>
      </w:r>
    </w:p>
    <w:p w:rsidR="0095762B" w:rsidRPr="00285BDD" w:rsidRDefault="0095762B" w:rsidP="0095762B">
      <w:pPr>
        <w:pStyle w:val="Citation-AltC"/>
        <w:widowControl w:val="0"/>
        <w:ind w:hanging="1166"/>
        <w:contextualSpacing w:val="0"/>
        <w:rPr>
          <w:lang w:val="fr-CA"/>
        </w:rPr>
      </w:pPr>
      <w:r w:rsidRPr="00285BDD">
        <w:rPr>
          <w:lang w:val="fr-CA"/>
        </w:rPr>
        <w:tab/>
        <w:t>LA COUR</w:t>
      </w:r>
      <w:r w:rsidR="00BB6F2A">
        <w:rPr>
          <w:lang w:val="fr-CA"/>
        </w:rPr>
        <w:t> :</w:t>
      </w:r>
      <w:r w:rsidRPr="00285BDD">
        <w:rPr>
          <w:lang w:val="fr-CA"/>
        </w:rPr>
        <w:t xml:space="preserve"> Non. J’ai rendu mon jugement et puis si vous voulez pas donner une réponse directe à savoir si vous avez obtenu le consentement des parents, un ou de l’autre, ou bien de [l’enfant plus âgé] parce qu’il semble qu’il a 17</w:t>
      </w:r>
      <w:r w:rsidR="00BB6F2A">
        <w:rPr>
          <w:lang w:val="fr-CA"/>
        </w:rPr>
        <w:t xml:space="preserve"> </w:t>
      </w:r>
      <w:r w:rsidRPr="00285BDD">
        <w:rPr>
          <w:lang w:val="fr-CA"/>
        </w:rPr>
        <w:t xml:space="preserve">ans maintenant pour que les dossiers scolaires des enfants soient employés dans </w:t>
      </w:r>
      <w:r w:rsidR="00D66AC5">
        <w:rPr>
          <w:lang w:val="fr-CA"/>
        </w:rPr>
        <w:t xml:space="preserve">-- </w:t>
      </w:r>
      <w:r w:rsidRPr="00285BDD">
        <w:rPr>
          <w:lang w:val="fr-CA"/>
        </w:rPr>
        <w:t>pas pour les fins qui est prévu [</w:t>
      </w:r>
      <w:r w:rsidRPr="00285BDD">
        <w:rPr>
          <w:i/>
          <w:lang w:val="fr-CA"/>
        </w:rPr>
        <w:t>sic</w:t>
      </w:r>
      <w:r w:rsidRPr="00285BDD">
        <w:rPr>
          <w:lang w:val="fr-CA"/>
        </w:rPr>
        <w:t>] à l’article mais pour le procès. J’ai pas besoin d’entendre d’autres soumissions.</w:t>
      </w:r>
    </w:p>
    <w:p w:rsidR="0095762B" w:rsidRPr="00285BDD" w:rsidRDefault="0095762B" w:rsidP="0095762B">
      <w:pPr>
        <w:pStyle w:val="ParaNoNdepar-AltN"/>
        <w:widowControl w:val="0"/>
        <w:rPr>
          <w:rFonts w:cs="Times New Roman"/>
          <w:lang w:val="fr-CA"/>
        </w:rPr>
      </w:pPr>
      <w:r w:rsidRPr="00285BDD">
        <w:rPr>
          <w:rFonts w:cs="Times New Roman"/>
          <w:lang w:val="fr-CA"/>
        </w:rPr>
        <w:t>Lorsque l’avocat du Yukon a suggéré que la Commission avait peut</w:t>
      </w:r>
      <w:r w:rsidR="00BB6F2A">
        <w:rPr>
          <w:rFonts w:cs="Times New Roman"/>
          <w:lang w:val="fr-CA"/>
        </w:rPr>
        <w:t>-</w:t>
      </w:r>
      <w:r w:rsidRPr="00285BDD">
        <w:rPr>
          <w:rFonts w:cs="Times New Roman"/>
          <w:lang w:val="fr-CA"/>
        </w:rPr>
        <w:t>être manqué à ses obligations de confidentialité elle aussi, le juge du procès a reconnu cette possibilité et a ensuite accusé l’avocat de jouer un petit jeu</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Dans ce cas là, M.</w:t>
      </w:r>
      <w:r w:rsidR="00BB6F2A">
        <w:rPr>
          <w:lang w:val="fr-CA"/>
        </w:rPr>
        <w:t xml:space="preserve"> </w:t>
      </w:r>
      <w:r w:rsidRPr="00285BDD">
        <w:rPr>
          <w:lang w:val="fr-CA"/>
        </w:rPr>
        <w:t>le juge, si vous permettez, Mme</w:t>
      </w:r>
      <w:r w:rsidR="00BB6F2A">
        <w:rPr>
          <w:vertAlign w:val="superscript"/>
          <w:lang w:val="fr-CA"/>
        </w:rPr>
        <w:t xml:space="preserve"> </w:t>
      </w:r>
      <w:r w:rsidRPr="00285BDD">
        <w:rPr>
          <w:lang w:val="fr-CA"/>
        </w:rPr>
        <w:t>Taillefer dans le contexte de ce litige nous a fourni 170</w:t>
      </w:r>
      <w:r w:rsidR="00BB6F2A">
        <w:rPr>
          <w:lang w:val="fr-CA"/>
        </w:rPr>
        <w:t xml:space="preserve"> </w:t>
      </w:r>
      <w:r w:rsidRPr="00285BDD">
        <w:rPr>
          <w:lang w:val="fr-CA"/>
        </w:rPr>
        <w:t xml:space="preserve">formulaires d’inscription d’élèves qui forment également </w:t>
      </w:r>
      <w:r w:rsidR="00916B2A">
        <w:rPr>
          <w:lang w:val="fr-CA"/>
        </w:rPr>
        <w:t>--</w:t>
      </w:r>
      <w:r w:rsidRPr="00285BDD">
        <w:rPr>
          <w:lang w:val="fr-CA"/>
        </w:rPr>
        <w:t xml:space="preserve"> partie du dossier de l’élève. Avec le nom du médecin de chacun des élèves qui</w:t>
      </w:r>
      <w:r w:rsidR="00916B2A">
        <w:rPr>
          <w:lang w:val="fr-CA"/>
        </w:rPr>
        <w:t xml:space="preserve"> sont inscrits à l’école Émilie-</w:t>
      </w:r>
      <w:r w:rsidRPr="00285BDD">
        <w:rPr>
          <w:lang w:val="fr-CA"/>
        </w:rPr>
        <w:t xml:space="preserve">Tremblay, le numéro d’assurance santé, des informations </w:t>
      </w:r>
      <w:r w:rsidRPr="00285BDD">
        <w:rPr>
          <w:lang w:val="fr-CA"/>
        </w:rPr>
        <w:lastRenderedPageBreak/>
        <w:t>médicales concernant chacun des élèves. C’est ce qui nous a été fourni dans le contexte de ce litige sans le consentement écrit des parents par la demanderesse. Est</w:t>
      </w:r>
      <w:r w:rsidR="00BB6F2A">
        <w:rPr>
          <w:lang w:val="fr-CA"/>
        </w:rPr>
        <w:t>-</w:t>
      </w:r>
      <w:r w:rsidRPr="00285BDD">
        <w:rPr>
          <w:lang w:val="fr-CA"/>
        </w:rPr>
        <w:t>ce que la demanderesse est également coupable en vertu de l’article</w:t>
      </w:r>
      <w:r w:rsidR="00BB6F2A">
        <w:rPr>
          <w:lang w:val="fr-CA"/>
        </w:rPr>
        <w:t xml:space="preserve"> </w:t>
      </w:r>
      <w:r w:rsidRPr="00285BDD">
        <w:rPr>
          <w:lang w:val="fr-CA"/>
        </w:rPr>
        <w:t>20?</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Peut</w:t>
      </w:r>
      <w:r w:rsidR="00BB6F2A">
        <w:rPr>
          <w:lang w:val="fr-CA"/>
        </w:rPr>
        <w:t>-</w:t>
      </w:r>
      <w:r w:rsidRPr="00285BDD">
        <w:rPr>
          <w:lang w:val="fr-CA"/>
        </w:rPr>
        <w:t>être. Peut</w:t>
      </w:r>
      <w:r w:rsidR="00BB6F2A">
        <w:rPr>
          <w:lang w:val="fr-CA"/>
        </w:rPr>
        <w:t>-</w:t>
      </w:r>
      <w:r w:rsidRPr="00285BDD">
        <w:rPr>
          <w:lang w:val="fr-CA"/>
        </w:rPr>
        <w:t>être.</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Moi j’estime que peut</w:t>
      </w:r>
      <w:r w:rsidR="00BB6F2A">
        <w:rPr>
          <w:lang w:val="fr-CA"/>
        </w:rPr>
        <w:t>-</w:t>
      </w:r>
      <w:r w:rsidRPr="00285BDD">
        <w:rPr>
          <w:lang w:val="fr-CA"/>
        </w:rPr>
        <w:t>être que oui, effectivement, parce qu’il y avait aucune raison de le faire. Nous l’avons fait parce que nous n’avons pas soulevé la question confidentielle. La première personne à soulever les questions confidentielles sur des renseignements médicaux, sur [les deux enfants], c’était le témoin. C’était pas nous et nous estions (phonétique) être en droit de nous défendre par rapport aux allégations qui sont faites contre nous et le droit est clair là</w:t>
      </w:r>
      <w:r w:rsidR="00BB6F2A">
        <w:rPr>
          <w:lang w:val="fr-CA"/>
        </w:rPr>
        <w:t>-</w:t>
      </w:r>
      <w:r w:rsidRPr="00285BDD">
        <w:rPr>
          <w:lang w:val="fr-CA"/>
        </w:rPr>
        <w:t>dessus. Que lorsqu’on soulève la question des questions médicales, que la partie adverse est en droit de, que le, le droit de confidentialité est de ce fait renoncé de façon implicite. J’aurais fait des représentations à cet égard mais vous dites, M.</w:t>
      </w:r>
      <w:r w:rsidR="00BB6F2A">
        <w:rPr>
          <w:lang w:val="fr-CA"/>
        </w:rPr>
        <w:t xml:space="preserve"> </w:t>
      </w:r>
      <w:r w:rsidRPr="00285BDD">
        <w:rPr>
          <w:lang w:val="fr-CA"/>
        </w:rPr>
        <w:t xml:space="preserve">le juge, que vous êtes </w:t>
      </w:r>
      <w:r w:rsidR="00916B2A">
        <w:rPr>
          <w:lang w:val="fr-CA"/>
        </w:rPr>
        <w:t>--</w:t>
      </w:r>
      <w:r w:rsidRPr="00285BDD">
        <w:rPr>
          <w:lang w:val="fr-CA"/>
        </w:rPr>
        <w:t xml:space="preserve"> que vous ne voulez pas le permettre mais avant de juger la conduite de la défenderesse répréhensible, j’aimerais déposer en preuve les 170</w:t>
      </w:r>
      <w:r w:rsidR="00BB6F2A">
        <w:rPr>
          <w:lang w:val="fr-CA"/>
        </w:rPr>
        <w:t xml:space="preserve"> </w:t>
      </w:r>
      <w:r w:rsidRPr="00285BDD">
        <w:rPr>
          <w:lang w:val="fr-CA"/>
        </w:rPr>
        <w:t>formulaires d’inscription d’élèves qui ont été envoyés par Mme</w:t>
      </w:r>
      <w:r w:rsidR="00BB6F2A">
        <w:rPr>
          <w:lang w:val="fr-CA"/>
        </w:rPr>
        <w:t xml:space="preserve"> </w:t>
      </w:r>
      <w:r w:rsidRPr="00285BDD">
        <w:rPr>
          <w:lang w:val="fr-CA"/>
        </w:rPr>
        <w:t>Taillefer à la défenderesse clairement en violation de l’article</w:t>
      </w:r>
      <w:r w:rsidR="00BB6F2A">
        <w:rPr>
          <w:lang w:val="fr-CA"/>
        </w:rPr>
        <w:t xml:space="preserve"> </w:t>
      </w:r>
      <w:r w:rsidRPr="00285BDD">
        <w:rPr>
          <w:lang w:val="fr-CA"/>
        </w:rPr>
        <w:t>20 de la loi. À moins qu’on décide plutôt que dans le contexte en litige, il y a des informations qui vont, qui seront échangées.</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Il me semble avoir un petit jeu qui se joue ici.</w:t>
      </w:r>
    </w:p>
    <w:p w:rsidR="0095762B" w:rsidRPr="00285BDD" w:rsidRDefault="0095762B" w:rsidP="0095762B">
      <w:pPr>
        <w:pStyle w:val="Citation-AltC"/>
        <w:widowControl w:val="0"/>
        <w:ind w:hanging="1166"/>
        <w:contextualSpacing w:val="0"/>
        <w:rPr>
          <w:lang w:val="fr-CA"/>
        </w:rPr>
      </w:pPr>
      <w:r w:rsidRPr="00285BDD">
        <w:rPr>
          <w:lang w:val="fr-CA"/>
        </w:rPr>
        <w:tab/>
        <w:t>MAÎTRE FAILLE</w:t>
      </w:r>
      <w:r w:rsidR="00BB6F2A">
        <w:rPr>
          <w:lang w:val="fr-CA"/>
        </w:rPr>
        <w:t> :</w:t>
      </w:r>
      <w:r w:rsidRPr="00285BDD">
        <w:rPr>
          <w:lang w:val="fr-CA"/>
        </w:rPr>
        <w:t xml:space="preserve"> C’est pas un jeu, M.</w:t>
      </w:r>
      <w:r w:rsidR="00BB6F2A">
        <w:rPr>
          <w:lang w:val="fr-CA"/>
        </w:rPr>
        <w:t xml:space="preserve"> </w:t>
      </w:r>
      <w:r w:rsidRPr="00285BDD">
        <w:rPr>
          <w:lang w:val="fr-CA"/>
        </w:rPr>
        <w:t xml:space="preserve">le juge. C’est pas un jeu. </w:t>
      </w:r>
    </w:p>
    <w:p w:rsidR="0095762B" w:rsidRPr="00285BDD" w:rsidRDefault="0095762B" w:rsidP="0095762B">
      <w:pPr>
        <w:pStyle w:val="ParaNoNdepar-AltN"/>
        <w:widowControl w:val="0"/>
        <w:rPr>
          <w:rFonts w:cs="Times New Roman"/>
          <w:b/>
          <w:lang w:val="fr-CA"/>
        </w:rPr>
      </w:pPr>
      <w:r w:rsidRPr="00285BDD">
        <w:rPr>
          <w:rFonts w:cs="Times New Roman"/>
          <w:lang w:val="fr-CA"/>
        </w:rPr>
        <w:t xml:space="preserve">La Cour d’appel a reproché au juge du procès d’avoir dit aux avocats qu’il entendrait d’autres arguments sur la question le lendemain, mais en ouvrant l’audience avec sa décision sans donner aux parties l’occasion de présenter d’autres arguments. Ce comportement est peu judicieux en soi, mais son refus d’entendre les arguments du Yukon </w:t>
      </w:r>
      <w:r w:rsidRPr="00285BDD">
        <w:rPr>
          <w:rFonts w:cs="Times New Roman"/>
          <w:i/>
          <w:lang w:val="fr-CA"/>
        </w:rPr>
        <w:t>après</w:t>
      </w:r>
      <w:r w:rsidRPr="00285BDD">
        <w:rPr>
          <w:rFonts w:cs="Times New Roman"/>
          <w:lang w:val="fr-CA"/>
        </w:rPr>
        <w:t xml:space="preserve"> le prononcé de sa décision et sa réaction envers l’avocat sont plus troublants. Au vu de l’ensemble du dossier, la Cour d’appel a conclu à juste titre que le comportement du juge du procès était troublant et posait problème.</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lastRenderedPageBreak/>
        <w:t>La Cour d’appel a également décidé que le juge du procès avait réagi de manière inconvenante à la demande du Yukon visant à présenter par voie d’affidavit la déposition de M.</w:t>
      </w:r>
      <w:r w:rsidR="00BB6F2A">
        <w:rPr>
          <w:rFonts w:cs="Times New Roman"/>
          <w:lang w:val="fr-CA"/>
        </w:rPr>
        <w:t xml:space="preserve"> </w:t>
      </w:r>
      <w:r w:rsidRPr="00285BDD">
        <w:rPr>
          <w:rFonts w:cs="Times New Roman"/>
          <w:lang w:val="fr-CA"/>
        </w:rPr>
        <w:t>DeBruyn, le témoin qui avait été victime d’un AVC. Lorsque l’avocat du Yukon a informé le juge du procès au début du deuxième volet du procès qu’il entendait présenter une demande pour faire admettre le témoignage par affidavit, mais qu’il n’avait pas encore terminé la documentation à l’appui, le juge du procès a demandé à voir la lettre qui circulait parmi les avocats dans laquelle une orthophoniste décrivait l’état de M.</w:t>
      </w:r>
      <w:r w:rsidR="00BB6F2A">
        <w:rPr>
          <w:rFonts w:cs="Times New Roman"/>
          <w:lang w:val="fr-CA"/>
        </w:rPr>
        <w:t xml:space="preserve"> </w:t>
      </w:r>
      <w:r w:rsidRPr="00285BDD">
        <w:rPr>
          <w:rFonts w:cs="Times New Roman"/>
          <w:lang w:val="fr-CA"/>
        </w:rPr>
        <w:t>DeBruyn. On y lisait notamment ce qui suit</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t>[</w:t>
      </w:r>
      <w:r w:rsidRPr="00285BDD">
        <w:rPr>
          <w:smallCaps/>
          <w:lang w:val="fr-CA"/>
        </w:rPr>
        <w:t>traduction</w:t>
      </w:r>
      <w:r w:rsidRPr="00285BDD">
        <w:rPr>
          <w:lang w:val="fr-CA"/>
        </w:rPr>
        <w:t>]  Malgré son rétablissement remarquable, M.</w:t>
      </w:r>
      <w:r w:rsidR="00BB6F2A">
        <w:rPr>
          <w:lang w:val="fr-CA"/>
        </w:rPr>
        <w:t xml:space="preserve"> </w:t>
      </w:r>
      <w:r w:rsidRPr="00285BDD">
        <w:rPr>
          <w:lang w:val="fr-CA"/>
        </w:rPr>
        <w:t xml:space="preserve">DeBruyn </w:t>
      </w:r>
      <w:r w:rsidR="008A7CA5">
        <w:rPr>
          <w:lang w:val="fr-CA"/>
        </w:rPr>
        <w:t xml:space="preserve">éprouve </w:t>
      </w:r>
      <w:r w:rsidRPr="00285BDD">
        <w:rPr>
          <w:lang w:val="fr-CA"/>
        </w:rPr>
        <w:t>toujours une aphasie résiduelle légère. L’aphasie est un trouble du langage qui peut entraîner chez une personne des difficultés de compréhension</w:t>
      </w:r>
      <w:r w:rsidR="008A7CA5">
        <w:rPr>
          <w:lang w:val="fr-CA"/>
        </w:rPr>
        <w:t>,</w:t>
      </w:r>
      <w:r w:rsidRPr="00285BDD">
        <w:rPr>
          <w:lang w:val="fr-CA"/>
        </w:rPr>
        <w:t xml:space="preserve"> </w:t>
      </w:r>
      <w:r w:rsidR="008A7CA5">
        <w:rPr>
          <w:lang w:val="fr-CA"/>
        </w:rPr>
        <w:t>de lecture ou</w:t>
      </w:r>
      <w:r w:rsidRPr="00285BDD">
        <w:rPr>
          <w:lang w:val="fr-CA"/>
        </w:rPr>
        <w:t xml:space="preserve"> d’écriture</w:t>
      </w:r>
      <w:r w:rsidR="008A7CA5">
        <w:rPr>
          <w:lang w:val="fr-CA"/>
        </w:rPr>
        <w:t>; la personne peut aussi avoir des difficultés à s’exprimer par la parole</w:t>
      </w:r>
      <w:r w:rsidRPr="00285BDD">
        <w:rPr>
          <w:lang w:val="fr-CA"/>
        </w:rPr>
        <w:t>. M.</w:t>
      </w:r>
      <w:r w:rsidR="00BB6F2A">
        <w:rPr>
          <w:lang w:val="fr-CA"/>
        </w:rPr>
        <w:t xml:space="preserve"> </w:t>
      </w:r>
      <w:r w:rsidRPr="00285BDD">
        <w:rPr>
          <w:lang w:val="fr-CA"/>
        </w:rPr>
        <w:t>DeBruyn fait encore des err</w:t>
      </w:r>
      <w:r w:rsidR="008A7CA5">
        <w:rPr>
          <w:lang w:val="fr-CA"/>
        </w:rPr>
        <w:t>eurs paraphasiques à l’occasion;</w:t>
      </w:r>
      <w:r w:rsidRPr="00285BDD">
        <w:rPr>
          <w:lang w:val="fr-CA"/>
        </w:rPr>
        <w:t xml:space="preserve"> c’est</w:t>
      </w:r>
      <w:r w:rsidR="00BB6F2A">
        <w:rPr>
          <w:lang w:val="fr-CA"/>
        </w:rPr>
        <w:t>-</w:t>
      </w:r>
      <w:r w:rsidRPr="00285BDD">
        <w:rPr>
          <w:lang w:val="fr-CA"/>
        </w:rPr>
        <w:t>à</w:t>
      </w:r>
      <w:r w:rsidR="00BB6F2A">
        <w:rPr>
          <w:lang w:val="fr-CA"/>
        </w:rPr>
        <w:t>-</w:t>
      </w:r>
      <w:r w:rsidRPr="00285BDD">
        <w:rPr>
          <w:lang w:val="fr-CA"/>
        </w:rPr>
        <w:t>dire qu’il lui arrive de substituer à un mot un autre mot de sens ou de forme semblable.</w:t>
      </w:r>
    </w:p>
    <w:p w:rsidR="0095762B" w:rsidRPr="00285BDD" w:rsidRDefault="008A7CA5" w:rsidP="0095762B">
      <w:pPr>
        <w:pStyle w:val="Citation-AltC"/>
        <w:widowControl w:val="0"/>
        <w:ind w:hanging="1166"/>
        <w:contextualSpacing w:val="0"/>
        <w:rPr>
          <w:lang w:val="fr-CA"/>
        </w:rPr>
      </w:pPr>
      <w:r>
        <w:rPr>
          <w:lang w:val="fr-CA"/>
        </w:rPr>
        <w:tab/>
        <w:t xml:space="preserve">Le fait d’être placé en situation de stress, de nervosité, ou </w:t>
      </w:r>
      <w:r w:rsidR="0095762B" w:rsidRPr="00285BDD">
        <w:rPr>
          <w:lang w:val="fr-CA"/>
        </w:rPr>
        <w:t xml:space="preserve">d’être interrogé </w:t>
      </w:r>
      <w:r>
        <w:rPr>
          <w:lang w:val="fr-CA"/>
        </w:rPr>
        <w:t>oralement</w:t>
      </w:r>
      <w:r w:rsidR="0095762B" w:rsidRPr="00285BDD">
        <w:rPr>
          <w:lang w:val="fr-CA"/>
        </w:rPr>
        <w:t xml:space="preserve"> dans une salle d’audience peut exacerber les </w:t>
      </w:r>
      <w:r>
        <w:rPr>
          <w:lang w:val="fr-CA"/>
        </w:rPr>
        <w:t>difficultés</w:t>
      </w:r>
      <w:r w:rsidR="0095762B" w:rsidRPr="00285BDD">
        <w:rPr>
          <w:lang w:val="fr-CA"/>
        </w:rPr>
        <w:t xml:space="preserve"> de communication de M.</w:t>
      </w:r>
      <w:r w:rsidR="00BB6F2A">
        <w:rPr>
          <w:lang w:val="fr-CA"/>
        </w:rPr>
        <w:t xml:space="preserve"> </w:t>
      </w:r>
      <w:r w:rsidR="0095762B" w:rsidRPr="00285BDD">
        <w:rPr>
          <w:lang w:val="fr-CA"/>
        </w:rPr>
        <w:t>DeBruyn pendant son contre</w:t>
      </w:r>
      <w:r w:rsidR="00BB6F2A">
        <w:rPr>
          <w:lang w:val="fr-CA"/>
        </w:rPr>
        <w:t>-</w:t>
      </w:r>
      <w:r w:rsidR="0095762B" w:rsidRPr="00285BDD">
        <w:rPr>
          <w:lang w:val="fr-CA"/>
        </w:rPr>
        <w:t xml:space="preserve">interrogatoire. Il est </w:t>
      </w:r>
      <w:r>
        <w:rPr>
          <w:lang w:val="fr-CA"/>
        </w:rPr>
        <w:t>ainsi</w:t>
      </w:r>
      <w:r w:rsidR="0095762B" w:rsidRPr="00285BDD">
        <w:rPr>
          <w:lang w:val="fr-CA"/>
        </w:rPr>
        <w:t xml:space="preserve"> susceptible de commettre des erreurs aphasique</w:t>
      </w:r>
      <w:r>
        <w:rPr>
          <w:lang w:val="fr-CA"/>
        </w:rPr>
        <w:t>s</w:t>
      </w:r>
      <w:r w:rsidR="0095762B" w:rsidRPr="00285BDD">
        <w:rPr>
          <w:lang w:val="fr-CA"/>
        </w:rPr>
        <w:t>. Par conséquent, il est recommandé que M.</w:t>
      </w:r>
      <w:r w:rsidR="00BB6F2A">
        <w:rPr>
          <w:lang w:val="fr-CA"/>
        </w:rPr>
        <w:t xml:space="preserve"> </w:t>
      </w:r>
      <w:r w:rsidR="0095762B" w:rsidRPr="00285BDD">
        <w:rPr>
          <w:lang w:val="fr-CA"/>
        </w:rPr>
        <w:t xml:space="preserve">DeBruyn </w:t>
      </w:r>
      <w:r>
        <w:rPr>
          <w:lang w:val="fr-CA"/>
        </w:rPr>
        <w:t>reçoive les</w:t>
      </w:r>
      <w:r w:rsidR="0095762B" w:rsidRPr="00285BDD">
        <w:rPr>
          <w:lang w:val="fr-CA"/>
        </w:rPr>
        <w:t xml:space="preserve"> questions par écrit plutôt que de se faire interroger oralement dans une salle d’audience. Il serait aussi utile que M.</w:t>
      </w:r>
      <w:r w:rsidR="00BB6F2A">
        <w:rPr>
          <w:lang w:val="fr-CA"/>
        </w:rPr>
        <w:t xml:space="preserve"> </w:t>
      </w:r>
      <w:r w:rsidR="0095762B" w:rsidRPr="00285BDD">
        <w:rPr>
          <w:lang w:val="fr-CA"/>
        </w:rPr>
        <w:t xml:space="preserve">DeBruyn puisse répondre par écrit et qu’il revoie ses réponses plusieurs fois avant de les remettre. Il pourrait ainsi </w:t>
      </w:r>
      <w:r>
        <w:rPr>
          <w:lang w:val="fr-CA"/>
        </w:rPr>
        <w:t>s’assurer</w:t>
      </w:r>
      <w:r w:rsidR="0095762B" w:rsidRPr="00285BDD">
        <w:rPr>
          <w:lang w:val="fr-CA"/>
        </w:rPr>
        <w:t xml:space="preserve"> </w:t>
      </w:r>
      <w:r>
        <w:rPr>
          <w:lang w:val="fr-CA"/>
        </w:rPr>
        <w:t>qu’elles sont exactes</w:t>
      </w:r>
      <w:r w:rsidR="0095762B" w:rsidRPr="00285BDD">
        <w:rPr>
          <w:lang w:val="fr-CA"/>
        </w:rPr>
        <w:t xml:space="preserve"> et corriger toute erreur éventuelle de langage.</w:t>
      </w:r>
    </w:p>
    <w:p w:rsidR="0095762B" w:rsidRPr="00285BDD" w:rsidRDefault="0095762B" w:rsidP="0095762B">
      <w:pPr>
        <w:pStyle w:val="ParaNoNdepar-AltN"/>
        <w:widowControl w:val="0"/>
        <w:rPr>
          <w:rFonts w:cs="Times New Roman"/>
          <w:lang w:val="fr-CA"/>
        </w:rPr>
      </w:pPr>
      <w:r w:rsidRPr="00285BDD">
        <w:rPr>
          <w:rFonts w:cs="Times New Roman"/>
          <w:lang w:val="fr-CA"/>
        </w:rPr>
        <w:t>Après avoir examiné la lettre et demandé à l’avocat comment il entendait procéder pour communiquer les renseignements à insérer dans l’affidavit, le juge du procès a mis en doute le fait même que M.</w:t>
      </w:r>
      <w:r w:rsidR="00BB6F2A">
        <w:rPr>
          <w:rFonts w:cs="Times New Roman"/>
          <w:lang w:val="fr-CA"/>
        </w:rPr>
        <w:t xml:space="preserve"> </w:t>
      </w:r>
      <w:r w:rsidRPr="00285BDD">
        <w:rPr>
          <w:rFonts w:cs="Times New Roman"/>
          <w:lang w:val="fr-CA"/>
        </w:rPr>
        <w:t>DeBruyn soit un témoin essentiel. Lorsque l’avocat du Yukon a expliqué que M.</w:t>
      </w:r>
      <w:r w:rsidR="00BB6F2A">
        <w:rPr>
          <w:rFonts w:cs="Times New Roman"/>
          <w:lang w:val="fr-CA"/>
        </w:rPr>
        <w:t xml:space="preserve"> </w:t>
      </w:r>
      <w:r w:rsidRPr="00285BDD">
        <w:rPr>
          <w:rFonts w:cs="Times New Roman"/>
          <w:lang w:val="fr-CA"/>
        </w:rPr>
        <w:t xml:space="preserve">DeBruyn était responsable des établissements d’enseignement et pourrait témoigner sur la façon dont les décisions concernant les </w:t>
      </w:r>
      <w:r w:rsidRPr="00285BDD">
        <w:rPr>
          <w:rFonts w:cs="Times New Roman"/>
          <w:lang w:val="fr-CA"/>
        </w:rPr>
        <w:lastRenderedPageBreak/>
        <w:t>installations de l’école étaient prises, y compris le rôle de la Commission dans ces décisions, le juge du procès a continué de se montrer sceptique quant à la nécessité d’appeler M.</w:t>
      </w:r>
      <w:r w:rsidR="00BB6F2A">
        <w:rPr>
          <w:rFonts w:cs="Times New Roman"/>
          <w:lang w:val="fr-CA"/>
        </w:rPr>
        <w:t xml:space="preserve"> </w:t>
      </w:r>
      <w:r w:rsidRPr="00285BDD">
        <w:rPr>
          <w:rFonts w:cs="Times New Roman"/>
          <w:lang w:val="fr-CA"/>
        </w:rPr>
        <w:t>DeBruyn à témoigner</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Alors, vous êtes en train de me dire, comme officier de la cour, qu’il y a seulement M.</w:t>
      </w:r>
      <w:r w:rsidR="00BB6F2A">
        <w:rPr>
          <w:lang w:val="fr-CA"/>
        </w:rPr>
        <w:t xml:space="preserve"> </w:t>
      </w:r>
      <w:r w:rsidRPr="00285BDD">
        <w:rPr>
          <w:lang w:val="fr-CA"/>
        </w:rPr>
        <w:t xml:space="preserve">DeBruyn au ministère de l’Éducation qui a cette information dans leur connaissance? </w:t>
      </w:r>
    </w:p>
    <w:p w:rsidR="0095762B" w:rsidRPr="00285BDD" w:rsidRDefault="0095762B" w:rsidP="0095762B">
      <w:pPr>
        <w:pStyle w:val="Citation-AltC"/>
        <w:widowControl w:val="0"/>
        <w:ind w:hanging="1166"/>
        <w:contextualSpacing w:val="0"/>
        <w:rPr>
          <w:lang w:val="fr-CA"/>
        </w:rPr>
      </w:pPr>
      <w:r w:rsidRPr="00285BDD">
        <w:rPr>
          <w:lang w:val="fr-CA"/>
        </w:rPr>
        <w:tab/>
        <w:t>MAÎTRE FAILLE</w:t>
      </w:r>
      <w:r w:rsidR="00BB6F2A">
        <w:rPr>
          <w:lang w:val="fr-CA"/>
        </w:rPr>
        <w:t> :</w:t>
      </w:r>
      <w:r w:rsidRPr="00285BDD">
        <w:rPr>
          <w:lang w:val="fr-CA"/>
        </w:rPr>
        <w:t xml:space="preserve"> Je pense que je vous ai relaté, M.</w:t>
      </w:r>
      <w:r w:rsidR="00BB6F2A">
        <w:rPr>
          <w:lang w:val="fr-CA"/>
        </w:rPr>
        <w:t xml:space="preserve"> </w:t>
      </w:r>
      <w:r w:rsidRPr="00285BDD">
        <w:rPr>
          <w:lang w:val="fr-CA"/>
        </w:rPr>
        <w:t>le juge, au meilleur de mes connaissances et en tant qu’officier de la cour quelle est l’information, quel est le partage, la responsabilité de l’information. J’ai bien dit que M.</w:t>
      </w:r>
      <w:r w:rsidR="00BB6F2A">
        <w:rPr>
          <w:lang w:val="fr-CA"/>
        </w:rPr>
        <w:t xml:space="preserve"> </w:t>
      </w:r>
      <w:r w:rsidRPr="00285BDD">
        <w:rPr>
          <w:lang w:val="fr-CA"/>
        </w:rPr>
        <w:t xml:space="preserve">DeBruyn était, à ma connaissance, la personne principalement impliquée qui n’était pas la seule personne impliquée. Donc c’est question de savoir quel </w:t>
      </w:r>
      <w:r w:rsidR="00CB76B5">
        <w:rPr>
          <w:lang w:val="fr-CA"/>
        </w:rPr>
        <w:t>--</w:t>
      </w:r>
      <w:r w:rsidRPr="00285BDD">
        <w:rPr>
          <w:lang w:val="fr-CA"/>
        </w:rPr>
        <w:t xml:space="preserve"> est</w:t>
      </w:r>
      <w:r w:rsidR="00BB6F2A">
        <w:rPr>
          <w:lang w:val="fr-CA"/>
        </w:rPr>
        <w:t>-</w:t>
      </w:r>
      <w:r w:rsidRPr="00285BDD">
        <w:rPr>
          <w:lang w:val="fr-CA"/>
        </w:rPr>
        <w:t>ce qu’il y a utilité que la cour reçoive cette information</w:t>
      </w:r>
      <w:r w:rsidR="00BB6F2A">
        <w:rPr>
          <w:lang w:val="fr-CA"/>
        </w:rPr>
        <w:t>-</w:t>
      </w:r>
      <w:r w:rsidRPr="00285BDD">
        <w:rPr>
          <w:lang w:val="fr-CA"/>
        </w:rPr>
        <w:t>là sans que ce soit la seule information? Nous aurions l’intention d’également faire témoigner M.</w:t>
      </w:r>
      <w:r w:rsidR="00BB6F2A">
        <w:rPr>
          <w:lang w:val="fr-CA"/>
        </w:rPr>
        <w:t xml:space="preserve"> </w:t>
      </w:r>
      <w:r w:rsidRPr="00285BDD">
        <w:rPr>
          <w:lang w:val="fr-CA"/>
        </w:rPr>
        <w:t>Callas de toute façon pour ajouter à la preuve de M.</w:t>
      </w:r>
      <w:r w:rsidR="00BB6F2A">
        <w:rPr>
          <w:lang w:val="fr-CA"/>
        </w:rPr>
        <w:t xml:space="preserve"> </w:t>
      </w:r>
      <w:r w:rsidRPr="00285BDD">
        <w:rPr>
          <w:lang w:val="fr-CA"/>
        </w:rPr>
        <w:t>DeBruyn, et aussi pour permettre à maître</w:t>
      </w:r>
      <w:r w:rsidR="00BB6F2A">
        <w:rPr>
          <w:lang w:val="fr-CA"/>
        </w:rPr>
        <w:t xml:space="preserve"> </w:t>
      </w:r>
      <w:r w:rsidRPr="00285BDD">
        <w:rPr>
          <w:lang w:val="fr-CA"/>
        </w:rPr>
        <w:t>Lepage de contre</w:t>
      </w:r>
      <w:r w:rsidR="00BB6F2A">
        <w:rPr>
          <w:lang w:val="fr-CA"/>
        </w:rPr>
        <w:t>-</w:t>
      </w:r>
      <w:r w:rsidRPr="00285BDD">
        <w:rPr>
          <w:lang w:val="fr-CA"/>
        </w:rPr>
        <w:t>interroger un témoin sur cette question</w:t>
      </w:r>
      <w:r w:rsidR="00BB6F2A">
        <w:rPr>
          <w:lang w:val="fr-CA"/>
        </w:rPr>
        <w:t>-</w:t>
      </w:r>
      <w:r w:rsidRPr="00285BDD">
        <w:rPr>
          <w:lang w:val="fr-CA"/>
        </w:rPr>
        <w:t>là.</w:t>
      </w:r>
    </w:p>
    <w:p w:rsidR="0095762B" w:rsidRPr="00285BDD" w:rsidRDefault="0095762B" w:rsidP="0095762B">
      <w:pPr>
        <w:pStyle w:val="ParaNoNdepar-AltN"/>
        <w:widowControl w:val="0"/>
        <w:rPr>
          <w:rFonts w:cs="Times New Roman"/>
          <w:lang w:val="fr-CA"/>
        </w:rPr>
      </w:pPr>
      <w:r w:rsidRPr="00285BDD">
        <w:rPr>
          <w:rFonts w:cs="Times New Roman"/>
          <w:lang w:val="fr-CA"/>
        </w:rPr>
        <w:t>Le juge du procès a ensuite fait remarquer qu’au moment de demander un ajournement au début du procès, l’avocat avait mentionné que M.</w:t>
      </w:r>
      <w:r w:rsidR="00BB6F2A">
        <w:rPr>
          <w:rFonts w:cs="Times New Roman"/>
          <w:lang w:val="fr-CA"/>
        </w:rPr>
        <w:t xml:space="preserve"> </w:t>
      </w:r>
      <w:r w:rsidRPr="00285BDD">
        <w:rPr>
          <w:rFonts w:cs="Times New Roman"/>
          <w:lang w:val="fr-CA"/>
        </w:rPr>
        <w:t>DeBruyn n’était pas seulement un témoin essentiel dans le procès lui-même, il était un conseiller indispensable au gouvernement pendant l’instance. Lorsque l’avocat a informé le juge du procès que M.</w:t>
      </w:r>
      <w:r w:rsidR="00BB6F2A">
        <w:rPr>
          <w:rFonts w:cs="Times New Roman"/>
          <w:lang w:val="fr-CA"/>
        </w:rPr>
        <w:t xml:space="preserve"> </w:t>
      </w:r>
      <w:r w:rsidRPr="00285BDD">
        <w:rPr>
          <w:rFonts w:cs="Times New Roman"/>
          <w:lang w:val="fr-CA"/>
        </w:rPr>
        <w:t>DeBruyn se trouvait dans la salle d’audience et le conseillait, le juge du procès s’est dit surpris qu’il ne l’ait pas informé de la présence de M.</w:t>
      </w:r>
      <w:r w:rsidR="00BB6F2A">
        <w:rPr>
          <w:rFonts w:cs="Times New Roman"/>
          <w:lang w:val="fr-CA"/>
        </w:rPr>
        <w:t xml:space="preserve"> </w:t>
      </w:r>
      <w:r w:rsidRPr="00285BDD">
        <w:rPr>
          <w:rFonts w:cs="Times New Roman"/>
          <w:lang w:val="fr-CA"/>
        </w:rPr>
        <w:t>DeBruyn.</w:t>
      </w:r>
    </w:p>
    <w:p w:rsidR="0095762B" w:rsidRPr="00285BDD" w:rsidRDefault="0095762B" w:rsidP="0095762B">
      <w:pPr>
        <w:pStyle w:val="ParaNoNdepar-AltN"/>
        <w:widowControl w:val="0"/>
        <w:rPr>
          <w:rFonts w:cs="Times New Roman"/>
          <w:lang w:val="fr-CA"/>
        </w:rPr>
      </w:pPr>
      <w:r w:rsidRPr="00285BDD">
        <w:rPr>
          <w:rFonts w:cs="Times New Roman"/>
          <w:lang w:val="fr-CA"/>
        </w:rPr>
        <w:t>Le juge du procès est ensuite revenu à la lettre et a demandé à l’avocat quelles autres mesures il avait prises plus tôt pour établir l’état de santé de M.</w:t>
      </w:r>
      <w:r w:rsidR="00BB6F2A">
        <w:rPr>
          <w:rFonts w:cs="Times New Roman"/>
          <w:lang w:val="fr-CA"/>
        </w:rPr>
        <w:t xml:space="preserve"> </w:t>
      </w:r>
      <w:r w:rsidRPr="00285BDD">
        <w:rPr>
          <w:rFonts w:cs="Times New Roman"/>
          <w:lang w:val="fr-CA"/>
        </w:rPr>
        <w:t>DeBruyn et sa capacité à témoigner</w:t>
      </w:r>
      <w:r w:rsidR="00BB6F2A">
        <w:rPr>
          <w:rFonts w:cs="Times New Roman"/>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lastRenderedPageBreak/>
        <w:tab/>
        <w:t>LA COUR</w:t>
      </w:r>
      <w:r w:rsidR="00BB6F2A">
        <w:rPr>
          <w:lang w:val="fr-CA"/>
        </w:rPr>
        <w:t> :</w:t>
      </w:r>
      <w:r w:rsidRPr="00285BDD">
        <w:rPr>
          <w:lang w:val="fr-CA"/>
        </w:rPr>
        <w:t xml:space="preserve"> </w:t>
      </w:r>
      <w:r w:rsidR="00BB6F2A">
        <w:rPr>
          <w:lang w:val="fr-CA"/>
        </w:rPr>
        <w:t>. . .</w:t>
      </w:r>
      <w:r w:rsidRPr="00285BDD">
        <w:rPr>
          <w:lang w:val="fr-CA"/>
        </w:rPr>
        <w:t xml:space="preserve"> Alors, cette lettre ici est datée du 17</w:t>
      </w:r>
      <w:r w:rsidR="00BB6F2A">
        <w:rPr>
          <w:lang w:val="fr-CA"/>
        </w:rPr>
        <w:t xml:space="preserve"> </w:t>
      </w:r>
      <w:r w:rsidRPr="00285BDD">
        <w:rPr>
          <w:lang w:val="fr-CA"/>
        </w:rPr>
        <w:t>janvier 2011. On le savait depuis le mois de mai, ou au moins la fin juin qu’on revenait ici le 17</w:t>
      </w:r>
      <w:r w:rsidR="00BB6F2A">
        <w:rPr>
          <w:lang w:val="fr-CA"/>
        </w:rPr>
        <w:t xml:space="preserve"> </w:t>
      </w:r>
      <w:r w:rsidRPr="00285BDD">
        <w:rPr>
          <w:lang w:val="fr-CA"/>
        </w:rPr>
        <w:t>janvier. Quelles autres étapes ont été faites avant cette date de la première journée du procès pour obtenir des rapports en ce qui concernait le témoignage possible ou non possible de M.</w:t>
      </w:r>
      <w:r w:rsidR="00BB6F2A">
        <w:rPr>
          <w:lang w:val="fr-CA"/>
        </w:rPr>
        <w:t xml:space="preserve"> </w:t>
      </w:r>
      <w:r w:rsidRPr="00285BDD">
        <w:rPr>
          <w:lang w:val="fr-CA"/>
        </w:rPr>
        <w:t>DeBruyn?</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Il n’y a pas eu d’autres étapes, M.</w:t>
      </w:r>
      <w:r w:rsidR="00BB6F2A">
        <w:rPr>
          <w:lang w:val="fr-CA"/>
        </w:rPr>
        <w:t xml:space="preserve"> </w:t>
      </w:r>
      <w:r w:rsidRPr="00285BDD">
        <w:rPr>
          <w:lang w:val="fr-CA"/>
        </w:rPr>
        <w:t xml:space="preserve">le juge. On voulait attendre et voir quel était son état de santé. Et à ce moment là, s’il s’avérait qu’il n’était pas en mesure de témoigner, d’apporter la motion que </w:t>
      </w:r>
      <w:r w:rsidR="00CB76B5">
        <w:rPr>
          <w:lang w:val="fr-CA"/>
        </w:rPr>
        <w:t>--</w:t>
      </w:r>
      <w:r w:rsidRPr="00285BDD">
        <w:rPr>
          <w:lang w:val="fr-CA"/>
        </w:rPr>
        <w:t xml:space="preserve"> que nous avons identifié que nous apporterions peut</w:t>
      </w:r>
      <w:r w:rsidR="00BB6F2A">
        <w:rPr>
          <w:lang w:val="fr-CA"/>
        </w:rPr>
        <w:t>-</w:t>
      </w:r>
      <w:r w:rsidRPr="00285BDD">
        <w:rPr>
          <w:lang w:val="fr-CA"/>
        </w:rPr>
        <w:t>être.</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Vous n’avez pas fait de préparation à savoir quels témoins vous auriez à présenter sachant que c’était le témoin principal avant le 17</w:t>
      </w:r>
      <w:r w:rsidR="00BB6F2A">
        <w:rPr>
          <w:lang w:val="fr-CA"/>
        </w:rPr>
        <w:t xml:space="preserve"> </w:t>
      </w:r>
      <w:r w:rsidRPr="00285BDD">
        <w:rPr>
          <w:lang w:val="fr-CA"/>
        </w:rPr>
        <w:t>janvier, la première journée de ce procès ici? À savoir s’il pourrait témoigner?</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Bien, c’est qu’on anticipait que ça soit, soit M.</w:t>
      </w:r>
      <w:r w:rsidR="00BB6F2A">
        <w:rPr>
          <w:lang w:val="fr-CA"/>
        </w:rPr>
        <w:t xml:space="preserve"> </w:t>
      </w:r>
      <w:r w:rsidRPr="00285BDD">
        <w:rPr>
          <w:lang w:val="fr-CA"/>
        </w:rPr>
        <w:t>DeBruyn, s’il était en mesure de témoigner. Ou bien, évidemment, s’il y avait impossibilité, qu’on s’arrangerait et que ça serait M.</w:t>
      </w:r>
      <w:r w:rsidR="00BB6F2A">
        <w:rPr>
          <w:lang w:val="fr-CA"/>
        </w:rPr>
        <w:t xml:space="preserve"> </w:t>
      </w:r>
      <w:r w:rsidRPr="00285BDD">
        <w:rPr>
          <w:lang w:val="fr-CA"/>
        </w:rPr>
        <w:t>Chic Callas ou une combinaison des deux.</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Sachant que ce témoin est un témoin essentiel, vous avez pas même fait des démarches pour savoir s’il pourrait témoigner pour éviter ce problème qu’on a maintenant, puis le gaspillage de temps qu’on a maintenant, avant le 17</w:t>
      </w:r>
      <w:r w:rsidR="00BB6F2A">
        <w:rPr>
          <w:lang w:val="fr-CA"/>
        </w:rPr>
        <w:t xml:space="preserve"> </w:t>
      </w:r>
      <w:r w:rsidRPr="00285BDD">
        <w:rPr>
          <w:lang w:val="fr-CA"/>
        </w:rPr>
        <w:t>janvier, la première journée du procès? C’est ça que vous me dites?</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Non. J’ai pris des </w:t>
      </w:r>
      <w:r w:rsidR="00BB6F2A">
        <w:rPr>
          <w:lang w:val="fr-CA"/>
        </w:rPr>
        <w:t>--</w:t>
      </w:r>
      <w:r w:rsidRPr="00285BDD">
        <w:rPr>
          <w:lang w:val="fr-CA"/>
        </w:rPr>
        <w:t xml:space="preserve"> on a pris des démarches avant le procès, mais ce n’est qu’après avoir obtenu les informations qu’on a eues sur son état de santé qu’on a ensuite demandé. Qu’on s’est dit, bien il va falloir qu’on obtienne le rapport médical.</w:t>
      </w:r>
      <w:r w:rsidR="00BB6F2A">
        <w:rPr>
          <w:lang w:val="fr-CA"/>
        </w:rPr>
        <w:t xml:space="preserve"> </w:t>
      </w:r>
      <w:r w:rsidRPr="00285BDD">
        <w:rPr>
          <w:lang w:val="fr-CA"/>
        </w:rPr>
        <w:t>Si on veut faire témoigner M.</w:t>
      </w:r>
      <w:r w:rsidR="00BB6F2A">
        <w:rPr>
          <w:lang w:val="fr-CA"/>
        </w:rPr>
        <w:t xml:space="preserve"> </w:t>
      </w:r>
      <w:r w:rsidRPr="00285BDD">
        <w:rPr>
          <w:lang w:val="fr-CA"/>
        </w:rPr>
        <w:t>DeBruyn par voie d’affidavit, évidemment, ça va prendre une preuve à l’appui, donc on a demandé qu’on obtienne et on a pris les démarches. Donc dans les deux semaines, je dirais, avant le procès.</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Si vous vouliez faire une requête qu’il témoigne par affidavit, vous ne jugez pas que ça aurait été plus approprié de faire cette demande</w:t>
      </w:r>
      <w:r w:rsidR="00BB6F2A">
        <w:rPr>
          <w:lang w:val="fr-CA"/>
        </w:rPr>
        <w:t>-</w:t>
      </w:r>
      <w:r w:rsidRPr="00285BDD">
        <w:rPr>
          <w:lang w:val="fr-CA"/>
        </w:rPr>
        <w:t>là avant le début du procès?</w:t>
      </w:r>
    </w:p>
    <w:p w:rsidR="0095762B" w:rsidRPr="00285BDD" w:rsidRDefault="0095762B" w:rsidP="0095762B">
      <w:pPr>
        <w:pStyle w:val="Citation-AltC"/>
        <w:widowControl w:val="0"/>
        <w:spacing w:after="240"/>
        <w:ind w:hanging="1166"/>
        <w:contextualSpacing w:val="0"/>
        <w:rPr>
          <w:lang w:val="fr-CA"/>
        </w:rPr>
      </w:pPr>
      <w:r w:rsidRPr="00285BDD">
        <w:rPr>
          <w:lang w:val="fr-CA"/>
        </w:rPr>
        <w:tab/>
        <w:t>MAÎTRE FAILLE</w:t>
      </w:r>
      <w:r w:rsidR="00BB6F2A">
        <w:rPr>
          <w:lang w:val="fr-CA"/>
        </w:rPr>
        <w:t> :</w:t>
      </w:r>
      <w:r w:rsidRPr="00285BDD">
        <w:rPr>
          <w:lang w:val="fr-CA"/>
        </w:rPr>
        <w:t xml:space="preserve"> Non, M.</w:t>
      </w:r>
      <w:r w:rsidR="00BB6F2A">
        <w:rPr>
          <w:lang w:val="fr-CA"/>
        </w:rPr>
        <w:t xml:space="preserve"> </w:t>
      </w:r>
      <w:r w:rsidRPr="00285BDD">
        <w:rPr>
          <w:lang w:val="fr-CA"/>
        </w:rPr>
        <w:t>le juge, ça m’est pas passé à l’esprit. Et comme vous le savez peut</w:t>
      </w:r>
      <w:r w:rsidR="00BB6F2A">
        <w:rPr>
          <w:lang w:val="fr-CA"/>
        </w:rPr>
        <w:t>-</w:t>
      </w:r>
      <w:r w:rsidRPr="00285BDD">
        <w:rPr>
          <w:lang w:val="fr-CA"/>
        </w:rPr>
        <w:t>être, moi et maître Lepage étions très impliqués dans un autre dossier jusqu’à la mi</w:t>
      </w:r>
      <w:r w:rsidR="00BB6F2A">
        <w:rPr>
          <w:lang w:val="fr-CA"/>
        </w:rPr>
        <w:t>-</w:t>
      </w:r>
      <w:r w:rsidRPr="00285BDD">
        <w:rPr>
          <w:lang w:val="fr-CA"/>
        </w:rPr>
        <w:t xml:space="preserve">décembre pour ensuite retourner à Yellowknife, et pour venir directement de Yellowknife à Whitehorse. Mais j’ai </w:t>
      </w:r>
      <w:r w:rsidR="00CB76B5">
        <w:rPr>
          <w:lang w:val="fr-CA"/>
        </w:rPr>
        <w:t>--</w:t>
      </w:r>
    </w:p>
    <w:p w:rsidR="0095762B" w:rsidRPr="00285BDD" w:rsidRDefault="0095762B" w:rsidP="0095762B">
      <w:pPr>
        <w:pStyle w:val="Citation-AltC"/>
        <w:widowControl w:val="0"/>
        <w:spacing w:after="240"/>
        <w:ind w:hanging="1166"/>
        <w:contextualSpacing w:val="0"/>
        <w:rPr>
          <w:lang w:val="fr-CA"/>
        </w:rPr>
      </w:pPr>
      <w:r w:rsidRPr="00285BDD">
        <w:rPr>
          <w:lang w:val="fr-CA"/>
        </w:rPr>
        <w:tab/>
        <w:t>LA COUR</w:t>
      </w:r>
      <w:r w:rsidR="00BB6F2A">
        <w:rPr>
          <w:lang w:val="fr-CA"/>
        </w:rPr>
        <w:t> :</w:t>
      </w:r>
      <w:r w:rsidRPr="00285BDD">
        <w:rPr>
          <w:lang w:val="fr-CA"/>
        </w:rPr>
        <w:t xml:space="preserve"> Est</w:t>
      </w:r>
      <w:r w:rsidR="00BB6F2A">
        <w:rPr>
          <w:lang w:val="fr-CA"/>
        </w:rPr>
        <w:t>-</w:t>
      </w:r>
      <w:r w:rsidRPr="00285BDD">
        <w:rPr>
          <w:lang w:val="fr-CA"/>
        </w:rPr>
        <w:t>ce que vous êtes trois avocats que je vois à la table pour le gouvernement? Je me demande si la condition de M.</w:t>
      </w:r>
      <w:r w:rsidR="00BB6F2A">
        <w:rPr>
          <w:lang w:val="fr-CA"/>
        </w:rPr>
        <w:t xml:space="preserve"> </w:t>
      </w:r>
      <w:r w:rsidRPr="00285BDD">
        <w:rPr>
          <w:lang w:val="fr-CA"/>
        </w:rPr>
        <w:t xml:space="preserve">DeBruyn était </w:t>
      </w:r>
      <w:r w:rsidRPr="00285BDD">
        <w:rPr>
          <w:lang w:val="fr-CA"/>
        </w:rPr>
        <w:lastRenderedPageBreak/>
        <w:t>meilleure au mois d’octobre ou au mois de septembre lorsqu’on savait qu’il y avait une date de procès pour le mois de janvier, à savoir s’il allait témoigner?</w:t>
      </w:r>
    </w:p>
    <w:p w:rsidR="0095762B" w:rsidRPr="00285BDD" w:rsidRDefault="0095762B" w:rsidP="0095762B">
      <w:pPr>
        <w:pStyle w:val="Citation-AltC"/>
        <w:widowControl w:val="0"/>
        <w:ind w:hanging="1166"/>
        <w:contextualSpacing w:val="0"/>
        <w:rPr>
          <w:lang w:val="fr-CA"/>
        </w:rPr>
      </w:pPr>
      <w:r w:rsidRPr="00285BDD">
        <w:rPr>
          <w:lang w:val="fr-CA"/>
        </w:rPr>
        <w:tab/>
        <w:t>MAÎTRE FAILLE</w:t>
      </w:r>
      <w:r w:rsidR="00BB6F2A">
        <w:rPr>
          <w:lang w:val="fr-CA"/>
        </w:rPr>
        <w:t> :</w:t>
      </w:r>
      <w:r w:rsidRPr="00285BDD">
        <w:rPr>
          <w:lang w:val="fr-CA"/>
        </w:rPr>
        <w:t xml:space="preserve"> Je ne sais pas, M.</w:t>
      </w:r>
      <w:r w:rsidR="00BB6F2A">
        <w:rPr>
          <w:lang w:val="fr-CA"/>
        </w:rPr>
        <w:t xml:space="preserve"> </w:t>
      </w:r>
      <w:r w:rsidRPr="00285BDD">
        <w:rPr>
          <w:lang w:val="fr-CA"/>
        </w:rPr>
        <w:t xml:space="preserve">le juge, mais j’aurais </w:t>
      </w:r>
      <w:r w:rsidR="00CB76B5">
        <w:rPr>
          <w:lang w:val="fr-CA"/>
        </w:rPr>
        <w:t>--</w:t>
      </w:r>
      <w:r w:rsidRPr="00285BDD">
        <w:rPr>
          <w:lang w:val="fr-CA"/>
        </w:rPr>
        <w:t xml:space="preserve"> dans mon esprit, c’était nécessaire d’attendre, justement, pour savoir quel était son état de santé au moment du procès, et non pas quelques mois auparavant puisque son état </w:t>
      </w:r>
      <w:r w:rsidR="00CB76B5">
        <w:rPr>
          <w:lang w:val="fr-CA"/>
        </w:rPr>
        <w:t>--</w:t>
      </w:r>
      <w:r w:rsidRPr="00285BDD">
        <w:rPr>
          <w:lang w:val="fr-CA"/>
        </w:rPr>
        <w:t xml:space="preserve"> évidemment, son état de santé a beaucoup changé au cours des derniers mois.</w:t>
      </w:r>
    </w:p>
    <w:p w:rsidR="0095762B" w:rsidRPr="00285BDD" w:rsidRDefault="0095762B" w:rsidP="0095762B">
      <w:pPr>
        <w:pStyle w:val="ParaNoNdepar-AltN"/>
        <w:widowControl w:val="0"/>
        <w:rPr>
          <w:rFonts w:cs="Times New Roman"/>
          <w:lang w:val="fr-CA"/>
        </w:rPr>
      </w:pPr>
      <w:r w:rsidRPr="00285BDD">
        <w:rPr>
          <w:rFonts w:cs="Times New Roman"/>
          <w:lang w:val="fr-CA"/>
        </w:rPr>
        <w:t>Le juge du procès a posé des questions sur le retour au travail de M.</w:t>
      </w:r>
      <w:r w:rsidR="00BB6F2A">
        <w:rPr>
          <w:rFonts w:cs="Times New Roman"/>
          <w:lang w:val="fr-CA"/>
        </w:rPr>
        <w:t xml:space="preserve"> </w:t>
      </w:r>
      <w:r w:rsidRPr="00285BDD">
        <w:rPr>
          <w:rFonts w:cs="Times New Roman"/>
          <w:lang w:val="fr-CA"/>
        </w:rPr>
        <w:t>DeBruyn et a ensuite entendu les observations de l’avocat de la Commission. Il a clos la discussion en faisant remarquer que la lettre de l’orthophoniste ne laissait pas entendre que M.</w:t>
      </w:r>
      <w:r w:rsidR="00BB6F2A">
        <w:rPr>
          <w:rFonts w:cs="Times New Roman"/>
          <w:lang w:val="fr-CA"/>
        </w:rPr>
        <w:t xml:space="preserve"> </w:t>
      </w:r>
      <w:r w:rsidRPr="00285BDD">
        <w:rPr>
          <w:rFonts w:cs="Times New Roman"/>
          <w:lang w:val="fr-CA"/>
        </w:rPr>
        <w:t>DeBruyn était incapable de témoigner; elle tendait seulement à indiquer qu’il risquait d’avoir de la difficulté à s’exprimer en contre</w:t>
      </w:r>
      <w:r w:rsidR="00BB6F2A">
        <w:rPr>
          <w:rFonts w:cs="Times New Roman"/>
          <w:lang w:val="fr-CA"/>
        </w:rPr>
        <w:t>-</w:t>
      </w:r>
      <w:r w:rsidRPr="00285BDD">
        <w:rPr>
          <w:rFonts w:cs="Times New Roman"/>
          <w:lang w:val="fr-CA"/>
        </w:rPr>
        <w:t>interrogatoire. Il a informé l’avocat du Yukon qu’il pouvait tout de même présenter la demande, mais l’a averti qu’il pourrait être condamné personnellement aux dépens</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t>LA COUR</w:t>
      </w:r>
      <w:r w:rsidR="00BB6F2A">
        <w:rPr>
          <w:lang w:val="fr-CA"/>
        </w:rPr>
        <w:t> :</w:t>
      </w:r>
      <w:r w:rsidRPr="00285BDD">
        <w:rPr>
          <w:lang w:val="fr-CA"/>
        </w:rPr>
        <w:t xml:space="preserve"> </w:t>
      </w:r>
      <w:r w:rsidR="00BB6F2A">
        <w:rPr>
          <w:lang w:val="fr-CA"/>
        </w:rPr>
        <w:t>. . .</w:t>
      </w:r>
      <w:r w:rsidRPr="00285BDD">
        <w:rPr>
          <w:lang w:val="fr-CA"/>
        </w:rPr>
        <w:t xml:space="preserve"> Alors je </w:t>
      </w:r>
      <w:r w:rsidR="00CB76B5">
        <w:rPr>
          <w:lang w:val="fr-CA"/>
        </w:rPr>
        <w:t>--</w:t>
      </w:r>
      <w:r w:rsidRPr="00285BDD">
        <w:rPr>
          <w:lang w:val="fr-CA"/>
        </w:rPr>
        <w:t xml:space="preserve"> si vous voulez toujours faire votre requête, vous pouvez. Mais à un moment donné, cher collègue, vous allez vous rendre compte que si on tente des tentatives de délais avec des lettres qui disent que la personne peut témoigner, puis peut</w:t>
      </w:r>
      <w:r w:rsidR="00BB6F2A">
        <w:rPr>
          <w:lang w:val="fr-CA"/>
        </w:rPr>
        <w:t>-</w:t>
      </w:r>
      <w:r w:rsidRPr="00285BDD">
        <w:rPr>
          <w:lang w:val="fr-CA"/>
        </w:rPr>
        <w:t>être qu’ils auront des problèmes en contre</w:t>
      </w:r>
      <w:r w:rsidR="00BB6F2A">
        <w:rPr>
          <w:lang w:val="fr-CA"/>
        </w:rPr>
        <w:t>-</w:t>
      </w:r>
      <w:r w:rsidRPr="00285BDD">
        <w:rPr>
          <w:lang w:val="fr-CA"/>
        </w:rPr>
        <w:t>interrogatoire, que ce genre de requête pourrait être perçue comme une obstruction et tout simplement pour causer des délais. Et peut</w:t>
      </w:r>
      <w:r w:rsidR="00BB6F2A">
        <w:rPr>
          <w:lang w:val="fr-CA"/>
        </w:rPr>
        <w:t>-</w:t>
      </w:r>
      <w:r w:rsidRPr="00285BDD">
        <w:rPr>
          <w:lang w:val="fr-CA"/>
        </w:rPr>
        <w:t xml:space="preserve">être que ça sera pas même </w:t>
      </w:r>
      <w:r w:rsidR="00CB76B5">
        <w:rPr>
          <w:lang w:val="fr-CA"/>
        </w:rPr>
        <w:t xml:space="preserve">-- </w:t>
      </w:r>
      <w:r w:rsidRPr="00285BDD">
        <w:rPr>
          <w:lang w:val="fr-CA"/>
        </w:rPr>
        <w:t>puis ça, des fois, on règle ça avec des questions de dépens. Et des fois, si on voit que c’est l’action, pas nécessairement du client, de l’avocat, ça pourrait être des dépens contre l’avocat.</w:t>
      </w:r>
    </w:p>
    <w:p w:rsidR="0095762B" w:rsidRPr="00285BDD" w:rsidRDefault="0095762B" w:rsidP="0095762B">
      <w:pPr>
        <w:pStyle w:val="ParaNoNdepar-AltN"/>
        <w:widowControl w:val="0"/>
        <w:rPr>
          <w:rFonts w:cs="Times New Roman"/>
          <w:lang w:val="fr-CA"/>
        </w:rPr>
      </w:pPr>
      <w:r w:rsidRPr="00285BDD">
        <w:rPr>
          <w:rFonts w:cs="Times New Roman"/>
          <w:lang w:val="fr-CA"/>
        </w:rPr>
        <w:t>L’avocat a décidé de ne pas présenter le témoignage par affidavit et M.</w:t>
      </w:r>
      <w:r w:rsidR="00BB6F2A">
        <w:rPr>
          <w:rFonts w:cs="Times New Roman"/>
          <w:lang w:val="fr-CA"/>
        </w:rPr>
        <w:t xml:space="preserve"> </w:t>
      </w:r>
      <w:r w:rsidRPr="00285BDD">
        <w:rPr>
          <w:rFonts w:cs="Times New Roman"/>
          <w:lang w:val="fr-CA"/>
        </w:rPr>
        <w:t xml:space="preserve">DeBruyn n’a pas témoigné. Dans la section du jugement sur les dépens intitulée </w:t>
      </w:r>
      <w:r w:rsidR="00BB6F2A">
        <w:rPr>
          <w:rFonts w:cs="Times New Roman"/>
          <w:lang w:val="fr-CA"/>
        </w:rPr>
        <w:t>« </w:t>
      </w:r>
      <w:r w:rsidRPr="00285BDD">
        <w:rPr>
          <w:rFonts w:cs="Times New Roman"/>
          <w:lang w:val="fr-CA"/>
        </w:rPr>
        <w:t>Mauvaise foi — pendant le procès</w:t>
      </w:r>
      <w:r w:rsidR="00BB6F2A">
        <w:rPr>
          <w:rFonts w:cs="Times New Roman"/>
          <w:lang w:val="fr-CA"/>
        </w:rPr>
        <w:t> »</w:t>
      </w:r>
      <w:r w:rsidRPr="00285BDD">
        <w:rPr>
          <w:rFonts w:cs="Times New Roman"/>
          <w:lang w:val="fr-CA"/>
        </w:rPr>
        <w:t xml:space="preserve">, le juge du procès a laissé entendre que </w:t>
      </w:r>
      <w:r w:rsidRPr="00285BDD">
        <w:rPr>
          <w:rFonts w:cs="Times New Roman"/>
          <w:lang w:val="fr-CA"/>
        </w:rPr>
        <w:lastRenderedPageBreak/>
        <w:t>l’incident équivalait à de la mauvaise foi de la part du gouvernement et a affirmé ce qui suit</w:t>
      </w:r>
      <w:r w:rsidR="00BB6F2A">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tab/>
      </w:r>
      <w:r w:rsidR="00CB76B5">
        <w:rPr>
          <w:lang w:val="fr-CA"/>
        </w:rPr>
        <w:tab/>
      </w:r>
      <w:r w:rsidRPr="00285BDD">
        <w:rPr>
          <w:lang w:val="fr-CA"/>
        </w:rPr>
        <w:t>Il semblait que M.</w:t>
      </w:r>
      <w:r w:rsidR="00BB6F2A">
        <w:rPr>
          <w:lang w:val="fr-CA"/>
        </w:rPr>
        <w:t xml:space="preserve"> </w:t>
      </w:r>
      <w:r w:rsidRPr="00285BDD">
        <w:rPr>
          <w:lang w:val="fr-CA"/>
        </w:rPr>
        <w:t xml:space="preserve">DeBruyn avait la capacité de témoigner. Il était de retour au travail depuis l’automne 2010 et la lettre </w:t>
      </w:r>
      <w:r w:rsidR="00CB76B5">
        <w:rPr>
          <w:lang w:val="fr-CA"/>
        </w:rPr>
        <w:t>[</w:t>
      </w:r>
      <w:r w:rsidRPr="00285BDD">
        <w:rPr>
          <w:lang w:val="fr-CA"/>
        </w:rPr>
        <w:t>de l’orthophoniste</w:t>
      </w:r>
      <w:r w:rsidR="00CB76B5">
        <w:rPr>
          <w:lang w:val="fr-CA"/>
        </w:rPr>
        <w:t>]</w:t>
      </w:r>
      <w:r w:rsidRPr="00285BDD">
        <w:rPr>
          <w:lang w:val="fr-CA"/>
        </w:rPr>
        <w:t xml:space="preserve"> indiquait simplement qu’il pourrait (</w:t>
      </w:r>
      <w:r w:rsidR="00BB6F2A">
        <w:rPr>
          <w:lang w:val="fr-CA"/>
        </w:rPr>
        <w:t>« </w:t>
      </w:r>
      <w:r w:rsidRPr="00285BDD">
        <w:rPr>
          <w:i/>
          <w:lang w:val="fr-CA"/>
        </w:rPr>
        <w:t>may</w:t>
      </w:r>
      <w:r w:rsidR="00BB6F2A">
        <w:rPr>
          <w:lang w:val="fr-CA"/>
        </w:rPr>
        <w:t> »</w:t>
      </w:r>
      <w:r w:rsidRPr="00285BDD">
        <w:rPr>
          <w:lang w:val="fr-CA"/>
        </w:rPr>
        <w:t>) avoir des difficultés à s’exprimer en contre</w:t>
      </w:r>
      <w:r w:rsidR="00BB6F2A">
        <w:rPr>
          <w:lang w:val="fr-CA"/>
        </w:rPr>
        <w:t>-</w:t>
      </w:r>
      <w:r w:rsidRPr="00285BDD">
        <w:rPr>
          <w:lang w:val="fr-CA"/>
        </w:rPr>
        <w:t>interrogatoire (</w:t>
      </w:r>
      <w:r w:rsidR="00BB6F2A">
        <w:rPr>
          <w:lang w:val="fr-CA"/>
        </w:rPr>
        <w:t>« </w:t>
      </w:r>
      <w:r w:rsidRPr="00285BDD">
        <w:rPr>
          <w:i/>
          <w:lang w:val="fr-CA"/>
        </w:rPr>
        <w:t>cross</w:t>
      </w:r>
      <w:r w:rsidR="00BB6F2A">
        <w:rPr>
          <w:i/>
          <w:lang w:val="fr-CA"/>
        </w:rPr>
        <w:t>-</w:t>
      </w:r>
      <w:r w:rsidRPr="00285BDD">
        <w:rPr>
          <w:i/>
          <w:lang w:val="fr-CA"/>
        </w:rPr>
        <w:t>examination</w:t>
      </w:r>
      <w:r w:rsidR="00BB6F2A">
        <w:rPr>
          <w:lang w:val="fr-CA"/>
        </w:rPr>
        <w:t> »</w:t>
      </w:r>
      <w:r w:rsidRPr="00285BDD">
        <w:rPr>
          <w:lang w:val="fr-CA"/>
        </w:rPr>
        <w:t>). La Cour a cependant donné l’occasion à l’avocat du [Yukon] de présenter sa requête</w:t>
      </w:r>
      <w:r w:rsidR="00CB76B5">
        <w:rPr>
          <w:lang w:val="fr-CA"/>
        </w:rPr>
        <w:t xml:space="preserve"> </w:t>
      </w:r>
      <w:r w:rsidR="00C37415">
        <w:rPr>
          <w:lang w:val="fr-CA"/>
        </w:rPr>
        <w:t>[</w:t>
      </w:r>
      <w:r w:rsidRPr="00285BDD">
        <w:rPr>
          <w:lang w:val="fr-CA"/>
        </w:rPr>
        <w:t>.</w:t>
      </w:r>
      <w:r w:rsidR="00CB76B5">
        <w:rPr>
          <w:lang w:val="fr-CA"/>
        </w:rPr>
        <w:t xml:space="preserve"> . .</w:t>
      </w:r>
      <w:r w:rsidR="00C37415">
        <w:rPr>
          <w:lang w:val="fr-CA"/>
        </w:rPr>
        <w:t>]</w:t>
      </w:r>
      <w:r w:rsidRPr="00285BDD">
        <w:rPr>
          <w:lang w:val="fr-CA"/>
        </w:rPr>
        <w:t xml:space="preserve"> Il est à noter que le [Yukon] a présenté M.</w:t>
      </w:r>
      <w:r w:rsidR="00BB6F2A">
        <w:rPr>
          <w:lang w:val="fr-CA"/>
        </w:rPr>
        <w:t xml:space="preserve"> </w:t>
      </w:r>
      <w:r w:rsidRPr="00285BDD">
        <w:rPr>
          <w:lang w:val="fr-CA"/>
        </w:rPr>
        <w:t>Charles George Callas comme témoin à la place de M.</w:t>
      </w:r>
      <w:r w:rsidR="00BB6F2A">
        <w:rPr>
          <w:lang w:val="fr-CA"/>
        </w:rPr>
        <w:t xml:space="preserve"> </w:t>
      </w:r>
      <w:r w:rsidRPr="00285BDD">
        <w:rPr>
          <w:lang w:val="fr-CA"/>
        </w:rPr>
        <w:t>DeBruyn, tel que suggéré par la [Commission] au mois de mai 2010. Effectivement, M. Callas et M.</w:t>
      </w:r>
      <w:r w:rsidR="00BB6F2A">
        <w:rPr>
          <w:lang w:val="fr-CA"/>
        </w:rPr>
        <w:t xml:space="preserve"> </w:t>
      </w:r>
      <w:r w:rsidRPr="00285BDD">
        <w:rPr>
          <w:lang w:val="fr-CA"/>
        </w:rPr>
        <w:t>DeBruyn partageaient les mêmes responsabilités pour 29</w:t>
      </w:r>
      <w:r w:rsidR="00BB6F2A">
        <w:rPr>
          <w:lang w:val="fr-CA"/>
        </w:rPr>
        <w:t xml:space="preserve"> </w:t>
      </w:r>
      <w:r w:rsidRPr="00285BDD">
        <w:rPr>
          <w:lang w:val="fr-CA"/>
        </w:rPr>
        <w:t>bâtiments scolaires. La Cour juge que le témoignage de M.</w:t>
      </w:r>
      <w:r w:rsidR="00BB6F2A">
        <w:rPr>
          <w:lang w:val="fr-CA"/>
        </w:rPr>
        <w:t xml:space="preserve"> </w:t>
      </w:r>
      <w:r w:rsidR="00CB76B5">
        <w:rPr>
          <w:lang w:val="fr-CA"/>
        </w:rPr>
        <w:t>DeBruyn n’était ni essentie</w:t>
      </w:r>
      <w:r w:rsidRPr="00285BDD">
        <w:rPr>
          <w:lang w:val="fr-CA"/>
        </w:rPr>
        <w:t>l ni unique. De fait, le [Yukon] s’est fié sur le témoignage de M.</w:t>
      </w:r>
      <w:r w:rsidR="00BB6F2A">
        <w:rPr>
          <w:lang w:val="fr-CA"/>
        </w:rPr>
        <w:t xml:space="preserve"> </w:t>
      </w:r>
      <w:r w:rsidRPr="00285BDD">
        <w:rPr>
          <w:lang w:val="fr-CA"/>
        </w:rPr>
        <w:t xml:space="preserve">Callas. La remise d’une partie du procès a eu comme résultat un procès beaucoup plus long, et la Cour a dû rendre jugement sur la demande d’injonction intérimaire présentée à la fin de la première partie du procès. </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En analysant cet incident, la Cour d’appel a conclu, à bon droit selon moi, que le juge du procès avait mal traité la question. Il n’avait aucune raison d’accuser l’avocat de tenter de retarder le procès, de le réprimander pour avoir attendu avant de présenter la demande ou de le menacer d’une condamnation aux dépens. Lorsqu’on l’examine dans le contexte de la suite du procès, cet incident étaye davantage la conclusion qu’il existe une crainte raisonnable de partialité.</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En outre, la Cour d’appel s’est dite à juste titre troublée par les commentaires désobligeants que le juge du procès avait faits à plusieurs autres reprises envers l’avocat du Yukon, commentaires qu’elle a qualifié</w:t>
      </w:r>
      <w:r w:rsidR="0010797E">
        <w:rPr>
          <w:rFonts w:cs="Times New Roman"/>
          <w:lang w:val="fr-CA"/>
        </w:rPr>
        <w:t>s</w:t>
      </w:r>
      <w:r w:rsidRPr="00285BDD">
        <w:rPr>
          <w:rFonts w:cs="Times New Roman"/>
          <w:lang w:val="fr-CA"/>
        </w:rPr>
        <w:t xml:space="preserve"> d’irrespectueux. À une occasion, par exemple, le juge du procès, réprimandant l’avocat, l’a accusé de présenter des observations qui </w:t>
      </w:r>
      <w:r w:rsidR="00BB6F2A">
        <w:rPr>
          <w:rFonts w:cs="Times New Roman"/>
          <w:lang w:val="fr-CA"/>
        </w:rPr>
        <w:t>« </w:t>
      </w:r>
      <w:r w:rsidRPr="00285BDD">
        <w:rPr>
          <w:rFonts w:cs="Times New Roman"/>
          <w:lang w:val="fr-CA"/>
        </w:rPr>
        <w:t>manqu[aient] de conviction et/ou de sincérité</w:t>
      </w:r>
      <w:r w:rsidR="00BB6F2A">
        <w:rPr>
          <w:rFonts w:cs="Times New Roman"/>
          <w:lang w:val="fr-CA"/>
        </w:rPr>
        <w:t> »</w:t>
      </w:r>
      <w:r w:rsidRPr="00285BDD">
        <w:rPr>
          <w:rFonts w:cs="Times New Roman"/>
          <w:lang w:val="fr-CA"/>
        </w:rPr>
        <w:t xml:space="preserve">. La </w:t>
      </w:r>
      <w:r w:rsidRPr="00285BDD">
        <w:rPr>
          <w:rFonts w:cs="Times New Roman"/>
          <w:lang w:val="fr-CA"/>
        </w:rPr>
        <w:lastRenderedPageBreak/>
        <w:t>Cour d’appel a signalé qu’il y avait eu plusieurs autres occasions durant le procès où le juge s’était montré peu courtois envers l’avocat sans raison apparente.</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De plus, le refus du juge du procès de permettre au Yukon de déposer une réponse concernant les dépens est très problématique dans le contexte global du procès. La Cour d’appel a conclu que, comme il y avait suffisamment d’autres indices d’une crainte raisonnable de partialité relativement au procès, il était inutile de déterminer si le comportement du juge du procès à l’égard des dépens permettait</w:t>
      </w:r>
      <w:r>
        <w:rPr>
          <w:rFonts w:cs="Times New Roman"/>
          <w:lang w:val="fr-CA"/>
        </w:rPr>
        <w:t xml:space="preserve"> </w:t>
      </w:r>
      <w:r w:rsidRPr="00285BDD">
        <w:rPr>
          <w:rFonts w:cs="Times New Roman"/>
          <w:lang w:val="fr-CA"/>
        </w:rPr>
        <w:t xml:space="preserve">également de conclure à la partialité durant le procès. Mais à mon sens, certains commentaires sur l’octroi des dépens en l’espèce sont de mise. Le refus du juge du procès de permettre au Yukon de présenter un mémoire en réplique est contestable, surtout compte tenu du fait que ce dernier ne pouvait connaître le montant des dépens sollicités par la Commission au moment où il a déposé son mémoire, d’autant plus que le juge a accordé un </w:t>
      </w:r>
      <w:r w:rsidR="00BB6F2A">
        <w:rPr>
          <w:rFonts w:cs="Times New Roman"/>
          <w:lang w:val="fr-CA"/>
        </w:rPr>
        <w:t>« </w:t>
      </w:r>
      <w:r w:rsidRPr="00285BDD">
        <w:rPr>
          <w:rFonts w:cs="Times New Roman"/>
          <w:lang w:val="fr-CA"/>
        </w:rPr>
        <w:t>montant forfaitaire</w:t>
      </w:r>
      <w:r w:rsidR="00BB6F2A">
        <w:rPr>
          <w:rFonts w:cs="Times New Roman"/>
          <w:lang w:val="fr-CA"/>
        </w:rPr>
        <w:t> »</w:t>
      </w:r>
      <w:r w:rsidRPr="00285BDD">
        <w:rPr>
          <w:rFonts w:cs="Times New Roman"/>
          <w:lang w:val="fr-CA"/>
        </w:rPr>
        <w:t xml:space="preserve"> à la Commission, en plus de dépens avocat</w:t>
      </w:r>
      <w:r w:rsidR="00BB6F2A">
        <w:rPr>
          <w:rFonts w:cs="Times New Roman"/>
          <w:lang w:val="fr-CA"/>
        </w:rPr>
        <w:t>-</w:t>
      </w:r>
      <w:r w:rsidRPr="00285BDD">
        <w:rPr>
          <w:rFonts w:cs="Times New Roman"/>
          <w:lang w:val="fr-CA"/>
        </w:rPr>
        <w:t>client remontant à 2002.</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 xml:space="preserve">Les tribunaux d’appel hésitent, à bon droit, à intervenir au motif que le juge du procès, par sa conduite, a franchi la ligne qui sépare le fait de gérer acceptablement le procès et le fait d’intervenir irrégulièrement dans l’affaire. Par exemple, les réprimandes envers les avocats peuvent fort bien être indiquées pour veiller à ce que l’instance se déroule de manière ordonnée et efficace et à ce qu’il n’y ait pas abus de procédure. Mais comme l’affirme le Conseil canadien de la magistrature dans ses </w:t>
      </w:r>
      <w:r w:rsidRPr="00285BDD">
        <w:rPr>
          <w:rFonts w:cs="Times New Roman"/>
          <w:i/>
          <w:lang w:val="fr-CA"/>
        </w:rPr>
        <w:t>Principes de déontologie judiciaire</w:t>
      </w:r>
      <w:r w:rsidR="00CB76B5">
        <w:rPr>
          <w:rFonts w:cs="Times New Roman"/>
          <w:i/>
          <w:lang w:val="fr-CA"/>
        </w:rPr>
        <w:t xml:space="preserve"> </w:t>
      </w:r>
      <w:r w:rsidR="00CB76B5" w:rsidRPr="00CB76B5">
        <w:rPr>
          <w:rFonts w:cs="Times New Roman"/>
          <w:lang w:val="fr-CA"/>
        </w:rPr>
        <w:t>(1998)</w:t>
      </w:r>
      <w:r w:rsidR="00BB6F2A" w:rsidRPr="00CB76B5">
        <w:rPr>
          <w:rFonts w:cs="Times New Roman"/>
          <w:lang w:val="fr-CA"/>
        </w:rPr>
        <w:t> :</w:t>
      </w:r>
    </w:p>
    <w:p w:rsidR="0095762B" w:rsidRPr="00285BDD" w:rsidRDefault="0095762B" w:rsidP="0095762B">
      <w:pPr>
        <w:pStyle w:val="Citation-AltC"/>
        <w:widowControl w:val="0"/>
        <w:ind w:hanging="1166"/>
        <w:contextualSpacing w:val="0"/>
        <w:rPr>
          <w:lang w:val="fr-CA"/>
        </w:rPr>
      </w:pPr>
      <w:r w:rsidRPr="00285BDD">
        <w:rPr>
          <w:lang w:val="fr-CA"/>
        </w:rPr>
        <w:lastRenderedPageBreak/>
        <w:tab/>
        <w:t>Les remontrances injustifiées faites aux avocats, les remarques vexantes et déplacées au sujet des parties et des témoins, les déclarations manifestant un parti pris et un comportement immodéré et impatient peuvent saper l’apparence d’impartialité</w:t>
      </w:r>
      <w:r w:rsidR="003D1138">
        <w:rPr>
          <w:lang w:val="fr-CA"/>
        </w:rPr>
        <w:t>.</w:t>
      </w:r>
      <w:r w:rsidRPr="00285BDD">
        <w:rPr>
          <w:lang w:val="fr-CA"/>
        </w:rPr>
        <w:t xml:space="preserve"> [</w:t>
      </w:r>
      <w:r w:rsidR="00BB6F2A">
        <w:rPr>
          <w:lang w:val="fr-CA"/>
        </w:rPr>
        <w:t>. . .</w:t>
      </w:r>
      <w:r w:rsidRPr="00285BDD">
        <w:rPr>
          <w:lang w:val="fr-CA"/>
        </w:rPr>
        <w:t xml:space="preserve">] </w:t>
      </w:r>
      <w:r w:rsidRPr="00285BDD">
        <w:rPr>
          <w:u w:val="single"/>
          <w:lang w:val="fr-CA"/>
        </w:rPr>
        <w:t>Les juges doivent maintenir un équilibre délicat</w:t>
      </w:r>
      <w:r w:rsidR="00BB6F2A">
        <w:rPr>
          <w:u w:val="single"/>
          <w:lang w:val="fr-CA"/>
        </w:rPr>
        <w:t> :</w:t>
      </w:r>
      <w:r w:rsidRPr="00285BDD">
        <w:rPr>
          <w:u w:val="single"/>
          <w:lang w:val="fr-CA"/>
        </w:rPr>
        <w:t xml:space="preserve"> ils doivent diriger la procédure avec efficacité, sans donner l’impression de manquer de partialité à une personne raisonnable, impartiale et bien informée.</w:t>
      </w:r>
      <w:r w:rsidRPr="00285BDD">
        <w:rPr>
          <w:lang w:val="fr-CA"/>
        </w:rPr>
        <w:t xml:space="preserve"> [Je souligne; p.</w:t>
      </w:r>
      <w:r w:rsidR="00BB6F2A">
        <w:rPr>
          <w:lang w:val="fr-CA"/>
        </w:rPr>
        <w:t xml:space="preserve"> </w:t>
      </w:r>
      <w:r w:rsidRPr="00285BDD">
        <w:rPr>
          <w:lang w:val="fr-CA"/>
        </w:rPr>
        <w:t>32</w:t>
      </w:r>
      <w:r w:rsidR="00BB6F2A">
        <w:rPr>
          <w:lang w:val="fr-CA"/>
        </w:rPr>
        <w:t>-</w:t>
      </w:r>
      <w:r w:rsidRPr="00285BDD">
        <w:rPr>
          <w:lang w:val="fr-CA"/>
        </w:rPr>
        <w:t>33</w:t>
      </w:r>
      <w:r w:rsidR="00CB76B5">
        <w:rPr>
          <w:lang w:val="fr-CA"/>
        </w:rPr>
        <w:t>.</w:t>
      </w:r>
      <w:r w:rsidRPr="00285BDD">
        <w:rPr>
          <w:lang w:val="fr-CA"/>
        </w:rPr>
        <w:t>]</w:t>
      </w:r>
    </w:p>
    <w:p w:rsidR="0095762B" w:rsidRPr="00285BDD" w:rsidRDefault="0095762B" w:rsidP="0095762B">
      <w:pPr>
        <w:pStyle w:val="ParaNoNdepar-AltN"/>
        <w:widowControl w:val="0"/>
        <w:ind w:left="90"/>
        <w:rPr>
          <w:rFonts w:cs="Times New Roman"/>
          <w:lang w:val="fr-CA"/>
        </w:rPr>
      </w:pPr>
      <w:r w:rsidRPr="00285BDD">
        <w:rPr>
          <w:rFonts w:cs="Times New Roman"/>
          <w:lang w:val="fr-CA"/>
        </w:rPr>
        <w:t>Bien que le seuil à franchir pour conclure à une crainte raisonnable de partialité soit élevé, j’estime que l’</w:t>
      </w:r>
      <w:r w:rsidR="00BB6F2A">
        <w:rPr>
          <w:rFonts w:cs="Times New Roman"/>
          <w:lang w:val="fr-CA"/>
        </w:rPr>
        <w:t>« </w:t>
      </w:r>
      <w:r w:rsidRPr="00285BDD">
        <w:rPr>
          <w:rFonts w:cs="Times New Roman"/>
          <w:lang w:val="fr-CA"/>
        </w:rPr>
        <w:t>équilibre délicat</w:t>
      </w:r>
      <w:r w:rsidR="00BB6F2A">
        <w:rPr>
          <w:rFonts w:cs="Times New Roman"/>
          <w:lang w:val="fr-CA"/>
        </w:rPr>
        <w:t> »</w:t>
      </w:r>
      <w:r w:rsidRPr="00285BDD">
        <w:rPr>
          <w:rFonts w:cs="Times New Roman"/>
          <w:lang w:val="fr-CA"/>
        </w:rPr>
        <w:t xml:space="preserve"> a été rompu de façon inappropriée en l’espèce. Les actes du juge du procès en lien avec la confidentialité des dossiers d’élèves, la demande pour faire témoigner M.</w:t>
      </w:r>
      <w:r w:rsidR="00BB6F2A">
        <w:rPr>
          <w:rFonts w:cs="Times New Roman"/>
          <w:lang w:val="fr-CA"/>
        </w:rPr>
        <w:t xml:space="preserve"> </w:t>
      </w:r>
      <w:r w:rsidRPr="00285BDD">
        <w:rPr>
          <w:rFonts w:cs="Times New Roman"/>
          <w:lang w:val="fr-CA"/>
        </w:rPr>
        <w:t xml:space="preserve">DeBruyn par affidavit, les commentaires désobligeants ainsi que le caractère inusité des dépens adjugés et de la procédure suivie pour les accorder, pris ensemble et situés dans leur contexte, amèneraient une personne raisonnable et bien renseignée à estimer que le comportement du juge du procès fait naître une crainte raisonnable de partialité. </w:t>
      </w:r>
    </w:p>
    <w:p w:rsidR="0095762B" w:rsidRPr="00285BDD" w:rsidRDefault="0095762B" w:rsidP="0095762B">
      <w:pPr>
        <w:pStyle w:val="ParaNoNdepar-AltN"/>
        <w:widowControl w:val="0"/>
        <w:ind w:left="90"/>
        <w:rPr>
          <w:rFonts w:cs="Times New Roman"/>
          <w:lang w:val="fr-CA"/>
        </w:rPr>
      </w:pPr>
      <w:r w:rsidRPr="00285BDD">
        <w:rPr>
          <w:rFonts w:cs="Times New Roman"/>
          <w:lang w:val="fr-CA"/>
        </w:rPr>
        <w:t>Cela dit, avec égards, je ne suis pas d’accord avec la Cour d’appel lorsqu’elle conclut que l’exercice actuel, par le juge du procès, de la fonction de gouverneur de la Fondation franco</w:t>
      </w:r>
      <w:r w:rsidR="00BB6F2A">
        <w:rPr>
          <w:rFonts w:cs="Times New Roman"/>
          <w:lang w:val="fr-CA"/>
        </w:rPr>
        <w:t>-</w:t>
      </w:r>
      <w:r w:rsidRPr="00285BDD">
        <w:rPr>
          <w:rFonts w:cs="Times New Roman"/>
          <w:lang w:val="fr-CA"/>
        </w:rPr>
        <w:t>albertaine a largement contribué à une crainte raisonnable de partialité. Le juge du procès a été nommé à la Cour du Banc de la Reine de l’Alberta en 2002 et à la Cour suprême du Yukon en 2005. Avant d’être nommé juge, le juge du procès a joué un rôle important dans la création de l’école du Sommet à S</w:t>
      </w:r>
      <w:r w:rsidR="0010797E">
        <w:rPr>
          <w:rFonts w:cs="Times New Roman"/>
          <w:lang w:val="fr-CA"/>
        </w:rPr>
        <w:t>ain</w:t>
      </w:r>
      <w:r w:rsidRPr="00285BDD">
        <w:rPr>
          <w:rFonts w:cs="Times New Roman"/>
          <w:lang w:val="fr-CA"/>
        </w:rPr>
        <w:t>t</w:t>
      </w:r>
      <w:r w:rsidR="00BB6F2A">
        <w:rPr>
          <w:rFonts w:cs="Times New Roman"/>
          <w:lang w:val="fr-CA"/>
        </w:rPr>
        <w:t>-</w:t>
      </w:r>
      <w:r w:rsidRPr="00285BDD">
        <w:rPr>
          <w:rFonts w:cs="Times New Roman"/>
          <w:lang w:val="fr-CA"/>
        </w:rPr>
        <w:t>Paul, en Alberta, et a siégé à titre de conseiller scolaire au Conseil scolaire Centre</w:t>
      </w:r>
      <w:r w:rsidR="00BB6F2A">
        <w:rPr>
          <w:rFonts w:cs="Times New Roman"/>
          <w:lang w:val="fr-CA"/>
        </w:rPr>
        <w:t>-</w:t>
      </w:r>
      <w:r w:rsidRPr="00285BDD">
        <w:rPr>
          <w:rFonts w:cs="Times New Roman"/>
          <w:lang w:val="fr-CA"/>
        </w:rPr>
        <w:t>Est de l’Alberta de 1994 à 1998. De 1999 à 2001, il a siégé au Comité exécutif de l’Association canadienne</w:t>
      </w:r>
      <w:r w:rsidR="00BB6F2A">
        <w:rPr>
          <w:rFonts w:cs="Times New Roman"/>
          <w:lang w:val="fr-CA"/>
        </w:rPr>
        <w:t>-</w:t>
      </w:r>
      <w:r w:rsidRPr="00285BDD">
        <w:rPr>
          <w:rFonts w:cs="Times New Roman"/>
          <w:lang w:val="fr-CA"/>
        </w:rPr>
        <w:t xml:space="preserve">française de l’Alberta, un organisme </w:t>
      </w:r>
      <w:r w:rsidRPr="00285BDD">
        <w:rPr>
          <w:rFonts w:cs="Times New Roman"/>
          <w:lang w:val="fr-CA"/>
        </w:rPr>
        <w:lastRenderedPageBreak/>
        <w:t>qui fait du lobbyisme au nom de la communauté franco</w:t>
      </w:r>
      <w:r w:rsidR="00BB6F2A">
        <w:rPr>
          <w:rFonts w:cs="Times New Roman"/>
          <w:lang w:val="fr-CA"/>
        </w:rPr>
        <w:t>-</w:t>
      </w:r>
      <w:r w:rsidRPr="00285BDD">
        <w:rPr>
          <w:rFonts w:cs="Times New Roman"/>
          <w:lang w:val="fr-CA"/>
        </w:rPr>
        <w:t>albertaine et fait la promotion de celle</w:t>
      </w:r>
      <w:r w:rsidR="00BB6F2A">
        <w:rPr>
          <w:rFonts w:cs="Times New Roman"/>
          <w:lang w:val="fr-CA"/>
        </w:rPr>
        <w:t>-</w:t>
      </w:r>
      <w:r w:rsidRPr="00285BDD">
        <w:rPr>
          <w:rFonts w:cs="Times New Roman"/>
          <w:lang w:val="fr-CA"/>
        </w:rPr>
        <w:t>ci. Il était gouverneur de la Fondation franco</w:t>
      </w:r>
      <w:r w:rsidR="00BB6F2A">
        <w:rPr>
          <w:rFonts w:cs="Times New Roman"/>
          <w:lang w:val="fr-CA"/>
        </w:rPr>
        <w:t>-</w:t>
      </w:r>
      <w:r w:rsidRPr="00285BDD">
        <w:rPr>
          <w:rFonts w:cs="Times New Roman"/>
          <w:lang w:val="fr-CA"/>
        </w:rPr>
        <w:t>albertaine alors qu’il était juge.</w:t>
      </w:r>
      <w:r w:rsidRPr="00285BDD">
        <w:rPr>
          <w:rFonts w:cs="Times New Roman"/>
          <w:b/>
          <w:lang w:val="fr-CA"/>
        </w:rPr>
        <w:t xml:space="preserve"> </w:t>
      </w:r>
      <w:r w:rsidRPr="00285BDD">
        <w:rPr>
          <w:rFonts w:cs="Times New Roman"/>
          <w:lang w:val="fr-CA"/>
        </w:rPr>
        <w:t xml:space="preserve">La </w:t>
      </w:r>
      <w:r w:rsidR="00BB6F2A">
        <w:rPr>
          <w:rFonts w:cs="Times New Roman"/>
          <w:lang w:val="fr-CA"/>
        </w:rPr>
        <w:t>« </w:t>
      </w:r>
      <w:r w:rsidRPr="00285BDD">
        <w:rPr>
          <w:rFonts w:cs="Times New Roman"/>
          <w:lang w:val="fr-CA"/>
        </w:rPr>
        <w:t>mission</w:t>
      </w:r>
      <w:r w:rsidR="00BB6F2A">
        <w:rPr>
          <w:rFonts w:cs="Times New Roman"/>
          <w:lang w:val="fr-CA"/>
        </w:rPr>
        <w:t> »</w:t>
      </w:r>
      <w:r w:rsidRPr="00285BDD">
        <w:rPr>
          <w:rFonts w:cs="Times New Roman"/>
          <w:lang w:val="fr-CA"/>
        </w:rPr>
        <w:t xml:space="preserve"> de la Fondation consiste à </w:t>
      </w:r>
      <w:r w:rsidR="00BB6F2A">
        <w:rPr>
          <w:rFonts w:cs="Times New Roman"/>
          <w:lang w:val="fr-CA"/>
        </w:rPr>
        <w:t>« </w:t>
      </w:r>
      <w:r w:rsidR="00EA60F5">
        <w:rPr>
          <w:rFonts w:cs="Times New Roman"/>
          <w:lang w:val="fr-CA"/>
        </w:rPr>
        <w:t>[</w:t>
      </w:r>
      <w:r w:rsidRPr="00285BDD">
        <w:rPr>
          <w:rFonts w:cs="Times New Roman"/>
          <w:lang w:val="fr-CA"/>
        </w:rPr>
        <w:t>é</w:t>
      </w:r>
      <w:r w:rsidR="00EA60F5">
        <w:rPr>
          <w:rFonts w:cs="Times New Roman"/>
          <w:lang w:val="fr-CA"/>
        </w:rPr>
        <w:t>]</w:t>
      </w:r>
      <w:r w:rsidRPr="00285BDD">
        <w:rPr>
          <w:rFonts w:cs="Times New Roman"/>
          <w:lang w:val="fr-CA"/>
        </w:rPr>
        <w:t>tablir la philanthropie pour l’épanouissement de la francophonie albertaine</w:t>
      </w:r>
      <w:r w:rsidR="00BB6F2A">
        <w:rPr>
          <w:rFonts w:cs="Times New Roman"/>
          <w:lang w:val="fr-CA"/>
        </w:rPr>
        <w:t> »</w:t>
      </w:r>
      <w:r w:rsidRPr="00285BDD">
        <w:rPr>
          <w:rFonts w:cs="Times New Roman"/>
          <w:lang w:val="fr-CA"/>
        </w:rPr>
        <w:t xml:space="preserve"> et sa </w:t>
      </w:r>
      <w:r w:rsidR="00BB6F2A">
        <w:rPr>
          <w:rFonts w:cs="Times New Roman"/>
          <w:lang w:val="fr-CA"/>
        </w:rPr>
        <w:t>« </w:t>
      </w:r>
      <w:r w:rsidRPr="00285BDD">
        <w:rPr>
          <w:rFonts w:cs="Times New Roman"/>
          <w:lang w:val="fr-CA"/>
        </w:rPr>
        <w:t>vision</w:t>
      </w:r>
      <w:r w:rsidR="00BB6F2A">
        <w:rPr>
          <w:rFonts w:cs="Times New Roman"/>
          <w:lang w:val="fr-CA"/>
        </w:rPr>
        <w:t> »</w:t>
      </w:r>
      <w:r w:rsidRPr="00285BDD">
        <w:rPr>
          <w:rFonts w:cs="Times New Roman"/>
          <w:lang w:val="fr-CA"/>
        </w:rPr>
        <w:t xml:space="preserve"> repose sur </w:t>
      </w:r>
      <w:r w:rsidR="00BB6F2A">
        <w:rPr>
          <w:rFonts w:cs="Times New Roman"/>
          <w:lang w:val="fr-CA"/>
        </w:rPr>
        <w:t>« </w:t>
      </w:r>
      <w:r w:rsidRPr="00285BDD">
        <w:rPr>
          <w:rFonts w:cs="Times New Roman"/>
          <w:lang w:val="fr-CA"/>
        </w:rPr>
        <w:t>[u]ne francophonie albertaine autonome, dynamique et valorisée</w:t>
      </w:r>
      <w:r w:rsidR="00BB6F2A">
        <w:rPr>
          <w:rFonts w:cs="Times New Roman"/>
          <w:lang w:val="fr-CA"/>
        </w:rPr>
        <w:t> »</w:t>
      </w:r>
      <w:r w:rsidRPr="00285BDD">
        <w:rPr>
          <w:rFonts w:cs="Times New Roman"/>
          <w:lang w:val="fr-CA"/>
        </w:rPr>
        <w:t>. C’est cette dernière affiliation qui est à l’origine de la réprimande de la Cour d’appel.</w:t>
      </w:r>
    </w:p>
    <w:p w:rsidR="0095762B" w:rsidRPr="00285BDD" w:rsidRDefault="0095762B" w:rsidP="0095762B">
      <w:pPr>
        <w:pStyle w:val="ParaNoNdepar-AltN"/>
        <w:widowControl w:val="0"/>
        <w:rPr>
          <w:rFonts w:cs="Times New Roman"/>
          <w:lang w:val="fr-CA"/>
        </w:rPr>
      </w:pPr>
      <w:r w:rsidRPr="00285BDD">
        <w:rPr>
          <w:rFonts w:cs="Times New Roman"/>
          <w:lang w:val="fr-CA" w:eastAsia="en-CA"/>
        </w:rPr>
        <w:t>La Cour d’appel a reconnu que la Fondation franco</w:t>
      </w:r>
      <w:r w:rsidR="00BB6F2A">
        <w:rPr>
          <w:rFonts w:cs="Times New Roman"/>
          <w:lang w:val="fr-CA" w:eastAsia="en-CA"/>
        </w:rPr>
        <w:t>-</w:t>
      </w:r>
      <w:r w:rsidRPr="00285BDD">
        <w:rPr>
          <w:rFonts w:cs="Times New Roman"/>
          <w:lang w:val="fr-CA" w:eastAsia="en-CA"/>
        </w:rPr>
        <w:t>albertaine n’entretenait pas de rapports directs avec la communauté dont les droits étaient en cause dans le litige et n’avait aucune a</w:t>
      </w:r>
      <w:r w:rsidRPr="00285BDD">
        <w:rPr>
          <w:rFonts w:cs="Times New Roman"/>
          <w:lang w:val="fr-CA"/>
        </w:rPr>
        <w:t>ffiliation avec l’un ou l’autre des organismes parties au procès, mais elle a conclu ce qui suit</w:t>
      </w:r>
      <w:r w:rsidR="00BB6F2A">
        <w:rPr>
          <w:rFonts w:cs="Times New Roman"/>
          <w:lang w:val="fr-CA"/>
        </w:rPr>
        <w:t> :</w:t>
      </w:r>
    </w:p>
    <w:p w:rsidR="0095762B" w:rsidRPr="00285BDD" w:rsidRDefault="0095762B" w:rsidP="0095762B">
      <w:pPr>
        <w:pStyle w:val="Citation-AltC"/>
        <w:widowControl w:val="0"/>
        <w:ind w:hanging="1166"/>
        <w:contextualSpacing w:val="0"/>
        <w:rPr>
          <w:lang w:val="fr-CA" w:eastAsia="en-US"/>
        </w:rPr>
      </w:pPr>
      <w:r w:rsidRPr="00285BDD">
        <w:rPr>
          <w:lang w:val="fr-CA"/>
        </w:rPr>
        <w:tab/>
      </w:r>
      <w:r w:rsidR="00EA60F5">
        <w:rPr>
          <w:lang w:val="fr-CA"/>
        </w:rPr>
        <w:tab/>
      </w:r>
      <w:r w:rsidRPr="00285BDD">
        <w:rPr>
          <w:lang w:val="fr-CA"/>
        </w:rPr>
        <w:t>Il existe des parallèles directs et évidents entre la situation des ayants droit selon l’art.</w:t>
      </w:r>
      <w:r w:rsidR="00BB6F2A">
        <w:rPr>
          <w:lang w:val="fr-CA"/>
        </w:rPr>
        <w:t xml:space="preserve"> </w:t>
      </w:r>
      <w:r w:rsidR="00EA60F5">
        <w:rPr>
          <w:lang w:val="fr-CA"/>
        </w:rPr>
        <w:t>23 en Alberta et celle</w:t>
      </w:r>
      <w:r w:rsidRPr="00285BDD">
        <w:rPr>
          <w:lang w:val="fr-CA"/>
        </w:rPr>
        <w:t xml:space="preserve"> des ayants droit au Yukon. De plus, la vision exprimée de la [Fondation franco</w:t>
      </w:r>
      <w:r w:rsidR="00BB6F2A">
        <w:rPr>
          <w:lang w:val="fr-CA"/>
        </w:rPr>
        <w:t>-</w:t>
      </w:r>
      <w:r w:rsidRPr="00285BDD">
        <w:rPr>
          <w:lang w:val="fr-CA"/>
        </w:rPr>
        <w:t>albertaine] pourrait très bien s’harmoniser avec certaines positions mises de l’avant par la [Commission] en l’espèce. Il nous est donc impossible d’accepter l’argument que, à l’égard du juge, sa qualité de gouverneur de la [Fondation franco</w:t>
      </w:r>
      <w:r w:rsidR="00BB6F2A">
        <w:rPr>
          <w:lang w:val="fr-CA"/>
        </w:rPr>
        <w:t>-</w:t>
      </w:r>
      <w:r w:rsidRPr="00285BDD">
        <w:rPr>
          <w:lang w:val="fr-CA"/>
        </w:rPr>
        <w:t>albertaine] était anodine. [par.</w:t>
      </w:r>
      <w:r w:rsidR="00BB6F2A">
        <w:rPr>
          <w:lang w:val="fr-CA"/>
        </w:rPr>
        <w:t xml:space="preserve"> </w:t>
      </w:r>
      <w:r w:rsidRPr="00285BDD">
        <w:rPr>
          <w:lang w:val="fr-CA"/>
        </w:rPr>
        <w:t>199]</w:t>
      </w:r>
    </w:p>
    <w:p w:rsidR="0095762B" w:rsidRPr="00285BDD" w:rsidRDefault="0095762B" w:rsidP="0095762B">
      <w:pPr>
        <w:pStyle w:val="ParaNoNdepar-AltN"/>
        <w:widowControl w:val="0"/>
        <w:rPr>
          <w:rFonts w:cs="Times New Roman"/>
          <w:lang w:val="fr-CA"/>
        </w:rPr>
      </w:pPr>
      <w:r w:rsidRPr="00285BDD">
        <w:rPr>
          <w:rFonts w:cs="Times New Roman"/>
          <w:lang w:val="fr-CA"/>
        </w:rPr>
        <w:t>Toutefois, la Cour d’appel a également reconnu que la Fondation franco</w:t>
      </w:r>
      <w:r w:rsidR="00BB6F2A">
        <w:rPr>
          <w:rFonts w:cs="Times New Roman"/>
          <w:lang w:val="fr-CA"/>
        </w:rPr>
        <w:t>-</w:t>
      </w:r>
      <w:r w:rsidRPr="00285BDD">
        <w:rPr>
          <w:rFonts w:cs="Times New Roman"/>
          <w:lang w:val="fr-CA"/>
        </w:rPr>
        <w:t xml:space="preserve">albertaine </w:t>
      </w:r>
      <w:r w:rsidR="00BB6F2A">
        <w:rPr>
          <w:rFonts w:cs="Times New Roman"/>
          <w:lang w:val="fr-CA"/>
        </w:rPr>
        <w:t>« </w:t>
      </w:r>
      <w:r w:rsidRPr="00285BDD">
        <w:rPr>
          <w:rFonts w:cs="Times New Roman"/>
          <w:lang w:val="fr-CA"/>
        </w:rPr>
        <w:t>semble être en grande partie un organisme philanthropique plutôt qu’un groupe politique</w:t>
      </w:r>
      <w:r w:rsidR="00BB6F2A">
        <w:rPr>
          <w:rFonts w:cs="Times New Roman"/>
          <w:lang w:val="fr-CA"/>
        </w:rPr>
        <w:t> »</w:t>
      </w:r>
      <w:r w:rsidRPr="00285BDD">
        <w:rPr>
          <w:rFonts w:cs="Times New Roman"/>
          <w:lang w:val="fr-CA" w:eastAsia="en-CA"/>
        </w:rPr>
        <w:t xml:space="preserve"> et que ses objectifs sont principalement caritatifs, et non partisans. Elle était néanmoins d’avis que</w:t>
      </w:r>
      <w:r w:rsidR="00BB6F2A">
        <w:rPr>
          <w:rFonts w:cs="Times New Roman"/>
          <w:lang w:val="fr-CA" w:eastAsia="en-CA"/>
        </w:rPr>
        <w:t> </w:t>
      </w:r>
    </w:p>
    <w:p w:rsidR="0095762B" w:rsidRPr="00285BDD" w:rsidRDefault="0095762B" w:rsidP="0095762B">
      <w:pPr>
        <w:pStyle w:val="Citation-AltC"/>
        <w:widowControl w:val="0"/>
        <w:ind w:hanging="1166"/>
        <w:contextualSpacing w:val="0"/>
        <w:rPr>
          <w:lang w:val="fr-CA"/>
        </w:rPr>
      </w:pPr>
      <w:r w:rsidRPr="00285BDD">
        <w:rPr>
          <w:lang w:val="fr-CA"/>
        </w:rPr>
        <w:tab/>
        <w:t xml:space="preserve">l’énoncé de la mission et la philosophie de l’organisme révèlent une vision particulière de la communauté francophone. En continuant d’en être un gouverneur, le juge, à vrai dire, déclare publiquement son soutien </w:t>
      </w:r>
      <w:r w:rsidRPr="00285BDD">
        <w:rPr>
          <w:lang w:val="fr-CA"/>
        </w:rPr>
        <w:lastRenderedPageBreak/>
        <w:t>à cette vision. [par.</w:t>
      </w:r>
      <w:r w:rsidR="00BB6F2A">
        <w:rPr>
          <w:lang w:val="fr-CA"/>
        </w:rPr>
        <w:t xml:space="preserve"> </w:t>
      </w:r>
      <w:r w:rsidRPr="00285BDD">
        <w:rPr>
          <w:lang w:val="fr-CA"/>
        </w:rPr>
        <w:t>193]</w:t>
      </w:r>
    </w:p>
    <w:p w:rsidR="0095762B" w:rsidRPr="00285BDD" w:rsidRDefault="0095762B" w:rsidP="0095762B">
      <w:pPr>
        <w:pStyle w:val="ParaNoNdepar-AltN"/>
        <w:widowControl w:val="0"/>
        <w:rPr>
          <w:rFonts w:cs="Times New Roman"/>
          <w:b/>
          <w:lang w:val="fr-CA"/>
        </w:rPr>
      </w:pPr>
      <w:r w:rsidRPr="00285BDD">
        <w:rPr>
          <w:rFonts w:cs="Times New Roman"/>
          <w:lang w:val="fr-CA"/>
        </w:rPr>
        <w:t xml:space="preserve">Bien que je reconnaisse sans réserve l’importance que les juges évitent d’adhérer à certains organismes, comme des groupes de revendication ou des groupes politiques, ils ne devraient pas avoir à s’abstenir de participer au service de la communauté lorsqu’il y a peu de risque de conflit d’intérêts. Comme l’a affirmé </w:t>
      </w:r>
      <w:r w:rsidRPr="00285BDD">
        <w:rPr>
          <w:rFonts w:cs="Times New Roman"/>
          <w:lang w:val="fr-CA" w:eastAsia="en-CA"/>
        </w:rPr>
        <w:t>Benjamin Cardozo, les juges n’occupent pas des [</w:t>
      </w:r>
      <w:r w:rsidRPr="00285BDD">
        <w:rPr>
          <w:rFonts w:cs="Times New Roman"/>
          <w:smallCaps/>
          <w:lang w:val="fr-CA" w:eastAsia="en-CA"/>
        </w:rPr>
        <w:t>traduction</w:t>
      </w:r>
      <w:r w:rsidRPr="00285BDD">
        <w:rPr>
          <w:rFonts w:cs="Times New Roman"/>
          <w:lang w:val="fr-CA" w:eastAsia="en-CA"/>
        </w:rPr>
        <w:t xml:space="preserve">] </w:t>
      </w:r>
      <w:r w:rsidR="00BB6F2A">
        <w:rPr>
          <w:rFonts w:cs="Times New Roman"/>
          <w:lang w:val="fr-CA" w:eastAsia="en-CA"/>
        </w:rPr>
        <w:t>« </w:t>
      </w:r>
      <w:r w:rsidRPr="00285BDD">
        <w:rPr>
          <w:rFonts w:cs="Times New Roman"/>
          <w:lang w:val="fr-CA" w:eastAsia="en-CA"/>
        </w:rPr>
        <w:t>sommets glacials et lointains</w:t>
      </w:r>
      <w:r w:rsidR="00BB6F2A">
        <w:rPr>
          <w:rFonts w:cs="Times New Roman"/>
          <w:lang w:val="fr-CA" w:eastAsia="en-CA"/>
        </w:rPr>
        <w:t> » :</w:t>
      </w:r>
      <w:r w:rsidRPr="00285BDD">
        <w:rPr>
          <w:rFonts w:cs="Times New Roman"/>
          <w:lang w:val="fr-CA" w:eastAsia="en-CA"/>
        </w:rPr>
        <w:t xml:space="preserve"> </w:t>
      </w:r>
      <w:r w:rsidRPr="00285BDD">
        <w:rPr>
          <w:rFonts w:cs="Times New Roman"/>
          <w:i/>
          <w:lang w:val="fr-CA" w:eastAsia="en-CA"/>
        </w:rPr>
        <w:t>The Nature of the Judicial Process</w:t>
      </w:r>
      <w:r w:rsidRPr="00285BDD">
        <w:rPr>
          <w:rFonts w:cs="Times New Roman"/>
          <w:lang w:val="fr-CA" w:eastAsia="en-CA"/>
        </w:rPr>
        <w:t xml:space="preserve"> (1921), p.</w:t>
      </w:r>
      <w:r w:rsidR="00BB6F2A">
        <w:rPr>
          <w:rFonts w:cs="Times New Roman"/>
          <w:lang w:val="fr-CA" w:eastAsia="en-CA"/>
        </w:rPr>
        <w:t xml:space="preserve"> </w:t>
      </w:r>
      <w:r w:rsidRPr="00285BDD">
        <w:rPr>
          <w:rFonts w:cs="Times New Roman"/>
          <w:lang w:val="fr-CA" w:eastAsia="en-CA"/>
        </w:rPr>
        <w:t xml:space="preserve">168. On ne doit ni </w:t>
      </w:r>
      <w:r w:rsidRPr="00285BDD">
        <w:rPr>
          <w:rFonts w:cs="Times New Roman"/>
          <w:i/>
          <w:lang w:val="fr-CA" w:eastAsia="en-CA"/>
        </w:rPr>
        <w:t>ne peut</w:t>
      </w:r>
      <w:r w:rsidRPr="00285BDD">
        <w:rPr>
          <w:rFonts w:cs="Times New Roman"/>
          <w:lang w:val="fr-CA" w:eastAsia="en-CA"/>
        </w:rPr>
        <w:t xml:space="preserve"> s’attendre à ce qu’ils laissent leur identité à la porte de la salle d’audience. On </w:t>
      </w:r>
      <w:r w:rsidRPr="00285BDD">
        <w:rPr>
          <w:rFonts w:cs="Times New Roman"/>
          <w:i/>
          <w:lang w:val="fr-CA" w:eastAsia="en-CA"/>
        </w:rPr>
        <w:t xml:space="preserve">peut </w:t>
      </w:r>
      <w:r w:rsidRPr="00285BDD">
        <w:rPr>
          <w:rFonts w:cs="Times New Roman"/>
          <w:lang w:val="fr-CA" w:eastAsia="en-CA"/>
        </w:rPr>
        <w:t>toutefois s’attendre à ce qu’ils demeurent, en fait et en apparence, ouverts d’esprit malgré leur identité</w:t>
      </w:r>
      <w:r w:rsidRPr="00285BDD">
        <w:rPr>
          <w:rFonts w:cs="Times New Roman"/>
          <w:lang w:val="fr-CA"/>
        </w:rPr>
        <w:t>.</w:t>
      </w:r>
      <w:r w:rsidRPr="00285BDD">
        <w:rPr>
          <w:rFonts w:cs="Times New Roman"/>
          <w:b/>
          <w:lang w:val="fr-CA"/>
        </w:rPr>
        <w:t xml:space="preserve"> </w:t>
      </w:r>
      <w:r w:rsidRPr="00285BDD">
        <w:rPr>
          <w:rFonts w:cs="Times New Roman"/>
          <w:lang w:val="fr-CA"/>
        </w:rPr>
        <w:t xml:space="preserve">J’estime que les observations suivantes du juge en chef lord Bingham of Cornhill, du maître des rôles lord Woolf et du vicomte Sir Richard Scott dans l’arrêt </w:t>
      </w:r>
      <w:r w:rsidRPr="00285BDD">
        <w:rPr>
          <w:rFonts w:cs="Times New Roman"/>
          <w:i/>
          <w:lang w:val="fr-CA"/>
        </w:rPr>
        <w:t>L</w:t>
      </w:r>
      <w:r w:rsidRPr="00285BDD">
        <w:rPr>
          <w:rFonts w:cs="Times New Roman"/>
          <w:i/>
          <w:lang w:val="fr-CA" w:eastAsia="en-CA"/>
        </w:rPr>
        <w:t>ocabail (U.K.) Ltd. c. Bayfield Properties Ltd.</w:t>
      </w:r>
      <w:r w:rsidRPr="00285BDD">
        <w:rPr>
          <w:rFonts w:cs="Times New Roman"/>
          <w:lang w:val="fr-CA" w:eastAsia="en-CA"/>
        </w:rPr>
        <w:t>, [2000] Q.B. 451 (C.A.), constituent un modèle d’instruction persuasif sur la façon de voir la relation entre l’identité du juge, son adhésion à un organisme et l’impartialité</w:t>
      </w:r>
      <w:r w:rsidR="00BB6F2A">
        <w:rPr>
          <w:rFonts w:cs="Times New Roman"/>
          <w:lang w:val="fr-CA" w:eastAsia="en-CA"/>
        </w:rPr>
        <w:t> :</w:t>
      </w:r>
    </w:p>
    <w:p w:rsidR="0095762B" w:rsidRPr="00285BDD" w:rsidRDefault="0095762B" w:rsidP="0095762B">
      <w:pPr>
        <w:pStyle w:val="Citation-AltC"/>
        <w:widowControl w:val="0"/>
        <w:ind w:hanging="1166"/>
        <w:contextualSpacing w:val="0"/>
        <w:rPr>
          <w:lang w:val="fr-CA"/>
        </w:rPr>
      </w:pPr>
      <w:bookmarkStart w:id="1" w:name="para25"/>
      <w:r w:rsidRPr="00285BDD">
        <w:rPr>
          <w:lang w:val="fr-CA"/>
        </w:rPr>
        <w:tab/>
        <w:t>[</w:t>
      </w:r>
      <w:r w:rsidRPr="00285BDD">
        <w:rPr>
          <w:smallCaps/>
          <w:lang w:val="fr-CA"/>
        </w:rPr>
        <w:t>traduction</w:t>
      </w:r>
      <w:r w:rsidRPr="00285BDD">
        <w:rPr>
          <w:lang w:val="fr-CA"/>
        </w:rPr>
        <w:t>]  Nous ne pouvons [</w:t>
      </w:r>
      <w:r w:rsidR="00BB6F2A">
        <w:rPr>
          <w:lang w:val="fr-CA"/>
        </w:rPr>
        <w:t>. . .</w:t>
      </w:r>
      <w:r w:rsidRPr="00285BDD">
        <w:rPr>
          <w:lang w:val="fr-CA"/>
        </w:rPr>
        <w:t xml:space="preserve">] concevoir de situation dans laquelle une objection pourrait être valablement fondée sur la religion, l’origine ethnique ou nationale, le sexe, l’âge, la classe sociale, les moyens ou l’orientation sexuelle du juge. De toute façon, une objection ne pourrait pas non plus, en temps normal, être valablement fondée sur les antécédents sociaux ou antécédents en matière d’instruction ou de service ou l’expérience professionnelle du juge, ni sur ceux de tout membre de la famille du juge; ni sur d’anciennes allégeances politiques; ni sur l’appartenance à un organisme social, de sport ou de bienfaisance; ni sur l’adhésion à des associations maçonniques; ni sur des décisions judiciaires antérieures; ni sur des déclarations paraprofessionnelles (dans des ouvrages de doctrine, des cours, des discours, des articles, des entrevues, des rapports ou des réponses à des documents de consultation); ni sur des instructions reçues précédemment pour agir en faveur d’une </w:t>
      </w:r>
      <w:r w:rsidRPr="00285BDD">
        <w:rPr>
          <w:lang w:val="fr-CA"/>
        </w:rPr>
        <w:lastRenderedPageBreak/>
        <w:t>partie ou d’un avocat engagé dans une affaire dont il est saisi, ou contre ceux</w:t>
      </w:r>
      <w:r w:rsidR="00BB6F2A">
        <w:rPr>
          <w:lang w:val="fr-CA"/>
        </w:rPr>
        <w:t>-</w:t>
      </w:r>
      <w:r w:rsidRPr="00285BDD">
        <w:rPr>
          <w:lang w:val="fr-CA"/>
        </w:rPr>
        <w:t xml:space="preserve">ci; ni sur l’appartenance au même </w:t>
      </w:r>
      <w:r w:rsidRPr="00285BDD">
        <w:rPr>
          <w:i/>
          <w:lang w:val="fr-CA"/>
        </w:rPr>
        <w:t>Inn</w:t>
      </w:r>
      <w:r w:rsidRPr="00285BDD">
        <w:rPr>
          <w:lang w:val="fr-CA"/>
        </w:rPr>
        <w:t>, à une même</w:t>
      </w:r>
      <w:r w:rsidRPr="00285BDD">
        <w:rPr>
          <w:i/>
          <w:lang w:val="fr-CA"/>
        </w:rPr>
        <w:t xml:space="preserve"> </w:t>
      </w:r>
      <w:r w:rsidRPr="00285BDD">
        <w:rPr>
          <w:lang w:val="fr-CA"/>
        </w:rPr>
        <w:t>cour itinérante, au même barreau de la région ou au même cabinet</w:t>
      </w:r>
      <w:r w:rsidR="00EA60F5">
        <w:rPr>
          <w:lang w:val="fr-CA"/>
        </w:rPr>
        <w:t xml:space="preserve"> [. . .] </w:t>
      </w:r>
      <w:r w:rsidRPr="00285BDD">
        <w:rPr>
          <w:lang w:val="fr-CA"/>
        </w:rPr>
        <w:t>En revanche, on pourrait sans doute penser qu’un réel danger de partialité survienne s’il y avait une amitié ou une animosité entre le juge et tout membre du public partie à l’affaire; ou si le juge connaissait bien un membre du public partie à l’affaire, surtout si la crédibilité de cette personne pourrait être importante pour l’issue de l’affaire; ou si, dans toute affaire où la crédibilité d’une personne était une question que le juge devait trancher, ce dernier, dans une autre affaire, avait rejeté le témoignage de cette personne d’une façon si véhémente que l’on doute de sa capacité à examiner le témoignage de cette personne avec un esprit ouvert dans le cadre de tout autre litige; ou si, sur toute question en litige dans l’instance dont il était saisi, le juge avait exprimé des opinions, en particulier durant l’audience, si extrêmes et polarisées que l’on doute de sa capacité à trancher la question avec un esprit judiciaire objectif</w:t>
      </w:r>
      <w:r w:rsidR="006F1C3E">
        <w:rPr>
          <w:lang w:val="fr-CA"/>
        </w:rPr>
        <w:t xml:space="preserve"> [. . .]</w:t>
      </w:r>
      <w:r w:rsidRPr="00285BDD">
        <w:rPr>
          <w:lang w:val="fr-CA"/>
        </w:rPr>
        <w:t xml:space="preserve">; ou si, pour toute autre raison, il y avait des motifs réels de douter de la capacité du juge à faire abstraction de facteurs, de préjudices et de prédilections extérieurs et de porter un jugement objectif sur les questions dont il est saisi. </w:t>
      </w:r>
      <w:bookmarkEnd w:id="1"/>
      <w:r w:rsidRPr="00285BDD">
        <w:rPr>
          <w:lang w:val="fr-CA"/>
        </w:rPr>
        <w:t>[</w:t>
      </w:r>
      <w:r w:rsidR="00C37415">
        <w:rPr>
          <w:lang w:val="fr-CA"/>
        </w:rPr>
        <w:t>Références</w:t>
      </w:r>
      <w:r w:rsidRPr="00285BDD">
        <w:rPr>
          <w:lang w:val="fr-CA"/>
        </w:rPr>
        <w:t xml:space="preserve"> omis</w:t>
      </w:r>
      <w:r w:rsidR="00C37415">
        <w:rPr>
          <w:lang w:val="fr-CA"/>
        </w:rPr>
        <w:t>es</w:t>
      </w:r>
      <w:r w:rsidRPr="00285BDD">
        <w:rPr>
          <w:lang w:val="fr-CA"/>
        </w:rPr>
        <w:t>; par.</w:t>
      </w:r>
      <w:r w:rsidR="00BB6F2A">
        <w:rPr>
          <w:lang w:val="fr-CA"/>
        </w:rPr>
        <w:t xml:space="preserve"> </w:t>
      </w:r>
      <w:r w:rsidRPr="00285BDD">
        <w:rPr>
          <w:lang w:val="fr-CA"/>
        </w:rPr>
        <w:t>25</w:t>
      </w:r>
      <w:r w:rsidR="006F1C3E">
        <w:rPr>
          <w:lang w:val="fr-CA"/>
        </w:rPr>
        <w:t>.</w:t>
      </w:r>
      <w:r w:rsidRPr="00285BDD">
        <w:rPr>
          <w:lang w:val="fr-CA"/>
        </w:rPr>
        <w:t>]</w:t>
      </w:r>
    </w:p>
    <w:p w:rsidR="0095762B" w:rsidRPr="00285BDD" w:rsidRDefault="0095762B" w:rsidP="0095762B">
      <w:pPr>
        <w:pStyle w:val="ContinueParaSuitedupar-AltP"/>
        <w:widowControl w:val="0"/>
        <w:rPr>
          <w:rFonts w:cs="Times New Roman"/>
          <w:lang w:val="fr-CA"/>
        </w:rPr>
      </w:pPr>
      <w:r w:rsidRPr="00285BDD">
        <w:rPr>
          <w:rFonts w:cs="Times New Roman"/>
          <w:lang w:val="fr-CA"/>
        </w:rPr>
        <w:t xml:space="preserve">(Voir aussi </w:t>
      </w:r>
      <w:r w:rsidRPr="00285BDD">
        <w:rPr>
          <w:rFonts w:cs="Times New Roman"/>
          <w:i/>
          <w:lang w:val="fr-CA"/>
        </w:rPr>
        <w:t>S.</w:t>
      </w:r>
      <w:r w:rsidR="00BB6F2A">
        <w:rPr>
          <w:rFonts w:cs="Times New Roman"/>
          <w:i/>
          <w:lang w:val="fr-CA"/>
        </w:rPr>
        <w:t xml:space="preserve"> </w:t>
      </w:r>
      <w:r w:rsidRPr="00285BDD">
        <w:rPr>
          <w:rFonts w:cs="Times New Roman"/>
          <w:i/>
          <w:lang w:val="fr-CA"/>
        </w:rPr>
        <w:t>(R.D.)</w:t>
      </w:r>
      <w:r w:rsidRPr="00285BDD">
        <w:rPr>
          <w:rFonts w:cs="Times New Roman"/>
          <w:lang w:val="fr-CA"/>
        </w:rPr>
        <w:t>, par.</w:t>
      </w:r>
      <w:r w:rsidR="00BB6F2A">
        <w:rPr>
          <w:rFonts w:cs="Times New Roman"/>
          <w:lang w:val="fr-CA"/>
        </w:rPr>
        <w:t xml:space="preserve"> </w:t>
      </w:r>
      <w:r w:rsidRPr="00285BDD">
        <w:rPr>
          <w:rFonts w:cs="Times New Roman"/>
          <w:lang w:val="fr-CA"/>
        </w:rPr>
        <w:t>38</w:t>
      </w:r>
      <w:r w:rsidR="00BB6F2A">
        <w:rPr>
          <w:rFonts w:cs="Times New Roman"/>
          <w:lang w:val="fr-CA"/>
        </w:rPr>
        <w:t>-</w:t>
      </w:r>
      <w:r w:rsidRPr="00285BDD">
        <w:rPr>
          <w:rFonts w:cs="Times New Roman"/>
          <w:lang w:val="fr-CA"/>
        </w:rPr>
        <w:t>39, les juges L’Heureux</w:t>
      </w:r>
      <w:r w:rsidR="00BB6F2A">
        <w:rPr>
          <w:rFonts w:cs="Times New Roman"/>
          <w:lang w:val="fr-CA"/>
        </w:rPr>
        <w:t>-</w:t>
      </w:r>
      <w:r w:rsidRPr="00285BDD">
        <w:rPr>
          <w:rFonts w:cs="Times New Roman"/>
          <w:lang w:val="fr-CA"/>
        </w:rPr>
        <w:t>Dubé et McLachlin</w:t>
      </w:r>
      <w:r w:rsidR="005F7893">
        <w:rPr>
          <w:rFonts w:cs="Times New Roman"/>
          <w:lang w:val="fr-CA"/>
        </w:rPr>
        <w:t>.</w:t>
      </w:r>
      <w:r w:rsidRPr="00285BDD">
        <w:rPr>
          <w:rFonts w:cs="Times New Roman"/>
          <w:lang w:val="fr-CA"/>
        </w:rPr>
        <w:t>)</w:t>
      </w:r>
    </w:p>
    <w:p w:rsidR="0095762B" w:rsidRPr="00285BDD" w:rsidRDefault="0095762B" w:rsidP="0095762B">
      <w:pPr>
        <w:pStyle w:val="ParaNoNdepar-AltN"/>
        <w:widowControl w:val="0"/>
        <w:rPr>
          <w:rFonts w:cs="Times New Roman"/>
          <w:lang w:val="fr-CA" w:eastAsia="en-CA"/>
        </w:rPr>
      </w:pPr>
      <w:r w:rsidRPr="00285BDD">
        <w:rPr>
          <w:rFonts w:cs="Times New Roman"/>
          <w:lang w:val="fr-CA" w:eastAsia="en-CA"/>
        </w:rPr>
        <w:t xml:space="preserve">Les </w:t>
      </w:r>
      <w:r w:rsidRPr="00285BDD">
        <w:rPr>
          <w:rFonts w:cs="Times New Roman"/>
          <w:i/>
          <w:lang w:val="fr-CA" w:eastAsia="en-CA"/>
        </w:rPr>
        <w:t xml:space="preserve">Principes de déontologie judiciaire </w:t>
      </w:r>
      <w:r w:rsidRPr="00285BDD">
        <w:rPr>
          <w:rFonts w:cs="Times New Roman"/>
          <w:lang w:val="fr-CA" w:eastAsia="en-CA"/>
        </w:rPr>
        <w:t>servent de guide aux juges nommés par le gouvernement fédéral.</w:t>
      </w:r>
      <w:r w:rsidR="00BB6F2A">
        <w:rPr>
          <w:rFonts w:cs="Times New Roman"/>
          <w:lang w:val="fr-CA" w:eastAsia="en-CA"/>
        </w:rPr>
        <w:t xml:space="preserve"> </w:t>
      </w:r>
      <w:r w:rsidRPr="00285BDD">
        <w:rPr>
          <w:rFonts w:cs="Times New Roman"/>
          <w:lang w:val="fr-CA" w:eastAsia="en-CA"/>
        </w:rPr>
        <w:t>Selon ces principes, bien que les juges doivent manifestement faire preuve de bon sens pour ce qui est de leur adhésion à un organisme, il ne leur est pas interdit de continuer de servir leur communauté à l’extérieur de leur fonction judiciaire</w:t>
      </w:r>
      <w:r w:rsidR="00BB6F2A">
        <w:rPr>
          <w:rFonts w:cs="Times New Roman"/>
          <w:lang w:val="fr-CA" w:eastAsia="en-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Pr="00285BDD">
        <w:rPr>
          <w:lang w:val="fr-CA"/>
        </w:rPr>
        <w:tab/>
        <w:t>Les juges sont nommés pour servir la population. Nombre de personnes qui ont accédé à la magistrature avaient joué un rôle social actif et souhaitaient continuer de le faire. La société comme les juges tirent profit de telles activités, mais celles</w:t>
      </w:r>
      <w:r w:rsidR="00BB6F2A">
        <w:rPr>
          <w:lang w:val="fr-CA"/>
        </w:rPr>
        <w:t>-</w:t>
      </w:r>
      <w:r w:rsidRPr="00285BDD">
        <w:rPr>
          <w:lang w:val="fr-CA"/>
        </w:rPr>
        <w:t>ci comportent certains risques. Il importe donc d’étudier les limites que la charge de juge impose aux activités à caractère social.</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Pr="00285BDD">
        <w:rPr>
          <w:lang w:val="fr-CA"/>
        </w:rPr>
        <w:tab/>
        <w:t xml:space="preserve">Les juges appliquent la loi au nom de la société; par conséquent, tout </w:t>
      </w:r>
      <w:r w:rsidRPr="00285BDD">
        <w:rPr>
          <w:lang w:val="fr-CA"/>
        </w:rPr>
        <w:lastRenderedPageBreak/>
        <w:t>isolement excessif est peu propice à des décisions justes et judicieuses. M.</w:t>
      </w:r>
      <w:r w:rsidR="00BB6F2A">
        <w:rPr>
          <w:lang w:val="fr-CA"/>
        </w:rPr>
        <w:t xml:space="preserve"> </w:t>
      </w:r>
      <w:r w:rsidRPr="00285BDD">
        <w:rPr>
          <w:lang w:val="fr-CA"/>
        </w:rPr>
        <w:t xml:space="preserve">le juge Gérald Fauteux exprime cette idée avec concision et éloquence dans </w:t>
      </w:r>
      <w:r w:rsidRPr="00285BDD">
        <w:rPr>
          <w:i/>
          <w:iCs/>
          <w:lang w:val="fr-CA"/>
        </w:rPr>
        <w:t>Le</w:t>
      </w:r>
      <w:r w:rsidRPr="00285BDD">
        <w:rPr>
          <w:lang w:val="fr-CA"/>
        </w:rPr>
        <w:t xml:space="preserve"> </w:t>
      </w:r>
      <w:r w:rsidRPr="00285BDD">
        <w:rPr>
          <w:i/>
          <w:iCs/>
          <w:lang w:val="fr-CA"/>
        </w:rPr>
        <w:t>livre du magistrat</w:t>
      </w:r>
      <w:r w:rsidR="00BB6F2A">
        <w:rPr>
          <w:i/>
          <w:iCs/>
          <w:lang w:val="fr-CA"/>
        </w:rPr>
        <w:t> </w:t>
      </w:r>
      <w:r w:rsidR="00BB6F2A" w:rsidRPr="005F7893">
        <w:rPr>
          <w:iCs/>
          <w:lang w:val="fr-CA"/>
        </w:rPr>
        <w:t>:</w:t>
      </w:r>
    </w:p>
    <w:p w:rsidR="0095762B" w:rsidRPr="00285BDD" w:rsidRDefault="0095762B" w:rsidP="005F7893">
      <w:pPr>
        <w:pStyle w:val="Citation-AltC"/>
        <w:widowControl w:val="0"/>
        <w:spacing w:after="240"/>
        <w:ind w:left="1440"/>
        <w:contextualSpacing w:val="0"/>
        <w:rPr>
          <w:lang w:val="fr-CA"/>
        </w:rPr>
      </w:pPr>
      <w:r w:rsidRPr="00285BDD">
        <w:rPr>
          <w:lang w:val="fr-CA"/>
        </w:rPr>
        <w:t>On ne peut, cependant, voir [</w:t>
      </w:r>
      <w:r w:rsidR="00BB6F2A">
        <w:rPr>
          <w:lang w:val="fr-CA"/>
        </w:rPr>
        <w:t>. . .</w:t>
      </w:r>
      <w:r w:rsidRPr="00285BDD">
        <w:rPr>
          <w:lang w:val="fr-CA"/>
        </w:rPr>
        <w:t>] une intention [</w:t>
      </w:r>
      <w:r w:rsidR="00BB6F2A">
        <w:rPr>
          <w:lang w:val="fr-CA"/>
        </w:rPr>
        <w:t>. . .</w:t>
      </w:r>
      <w:r w:rsidRPr="00285BDD">
        <w:rPr>
          <w:lang w:val="fr-CA"/>
        </w:rPr>
        <w:t>] d’établir le magistrat dans une tour d’ivoire, de l’obliger à rompre tout rapport avec les organisations qui sont au service de la société. On n’attend certes pas du juge qu’il vive en marge de la collectivité sociale dont il est une entité importante. Le bon fonctionnement même du pouvoir judiciaire s’y oppose et exige précisément une attitude contraire.</w:t>
      </w:r>
    </w:p>
    <w:p w:rsidR="005F7893" w:rsidRDefault="0095762B" w:rsidP="0095762B">
      <w:pPr>
        <w:pStyle w:val="Citation-AltC"/>
        <w:widowControl w:val="0"/>
        <w:ind w:hanging="1166"/>
        <w:contextualSpacing w:val="0"/>
        <w:rPr>
          <w:lang w:val="fr-CA"/>
        </w:rPr>
      </w:pPr>
      <w:r w:rsidRPr="00285BDD">
        <w:rPr>
          <w:lang w:val="fr-CA"/>
        </w:rPr>
        <w:tab/>
      </w:r>
      <w:r w:rsidRPr="00285BDD">
        <w:rPr>
          <w:lang w:val="fr-CA"/>
        </w:rPr>
        <w:tab/>
        <w:t>Les contraintes précises auxquelles doit être assujettie la conduite des juges en ce qui a trait aux activités civiques et charitables suscitent la controverse tant au sein de la magistrature que dans la société. Cela n’a rien d’étonnant puisqu’il s’agit d’équilibrer des intérêts opposés. D’une part, l’activité sociale des juges est avantageuse tant pour la société que pour la magistrature. Ces avantages doivent être appréciés en fonction des attentes et de la situation particulière de chaque communauté. D’autre part, le rôle actif des juges peut parfois compromettre leur image d’impartialité ou entraîner un nombre excessif de récusations. Si tel risque d’être le cas, le juge doit [</w:t>
      </w:r>
      <w:r w:rsidR="00BB6F2A">
        <w:rPr>
          <w:lang w:val="fr-CA"/>
        </w:rPr>
        <w:t>. . .</w:t>
      </w:r>
      <w:r w:rsidRPr="00285BDD">
        <w:rPr>
          <w:lang w:val="fr-CA"/>
        </w:rPr>
        <w:t xml:space="preserve">] s’abstenir d’exercer l’activité compromettante. </w:t>
      </w:r>
      <w:r w:rsidR="005F7893">
        <w:rPr>
          <w:lang w:val="fr-CA"/>
        </w:rPr>
        <w:t>[R</w:t>
      </w:r>
      <w:r w:rsidR="007C79B9">
        <w:rPr>
          <w:lang w:val="fr-CA"/>
        </w:rPr>
        <w:t>éférences</w:t>
      </w:r>
      <w:r w:rsidR="005F7893">
        <w:rPr>
          <w:lang w:val="fr-CA"/>
        </w:rPr>
        <w:t xml:space="preserve"> omis</w:t>
      </w:r>
      <w:r w:rsidR="007C79B9">
        <w:rPr>
          <w:lang w:val="fr-CA"/>
        </w:rPr>
        <w:t>es</w:t>
      </w:r>
      <w:r w:rsidR="005F7893">
        <w:rPr>
          <w:lang w:val="fr-CA"/>
        </w:rPr>
        <w:t>.]</w:t>
      </w:r>
    </w:p>
    <w:p w:rsidR="0095762B" w:rsidRPr="00285BDD" w:rsidRDefault="005F7893" w:rsidP="0095762B">
      <w:pPr>
        <w:pStyle w:val="Citation-AltC"/>
        <w:widowControl w:val="0"/>
        <w:ind w:hanging="1166"/>
        <w:contextualSpacing w:val="0"/>
        <w:rPr>
          <w:lang w:val="fr-CA"/>
        </w:rPr>
      </w:pPr>
      <w:r w:rsidRPr="005F7893">
        <w:rPr>
          <w:lang w:val="fr-CA"/>
        </w:rPr>
        <w:t>(</w:t>
      </w:r>
      <w:r w:rsidR="0095762B" w:rsidRPr="00285BDD">
        <w:rPr>
          <w:i/>
          <w:lang w:val="fr-CA"/>
        </w:rPr>
        <w:t>Principes de déontologie judiciaire</w:t>
      </w:r>
      <w:r w:rsidR="0095762B" w:rsidRPr="00285BDD">
        <w:rPr>
          <w:lang w:val="fr-CA"/>
        </w:rPr>
        <w:t>, p.</w:t>
      </w:r>
      <w:r w:rsidR="00BB6F2A">
        <w:rPr>
          <w:lang w:val="fr-CA"/>
        </w:rPr>
        <w:t xml:space="preserve"> </w:t>
      </w:r>
      <w:r w:rsidR="0095762B" w:rsidRPr="00285BDD">
        <w:rPr>
          <w:lang w:val="fr-CA"/>
        </w:rPr>
        <w:t>33</w:t>
      </w:r>
      <w:r w:rsidR="00BB6F2A">
        <w:rPr>
          <w:lang w:val="fr-CA"/>
        </w:rPr>
        <w:t>-</w:t>
      </w:r>
      <w:r>
        <w:rPr>
          <w:lang w:val="fr-CA"/>
        </w:rPr>
        <w:t>34)</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L’appartenance à une </w:t>
      </w:r>
      <w:r w:rsidRPr="00285BDD">
        <w:rPr>
          <w:rFonts w:cs="Times New Roman"/>
          <w:lang w:val="fr-CA" w:eastAsia="en-CA"/>
        </w:rPr>
        <w:t>association affiliée aux intérêts d’une race, d’une nationalité, d’une religion ou d’une langue en particulier ne peut servir de fondement, sans plus, pour conclure raisonnablement qu’il y a apparence de partialité. Nous nous attendons à ce qu’un public renseigné fasse preuve d’un jugement mature en reconnaissant que les actes et les adhésions du juge ne prédéterminent pas toujours comment il jugera une affaire. Le Canada a déployé beaucoup d’efforts pour se doter d’une magistrature plus diversifiée. Cette même diversité ne devrait pas faire office de présomption que l’identité du juge ferme l’esprit judiciaire.</w:t>
      </w:r>
    </w:p>
    <w:p w:rsidR="0095762B" w:rsidRPr="00285BDD" w:rsidRDefault="0095762B" w:rsidP="0095762B">
      <w:pPr>
        <w:pStyle w:val="ParaNoNdepar-AltN"/>
        <w:widowControl w:val="0"/>
        <w:rPr>
          <w:rFonts w:cs="Times New Roman"/>
          <w:lang w:val="fr-CA"/>
        </w:rPr>
      </w:pPr>
      <w:r w:rsidRPr="00285BDD">
        <w:rPr>
          <w:rFonts w:cs="Times New Roman"/>
          <w:lang w:val="fr-CA"/>
        </w:rPr>
        <w:lastRenderedPageBreak/>
        <w:t>En l’espèce, la Cour d’appel a conclu que l’implication du juge du procès comme gouverneur de la Fondation franco</w:t>
      </w:r>
      <w:r w:rsidR="00BB6F2A">
        <w:rPr>
          <w:rFonts w:cs="Times New Roman"/>
          <w:lang w:val="fr-CA"/>
        </w:rPr>
        <w:t>-</w:t>
      </w:r>
      <w:r w:rsidRPr="00285BDD">
        <w:rPr>
          <w:rFonts w:cs="Times New Roman"/>
          <w:lang w:val="fr-CA"/>
        </w:rPr>
        <w:t xml:space="preserve">albertaine posait problème. Toutefois, le dossier contient très peu de renseignements sur l’organisme. En particulier, il est difficile de voir comment, au vu de la preuve, on pourrait conclure que sa vision </w:t>
      </w:r>
      <w:r w:rsidR="00BB6F2A">
        <w:rPr>
          <w:rFonts w:cs="Times New Roman"/>
          <w:lang w:val="fr-CA"/>
        </w:rPr>
        <w:t>« </w:t>
      </w:r>
      <w:r w:rsidRPr="00285BDD">
        <w:rPr>
          <w:rFonts w:cs="Times New Roman"/>
          <w:lang w:val="fr-CA"/>
        </w:rPr>
        <w:t>pourrait très bien s’harmoniser</w:t>
      </w:r>
      <w:r w:rsidR="00BB6F2A">
        <w:rPr>
          <w:rFonts w:cs="Times New Roman"/>
          <w:lang w:val="fr-CA"/>
        </w:rPr>
        <w:t> »</w:t>
      </w:r>
      <w:r w:rsidRPr="00285BDD">
        <w:rPr>
          <w:rFonts w:cs="Times New Roman"/>
          <w:lang w:val="fr-CA"/>
        </w:rPr>
        <w:t xml:space="preserve"> avec </w:t>
      </w:r>
      <w:r w:rsidRPr="00285BDD">
        <w:rPr>
          <w:rFonts w:cs="Times New Roman"/>
          <w:lang w:val="fr-CA" w:eastAsia="en-CA"/>
        </w:rPr>
        <w:t xml:space="preserve">certaines positions mises de l’avant par la Commission dans la présente affaire ou que l’engagement du juge du procès au sein de l’organisme l’empêchait d’aborder l’affaire avec un esprit ouvert. À elles seules, les déclarations vagues concernant la mission et la vision de l’organisme ne réfutent pas la présomption d’impartialité. Même si je conviens que la prise en compte de la fonction de gouverneur de l’organisme exercée présentement par le juge du procès faisait partie à juste titre de l’analyse contextuelle de la partialité en l’espèce, je ne suis pas convaincue que son engagement au sein d’un organisme, dont les attributions sont en grande partie indéfinies d’après la preuve, puisse s’élever au rang de facteur contributif à un point tel que le juge, pour reprendre les propos de la Cour d’appel, </w:t>
      </w:r>
      <w:r w:rsidR="00BB6F2A">
        <w:rPr>
          <w:rFonts w:cs="Times New Roman"/>
          <w:lang w:val="fr-CA" w:eastAsia="en-CA"/>
        </w:rPr>
        <w:t>« </w:t>
      </w:r>
      <w:r w:rsidRPr="00285BDD">
        <w:rPr>
          <w:rFonts w:cs="Times New Roman"/>
          <w:lang w:val="fr-CA" w:eastAsia="en-CA"/>
        </w:rPr>
        <w:t>n’aurait pas dû instruire l’affaire</w:t>
      </w:r>
      <w:r w:rsidR="00BB6F2A">
        <w:rPr>
          <w:rFonts w:cs="Times New Roman"/>
          <w:lang w:val="fr-CA" w:eastAsia="en-CA"/>
        </w:rPr>
        <w:t> »</w:t>
      </w:r>
      <w:r w:rsidRPr="00285BDD">
        <w:rPr>
          <w:rFonts w:cs="Times New Roman"/>
          <w:lang w:val="fr-CA" w:eastAsia="en-CA"/>
        </w:rPr>
        <w:t xml:space="preserve"> (par.</w:t>
      </w:r>
      <w:r w:rsidR="00BB6F2A">
        <w:rPr>
          <w:rFonts w:cs="Times New Roman"/>
          <w:lang w:val="fr-CA" w:eastAsia="en-CA"/>
        </w:rPr>
        <w:t xml:space="preserve"> </w:t>
      </w:r>
      <w:r w:rsidRPr="00285BDD">
        <w:rPr>
          <w:rFonts w:cs="Times New Roman"/>
          <w:lang w:val="fr-CA" w:eastAsia="en-CA"/>
        </w:rPr>
        <w:t>200).</w:t>
      </w:r>
    </w:p>
    <w:p w:rsidR="0095762B" w:rsidRPr="00285BDD" w:rsidRDefault="0095762B" w:rsidP="0095762B">
      <w:pPr>
        <w:pStyle w:val="ParaNoNdepar-AltN"/>
        <w:widowControl w:val="0"/>
        <w:rPr>
          <w:rFonts w:cs="Times New Roman"/>
          <w:lang w:val="fr-CA"/>
        </w:rPr>
      </w:pPr>
      <w:r w:rsidRPr="00285BDD">
        <w:rPr>
          <w:rFonts w:cs="Times New Roman"/>
          <w:lang w:val="fr-CA"/>
        </w:rPr>
        <w:t>Cela nous amène aux deux questions de droit qui ont fait l’objet du pourvoi devant notre Cour et que la Cour d’appel n’a pas renvoyées pour nouvelle instruction. Premièrement, la Commission est</w:t>
      </w:r>
      <w:r w:rsidR="00BB6F2A">
        <w:rPr>
          <w:rFonts w:cs="Times New Roman"/>
          <w:lang w:val="fr-CA"/>
        </w:rPr>
        <w:t>-</w:t>
      </w:r>
      <w:r w:rsidRPr="00285BDD">
        <w:rPr>
          <w:rFonts w:cs="Times New Roman"/>
          <w:lang w:val="fr-CA"/>
        </w:rPr>
        <w:t xml:space="preserve">elle habilitée à décider unilatéralement qui peut être admis à l’école de langue française? </w:t>
      </w:r>
    </w:p>
    <w:p w:rsidR="0095762B" w:rsidRPr="00285BDD" w:rsidRDefault="0095762B" w:rsidP="0095762B">
      <w:pPr>
        <w:pStyle w:val="ParaNoNdepar-AltN"/>
        <w:widowControl w:val="0"/>
        <w:rPr>
          <w:rFonts w:cs="Times New Roman"/>
          <w:szCs w:val="24"/>
          <w:lang w:val="fr-CA"/>
        </w:rPr>
      </w:pPr>
      <w:r w:rsidRPr="00285BDD">
        <w:rPr>
          <w:rFonts w:cs="Times New Roman"/>
          <w:lang w:val="fr-CA"/>
        </w:rPr>
        <w:t xml:space="preserve">Les critères d’admission à l’école de langue française au Yukon sont établis dans le </w:t>
      </w:r>
      <w:r w:rsidRPr="00285BDD">
        <w:rPr>
          <w:rFonts w:cs="Times New Roman"/>
          <w:i/>
          <w:lang w:val="fr-CA"/>
        </w:rPr>
        <w:t>Règlement sur l’instruction en français</w:t>
      </w:r>
      <w:r w:rsidR="005F7893">
        <w:rPr>
          <w:rFonts w:cs="Times New Roman"/>
          <w:lang w:val="fr-CA"/>
        </w:rPr>
        <w:t>, Y.D. 1996/</w:t>
      </w:r>
      <w:r w:rsidRPr="00285BDD">
        <w:rPr>
          <w:rFonts w:cs="Times New Roman"/>
          <w:lang w:val="fr-CA"/>
        </w:rPr>
        <w:t xml:space="preserve">99. Le </w:t>
      </w:r>
      <w:r w:rsidRPr="00285BDD">
        <w:rPr>
          <w:rFonts w:cs="Times New Roman"/>
          <w:i/>
          <w:lang w:val="fr-CA"/>
        </w:rPr>
        <w:t xml:space="preserve">Règlement </w:t>
      </w:r>
      <w:r w:rsidRPr="00285BDD">
        <w:rPr>
          <w:rFonts w:cs="Times New Roman"/>
          <w:lang w:val="fr-CA"/>
        </w:rPr>
        <w:lastRenderedPageBreak/>
        <w:t xml:space="preserve">dispose que seuls les </w:t>
      </w:r>
      <w:r w:rsidR="00BB6F2A">
        <w:rPr>
          <w:rFonts w:cs="Times New Roman"/>
          <w:lang w:val="fr-CA"/>
        </w:rPr>
        <w:t>« </w:t>
      </w:r>
      <w:r w:rsidRPr="00285BDD">
        <w:rPr>
          <w:rFonts w:cs="Times New Roman"/>
          <w:lang w:val="fr-CA"/>
        </w:rPr>
        <w:t>élève</w:t>
      </w:r>
      <w:r w:rsidR="005F7893">
        <w:rPr>
          <w:rFonts w:cs="Times New Roman"/>
          <w:lang w:val="fr-CA"/>
        </w:rPr>
        <w:t>[</w:t>
      </w:r>
      <w:r w:rsidRPr="00285BDD">
        <w:rPr>
          <w:rFonts w:cs="Times New Roman"/>
          <w:lang w:val="fr-CA"/>
        </w:rPr>
        <w:t>s</w:t>
      </w:r>
      <w:r w:rsidR="005F7893">
        <w:rPr>
          <w:rFonts w:cs="Times New Roman"/>
          <w:lang w:val="fr-CA"/>
        </w:rPr>
        <w:t>]</w:t>
      </w:r>
      <w:r w:rsidRPr="00285BDD">
        <w:rPr>
          <w:rFonts w:cs="Times New Roman"/>
          <w:lang w:val="fr-CA"/>
        </w:rPr>
        <w:t xml:space="preserve"> admissible</w:t>
      </w:r>
      <w:r w:rsidR="005F7893">
        <w:rPr>
          <w:rFonts w:cs="Times New Roman"/>
          <w:lang w:val="fr-CA"/>
        </w:rPr>
        <w:t>[</w:t>
      </w:r>
      <w:r w:rsidRPr="00285BDD">
        <w:rPr>
          <w:rFonts w:cs="Times New Roman"/>
          <w:lang w:val="fr-CA"/>
        </w:rPr>
        <w:t>s</w:t>
      </w:r>
      <w:r w:rsidR="005F7893">
        <w:rPr>
          <w:rFonts w:cs="Times New Roman"/>
          <w:lang w:val="fr-CA"/>
        </w:rPr>
        <w:t>]</w:t>
      </w:r>
      <w:r w:rsidR="00BB6F2A">
        <w:rPr>
          <w:rFonts w:cs="Times New Roman"/>
          <w:lang w:val="fr-CA"/>
        </w:rPr>
        <w:t> »</w:t>
      </w:r>
      <w:r w:rsidRPr="00285BDD">
        <w:rPr>
          <w:rFonts w:cs="Times New Roman"/>
          <w:lang w:val="fr-CA"/>
        </w:rPr>
        <w:t xml:space="preserve"> ont le droit de recevoir une instruction en français dans une école au </w:t>
      </w:r>
      <w:r w:rsidRPr="00285BDD">
        <w:rPr>
          <w:rFonts w:cs="Times New Roman"/>
          <w:szCs w:val="24"/>
          <w:lang w:val="fr-CA"/>
        </w:rPr>
        <w:t>Yukon</w:t>
      </w:r>
      <w:r w:rsidR="00BB6F2A">
        <w:rPr>
          <w:rFonts w:cs="Times New Roman"/>
          <w:szCs w:val="24"/>
          <w:lang w:val="fr-CA"/>
        </w:rPr>
        <w:t> :</w:t>
      </w:r>
      <w:r w:rsidRPr="00285BDD">
        <w:rPr>
          <w:rFonts w:cs="Times New Roman"/>
          <w:szCs w:val="24"/>
          <w:lang w:val="fr-CA"/>
        </w:rPr>
        <w:t xml:space="preserve"> art.</w:t>
      </w:r>
      <w:r w:rsidR="00BB6F2A">
        <w:rPr>
          <w:rFonts w:cs="Times New Roman"/>
          <w:szCs w:val="24"/>
          <w:lang w:val="fr-CA"/>
        </w:rPr>
        <w:t xml:space="preserve"> </w:t>
      </w:r>
      <w:r w:rsidRPr="00285BDD">
        <w:rPr>
          <w:rFonts w:cs="Times New Roman"/>
          <w:szCs w:val="24"/>
          <w:lang w:val="fr-CA"/>
        </w:rPr>
        <w:t xml:space="preserve">9. Le terme </w:t>
      </w:r>
      <w:r w:rsidR="00BB6F2A">
        <w:rPr>
          <w:rFonts w:cs="Times New Roman"/>
          <w:szCs w:val="24"/>
          <w:lang w:val="fr-CA"/>
        </w:rPr>
        <w:t>« </w:t>
      </w:r>
      <w:r w:rsidRPr="00285BDD">
        <w:rPr>
          <w:rFonts w:cs="Times New Roman"/>
          <w:szCs w:val="24"/>
          <w:lang w:val="fr-CA"/>
        </w:rPr>
        <w:t>élève admissible</w:t>
      </w:r>
      <w:r w:rsidR="00BB6F2A">
        <w:rPr>
          <w:rFonts w:cs="Times New Roman"/>
          <w:szCs w:val="24"/>
          <w:lang w:val="fr-CA"/>
        </w:rPr>
        <w:t> »</w:t>
      </w:r>
      <w:r w:rsidRPr="00285BDD">
        <w:rPr>
          <w:rFonts w:cs="Times New Roman"/>
          <w:szCs w:val="24"/>
          <w:lang w:val="fr-CA"/>
        </w:rPr>
        <w:t xml:space="preserve"> est défini comme suit dans le </w:t>
      </w:r>
      <w:r w:rsidRPr="00285BDD">
        <w:rPr>
          <w:rFonts w:cs="Times New Roman"/>
          <w:i/>
          <w:szCs w:val="24"/>
          <w:lang w:val="fr-CA"/>
        </w:rPr>
        <w:t>Règlement</w:t>
      </w:r>
      <w:r w:rsidR="00BB6F2A" w:rsidRPr="005F7893">
        <w:rPr>
          <w:rFonts w:cs="Times New Roman"/>
          <w:szCs w:val="24"/>
          <w:lang w:val="fr-CA"/>
        </w:rPr>
        <w:t> :</w:t>
      </w:r>
    </w:p>
    <w:p w:rsidR="0095762B" w:rsidRPr="00285BDD" w:rsidRDefault="0095762B" w:rsidP="0095762B">
      <w:pPr>
        <w:pStyle w:val="Citation-AltC"/>
        <w:widowControl w:val="0"/>
        <w:ind w:hanging="1166"/>
        <w:contextualSpacing w:val="0"/>
        <w:rPr>
          <w:lang w:val="fr-CA"/>
        </w:rPr>
      </w:pPr>
      <w:r w:rsidRPr="00285BDD">
        <w:rPr>
          <w:lang w:val="fr-CA"/>
        </w:rPr>
        <w:tab/>
        <w:t>Élève dont un parent, étant citoyen du Canada, a le droit de faire instruire ses enfants en français en vertu de l’article</w:t>
      </w:r>
      <w:r w:rsidR="00BB6F2A">
        <w:rPr>
          <w:lang w:val="fr-CA"/>
        </w:rPr>
        <w:t xml:space="preserve"> </w:t>
      </w:r>
      <w:r w:rsidRPr="00285BDD">
        <w:rPr>
          <w:lang w:val="fr-CA"/>
        </w:rPr>
        <w:t>23 de la Charte. Sont compris les élèves dont les parents, les frères ou les sœurs auraient ce droit s’il[s] étaient citoyens canadiens ou si l’instruction visée à l’article</w:t>
      </w:r>
      <w:r w:rsidR="00BB6F2A">
        <w:rPr>
          <w:lang w:val="fr-CA"/>
        </w:rPr>
        <w:t xml:space="preserve"> </w:t>
      </w:r>
      <w:r w:rsidRPr="00285BDD">
        <w:rPr>
          <w:lang w:val="fr-CA"/>
        </w:rPr>
        <w:t>23 ne se bornait pas au Canada; [art.</w:t>
      </w:r>
      <w:r w:rsidR="00BB6F2A">
        <w:rPr>
          <w:lang w:val="fr-CA"/>
        </w:rPr>
        <w:t xml:space="preserve"> </w:t>
      </w:r>
      <w:r w:rsidRPr="00285BDD">
        <w:rPr>
          <w:lang w:val="fr-CA"/>
        </w:rPr>
        <w:t>2]</w:t>
      </w:r>
    </w:p>
    <w:p w:rsidR="0095762B" w:rsidRPr="00285BDD" w:rsidRDefault="0095762B" w:rsidP="0095762B">
      <w:pPr>
        <w:pStyle w:val="ParaNoNdepar-AltN"/>
        <w:widowControl w:val="0"/>
        <w:rPr>
          <w:rFonts w:cs="Times New Roman"/>
          <w:lang w:val="fr-CA"/>
        </w:rPr>
      </w:pPr>
      <w:r w:rsidRPr="00285BDD">
        <w:rPr>
          <w:rFonts w:cs="Times New Roman"/>
          <w:szCs w:val="24"/>
          <w:lang w:val="fr-CA"/>
        </w:rPr>
        <w:t xml:space="preserve">Nonobstant le </w:t>
      </w:r>
      <w:r w:rsidRPr="00285BDD">
        <w:rPr>
          <w:rFonts w:cs="Times New Roman"/>
          <w:i/>
          <w:lang w:val="fr-CA"/>
        </w:rPr>
        <w:t>Règlement</w:t>
      </w:r>
      <w:r w:rsidRPr="00285BDD">
        <w:rPr>
          <w:rFonts w:cs="Times New Roman"/>
          <w:lang w:val="fr-CA"/>
        </w:rPr>
        <w:t>, depuis la création de la Commission en 1996 jusqu’au procès, la Commission décidait quels élèves pouvaient être admis à son école, qu’ils soient ou non les enfants de titulaires des droits prévus à l’art.</w:t>
      </w:r>
      <w:r w:rsidR="00BB6F2A">
        <w:rPr>
          <w:rFonts w:cs="Times New Roman"/>
          <w:lang w:val="fr-CA"/>
        </w:rPr>
        <w:t xml:space="preserve"> </w:t>
      </w:r>
      <w:r w:rsidRPr="00285BDD">
        <w:rPr>
          <w:rFonts w:cs="Times New Roman"/>
          <w:lang w:val="fr-CA"/>
        </w:rPr>
        <w:t xml:space="preserve">23. La première journée du procès, toutefois, le Yukon a envoyé une lettre au président de la Commission pour l’aviser de son intention d’appliquer désormais le </w:t>
      </w:r>
      <w:r w:rsidRPr="00285BDD">
        <w:rPr>
          <w:rFonts w:cs="Times New Roman"/>
          <w:i/>
          <w:lang w:val="fr-CA"/>
        </w:rPr>
        <w:t>Règlement</w:t>
      </w:r>
      <w:r w:rsidR="00BB6F2A">
        <w:rPr>
          <w:rFonts w:cs="Times New Roman"/>
          <w:i/>
          <w:lang w:val="fr-CA"/>
        </w:rPr>
        <w:t> </w:t>
      </w:r>
      <w:r w:rsidR="00BB6F2A" w:rsidRPr="00377EB6">
        <w:rPr>
          <w:rFonts w:cs="Times New Roman"/>
          <w:lang w:val="fr-CA"/>
        </w:rPr>
        <w:t>:</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00377EB6">
        <w:rPr>
          <w:lang w:val="fr-CA"/>
        </w:rPr>
        <w:t xml:space="preserve">. . . </w:t>
      </w:r>
      <w:r w:rsidRPr="00285BDD">
        <w:rPr>
          <w:lang w:val="fr-CA"/>
        </w:rPr>
        <w:t xml:space="preserve">[le] </w:t>
      </w:r>
      <w:r w:rsidRPr="00285BDD">
        <w:rPr>
          <w:i/>
          <w:lang w:val="fr-CA"/>
        </w:rPr>
        <w:t xml:space="preserve">Règlement </w:t>
      </w:r>
      <w:r w:rsidRPr="00285BDD">
        <w:rPr>
          <w:lang w:val="fr-CA"/>
        </w:rPr>
        <w:t>prévoit les conditions d’admissibilité des élèves du district scolaire</w:t>
      </w:r>
      <w:r w:rsidR="00BB6F2A">
        <w:rPr>
          <w:lang w:val="fr-CA"/>
        </w:rPr>
        <w:t xml:space="preserve"> </w:t>
      </w:r>
      <w:r w:rsidRPr="00285BDD">
        <w:rPr>
          <w:lang w:val="fr-CA"/>
        </w:rPr>
        <w:t xml:space="preserve">23. De plus, le </w:t>
      </w:r>
      <w:r w:rsidRPr="00285BDD">
        <w:rPr>
          <w:i/>
          <w:lang w:val="fr-CA"/>
        </w:rPr>
        <w:t>Règlement</w:t>
      </w:r>
      <w:r w:rsidRPr="00285BDD">
        <w:rPr>
          <w:lang w:val="fr-CA"/>
        </w:rPr>
        <w:t xml:space="preserve"> précise que les résidents doivent déposer une déclaration auprès de la Commission scolaire francophone du Yukon de sorte que le ministre de l’Éducation peut trancher quant à l’admissibilité d’un citoyen à être résident du district scolaire</w:t>
      </w:r>
      <w:r w:rsidR="00BB6F2A">
        <w:rPr>
          <w:lang w:val="fr-CA"/>
        </w:rPr>
        <w:t xml:space="preserve"> </w:t>
      </w:r>
      <w:r w:rsidRPr="00285BDD">
        <w:rPr>
          <w:lang w:val="fr-CA"/>
        </w:rPr>
        <w:t>23</w:t>
      </w:r>
      <w:r w:rsidR="00BB6F2A">
        <w:rPr>
          <w:lang w:val="fr-CA"/>
        </w:rPr>
        <w:t>. . .</w:t>
      </w:r>
    </w:p>
    <w:p w:rsidR="0095762B" w:rsidRPr="00285BDD" w:rsidRDefault="0095762B" w:rsidP="0095762B">
      <w:pPr>
        <w:pStyle w:val="Citation-AltC"/>
        <w:widowControl w:val="0"/>
        <w:ind w:hanging="1166"/>
        <w:contextualSpacing w:val="0"/>
        <w:rPr>
          <w:lang w:val="fr-CA"/>
        </w:rPr>
      </w:pPr>
      <w:r w:rsidRPr="00285BDD">
        <w:rPr>
          <w:lang w:val="fr-CA"/>
        </w:rPr>
        <w:tab/>
        <w:t>Il s’agit là d’une étape importante [</w:t>
      </w:r>
      <w:r w:rsidR="00BB6F2A">
        <w:rPr>
          <w:lang w:val="fr-CA"/>
        </w:rPr>
        <w:t>. . .</w:t>
      </w:r>
      <w:r w:rsidRPr="00285BDD">
        <w:rPr>
          <w:lang w:val="fr-CA"/>
        </w:rPr>
        <w:t>] C’est donc pourquoi je vous demande de veiller à ce que le ministère de l’Éducation reçoive [</w:t>
      </w:r>
      <w:r w:rsidR="00BB6F2A">
        <w:rPr>
          <w:lang w:val="fr-CA"/>
        </w:rPr>
        <w:t>. . .</w:t>
      </w:r>
      <w:r w:rsidRPr="00285BDD">
        <w:rPr>
          <w:lang w:val="fr-CA"/>
        </w:rPr>
        <w:t>] les déclarations déposées auprès de la Commission pour tous les élèves inscrits à l’École Émilie</w:t>
      </w:r>
      <w:r w:rsidR="00BB6F2A">
        <w:rPr>
          <w:lang w:val="fr-CA"/>
        </w:rPr>
        <w:t>-</w:t>
      </w:r>
      <w:r w:rsidRPr="00285BDD">
        <w:rPr>
          <w:lang w:val="fr-CA"/>
        </w:rPr>
        <w:t xml:space="preserve">Tremblay. </w:t>
      </w:r>
    </w:p>
    <w:p w:rsidR="0095762B" w:rsidRPr="00285BDD" w:rsidRDefault="0095762B" w:rsidP="0095762B">
      <w:pPr>
        <w:pStyle w:val="ParaNoNdepar-AltN"/>
        <w:widowControl w:val="0"/>
        <w:rPr>
          <w:rFonts w:cs="Times New Roman"/>
          <w:lang w:val="fr-CA" w:eastAsia="en-CA"/>
        </w:rPr>
      </w:pPr>
      <w:r w:rsidRPr="00285BDD">
        <w:rPr>
          <w:rFonts w:cs="Times New Roman"/>
          <w:lang w:val="fr-CA" w:eastAsia="en-CA"/>
        </w:rPr>
        <w:t>Il s’agit donc de savoir si l’art.</w:t>
      </w:r>
      <w:r w:rsidR="00BB6F2A">
        <w:rPr>
          <w:rFonts w:cs="Times New Roman"/>
          <w:lang w:val="fr-CA" w:eastAsia="en-CA"/>
        </w:rPr>
        <w:t xml:space="preserve"> </w:t>
      </w:r>
      <w:r w:rsidRPr="00285BDD">
        <w:rPr>
          <w:rFonts w:cs="Times New Roman"/>
          <w:lang w:val="fr-CA" w:eastAsia="en-CA"/>
        </w:rPr>
        <w:t xml:space="preserve">23 confère à la Commission le pouvoir unilatéral d’admettre d’autres élèves que ceux </w:t>
      </w:r>
      <w:r w:rsidR="00BB6F2A">
        <w:rPr>
          <w:rFonts w:cs="Times New Roman"/>
          <w:lang w:val="fr-CA" w:eastAsia="en-CA"/>
        </w:rPr>
        <w:t>« </w:t>
      </w:r>
      <w:r w:rsidRPr="00285BDD">
        <w:rPr>
          <w:rFonts w:cs="Times New Roman"/>
          <w:lang w:val="fr-CA" w:eastAsia="en-CA"/>
        </w:rPr>
        <w:t>admissibles</w:t>
      </w:r>
      <w:r w:rsidR="00BB6F2A">
        <w:rPr>
          <w:rFonts w:cs="Times New Roman"/>
          <w:lang w:val="fr-CA" w:eastAsia="en-CA"/>
        </w:rPr>
        <w:t> »</w:t>
      </w:r>
      <w:r w:rsidRPr="00285BDD">
        <w:rPr>
          <w:rFonts w:cs="Times New Roman"/>
          <w:lang w:val="fr-CA" w:eastAsia="en-CA"/>
        </w:rPr>
        <w:t xml:space="preserve"> au sens du </w:t>
      </w:r>
      <w:r w:rsidRPr="00285BDD">
        <w:rPr>
          <w:rFonts w:cs="Times New Roman"/>
          <w:i/>
          <w:lang w:val="fr-CA" w:eastAsia="en-CA"/>
        </w:rPr>
        <w:t>Règlement</w:t>
      </w:r>
      <w:r w:rsidRPr="00285BDD">
        <w:rPr>
          <w:rFonts w:cs="Times New Roman"/>
          <w:lang w:val="fr-CA" w:eastAsia="en-CA"/>
        </w:rPr>
        <w:t>. Cela soulève des questions concernant le partage des pouvoirs constitutionnels.</w:t>
      </w:r>
    </w:p>
    <w:p w:rsidR="0095762B" w:rsidRPr="00285BDD" w:rsidRDefault="0095762B" w:rsidP="0095762B">
      <w:pPr>
        <w:pStyle w:val="ParaNoNdepar-AltN"/>
        <w:widowControl w:val="0"/>
        <w:rPr>
          <w:rFonts w:cs="Times New Roman"/>
          <w:lang w:val="fr-CA" w:eastAsia="en-CA"/>
        </w:rPr>
      </w:pPr>
      <w:r w:rsidRPr="00285BDD">
        <w:rPr>
          <w:rFonts w:cs="Times New Roman"/>
          <w:lang w:val="fr-CA"/>
        </w:rPr>
        <w:lastRenderedPageBreak/>
        <w:t>L’article</w:t>
      </w:r>
      <w:r w:rsidR="00BB6F2A">
        <w:rPr>
          <w:rFonts w:cs="Times New Roman"/>
          <w:lang w:val="fr-CA"/>
        </w:rPr>
        <w:t xml:space="preserve"> </w:t>
      </w:r>
      <w:r w:rsidRPr="00285BDD">
        <w:rPr>
          <w:rFonts w:cs="Times New Roman"/>
          <w:lang w:val="fr-CA"/>
        </w:rPr>
        <w:t xml:space="preserve">23 de la </w:t>
      </w:r>
      <w:r w:rsidRPr="00285BDD">
        <w:rPr>
          <w:rFonts w:cs="Times New Roman"/>
          <w:i/>
          <w:lang w:val="fr-CA"/>
        </w:rPr>
        <w:t xml:space="preserve">Charte </w:t>
      </w:r>
      <w:r w:rsidRPr="00285BDD">
        <w:rPr>
          <w:rFonts w:cs="Times New Roman"/>
          <w:lang w:val="fr-CA"/>
        </w:rPr>
        <w:t>établit le cadre général des droits des citoyens canadiens</w:t>
      </w:r>
      <w:r w:rsidR="00BB6F2A">
        <w:rPr>
          <w:rFonts w:cs="Times New Roman"/>
          <w:lang w:val="fr-CA"/>
        </w:rPr>
        <w:t xml:space="preserve"> </w:t>
      </w:r>
      <w:r w:rsidRPr="00285BDD">
        <w:rPr>
          <w:rFonts w:cs="Times New Roman"/>
          <w:lang w:val="fr-CA"/>
        </w:rPr>
        <w:t>à l’instruction dans la langue de la minorité</w:t>
      </w:r>
      <w:r w:rsidR="00BB6F2A">
        <w:rPr>
          <w:rFonts w:cs="Times New Roman"/>
          <w:lang w:val="fr-CA"/>
        </w:rPr>
        <w:t> :</w:t>
      </w:r>
      <w:r w:rsidRPr="00285BDD">
        <w:rPr>
          <w:rFonts w:cs="Times New Roman"/>
          <w:lang w:val="fr-CA"/>
        </w:rPr>
        <w:t xml:space="preserve"> </w:t>
      </w:r>
      <w:r w:rsidRPr="00285BDD">
        <w:rPr>
          <w:rFonts w:cs="Times New Roman"/>
          <w:i/>
          <w:lang w:val="fr-CA"/>
        </w:rPr>
        <w:t>Mahe c. Alberta</w:t>
      </w:r>
      <w:r w:rsidRPr="00285BDD">
        <w:rPr>
          <w:rFonts w:cs="Times New Roman"/>
          <w:lang w:val="fr-CA"/>
        </w:rPr>
        <w:t>, [1990] 1 R.C.S. 342; voir aussi</w:t>
      </w:r>
      <w:r w:rsidRPr="00285BDD">
        <w:rPr>
          <w:rFonts w:cs="Times New Roman"/>
          <w:i/>
          <w:lang w:val="fr-CA"/>
        </w:rPr>
        <w:t xml:space="preserve"> Québec (Éducation, Loisir et Sport)</w:t>
      </w:r>
      <w:r w:rsidRPr="00285BDD">
        <w:rPr>
          <w:rFonts w:cs="Times New Roman"/>
          <w:lang w:val="fr-CA"/>
        </w:rPr>
        <w:t xml:space="preserve"> </w:t>
      </w:r>
      <w:r w:rsidRPr="00285BDD">
        <w:rPr>
          <w:rFonts w:cs="Times New Roman"/>
          <w:i/>
          <w:lang w:val="fr-CA"/>
        </w:rPr>
        <w:t>c. Nguyen</w:t>
      </w:r>
      <w:r w:rsidRPr="00285BDD">
        <w:rPr>
          <w:rFonts w:cs="Times New Roman"/>
          <w:lang w:val="fr-CA"/>
        </w:rPr>
        <w:t>, [2009] 3 R.C.S. 208, par.</w:t>
      </w:r>
      <w:r w:rsidR="00BB6F2A">
        <w:rPr>
          <w:rFonts w:cs="Times New Roman"/>
          <w:lang w:val="fr-CA"/>
        </w:rPr>
        <w:t xml:space="preserve"> </w:t>
      </w:r>
      <w:r w:rsidRPr="00285BDD">
        <w:rPr>
          <w:rFonts w:cs="Times New Roman"/>
          <w:lang w:val="fr-CA"/>
        </w:rPr>
        <w:t xml:space="preserve">23; </w:t>
      </w:r>
      <w:r w:rsidRPr="00285BDD">
        <w:rPr>
          <w:rFonts w:cs="Times New Roman"/>
          <w:i/>
          <w:lang w:val="fr-CA"/>
        </w:rPr>
        <w:t>Procureur général du Québec c. Quebec Association of Protestant School Boards</w:t>
      </w:r>
      <w:r w:rsidRPr="00285BDD">
        <w:rPr>
          <w:rFonts w:cs="Times New Roman"/>
          <w:lang w:val="fr-CA"/>
        </w:rPr>
        <w:t>, [1984] 2 R.C.S. 66, p.</w:t>
      </w:r>
      <w:r w:rsidR="00BB6F2A">
        <w:rPr>
          <w:rFonts w:cs="Times New Roman"/>
          <w:lang w:val="fr-CA"/>
        </w:rPr>
        <w:t xml:space="preserve"> </w:t>
      </w:r>
      <w:r w:rsidRPr="00285BDD">
        <w:rPr>
          <w:rFonts w:cs="Times New Roman"/>
          <w:lang w:val="fr-CA"/>
        </w:rPr>
        <w:t xml:space="preserve">82; </w:t>
      </w:r>
      <w:r w:rsidRPr="00285BDD">
        <w:rPr>
          <w:rFonts w:cs="Times New Roman"/>
          <w:i/>
          <w:lang w:val="fr-CA"/>
        </w:rPr>
        <w:t>Solski (Tuteur de) c. Québec (Procureur général)</w:t>
      </w:r>
      <w:r w:rsidRPr="00285BDD">
        <w:rPr>
          <w:rFonts w:cs="Times New Roman"/>
          <w:lang w:val="fr-CA"/>
        </w:rPr>
        <w:t>, [2005] 1 R.C.S. 201, par.</w:t>
      </w:r>
      <w:r w:rsidR="00BB6F2A">
        <w:rPr>
          <w:rFonts w:cs="Times New Roman"/>
          <w:lang w:val="fr-CA"/>
        </w:rPr>
        <w:t xml:space="preserve"> </w:t>
      </w:r>
      <w:r w:rsidRPr="00285BDD">
        <w:rPr>
          <w:rFonts w:cs="Times New Roman"/>
          <w:lang w:val="fr-CA"/>
        </w:rPr>
        <w:t>5</w:t>
      </w:r>
      <w:r w:rsidR="00BB6F2A">
        <w:rPr>
          <w:rFonts w:cs="Times New Roman"/>
          <w:lang w:val="fr-CA"/>
        </w:rPr>
        <w:t>-</w:t>
      </w:r>
      <w:r w:rsidRPr="00285BDD">
        <w:rPr>
          <w:rFonts w:cs="Times New Roman"/>
          <w:lang w:val="fr-CA"/>
        </w:rPr>
        <w:t>10. Lorsque le nombre le justifie, les par.</w:t>
      </w:r>
      <w:r w:rsidR="00BB6F2A">
        <w:rPr>
          <w:rFonts w:cs="Times New Roman"/>
          <w:lang w:val="fr-CA"/>
        </w:rPr>
        <w:t xml:space="preserve"> </w:t>
      </w:r>
      <w:r w:rsidRPr="00285BDD">
        <w:rPr>
          <w:rFonts w:cs="Times New Roman"/>
          <w:lang w:val="fr-CA"/>
        </w:rPr>
        <w:t>23(1) et (2) confèrent à certains citoyens canadiens le droit de faire instruire leurs enfants dans la langue de la minorité de leur province ou territoire aux frais du gouvernement</w:t>
      </w:r>
      <w:r w:rsidRPr="00285BDD">
        <w:rPr>
          <w:rStyle w:val="FootnoteReference"/>
          <w:rFonts w:cs="Times New Roman"/>
          <w:lang w:val="fr-CA"/>
        </w:rPr>
        <w:footnoteReference w:id="1"/>
      </w:r>
      <w:r w:rsidRPr="00285BDD">
        <w:rPr>
          <w:rFonts w:cs="Times New Roman"/>
          <w:lang w:val="fr-CA"/>
        </w:rPr>
        <w:t>.</w:t>
      </w:r>
    </w:p>
    <w:p w:rsidR="0095762B" w:rsidRPr="00285BDD" w:rsidRDefault="0095762B" w:rsidP="0095762B">
      <w:pPr>
        <w:pStyle w:val="ParaNoNdepar-AltN"/>
        <w:widowControl w:val="0"/>
        <w:rPr>
          <w:rFonts w:cs="Times New Roman"/>
          <w:lang w:val="fr-CA" w:eastAsia="en-CA"/>
        </w:rPr>
      </w:pPr>
      <w:r w:rsidRPr="00285BDD">
        <w:rPr>
          <w:rFonts w:cs="Times New Roman"/>
          <w:lang w:val="fr-CA"/>
        </w:rPr>
        <w:t>Cela dit, notre Cour a récemment confirmé que,</w:t>
      </w:r>
      <w:r w:rsidRPr="00285BDD">
        <w:rPr>
          <w:rFonts w:cs="Times New Roman"/>
          <w:shd w:val="clear" w:color="auto" w:fill="FFFFFF" w:themeFill="background1"/>
          <w:lang w:val="fr-CA"/>
        </w:rPr>
        <w:t xml:space="preserve"> même si </w:t>
      </w:r>
      <w:r w:rsidR="00BB6F2A">
        <w:rPr>
          <w:rFonts w:cs="Times New Roman"/>
          <w:shd w:val="clear" w:color="auto" w:fill="FFFFFF" w:themeFill="background1"/>
          <w:lang w:val="fr-CA"/>
        </w:rPr>
        <w:t>« </w:t>
      </w:r>
      <w:r w:rsidRPr="00285BDD">
        <w:rPr>
          <w:rFonts w:cs="Times New Roman"/>
          <w:shd w:val="clear" w:color="auto" w:fill="FFFFFF" w:themeFill="background1"/>
          <w:lang w:val="fr-CA"/>
        </w:rPr>
        <w:t xml:space="preserve">elle reconnaît l’importance des droits linguistiques, la </w:t>
      </w:r>
      <w:r w:rsidRPr="00285BDD">
        <w:rPr>
          <w:rStyle w:val="term210"/>
          <w:rFonts w:cs="Times New Roman"/>
          <w:i/>
          <w:iCs/>
          <w:shd w:val="clear" w:color="auto" w:fill="FFFFFF" w:themeFill="background1"/>
          <w:lang w:val="fr-CA"/>
        </w:rPr>
        <w:t>Charte</w:t>
      </w:r>
      <w:r w:rsidRPr="00285BDD">
        <w:rPr>
          <w:rFonts w:cs="Times New Roman"/>
          <w:shd w:val="clear" w:color="auto" w:fill="FFFFFF" w:themeFill="background1"/>
          <w:lang w:val="fr-CA"/>
        </w:rPr>
        <w:t xml:space="preserve"> reconnaît par ailleurs l’importance du respect</w:t>
      </w:r>
      <w:r w:rsidRPr="00285BDD">
        <w:rPr>
          <w:rFonts w:cs="Times New Roman"/>
          <w:lang w:val="fr-CA"/>
        </w:rPr>
        <w:t xml:space="preserve"> des pouvoirs constitutionnels des provinces</w:t>
      </w:r>
      <w:r w:rsidR="00BB6F2A">
        <w:rPr>
          <w:rFonts w:cs="Times New Roman"/>
          <w:lang w:val="fr-CA"/>
        </w:rPr>
        <w:t> » :</w:t>
      </w:r>
      <w:r w:rsidRPr="00285BDD">
        <w:rPr>
          <w:rFonts w:cs="Times New Roman"/>
          <w:lang w:val="fr-CA"/>
        </w:rPr>
        <w:t xml:space="preserve"> </w:t>
      </w:r>
      <w:r w:rsidRPr="00285BDD">
        <w:rPr>
          <w:rFonts w:cs="Times New Roman"/>
          <w:i/>
          <w:lang w:val="fr-CA"/>
        </w:rPr>
        <w:t>Conseil scolaire francophone de la Colombie</w:t>
      </w:r>
      <w:r w:rsidR="00BB6F2A">
        <w:rPr>
          <w:rFonts w:cs="Times New Roman"/>
          <w:i/>
          <w:lang w:val="fr-CA"/>
        </w:rPr>
        <w:t>-</w:t>
      </w:r>
      <w:r w:rsidRPr="00285BDD">
        <w:rPr>
          <w:rFonts w:cs="Times New Roman"/>
          <w:i/>
          <w:lang w:val="fr-CA"/>
        </w:rPr>
        <w:t>Britannique c. Colombie</w:t>
      </w:r>
      <w:r w:rsidR="00BB6F2A">
        <w:rPr>
          <w:rFonts w:cs="Times New Roman"/>
          <w:i/>
          <w:lang w:val="fr-CA"/>
        </w:rPr>
        <w:t>-</w:t>
      </w:r>
      <w:r w:rsidRPr="00285BDD">
        <w:rPr>
          <w:rFonts w:cs="Times New Roman"/>
          <w:i/>
          <w:lang w:val="fr-CA"/>
        </w:rPr>
        <w:t>Britannique</w:t>
      </w:r>
      <w:r w:rsidRPr="00285BDD">
        <w:rPr>
          <w:rFonts w:cs="Times New Roman"/>
          <w:shd w:val="clear" w:color="auto" w:fill="FFFFFF" w:themeFill="background1"/>
          <w:lang w:val="fr-CA"/>
        </w:rPr>
        <w:t xml:space="preserve">, [2013] 2 R.C.S. 774, </w:t>
      </w:r>
      <w:r w:rsidRPr="00285BDD">
        <w:rPr>
          <w:rFonts w:cs="Times New Roman"/>
          <w:lang w:val="fr-CA"/>
        </w:rPr>
        <w:t>par.</w:t>
      </w:r>
      <w:r w:rsidR="00BB6F2A">
        <w:rPr>
          <w:rFonts w:cs="Times New Roman"/>
          <w:lang w:val="fr-CA"/>
        </w:rPr>
        <w:t xml:space="preserve"> </w:t>
      </w:r>
      <w:r w:rsidRPr="00285BDD">
        <w:rPr>
          <w:rFonts w:cs="Times New Roman"/>
          <w:lang w:val="fr-CA"/>
        </w:rPr>
        <w:t>56. Selon l’art.</w:t>
      </w:r>
      <w:r w:rsidR="00BB6F2A">
        <w:rPr>
          <w:rFonts w:cs="Times New Roman"/>
          <w:lang w:val="fr-CA"/>
        </w:rPr>
        <w:t xml:space="preserve"> </w:t>
      </w:r>
      <w:r w:rsidRPr="00285BDD">
        <w:rPr>
          <w:rFonts w:cs="Times New Roman"/>
          <w:lang w:val="fr-CA"/>
        </w:rPr>
        <w:t xml:space="preserve">93 de la </w:t>
      </w:r>
      <w:r w:rsidRPr="00285BDD">
        <w:rPr>
          <w:rFonts w:cs="Times New Roman"/>
          <w:i/>
          <w:lang w:val="fr-CA"/>
        </w:rPr>
        <w:t>Loi constitutionnelle de 1867</w:t>
      </w:r>
      <w:r w:rsidRPr="00285BDD">
        <w:rPr>
          <w:rFonts w:cs="Times New Roman"/>
          <w:lang w:val="fr-CA"/>
        </w:rPr>
        <w:t>, les législatures provinciales ont le pouvoir de décréter des lois relatives à l’éducation</w:t>
      </w:r>
      <w:r w:rsidRPr="00285BDD">
        <w:rPr>
          <w:rStyle w:val="FootnoteReference"/>
          <w:rFonts w:cs="Times New Roman"/>
          <w:lang w:val="fr-CA"/>
        </w:rPr>
        <w:footnoteReference w:id="2"/>
      </w:r>
      <w:r w:rsidRPr="00285BDD">
        <w:rPr>
          <w:rFonts w:cs="Times New Roman"/>
          <w:lang w:val="fr-CA"/>
        </w:rPr>
        <w:t xml:space="preserve">. Le fédéralisme demeure une caractéristique notable en matière de droits des minorités linguistiques. Comme l’a </w:t>
      </w:r>
      <w:r w:rsidRPr="00285BDD">
        <w:rPr>
          <w:rFonts w:cs="Times New Roman"/>
          <w:lang w:val="fr-CA"/>
        </w:rPr>
        <w:lastRenderedPageBreak/>
        <w:t xml:space="preserve">affirmé notre Cour dans l’arrêt </w:t>
      </w:r>
      <w:r w:rsidRPr="00285BDD">
        <w:rPr>
          <w:rFonts w:cs="Times New Roman"/>
          <w:i/>
          <w:lang w:val="fr-CA"/>
        </w:rPr>
        <w:t>Solski</w:t>
      </w:r>
      <w:r w:rsidRPr="00285BDD">
        <w:rPr>
          <w:rFonts w:cs="Times New Roman"/>
          <w:lang w:val="fr-CA"/>
        </w:rPr>
        <w:t xml:space="preserve">, qui confirmait une loi du Québec exigeant qu’un élève ait reçu la </w:t>
      </w:r>
      <w:r w:rsidR="00BB6F2A">
        <w:rPr>
          <w:rFonts w:cs="Times New Roman"/>
          <w:lang w:val="fr-CA"/>
        </w:rPr>
        <w:t>« </w:t>
      </w:r>
      <w:r w:rsidRPr="00285BDD">
        <w:rPr>
          <w:rFonts w:cs="Times New Roman"/>
          <w:lang w:val="fr-CA"/>
        </w:rPr>
        <w:t>majeure partie</w:t>
      </w:r>
      <w:r w:rsidR="00BB6F2A">
        <w:rPr>
          <w:rFonts w:cs="Times New Roman"/>
          <w:lang w:val="fr-CA"/>
        </w:rPr>
        <w:t> »</w:t>
      </w:r>
      <w:r w:rsidRPr="00285BDD">
        <w:rPr>
          <w:rFonts w:cs="Times New Roman"/>
          <w:lang w:val="fr-CA"/>
        </w:rPr>
        <w:t xml:space="preserve"> de son enseignement en anglais pour pouvoir fréquenter une école de langue anglaise financée à même les fonds publics</w:t>
      </w:r>
      <w:r w:rsidR="00BB6F2A">
        <w:rPr>
          <w:rFonts w:cs="Times New Roman"/>
          <w:lang w:val="fr-CA"/>
        </w:rPr>
        <w:t> :</w:t>
      </w:r>
    </w:p>
    <w:p w:rsidR="0095762B" w:rsidRPr="00285BDD" w:rsidRDefault="0095762B" w:rsidP="00BB32CD">
      <w:pPr>
        <w:pStyle w:val="Citation-AltC"/>
        <w:widowControl w:val="0"/>
        <w:spacing w:after="240"/>
        <w:ind w:hanging="1166"/>
        <w:contextualSpacing w:val="0"/>
        <w:rPr>
          <w:lang w:val="fr-CA"/>
        </w:rPr>
      </w:pPr>
      <w:r w:rsidRPr="00285BDD">
        <w:rPr>
          <w:lang w:val="fr-CA"/>
        </w:rPr>
        <w:tab/>
        <w:t xml:space="preserve">Étant donné que l’éducation est un chef de compétence provinciale, chacune des provinces a un intérêt légitime dans la prestation et la réglementation de services d’enseignement dans la langue de la minorité </w:t>
      </w:r>
      <w:r w:rsidR="00BB6F2A">
        <w:rPr>
          <w:lang w:val="fr-CA"/>
        </w:rPr>
        <w:t>. . .</w:t>
      </w:r>
    </w:p>
    <w:p w:rsidR="0095762B" w:rsidRPr="00285BDD" w:rsidRDefault="00BB6F2A" w:rsidP="00BB32CD">
      <w:pPr>
        <w:pStyle w:val="Citation-AltC"/>
        <w:widowControl w:val="0"/>
        <w:spacing w:after="240"/>
        <w:ind w:hanging="1166"/>
        <w:contextualSpacing w:val="0"/>
        <w:jc w:val="center"/>
        <w:rPr>
          <w:lang w:val="fr-CA"/>
        </w:rPr>
      </w:pPr>
      <w:r>
        <w:rPr>
          <w:lang w:val="fr-CA"/>
        </w:rPr>
        <w:t>. . .</w:t>
      </w:r>
    </w:p>
    <w:p w:rsidR="0095762B" w:rsidRPr="00285BDD" w:rsidRDefault="0095762B" w:rsidP="00BB32CD">
      <w:pPr>
        <w:pStyle w:val="Citation-AltC"/>
        <w:widowControl w:val="0"/>
        <w:ind w:hanging="1166"/>
        <w:contextualSpacing w:val="0"/>
        <w:rPr>
          <w:lang w:val="fr-CA"/>
        </w:rPr>
      </w:pPr>
      <w:r w:rsidRPr="00285BDD">
        <w:rPr>
          <w:lang w:val="fr-CA" w:eastAsia="fr-CA"/>
        </w:rPr>
        <w:tab/>
      </w:r>
      <w:r w:rsidR="00BB32CD">
        <w:rPr>
          <w:lang w:val="fr-CA" w:eastAsia="fr-CA"/>
        </w:rPr>
        <w:t xml:space="preserve">. . . </w:t>
      </w:r>
      <w:r w:rsidRPr="00285BDD">
        <w:rPr>
          <w:lang w:val="fr-CA" w:eastAsia="fr-CA"/>
        </w:rPr>
        <w:t xml:space="preserve">Le gouvernement provincial appelé à légiférer en matière d’éducation doit disposer de la </w:t>
      </w:r>
      <w:r w:rsidRPr="00285BDD">
        <w:rPr>
          <w:lang w:val="fr-CA"/>
        </w:rPr>
        <w:t>latitude</w:t>
      </w:r>
      <w:r w:rsidRPr="00285BDD">
        <w:rPr>
          <w:lang w:val="fr-CA" w:eastAsia="fr-CA"/>
        </w:rPr>
        <w:t xml:space="preserve"> suffisante pour assurer la protection de la langue française tout en respectant les objectifs de l’art.</w:t>
      </w:r>
      <w:r w:rsidR="00BB6F2A">
        <w:rPr>
          <w:lang w:val="fr-CA" w:eastAsia="fr-CA"/>
        </w:rPr>
        <w:t xml:space="preserve"> </w:t>
      </w:r>
      <w:r w:rsidRPr="00285BDD">
        <w:rPr>
          <w:lang w:val="fr-CA" w:eastAsia="fr-CA"/>
        </w:rPr>
        <w:t>23</w:t>
      </w:r>
      <w:r>
        <w:rPr>
          <w:lang w:val="fr-CA" w:eastAsia="fr-CA"/>
        </w:rPr>
        <w:t xml:space="preserve">. </w:t>
      </w:r>
      <w:r w:rsidRPr="00285BDD">
        <w:rPr>
          <w:lang w:val="fr-CA" w:eastAsia="fr-CA"/>
        </w:rPr>
        <w:t>Comme l’a souligné le juge en chef</w:t>
      </w:r>
      <w:r w:rsidR="00BB6F2A">
        <w:rPr>
          <w:lang w:val="fr-CA" w:eastAsia="fr-CA"/>
        </w:rPr>
        <w:t xml:space="preserve"> </w:t>
      </w:r>
      <w:r w:rsidRPr="00285BDD">
        <w:rPr>
          <w:lang w:val="fr-CA" w:eastAsia="fr-CA"/>
        </w:rPr>
        <w:t xml:space="preserve">Lamer dans le </w:t>
      </w:r>
      <w:r w:rsidRPr="00285BDD">
        <w:rPr>
          <w:i/>
          <w:iCs/>
          <w:lang w:val="fr-CA" w:eastAsia="fr-CA"/>
        </w:rPr>
        <w:t>Renvoi relatif à la Loi sur les écoles publiques (Man.)</w:t>
      </w:r>
      <w:r w:rsidRPr="00285BDD">
        <w:rPr>
          <w:lang w:val="fr-CA" w:eastAsia="fr-CA"/>
        </w:rPr>
        <w:t>, p.</w:t>
      </w:r>
      <w:r w:rsidR="00BB6F2A">
        <w:rPr>
          <w:lang w:val="fr-CA" w:eastAsia="fr-CA"/>
        </w:rPr>
        <w:t xml:space="preserve"> </w:t>
      </w:r>
      <w:r w:rsidRPr="00285BDD">
        <w:rPr>
          <w:lang w:val="fr-CA" w:eastAsia="fr-CA"/>
        </w:rPr>
        <w:t xml:space="preserve">851, </w:t>
      </w:r>
      <w:r w:rsidR="00BB6F2A">
        <w:rPr>
          <w:lang w:val="fr-CA" w:eastAsia="fr-CA"/>
        </w:rPr>
        <w:t>« </w:t>
      </w:r>
      <w:r w:rsidRPr="00285BDD">
        <w:rPr>
          <w:lang w:val="fr-CA" w:eastAsia="fr-CA"/>
        </w:rPr>
        <w:t>il peut bien être nécessaire d’adopter des méthodes d’interprétation différentes dans divers ressorts qui tiennent compte de la dynamique linguistique particulière à chaque province</w:t>
      </w:r>
      <w:r w:rsidR="00BB6F2A">
        <w:rPr>
          <w:lang w:val="fr-CA" w:eastAsia="fr-CA"/>
        </w:rPr>
        <w:t> »</w:t>
      </w:r>
      <w:r w:rsidRPr="00285BDD">
        <w:rPr>
          <w:lang w:val="fr-CA" w:eastAsia="fr-CA"/>
        </w:rPr>
        <w:t>.</w:t>
      </w:r>
      <w:r w:rsidRPr="00285BDD">
        <w:rPr>
          <w:lang w:val="fr-CA"/>
        </w:rPr>
        <w:t xml:space="preserve"> [R</w:t>
      </w:r>
      <w:r w:rsidR="004B21CD">
        <w:rPr>
          <w:lang w:val="fr-CA"/>
        </w:rPr>
        <w:t>éférence</w:t>
      </w:r>
      <w:r w:rsidRPr="00285BDD">
        <w:rPr>
          <w:lang w:val="fr-CA"/>
        </w:rPr>
        <w:t xml:space="preserve"> omis</w:t>
      </w:r>
      <w:r w:rsidR="004B21CD">
        <w:rPr>
          <w:lang w:val="fr-CA"/>
        </w:rPr>
        <w:t>e</w:t>
      </w:r>
      <w:r w:rsidRPr="00285BDD">
        <w:rPr>
          <w:lang w:val="fr-CA"/>
        </w:rPr>
        <w:t>; par.</w:t>
      </w:r>
      <w:r w:rsidR="00BB6F2A">
        <w:rPr>
          <w:lang w:val="fr-CA"/>
        </w:rPr>
        <w:t xml:space="preserve"> </w:t>
      </w:r>
      <w:r w:rsidRPr="00285BDD">
        <w:rPr>
          <w:lang w:val="fr-CA"/>
        </w:rPr>
        <w:t>10 et 34</w:t>
      </w:r>
      <w:r w:rsidR="00BB32CD">
        <w:rPr>
          <w:lang w:val="fr-CA"/>
        </w:rPr>
        <w:t>.</w:t>
      </w:r>
      <w:r w:rsidRPr="00285BDD">
        <w:rPr>
          <w:lang w:val="fr-CA"/>
        </w:rPr>
        <w:t>]</w:t>
      </w:r>
    </w:p>
    <w:p w:rsidR="0095762B" w:rsidRPr="00285BDD" w:rsidRDefault="0095762B" w:rsidP="0095762B">
      <w:pPr>
        <w:pStyle w:val="ParaNoNdepar-AltN"/>
        <w:widowControl w:val="0"/>
        <w:tabs>
          <w:tab w:val="num" w:pos="1242"/>
        </w:tabs>
        <w:ind w:left="90"/>
        <w:rPr>
          <w:rFonts w:cs="Times New Roman"/>
          <w:lang w:val="fr-CA"/>
        </w:rPr>
      </w:pPr>
      <w:r w:rsidRPr="00285BDD">
        <w:rPr>
          <w:rFonts w:cs="Times New Roman"/>
          <w:lang w:val="fr-CA"/>
        </w:rPr>
        <w:t>Il ne fait aucun doute qu’une province ou un territoire puisse déléguer à une commission scolaire la fonction de fixer les critères d’admission à l’égard des enfants de non</w:t>
      </w:r>
      <w:r w:rsidR="00BB6F2A">
        <w:rPr>
          <w:rFonts w:cs="Times New Roman"/>
          <w:lang w:val="fr-CA"/>
        </w:rPr>
        <w:t>-</w:t>
      </w:r>
      <w:r w:rsidRPr="00285BDD">
        <w:rPr>
          <w:rFonts w:cs="Times New Roman"/>
          <w:lang w:val="fr-CA"/>
        </w:rPr>
        <w:t>ayants droit. Par cette délégation, on peut conférer à une commission scolaire de la minorité linguistique un large pouvoir discrétionnaire pour admettre les enfants de non</w:t>
      </w:r>
      <w:r w:rsidR="00BB6F2A">
        <w:rPr>
          <w:rFonts w:cs="Times New Roman"/>
          <w:lang w:val="fr-CA"/>
        </w:rPr>
        <w:t>-</w:t>
      </w:r>
      <w:r w:rsidRPr="00285BDD">
        <w:rPr>
          <w:rFonts w:cs="Times New Roman"/>
          <w:lang w:val="fr-CA"/>
        </w:rPr>
        <w:t xml:space="preserve">ayants droit. </w:t>
      </w:r>
    </w:p>
    <w:p w:rsidR="0095762B" w:rsidRPr="00285BDD" w:rsidRDefault="0095762B" w:rsidP="0095762B">
      <w:pPr>
        <w:pStyle w:val="ParaNoNdepar-AltN"/>
        <w:widowControl w:val="0"/>
        <w:ind w:left="90"/>
        <w:rPr>
          <w:rFonts w:cs="Times New Roman"/>
          <w:lang w:val="fr-CA"/>
        </w:rPr>
      </w:pPr>
      <w:r w:rsidRPr="00285BDD">
        <w:rPr>
          <w:rFonts w:cs="Times New Roman"/>
          <w:lang w:val="fr-CA" w:eastAsia="en-CA"/>
        </w:rPr>
        <w:t xml:space="preserve">Il ne fait également aucun doute qu’une province ou un territoire puisse adopter une loi qui offre de plus grandes protections que celles garanties par la </w:t>
      </w:r>
      <w:r w:rsidRPr="00285BDD">
        <w:rPr>
          <w:rFonts w:cs="Times New Roman"/>
          <w:i/>
          <w:lang w:val="fr-CA" w:eastAsia="en-CA"/>
        </w:rPr>
        <w:t>Charte</w:t>
      </w:r>
      <w:r w:rsidRPr="00285BDD">
        <w:rPr>
          <w:rFonts w:cs="Times New Roman"/>
          <w:lang w:val="fr-CA" w:eastAsia="en-CA"/>
        </w:rPr>
        <w:t>.</w:t>
      </w:r>
      <w:r w:rsidRPr="00285BDD">
        <w:rPr>
          <w:rFonts w:cs="Times New Roman"/>
          <w:lang w:val="fr-CA"/>
        </w:rPr>
        <w:t xml:space="preserve"> L’article</w:t>
      </w:r>
      <w:r w:rsidR="00BB6F2A">
        <w:rPr>
          <w:rFonts w:cs="Times New Roman"/>
          <w:lang w:val="fr-CA"/>
        </w:rPr>
        <w:t xml:space="preserve"> </w:t>
      </w:r>
      <w:r w:rsidRPr="00285BDD">
        <w:rPr>
          <w:rFonts w:cs="Times New Roman"/>
          <w:lang w:val="fr-CA"/>
        </w:rPr>
        <w:t>23 prévoit un minimum constitutionnel</w:t>
      </w:r>
      <w:r w:rsidR="00BB6F2A">
        <w:rPr>
          <w:rFonts w:cs="Times New Roman"/>
          <w:lang w:val="fr-CA"/>
        </w:rPr>
        <w:t> :</w:t>
      </w:r>
      <w:r w:rsidRPr="00285BDD">
        <w:rPr>
          <w:rFonts w:cs="Times New Roman"/>
          <w:lang w:val="fr-CA"/>
        </w:rPr>
        <w:t xml:space="preserve"> </w:t>
      </w:r>
      <w:r w:rsidRPr="00285BDD">
        <w:rPr>
          <w:rFonts w:cs="Times New Roman"/>
          <w:i/>
          <w:lang w:val="fr-CA" w:eastAsia="en-CA"/>
        </w:rPr>
        <w:t>Mahe</w:t>
      </w:r>
      <w:r w:rsidRPr="00285BDD">
        <w:rPr>
          <w:rFonts w:cs="Times New Roman"/>
          <w:lang w:val="fr-CA"/>
        </w:rPr>
        <w:t>, p.</w:t>
      </w:r>
      <w:r w:rsidR="00BB6F2A">
        <w:rPr>
          <w:rFonts w:cs="Times New Roman"/>
          <w:lang w:val="fr-CA"/>
        </w:rPr>
        <w:t xml:space="preserve"> </w:t>
      </w:r>
      <w:r w:rsidRPr="00285BDD">
        <w:rPr>
          <w:rFonts w:cs="Times New Roman"/>
          <w:lang w:val="fr-CA"/>
        </w:rPr>
        <w:t>379. Deux</w:t>
      </w:r>
      <w:r w:rsidR="00BB6F2A">
        <w:rPr>
          <w:rFonts w:cs="Times New Roman"/>
          <w:lang w:val="fr-CA"/>
        </w:rPr>
        <w:t xml:space="preserve"> </w:t>
      </w:r>
      <w:r w:rsidRPr="00285BDD">
        <w:rPr>
          <w:rFonts w:cs="Times New Roman"/>
          <w:lang w:val="fr-CA"/>
        </w:rPr>
        <w:t xml:space="preserve">importants corollaires en découlent. Premièrement, comme la </w:t>
      </w:r>
      <w:r w:rsidRPr="00285BDD">
        <w:rPr>
          <w:rFonts w:cs="Times New Roman"/>
          <w:i/>
          <w:lang w:val="fr-CA"/>
        </w:rPr>
        <w:t>Charte</w:t>
      </w:r>
      <w:r w:rsidRPr="00285BDD">
        <w:rPr>
          <w:rFonts w:cs="Times New Roman"/>
          <w:lang w:val="fr-CA"/>
        </w:rPr>
        <w:t xml:space="preserve"> énonce les normes minimales auxquelles la loi doit se conformer, toute loi qui ne respecte pas </w:t>
      </w:r>
      <w:r w:rsidRPr="00285BDD">
        <w:rPr>
          <w:rFonts w:cs="Times New Roman"/>
          <w:lang w:val="fr-CA"/>
        </w:rPr>
        <w:lastRenderedPageBreak/>
        <w:t xml:space="preserve">ces normes contrevient à la </w:t>
      </w:r>
      <w:r w:rsidRPr="00285BDD">
        <w:rPr>
          <w:rFonts w:cs="Times New Roman"/>
          <w:i/>
          <w:lang w:val="fr-CA"/>
        </w:rPr>
        <w:t>Charte</w:t>
      </w:r>
      <w:r w:rsidRPr="00285BDD">
        <w:rPr>
          <w:rFonts w:cs="Times New Roman"/>
          <w:lang w:val="fr-CA"/>
        </w:rPr>
        <w:t xml:space="preserve"> et est présumée inconstitutionnelle. Deuxièmement, comme la </w:t>
      </w:r>
      <w:r w:rsidRPr="00285BDD">
        <w:rPr>
          <w:rFonts w:cs="Times New Roman"/>
          <w:i/>
          <w:lang w:val="fr-CA"/>
        </w:rPr>
        <w:t>Charte</w:t>
      </w:r>
      <w:r w:rsidRPr="00285BDD">
        <w:rPr>
          <w:rFonts w:cs="Times New Roman"/>
          <w:lang w:val="fr-CA"/>
        </w:rPr>
        <w:t xml:space="preserve"> énonce uniquement les normes </w:t>
      </w:r>
      <w:r w:rsidRPr="00285BDD">
        <w:rPr>
          <w:rFonts w:cs="Times New Roman"/>
          <w:i/>
          <w:lang w:val="fr-CA"/>
        </w:rPr>
        <w:t>minimales</w:t>
      </w:r>
      <w:r w:rsidRPr="00285BDD">
        <w:rPr>
          <w:rFonts w:cs="Times New Roman"/>
          <w:lang w:val="fr-CA"/>
        </w:rPr>
        <w:t>, elle n’empêche pas la loi d’aller au</w:t>
      </w:r>
      <w:r w:rsidR="00BB6F2A">
        <w:rPr>
          <w:rFonts w:cs="Times New Roman"/>
          <w:lang w:val="fr-CA"/>
        </w:rPr>
        <w:t>-</w:t>
      </w:r>
      <w:r w:rsidRPr="00285BDD">
        <w:rPr>
          <w:rFonts w:cs="Times New Roman"/>
          <w:lang w:val="fr-CA"/>
        </w:rPr>
        <w:t xml:space="preserve">delà des droits élémentaires reconnus dans la </w:t>
      </w:r>
      <w:r w:rsidRPr="00285BDD">
        <w:rPr>
          <w:rFonts w:cs="Times New Roman"/>
          <w:i/>
          <w:lang w:val="fr-CA"/>
        </w:rPr>
        <w:t>Charte</w:t>
      </w:r>
      <w:r w:rsidRPr="00285BDD">
        <w:rPr>
          <w:rFonts w:cs="Times New Roman"/>
          <w:lang w:val="fr-CA"/>
        </w:rPr>
        <w:t xml:space="preserve"> et d’offrir d’autres protections. Ce fait a été reconnu par le juge en chef </w:t>
      </w:r>
      <w:r w:rsidRPr="00285BDD">
        <w:rPr>
          <w:rFonts w:cs="Times New Roman"/>
          <w:lang w:val="fr-CA" w:eastAsia="en-CA"/>
        </w:rPr>
        <w:t xml:space="preserve">Dickson dans </w:t>
      </w:r>
      <w:r w:rsidRPr="00285BDD">
        <w:rPr>
          <w:rFonts w:cs="Times New Roman"/>
          <w:i/>
          <w:lang w:val="fr-CA" w:eastAsia="en-CA"/>
        </w:rPr>
        <w:t>Mahe</w:t>
      </w:r>
      <w:r w:rsidRPr="00285BDD">
        <w:rPr>
          <w:rFonts w:cs="Times New Roman"/>
          <w:lang w:val="fr-CA" w:eastAsia="en-CA"/>
        </w:rPr>
        <w:t>, où il a expliqué que l’art.</w:t>
      </w:r>
      <w:r w:rsidR="00BB6F2A">
        <w:rPr>
          <w:rFonts w:cs="Times New Roman"/>
          <w:lang w:val="fr-CA" w:eastAsia="en-CA"/>
        </w:rPr>
        <w:t xml:space="preserve"> </w:t>
      </w:r>
      <w:r w:rsidRPr="00285BDD">
        <w:rPr>
          <w:rFonts w:cs="Times New Roman"/>
          <w:lang w:val="fr-CA" w:eastAsia="en-CA"/>
        </w:rPr>
        <w:t xml:space="preserve">23 établit </w:t>
      </w:r>
      <w:r w:rsidR="00BB6F2A">
        <w:rPr>
          <w:rFonts w:cs="Times New Roman"/>
          <w:lang w:val="fr-CA" w:eastAsia="en-CA"/>
        </w:rPr>
        <w:t>« </w:t>
      </w:r>
      <w:r w:rsidRPr="00285BDD">
        <w:rPr>
          <w:rFonts w:cs="Times New Roman"/>
          <w:lang w:val="fr-CA" w:eastAsia="en-CA"/>
        </w:rPr>
        <w:t>un niveau minimum de gestion et de contrôle dans une situation donnée; il ne fixe pas un maximum</w:t>
      </w:r>
      <w:r w:rsidR="00BB6F2A">
        <w:rPr>
          <w:rFonts w:cs="Times New Roman"/>
          <w:lang w:val="fr-CA" w:eastAsia="en-CA"/>
        </w:rPr>
        <w:t> » :</w:t>
      </w:r>
      <w:r w:rsidRPr="00285BDD">
        <w:rPr>
          <w:rFonts w:cs="Times New Roman"/>
          <w:lang w:val="fr-CA" w:eastAsia="en-CA"/>
        </w:rPr>
        <w:t xml:space="preserve"> p.</w:t>
      </w:r>
      <w:r w:rsidR="00BB6F2A">
        <w:rPr>
          <w:rFonts w:cs="Times New Roman"/>
          <w:lang w:val="fr-CA" w:eastAsia="en-CA"/>
        </w:rPr>
        <w:t xml:space="preserve"> </w:t>
      </w:r>
      <w:r w:rsidRPr="00285BDD">
        <w:rPr>
          <w:rFonts w:cs="Times New Roman"/>
          <w:lang w:val="fr-CA" w:eastAsia="en-CA"/>
        </w:rPr>
        <w:t xml:space="preserve">379. Les gouvernements provinciaux et territoriaux sont autorisés à </w:t>
      </w:r>
      <w:r w:rsidR="00BB6F2A">
        <w:rPr>
          <w:rFonts w:cs="Times New Roman"/>
          <w:lang w:val="fr-CA" w:eastAsia="en-CA"/>
        </w:rPr>
        <w:t>« </w:t>
      </w:r>
      <w:r w:rsidRPr="00285BDD">
        <w:rPr>
          <w:rFonts w:cs="Times New Roman"/>
          <w:lang w:val="fr-CA" w:eastAsia="en-CA"/>
        </w:rPr>
        <w:t>accorder à des groupes minoritaires un degré de gestion et de contrôle plus élevé</w:t>
      </w:r>
      <w:r w:rsidR="00BB6F2A">
        <w:rPr>
          <w:rFonts w:cs="Times New Roman"/>
          <w:lang w:val="fr-CA" w:eastAsia="en-CA"/>
        </w:rPr>
        <w:t> »</w:t>
      </w:r>
      <w:r w:rsidRPr="00285BDD">
        <w:rPr>
          <w:rFonts w:cs="Times New Roman"/>
          <w:lang w:val="fr-CA" w:eastAsia="en-CA"/>
        </w:rPr>
        <w:t xml:space="preserve"> que celui prévu dans la disposition</w:t>
      </w:r>
      <w:r w:rsidR="00BB6F2A">
        <w:rPr>
          <w:rFonts w:cs="Times New Roman"/>
          <w:lang w:val="fr-CA" w:eastAsia="en-CA"/>
        </w:rPr>
        <w:t> :</w:t>
      </w:r>
      <w:r w:rsidRPr="00285BDD">
        <w:rPr>
          <w:rFonts w:cs="Times New Roman"/>
          <w:lang w:val="fr-CA" w:eastAsia="en-CA"/>
        </w:rPr>
        <w:t xml:space="preserve"> p.</w:t>
      </w:r>
      <w:r w:rsidR="00BB6F2A">
        <w:rPr>
          <w:rFonts w:cs="Times New Roman"/>
          <w:lang w:val="fr-CA" w:eastAsia="en-CA"/>
        </w:rPr>
        <w:t xml:space="preserve"> </w:t>
      </w:r>
      <w:r w:rsidRPr="00285BDD">
        <w:rPr>
          <w:rFonts w:cs="Times New Roman"/>
          <w:lang w:val="fr-CA" w:eastAsia="en-CA"/>
        </w:rPr>
        <w:t>379.</w:t>
      </w:r>
    </w:p>
    <w:p w:rsidR="0095762B" w:rsidRPr="00285BDD" w:rsidRDefault="0095762B" w:rsidP="0095762B">
      <w:pPr>
        <w:pStyle w:val="ParaNoNdepar-AltN"/>
        <w:widowControl w:val="0"/>
        <w:rPr>
          <w:rFonts w:cs="Times New Roman"/>
          <w:lang w:val="fr-CA"/>
        </w:rPr>
      </w:pPr>
      <w:r w:rsidRPr="00285BDD">
        <w:rPr>
          <w:rFonts w:cs="Times New Roman"/>
          <w:lang w:val="fr-CA"/>
        </w:rPr>
        <w:t>Certaines provinces ont accepté cette invitation et conféré aux commissions scolaires un large pouvoir discrétionnaire pour admettre les enfants de non</w:t>
      </w:r>
      <w:r w:rsidR="00BB6F2A">
        <w:rPr>
          <w:rFonts w:cs="Times New Roman"/>
          <w:lang w:val="fr-CA"/>
        </w:rPr>
        <w:t>-</w:t>
      </w:r>
      <w:r w:rsidRPr="00285BDD">
        <w:rPr>
          <w:rFonts w:cs="Times New Roman"/>
          <w:lang w:val="fr-CA"/>
        </w:rPr>
        <w:t>ayants droit. En</w:t>
      </w:r>
      <w:r w:rsidR="00BB6F2A">
        <w:rPr>
          <w:rFonts w:cs="Times New Roman"/>
          <w:lang w:val="fr-CA"/>
        </w:rPr>
        <w:t xml:space="preserve"> </w:t>
      </w:r>
      <w:r w:rsidRPr="00285BDD">
        <w:rPr>
          <w:rFonts w:cs="Times New Roman"/>
          <w:lang w:val="fr-CA"/>
        </w:rPr>
        <w:t>Ontario, par exemple, l’art.</w:t>
      </w:r>
      <w:r w:rsidR="00BB6F2A">
        <w:rPr>
          <w:rFonts w:cs="Times New Roman"/>
          <w:lang w:val="fr-CA"/>
        </w:rPr>
        <w:t xml:space="preserve"> </w:t>
      </w:r>
      <w:r w:rsidRPr="00285BDD">
        <w:rPr>
          <w:rFonts w:cs="Times New Roman"/>
          <w:lang w:val="fr-CA"/>
        </w:rPr>
        <w:t xml:space="preserve">293 de la </w:t>
      </w:r>
      <w:r w:rsidRPr="00285BDD">
        <w:rPr>
          <w:rFonts w:cs="Times New Roman"/>
          <w:i/>
          <w:lang w:val="fr-CA"/>
        </w:rPr>
        <w:t>Loi sur l’éducation</w:t>
      </w:r>
      <w:r w:rsidRPr="00285BDD">
        <w:rPr>
          <w:rFonts w:cs="Times New Roman"/>
          <w:lang w:val="fr-CA"/>
        </w:rPr>
        <w:t>, L.R.O. 1990, c.</w:t>
      </w:r>
      <w:r w:rsidR="00BB6F2A">
        <w:rPr>
          <w:rFonts w:cs="Times New Roman"/>
          <w:lang w:val="fr-CA"/>
        </w:rPr>
        <w:t xml:space="preserve"> </w:t>
      </w:r>
      <w:r w:rsidRPr="00285BDD">
        <w:rPr>
          <w:rFonts w:cs="Times New Roman"/>
          <w:lang w:val="fr-CA"/>
        </w:rPr>
        <w:t>E.2, dispose notamment qu’un conseil scolaire de langue française peut admettre l’enfant d’une personne non titulaire des droits garantis par l’art.</w:t>
      </w:r>
      <w:r w:rsidR="00BB6F2A">
        <w:rPr>
          <w:rFonts w:cs="Times New Roman"/>
          <w:lang w:val="fr-CA"/>
        </w:rPr>
        <w:t xml:space="preserve"> </w:t>
      </w:r>
      <w:r w:rsidRPr="00285BDD">
        <w:rPr>
          <w:rFonts w:cs="Times New Roman"/>
          <w:lang w:val="fr-CA"/>
        </w:rPr>
        <w:t>23 si l’admission est approuvée à la majorité des voix par les membres du comité d’admission. Au Manitoba, le par.</w:t>
      </w:r>
      <w:r w:rsidR="00BB6F2A">
        <w:rPr>
          <w:rFonts w:cs="Times New Roman"/>
          <w:lang w:val="fr-CA"/>
        </w:rPr>
        <w:t xml:space="preserve"> </w:t>
      </w:r>
      <w:r w:rsidRPr="00285BDD">
        <w:rPr>
          <w:rFonts w:cs="Times New Roman"/>
          <w:lang w:val="fr-CA"/>
        </w:rPr>
        <w:t xml:space="preserve">21.15(5) de la </w:t>
      </w:r>
      <w:r w:rsidRPr="00285BDD">
        <w:rPr>
          <w:rFonts w:cs="Times New Roman"/>
          <w:i/>
          <w:lang w:val="fr-CA"/>
        </w:rPr>
        <w:t>Loi sur les écoles publiques</w:t>
      </w:r>
      <w:r w:rsidRPr="00285BDD">
        <w:rPr>
          <w:rFonts w:cs="Times New Roman"/>
          <w:lang w:val="fr-CA"/>
        </w:rPr>
        <w:t>, L.R.M. 1987, c.</w:t>
      </w:r>
      <w:r w:rsidR="00BB6F2A">
        <w:rPr>
          <w:rFonts w:cs="Times New Roman"/>
          <w:lang w:val="fr-CA"/>
        </w:rPr>
        <w:t xml:space="preserve"> </w:t>
      </w:r>
      <w:r w:rsidRPr="00285BDD">
        <w:rPr>
          <w:rFonts w:cs="Times New Roman"/>
          <w:lang w:val="fr-CA"/>
        </w:rPr>
        <w:t>P250, autorise la commission scolaire de langue française à admettre tout autre enfant que ceux ayant droit à l’admission en vertu de la loi sur présentation d’une demande écrite d’admission à la commission.</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D’autres provinces ont conféré à des commissions scolaires de la minorité linguistique un vaste pouvoir sur les admissions, mais ont imposé des limites </w:t>
      </w:r>
      <w:r w:rsidRPr="00285BDD">
        <w:rPr>
          <w:rFonts w:cs="Times New Roman"/>
          <w:lang w:val="fr-CA"/>
        </w:rPr>
        <w:lastRenderedPageBreak/>
        <w:t>précises à l’exercice de ce pouvoir. À l’Île</w:t>
      </w:r>
      <w:r w:rsidR="00BB6F2A">
        <w:rPr>
          <w:rFonts w:cs="Times New Roman"/>
          <w:lang w:val="fr-CA"/>
        </w:rPr>
        <w:t>-</w:t>
      </w:r>
      <w:r w:rsidRPr="00285BDD">
        <w:rPr>
          <w:rFonts w:cs="Times New Roman"/>
          <w:lang w:val="fr-CA"/>
        </w:rPr>
        <w:t>du</w:t>
      </w:r>
      <w:r w:rsidR="00BB6F2A">
        <w:rPr>
          <w:rFonts w:cs="Times New Roman"/>
          <w:lang w:val="fr-CA"/>
        </w:rPr>
        <w:t>-</w:t>
      </w:r>
      <w:r w:rsidRPr="00285BDD">
        <w:rPr>
          <w:rFonts w:cs="Times New Roman"/>
          <w:lang w:val="fr-CA"/>
        </w:rPr>
        <w:t>Prince</w:t>
      </w:r>
      <w:r w:rsidR="00BB6F2A">
        <w:rPr>
          <w:rFonts w:cs="Times New Roman"/>
          <w:lang w:val="fr-CA"/>
        </w:rPr>
        <w:t>-</w:t>
      </w:r>
      <w:r w:rsidRPr="00285BDD">
        <w:rPr>
          <w:rFonts w:cs="Times New Roman"/>
          <w:lang w:val="fr-CA"/>
        </w:rPr>
        <w:t>Édouard, par exemple, la commission scolaire de langue française peut admettre des enfants dont les parents ne sont pas titulaires des droits reconnus à l’art.</w:t>
      </w:r>
      <w:r w:rsidR="00BB6F2A">
        <w:rPr>
          <w:rFonts w:cs="Times New Roman"/>
          <w:lang w:val="fr-CA"/>
        </w:rPr>
        <w:t xml:space="preserve"> </w:t>
      </w:r>
      <w:r w:rsidRPr="00285BDD">
        <w:rPr>
          <w:rFonts w:cs="Times New Roman"/>
          <w:lang w:val="fr-CA"/>
        </w:rPr>
        <w:t>23, mais ces enfants doivent d’abord être exemptés par la commission de langue anglaise</w:t>
      </w:r>
      <w:r w:rsidR="00BB6F2A">
        <w:rPr>
          <w:rFonts w:cs="Times New Roman"/>
          <w:lang w:val="fr-CA"/>
        </w:rPr>
        <w:t> :</w:t>
      </w:r>
      <w:r w:rsidRPr="00285BDD">
        <w:rPr>
          <w:rFonts w:cs="Times New Roman"/>
          <w:lang w:val="fr-CA"/>
        </w:rPr>
        <w:t xml:space="preserve"> </w:t>
      </w:r>
      <w:r w:rsidRPr="00285BDD">
        <w:rPr>
          <w:rFonts w:cs="Times New Roman"/>
          <w:i/>
          <w:lang w:val="fr-CA"/>
        </w:rPr>
        <w:t>French First Language Instruction Regulations</w:t>
      </w:r>
      <w:r w:rsidRPr="00285BDD">
        <w:rPr>
          <w:rFonts w:cs="Times New Roman"/>
          <w:lang w:val="fr-CA"/>
        </w:rPr>
        <w:t>, P.E.I. Reg. EC480/98, art.</w:t>
      </w:r>
      <w:r w:rsidR="00BB6F2A">
        <w:rPr>
          <w:rFonts w:cs="Times New Roman"/>
          <w:lang w:val="fr-CA"/>
        </w:rPr>
        <w:t xml:space="preserve"> </w:t>
      </w:r>
      <w:r w:rsidRPr="00285BDD">
        <w:rPr>
          <w:rFonts w:cs="Times New Roman"/>
          <w:lang w:val="fr-CA"/>
        </w:rPr>
        <w:t>10. Un régime similaire existe en Saskatchewan</w:t>
      </w:r>
      <w:r w:rsidR="00BB6F2A">
        <w:rPr>
          <w:rFonts w:cs="Times New Roman"/>
          <w:lang w:val="fr-CA"/>
        </w:rPr>
        <w:t> :</w:t>
      </w:r>
      <w:r w:rsidRPr="00285BDD">
        <w:rPr>
          <w:rFonts w:cs="Times New Roman"/>
          <w:lang w:val="fr-CA"/>
        </w:rPr>
        <w:t xml:space="preserve"> </w:t>
      </w:r>
      <w:r w:rsidRPr="00285BDD">
        <w:rPr>
          <w:rFonts w:cs="Times New Roman"/>
          <w:i/>
          <w:lang w:val="fr-CA"/>
        </w:rPr>
        <w:t>Loi de 1995 sur l’éducation</w:t>
      </w:r>
      <w:r w:rsidRPr="00285BDD">
        <w:rPr>
          <w:rFonts w:cs="Times New Roman"/>
          <w:lang w:val="fr-CA"/>
        </w:rPr>
        <w:t>, L.S. 1995, c.</w:t>
      </w:r>
      <w:r w:rsidR="00BB6F2A">
        <w:rPr>
          <w:rFonts w:cs="Times New Roman"/>
          <w:lang w:val="fr-CA"/>
        </w:rPr>
        <w:t xml:space="preserve"> </w:t>
      </w:r>
      <w:r w:rsidRPr="00285BDD">
        <w:rPr>
          <w:rFonts w:cs="Times New Roman"/>
          <w:lang w:val="fr-CA"/>
        </w:rPr>
        <w:t>E</w:t>
      </w:r>
      <w:r w:rsidR="00BB6F2A">
        <w:rPr>
          <w:rFonts w:cs="Times New Roman"/>
          <w:lang w:val="fr-CA"/>
        </w:rPr>
        <w:t>-</w:t>
      </w:r>
      <w:r w:rsidRPr="00285BDD">
        <w:rPr>
          <w:rFonts w:cs="Times New Roman"/>
          <w:lang w:val="fr-CA"/>
        </w:rPr>
        <w:t>0.2, art.</w:t>
      </w:r>
      <w:r w:rsidR="00BB6F2A">
        <w:rPr>
          <w:rFonts w:cs="Times New Roman"/>
          <w:lang w:val="fr-CA"/>
        </w:rPr>
        <w:t xml:space="preserve"> </w:t>
      </w:r>
      <w:r w:rsidRPr="00285BDD">
        <w:rPr>
          <w:rFonts w:cs="Times New Roman"/>
          <w:lang w:val="fr-CA"/>
        </w:rPr>
        <w:t>144.</w:t>
      </w:r>
    </w:p>
    <w:p w:rsidR="0095762B" w:rsidRPr="00285BDD" w:rsidRDefault="0095762B" w:rsidP="0095762B">
      <w:pPr>
        <w:pStyle w:val="ParaNoNdepar-AltN"/>
        <w:widowControl w:val="0"/>
        <w:rPr>
          <w:rFonts w:cs="Times New Roman"/>
          <w:lang w:val="fr-CA"/>
        </w:rPr>
      </w:pPr>
      <w:r w:rsidRPr="00285BDD">
        <w:rPr>
          <w:rFonts w:cs="Times New Roman"/>
          <w:lang w:val="fr-CA"/>
        </w:rPr>
        <w:t>En revanche, d’autres provinces ont conféré aux commissions scolaires de la minorité linguistique un pouvoir limité d’admission des enfants de non</w:t>
      </w:r>
      <w:r w:rsidR="00BB6F2A">
        <w:rPr>
          <w:rFonts w:cs="Times New Roman"/>
          <w:lang w:val="fr-CA"/>
        </w:rPr>
        <w:t>-</w:t>
      </w:r>
      <w:r w:rsidRPr="00285BDD">
        <w:rPr>
          <w:rFonts w:cs="Times New Roman"/>
          <w:lang w:val="fr-CA"/>
        </w:rPr>
        <w:t>ayants droit. En Colombie</w:t>
      </w:r>
      <w:r w:rsidR="00BB6F2A">
        <w:rPr>
          <w:rFonts w:cs="Times New Roman"/>
          <w:lang w:val="fr-CA"/>
        </w:rPr>
        <w:t>-</w:t>
      </w:r>
      <w:r w:rsidRPr="00285BDD">
        <w:rPr>
          <w:rFonts w:cs="Times New Roman"/>
          <w:lang w:val="fr-CA"/>
        </w:rPr>
        <w:t>Britannique, le conseil scolaire francophone a le pouvoir discrétionnaire d’admettre l’enfant d’un immigrant qui, s’il était citoyen canadien, détiendrait les droits garantis par l’art.</w:t>
      </w:r>
      <w:r w:rsidR="00BB6F2A">
        <w:rPr>
          <w:rFonts w:cs="Times New Roman"/>
          <w:lang w:val="fr-CA"/>
        </w:rPr>
        <w:t xml:space="preserve"> </w:t>
      </w:r>
      <w:r w:rsidRPr="00285BDD">
        <w:rPr>
          <w:rFonts w:cs="Times New Roman"/>
          <w:lang w:val="fr-CA"/>
        </w:rPr>
        <w:t>23</w:t>
      </w:r>
      <w:r w:rsidR="00BB6F2A">
        <w:rPr>
          <w:rFonts w:cs="Times New Roman"/>
          <w:lang w:val="fr-CA"/>
        </w:rPr>
        <w:t> :</w:t>
      </w:r>
      <w:r w:rsidRPr="00285BDD">
        <w:rPr>
          <w:rFonts w:cs="Times New Roman"/>
          <w:lang w:val="fr-CA"/>
        </w:rPr>
        <w:t xml:space="preserve"> </w:t>
      </w:r>
      <w:r w:rsidRPr="00285BDD">
        <w:rPr>
          <w:rFonts w:cs="Times New Roman"/>
          <w:i/>
          <w:lang w:val="fr-CA"/>
        </w:rPr>
        <w:t>School Act</w:t>
      </w:r>
      <w:r w:rsidRPr="00285BDD">
        <w:rPr>
          <w:rFonts w:cs="Times New Roman"/>
          <w:lang w:val="fr-CA"/>
        </w:rPr>
        <w:t>, R.S.B.C. 1996, c.</w:t>
      </w:r>
      <w:r w:rsidR="00BB6F2A">
        <w:rPr>
          <w:rFonts w:cs="Times New Roman"/>
          <w:lang w:val="fr-CA"/>
        </w:rPr>
        <w:t xml:space="preserve"> </w:t>
      </w:r>
      <w:r w:rsidRPr="00285BDD">
        <w:rPr>
          <w:rFonts w:cs="Times New Roman"/>
          <w:lang w:val="fr-CA"/>
        </w:rPr>
        <w:t>412, art.</w:t>
      </w:r>
      <w:r w:rsidR="00BB6F2A">
        <w:rPr>
          <w:rFonts w:cs="Times New Roman"/>
          <w:lang w:val="fr-CA"/>
        </w:rPr>
        <w:t xml:space="preserve"> </w:t>
      </w:r>
      <w:r w:rsidRPr="00285BDD">
        <w:rPr>
          <w:rFonts w:cs="Times New Roman"/>
          <w:lang w:val="fr-CA"/>
        </w:rPr>
        <w:t>166.24.</w:t>
      </w:r>
    </w:p>
    <w:p w:rsidR="0095762B" w:rsidRPr="00285BDD" w:rsidRDefault="0095762B" w:rsidP="0095762B">
      <w:pPr>
        <w:pStyle w:val="ParaNoNdepar-AltN"/>
        <w:widowControl w:val="0"/>
        <w:rPr>
          <w:rFonts w:cs="Times New Roman"/>
          <w:lang w:val="fr-CA"/>
        </w:rPr>
      </w:pPr>
      <w:r w:rsidRPr="00285BDD">
        <w:rPr>
          <w:rFonts w:cs="Times New Roman"/>
          <w:lang w:val="fr-CA"/>
        </w:rPr>
        <w:t>En l’espèce, toutefois, le Yukon n’a pas délégué à la Commission la fonction de fixer les critères d’admission des enfants de non</w:t>
      </w:r>
      <w:r w:rsidR="00BB6F2A">
        <w:rPr>
          <w:rFonts w:cs="Times New Roman"/>
          <w:lang w:val="fr-CA"/>
        </w:rPr>
        <w:t>-</w:t>
      </w:r>
      <w:r w:rsidRPr="00285BDD">
        <w:rPr>
          <w:rFonts w:cs="Times New Roman"/>
          <w:lang w:val="fr-CA"/>
        </w:rPr>
        <w:t xml:space="preserve">ayants droit. À défaut d’une telle délégation, la Commission n’a pas le pouvoir de fixer unilatéralement des critères d’admission différents de ceux établis dans le </w:t>
      </w:r>
      <w:r w:rsidRPr="00285BDD">
        <w:rPr>
          <w:rFonts w:cs="Times New Roman"/>
          <w:i/>
          <w:lang w:val="fr-CA"/>
        </w:rPr>
        <w:t>Règlement</w:t>
      </w:r>
      <w:r w:rsidRPr="00285BDD">
        <w:rPr>
          <w:rFonts w:cs="Times New Roman"/>
          <w:lang w:val="fr-CA"/>
        </w:rPr>
        <w:t>. La Commission n’est pas pour autant empêchée de faire valoir que le Yukon n’a pas assuré suffisamment le respect de l’art.</w:t>
      </w:r>
      <w:r w:rsidR="00BB6F2A">
        <w:rPr>
          <w:rFonts w:cs="Times New Roman"/>
          <w:lang w:val="fr-CA"/>
        </w:rPr>
        <w:t xml:space="preserve"> </w:t>
      </w:r>
      <w:r w:rsidRPr="00285BDD">
        <w:rPr>
          <w:rFonts w:cs="Times New Roman"/>
          <w:lang w:val="fr-CA"/>
        </w:rPr>
        <w:t>23 et rien ne l’empêche de soutenir que l’approche adoptée par le Yukon à l’égard des admissions fait obstacle à la réalisation de l’objet de l’art.</w:t>
      </w:r>
      <w:r w:rsidR="00BB6F2A">
        <w:rPr>
          <w:rFonts w:cs="Times New Roman"/>
          <w:lang w:val="fr-CA"/>
        </w:rPr>
        <w:t xml:space="preserve"> </w:t>
      </w:r>
      <w:r w:rsidRPr="00285BDD">
        <w:rPr>
          <w:rFonts w:cs="Times New Roman"/>
          <w:lang w:val="fr-CA"/>
        </w:rPr>
        <w:t>23</w:t>
      </w:r>
      <w:r w:rsidR="00BB6F2A">
        <w:rPr>
          <w:rFonts w:cs="Times New Roman"/>
          <w:lang w:val="fr-CA"/>
        </w:rPr>
        <w:t> :</w:t>
      </w:r>
      <w:r w:rsidRPr="00285BDD">
        <w:rPr>
          <w:rFonts w:cs="Times New Roman"/>
          <w:lang w:val="fr-CA"/>
        </w:rPr>
        <w:t xml:space="preserve"> voir </w:t>
      </w:r>
      <w:r w:rsidRPr="00285BDD">
        <w:rPr>
          <w:rFonts w:cs="Times New Roman"/>
          <w:i/>
          <w:lang w:val="fr-CA"/>
        </w:rPr>
        <w:t>Mahe</w:t>
      </w:r>
      <w:r w:rsidRPr="00285BDD">
        <w:rPr>
          <w:rFonts w:cs="Times New Roman"/>
          <w:lang w:val="fr-CA"/>
        </w:rPr>
        <w:t>, p.</w:t>
      </w:r>
      <w:r w:rsidR="00BB6F2A">
        <w:rPr>
          <w:rFonts w:cs="Times New Roman"/>
          <w:lang w:val="fr-CA"/>
        </w:rPr>
        <w:t xml:space="preserve"> </w:t>
      </w:r>
      <w:r w:rsidRPr="00285BDD">
        <w:rPr>
          <w:rFonts w:cs="Times New Roman"/>
          <w:lang w:val="fr-CA"/>
        </w:rPr>
        <w:t>362</w:t>
      </w:r>
      <w:r w:rsidR="00BB6F2A">
        <w:rPr>
          <w:rFonts w:cs="Times New Roman"/>
          <w:lang w:val="fr-CA"/>
        </w:rPr>
        <w:t>-</w:t>
      </w:r>
      <w:r w:rsidRPr="00285BDD">
        <w:rPr>
          <w:rFonts w:cs="Times New Roman"/>
          <w:lang w:val="fr-CA"/>
        </w:rPr>
        <w:t xml:space="preserve">365. Mais il s’agit là d’une autre question que celle de savoir si la Commission a, en l’absence d’une délégation de la part du Yukon, le droit </w:t>
      </w:r>
      <w:r w:rsidRPr="00285BDD">
        <w:rPr>
          <w:rFonts w:cs="Times New Roman"/>
          <w:lang w:val="fr-CA"/>
        </w:rPr>
        <w:lastRenderedPageBreak/>
        <w:t>unilatéral de décider d’admettre d’autres enfants que ceux visés par l’art.</w:t>
      </w:r>
      <w:r w:rsidR="00BB6F2A">
        <w:rPr>
          <w:rFonts w:cs="Times New Roman"/>
          <w:lang w:val="fr-CA"/>
        </w:rPr>
        <w:t xml:space="preserve"> </w:t>
      </w:r>
      <w:r w:rsidRPr="00285BDD">
        <w:rPr>
          <w:rFonts w:cs="Times New Roman"/>
          <w:lang w:val="fr-CA"/>
        </w:rPr>
        <w:t xml:space="preserve">23 ou le </w:t>
      </w:r>
      <w:r w:rsidRPr="00285BDD">
        <w:rPr>
          <w:rFonts w:cs="Times New Roman"/>
          <w:i/>
          <w:lang w:val="fr-CA"/>
        </w:rPr>
        <w:t>Règlement</w:t>
      </w:r>
      <w:r w:rsidRPr="00285BDD">
        <w:rPr>
          <w:rFonts w:cs="Times New Roman"/>
          <w:lang w:val="fr-CA"/>
        </w:rPr>
        <w:t>.</w:t>
      </w:r>
    </w:p>
    <w:p w:rsidR="0095762B" w:rsidRPr="00285BDD" w:rsidRDefault="0095762B" w:rsidP="0095762B">
      <w:pPr>
        <w:pStyle w:val="ParaNoNdepar-AltN"/>
        <w:widowControl w:val="0"/>
        <w:rPr>
          <w:rFonts w:cs="Times New Roman"/>
          <w:szCs w:val="24"/>
          <w:lang w:val="fr-CA"/>
        </w:rPr>
      </w:pPr>
      <w:r w:rsidRPr="00285BDD">
        <w:rPr>
          <w:rFonts w:cs="Times New Roman"/>
          <w:lang w:val="fr-CA"/>
        </w:rPr>
        <w:t>Cela nous amène à la deuxième question tranchée par la Cour d’appel, à savoir si le Yukon est tenu, par application du par.</w:t>
      </w:r>
      <w:r w:rsidR="00BB6F2A">
        <w:rPr>
          <w:rFonts w:cs="Times New Roman"/>
          <w:lang w:val="fr-CA"/>
        </w:rPr>
        <w:t xml:space="preserve"> </w:t>
      </w:r>
      <w:r w:rsidRPr="00285BDD">
        <w:rPr>
          <w:rFonts w:cs="Times New Roman"/>
          <w:lang w:val="fr-CA"/>
        </w:rPr>
        <w:t xml:space="preserve">6(1) de la </w:t>
      </w:r>
      <w:r w:rsidRPr="00285BDD">
        <w:rPr>
          <w:rFonts w:cs="Times New Roman"/>
          <w:i/>
          <w:lang w:val="fr-CA"/>
        </w:rPr>
        <w:t>Loi sur les langues</w:t>
      </w:r>
      <w:r w:rsidRPr="00285BDD">
        <w:rPr>
          <w:rFonts w:cs="Times New Roman"/>
          <w:lang w:val="fr-CA"/>
        </w:rPr>
        <w:t xml:space="preserve">, de communiquer avec la Commission et ses employés en français et de leur fournir des services dans cette langue. Le </w:t>
      </w:r>
      <w:r w:rsidRPr="00285BDD">
        <w:rPr>
          <w:rFonts w:cs="Times New Roman"/>
          <w:szCs w:val="24"/>
          <w:lang w:val="fr-CA"/>
        </w:rPr>
        <w:t>paragraphe</w:t>
      </w:r>
      <w:r w:rsidR="00BB6F2A">
        <w:rPr>
          <w:rFonts w:cs="Times New Roman"/>
          <w:szCs w:val="24"/>
          <w:lang w:val="fr-CA"/>
        </w:rPr>
        <w:t xml:space="preserve"> </w:t>
      </w:r>
      <w:r w:rsidRPr="00285BDD">
        <w:rPr>
          <w:rFonts w:cs="Times New Roman"/>
          <w:szCs w:val="24"/>
          <w:lang w:val="fr-CA"/>
        </w:rPr>
        <w:t>6(1) dispose</w:t>
      </w:r>
      <w:r w:rsidR="00BB6F2A">
        <w:rPr>
          <w:rFonts w:cs="Times New Roman"/>
          <w:szCs w:val="24"/>
          <w:lang w:val="fr-CA"/>
        </w:rPr>
        <w:t> :</w:t>
      </w:r>
    </w:p>
    <w:p w:rsidR="0095762B" w:rsidRPr="00285BDD" w:rsidRDefault="0095762B" w:rsidP="0095762B">
      <w:pPr>
        <w:pStyle w:val="Citation-AltC"/>
        <w:widowControl w:val="0"/>
        <w:spacing w:after="240"/>
        <w:ind w:hanging="1166"/>
        <w:contextualSpacing w:val="0"/>
        <w:rPr>
          <w:lang w:val="fr-CA"/>
        </w:rPr>
      </w:pPr>
      <w:r w:rsidRPr="00285BDD">
        <w:rPr>
          <w:lang w:val="fr-CA"/>
        </w:rPr>
        <w:tab/>
      </w:r>
      <w:r w:rsidR="001C4BBD">
        <w:rPr>
          <w:lang w:val="fr-CA"/>
        </w:rPr>
        <w:tab/>
      </w:r>
      <w:r w:rsidRPr="00285BDD">
        <w:rPr>
          <w:b/>
          <w:lang w:val="fr-CA"/>
        </w:rPr>
        <w:t>6(1)</w:t>
      </w:r>
      <w:r w:rsidRPr="00285BDD">
        <w:rPr>
          <w:lang w:val="fr-CA"/>
        </w:rPr>
        <w:t xml:space="preserve"> Le public a, au Yukon, droit à l’emploi du français ou de l’anglais pour communiquer avec le siège ou l’administration centrale des institutions de l’Assemblée législative ou du gouvernement du Yukon ou pour en recevoir les services. Il a le même droit à l’égard de tout autre bureau de ces institutions là où, selon le cas</w:t>
      </w:r>
      <w:r w:rsidR="00BB6F2A">
        <w:rPr>
          <w:lang w:val="fr-CA"/>
        </w:rPr>
        <w:t> :</w:t>
      </w:r>
      <w:r w:rsidRPr="00285BDD">
        <w:rPr>
          <w:lang w:val="fr-CA"/>
        </w:rPr>
        <w:t xml:space="preserve"> </w:t>
      </w:r>
    </w:p>
    <w:p w:rsidR="0095762B" w:rsidRPr="00285BDD" w:rsidRDefault="0095762B" w:rsidP="0095762B">
      <w:pPr>
        <w:pStyle w:val="Citation-AltC"/>
        <w:widowControl w:val="0"/>
        <w:tabs>
          <w:tab w:val="left" w:pos="2040"/>
        </w:tabs>
        <w:spacing w:after="240"/>
        <w:ind w:left="1800" w:hanging="634"/>
        <w:contextualSpacing w:val="0"/>
        <w:rPr>
          <w:lang w:val="fr-CA"/>
        </w:rPr>
      </w:pPr>
      <w:r w:rsidRPr="00285BDD">
        <w:rPr>
          <w:lang w:val="fr-CA"/>
        </w:rPr>
        <w:tab/>
        <w:t>a)</w:t>
      </w:r>
      <w:r w:rsidRPr="00285BDD">
        <w:rPr>
          <w:lang w:val="fr-CA"/>
        </w:rPr>
        <w:tab/>
        <w:t xml:space="preserve">l’emploi du français et de l’anglais fait l’objet d’une demande importante; </w:t>
      </w:r>
    </w:p>
    <w:p w:rsidR="0095762B" w:rsidRPr="00285BDD" w:rsidRDefault="0095762B" w:rsidP="0095762B">
      <w:pPr>
        <w:pStyle w:val="Citation-AltC"/>
        <w:widowControl w:val="0"/>
        <w:tabs>
          <w:tab w:val="left" w:pos="2040"/>
        </w:tabs>
        <w:ind w:left="1800" w:hanging="634"/>
        <w:contextualSpacing w:val="0"/>
        <w:rPr>
          <w:lang w:val="fr-CA"/>
        </w:rPr>
      </w:pPr>
      <w:r w:rsidRPr="00285BDD">
        <w:rPr>
          <w:lang w:val="fr-CA"/>
        </w:rPr>
        <w:tab/>
        <w:t>b)</w:t>
      </w:r>
      <w:r w:rsidRPr="00285BDD">
        <w:rPr>
          <w:lang w:val="fr-CA"/>
        </w:rPr>
        <w:tab/>
        <w:t>l’emploi du français et de l’anglais se justifie par la vocation du bureau.</w:t>
      </w:r>
    </w:p>
    <w:p w:rsidR="0095762B" w:rsidRPr="00285BDD" w:rsidRDefault="0095762B" w:rsidP="0095762B">
      <w:pPr>
        <w:pStyle w:val="ParaNoNdepar-AltN"/>
        <w:widowControl w:val="0"/>
        <w:rPr>
          <w:rFonts w:cs="Times New Roman"/>
          <w:lang w:val="fr-CA"/>
        </w:rPr>
      </w:pPr>
      <w:r w:rsidRPr="00285BDD">
        <w:rPr>
          <w:rFonts w:cs="Times New Roman"/>
          <w:lang w:val="fr-CA"/>
        </w:rPr>
        <w:t>La Cour d’appel a décidé que la présente affaire ne se prêtait pas à la définition des droits conférés par l’art.</w:t>
      </w:r>
      <w:r w:rsidR="00BB6F2A">
        <w:rPr>
          <w:rFonts w:cs="Times New Roman"/>
          <w:lang w:val="fr-CA"/>
        </w:rPr>
        <w:t xml:space="preserve"> </w:t>
      </w:r>
      <w:r w:rsidRPr="00285BDD">
        <w:rPr>
          <w:rFonts w:cs="Times New Roman"/>
          <w:lang w:val="fr-CA"/>
        </w:rPr>
        <w:t>6 de la</w:t>
      </w:r>
      <w:r w:rsidRPr="00285BDD">
        <w:rPr>
          <w:rFonts w:cs="Times New Roman"/>
          <w:i/>
          <w:lang w:val="fr-CA"/>
        </w:rPr>
        <w:t xml:space="preserve"> Loi sur les langues</w:t>
      </w:r>
      <w:r w:rsidRPr="00285BDD">
        <w:rPr>
          <w:rFonts w:cs="Times New Roman"/>
          <w:lang w:val="fr-CA"/>
        </w:rPr>
        <w:t>. À mon humble avis, je ne vois pas très bien pourquoi il devrait en être ainsi. Les demandes de la Commission fondées sur la</w:t>
      </w:r>
      <w:r w:rsidRPr="00285BDD">
        <w:rPr>
          <w:rFonts w:cs="Times New Roman"/>
          <w:i/>
          <w:lang w:val="fr-CA"/>
        </w:rPr>
        <w:t xml:space="preserve"> Loi sur les langues</w:t>
      </w:r>
      <w:r w:rsidRPr="00285BDD">
        <w:rPr>
          <w:rFonts w:cs="Times New Roman"/>
          <w:lang w:val="fr-CA"/>
        </w:rPr>
        <w:t xml:space="preserve"> soulèvent des questions de fait importantes qui pourraient fort bien mener à la conclusion que des parties des demandes étaient justifiées. La réponse à la question de savoir si une communication en particulier relève du par.</w:t>
      </w:r>
      <w:r w:rsidR="00BB6F2A">
        <w:rPr>
          <w:rFonts w:cs="Times New Roman"/>
          <w:lang w:val="fr-CA"/>
        </w:rPr>
        <w:t xml:space="preserve"> </w:t>
      </w:r>
      <w:r w:rsidRPr="00285BDD">
        <w:rPr>
          <w:rFonts w:cs="Times New Roman"/>
          <w:lang w:val="fr-CA"/>
        </w:rPr>
        <w:t xml:space="preserve">6(1) peut dépendre tant de la nature de la communication que de la qualité de son auteur. Comme l’a fait remarquer la Cour d’appel, il est peu probable que la question ait une réponse simple étant donné que la Commission et son </w:t>
      </w:r>
      <w:r w:rsidRPr="00285BDD">
        <w:rPr>
          <w:rFonts w:cs="Times New Roman"/>
          <w:lang w:val="fr-CA"/>
        </w:rPr>
        <w:lastRenderedPageBreak/>
        <w:t>personnel se livrent à différents types de communications avec le gouvernement. Il convient donc, à mon sens, de statuer sur les demandes lors du nouveau procès à la lumière d’un dossier de preuve complet, et non de rejeter les demandes.</w:t>
      </w:r>
    </w:p>
    <w:p w:rsidR="0095762B" w:rsidRPr="00285BDD" w:rsidRDefault="0095762B" w:rsidP="0095762B">
      <w:pPr>
        <w:pStyle w:val="ParaNoNdepar-AltN"/>
        <w:widowControl w:val="0"/>
        <w:rPr>
          <w:rFonts w:cs="Times New Roman"/>
          <w:lang w:val="fr-CA"/>
        </w:rPr>
      </w:pPr>
      <w:r w:rsidRPr="00285BDD">
        <w:rPr>
          <w:rFonts w:cs="Times New Roman"/>
          <w:lang w:val="fr-CA"/>
        </w:rPr>
        <w:t xml:space="preserve">L’appel interjeté à l’encontre de la conclusion de la Cour d’appel selon laquelle il existe une crainte raisonnable de partialité nécessitant la tenue d’un nouveau procès est donc rejeté, mais les demandes fondées sur la </w:t>
      </w:r>
      <w:r w:rsidRPr="00285BDD">
        <w:rPr>
          <w:rFonts w:cs="Times New Roman"/>
          <w:i/>
          <w:lang w:val="fr-CA"/>
        </w:rPr>
        <w:t>Loi sur les langues</w:t>
      </w:r>
      <w:r w:rsidRPr="00285BDD">
        <w:rPr>
          <w:rFonts w:cs="Times New Roman"/>
          <w:lang w:val="fr-CA"/>
        </w:rPr>
        <w:t xml:space="preserve"> doivent être jointes aux autres questions renvoyées à la Cour d’appel pour décision à l’issue d’un nouveau procès.</w:t>
      </w:r>
    </w:p>
    <w:p w:rsidR="0095762B" w:rsidRPr="00285BDD" w:rsidRDefault="0095762B" w:rsidP="0095762B">
      <w:pPr>
        <w:pStyle w:val="ParaNoNdepar-AltN"/>
        <w:widowControl w:val="0"/>
        <w:rPr>
          <w:rFonts w:cs="Times New Roman"/>
          <w:lang w:val="fr-CA"/>
        </w:rPr>
      </w:pPr>
      <w:r w:rsidRPr="00285BDD">
        <w:rPr>
          <w:rFonts w:cs="Times New Roman"/>
          <w:lang w:val="fr-CA"/>
        </w:rPr>
        <w:t>Dans les circonstances, je suis d’avis de n’adjuger aucuns dépens.</w:t>
      </w:r>
    </w:p>
    <w:p w:rsidR="004D7D95" w:rsidRPr="001F313E" w:rsidRDefault="004A469A" w:rsidP="0095762B">
      <w:pPr>
        <w:pStyle w:val="SCCLawFirm"/>
        <w:widowControl w:val="0"/>
        <w:spacing w:after="480"/>
        <w:rPr>
          <w:lang w:val="fr-CA"/>
        </w:rPr>
      </w:pPr>
      <w:r w:rsidRPr="001F313E">
        <w:rPr>
          <w:lang w:val="fr-CA"/>
        </w:rPr>
        <w:tab/>
      </w:r>
      <w:r w:rsidR="00E42C60" w:rsidRPr="001F313E">
        <w:rPr>
          <w:lang w:val="fr-CA"/>
        </w:rPr>
        <w:t xml:space="preserve">Pourvoi </w:t>
      </w:r>
      <w:r w:rsidR="00571205" w:rsidRPr="001F313E">
        <w:rPr>
          <w:lang w:val="fr-CA"/>
        </w:rPr>
        <w:t>rejeté en grande partie</w:t>
      </w:r>
      <w:r w:rsidR="0076141E" w:rsidRPr="001F313E">
        <w:rPr>
          <w:lang w:val="fr-CA"/>
        </w:rPr>
        <w:t>.</w:t>
      </w:r>
    </w:p>
    <w:p w:rsidR="00CD47BF" w:rsidRPr="001F313E" w:rsidRDefault="005A1113" w:rsidP="0095762B">
      <w:pPr>
        <w:pStyle w:val="SCCLawFirm"/>
        <w:widowControl w:val="0"/>
        <w:spacing w:after="480"/>
        <w:rPr>
          <w:lang w:val="fr-CA"/>
        </w:rPr>
      </w:pPr>
      <w:r w:rsidRPr="001F313E">
        <w:rPr>
          <w:lang w:val="fr-CA"/>
        </w:rPr>
        <w:tab/>
      </w:r>
      <w:r w:rsidR="00CD47BF" w:rsidRPr="001F313E">
        <w:rPr>
          <w:lang w:val="fr-CA"/>
        </w:rPr>
        <w:t>Procureurs de l’appelante</w:t>
      </w:r>
      <w:r w:rsidR="00BB6F2A">
        <w:rPr>
          <w:lang w:val="fr-CA"/>
        </w:rPr>
        <w:t xml:space="preserve"> : </w:t>
      </w:r>
      <w:r w:rsidR="00CD47BF" w:rsidRPr="001F313E">
        <w:rPr>
          <w:lang w:val="fr-CA"/>
        </w:rPr>
        <w:t>Miller Thomson, Regina.</w:t>
      </w:r>
    </w:p>
    <w:p w:rsidR="00CD47BF" w:rsidRPr="001F313E" w:rsidRDefault="00CD47BF" w:rsidP="0095762B">
      <w:pPr>
        <w:pStyle w:val="SCCLawFirm"/>
        <w:widowControl w:val="0"/>
        <w:spacing w:after="480"/>
        <w:rPr>
          <w:lang w:val="fr-CA"/>
        </w:rPr>
      </w:pPr>
      <w:r w:rsidRPr="001F313E">
        <w:rPr>
          <w:lang w:val="fr-CA"/>
        </w:rPr>
        <w:tab/>
        <w:t>Procureurs de l’intimée</w:t>
      </w:r>
      <w:r w:rsidR="00BB6F2A">
        <w:rPr>
          <w:lang w:val="fr-CA"/>
        </w:rPr>
        <w:t xml:space="preserve"> : </w:t>
      </w:r>
      <w:r w:rsidRPr="001F313E">
        <w:rPr>
          <w:lang w:val="fr-CA"/>
        </w:rPr>
        <w:t>Gowling Lafleur Henderson, Ottawa; Procureure générale du Territoire du Yukon, Whitehorse.</w:t>
      </w:r>
    </w:p>
    <w:p w:rsidR="00CD47BF" w:rsidRPr="001F313E" w:rsidRDefault="00CD47BF" w:rsidP="0095762B">
      <w:pPr>
        <w:pStyle w:val="SCCLawFirm"/>
        <w:widowControl w:val="0"/>
        <w:spacing w:after="480"/>
        <w:rPr>
          <w:lang w:val="fr-CA"/>
        </w:rPr>
      </w:pPr>
      <w:r w:rsidRPr="001F313E">
        <w:rPr>
          <w:lang w:val="fr-CA"/>
        </w:rPr>
        <w:tab/>
        <w:t>Procureur de l’intervenant</w:t>
      </w:r>
      <w:r w:rsidR="00B31B04">
        <w:rPr>
          <w:lang w:val="fr-CA"/>
        </w:rPr>
        <w:t>e</w:t>
      </w:r>
      <w:r w:rsidRPr="001F313E">
        <w:rPr>
          <w:lang w:val="fr-CA"/>
        </w:rPr>
        <w:t xml:space="preserve"> l</w:t>
      </w:r>
      <w:r w:rsidR="00B31B04">
        <w:rPr>
          <w:lang w:val="fr-CA"/>
        </w:rPr>
        <w:t>a</w:t>
      </w:r>
      <w:r w:rsidRPr="001F313E">
        <w:rPr>
          <w:lang w:val="fr-CA"/>
        </w:rPr>
        <w:t xml:space="preserve"> procureur</w:t>
      </w:r>
      <w:r w:rsidR="00B31B04">
        <w:rPr>
          <w:lang w:val="fr-CA"/>
        </w:rPr>
        <w:t>e</w:t>
      </w:r>
      <w:r w:rsidRPr="001F313E">
        <w:rPr>
          <w:lang w:val="fr-CA"/>
        </w:rPr>
        <w:t xml:space="preserve"> général</w:t>
      </w:r>
      <w:r w:rsidR="00B31B04">
        <w:rPr>
          <w:lang w:val="fr-CA"/>
        </w:rPr>
        <w:t>e</w:t>
      </w:r>
      <w:r w:rsidRPr="001F313E">
        <w:rPr>
          <w:lang w:val="fr-CA"/>
        </w:rPr>
        <w:t xml:space="preserve"> du Québec</w:t>
      </w:r>
      <w:r w:rsidR="00BB6F2A">
        <w:rPr>
          <w:lang w:val="fr-CA"/>
        </w:rPr>
        <w:t xml:space="preserve"> : </w:t>
      </w:r>
      <w:r w:rsidRPr="001F313E">
        <w:rPr>
          <w:lang w:val="fr-CA"/>
        </w:rPr>
        <w:t>Procureur</w:t>
      </w:r>
      <w:r w:rsidR="00B31B04">
        <w:rPr>
          <w:lang w:val="fr-CA"/>
        </w:rPr>
        <w:t>e</w:t>
      </w:r>
      <w:r w:rsidRPr="001F313E">
        <w:rPr>
          <w:lang w:val="fr-CA"/>
        </w:rPr>
        <w:t xml:space="preserve"> général</w:t>
      </w:r>
      <w:r w:rsidR="00B31B04">
        <w:rPr>
          <w:lang w:val="fr-CA"/>
        </w:rPr>
        <w:t>e</w:t>
      </w:r>
      <w:r w:rsidRPr="001F313E">
        <w:rPr>
          <w:lang w:val="fr-CA"/>
        </w:rPr>
        <w:t xml:space="preserve"> du Québec, Québec.</w:t>
      </w:r>
    </w:p>
    <w:p w:rsidR="00CD47BF" w:rsidRPr="001F313E" w:rsidRDefault="00CD47BF" w:rsidP="0095762B">
      <w:pPr>
        <w:pStyle w:val="SCCLawFirm"/>
        <w:widowControl w:val="0"/>
        <w:spacing w:after="480"/>
        <w:rPr>
          <w:lang w:val="fr-CA"/>
        </w:rPr>
      </w:pPr>
      <w:r w:rsidRPr="001F313E">
        <w:rPr>
          <w:lang w:val="fr-CA"/>
        </w:rPr>
        <w:tab/>
        <w:t>Procureur de l’intervenant le procureur général de la Colombie</w:t>
      </w:r>
      <w:r w:rsidR="00BB6F2A">
        <w:rPr>
          <w:lang w:val="fr-CA"/>
        </w:rPr>
        <w:t>-</w:t>
      </w:r>
      <w:r w:rsidRPr="001F313E">
        <w:rPr>
          <w:lang w:val="fr-CA"/>
        </w:rPr>
        <w:t>Britannique</w:t>
      </w:r>
      <w:r w:rsidR="00BB6F2A">
        <w:rPr>
          <w:lang w:val="fr-CA"/>
        </w:rPr>
        <w:t xml:space="preserve"> : </w:t>
      </w:r>
      <w:r w:rsidRPr="001F313E">
        <w:rPr>
          <w:lang w:val="fr-CA"/>
        </w:rPr>
        <w:t>Procureur général de la Colombie</w:t>
      </w:r>
      <w:r w:rsidR="00BB6F2A">
        <w:rPr>
          <w:lang w:val="fr-CA"/>
        </w:rPr>
        <w:t>-</w:t>
      </w:r>
      <w:r w:rsidRPr="001F313E">
        <w:rPr>
          <w:lang w:val="fr-CA"/>
        </w:rPr>
        <w:t>Britannique, Victoria.</w:t>
      </w:r>
    </w:p>
    <w:p w:rsidR="00CD47BF" w:rsidRPr="001F313E" w:rsidRDefault="00CD47BF" w:rsidP="0095762B">
      <w:pPr>
        <w:pStyle w:val="SCCLawFirm"/>
        <w:widowControl w:val="0"/>
        <w:spacing w:after="480"/>
        <w:rPr>
          <w:lang w:val="fr-CA"/>
        </w:rPr>
      </w:pPr>
      <w:r w:rsidRPr="001F313E">
        <w:rPr>
          <w:lang w:val="fr-CA"/>
        </w:rPr>
        <w:lastRenderedPageBreak/>
        <w:tab/>
        <w:t>Procureur de l’intervenant le procureur général de la Saskatchewan</w:t>
      </w:r>
      <w:r w:rsidR="00BB6F2A">
        <w:rPr>
          <w:lang w:val="fr-CA"/>
        </w:rPr>
        <w:t xml:space="preserve"> : </w:t>
      </w:r>
      <w:r w:rsidRPr="001F313E">
        <w:rPr>
          <w:lang w:val="fr-CA"/>
        </w:rPr>
        <w:t>Procureur général de la Saskatchewan, Regina.</w:t>
      </w:r>
    </w:p>
    <w:p w:rsidR="00CD47BF" w:rsidRPr="001F313E" w:rsidRDefault="00CD47BF" w:rsidP="0095762B">
      <w:pPr>
        <w:pStyle w:val="SCCLawFirm"/>
        <w:widowControl w:val="0"/>
        <w:spacing w:after="480"/>
        <w:rPr>
          <w:lang w:val="fr-CA"/>
        </w:rPr>
      </w:pPr>
      <w:r w:rsidRPr="001F313E">
        <w:rPr>
          <w:lang w:val="fr-CA"/>
        </w:rPr>
        <w:tab/>
        <w:t>Procureurs de l’intervenant le procureur général des Territoires du Nord</w:t>
      </w:r>
      <w:r w:rsidR="00BB6F2A">
        <w:rPr>
          <w:lang w:val="fr-CA"/>
        </w:rPr>
        <w:t>-</w:t>
      </w:r>
      <w:r w:rsidRPr="001F313E">
        <w:rPr>
          <w:lang w:val="fr-CA"/>
        </w:rPr>
        <w:t>Ouest</w:t>
      </w:r>
      <w:r w:rsidR="00BB6F2A">
        <w:rPr>
          <w:lang w:val="fr-CA"/>
        </w:rPr>
        <w:t xml:space="preserve"> : </w:t>
      </w:r>
      <w:r w:rsidRPr="001F313E">
        <w:rPr>
          <w:lang w:val="fr-CA"/>
        </w:rPr>
        <w:t>Gowling Lafleur Henderson, Ottawa.</w:t>
      </w:r>
    </w:p>
    <w:p w:rsidR="00CD47BF" w:rsidRPr="001F313E" w:rsidRDefault="00CD47BF" w:rsidP="0095762B">
      <w:pPr>
        <w:pStyle w:val="SCCLawFirm"/>
        <w:widowControl w:val="0"/>
        <w:spacing w:after="480"/>
        <w:rPr>
          <w:lang w:val="fr-CA"/>
        </w:rPr>
      </w:pPr>
      <w:r w:rsidRPr="001F313E">
        <w:rPr>
          <w:lang w:val="fr-CA"/>
        </w:rPr>
        <w:tab/>
        <w:t>Procureur de l’intervenant le commissaire aux langues officielles du Canada</w:t>
      </w:r>
      <w:r w:rsidR="00BB6F2A">
        <w:rPr>
          <w:lang w:val="fr-CA"/>
        </w:rPr>
        <w:t xml:space="preserve"> : </w:t>
      </w:r>
      <w:r w:rsidRPr="001F313E">
        <w:rPr>
          <w:lang w:val="fr-CA"/>
        </w:rPr>
        <w:t>Commissariat aux langues officielles du Canada, Gatineau.</w:t>
      </w:r>
    </w:p>
    <w:p w:rsidR="00CD47BF" w:rsidRPr="001F313E" w:rsidRDefault="00CD47BF" w:rsidP="0095762B">
      <w:pPr>
        <w:pStyle w:val="SCCLawFirm"/>
        <w:widowControl w:val="0"/>
        <w:spacing w:after="480"/>
        <w:rPr>
          <w:lang w:val="fr-CA"/>
        </w:rPr>
      </w:pPr>
      <w:r w:rsidRPr="001F313E">
        <w:rPr>
          <w:lang w:val="fr-CA"/>
        </w:rPr>
        <w:tab/>
        <w:t>Procureurs des intervenants le Conseil scolaire francophone de la Colombie</w:t>
      </w:r>
      <w:r w:rsidR="00BB6F2A">
        <w:rPr>
          <w:lang w:val="fr-CA"/>
        </w:rPr>
        <w:t>-</w:t>
      </w:r>
      <w:r w:rsidRPr="001F313E">
        <w:rPr>
          <w:lang w:val="fr-CA"/>
        </w:rPr>
        <w:t>Britannique et la Fédération des parents francophones de Colombie</w:t>
      </w:r>
      <w:r w:rsidR="00BB6F2A">
        <w:rPr>
          <w:lang w:val="fr-CA"/>
        </w:rPr>
        <w:t>-</w:t>
      </w:r>
      <w:r w:rsidRPr="001F313E">
        <w:rPr>
          <w:lang w:val="fr-CA"/>
        </w:rPr>
        <w:t>Britannique</w:t>
      </w:r>
      <w:r w:rsidR="00BB6F2A">
        <w:rPr>
          <w:lang w:val="fr-CA"/>
        </w:rPr>
        <w:t xml:space="preserve"> : </w:t>
      </w:r>
      <w:r w:rsidRPr="001F313E">
        <w:rPr>
          <w:lang w:val="fr-CA"/>
        </w:rPr>
        <w:t>Gall, Legge, Grant &amp; Munroe, Vancouver; Juristes Power, Vancouver.</w:t>
      </w:r>
    </w:p>
    <w:p w:rsidR="00CD47BF" w:rsidRPr="001F313E" w:rsidRDefault="00CD47BF" w:rsidP="0095762B">
      <w:pPr>
        <w:pStyle w:val="SCCLawFirm"/>
        <w:widowControl w:val="0"/>
        <w:spacing w:after="480"/>
        <w:rPr>
          <w:lang w:val="fr-CA"/>
        </w:rPr>
      </w:pPr>
      <w:r w:rsidRPr="001F313E">
        <w:rPr>
          <w:lang w:val="fr-CA"/>
        </w:rPr>
        <w:tab/>
        <w:t>Procureurs de l’intervenante la Fédération des parents francophones de l’Alberta</w:t>
      </w:r>
      <w:r w:rsidR="00BB6F2A">
        <w:rPr>
          <w:lang w:val="fr-CA"/>
        </w:rPr>
        <w:t xml:space="preserve"> : </w:t>
      </w:r>
      <w:r w:rsidRPr="001F313E">
        <w:rPr>
          <w:lang w:val="fr-CA"/>
        </w:rPr>
        <w:t>Nicolas M. Rouleau, Toronto; WeirFoulds, Toronto.</w:t>
      </w:r>
    </w:p>
    <w:p w:rsidR="009B57B3" w:rsidRDefault="009D204A" w:rsidP="0095762B">
      <w:pPr>
        <w:pStyle w:val="SCCLawFirm"/>
        <w:widowControl w:val="0"/>
        <w:spacing w:after="480"/>
        <w:rPr>
          <w:b/>
          <w:i w:val="0"/>
          <w:lang w:val="fr-CA"/>
        </w:rPr>
      </w:pPr>
      <w:r w:rsidRPr="001F313E">
        <w:rPr>
          <w:lang w:val="fr-CA"/>
        </w:rPr>
        <w:tab/>
        <w:t>Procureurs des intervenantes la Fédération nationale des conseils scolaires francophones et la Fédération des communautés francophones et acadienne du Canada</w:t>
      </w:r>
      <w:r w:rsidR="00BB6F2A">
        <w:rPr>
          <w:lang w:val="fr-CA"/>
        </w:rPr>
        <w:t xml:space="preserve"> : </w:t>
      </w:r>
      <w:r w:rsidRPr="001F313E">
        <w:rPr>
          <w:lang w:val="fr-CA"/>
        </w:rPr>
        <w:t>Juristes Power, Vancouver.</w:t>
      </w:r>
    </w:p>
    <w:p w:rsidR="0095762B" w:rsidRPr="0095762B" w:rsidRDefault="0095762B" w:rsidP="0095762B">
      <w:pPr>
        <w:pStyle w:val="SCCNormalDoubleSpacing"/>
        <w:widowControl w:val="0"/>
        <w:rPr>
          <w:lang w:val="fr-CA"/>
        </w:rPr>
      </w:pPr>
    </w:p>
    <w:sectPr w:rsidR="0095762B" w:rsidRPr="0095762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CD" w:rsidRDefault="004B21CD">
      <w:r>
        <w:separator/>
      </w:r>
    </w:p>
  </w:endnote>
  <w:endnote w:type="continuationSeparator" w:id="0">
    <w:p w:rsidR="004B21CD" w:rsidRDefault="004B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E1" w:rsidRDefault="00A52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E1" w:rsidRDefault="00A52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E1" w:rsidRDefault="00A52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CD" w:rsidRDefault="004B21CD">
      <w:r>
        <w:separator/>
      </w:r>
    </w:p>
  </w:footnote>
  <w:footnote w:type="continuationSeparator" w:id="0">
    <w:p w:rsidR="004B21CD" w:rsidRDefault="004B21CD">
      <w:r>
        <w:continuationSeparator/>
      </w:r>
    </w:p>
  </w:footnote>
  <w:footnote w:id="1">
    <w:p w:rsidR="004B21CD" w:rsidRDefault="004B21CD" w:rsidP="00377EB6">
      <w:pPr>
        <w:pStyle w:val="FootnoteText"/>
        <w:keepLines/>
        <w:ind w:left="180" w:hanging="180"/>
        <w:jc w:val="both"/>
        <w:rPr>
          <w:lang w:val="fr-CA"/>
        </w:rPr>
      </w:pPr>
      <w:r w:rsidRPr="00A626BB">
        <w:rPr>
          <w:rStyle w:val="FootnoteReference"/>
          <w:lang w:val="fr-CA"/>
        </w:rPr>
        <w:footnoteRef/>
      </w:r>
      <w:r w:rsidRPr="00A626BB">
        <w:rPr>
          <w:lang w:val="fr-CA"/>
        </w:rPr>
        <w:t xml:space="preserve"> </w:t>
      </w:r>
      <w:r>
        <w:rPr>
          <w:lang w:val="fr-CA"/>
        </w:rPr>
        <w:tab/>
        <w:t xml:space="preserve">L’article </w:t>
      </w:r>
      <w:r w:rsidRPr="00A626BB">
        <w:rPr>
          <w:lang w:val="fr-CA"/>
        </w:rPr>
        <w:t xml:space="preserve">59 </w:t>
      </w:r>
      <w:r>
        <w:rPr>
          <w:lang w:val="fr-CA"/>
        </w:rPr>
        <w:t>de la</w:t>
      </w:r>
      <w:r w:rsidRPr="00A626BB">
        <w:rPr>
          <w:lang w:val="fr-CA"/>
        </w:rPr>
        <w:t xml:space="preserve"> </w:t>
      </w:r>
      <w:r>
        <w:rPr>
          <w:i/>
          <w:lang w:val="fr-CA"/>
        </w:rPr>
        <w:t xml:space="preserve">Loi constitutionnelle de </w:t>
      </w:r>
      <w:r w:rsidRPr="00A626BB">
        <w:rPr>
          <w:i/>
          <w:lang w:val="fr-CA"/>
        </w:rPr>
        <w:t>1982</w:t>
      </w:r>
      <w:r w:rsidRPr="00A626BB">
        <w:rPr>
          <w:lang w:val="fr-CA"/>
        </w:rPr>
        <w:t xml:space="preserve"> </w:t>
      </w:r>
      <w:r>
        <w:rPr>
          <w:lang w:val="fr-CA"/>
        </w:rPr>
        <w:t xml:space="preserve">prévoit que l’al. </w:t>
      </w:r>
      <w:r w:rsidRPr="00A626BB">
        <w:rPr>
          <w:lang w:val="fr-CA"/>
        </w:rPr>
        <w:t>23(1)</w:t>
      </w:r>
      <w:r w:rsidRPr="0037136A">
        <w:rPr>
          <w:i/>
          <w:lang w:val="fr-CA"/>
        </w:rPr>
        <w:t>a</w:t>
      </w:r>
      <w:r w:rsidRPr="00A626BB">
        <w:rPr>
          <w:lang w:val="fr-CA"/>
        </w:rPr>
        <w:t xml:space="preserve">) </w:t>
      </w:r>
      <w:r>
        <w:rPr>
          <w:lang w:val="fr-CA"/>
        </w:rPr>
        <w:t>ne s’applique pas au Québec</w:t>
      </w:r>
      <w:r w:rsidRPr="00A626BB">
        <w:rPr>
          <w:lang w:val="fr-CA"/>
        </w:rPr>
        <w:t>.</w:t>
      </w:r>
      <w:r>
        <w:rPr>
          <w:lang w:val="fr-CA"/>
        </w:rPr>
        <w:t xml:space="preserve"> Il ne peut entrer en vigueur qu’avec l’autorisation de l’assemblée législative ou du gouvernement du Québec</w:t>
      </w:r>
      <w:r w:rsidRPr="00A626BB">
        <w:rPr>
          <w:lang w:val="fr-CA"/>
        </w:rPr>
        <w:t xml:space="preserve">. </w:t>
      </w:r>
      <w:r>
        <w:rPr>
          <w:lang w:val="fr-CA"/>
        </w:rPr>
        <w:t>Cette autorisation n’a pas encore été accordée</w:t>
      </w:r>
      <w:r w:rsidRPr="00A626BB">
        <w:rPr>
          <w:lang w:val="fr-CA"/>
        </w:rPr>
        <w:t>.</w:t>
      </w:r>
    </w:p>
    <w:p w:rsidR="004B21CD" w:rsidRPr="00A626BB" w:rsidRDefault="004B21CD" w:rsidP="00377EB6">
      <w:pPr>
        <w:pStyle w:val="FootnoteText"/>
        <w:keepLines/>
        <w:ind w:left="180" w:hanging="180"/>
        <w:jc w:val="both"/>
        <w:rPr>
          <w:lang w:val="fr-CA"/>
        </w:rPr>
      </w:pPr>
    </w:p>
  </w:footnote>
  <w:footnote w:id="2">
    <w:p w:rsidR="004B21CD" w:rsidRPr="00A626BB" w:rsidRDefault="004B21CD" w:rsidP="00377EB6">
      <w:pPr>
        <w:pStyle w:val="FootnoteText"/>
        <w:keepLines/>
        <w:ind w:left="180" w:hanging="180"/>
        <w:jc w:val="both"/>
        <w:rPr>
          <w:shd w:val="clear" w:color="auto" w:fill="FFFFFF" w:themeFill="background1"/>
          <w:lang w:val="fr-CA"/>
        </w:rPr>
      </w:pPr>
      <w:r w:rsidRPr="00A626BB">
        <w:rPr>
          <w:rStyle w:val="FootnoteReference"/>
          <w:lang w:val="fr-CA"/>
        </w:rPr>
        <w:footnoteRef/>
      </w:r>
      <w:r w:rsidRPr="00A626BB">
        <w:rPr>
          <w:lang w:val="fr-CA"/>
        </w:rPr>
        <w:t xml:space="preserve"> </w:t>
      </w:r>
      <w:r>
        <w:rPr>
          <w:lang w:val="fr-CA"/>
        </w:rPr>
        <w:t>L’article 9</w:t>
      </w:r>
      <w:r w:rsidRPr="00A626BB">
        <w:rPr>
          <w:lang w:val="fr-CA"/>
        </w:rPr>
        <w:t xml:space="preserve">3 </w:t>
      </w:r>
      <w:r>
        <w:rPr>
          <w:lang w:val="fr-CA"/>
        </w:rPr>
        <w:t>s’applique directement à l’</w:t>
      </w:r>
      <w:r w:rsidRPr="00A626BB">
        <w:rPr>
          <w:lang w:val="fr-CA"/>
        </w:rPr>
        <w:t xml:space="preserve">Ontario, </w:t>
      </w:r>
      <w:r>
        <w:rPr>
          <w:lang w:val="fr-CA"/>
        </w:rPr>
        <w:t>à la Nouvelle-Écosse</w:t>
      </w:r>
      <w:r w:rsidRPr="00A626BB">
        <w:rPr>
          <w:lang w:val="fr-CA"/>
        </w:rPr>
        <w:t>,</w:t>
      </w:r>
      <w:r>
        <w:rPr>
          <w:lang w:val="fr-CA"/>
        </w:rPr>
        <w:t xml:space="preserve"> au Nouveau-</w:t>
      </w:r>
      <w:r w:rsidRPr="00A626BB">
        <w:rPr>
          <w:lang w:val="fr-CA"/>
        </w:rPr>
        <w:t xml:space="preserve">Brunswick, </w:t>
      </w:r>
      <w:r>
        <w:rPr>
          <w:lang w:val="fr-CA"/>
        </w:rPr>
        <w:t>à la Colombie-Britannique et à l’Île-du-Prince-Édouard</w:t>
      </w:r>
      <w:r w:rsidRPr="00A626BB">
        <w:rPr>
          <w:lang w:val="fr-CA"/>
        </w:rPr>
        <w:t xml:space="preserve">. </w:t>
      </w:r>
      <w:r>
        <w:rPr>
          <w:lang w:val="fr-CA"/>
        </w:rPr>
        <w:t xml:space="preserve">L’article </w:t>
      </w:r>
      <w:r w:rsidRPr="00A626BB">
        <w:rPr>
          <w:lang w:val="fr-CA"/>
        </w:rPr>
        <w:t xml:space="preserve">93 </w:t>
      </w:r>
      <w:r>
        <w:rPr>
          <w:lang w:val="fr-CA"/>
        </w:rPr>
        <w:t xml:space="preserve">s’applique également au </w:t>
      </w:r>
      <w:r w:rsidRPr="00A626BB">
        <w:rPr>
          <w:lang w:val="fr-CA"/>
        </w:rPr>
        <w:t>Qu</w:t>
      </w:r>
      <w:r>
        <w:rPr>
          <w:lang w:val="fr-CA"/>
        </w:rPr>
        <w:t>é</w:t>
      </w:r>
      <w:r w:rsidRPr="00A626BB">
        <w:rPr>
          <w:lang w:val="fr-CA"/>
        </w:rPr>
        <w:t xml:space="preserve">bec, </w:t>
      </w:r>
      <w:r>
        <w:rPr>
          <w:lang w:val="fr-CA"/>
        </w:rPr>
        <w:t xml:space="preserve">mais pas les par. </w:t>
      </w:r>
      <w:r w:rsidRPr="00A626BB">
        <w:rPr>
          <w:lang w:val="fr-CA"/>
        </w:rPr>
        <w:t xml:space="preserve">93(1) </w:t>
      </w:r>
      <w:r>
        <w:rPr>
          <w:lang w:val="fr-CA"/>
        </w:rPr>
        <w:t>à</w:t>
      </w:r>
      <w:r w:rsidRPr="00A626BB">
        <w:rPr>
          <w:lang w:val="fr-CA"/>
        </w:rPr>
        <w:t xml:space="preserve"> 93(4)</w:t>
      </w:r>
      <w:r>
        <w:rPr>
          <w:lang w:val="fr-CA"/>
        </w:rPr>
        <w:t> :</w:t>
      </w:r>
      <w:r w:rsidRPr="00A626BB">
        <w:rPr>
          <w:lang w:val="fr-CA"/>
        </w:rPr>
        <w:t xml:space="preserve"> </w:t>
      </w:r>
      <w:r>
        <w:rPr>
          <w:i/>
          <w:iCs/>
          <w:shd w:val="clear" w:color="auto" w:fill="FFFFFF" w:themeFill="background1"/>
          <w:lang w:val="fr-CA"/>
        </w:rPr>
        <w:t xml:space="preserve">Modification constitutionnelle de </w:t>
      </w:r>
      <w:r w:rsidRPr="00A626BB">
        <w:rPr>
          <w:i/>
          <w:iCs/>
          <w:shd w:val="clear" w:color="auto" w:fill="FFFFFF" w:themeFill="background1"/>
          <w:lang w:val="fr-CA"/>
        </w:rPr>
        <w:t>1997 (Québec)</w:t>
      </w:r>
      <w:r w:rsidRPr="00A626BB">
        <w:rPr>
          <w:shd w:val="clear" w:color="auto" w:fill="FFFFFF" w:themeFill="background1"/>
          <w:lang w:val="fr-CA"/>
        </w:rPr>
        <w:t xml:space="preserve">, </w:t>
      </w:r>
      <w:r>
        <w:rPr>
          <w:shd w:val="clear" w:color="auto" w:fill="FFFFFF" w:themeFill="background1"/>
          <w:lang w:val="fr-CA"/>
        </w:rPr>
        <w:t>TR</w:t>
      </w:r>
      <w:r w:rsidRPr="00A626BB">
        <w:rPr>
          <w:shd w:val="clear" w:color="auto" w:fill="FFFFFF" w:themeFill="background1"/>
          <w:lang w:val="fr-CA"/>
        </w:rPr>
        <w:t>/97</w:t>
      </w:r>
      <w:r>
        <w:rPr>
          <w:shd w:val="clear" w:color="auto" w:fill="FFFFFF" w:themeFill="background1"/>
          <w:lang w:val="fr-CA"/>
        </w:rPr>
        <w:t>-</w:t>
      </w:r>
      <w:r w:rsidRPr="00A626BB">
        <w:rPr>
          <w:shd w:val="clear" w:color="auto" w:fill="FFFFFF" w:themeFill="background1"/>
          <w:lang w:val="fr-CA"/>
        </w:rPr>
        <w:t>141</w:t>
      </w:r>
      <w:r>
        <w:rPr>
          <w:shd w:val="clear" w:color="auto" w:fill="FFFFFF" w:themeFill="background1"/>
          <w:lang w:val="fr-CA"/>
        </w:rPr>
        <w:t>, art. 1</w:t>
      </w:r>
      <w:r w:rsidRPr="00A626BB">
        <w:rPr>
          <w:shd w:val="clear" w:color="auto" w:fill="FFFFFF" w:themeFill="background1"/>
          <w:lang w:val="fr-CA"/>
        </w:rPr>
        <w:t xml:space="preserve">; </w:t>
      </w:r>
      <w:r>
        <w:rPr>
          <w:shd w:val="clear" w:color="auto" w:fill="FFFFFF" w:themeFill="background1"/>
          <w:lang w:val="fr-CA"/>
        </w:rPr>
        <w:t xml:space="preserve">art. </w:t>
      </w:r>
      <w:r w:rsidRPr="00A626BB">
        <w:rPr>
          <w:shd w:val="clear" w:color="auto" w:fill="FFFFFF" w:themeFill="background1"/>
          <w:lang w:val="fr-CA"/>
        </w:rPr>
        <w:t xml:space="preserve">93A </w:t>
      </w:r>
      <w:r>
        <w:rPr>
          <w:shd w:val="clear" w:color="auto" w:fill="FFFFFF" w:themeFill="background1"/>
          <w:lang w:val="fr-CA"/>
        </w:rPr>
        <w:t xml:space="preserve">de la </w:t>
      </w:r>
      <w:r>
        <w:rPr>
          <w:i/>
          <w:iCs/>
          <w:shd w:val="clear" w:color="auto" w:fill="FFFFFF" w:themeFill="background1"/>
          <w:lang w:val="fr-CA"/>
        </w:rPr>
        <w:t>Loi constitutionnelle de</w:t>
      </w:r>
      <w:r w:rsidRPr="00A626BB">
        <w:rPr>
          <w:i/>
          <w:iCs/>
          <w:shd w:val="clear" w:color="auto" w:fill="FFFFFF" w:themeFill="background1"/>
          <w:lang w:val="fr-CA"/>
        </w:rPr>
        <w:t xml:space="preserve"> 1867</w:t>
      </w:r>
      <w:r w:rsidRPr="00A626BB">
        <w:rPr>
          <w:shd w:val="clear" w:color="auto" w:fill="FFFFFF" w:themeFill="background1"/>
          <w:lang w:val="fr-CA"/>
        </w:rPr>
        <w:t xml:space="preserve">. </w:t>
      </w:r>
      <w:r>
        <w:rPr>
          <w:shd w:val="clear" w:color="auto" w:fill="FFFFFF" w:themeFill="background1"/>
          <w:lang w:val="fr-CA"/>
        </w:rPr>
        <w:t xml:space="preserve">Les versions modifiées de l’art. </w:t>
      </w:r>
      <w:r w:rsidRPr="00A626BB">
        <w:rPr>
          <w:rStyle w:val="term01"/>
          <w:shd w:val="clear" w:color="auto" w:fill="FFFFFF" w:themeFill="background1"/>
          <w:lang w:val="fr-CA"/>
        </w:rPr>
        <w:t>93</w:t>
      </w:r>
      <w:r w:rsidRPr="00A626BB">
        <w:rPr>
          <w:shd w:val="clear" w:color="auto" w:fill="FFFFFF" w:themeFill="background1"/>
          <w:lang w:val="fr-CA"/>
        </w:rPr>
        <w:t xml:space="preserve"> </w:t>
      </w:r>
      <w:r>
        <w:rPr>
          <w:shd w:val="clear" w:color="auto" w:fill="FFFFFF" w:themeFill="background1"/>
          <w:lang w:val="fr-CA"/>
        </w:rPr>
        <w:t xml:space="preserve">s’appliquent dans les autres </w:t>
      </w:r>
      <w:r w:rsidRPr="00A626BB">
        <w:rPr>
          <w:shd w:val="clear" w:color="auto" w:fill="FFFFFF" w:themeFill="background1"/>
          <w:lang w:val="fr-CA"/>
        </w:rPr>
        <w:t xml:space="preserve">provinces </w:t>
      </w:r>
      <w:r>
        <w:rPr>
          <w:shd w:val="clear" w:color="auto" w:fill="FFFFFF" w:themeFill="background1"/>
          <w:lang w:val="fr-CA"/>
        </w:rPr>
        <w:t>et les territoires :</w:t>
      </w:r>
      <w:r w:rsidRPr="00A626BB">
        <w:rPr>
          <w:i/>
          <w:iCs/>
          <w:shd w:val="clear" w:color="auto" w:fill="FFFFFF" w:themeFill="background1"/>
          <w:lang w:val="fr-CA"/>
        </w:rPr>
        <w:t xml:space="preserve"> </w:t>
      </w:r>
      <w:r>
        <w:rPr>
          <w:i/>
          <w:iCs/>
          <w:shd w:val="clear" w:color="auto" w:fill="FFFFFF" w:themeFill="background1"/>
          <w:lang w:val="fr-CA"/>
        </w:rPr>
        <w:t>Loi de 1870 sur le M</w:t>
      </w:r>
      <w:r w:rsidRPr="00A626BB">
        <w:rPr>
          <w:i/>
          <w:iCs/>
          <w:shd w:val="clear" w:color="auto" w:fill="FFFFFF" w:themeFill="background1"/>
          <w:lang w:val="fr-CA"/>
        </w:rPr>
        <w:t>anitoba</w:t>
      </w:r>
      <w:r>
        <w:rPr>
          <w:shd w:val="clear" w:color="auto" w:fill="FFFFFF" w:themeFill="background1"/>
          <w:lang w:val="fr-CA"/>
        </w:rPr>
        <w:t>, S</w:t>
      </w:r>
      <w:r w:rsidRPr="00A626BB">
        <w:rPr>
          <w:shd w:val="clear" w:color="auto" w:fill="FFFFFF" w:themeFill="background1"/>
          <w:lang w:val="fr-CA"/>
        </w:rPr>
        <w:t xml:space="preserve">.C. 1870, </w:t>
      </w:r>
      <w:r>
        <w:rPr>
          <w:shd w:val="clear" w:color="auto" w:fill="FFFFFF" w:themeFill="background1"/>
          <w:lang w:val="fr-CA"/>
        </w:rPr>
        <w:t xml:space="preserve">c. </w:t>
      </w:r>
      <w:r w:rsidRPr="00A626BB">
        <w:rPr>
          <w:shd w:val="clear" w:color="auto" w:fill="FFFFFF" w:themeFill="background1"/>
          <w:lang w:val="fr-CA"/>
        </w:rPr>
        <w:t xml:space="preserve">3, </w:t>
      </w:r>
      <w:r>
        <w:rPr>
          <w:shd w:val="clear" w:color="auto" w:fill="FFFFFF" w:themeFill="background1"/>
          <w:lang w:val="fr-CA"/>
        </w:rPr>
        <w:t xml:space="preserve">art. </w:t>
      </w:r>
      <w:r w:rsidRPr="00A626BB">
        <w:rPr>
          <w:shd w:val="clear" w:color="auto" w:fill="FFFFFF" w:themeFill="background1"/>
          <w:lang w:val="fr-CA"/>
        </w:rPr>
        <w:t xml:space="preserve">22; </w:t>
      </w:r>
      <w:r w:rsidR="001721D6">
        <w:rPr>
          <w:i/>
          <w:iCs/>
          <w:shd w:val="clear" w:color="auto" w:fill="FFFFFF" w:themeFill="background1"/>
          <w:lang w:val="fr-CA"/>
        </w:rPr>
        <w:t>Loi sur</w:t>
      </w:r>
      <w:r>
        <w:rPr>
          <w:i/>
          <w:iCs/>
          <w:shd w:val="clear" w:color="auto" w:fill="FFFFFF" w:themeFill="background1"/>
          <w:lang w:val="fr-CA"/>
        </w:rPr>
        <w:t xml:space="preserve"> la S</w:t>
      </w:r>
      <w:r w:rsidRPr="00A626BB">
        <w:rPr>
          <w:i/>
          <w:iCs/>
          <w:shd w:val="clear" w:color="auto" w:fill="FFFFFF" w:themeFill="background1"/>
          <w:lang w:val="fr-CA"/>
        </w:rPr>
        <w:t>askatchewan</w:t>
      </w:r>
      <w:r w:rsidRPr="00A626BB">
        <w:rPr>
          <w:shd w:val="clear" w:color="auto" w:fill="FFFFFF" w:themeFill="background1"/>
          <w:lang w:val="fr-CA"/>
        </w:rPr>
        <w:t xml:space="preserve">, </w:t>
      </w:r>
      <w:r>
        <w:rPr>
          <w:shd w:val="clear" w:color="auto" w:fill="FFFFFF" w:themeFill="background1"/>
          <w:lang w:val="fr-CA"/>
        </w:rPr>
        <w:t>S</w:t>
      </w:r>
      <w:r w:rsidRPr="00A626BB">
        <w:rPr>
          <w:shd w:val="clear" w:color="auto" w:fill="FFFFFF" w:themeFill="background1"/>
          <w:lang w:val="fr-CA"/>
        </w:rPr>
        <w:t xml:space="preserve">.C. 1905, </w:t>
      </w:r>
      <w:r>
        <w:rPr>
          <w:shd w:val="clear" w:color="auto" w:fill="FFFFFF" w:themeFill="background1"/>
          <w:lang w:val="fr-CA"/>
        </w:rPr>
        <w:t xml:space="preserve">c. </w:t>
      </w:r>
      <w:r w:rsidRPr="00A626BB">
        <w:rPr>
          <w:shd w:val="clear" w:color="auto" w:fill="FFFFFF" w:themeFill="background1"/>
          <w:lang w:val="fr-CA"/>
        </w:rPr>
        <w:t xml:space="preserve">42, </w:t>
      </w:r>
      <w:r>
        <w:rPr>
          <w:shd w:val="clear" w:color="auto" w:fill="FFFFFF" w:themeFill="background1"/>
          <w:lang w:val="fr-CA"/>
        </w:rPr>
        <w:t xml:space="preserve">art. </w:t>
      </w:r>
      <w:r w:rsidRPr="00A626BB">
        <w:rPr>
          <w:shd w:val="clear" w:color="auto" w:fill="FFFFFF" w:themeFill="background1"/>
          <w:lang w:val="fr-CA"/>
        </w:rPr>
        <w:t xml:space="preserve">17; </w:t>
      </w:r>
      <w:r>
        <w:rPr>
          <w:i/>
          <w:iCs/>
          <w:shd w:val="clear" w:color="auto" w:fill="FFFFFF" w:themeFill="background1"/>
          <w:lang w:val="fr-CA"/>
        </w:rPr>
        <w:t>Loi sur l’Alberta</w:t>
      </w:r>
      <w:r w:rsidRPr="00A626BB">
        <w:rPr>
          <w:shd w:val="clear" w:color="auto" w:fill="FFFFFF" w:themeFill="background1"/>
          <w:lang w:val="fr-CA"/>
        </w:rPr>
        <w:t xml:space="preserve">, </w:t>
      </w:r>
      <w:r>
        <w:rPr>
          <w:shd w:val="clear" w:color="auto" w:fill="FFFFFF" w:themeFill="background1"/>
          <w:lang w:val="fr-CA"/>
        </w:rPr>
        <w:t>S</w:t>
      </w:r>
      <w:r w:rsidRPr="00A626BB">
        <w:rPr>
          <w:shd w:val="clear" w:color="auto" w:fill="FFFFFF" w:themeFill="background1"/>
          <w:lang w:val="fr-CA"/>
        </w:rPr>
        <w:t xml:space="preserve">.C. 1905, </w:t>
      </w:r>
      <w:r>
        <w:rPr>
          <w:shd w:val="clear" w:color="auto" w:fill="FFFFFF" w:themeFill="background1"/>
          <w:lang w:val="fr-CA"/>
        </w:rPr>
        <w:t xml:space="preserve">c. </w:t>
      </w:r>
      <w:r w:rsidRPr="00A626BB">
        <w:rPr>
          <w:shd w:val="clear" w:color="auto" w:fill="FFFFFF" w:themeFill="background1"/>
          <w:lang w:val="fr-CA"/>
        </w:rPr>
        <w:t xml:space="preserve">3, </w:t>
      </w:r>
      <w:r>
        <w:rPr>
          <w:shd w:val="clear" w:color="auto" w:fill="FFFFFF" w:themeFill="background1"/>
          <w:lang w:val="fr-CA"/>
        </w:rPr>
        <w:t xml:space="preserve">art. </w:t>
      </w:r>
      <w:r w:rsidRPr="00A626BB">
        <w:rPr>
          <w:shd w:val="clear" w:color="auto" w:fill="FFFFFF" w:themeFill="background1"/>
          <w:lang w:val="fr-CA"/>
        </w:rPr>
        <w:t>17;</w:t>
      </w:r>
      <w:r w:rsidRPr="00A626BB">
        <w:rPr>
          <w:i/>
          <w:iCs/>
          <w:lang w:val="fr-CA"/>
        </w:rPr>
        <w:t xml:space="preserve"> </w:t>
      </w:r>
      <w:r>
        <w:rPr>
          <w:i/>
          <w:iCs/>
          <w:lang w:val="fr-CA"/>
        </w:rPr>
        <w:t>Modification constitutionnelle de 1998 (Loi sur Terre-Neuve</w:t>
      </w:r>
      <w:r w:rsidRPr="00A626BB">
        <w:rPr>
          <w:i/>
          <w:iCs/>
          <w:lang w:val="fr-CA"/>
        </w:rPr>
        <w:t>)</w:t>
      </w:r>
      <w:r w:rsidRPr="00A626BB">
        <w:rPr>
          <w:lang w:val="fr-CA"/>
        </w:rPr>
        <w:t xml:space="preserve">, </w:t>
      </w:r>
      <w:r>
        <w:rPr>
          <w:lang w:val="fr-CA"/>
        </w:rPr>
        <w:t>TR</w:t>
      </w:r>
      <w:r w:rsidRPr="00A626BB">
        <w:rPr>
          <w:lang w:val="fr-CA"/>
        </w:rPr>
        <w:t>/98</w:t>
      </w:r>
      <w:r>
        <w:rPr>
          <w:lang w:val="fr-CA"/>
        </w:rPr>
        <w:t xml:space="preserve">-25, par. 1(2); </w:t>
      </w:r>
      <w:r>
        <w:rPr>
          <w:i/>
          <w:lang w:val="fr-CA"/>
        </w:rPr>
        <w:t>Loi sur les Territoires du Nord-Ouest</w:t>
      </w:r>
      <w:r w:rsidRPr="00A626BB">
        <w:rPr>
          <w:lang w:val="fr-CA"/>
        </w:rPr>
        <w:t xml:space="preserve">, </w:t>
      </w:r>
      <w:r>
        <w:rPr>
          <w:lang w:val="fr-CA"/>
        </w:rPr>
        <w:t>L</w:t>
      </w:r>
      <w:r w:rsidRPr="00A626BB">
        <w:rPr>
          <w:lang w:val="fr-CA"/>
        </w:rPr>
        <w:t xml:space="preserve">.C. 2014, </w:t>
      </w:r>
      <w:r>
        <w:rPr>
          <w:lang w:val="fr-CA"/>
        </w:rPr>
        <w:t xml:space="preserve">c. </w:t>
      </w:r>
      <w:r w:rsidRPr="00A626BB">
        <w:rPr>
          <w:lang w:val="fr-CA"/>
        </w:rPr>
        <w:t>2</w:t>
      </w:r>
      <w:r>
        <w:rPr>
          <w:lang w:val="fr-CA"/>
        </w:rPr>
        <w:t xml:space="preserve"> [éd. par la </w:t>
      </w:r>
      <w:r w:rsidRPr="00EA1506">
        <w:rPr>
          <w:i/>
          <w:lang w:val="fr-CA"/>
        </w:rPr>
        <w:t>Loi sur le transfert de responsabilités aux Territoires du</w:t>
      </w:r>
      <w:r>
        <w:rPr>
          <w:lang w:val="fr-CA"/>
        </w:rPr>
        <w:t xml:space="preserve"> </w:t>
      </w:r>
      <w:r w:rsidRPr="00EA1506">
        <w:rPr>
          <w:i/>
          <w:lang w:val="fr-CA"/>
        </w:rPr>
        <w:t>Nord-Ouest</w:t>
      </w:r>
      <w:r w:rsidRPr="00EA1506">
        <w:rPr>
          <w:lang w:val="fr-CA"/>
        </w:rPr>
        <w:t>], al.</w:t>
      </w:r>
      <w:r>
        <w:rPr>
          <w:lang w:val="fr-CA"/>
        </w:rPr>
        <w:t xml:space="preserve"> 18(1)</w:t>
      </w:r>
      <w:r w:rsidRPr="00EA1506">
        <w:rPr>
          <w:i/>
          <w:lang w:val="fr-CA"/>
        </w:rPr>
        <w:t>o</w:t>
      </w:r>
      <w:r>
        <w:rPr>
          <w:lang w:val="fr-CA"/>
        </w:rPr>
        <w:t xml:space="preserve">); </w:t>
      </w:r>
      <w:r w:rsidRPr="00EA1506">
        <w:rPr>
          <w:i/>
          <w:lang w:val="fr-CA"/>
        </w:rPr>
        <w:t>Loi sur le Yukon</w:t>
      </w:r>
      <w:r w:rsidRPr="00A626BB">
        <w:rPr>
          <w:lang w:val="fr-CA"/>
        </w:rPr>
        <w:t xml:space="preserve">, </w:t>
      </w:r>
      <w:r>
        <w:rPr>
          <w:lang w:val="fr-CA"/>
        </w:rPr>
        <w:t xml:space="preserve">L.C. 2002, c. 7, </w:t>
      </w:r>
      <w:r w:rsidRPr="00EA1506">
        <w:rPr>
          <w:lang w:val="fr-CA"/>
        </w:rPr>
        <w:t>al.</w:t>
      </w:r>
      <w:r>
        <w:rPr>
          <w:lang w:val="fr-CA"/>
        </w:rPr>
        <w:t xml:space="preserve"> 18(1)</w:t>
      </w:r>
      <w:r w:rsidRPr="00EA1506">
        <w:rPr>
          <w:i/>
          <w:lang w:val="fr-CA"/>
        </w:rPr>
        <w:t>o</w:t>
      </w:r>
      <w:r>
        <w:rPr>
          <w:lang w:val="fr-CA"/>
        </w:rPr>
        <w:t xml:space="preserve">); </w:t>
      </w:r>
      <w:r>
        <w:rPr>
          <w:i/>
          <w:lang w:val="fr-CA"/>
        </w:rPr>
        <w:t>Loi sur le N</w:t>
      </w:r>
      <w:r w:rsidRPr="00A626BB">
        <w:rPr>
          <w:i/>
          <w:lang w:val="fr-CA"/>
        </w:rPr>
        <w:t>unavut</w:t>
      </w:r>
      <w:r w:rsidRPr="00A626BB">
        <w:rPr>
          <w:lang w:val="fr-CA"/>
        </w:rPr>
        <w:t xml:space="preserve">, </w:t>
      </w:r>
      <w:r>
        <w:rPr>
          <w:lang w:val="fr-CA"/>
        </w:rPr>
        <w:t>L</w:t>
      </w:r>
      <w:r w:rsidRPr="00A626BB">
        <w:rPr>
          <w:lang w:val="fr-CA"/>
        </w:rPr>
        <w:t xml:space="preserve">.C. 1993, </w:t>
      </w:r>
      <w:r>
        <w:rPr>
          <w:lang w:val="fr-CA"/>
        </w:rPr>
        <w:t xml:space="preserve">c. </w:t>
      </w:r>
      <w:r w:rsidRPr="00A626BB">
        <w:rPr>
          <w:lang w:val="fr-CA"/>
        </w:rPr>
        <w:t xml:space="preserve">28, </w:t>
      </w:r>
      <w:r>
        <w:rPr>
          <w:lang w:val="fr-CA"/>
        </w:rPr>
        <w:t xml:space="preserve">al. </w:t>
      </w:r>
      <w:r w:rsidRPr="00A626BB">
        <w:rPr>
          <w:lang w:val="fr-CA"/>
        </w:rPr>
        <w:t>23(1)</w:t>
      </w:r>
      <w:r w:rsidRPr="00FE54CF">
        <w:rPr>
          <w:i/>
          <w:lang w:val="fr-CA"/>
        </w:rPr>
        <w:t>m</w:t>
      </w:r>
      <w:r w:rsidRPr="00A626BB">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E1" w:rsidRDefault="00A52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CD" w:rsidRPr="00450352" w:rsidRDefault="004B21C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E1" w:rsidRDefault="00A52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46E"/>
    <w:multiLevelType w:val="hybridMultilevel"/>
    <w:tmpl w:val="F0DA6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80D4C"/>
    <w:multiLevelType w:val="hybridMultilevel"/>
    <w:tmpl w:val="85ACA7E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C2B4458"/>
    <w:multiLevelType w:val="hybridMultilevel"/>
    <w:tmpl w:val="5A88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F62510"/>
    <w:multiLevelType w:val="hybridMultilevel"/>
    <w:tmpl w:val="41C80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52307A3A"/>
    <w:lvl w:ilvl="0">
      <w:start w:val="1"/>
      <w:numFmt w:val="decimal"/>
      <w:pStyle w:val="ParaNoNdepar-AltN"/>
      <w:lvlText w:val="[%1]"/>
      <w:lvlJc w:val="left"/>
      <w:pPr>
        <w:tabs>
          <w:tab w:val="num" w:pos="1242"/>
        </w:tabs>
        <w:ind w:left="9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3758EF"/>
    <w:multiLevelType w:val="hybridMultilevel"/>
    <w:tmpl w:val="4528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112EE4"/>
    <w:multiLevelType w:val="hybridMultilevel"/>
    <w:tmpl w:val="CA0A720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7F3567A0"/>
    <w:multiLevelType w:val="hybridMultilevel"/>
    <w:tmpl w:val="4C9C4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
  </w:num>
  <w:num w:numId="11">
    <w:abstractNumId w:val="12"/>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34E8"/>
    <w:rsid w:val="00004367"/>
    <w:rsid w:val="00023FC7"/>
    <w:rsid w:val="00024B69"/>
    <w:rsid w:val="00025198"/>
    <w:rsid w:val="000558A9"/>
    <w:rsid w:val="00056C8C"/>
    <w:rsid w:val="000578A3"/>
    <w:rsid w:val="000648CC"/>
    <w:rsid w:val="0006550F"/>
    <w:rsid w:val="000666B2"/>
    <w:rsid w:val="000779B7"/>
    <w:rsid w:val="00080F1F"/>
    <w:rsid w:val="000B3D45"/>
    <w:rsid w:val="000C59B8"/>
    <w:rsid w:val="000C683D"/>
    <w:rsid w:val="000C6AF0"/>
    <w:rsid w:val="000D0A77"/>
    <w:rsid w:val="000D3496"/>
    <w:rsid w:val="000D4472"/>
    <w:rsid w:val="000D5176"/>
    <w:rsid w:val="000F27F5"/>
    <w:rsid w:val="000F65CC"/>
    <w:rsid w:val="000F70F7"/>
    <w:rsid w:val="000F7993"/>
    <w:rsid w:val="00101C1C"/>
    <w:rsid w:val="00102575"/>
    <w:rsid w:val="001048E3"/>
    <w:rsid w:val="00104F33"/>
    <w:rsid w:val="00106198"/>
    <w:rsid w:val="0010797E"/>
    <w:rsid w:val="00111DE2"/>
    <w:rsid w:val="00113C91"/>
    <w:rsid w:val="001156CF"/>
    <w:rsid w:val="00116B38"/>
    <w:rsid w:val="00121906"/>
    <w:rsid w:val="00131743"/>
    <w:rsid w:val="0013371F"/>
    <w:rsid w:val="00135406"/>
    <w:rsid w:val="00135972"/>
    <w:rsid w:val="001426A9"/>
    <w:rsid w:val="00143EF8"/>
    <w:rsid w:val="00144D7C"/>
    <w:rsid w:val="00146A21"/>
    <w:rsid w:val="00154D7C"/>
    <w:rsid w:val="001570B0"/>
    <w:rsid w:val="0015752C"/>
    <w:rsid w:val="00157737"/>
    <w:rsid w:val="00165277"/>
    <w:rsid w:val="00170592"/>
    <w:rsid w:val="001720F7"/>
    <w:rsid w:val="001721D6"/>
    <w:rsid w:val="001833B7"/>
    <w:rsid w:val="00184D58"/>
    <w:rsid w:val="00195D83"/>
    <w:rsid w:val="001A00C1"/>
    <w:rsid w:val="001B33E0"/>
    <w:rsid w:val="001B4573"/>
    <w:rsid w:val="001B560E"/>
    <w:rsid w:val="001C4BBD"/>
    <w:rsid w:val="001C779F"/>
    <w:rsid w:val="001D15A7"/>
    <w:rsid w:val="001D2AC1"/>
    <w:rsid w:val="001D4E88"/>
    <w:rsid w:val="001E4DAA"/>
    <w:rsid w:val="001F313E"/>
    <w:rsid w:val="002007EF"/>
    <w:rsid w:val="00206038"/>
    <w:rsid w:val="00220FC2"/>
    <w:rsid w:val="002222F4"/>
    <w:rsid w:val="00224FC0"/>
    <w:rsid w:val="00225EA4"/>
    <w:rsid w:val="00226EAF"/>
    <w:rsid w:val="00231F3A"/>
    <w:rsid w:val="002338ED"/>
    <w:rsid w:val="002406EE"/>
    <w:rsid w:val="00241C05"/>
    <w:rsid w:val="00243EC8"/>
    <w:rsid w:val="00245D53"/>
    <w:rsid w:val="00257AA4"/>
    <w:rsid w:val="00261464"/>
    <w:rsid w:val="00270D93"/>
    <w:rsid w:val="002745CC"/>
    <w:rsid w:val="0028352B"/>
    <w:rsid w:val="00286B56"/>
    <w:rsid w:val="002A2ED1"/>
    <w:rsid w:val="002B6FBE"/>
    <w:rsid w:val="002B7924"/>
    <w:rsid w:val="002C10A6"/>
    <w:rsid w:val="002C62CF"/>
    <w:rsid w:val="002D28C3"/>
    <w:rsid w:val="002D39A4"/>
    <w:rsid w:val="002D6FA7"/>
    <w:rsid w:val="002E2D80"/>
    <w:rsid w:val="002E6705"/>
    <w:rsid w:val="0030329A"/>
    <w:rsid w:val="0031086F"/>
    <w:rsid w:val="0031414C"/>
    <w:rsid w:val="00314E01"/>
    <w:rsid w:val="00316CA6"/>
    <w:rsid w:val="00317BC1"/>
    <w:rsid w:val="00317C43"/>
    <w:rsid w:val="0032089D"/>
    <w:rsid w:val="00323FC9"/>
    <w:rsid w:val="003310DE"/>
    <w:rsid w:val="003319D2"/>
    <w:rsid w:val="003323B0"/>
    <w:rsid w:val="003338FF"/>
    <w:rsid w:val="00340A49"/>
    <w:rsid w:val="0035169A"/>
    <w:rsid w:val="0035259D"/>
    <w:rsid w:val="003615A9"/>
    <w:rsid w:val="00364B18"/>
    <w:rsid w:val="00364B63"/>
    <w:rsid w:val="003733DE"/>
    <w:rsid w:val="00377EB6"/>
    <w:rsid w:val="003870AB"/>
    <w:rsid w:val="00394C54"/>
    <w:rsid w:val="003A05DA"/>
    <w:rsid w:val="003A125D"/>
    <w:rsid w:val="003A20AD"/>
    <w:rsid w:val="003A4C70"/>
    <w:rsid w:val="003B215F"/>
    <w:rsid w:val="003B2463"/>
    <w:rsid w:val="003C035F"/>
    <w:rsid w:val="003C799C"/>
    <w:rsid w:val="003D0399"/>
    <w:rsid w:val="003D1138"/>
    <w:rsid w:val="003D50EF"/>
    <w:rsid w:val="003E1C71"/>
    <w:rsid w:val="003F327B"/>
    <w:rsid w:val="003F75DE"/>
    <w:rsid w:val="003F7CC9"/>
    <w:rsid w:val="00400D40"/>
    <w:rsid w:val="00404B7E"/>
    <w:rsid w:val="00406166"/>
    <w:rsid w:val="0040704B"/>
    <w:rsid w:val="00410A55"/>
    <w:rsid w:val="00411300"/>
    <w:rsid w:val="00413F17"/>
    <w:rsid w:val="00415417"/>
    <w:rsid w:val="00415719"/>
    <w:rsid w:val="00423455"/>
    <w:rsid w:val="00426659"/>
    <w:rsid w:val="00435F59"/>
    <w:rsid w:val="004361D3"/>
    <w:rsid w:val="00446B66"/>
    <w:rsid w:val="00450352"/>
    <w:rsid w:val="0045334D"/>
    <w:rsid w:val="00454BDB"/>
    <w:rsid w:val="00455DB7"/>
    <w:rsid w:val="00456A8E"/>
    <w:rsid w:val="004616EF"/>
    <w:rsid w:val="00464DCB"/>
    <w:rsid w:val="00465132"/>
    <w:rsid w:val="00480C90"/>
    <w:rsid w:val="0048396F"/>
    <w:rsid w:val="00493C18"/>
    <w:rsid w:val="00495D82"/>
    <w:rsid w:val="004A2673"/>
    <w:rsid w:val="004A2DCE"/>
    <w:rsid w:val="004A469A"/>
    <w:rsid w:val="004A600C"/>
    <w:rsid w:val="004A6118"/>
    <w:rsid w:val="004B21CD"/>
    <w:rsid w:val="004B49C3"/>
    <w:rsid w:val="004C478D"/>
    <w:rsid w:val="004C6ABC"/>
    <w:rsid w:val="004D5CD6"/>
    <w:rsid w:val="004D7D95"/>
    <w:rsid w:val="004E2C26"/>
    <w:rsid w:val="004E4598"/>
    <w:rsid w:val="004F5C94"/>
    <w:rsid w:val="00505B4D"/>
    <w:rsid w:val="005125A8"/>
    <w:rsid w:val="00517549"/>
    <w:rsid w:val="00520ABC"/>
    <w:rsid w:val="00521AE8"/>
    <w:rsid w:val="00524E62"/>
    <w:rsid w:val="00527180"/>
    <w:rsid w:val="00536AC2"/>
    <w:rsid w:val="00542C13"/>
    <w:rsid w:val="005458A6"/>
    <w:rsid w:val="00554C2B"/>
    <w:rsid w:val="00555291"/>
    <w:rsid w:val="00557B86"/>
    <w:rsid w:val="00566AD1"/>
    <w:rsid w:val="00571205"/>
    <w:rsid w:val="00583EDE"/>
    <w:rsid w:val="005A1113"/>
    <w:rsid w:val="005A36E1"/>
    <w:rsid w:val="005A4CA6"/>
    <w:rsid w:val="005A6079"/>
    <w:rsid w:val="005B0F64"/>
    <w:rsid w:val="005B1397"/>
    <w:rsid w:val="005C3761"/>
    <w:rsid w:val="005C708B"/>
    <w:rsid w:val="005E11F8"/>
    <w:rsid w:val="005E4698"/>
    <w:rsid w:val="005F54CA"/>
    <w:rsid w:val="005F7893"/>
    <w:rsid w:val="00603924"/>
    <w:rsid w:val="00610539"/>
    <w:rsid w:val="00613969"/>
    <w:rsid w:val="0062184A"/>
    <w:rsid w:val="00625C35"/>
    <w:rsid w:val="00647E49"/>
    <w:rsid w:val="00650C4C"/>
    <w:rsid w:val="00653003"/>
    <w:rsid w:val="00656313"/>
    <w:rsid w:val="006565F4"/>
    <w:rsid w:val="00672687"/>
    <w:rsid w:val="00683D44"/>
    <w:rsid w:val="00684EEA"/>
    <w:rsid w:val="00694DC7"/>
    <w:rsid w:val="0069689B"/>
    <w:rsid w:val="006968E0"/>
    <w:rsid w:val="006A4CBC"/>
    <w:rsid w:val="006B5FF5"/>
    <w:rsid w:val="006C6340"/>
    <w:rsid w:val="006D474E"/>
    <w:rsid w:val="006E2ED7"/>
    <w:rsid w:val="006F1C3E"/>
    <w:rsid w:val="006F30AF"/>
    <w:rsid w:val="006F3D38"/>
    <w:rsid w:val="006F488D"/>
    <w:rsid w:val="00701759"/>
    <w:rsid w:val="00703DD9"/>
    <w:rsid w:val="00705C15"/>
    <w:rsid w:val="007110F6"/>
    <w:rsid w:val="00714681"/>
    <w:rsid w:val="007208D1"/>
    <w:rsid w:val="0072216A"/>
    <w:rsid w:val="00741133"/>
    <w:rsid w:val="00744518"/>
    <w:rsid w:val="00747288"/>
    <w:rsid w:val="00747DD3"/>
    <w:rsid w:val="007549C8"/>
    <w:rsid w:val="00755139"/>
    <w:rsid w:val="0076141E"/>
    <w:rsid w:val="00761C59"/>
    <w:rsid w:val="00766D14"/>
    <w:rsid w:val="00767517"/>
    <w:rsid w:val="00767A0F"/>
    <w:rsid w:val="0077320D"/>
    <w:rsid w:val="00791272"/>
    <w:rsid w:val="00791A9F"/>
    <w:rsid w:val="007921FD"/>
    <w:rsid w:val="007A05F6"/>
    <w:rsid w:val="007A15A0"/>
    <w:rsid w:val="007B6F4A"/>
    <w:rsid w:val="007C79B9"/>
    <w:rsid w:val="007E0468"/>
    <w:rsid w:val="007E1C47"/>
    <w:rsid w:val="007E337A"/>
    <w:rsid w:val="007E5C70"/>
    <w:rsid w:val="007F2FF5"/>
    <w:rsid w:val="007F3F08"/>
    <w:rsid w:val="007F7203"/>
    <w:rsid w:val="00804CC6"/>
    <w:rsid w:val="0081089C"/>
    <w:rsid w:val="00817190"/>
    <w:rsid w:val="008260E2"/>
    <w:rsid w:val="008322BD"/>
    <w:rsid w:val="00834F73"/>
    <w:rsid w:val="008402BB"/>
    <w:rsid w:val="008410DE"/>
    <w:rsid w:val="00842C60"/>
    <w:rsid w:val="00850249"/>
    <w:rsid w:val="008632A0"/>
    <w:rsid w:val="00864C8A"/>
    <w:rsid w:val="00864CF8"/>
    <w:rsid w:val="00874914"/>
    <w:rsid w:val="00885400"/>
    <w:rsid w:val="00891422"/>
    <w:rsid w:val="00892E1A"/>
    <w:rsid w:val="00897C23"/>
    <w:rsid w:val="008A6306"/>
    <w:rsid w:val="008A7CA5"/>
    <w:rsid w:val="008B1A6F"/>
    <w:rsid w:val="008B660A"/>
    <w:rsid w:val="008C01DA"/>
    <w:rsid w:val="008E2549"/>
    <w:rsid w:val="008F0E61"/>
    <w:rsid w:val="008F1FE7"/>
    <w:rsid w:val="008F2674"/>
    <w:rsid w:val="008F6401"/>
    <w:rsid w:val="008F78E9"/>
    <w:rsid w:val="00916B2A"/>
    <w:rsid w:val="009179F9"/>
    <w:rsid w:val="00917C7A"/>
    <w:rsid w:val="00933E5E"/>
    <w:rsid w:val="00935218"/>
    <w:rsid w:val="00937C52"/>
    <w:rsid w:val="009403F3"/>
    <w:rsid w:val="00950F43"/>
    <w:rsid w:val="009555B7"/>
    <w:rsid w:val="009567AA"/>
    <w:rsid w:val="0095762B"/>
    <w:rsid w:val="009602C9"/>
    <w:rsid w:val="00962844"/>
    <w:rsid w:val="00964051"/>
    <w:rsid w:val="00967374"/>
    <w:rsid w:val="00975347"/>
    <w:rsid w:val="00975FD6"/>
    <w:rsid w:val="00980300"/>
    <w:rsid w:val="00983A76"/>
    <w:rsid w:val="009A343A"/>
    <w:rsid w:val="009B1F55"/>
    <w:rsid w:val="009B2F23"/>
    <w:rsid w:val="009B534D"/>
    <w:rsid w:val="009B57B3"/>
    <w:rsid w:val="009B6BFF"/>
    <w:rsid w:val="009C19B9"/>
    <w:rsid w:val="009C2D40"/>
    <w:rsid w:val="009D1A86"/>
    <w:rsid w:val="009D204A"/>
    <w:rsid w:val="009D2920"/>
    <w:rsid w:val="009D568A"/>
    <w:rsid w:val="009D5AEB"/>
    <w:rsid w:val="009F0E33"/>
    <w:rsid w:val="009F3F84"/>
    <w:rsid w:val="00A051A3"/>
    <w:rsid w:val="00A12710"/>
    <w:rsid w:val="00A149DF"/>
    <w:rsid w:val="00A164FD"/>
    <w:rsid w:val="00A16DC1"/>
    <w:rsid w:val="00A1755C"/>
    <w:rsid w:val="00A21B90"/>
    <w:rsid w:val="00A22AAC"/>
    <w:rsid w:val="00A22B3E"/>
    <w:rsid w:val="00A320EF"/>
    <w:rsid w:val="00A36D87"/>
    <w:rsid w:val="00A41805"/>
    <w:rsid w:val="00A426C0"/>
    <w:rsid w:val="00A43318"/>
    <w:rsid w:val="00A447FA"/>
    <w:rsid w:val="00A51882"/>
    <w:rsid w:val="00A527E1"/>
    <w:rsid w:val="00A52AFB"/>
    <w:rsid w:val="00A548CB"/>
    <w:rsid w:val="00A5521C"/>
    <w:rsid w:val="00A643E7"/>
    <w:rsid w:val="00A652E1"/>
    <w:rsid w:val="00A66CA3"/>
    <w:rsid w:val="00A7201D"/>
    <w:rsid w:val="00A73C38"/>
    <w:rsid w:val="00AB670D"/>
    <w:rsid w:val="00AD03A6"/>
    <w:rsid w:val="00AD340C"/>
    <w:rsid w:val="00AE5251"/>
    <w:rsid w:val="00AF038E"/>
    <w:rsid w:val="00AF03C5"/>
    <w:rsid w:val="00B000D8"/>
    <w:rsid w:val="00B00F75"/>
    <w:rsid w:val="00B12C56"/>
    <w:rsid w:val="00B145B6"/>
    <w:rsid w:val="00B2193B"/>
    <w:rsid w:val="00B23070"/>
    <w:rsid w:val="00B2393F"/>
    <w:rsid w:val="00B279EB"/>
    <w:rsid w:val="00B31B04"/>
    <w:rsid w:val="00B42013"/>
    <w:rsid w:val="00B50C81"/>
    <w:rsid w:val="00B5457D"/>
    <w:rsid w:val="00B557F8"/>
    <w:rsid w:val="00B815FC"/>
    <w:rsid w:val="00B816CB"/>
    <w:rsid w:val="00B82BF4"/>
    <w:rsid w:val="00B91642"/>
    <w:rsid w:val="00B93FBC"/>
    <w:rsid w:val="00B970EE"/>
    <w:rsid w:val="00BA7DA0"/>
    <w:rsid w:val="00BB2EE4"/>
    <w:rsid w:val="00BB32CD"/>
    <w:rsid w:val="00BB4C92"/>
    <w:rsid w:val="00BB6F2A"/>
    <w:rsid w:val="00BB78FD"/>
    <w:rsid w:val="00BC2108"/>
    <w:rsid w:val="00BC6267"/>
    <w:rsid w:val="00BD0E9E"/>
    <w:rsid w:val="00BD1BEC"/>
    <w:rsid w:val="00BD32FF"/>
    <w:rsid w:val="00BD41B4"/>
    <w:rsid w:val="00BD7479"/>
    <w:rsid w:val="00BE1E3A"/>
    <w:rsid w:val="00BE2D3B"/>
    <w:rsid w:val="00BF28BE"/>
    <w:rsid w:val="00BF6FE9"/>
    <w:rsid w:val="00C00E13"/>
    <w:rsid w:val="00C014E7"/>
    <w:rsid w:val="00C02092"/>
    <w:rsid w:val="00C147F2"/>
    <w:rsid w:val="00C24D91"/>
    <w:rsid w:val="00C25045"/>
    <w:rsid w:val="00C26C0D"/>
    <w:rsid w:val="00C26DB2"/>
    <w:rsid w:val="00C37415"/>
    <w:rsid w:val="00C439BF"/>
    <w:rsid w:val="00C53F14"/>
    <w:rsid w:val="00C600CF"/>
    <w:rsid w:val="00C60519"/>
    <w:rsid w:val="00C6084F"/>
    <w:rsid w:val="00C62A66"/>
    <w:rsid w:val="00C66359"/>
    <w:rsid w:val="00C71458"/>
    <w:rsid w:val="00C75D99"/>
    <w:rsid w:val="00C77613"/>
    <w:rsid w:val="00C77ED3"/>
    <w:rsid w:val="00C828E7"/>
    <w:rsid w:val="00C86719"/>
    <w:rsid w:val="00C9074D"/>
    <w:rsid w:val="00C921DD"/>
    <w:rsid w:val="00C96A4C"/>
    <w:rsid w:val="00CA6391"/>
    <w:rsid w:val="00CB76B5"/>
    <w:rsid w:val="00CD47BF"/>
    <w:rsid w:val="00CE036E"/>
    <w:rsid w:val="00CE3171"/>
    <w:rsid w:val="00CF1601"/>
    <w:rsid w:val="00CF3E04"/>
    <w:rsid w:val="00D01023"/>
    <w:rsid w:val="00D01609"/>
    <w:rsid w:val="00D0172F"/>
    <w:rsid w:val="00D01E33"/>
    <w:rsid w:val="00D068A7"/>
    <w:rsid w:val="00D117F8"/>
    <w:rsid w:val="00D14507"/>
    <w:rsid w:val="00D14B8F"/>
    <w:rsid w:val="00D15EED"/>
    <w:rsid w:val="00D17476"/>
    <w:rsid w:val="00D32086"/>
    <w:rsid w:val="00D32B48"/>
    <w:rsid w:val="00D37A3F"/>
    <w:rsid w:val="00D4431D"/>
    <w:rsid w:val="00D465C3"/>
    <w:rsid w:val="00D4667A"/>
    <w:rsid w:val="00D5655C"/>
    <w:rsid w:val="00D57229"/>
    <w:rsid w:val="00D63A1C"/>
    <w:rsid w:val="00D66AC5"/>
    <w:rsid w:val="00D7516F"/>
    <w:rsid w:val="00D7535A"/>
    <w:rsid w:val="00D75CBE"/>
    <w:rsid w:val="00D822C5"/>
    <w:rsid w:val="00D92DB3"/>
    <w:rsid w:val="00D95F8E"/>
    <w:rsid w:val="00DA0590"/>
    <w:rsid w:val="00DB1CD8"/>
    <w:rsid w:val="00DC1512"/>
    <w:rsid w:val="00DC1739"/>
    <w:rsid w:val="00DC1788"/>
    <w:rsid w:val="00DC2F21"/>
    <w:rsid w:val="00DD2503"/>
    <w:rsid w:val="00DD2D88"/>
    <w:rsid w:val="00DE2B40"/>
    <w:rsid w:val="00DE319C"/>
    <w:rsid w:val="00DF0CA8"/>
    <w:rsid w:val="00DF2B48"/>
    <w:rsid w:val="00DF49A7"/>
    <w:rsid w:val="00DF72ED"/>
    <w:rsid w:val="00E07EE2"/>
    <w:rsid w:val="00E07FD1"/>
    <w:rsid w:val="00E11F7D"/>
    <w:rsid w:val="00E121C7"/>
    <w:rsid w:val="00E24573"/>
    <w:rsid w:val="00E25E1E"/>
    <w:rsid w:val="00E27EE7"/>
    <w:rsid w:val="00E35404"/>
    <w:rsid w:val="00E42C60"/>
    <w:rsid w:val="00E4314A"/>
    <w:rsid w:val="00E45109"/>
    <w:rsid w:val="00E47B7A"/>
    <w:rsid w:val="00E56A44"/>
    <w:rsid w:val="00E60269"/>
    <w:rsid w:val="00E63C7C"/>
    <w:rsid w:val="00E77158"/>
    <w:rsid w:val="00E822DA"/>
    <w:rsid w:val="00E8446F"/>
    <w:rsid w:val="00E84942"/>
    <w:rsid w:val="00E84ADC"/>
    <w:rsid w:val="00E97830"/>
    <w:rsid w:val="00EA1428"/>
    <w:rsid w:val="00EA265A"/>
    <w:rsid w:val="00EA60F5"/>
    <w:rsid w:val="00EB1DC2"/>
    <w:rsid w:val="00EB66F3"/>
    <w:rsid w:val="00EC0629"/>
    <w:rsid w:val="00EC2307"/>
    <w:rsid w:val="00EC7621"/>
    <w:rsid w:val="00ED315A"/>
    <w:rsid w:val="00ED3987"/>
    <w:rsid w:val="00EE0830"/>
    <w:rsid w:val="00EE6C04"/>
    <w:rsid w:val="00EE6CB8"/>
    <w:rsid w:val="00EF0683"/>
    <w:rsid w:val="00F0070C"/>
    <w:rsid w:val="00F00EB7"/>
    <w:rsid w:val="00F07010"/>
    <w:rsid w:val="00F10DE5"/>
    <w:rsid w:val="00F24EC5"/>
    <w:rsid w:val="00F27159"/>
    <w:rsid w:val="00F36AB6"/>
    <w:rsid w:val="00F37989"/>
    <w:rsid w:val="00F37A09"/>
    <w:rsid w:val="00F409CE"/>
    <w:rsid w:val="00F4379D"/>
    <w:rsid w:val="00F4455E"/>
    <w:rsid w:val="00F50D2D"/>
    <w:rsid w:val="00F50F3C"/>
    <w:rsid w:val="00F56C8B"/>
    <w:rsid w:val="00F57F48"/>
    <w:rsid w:val="00F62639"/>
    <w:rsid w:val="00F6399B"/>
    <w:rsid w:val="00F66810"/>
    <w:rsid w:val="00F84DF4"/>
    <w:rsid w:val="00F85C97"/>
    <w:rsid w:val="00F96CF1"/>
    <w:rsid w:val="00FB1EB6"/>
    <w:rsid w:val="00FB37D2"/>
    <w:rsid w:val="00FB78EB"/>
    <w:rsid w:val="00FC4EFB"/>
    <w:rsid w:val="00FD068D"/>
    <w:rsid w:val="00FD13AA"/>
    <w:rsid w:val="00FD4F28"/>
    <w:rsid w:val="00FE53FA"/>
    <w:rsid w:val="00FE5B1F"/>
    <w:rsid w:val="00FE6784"/>
    <w:rsid w:val="00FE7A8B"/>
    <w:rsid w:val="00FF2348"/>
    <w:rsid w:val="00FF484C"/>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683D44"/>
    <w:pPr>
      <w:numPr>
        <w:numId w:val="1"/>
      </w:numPr>
      <w:tabs>
        <w:tab w:val="clear" w:pos="1242"/>
        <w:tab w:val="left" w:pos="1166"/>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683D44"/>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5762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5762B"/>
    <w:rPr>
      <w:rFonts w:eastAsiaTheme="minorHAnsi" w:cstheme="minorBidi"/>
      <w:sz w:val="24"/>
      <w:szCs w:val="22"/>
      <w:lang w:eastAsia="en-US"/>
    </w:rPr>
  </w:style>
  <w:style w:type="character" w:customStyle="1" w:styleId="SCCBanSummaryChar">
    <w:name w:val="SCC.BanSummary Char"/>
    <w:basedOn w:val="DefaultParagraphFont"/>
    <w:link w:val="SCCBanSummary"/>
    <w:rsid w:val="0095762B"/>
    <w:rPr>
      <w:b/>
      <w:sz w:val="24"/>
    </w:rPr>
  </w:style>
  <w:style w:type="table" w:styleId="TableGrid">
    <w:name w:val="Table Grid"/>
    <w:basedOn w:val="TableNormal"/>
    <w:uiPriority w:val="59"/>
    <w:rsid w:val="0095762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762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5762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5762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5762B"/>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5762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5762B"/>
    <w:pPr>
      <w:numPr>
        <w:ilvl w:val="2"/>
      </w:numPr>
    </w:pPr>
  </w:style>
  <w:style w:type="paragraph" w:customStyle="1" w:styleId="Title4LevelTitre4Niveau">
    <w:name w:val="Title 4 Level / Titre 4 Niveau"/>
    <w:basedOn w:val="Title3LevelTitre3Niveau"/>
    <w:next w:val="ParaNoNdepar-AltN"/>
    <w:uiPriority w:val="4"/>
    <w:qFormat/>
    <w:rsid w:val="0095762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5762B"/>
    <w:pPr>
      <w:numPr>
        <w:ilvl w:val="4"/>
      </w:numPr>
    </w:pPr>
  </w:style>
  <w:style w:type="paragraph" w:styleId="TOC1">
    <w:name w:val="toc 1"/>
    <w:basedOn w:val="Normal"/>
    <w:next w:val="Normal"/>
    <w:autoRedefine/>
    <w:uiPriority w:val="39"/>
    <w:unhideWhenUsed/>
    <w:rsid w:val="0095762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5762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5762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5762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5762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5762B"/>
    <w:pPr>
      <w:tabs>
        <w:tab w:val="left" w:pos="2160"/>
        <w:tab w:val="right" w:leader="dot" w:pos="8270"/>
      </w:tabs>
      <w:spacing w:after="100"/>
      <w:ind w:left="1800"/>
    </w:pPr>
    <w:rPr>
      <w:noProof/>
    </w:rPr>
  </w:style>
  <w:style w:type="table" w:customStyle="1" w:styleId="TableGrid1">
    <w:name w:val="Table Grid1"/>
    <w:basedOn w:val="TableNormal"/>
    <w:uiPriority w:val="59"/>
    <w:rsid w:val="0095762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5762B"/>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5762B"/>
    <w:pPr>
      <w:numPr>
        <w:ilvl w:val="5"/>
      </w:numPr>
    </w:pPr>
    <w:rPr>
      <w:i/>
      <w:u w:val="none"/>
    </w:rPr>
  </w:style>
  <w:style w:type="paragraph" w:styleId="ListParagraph">
    <w:name w:val="List Paragraph"/>
    <w:basedOn w:val="Normal"/>
    <w:uiPriority w:val="34"/>
    <w:qFormat/>
    <w:rsid w:val="0095762B"/>
    <w:pPr>
      <w:ind w:left="720"/>
      <w:contextualSpacing/>
    </w:pPr>
    <w:rPr>
      <w:szCs w:val="24"/>
    </w:rPr>
  </w:style>
  <w:style w:type="paragraph" w:styleId="FootnoteText">
    <w:name w:val="footnote text"/>
    <w:basedOn w:val="Normal"/>
    <w:link w:val="FootnoteTextChar"/>
    <w:uiPriority w:val="99"/>
    <w:unhideWhenUsed/>
    <w:rsid w:val="0095762B"/>
    <w:rPr>
      <w:sz w:val="20"/>
    </w:rPr>
  </w:style>
  <w:style w:type="character" w:customStyle="1" w:styleId="FootnoteTextChar">
    <w:name w:val="Footnote Text Char"/>
    <w:basedOn w:val="DefaultParagraphFont"/>
    <w:link w:val="FootnoteText"/>
    <w:uiPriority w:val="99"/>
    <w:rsid w:val="0095762B"/>
  </w:style>
  <w:style w:type="character" w:styleId="FootnoteReference">
    <w:name w:val="footnote reference"/>
    <w:basedOn w:val="DefaultParagraphFont"/>
    <w:uiPriority w:val="99"/>
    <w:semiHidden/>
    <w:unhideWhenUsed/>
    <w:rsid w:val="0095762B"/>
    <w:rPr>
      <w:vertAlign w:val="superscript"/>
    </w:rPr>
  </w:style>
  <w:style w:type="paragraph" w:customStyle="1" w:styleId="CITATION">
    <w:name w:val="CITATION"/>
    <w:basedOn w:val="Normal"/>
    <w:next w:val="Normal"/>
    <w:qFormat/>
    <w:rsid w:val="0095762B"/>
    <w:pPr>
      <w:ind w:left="720" w:right="720"/>
      <w:jc w:val="both"/>
    </w:pPr>
  </w:style>
  <w:style w:type="character" w:customStyle="1" w:styleId="11">
    <w:name w:val="11"/>
    <w:basedOn w:val="DefaultParagraphFont"/>
    <w:rsid w:val="0095762B"/>
    <w:rPr>
      <w:rFonts w:ascii="Arial" w:hAnsi="Arial" w:cs="Arial" w:hint="default"/>
    </w:rPr>
  </w:style>
  <w:style w:type="paragraph" w:customStyle="1" w:styleId="QuotePara">
    <w:name w:val="Quote Para"/>
    <w:basedOn w:val="ParaNoNdepar-AltN"/>
    <w:link w:val="QuoteParaChar"/>
    <w:uiPriority w:val="2"/>
    <w:qFormat/>
    <w:rsid w:val="0095762B"/>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95762B"/>
    <w:rPr>
      <w:rFonts w:eastAsiaTheme="minorEastAsia" w:cstheme="minorBidi"/>
      <w:sz w:val="24"/>
      <w:szCs w:val="22"/>
      <w:lang w:val="fr-CA" w:eastAsia="en-US"/>
    </w:rPr>
  </w:style>
  <w:style w:type="character" w:customStyle="1" w:styleId="reflex3-block">
    <w:name w:val="reflex3-block"/>
    <w:basedOn w:val="DefaultParagraphFont"/>
    <w:rsid w:val="0095762B"/>
  </w:style>
  <w:style w:type="character" w:customStyle="1" w:styleId="sccrespondentforrunningheadchar1">
    <w:name w:val="sccrespondentforrunningheadchar1"/>
    <w:basedOn w:val="DefaultParagraphFont"/>
    <w:rsid w:val="0095762B"/>
    <w:rPr>
      <w:rFonts w:ascii="Times New Roman" w:hAnsi="Times New Roman" w:cs="Times New Roman" w:hint="default"/>
      <w:smallCaps/>
    </w:rPr>
  </w:style>
  <w:style w:type="character" w:styleId="SubtleEmphasis">
    <w:name w:val="Subtle Emphasis"/>
    <w:uiPriority w:val="19"/>
    <w:qFormat/>
    <w:rsid w:val="0095762B"/>
    <w:rPr>
      <w:i/>
      <w:iCs/>
    </w:rPr>
  </w:style>
  <w:style w:type="character" w:customStyle="1" w:styleId="term01">
    <w:name w:val="term01"/>
    <w:basedOn w:val="DefaultParagraphFont"/>
    <w:rsid w:val="0095762B"/>
    <w:rPr>
      <w:shd w:val="clear" w:color="auto" w:fill="BFE8FD"/>
    </w:rPr>
  </w:style>
  <w:style w:type="character" w:customStyle="1" w:styleId="term110">
    <w:name w:val="term110"/>
    <w:basedOn w:val="DefaultParagraphFont"/>
    <w:rsid w:val="0095762B"/>
    <w:rPr>
      <w:shd w:val="clear" w:color="auto" w:fill="F3BFFD"/>
    </w:rPr>
  </w:style>
  <w:style w:type="paragraph" w:customStyle="1" w:styleId="level11">
    <w:name w:val="level11"/>
    <w:basedOn w:val="Normal"/>
    <w:rsid w:val="0095762B"/>
    <w:pPr>
      <w:autoSpaceDE w:val="0"/>
      <w:autoSpaceDN w:val="0"/>
    </w:pPr>
    <w:rPr>
      <w:szCs w:val="24"/>
      <w:lang w:val="en-US" w:eastAsia="en-US"/>
    </w:rPr>
  </w:style>
  <w:style w:type="paragraph" w:customStyle="1" w:styleId="mauer1">
    <w:name w:val="mauer1"/>
    <w:basedOn w:val="Normal"/>
    <w:rsid w:val="0095762B"/>
    <w:pPr>
      <w:spacing w:before="260"/>
      <w:ind w:left="720" w:hanging="1440"/>
      <w:jc w:val="both"/>
    </w:pPr>
    <w:rPr>
      <w:rFonts w:ascii="CG Times (W1)" w:hAnsi="CG Times (W1)"/>
      <w:sz w:val="28"/>
      <w:szCs w:val="28"/>
      <w:lang w:val="en-US" w:eastAsia="en-US"/>
    </w:rPr>
  </w:style>
  <w:style w:type="character" w:customStyle="1" w:styleId="reflex3-reflex">
    <w:name w:val="reflex3-reflex"/>
    <w:basedOn w:val="DefaultParagraphFont"/>
    <w:rsid w:val="0095762B"/>
  </w:style>
  <w:style w:type="character" w:customStyle="1" w:styleId="term210">
    <w:name w:val="term210"/>
    <w:basedOn w:val="DefaultParagraphFont"/>
    <w:rsid w:val="0095762B"/>
    <w:rPr>
      <w:shd w:val="clear" w:color="auto" w:fill="FDD3BF"/>
    </w:rPr>
  </w:style>
  <w:style w:type="character" w:styleId="Hyperlink">
    <w:name w:val="Hyperlink"/>
    <w:basedOn w:val="DefaultParagraphFont"/>
    <w:uiPriority w:val="99"/>
    <w:unhideWhenUsed/>
    <w:rsid w:val="0095762B"/>
    <w:rPr>
      <w:color w:val="0000FF"/>
      <w:u w:val="single"/>
    </w:rPr>
  </w:style>
  <w:style w:type="character" w:customStyle="1" w:styleId="decisia-reflex2-icon">
    <w:name w:val="decisia-reflex2-icon"/>
    <w:basedOn w:val="DefaultParagraphFont"/>
    <w:rsid w:val="0095762B"/>
    <w:rPr>
      <w:strike w:val="0"/>
      <w:dstrike w:val="0"/>
      <w:sz w:val="19"/>
      <w:szCs w:val="19"/>
      <w:u w:val="none"/>
      <w:effect w:val="none"/>
    </w:rPr>
  </w:style>
  <w:style w:type="paragraph" w:customStyle="1" w:styleId="longquotes1">
    <w:name w:val="longquotes1"/>
    <w:basedOn w:val="Normal"/>
    <w:rsid w:val="0095762B"/>
    <w:pPr>
      <w:autoSpaceDE w:val="0"/>
      <w:autoSpaceDN w:val="0"/>
      <w:ind w:left="1080"/>
      <w:jc w:val="both"/>
    </w:pPr>
    <w:rPr>
      <w:szCs w:val="24"/>
      <w:lang w:val="en-US" w:eastAsia="en-US"/>
    </w:rPr>
  </w:style>
  <w:style w:type="character" w:customStyle="1" w:styleId="term310">
    <w:name w:val="term310"/>
    <w:basedOn w:val="DefaultParagraphFont"/>
    <w:rsid w:val="0095762B"/>
    <w:rPr>
      <w:shd w:val="clear" w:color="auto" w:fill="C9FDBF"/>
    </w:rPr>
  </w:style>
  <w:style w:type="paragraph" w:customStyle="1" w:styleId="scjquote1">
    <w:name w:val="scjquote1"/>
    <w:basedOn w:val="Normal"/>
    <w:rsid w:val="0095762B"/>
    <w:pPr>
      <w:spacing w:after="120"/>
      <w:ind w:left="720" w:right="720"/>
    </w:pPr>
    <w:rPr>
      <w:rFonts w:ascii="Arial (W1)" w:hAnsi="Arial (W1)"/>
      <w:sz w:val="22"/>
      <w:szCs w:val="22"/>
      <w:lang w:val="fr-CA" w:eastAsia="fr-CA"/>
    </w:rPr>
  </w:style>
  <w:style w:type="character" w:customStyle="1" w:styleId="SCCLsocPartyRoleChar">
    <w:name w:val="SCC.Lsoc.PartyRole Char"/>
    <w:basedOn w:val="DefaultParagraphFont"/>
    <w:rsid w:val="000779B7"/>
    <w:rPr>
      <w:lang w:val="fr-CA"/>
    </w:rPr>
  </w:style>
  <w:style w:type="paragraph" w:customStyle="1" w:styleId="SCCLsocPrefix">
    <w:name w:val="SCC.Lsoc.Prefix"/>
    <w:basedOn w:val="Normal"/>
    <w:next w:val="Normal"/>
    <w:link w:val="SCCLsocPrefixChar"/>
    <w:rsid w:val="000779B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779B7"/>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629D4-FC39-4556-92A7-BDAD5C5F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13745</Words>
  <Characters>78348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2015-05-15T17:49:00Z</dcterms:created>
  <dcterms:modified xsi:type="dcterms:W3CDTF">2015-10-06T18:01:00Z</dcterms:modified>
</cp:coreProperties>
</file>