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11" w:rsidRDefault="00605B11" w:rsidP="00605B11">
      <w:pPr>
        <w:pStyle w:val="Header"/>
      </w:pPr>
      <w:r>
        <w:ptab w:relativeTo="margin" w:alignment="center" w:leader="none"/>
      </w:r>
      <w:r w:rsidRPr="00F72014">
        <w:t xml:space="preserve"> </w:t>
      </w:r>
      <w:r>
        <w:object w:dxaOrig="1365" w:dyaOrig="1440">
          <v:shape id="_x0000_i1030" type="#_x0000_t75" style="width:61.2pt;height:64.8pt" o:ole="">
            <v:imagedata r:id="rId8" o:title=""/>
          </v:shape>
          <o:OLEObject Type="Embed" ProgID="Presentations.Drawing.13" ShapeID="_x0000_i1030" DrawAspect="Content" ObjectID="_1508659239" r:id="rId9"/>
        </w:object>
      </w:r>
      <w:r>
        <w:t xml:space="preserve"> </w:t>
      </w:r>
      <w:r>
        <w:ptab w:relativeTo="margin" w:alignment="right" w:leader="none"/>
      </w:r>
    </w:p>
    <w:p w:rsidR="00605B11" w:rsidRDefault="00605B11" w:rsidP="00605B11">
      <w:pPr>
        <w:pStyle w:val="Header"/>
      </w:pPr>
    </w:p>
    <w:p w:rsidR="00605B11" w:rsidRPr="001E12E2" w:rsidRDefault="00605B11" w:rsidP="00605B11">
      <w:pPr>
        <w:jc w:val="center"/>
        <w:rPr>
          <w:b/>
        </w:rPr>
      </w:pPr>
      <w:r w:rsidRPr="001E12E2">
        <w:rPr>
          <w:b/>
        </w:rPr>
        <w:t>COUR SUPRÊME DU CANADA</w:t>
      </w:r>
    </w:p>
    <w:p w:rsidR="00605B11" w:rsidRDefault="00605B11" w:rsidP="00605B1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605B11" w:rsidRPr="001E12E2" w:rsidTr="00717183">
        <w:trPr>
          <w:cantSplit/>
        </w:trPr>
        <w:tc>
          <w:tcPr>
            <w:tcW w:w="6768" w:type="dxa"/>
          </w:tcPr>
          <w:p w:rsidR="00605B11" w:rsidRPr="000B321E" w:rsidRDefault="00605B11" w:rsidP="00717183">
            <w:pPr>
              <w:rPr>
                <w:lang w:val="fr-CA"/>
              </w:rPr>
            </w:pPr>
            <w:r w:rsidRPr="00605B11">
              <w:rPr>
                <w:b/>
                <w:smallCaps/>
                <w:lang w:val="fr-CA"/>
              </w:rPr>
              <w:t>Référence :</w:t>
            </w:r>
            <w:r w:rsidRPr="00605B11">
              <w:rPr>
                <w:lang w:val="fr-CA"/>
              </w:rPr>
              <w:t xml:space="preserve"> R. </w:t>
            </w:r>
            <w:r w:rsidRPr="00605B11">
              <w:rPr>
                <w:i/>
                <w:lang w:val="fr-CA"/>
              </w:rPr>
              <w:t>c.</w:t>
            </w:r>
            <w:r w:rsidRPr="00605B11">
              <w:rPr>
                <w:lang w:val="fr-CA"/>
              </w:rPr>
              <w:t xml:space="preserve"> St-Cloud, 2015 CSC 27</w:t>
            </w:r>
            <w:r w:rsidR="000B321E">
              <w:rPr>
                <w:lang w:val="fr-CA"/>
              </w:rPr>
              <w:t xml:space="preserve">, </w:t>
            </w:r>
            <w:bookmarkStart w:id="0" w:name="_GoBack"/>
            <w:bookmarkEnd w:id="0"/>
            <w:r w:rsidR="000B321E" w:rsidRPr="000B321E">
              <w:rPr>
                <w:lang w:val="fr-CA"/>
              </w:rPr>
              <w:t>[2015] 2 R.C.S. 328</w:t>
            </w:r>
          </w:p>
        </w:tc>
        <w:tc>
          <w:tcPr>
            <w:tcW w:w="2808" w:type="dxa"/>
          </w:tcPr>
          <w:p w:rsidR="00605B11" w:rsidRPr="001E12E2" w:rsidRDefault="00605B11" w:rsidP="00717183">
            <w:r w:rsidRPr="001E12E2">
              <w:rPr>
                <w:b/>
                <w:smallCaps/>
              </w:rPr>
              <w:t>Date</w:t>
            </w:r>
            <w:r>
              <w:rPr>
                <w:b/>
                <w:smallCaps/>
              </w:rPr>
              <w:t> :</w:t>
            </w:r>
            <w:r w:rsidRPr="001E12E2">
              <w:t xml:space="preserve"> </w:t>
            </w:r>
            <w:r>
              <w:t>20150515</w:t>
            </w:r>
          </w:p>
          <w:p w:rsidR="00605B11" w:rsidRPr="001E12E2" w:rsidRDefault="00605B11" w:rsidP="00717183">
            <w:r w:rsidRPr="001E12E2">
              <w:rPr>
                <w:b/>
                <w:smallCaps/>
              </w:rPr>
              <w:t>Do</w:t>
            </w:r>
            <w:r>
              <w:rPr>
                <w:b/>
                <w:smallCaps/>
              </w:rPr>
              <w:t>ssier :</w:t>
            </w:r>
            <w:r w:rsidRPr="001E12E2">
              <w:t xml:space="preserve"> </w:t>
            </w:r>
            <w:r>
              <w:t>35626</w:t>
            </w:r>
          </w:p>
        </w:tc>
      </w:tr>
    </w:tbl>
    <w:p w:rsidR="00605B11" w:rsidRPr="001E12E2" w:rsidRDefault="00605B11" w:rsidP="00605B11"/>
    <w:p w:rsidR="00605B11" w:rsidRDefault="00605B11" w:rsidP="00605B11">
      <w:pPr>
        <w:pStyle w:val="SCCLsocPrefix"/>
      </w:pPr>
      <w:r>
        <w:t>Entre :</w:t>
      </w:r>
    </w:p>
    <w:p w:rsidR="00605B11" w:rsidRDefault="00605B11" w:rsidP="00605B11">
      <w:pPr>
        <w:pStyle w:val="SCCLsocParty"/>
        <w:jc w:val="center"/>
      </w:pPr>
      <w:r>
        <w:t>Sa Majesté la Reine</w:t>
      </w:r>
    </w:p>
    <w:p w:rsidR="00605B11" w:rsidRDefault="00605B11" w:rsidP="00605B11">
      <w:pPr>
        <w:jc w:val="center"/>
      </w:pPr>
      <w:r>
        <w:t>Appelante</w:t>
      </w:r>
    </w:p>
    <w:p w:rsidR="00605B11" w:rsidRPr="00605B11" w:rsidRDefault="00605B11" w:rsidP="00605B11">
      <w:pPr>
        <w:pStyle w:val="SCCLsocVersus"/>
        <w:spacing w:after="0"/>
        <w:jc w:val="center"/>
        <w:rPr>
          <w:i w:val="0"/>
        </w:rPr>
      </w:pPr>
      <w:r w:rsidRPr="00605B11">
        <w:rPr>
          <w:i w:val="0"/>
        </w:rPr>
        <w:t>et</w:t>
      </w:r>
    </w:p>
    <w:p w:rsidR="00605B11" w:rsidRPr="00605B11" w:rsidRDefault="00605B11" w:rsidP="00605B11">
      <w:pPr>
        <w:pStyle w:val="SCCLsocParty"/>
        <w:jc w:val="center"/>
        <w:rPr>
          <w:lang w:val="fr-CA"/>
        </w:rPr>
      </w:pPr>
      <w:r w:rsidRPr="00605B11">
        <w:rPr>
          <w:lang w:val="fr-CA"/>
        </w:rPr>
        <w:t>Jeffrey St-Cloud</w:t>
      </w:r>
    </w:p>
    <w:p w:rsidR="00605B11" w:rsidRPr="00605B11" w:rsidRDefault="00605B11" w:rsidP="00605B11">
      <w:pPr>
        <w:jc w:val="center"/>
        <w:rPr>
          <w:lang w:val="fr-CA"/>
        </w:rPr>
      </w:pPr>
      <w:r w:rsidRPr="00605B11">
        <w:rPr>
          <w:lang w:val="fr-CA"/>
        </w:rPr>
        <w:t>Intimé</w:t>
      </w:r>
    </w:p>
    <w:p w:rsidR="00605B11" w:rsidRPr="00605B11" w:rsidRDefault="00605B11" w:rsidP="00605B11">
      <w:pPr>
        <w:pStyle w:val="SCCLsocOtherPartySeparator"/>
        <w:spacing w:after="0"/>
        <w:jc w:val="center"/>
        <w:rPr>
          <w:lang w:val="fr-CA"/>
        </w:rPr>
      </w:pPr>
      <w:r w:rsidRPr="00605B11">
        <w:rPr>
          <w:lang w:val="fr-CA"/>
        </w:rPr>
        <w:t>- et -</w:t>
      </w:r>
    </w:p>
    <w:p w:rsidR="00605B11" w:rsidRPr="00605B11" w:rsidRDefault="00605B11" w:rsidP="00605B11">
      <w:pPr>
        <w:pStyle w:val="SCCLsocParty"/>
        <w:jc w:val="center"/>
        <w:rPr>
          <w:lang w:val="fr-CA"/>
        </w:rPr>
      </w:pPr>
      <w:r w:rsidRPr="00605B11">
        <w:rPr>
          <w:lang w:val="fr-CA"/>
        </w:rPr>
        <w:t>Procureur général de l’Ontario,</w:t>
      </w:r>
    </w:p>
    <w:p w:rsidR="00605B11" w:rsidRPr="00605B11" w:rsidRDefault="00605B11" w:rsidP="00605B11">
      <w:pPr>
        <w:pStyle w:val="SCCLsocParty"/>
        <w:jc w:val="center"/>
        <w:rPr>
          <w:lang w:val="fr-CA"/>
        </w:rPr>
      </w:pPr>
      <w:r w:rsidRPr="00605B11">
        <w:rPr>
          <w:lang w:val="fr-CA"/>
        </w:rPr>
        <w:t>Criminal Lawyers’ Association (Ontario) et</w:t>
      </w:r>
    </w:p>
    <w:p w:rsidR="00605B11" w:rsidRPr="00605B11" w:rsidRDefault="00605B11" w:rsidP="00605B11">
      <w:pPr>
        <w:pStyle w:val="SCCLsocParty"/>
        <w:jc w:val="center"/>
        <w:rPr>
          <w:lang w:val="fr-CA"/>
        </w:rPr>
      </w:pPr>
      <w:r w:rsidRPr="00605B11">
        <w:rPr>
          <w:lang w:val="fr-CA"/>
        </w:rPr>
        <w:t>Association canadienne des libertés civiles</w:t>
      </w:r>
    </w:p>
    <w:p w:rsidR="00605B11" w:rsidRPr="00605B11" w:rsidRDefault="00605B11" w:rsidP="00605B11">
      <w:pPr>
        <w:jc w:val="center"/>
        <w:rPr>
          <w:lang w:val="fr-CA"/>
        </w:rPr>
      </w:pPr>
      <w:r w:rsidRPr="00605B11">
        <w:rPr>
          <w:lang w:val="fr-CA"/>
        </w:rPr>
        <w:t>Intervenants</w:t>
      </w:r>
    </w:p>
    <w:p w:rsidR="00605B11" w:rsidRPr="00605B11" w:rsidRDefault="00605B11" w:rsidP="00605B11">
      <w:pPr>
        <w:rPr>
          <w:lang w:val="fr-CA"/>
        </w:rPr>
      </w:pPr>
    </w:p>
    <w:p w:rsidR="00605B11" w:rsidRPr="00605B11" w:rsidRDefault="00605B11" w:rsidP="00605B11">
      <w:pPr>
        <w:rPr>
          <w:lang w:val="fr-CA"/>
        </w:rPr>
      </w:pPr>
    </w:p>
    <w:p w:rsidR="00605B11" w:rsidRPr="00605B11" w:rsidRDefault="00605B11" w:rsidP="00605B11">
      <w:pPr>
        <w:rPr>
          <w:lang w:val="fr-CA"/>
        </w:rPr>
      </w:pPr>
      <w:r w:rsidRPr="00605B11">
        <w:rPr>
          <w:b/>
          <w:smallCaps/>
          <w:lang w:val="fr-CA"/>
        </w:rPr>
        <w:t>Coram :</w:t>
      </w:r>
      <w:r w:rsidRPr="00605B11">
        <w:rPr>
          <w:lang w:val="fr-CA"/>
        </w:rPr>
        <w:t xml:space="preserve"> La juge en chef McLachlin et les juges Abella, Rothstein, Moldaver, Karakatsanis, Wagner et Gascon</w:t>
      </w:r>
    </w:p>
    <w:p w:rsidR="00605B11" w:rsidRPr="00605B11" w:rsidRDefault="00605B11" w:rsidP="00605B1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05B11" w:rsidRPr="00605B11" w:rsidTr="00717183">
        <w:trPr>
          <w:cantSplit/>
        </w:trPr>
        <w:tc>
          <w:tcPr>
            <w:tcW w:w="3618" w:type="dxa"/>
          </w:tcPr>
          <w:p w:rsidR="00605B11" w:rsidRPr="00605B11" w:rsidRDefault="00605B11" w:rsidP="00717183">
            <w:pPr>
              <w:rPr>
                <w:b/>
                <w:smallCaps/>
                <w:lang w:val="fr-CA"/>
              </w:rPr>
            </w:pPr>
            <w:r w:rsidRPr="00605B11">
              <w:rPr>
                <w:b/>
                <w:smallCaps/>
                <w:lang w:val="fr-CA"/>
              </w:rPr>
              <w:t>Motifs de jugement :</w:t>
            </w:r>
          </w:p>
          <w:p w:rsidR="00605B11" w:rsidRPr="00605B11" w:rsidRDefault="00605B11" w:rsidP="00717183">
            <w:pPr>
              <w:rPr>
                <w:lang w:val="fr-CA"/>
              </w:rPr>
            </w:pPr>
            <w:r w:rsidRPr="00605B11">
              <w:rPr>
                <w:lang w:val="fr-CA"/>
              </w:rPr>
              <w:t>(par. 1 à 168)</w:t>
            </w:r>
          </w:p>
        </w:tc>
        <w:tc>
          <w:tcPr>
            <w:tcW w:w="5958" w:type="dxa"/>
          </w:tcPr>
          <w:p w:rsidR="00605B11" w:rsidRPr="00605B11" w:rsidRDefault="00605B11" w:rsidP="00717183">
            <w:pPr>
              <w:rPr>
                <w:lang w:val="fr-CA"/>
              </w:rPr>
            </w:pPr>
            <w:r w:rsidRPr="00605B11">
              <w:rPr>
                <w:lang w:val="fr-CA"/>
              </w:rPr>
              <w:t>Le juge Wagner (avec l’accord de la juge en chef McLachlin et des juges Abella, Rothstein, Moldaver, Karakatsanis et Gascon)</w:t>
            </w:r>
          </w:p>
        </w:tc>
      </w:tr>
    </w:tbl>
    <w:p w:rsidR="00605B11" w:rsidRPr="00605B11" w:rsidRDefault="00605B11" w:rsidP="00605B11">
      <w:pPr>
        <w:rPr>
          <w:lang w:val="fr-CA"/>
        </w:rPr>
      </w:pPr>
    </w:p>
    <w:p w:rsidR="00605B11" w:rsidRPr="00605B11" w:rsidRDefault="00605B11" w:rsidP="00605B11">
      <w:pPr>
        <w:rPr>
          <w:lang w:val="fr-CA"/>
        </w:rPr>
      </w:pPr>
      <w:r>
        <w:rPr>
          <w:noProof/>
          <w:lang w:val="fr-CA"/>
        </w:rPr>
        <w:pict>
          <v:shapetype id="_x0000_t32" coordsize="21600,21600" o:spt="32" o:oned="t" path="m,l21600,21600e" filled="f">
            <v:path arrowok="t" fillok="f" o:connecttype="none"/>
            <o:lock v:ext="edit" shapetype="t"/>
          </v:shapetype>
          <v:shape id="_x0000_s1031" type="#_x0000_t32" style="position:absolute;margin-left:126.75pt;margin-top:14.5pt;width:197.25pt;height:0;z-index:251659264" o:connectortype="straight"/>
        </w:pict>
      </w:r>
    </w:p>
    <w:p w:rsidR="00605B11" w:rsidRPr="00605B11" w:rsidRDefault="00605B11" w:rsidP="00CE3216">
      <w:pPr>
        <w:widowControl w:val="0"/>
        <w:spacing w:after="720"/>
        <w:jc w:val="both"/>
        <w:rPr>
          <w:rStyle w:val="SCCAppellantForRunningHeadChar"/>
          <w:smallCaps w:val="0"/>
          <w:lang w:val="fr-CA"/>
        </w:rPr>
      </w:pPr>
    </w:p>
    <w:p w:rsidR="004D7D95" w:rsidRPr="002A2925" w:rsidRDefault="002A2925" w:rsidP="00CE3216">
      <w:pPr>
        <w:widowControl w:val="0"/>
        <w:spacing w:after="720"/>
        <w:jc w:val="both"/>
        <w:rPr>
          <w:smallCaps/>
          <w:lang w:val="en-US"/>
        </w:rPr>
      </w:pPr>
      <w:r w:rsidRPr="002A2925">
        <w:rPr>
          <w:rStyle w:val="SCCAppellantForRunningHeadChar"/>
          <w:smallCaps w:val="0"/>
          <w:lang w:val="en-US"/>
        </w:rPr>
        <w:t>R</w:t>
      </w:r>
      <w:r w:rsidR="004D7D95" w:rsidRPr="002A2925">
        <w:rPr>
          <w:rStyle w:val="SCCAppellantForRunningHeadChar"/>
          <w:smallCaps w:val="0"/>
          <w:lang w:val="en-US"/>
        </w:rPr>
        <w:t>.</w:t>
      </w:r>
      <w:r w:rsidR="004D7D95" w:rsidRPr="002A2925">
        <w:rPr>
          <w:smallCaps/>
          <w:lang w:val="en-US"/>
        </w:rPr>
        <w:t xml:space="preserve"> </w:t>
      </w:r>
      <w:r w:rsidR="004D7D95" w:rsidRPr="002A2925">
        <w:rPr>
          <w:i/>
          <w:lang w:val="en-US"/>
        </w:rPr>
        <w:t>c</w:t>
      </w:r>
      <w:r w:rsidR="004D7D95" w:rsidRPr="002A2925">
        <w:rPr>
          <w:i/>
          <w:smallCaps/>
          <w:lang w:val="en-US"/>
        </w:rPr>
        <w:t>.</w:t>
      </w:r>
      <w:r w:rsidR="004D7D95" w:rsidRPr="002A2925">
        <w:rPr>
          <w:smallCaps/>
          <w:lang w:val="en-US"/>
        </w:rPr>
        <w:t xml:space="preserve"> </w:t>
      </w:r>
      <w:r w:rsidRPr="002A2925">
        <w:rPr>
          <w:rStyle w:val="SCCRespondentForRunningHeadChar"/>
          <w:smallCaps w:val="0"/>
          <w:lang w:val="en-US"/>
        </w:rPr>
        <w:t>S</w:t>
      </w:r>
      <w:r w:rsidR="00BD0523" w:rsidRPr="002A2925">
        <w:rPr>
          <w:rStyle w:val="SCCRespondentForRunningHeadChar"/>
          <w:smallCaps w:val="0"/>
          <w:lang w:val="en-US"/>
        </w:rPr>
        <w:t>t</w:t>
      </w:r>
      <w:r w:rsidR="00CE3216" w:rsidRPr="002A2925">
        <w:rPr>
          <w:rStyle w:val="SCCRespondentForRunningHeadChar"/>
          <w:smallCaps w:val="0"/>
          <w:lang w:val="en-US"/>
        </w:rPr>
        <w:t>-</w:t>
      </w:r>
      <w:r w:rsidRPr="002A2925">
        <w:rPr>
          <w:rStyle w:val="SCCRespondentForRunningHeadChar"/>
          <w:smallCaps w:val="0"/>
          <w:lang w:val="en-US"/>
        </w:rPr>
        <w:t>C</w:t>
      </w:r>
      <w:r w:rsidR="004D7D95" w:rsidRPr="002A2925">
        <w:rPr>
          <w:rStyle w:val="SCCRespondentForRunningHeadChar"/>
          <w:smallCaps w:val="0"/>
          <w:lang w:val="en-US"/>
        </w:rPr>
        <w:t>loud</w:t>
      </w:r>
      <w:r w:rsidRPr="002A2925">
        <w:rPr>
          <w:rStyle w:val="SCCRespondentForRunningHeadChar"/>
          <w:smallCaps w:val="0"/>
          <w:lang w:val="en-US"/>
        </w:rPr>
        <w:t xml:space="preserve">, </w:t>
      </w:r>
      <w:r w:rsidRPr="002A2925">
        <w:rPr>
          <w:lang w:val="en-US"/>
        </w:rPr>
        <w:t>2015 CSC 27</w:t>
      </w:r>
      <w:r>
        <w:rPr>
          <w:lang w:val="en-US"/>
        </w:rPr>
        <w:t>, [2015] 2 R.C.S. 328</w:t>
      </w:r>
    </w:p>
    <w:p w:rsidR="00D91B14" w:rsidRPr="00CF55F6" w:rsidRDefault="003465B6" w:rsidP="00CE3216">
      <w:pPr>
        <w:pStyle w:val="SCCLsocLastPartyInRole"/>
        <w:widowControl w:val="0"/>
        <w:rPr>
          <w:lang w:val="fr-CA"/>
        </w:rPr>
      </w:pPr>
      <w:r w:rsidRPr="00CF55F6">
        <w:rPr>
          <w:lang w:val="fr-CA"/>
        </w:rPr>
        <w:t>Sa Majesté la Reine</w:t>
      </w:r>
      <w:r w:rsidRPr="00CF55F6">
        <w:rPr>
          <w:rStyle w:val="SCCLsocPartyRole"/>
          <w:lang w:val="fr-CA"/>
        </w:rPr>
        <w:tab/>
        <w:t>Appelante</w:t>
      </w:r>
    </w:p>
    <w:p w:rsidR="00D91B14" w:rsidRPr="00CF55F6" w:rsidRDefault="003465B6" w:rsidP="00CE3216">
      <w:pPr>
        <w:pStyle w:val="SCCLsocVersus"/>
        <w:widowControl w:val="0"/>
        <w:rPr>
          <w:lang w:val="fr-CA"/>
        </w:rPr>
      </w:pPr>
      <w:r w:rsidRPr="00CF55F6">
        <w:rPr>
          <w:lang w:val="fr-CA"/>
        </w:rPr>
        <w:t>c.</w:t>
      </w:r>
    </w:p>
    <w:p w:rsidR="00D91B14" w:rsidRPr="00CF55F6" w:rsidRDefault="003465B6" w:rsidP="00CE3216">
      <w:pPr>
        <w:pStyle w:val="SCCLsocLastPartyInRole"/>
        <w:widowControl w:val="0"/>
        <w:rPr>
          <w:lang w:val="fr-CA"/>
        </w:rPr>
      </w:pPr>
      <w:r w:rsidRPr="00CF55F6">
        <w:rPr>
          <w:lang w:val="fr-CA"/>
        </w:rPr>
        <w:lastRenderedPageBreak/>
        <w:t>Jeffrey St</w:t>
      </w:r>
      <w:r w:rsidR="00CE3216">
        <w:rPr>
          <w:lang w:val="fr-CA"/>
        </w:rPr>
        <w:t>-</w:t>
      </w:r>
      <w:r w:rsidRPr="00CF55F6">
        <w:rPr>
          <w:lang w:val="fr-CA"/>
        </w:rPr>
        <w:t>Cloud</w:t>
      </w:r>
      <w:r w:rsidRPr="00CF55F6">
        <w:rPr>
          <w:rStyle w:val="SCCLsocPartyRole"/>
          <w:lang w:val="fr-CA"/>
        </w:rPr>
        <w:tab/>
        <w:t>Intimé</w:t>
      </w:r>
    </w:p>
    <w:p w:rsidR="00D91B14" w:rsidRPr="00CF55F6" w:rsidRDefault="003465B6" w:rsidP="00CE3216">
      <w:pPr>
        <w:pStyle w:val="SCCLsocOtherPartySeparator"/>
        <w:widowControl w:val="0"/>
        <w:rPr>
          <w:lang w:val="fr-CA"/>
        </w:rPr>
      </w:pPr>
      <w:r w:rsidRPr="00CF55F6">
        <w:rPr>
          <w:lang w:val="fr-CA"/>
        </w:rPr>
        <w:t>et</w:t>
      </w:r>
    </w:p>
    <w:p w:rsidR="00D91B14" w:rsidRPr="00CF55F6" w:rsidRDefault="003465B6" w:rsidP="00CE3216">
      <w:pPr>
        <w:pStyle w:val="SCCLsocParty"/>
        <w:widowControl w:val="0"/>
        <w:rPr>
          <w:lang w:val="fr-CA"/>
        </w:rPr>
      </w:pPr>
      <w:r w:rsidRPr="00CF55F6">
        <w:rPr>
          <w:lang w:val="fr-CA"/>
        </w:rPr>
        <w:t>Procureur général de l</w:t>
      </w:r>
      <w:r w:rsidR="000A16C8" w:rsidRPr="00CF55F6">
        <w:rPr>
          <w:lang w:val="fr-CA"/>
        </w:rPr>
        <w:t>’</w:t>
      </w:r>
      <w:r w:rsidRPr="00CF55F6">
        <w:rPr>
          <w:lang w:val="fr-CA"/>
        </w:rPr>
        <w:t>Ontario,</w:t>
      </w:r>
    </w:p>
    <w:p w:rsidR="00D91B14" w:rsidRPr="00CF55F6" w:rsidRDefault="003465B6" w:rsidP="00CE3216">
      <w:pPr>
        <w:pStyle w:val="SCCLsocParty"/>
        <w:widowControl w:val="0"/>
        <w:rPr>
          <w:lang w:val="fr-CA"/>
        </w:rPr>
      </w:pPr>
      <w:r w:rsidRPr="00CF55F6">
        <w:rPr>
          <w:lang w:val="fr-CA"/>
        </w:rPr>
        <w:t>Criminal Lawyers</w:t>
      </w:r>
      <w:r w:rsidR="000A16C8" w:rsidRPr="00CF55F6">
        <w:rPr>
          <w:lang w:val="fr-CA"/>
        </w:rPr>
        <w:t>’</w:t>
      </w:r>
      <w:r w:rsidRPr="00CF55F6">
        <w:rPr>
          <w:lang w:val="fr-CA"/>
        </w:rPr>
        <w:t xml:space="preserve"> Association (Ontario)</w:t>
      </w:r>
      <w:r w:rsidR="00BD0523" w:rsidRPr="00CF55F6">
        <w:rPr>
          <w:lang w:val="fr-CA"/>
        </w:rPr>
        <w:t xml:space="preserve"> et</w:t>
      </w:r>
    </w:p>
    <w:p w:rsidR="00D91B14" w:rsidRPr="00CF55F6" w:rsidRDefault="008F6B14" w:rsidP="00CE3216">
      <w:pPr>
        <w:pStyle w:val="SCCLsocLastPartyInRole"/>
        <w:widowControl w:val="0"/>
        <w:rPr>
          <w:lang w:val="fr-CA"/>
        </w:rPr>
      </w:pPr>
      <w:r w:rsidRPr="00C45EB1">
        <w:rPr>
          <w:lang w:val="fr-CA"/>
        </w:rPr>
        <w:t>Association canadienne des libertés civiles</w:t>
      </w:r>
      <w:r w:rsidR="003465B6" w:rsidRPr="00CF55F6">
        <w:rPr>
          <w:rStyle w:val="SCCLsocPartyRole"/>
          <w:lang w:val="fr-CA"/>
        </w:rPr>
        <w:tab/>
        <w:t>Intervenants</w:t>
      </w:r>
    </w:p>
    <w:p w:rsidR="004D7D95" w:rsidRPr="00CF55F6" w:rsidRDefault="004D7D95" w:rsidP="00CE3216">
      <w:pPr>
        <w:widowControl w:val="0"/>
        <w:spacing w:after="720"/>
        <w:jc w:val="both"/>
        <w:rPr>
          <w:b/>
          <w:lang w:val="fr-CA"/>
        </w:rPr>
      </w:pPr>
      <w:r w:rsidRPr="00BB4C92">
        <w:rPr>
          <w:b/>
          <w:lang w:val="fr-CA"/>
        </w:rPr>
        <w:t>Répertorié</w:t>
      </w:r>
      <w:r w:rsidR="00CE3216">
        <w:rPr>
          <w:b/>
          <w:lang w:val="fr-CA"/>
        </w:rPr>
        <w:t xml:space="preserve"> : </w:t>
      </w:r>
      <w:r w:rsidRPr="00CF55F6">
        <w:rPr>
          <w:rStyle w:val="SCCAppellantForIndexChar"/>
          <w:lang w:val="fr-CA"/>
        </w:rPr>
        <w:t>R.</w:t>
      </w:r>
      <w:r w:rsidRPr="00BB4C92">
        <w:rPr>
          <w:b/>
          <w:lang w:val="fr-CA"/>
        </w:rPr>
        <w:t xml:space="preserve"> </w:t>
      </w:r>
      <w:r w:rsidRPr="00BB4C92">
        <w:rPr>
          <w:b/>
          <w:i/>
          <w:lang w:val="fr-CA"/>
        </w:rPr>
        <w:t>c.</w:t>
      </w:r>
      <w:r w:rsidRPr="00BB4C92">
        <w:rPr>
          <w:b/>
          <w:lang w:val="fr-CA"/>
        </w:rPr>
        <w:t xml:space="preserve"> </w:t>
      </w:r>
      <w:r w:rsidRPr="00CF55F6">
        <w:rPr>
          <w:rStyle w:val="SCCRespondentForIndexChar"/>
          <w:lang w:val="fr-CA"/>
        </w:rPr>
        <w:t>St</w:t>
      </w:r>
      <w:r w:rsidR="00CE3216">
        <w:rPr>
          <w:rStyle w:val="SCCRespondentForIndexChar"/>
          <w:lang w:val="fr-CA"/>
        </w:rPr>
        <w:t>-</w:t>
      </w:r>
      <w:r w:rsidRPr="00CF55F6">
        <w:rPr>
          <w:rStyle w:val="SCCRespondentForIndexChar"/>
          <w:lang w:val="fr-CA"/>
        </w:rPr>
        <w:t>Cloud</w:t>
      </w:r>
    </w:p>
    <w:p w:rsidR="004D7D95" w:rsidRPr="00CF55F6" w:rsidRDefault="00F62639" w:rsidP="00CE3216">
      <w:pPr>
        <w:pStyle w:val="SCCSystemYear"/>
        <w:widowControl w:val="0"/>
        <w:spacing w:after="720"/>
        <w:jc w:val="both"/>
        <w:rPr>
          <w:lang w:val="fr-CA"/>
        </w:rPr>
      </w:pPr>
      <w:r w:rsidRPr="00CF55F6">
        <w:rPr>
          <w:lang w:val="fr-CA"/>
        </w:rPr>
        <w:t>201</w:t>
      </w:r>
      <w:r w:rsidR="008F6B14" w:rsidRPr="00CF55F6">
        <w:rPr>
          <w:lang w:val="fr-CA"/>
        </w:rPr>
        <w:t>5</w:t>
      </w:r>
      <w:r w:rsidR="00AB190C">
        <w:rPr>
          <w:lang w:val="fr-CA"/>
        </w:rPr>
        <w:t xml:space="preserve"> CSC</w:t>
      </w:r>
      <w:r w:rsidR="00CE3216">
        <w:rPr>
          <w:lang w:val="fr-CA"/>
        </w:rPr>
        <w:t xml:space="preserve"> </w:t>
      </w:r>
      <w:r w:rsidR="00202879">
        <w:rPr>
          <w:lang w:val="fr-CA"/>
        </w:rPr>
        <w:t>27</w:t>
      </w:r>
    </w:p>
    <w:p w:rsidR="004D7D95" w:rsidRPr="00CF55F6" w:rsidRDefault="004D7D95" w:rsidP="00CE3216">
      <w:pPr>
        <w:widowControl w:val="0"/>
        <w:spacing w:after="720"/>
        <w:jc w:val="both"/>
        <w:rPr>
          <w:lang w:val="fr-CA"/>
        </w:rPr>
      </w:pPr>
      <w:r w:rsidRPr="00CF55F6">
        <w:rPr>
          <w:lang w:val="fr-CA"/>
        </w:rPr>
        <w:t>N</w:t>
      </w:r>
      <w:r w:rsidRPr="00CF55F6">
        <w:rPr>
          <w:vertAlign w:val="superscript"/>
          <w:lang w:val="fr-CA"/>
        </w:rPr>
        <w:t>o</w:t>
      </w:r>
      <w:r w:rsidRPr="00CF55F6">
        <w:rPr>
          <w:lang w:val="fr-CA"/>
        </w:rPr>
        <w:t xml:space="preserve"> du greffe</w:t>
      </w:r>
      <w:r w:rsidR="00CE3216">
        <w:rPr>
          <w:lang w:val="fr-CA"/>
        </w:rPr>
        <w:t xml:space="preserve"> : </w:t>
      </w:r>
      <w:r w:rsidRPr="00CF55F6">
        <w:rPr>
          <w:lang w:val="fr-CA"/>
        </w:rPr>
        <w:t>35626.</w:t>
      </w:r>
    </w:p>
    <w:p w:rsidR="004D7D95" w:rsidRPr="00CF55F6" w:rsidRDefault="00F62639" w:rsidP="00CE3216">
      <w:pPr>
        <w:widowControl w:val="0"/>
        <w:spacing w:after="720"/>
        <w:jc w:val="both"/>
        <w:rPr>
          <w:lang w:val="fr-CA"/>
        </w:rPr>
      </w:pPr>
      <w:r w:rsidRPr="00CF55F6">
        <w:rPr>
          <w:lang w:val="fr-CA"/>
        </w:rPr>
        <w:t>2014</w:t>
      </w:r>
      <w:r w:rsidR="00CE3216">
        <w:rPr>
          <w:lang w:val="fr-CA"/>
        </w:rPr>
        <w:t xml:space="preserve"> : </w:t>
      </w:r>
      <w:r w:rsidRPr="00CF55F6">
        <w:rPr>
          <w:lang w:val="fr-CA"/>
        </w:rPr>
        <w:t>6</w:t>
      </w:r>
      <w:r w:rsidR="00CE3216">
        <w:rPr>
          <w:lang w:val="fr-CA"/>
        </w:rPr>
        <w:t xml:space="preserve"> </w:t>
      </w:r>
      <w:r w:rsidRPr="00CF55F6">
        <w:rPr>
          <w:lang w:val="fr-CA"/>
        </w:rPr>
        <w:t>novembre</w:t>
      </w:r>
      <w:r w:rsidR="004D7D95" w:rsidRPr="00CF55F6">
        <w:rPr>
          <w:lang w:val="fr-CA"/>
        </w:rPr>
        <w:t xml:space="preserve">; </w:t>
      </w:r>
      <w:r w:rsidR="008F6B14" w:rsidRPr="00CF55F6">
        <w:rPr>
          <w:lang w:val="fr-CA"/>
        </w:rPr>
        <w:t>2015</w:t>
      </w:r>
      <w:r w:rsidR="00CE3216">
        <w:rPr>
          <w:lang w:val="fr-CA"/>
        </w:rPr>
        <w:t xml:space="preserve"> : </w:t>
      </w:r>
      <w:r w:rsidR="00891DCB">
        <w:rPr>
          <w:lang w:val="fr-CA"/>
        </w:rPr>
        <w:t>15</w:t>
      </w:r>
      <w:r w:rsidR="00CE3216">
        <w:rPr>
          <w:lang w:val="fr-CA"/>
        </w:rPr>
        <w:t xml:space="preserve"> </w:t>
      </w:r>
      <w:r w:rsidR="00891DCB">
        <w:rPr>
          <w:lang w:val="fr-CA"/>
        </w:rPr>
        <w:t>mai</w:t>
      </w:r>
      <w:r w:rsidR="004D7D95" w:rsidRPr="00CF55F6">
        <w:rPr>
          <w:lang w:val="fr-CA"/>
        </w:rPr>
        <w:t>.</w:t>
      </w:r>
    </w:p>
    <w:p w:rsidR="004D7D95" w:rsidRPr="00CF55F6" w:rsidRDefault="004D7D95" w:rsidP="00CE3216">
      <w:pPr>
        <w:widowControl w:val="0"/>
        <w:spacing w:after="720"/>
        <w:jc w:val="both"/>
        <w:rPr>
          <w:lang w:val="fr-CA"/>
        </w:rPr>
      </w:pPr>
      <w:r w:rsidRPr="00CF55F6">
        <w:rPr>
          <w:lang w:val="fr-CA"/>
        </w:rPr>
        <w:t>Présents</w:t>
      </w:r>
      <w:r w:rsidR="00CE3216">
        <w:rPr>
          <w:lang w:val="fr-CA"/>
        </w:rPr>
        <w:t xml:space="preserve"> : </w:t>
      </w:r>
      <w:r w:rsidRPr="00CF55F6">
        <w:rPr>
          <w:lang w:val="fr-CA"/>
        </w:rPr>
        <w:t>La juge en chef McLachlin et les juges Abella, Rothstein, Moldaver, Karakatsanis, Wagner et Gascon.</w:t>
      </w:r>
    </w:p>
    <w:p w:rsidR="004D7D95" w:rsidRPr="000A16C8" w:rsidRDefault="004D7D95" w:rsidP="00CE3216">
      <w:pPr>
        <w:widowControl w:val="0"/>
        <w:spacing w:after="720"/>
        <w:jc w:val="both"/>
        <w:rPr>
          <w:smallCaps/>
          <w:lang w:val="fr-CA"/>
        </w:rPr>
      </w:pPr>
      <w:r w:rsidRPr="000A16C8">
        <w:rPr>
          <w:smallCaps/>
          <w:lang w:val="fr-CA"/>
        </w:rPr>
        <w:t xml:space="preserve">en appel de la </w:t>
      </w:r>
      <w:r w:rsidRPr="00CF55F6">
        <w:rPr>
          <w:smallCaps/>
          <w:lang w:val="fr-CA"/>
        </w:rPr>
        <w:t>cour supérieure du québec</w:t>
      </w:r>
    </w:p>
    <w:p w:rsidR="00895F51" w:rsidRDefault="004D7D95" w:rsidP="00CE3216">
      <w:pPr>
        <w:pStyle w:val="SCCNormalDoubleSpacing"/>
        <w:widowControl w:val="0"/>
        <w:spacing w:before="480" w:after="480"/>
        <w:rPr>
          <w:i/>
          <w:lang w:val="fr-CA"/>
        </w:rPr>
      </w:pPr>
      <w:r w:rsidRPr="00BB4C92">
        <w:rPr>
          <w:lang w:val="fr-CA"/>
        </w:rPr>
        <w:tab/>
      </w:r>
      <w:r w:rsidR="00895F51">
        <w:rPr>
          <w:i/>
          <w:lang w:val="fr-CA"/>
        </w:rPr>
        <w:t xml:space="preserve">Droit criminel </w:t>
      </w:r>
      <w:r w:rsidR="00302FAF">
        <w:rPr>
          <w:i/>
          <w:lang w:val="fr-CA"/>
        </w:rPr>
        <w:t>—</w:t>
      </w:r>
      <w:r w:rsidR="00895F51">
        <w:rPr>
          <w:i/>
          <w:lang w:val="fr-CA"/>
        </w:rPr>
        <w:t xml:space="preserve"> Mise en liberté provisoire </w:t>
      </w:r>
      <w:r w:rsidR="00302FAF">
        <w:rPr>
          <w:i/>
          <w:lang w:val="fr-CA"/>
        </w:rPr>
        <w:t xml:space="preserve">— </w:t>
      </w:r>
      <w:r w:rsidR="00895F51">
        <w:rPr>
          <w:i/>
          <w:lang w:val="fr-CA"/>
        </w:rPr>
        <w:t xml:space="preserve">Motifs justifiant la détention </w:t>
      </w:r>
      <w:r w:rsidR="00302FAF">
        <w:rPr>
          <w:i/>
          <w:lang w:val="fr-CA"/>
        </w:rPr>
        <w:t xml:space="preserve">— </w:t>
      </w:r>
      <w:r w:rsidR="00895F51">
        <w:rPr>
          <w:i/>
          <w:lang w:val="fr-CA"/>
        </w:rPr>
        <w:t>Juge de paix ordonnant la détention de l’accusé en attente de son procès pour le motif prévu</w:t>
      </w:r>
      <w:r w:rsidR="00302FAF">
        <w:rPr>
          <w:i/>
          <w:lang w:val="fr-CA"/>
        </w:rPr>
        <w:t xml:space="preserve"> à l’</w:t>
      </w:r>
      <w:r w:rsidR="008F1803">
        <w:rPr>
          <w:i/>
          <w:lang w:val="fr-CA"/>
        </w:rPr>
        <w:t>art.</w:t>
      </w:r>
      <w:r w:rsidR="00CE3216">
        <w:rPr>
          <w:i/>
          <w:lang w:val="fr-CA"/>
        </w:rPr>
        <w:t xml:space="preserve"> </w:t>
      </w:r>
      <w:r w:rsidR="00895F51">
        <w:rPr>
          <w:i/>
          <w:lang w:val="fr-CA"/>
        </w:rPr>
        <w:t>515(10)c) du Code criminel, soit que celle</w:t>
      </w:r>
      <w:r w:rsidR="00CE3216">
        <w:rPr>
          <w:i/>
          <w:lang w:val="fr-CA"/>
        </w:rPr>
        <w:t>-</w:t>
      </w:r>
      <w:r w:rsidR="00895F51">
        <w:rPr>
          <w:i/>
          <w:lang w:val="fr-CA"/>
        </w:rPr>
        <w:t xml:space="preserve">ci </w:t>
      </w:r>
      <w:r w:rsidR="00CE3216">
        <w:rPr>
          <w:i/>
          <w:lang w:val="fr-CA"/>
        </w:rPr>
        <w:t>« </w:t>
      </w:r>
      <w:r w:rsidR="00895F51">
        <w:rPr>
          <w:i/>
          <w:lang w:val="fr-CA"/>
        </w:rPr>
        <w:t>est nécessaire pour ne pas miner la confiance du public envers l’administration de la justice</w:t>
      </w:r>
      <w:r w:rsidR="00CE3216">
        <w:rPr>
          <w:i/>
          <w:lang w:val="fr-CA"/>
        </w:rPr>
        <w:t> »</w:t>
      </w:r>
      <w:r w:rsidR="00895F51">
        <w:rPr>
          <w:i/>
          <w:lang w:val="fr-CA"/>
        </w:rPr>
        <w:t xml:space="preserve"> </w:t>
      </w:r>
      <w:r w:rsidR="00302FAF">
        <w:rPr>
          <w:i/>
          <w:lang w:val="fr-CA"/>
        </w:rPr>
        <w:t xml:space="preserve">— </w:t>
      </w:r>
      <w:r w:rsidR="00895F51">
        <w:rPr>
          <w:i/>
          <w:lang w:val="fr-CA"/>
        </w:rPr>
        <w:t xml:space="preserve">Juge réviseur ordonnant la mise en liberté de l’accusé </w:t>
      </w:r>
      <w:r w:rsidR="00302FAF">
        <w:rPr>
          <w:i/>
          <w:lang w:val="fr-CA"/>
        </w:rPr>
        <w:t xml:space="preserve">— </w:t>
      </w:r>
      <w:r w:rsidR="00895F51">
        <w:rPr>
          <w:i/>
          <w:lang w:val="fr-CA"/>
        </w:rPr>
        <w:t xml:space="preserve">Quelle est </w:t>
      </w:r>
      <w:r w:rsidR="00895F51">
        <w:rPr>
          <w:i/>
          <w:lang w:val="fr-CA"/>
        </w:rPr>
        <w:lastRenderedPageBreak/>
        <w:t>l’interprétation que doit recevo</w:t>
      </w:r>
      <w:r w:rsidR="00302FAF">
        <w:rPr>
          <w:i/>
          <w:lang w:val="fr-CA"/>
        </w:rPr>
        <w:t>ir l’</w:t>
      </w:r>
      <w:r w:rsidR="008F1803">
        <w:rPr>
          <w:i/>
          <w:lang w:val="fr-CA"/>
        </w:rPr>
        <w:t>art.</w:t>
      </w:r>
      <w:r w:rsidR="00CE3216">
        <w:rPr>
          <w:i/>
          <w:lang w:val="fr-CA"/>
        </w:rPr>
        <w:t xml:space="preserve"> </w:t>
      </w:r>
      <w:r w:rsidR="00895F51">
        <w:rPr>
          <w:i/>
          <w:lang w:val="fr-CA"/>
        </w:rPr>
        <w:t xml:space="preserve">515(10)c) du Code criminel? </w:t>
      </w:r>
      <w:r w:rsidR="00302FAF">
        <w:rPr>
          <w:i/>
          <w:lang w:val="fr-CA"/>
        </w:rPr>
        <w:t xml:space="preserve">— </w:t>
      </w:r>
      <w:r w:rsidR="00895F51">
        <w:rPr>
          <w:i/>
          <w:lang w:val="fr-CA"/>
        </w:rPr>
        <w:t xml:space="preserve">Rejet de l’interprétation restrictive </w:t>
      </w:r>
      <w:r w:rsidR="00302FAF">
        <w:rPr>
          <w:i/>
          <w:lang w:val="fr-CA"/>
        </w:rPr>
        <w:t xml:space="preserve">— Code criminel, </w:t>
      </w:r>
      <w:r w:rsidR="0040772B">
        <w:rPr>
          <w:i/>
          <w:lang w:val="fr-CA"/>
        </w:rPr>
        <w:t>L.R.C</w:t>
      </w:r>
      <w:r w:rsidR="00302FAF">
        <w:rPr>
          <w:i/>
          <w:lang w:val="fr-CA"/>
        </w:rPr>
        <w:t>. 1985, c.</w:t>
      </w:r>
      <w:r w:rsidR="00CE3216">
        <w:rPr>
          <w:i/>
          <w:lang w:val="fr-CA"/>
        </w:rPr>
        <w:t xml:space="preserve"> </w:t>
      </w:r>
      <w:r w:rsidR="00895F51">
        <w:rPr>
          <w:i/>
          <w:lang w:val="fr-CA"/>
        </w:rPr>
        <w:t>C</w:t>
      </w:r>
      <w:r w:rsidR="00CE3216">
        <w:rPr>
          <w:i/>
          <w:lang w:val="fr-CA"/>
        </w:rPr>
        <w:t>-</w:t>
      </w:r>
      <w:r w:rsidR="00302FAF">
        <w:rPr>
          <w:i/>
          <w:lang w:val="fr-CA"/>
        </w:rPr>
        <w:t xml:space="preserve">46, </w:t>
      </w:r>
      <w:r w:rsidR="008F1803">
        <w:rPr>
          <w:i/>
          <w:lang w:val="fr-CA"/>
        </w:rPr>
        <w:t>art.</w:t>
      </w:r>
      <w:r w:rsidR="00CE3216">
        <w:rPr>
          <w:i/>
          <w:lang w:val="fr-CA"/>
        </w:rPr>
        <w:t xml:space="preserve"> </w:t>
      </w:r>
      <w:r w:rsidR="00895F51">
        <w:rPr>
          <w:i/>
          <w:lang w:val="fr-CA"/>
        </w:rPr>
        <w:t>515(10)c).</w:t>
      </w:r>
    </w:p>
    <w:p w:rsidR="00895F51" w:rsidRPr="00A12B81" w:rsidRDefault="00895F51" w:rsidP="00CE3216">
      <w:pPr>
        <w:pStyle w:val="SCCNormalDoubleSpacing"/>
        <w:widowControl w:val="0"/>
        <w:spacing w:before="480" w:after="480"/>
        <w:rPr>
          <w:i/>
          <w:lang w:val="fr-CA"/>
        </w:rPr>
      </w:pPr>
      <w:r>
        <w:rPr>
          <w:i/>
          <w:lang w:val="fr-CA"/>
        </w:rPr>
        <w:tab/>
        <w:t xml:space="preserve">Droit criminel </w:t>
      </w:r>
      <w:r w:rsidR="00302FAF">
        <w:rPr>
          <w:i/>
          <w:lang w:val="fr-CA"/>
        </w:rPr>
        <w:t xml:space="preserve">— </w:t>
      </w:r>
      <w:r>
        <w:rPr>
          <w:i/>
          <w:lang w:val="fr-CA"/>
        </w:rPr>
        <w:t xml:space="preserve">Mise en liberté provisoire </w:t>
      </w:r>
      <w:r w:rsidR="00302FAF">
        <w:rPr>
          <w:i/>
          <w:lang w:val="fr-CA"/>
        </w:rPr>
        <w:t xml:space="preserve">— </w:t>
      </w:r>
      <w:r>
        <w:rPr>
          <w:i/>
          <w:lang w:val="fr-CA"/>
        </w:rPr>
        <w:t xml:space="preserve">Révision de </w:t>
      </w:r>
      <w:r w:rsidR="00C82498">
        <w:rPr>
          <w:i/>
          <w:lang w:val="fr-CA"/>
        </w:rPr>
        <w:t xml:space="preserve">la </w:t>
      </w:r>
      <w:r>
        <w:rPr>
          <w:i/>
          <w:lang w:val="fr-CA"/>
        </w:rPr>
        <w:t xml:space="preserve">décision d’un juge de paix </w:t>
      </w:r>
      <w:r w:rsidR="00302FAF">
        <w:rPr>
          <w:i/>
          <w:lang w:val="fr-CA"/>
        </w:rPr>
        <w:t xml:space="preserve">— </w:t>
      </w:r>
      <w:r>
        <w:rPr>
          <w:i/>
          <w:lang w:val="fr-CA"/>
        </w:rPr>
        <w:t xml:space="preserve">Décision du juge de paix d’ordonner la détention de l’accusé infirmée par le juge réviseur </w:t>
      </w:r>
      <w:r w:rsidR="00302FAF">
        <w:rPr>
          <w:i/>
          <w:lang w:val="fr-CA"/>
        </w:rPr>
        <w:t xml:space="preserve">— </w:t>
      </w:r>
      <w:r>
        <w:rPr>
          <w:i/>
          <w:lang w:val="fr-CA"/>
        </w:rPr>
        <w:t>Quels sont les cas donnant ouvertur</w:t>
      </w:r>
      <w:r w:rsidR="00302FAF">
        <w:rPr>
          <w:i/>
          <w:lang w:val="fr-CA"/>
        </w:rPr>
        <w:t xml:space="preserve">e à la révision prévue aux </w:t>
      </w:r>
      <w:r w:rsidR="008F1803">
        <w:rPr>
          <w:i/>
          <w:lang w:val="fr-CA"/>
        </w:rPr>
        <w:t>art.</w:t>
      </w:r>
      <w:r w:rsidR="00CE3216">
        <w:rPr>
          <w:i/>
          <w:lang w:val="fr-CA"/>
        </w:rPr>
        <w:t xml:space="preserve"> </w:t>
      </w:r>
      <w:r>
        <w:rPr>
          <w:i/>
          <w:lang w:val="fr-CA"/>
        </w:rPr>
        <w:t xml:space="preserve">520 et 521 du Code criminel en matière de mise en liberté provisoire? </w:t>
      </w:r>
      <w:r w:rsidR="00302FAF">
        <w:rPr>
          <w:i/>
          <w:lang w:val="fr-CA"/>
        </w:rPr>
        <w:t>— Le juge réviseur a</w:t>
      </w:r>
      <w:r w:rsidR="00CE3216">
        <w:rPr>
          <w:i/>
          <w:lang w:val="fr-CA"/>
        </w:rPr>
        <w:t>-</w:t>
      </w:r>
      <w:r>
        <w:rPr>
          <w:i/>
          <w:lang w:val="fr-CA"/>
        </w:rPr>
        <w:t>t</w:t>
      </w:r>
      <w:r w:rsidR="00CE3216">
        <w:rPr>
          <w:i/>
          <w:lang w:val="fr-CA"/>
        </w:rPr>
        <w:t>-</w:t>
      </w:r>
      <w:r>
        <w:rPr>
          <w:i/>
          <w:lang w:val="fr-CA"/>
        </w:rPr>
        <w:t xml:space="preserve">il erronément exercé son rôle en substituant purement et simplement son appréciation de la preuve à celle du juge de paix? </w:t>
      </w:r>
      <w:r w:rsidR="00302FAF">
        <w:rPr>
          <w:i/>
          <w:lang w:val="fr-CA"/>
        </w:rPr>
        <w:t xml:space="preserve">— Code criminel, </w:t>
      </w:r>
      <w:r w:rsidR="0040772B">
        <w:rPr>
          <w:i/>
          <w:lang w:val="fr-CA"/>
        </w:rPr>
        <w:t>L.R.C.</w:t>
      </w:r>
      <w:r w:rsidR="00302FAF">
        <w:rPr>
          <w:i/>
          <w:lang w:val="fr-CA"/>
        </w:rPr>
        <w:t xml:space="preserve"> 1985, c.</w:t>
      </w:r>
      <w:r w:rsidR="00CE3216">
        <w:rPr>
          <w:i/>
          <w:lang w:val="fr-CA"/>
        </w:rPr>
        <w:t xml:space="preserve"> </w:t>
      </w:r>
      <w:r w:rsidR="00302FAF">
        <w:rPr>
          <w:i/>
          <w:lang w:val="fr-CA"/>
        </w:rPr>
        <w:t>C</w:t>
      </w:r>
      <w:r w:rsidR="00CE3216">
        <w:rPr>
          <w:i/>
          <w:lang w:val="fr-CA"/>
        </w:rPr>
        <w:t>-</w:t>
      </w:r>
      <w:r w:rsidR="00302FAF">
        <w:rPr>
          <w:i/>
          <w:lang w:val="fr-CA"/>
        </w:rPr>
        <w:t xml:space="preserve">46, </w:t>
      </w:r>
      <w:r w:rsidR="008F1803">
        <w:rPr>
          <w:i/>
          <w:lang w:val="fr-CA"/>
        </w:rPr>
        <w:t>art.</w:t>
      </w:r>
      <w:r w:rsidR="00CE3216">
        <w:rPr>
          <w:i/>
          <w:lang w:val="fr-CA"/>
        </w:rPr>
        <w:t xml:space="preserve"> </w:t>
      </w:r>
      <w:r>
        <w:rPr>
          <w:i/>
          <w:lang w:val="fr-CA"/>
        </w:rPr>
        <w:t>520, 521.</w:t>
      </w:r>
    </w:p>
    <w:p w:rsidR="00895F51" w:rsidRPr="006E666C" w:rsidRDefault="00895F51" w:rsidP="00CE3216">
      <w:pPr>
        <w:pStyle w:val="SCCNormalDoubleSpacing"/>
        <w:widowControl w:val="0"/>
        <w:spacing w:before="240" w:after="480"/>
        <w:rPr>
          <w:lang w:val="fr-CA"/>
        </w:rPr>
      </w:pPr>
      <w:r>
        <w:rPr>
          <w:lang w:val="fr-CA"/>
        </w:rPr>
        <w:tab/>
        <w:t>S fait face à un chef d’accusation de voies de fait graves en vertu de l’</w:t>
      </w:r>
      <w:r w:rsidR="008F1803">
        <w:rPr>
          <w:lang w:val="fr-CA"/>
        </w:rPr>
        <w:t>art.</w:t>
      </w:r>
      <w:r w:rsidR="00CE3216">
        <w:rPr>
          <w:lang w:val="fr-CA"/>
        </w:rPr>
        <w:t xml:space="preserve"> </w:t>
      </w:r>
      <w:r>
        <w:rPr>
          <w:lang w:val="fr-CA"/>
        </w:rPr>
        <w:t xml:space="preserve">268 du </w:t>
      </w:r>
      <w:r>
        <w:rPr>
          <w:i/>
          <w:lang w:val="fr-CA"/>
        </w:rPr>
        <w:t>Code criminel</w:t>
      </w:r>
      <w:r>
        <w:rPr>
          <w:lang w:val="fr-CA"/>
        </w:rPr>
        <w:t xml:space="preserve"> pour avoir, avec deux autres individus, agressé un chauffeur d’autobus. Le ministère public s’est opposé à la mise en liberté provisoire de S. Le juge de paix qui a entendu la demande initiale de mise en liberté a conclu que la détention était nécessaire sur la base des </w:t>
      </w:r>
      <w:r w:rsidR="008F1803">
        <w:rPr>
          <w:lang w:val="fr-CA"/>
        </w:rPr>
        <w:t>al.</w:t>
      </w:r>
      <w:r w:rsidR="00CE3216">
        <w:rPr>
          <w:lang w:val="fr-CA"/>
        </w:rPr>
        <w:t xml:space="preserve"> </w:t>
      </w:r>
      <w:r>
        <w:rPr>
          <w:lang w:val="fr-CA"/>
        </w:rPr>
        <w:t>515(10)</w:t>
      </w:r>
      <w:r>
        <w:rPr>
          <w:i/>
          <w:lang w:val="fr-CA"/>
        </w:rPr>
        <w:t>b</w:t>
      </w:r>
      <w:r>
        <w:rPr>
          <w:lang w:val="fr-CA"/>
        </w:rPr>
        <w:t xml:space="preserve">) et </w:t>
      </w:r>
      <w:r>
        <w:rPr>
          <w:i/>
          <w:lang w:val="fr-CA"/>
        </w:rPr>
        <w:t>c</w:t>
      </w:r>
      <w:r>
        <w:rPr>
          <w:lang w:val="fr-CA"/>
        </w:rPr>
        <w:t xml:space="preserve">) </w:t>
      </w:r>
      <w:r w:rsidR="004364EE">
        <w:rPr>
          <w:i/>
          <w:lang w:val="fr-CA"/>
        </w:rPr>
        <w:t>C. cr.</w:t>
      </w:r>
      <w:r>
        <w:rPr>
          <w:lang w:val="fr-CA"/>
        </w:rPr>
        <w:t xml:space="preserve">, </w:t>
      </w:r>
      <w:r w:rsidRPr="001E4F18">
        <w:rPr>
          <w:lang w:val="fr-CA"/>
        </w:rPr>
        <w:t>soit que l</w:t>
      </w:r>
      <w:r>
        <w:rPr>
          <w:lang w:val="fr-CA"/>
        </w:rPr>
        <w:t>a détention provisoire de S était nécessaire pour la protection ou la sécurité du public et pour ne pas miner la confiance du public envers l’administration de la justice. Le juge de paix qui a entendu la deuxième demande de mise en liberté à la fin de l’enquête préliminaire a estimé que la détention de S était toujours justifiée en vertu de l’</w:t>
      </w:r>
      <w:r w:rsidR="008F1803">
        <w:rPr>
          <w:lang w:val="fr-CA"/>
        </w:rPr>
        <w:t>al.</w:t>
      </w:r>
      <w:r w:rsidR="00CE3216">
        <w:rPr>
          <w:lang w:val="fr-CA"/>
        </w:rPr>
        <w:t xml:space="preserve"> </w:t>
      </w:r>
      <w:r>
        <w:rPr>
          <w:lang w:val="fr-CA"/>
        </w:rPr>
        <w:t>515(10)</w:t>
      </w:r>
      <w:r>
        <w:rPr>
          <w:i/>
          <w:lang w:val="fr-CA"/>
        </w:rPr>
        <w:t>c</w:t>
      </w:r>
      <w:r>
        <w:rPr>
          <w:lang w:val="fr-CA"/>
        </w:rPr>
        <w:t>). S a alors présenté une demande de révision en application de l’</w:t>
      </w:r>
      <w:r w:rsidR="008F1803">
        <w:rPr>
          <w:lang w:val="fr-CA"/>
        </w:rPr>
        <w:t>art.</w:t>
      </w:r>
      <w:r w:rsidR="00CE3216">
        <w:rPr>
          <w:lang w:val="fr-CA"/>
        </w:rPr>
        <w:t xml:space="preserve"> </w:t>
      </w:r>
      <w:r>
        <w:rPr>
          <w:lang w:val="fr-CA"/>
        </w:rPr>
        <w:t xml:space="preserve">520 </w:t>
      </w:r>
      <w:r w:rsidR="004364EE">
        <w:rPr>
          <w:i/>
          <w:lang w:val="fr-CA"/>
        </w:rPr>
        <w:t>C. cr.</w:t>
      </w:r>
      <w:r>
        <w:rPr>
          <w:lang w:val="fr-CA"/>
        </w:rPr>
        <w:t xml:space="preserve"> devant un juge de la Cour supérieure, qui a décidé que la détention de S n’était pas nécessaire au regard de l’</w:t>
      </w:r>
      <w:r w:rsidR="008F1803">
        <w:rPr>
          <w:lang w:val="fr-CA"/>
        </w:rPr>
        <w:t>al.</w:t>
      </w:r>
      <w:r w:rsidR="00CE3216">
        <w:rPr>
          <w:lang w:val="fr-CA"/>
        </w:rPr>
        <w:t xml:space="preserve"> </w:t>
      </w:r>
      <w:r>
        <w:rPr>
          <w:lang w:val="fr-CA"/>
        </w:rPr>
        <w:t>515(10)</w:t>
      </w:r>
      <w:r>
        <w:rPr>
          <w:i/>
          <w:lang w:val="fr-CA"/>
        </w:rPr>
        <w:t>c</w:t>
      </w:r>
      <w:r>
        <w:rPr>
          <w:lang w:val="fr-CA"/>
        </w:rPr>
        <w:t xml:space="preserve">) et a ordonné sa mise en liberté. </w:t>
      </w:r>
    </w:p>
    <w:p w:rsidR="00895F51" w:rsidRPr="004D7D95" w:rsidRDefault="00895F51" w:rsidP="00CE3216">
      <w:pPr>
        <w:pStyle w:val="SCCNormalDoubleSpacing"/>
        <w:widowControl w:val="0"/>
        <w:spacing w:before="480" w:after="480"/>
        <w:rPr>
          <w:lang w:val="fr-CA"/>
        </w:rPr>
      </w:pPr>
      <w:r>
        <w:rPr>
          <w:lang w:val="fr-CA"/>
        </w:rPr>
        <w:lastRenderedPageBreak/>
        <w:tab/>
      </w:r>
      <w:r w:rsidRPr="008F6B14">
        <w:rPr>
          <w:i/>
          <w:lang w:val="fr-CA"/>
        </w:rPr>
        <w:t>Arrêt</w:t>
      </w:r>
      <w:r w:rsidR="00CE3216">
        <w:rPr>
          <w:lang w:val="fr-CA"/>
        </w:rPr>
        <w:t> :</w:t>
      </w:r>
      <w:r w:rsidRPr="004D7D95">
        <w:rPr>
          <w:lang w:val="fr-CA"/>
        </w:rPr>
        <w:t xml:space="preserve"> Le pourvoi est</w:t>
      </w:r>
      <w:r>
        <w:rPr>
          <w:lang w:val="fr-CA"/>
        </w:rPr>
        <w:t xml:space="preserve"> accueilli et l’ordonnance de détention est rétablie.</w:t>
      </w:r>
    </w:p>
    <w:p w:rsidR="00895F51" w:rsidRDefault="00895F51" w:rsidP="00CE3216">
      <w:pPr>
        <w:pStyle w:val="SCCNormalDoubleSpacing"/>
        <w:widowControl w:val="0"/>
        <w:spacing w:before="480" w:after="480"/>
        <w:rPr>
          <w:lang w:val="fr-CA"/>
        </w:rPr>
      </w:pPr>
      <w:r>
        <w:rPr>
          <w:lang w:val="fr-CA"/>
        </w:rPr>
        <w:tab/>
        <w:t>Le motif énoncé à l’</w:t>
      </w:r>
      <w:r w:rsidR="008F1803">
        <w:rPr>
          <w:lang w:val="fr-CA"/>
        </w:rPr>
        <w:t>al.</w:t>
      </w:r>
      <w:r w:rsidR="00CE3216">
        <w:rPr>
          <w:lang w:val="fr-CA"/>
        </w:rPr>
        <w:t xml:space="preserve"> </w:t>
      </w:r>
      <w:r w:rsidRPr="006F71E5">
        <w:rPr>
          <w:lang w:val="fr-CA"/>
        </w:rPr>
        <w:t>515(10)</w:t>
      </w:r>
      <w:r w:rsidRPr="006F71E5">
        <w:rPr>
          <w:i/>
          <w:lang w:val="fr-CA"/>
        </w:rPr>
        <w:t>c</w:t>
      </w:r>
      <w:r>
        <w:rPr>
          <w:lang w:val="fr-CA"/>
        </w:rPr>
        <w:t xml:space="preserve">) du </w:t>
      </w:r>
      <w:r>
        <w:rPr>
          <w:i/>
          <w:lang w:val="fr-CA"/>
        </w:rPr>
        <w:t>Code criminel</w:t>
      </w:r>
      <w:r>
        <w:rPr>
          <w:lang w:val="fr-CA"/>
        </w:rPr>
        <w:t xml:space="preserve">, </w:t>
      </w:r>
      <w:r w:rsidRPr="001E4F18">
        <w:rPr>
          <w:lang w:val="fr-CA"/>
        </w:rPr>
        <w:t>soit que l</w:t>
      </w:r>
      <w:r>
        <w:rPr>
          <w:lang w:val="fr-CA"/>
        </w:rPr>
        <w:t xml:space="preserve">a détention de l’accusé </w:t>
      </w:r>
      <w:r w:rsidR="00CE3216">
        <w:rPr>
          <w:lang w:val="fr-CA"/>
        </w:rPr>
        <w:t>« </w:t>
      </w:r>
      <w:r>
        <w:rPr>
          <w:lang w:val="fr-CA"/>
        </w:rPr>
        <w:t>est nécessaire pour ne pas miner la confiance du public envers l’administration de la justice</w:t>
      </w:r>
      <w:r w:rsidR="00CE3216">
        <w:rPr>
          <w:lang w:val="fr-CA"/>
        </w:rPr>
        <w:t> »</w:t>
      </w:r>
      <w:r>
        <w:rPr>
          <w:lang w:val="fr-CA"/>
        </w:rPr>
        <w:t xml:space="preserve">, est un motif distinct permettant à lui seul d’ordonner la détention avant procès d’un accusé. Il ne s’agit pas d’un motif résiduel de détention, applicable seulement lorsque les deux premiers motifs de détention prévus aux </w:t>
      </w:r>
      <w:r w:rsidR="008F1803">
        <w:rPr>
          <w:lang w:val="fr-CA"/>
        </w:rPr>
        <w:t>al.</w:t>
      </w:r>
      <w:r w:rsidR="00CE3216">
        <w:rPr>
          <w:lang w:val="fr-CA"/>
        </w:rPr>
        <w:t xml:space="preserve"> </w:t>
      </w:r>
      <w:r>
        <w:rPr>
          <w:lang w:val="fr-CA"/>
        </w:rPr>
        <w:t>515(10)</w:t>
      </w:r>
      <w:r>
        <w:rPr>
          <w:i/>
          <w:lang w:val="fr-CA"/>
        </w:rPr>
        <w:t>a</w:t>
      </w:r>
      <w:r>
        <w:rPr>
          <w:lang w:val="fr-CA"/>
        </w:rPr>
        <w:t xml:space="preserve">) et </w:t>
      </w:r>
      <w:r>
        <w:rPr>
          <w:i/>
          <w:lang w:val="fr-CA"/>
        </w:rPr>
        <w:t>b</w:t>
      </w:r>
      <w:r>
        <w:rPr>
          <w:lang w:val="fr-CA"/>
        </w:rPr>
        <w:t xml:space="preserve">) ne sont pas satisfaits. </w:t>
      </w:r>
      <w:r w:rsidRPr="006F71E5">
        <w:rPr>
          <w:lang w:val="fr-CA"/>
        </w:rPr>
        <w:t>La portée de l’</w:t>
      </w:r>
      <w:r w:rsidR="008F1803">
        <w:rPr>
          <w:lang w:val="fr-CA"/>
        </w:rPr>
        <w:t>al.</w:t>
      </w:r>
      <w:r w:rsidR="00CE3216">
        <w:rPr>
          <w:lang w:val="fr-CA"/>
        </w:rPr>
        <w:t xml:space="preserve"> </w:t>
      </w:r>
      <w:r w:rsidRPr="006F71E5">
        <w:rPr>
          <w:lang w:val="fr-CA"/>
        </w:rPr>
        <w:t>515(10)</w:t>
      </w:r>
      <w:r w:rsidRPr="006F71E5">
        <w:rPr>
          <w:i/>
          <w:lang w:val="fr-CA"/>
        </w:rPr>
        <w:t>c</w:t>
      </w:r>
      <w:r>
        <w:rPr>
          <w:lang w:val="fr-CA"/>
        </w:rPr>
        <w:t xml:space="preserve">) a été indûment restreinte par les tribunaux dans certains cas; </w:t>
      </w:r>
      <w:r w:rsidR="00A73AD8">
        <w:rPr>
          <w:lang w:val="fr-CA"/>
        </w:rPr>
        <w:t>c</w:t>
      </w:r>
      <w:r>
        <w:rPr>
          <w:lang w:val="fr-CA"/>
        </w:rPr>
        <w:t>ette disposition ne doit pas être interprétée restrictivement ou appliquée avec parcimonie. Le recours à</w:t>
      </w:r>
      <w:r w:rsidRPr="00E96891">
        <w:rPr>
          <w:lang w:val="fr-CA"/>
        </w:rPr>
        <w:t xml:space="preserve"> </w:t>
      </w:r>
      <w:r>
        <w:rPr>
          <w:lang w:val="fr-CA"/>
        </w:rPr>
        <w:t>c</w:t>
      </w:r>
      <w:r w:rsidRPr="00E96891">
        <w:rPr>
          <w:lang w:val="fr-CA"/>
        </w:rPr>
        <w:t xml:space="preserve">e motif de </w:t>
      </w:r>
      <w:r>
        <w:rPr>
          <w:lang w:val="fr-CA"/>
        </w:rPr>
        <w:t>dé</w:t>
      </w:r>
      <w:r w:rsidRPr="00E96891">
        <w:rPr>
          <w:lang w:val="fr-CA"/>
        </w:rPr>
        <w:t xml:space="preserve">tention </w:t>
      </w:r>
      <w:r>
        <w:rPr>
          <w:lang w:val="fr-CA"/>
        </w:rPr>
        <w:t>ne se limite pas aux</w:t>
      </w:r>
      <w:r w:rsidRPr="00E96891">
        <w:rPr>
          <w:lang w:val="fr-CA"/>
        </w:rPr>
        <w:t xml:space="preserve"> circonstances exceptionnelles, </w:t>
      </w:r>
      <w:r>
        <w:rPr>
          <w:lang w:val="fr-CA"/>
        </w:rPr>
        <w:t xml:space="preserve">aux crimes inexplicables, </w:t>
      </w:r>
      <w:r w:rsidRPr="00E96891">
        <w:rPr>
          <w:lang w:val="fr-CA"/>
        </w:rPr>
        <w:t xml:space="preserve">aux crimes les plus odieux </w:t>
      </w:r>
      <w:r>
        <w:rPr>
          <w:lang w:val="fr-CA"/>
        </w:rPr>
        <w:t>ou encore à certaines catégories de crimes. Le fait que la détention ne puisse être justifiée qu’en de rares occasions n’est qu’une conséquence de l’application de l’</w:t>
      </w:r>
      <w:r w:rsidR="008F1803">
        <w:rPr>
          <w:lang w:val="fr-CA"/>
        </w:rPr>
        <w:t>al.</w:t>
      </w:r>
      <w:r w:rsidR="00CE3216">
        <w:rPr>
          <w:lang w:val="fr-CA"/>
        </w:rPr>
        <w:t xml:space="preserve"> </w:t>
      </w:r>
      <w:r>
        <w:rPr>
          <w:lang w:val="fr-CA"/>
        </w:rPr>
        <w:t>515(10)</w:t>
      </w:r>
      <w:r>
        <w:rPr>
          <w:i/>
          <w:lang w:val="fr-CA"/>
        </w:rPr>
        <w:t>c</w:t>
      </w:r>
      <w:r>
        <w:rPr>
          <w:lang w:val="fr-CA"/>
        </w:rPr>
        <w:t>), et non une condition préalable à son application, un critère dont doit tenir compte le tribunal dans son analyse ou le but de cette disposition. Le libellé de l’</w:t>
      </w:r>
      <w:r w:rsidR="008F1803">
        <w:rPr>
          <w:lang w:val="fr-CA"/>
        </w:rPr>
        <w:t>al.</w:t>
      </w:r>
      <w:r w:rsidR="00CE3216">
        <w:rPr>
          <w:lang w:val="fr-CA"/>
        </w:rPr>
        <w:t xml:space="preserve"> </w:t>
      </w:r>
      <w:r>
        <w:rPr>
          <w:lang w:val="fr-CA"/>
        </w:rPr>
        <w:t>515(10)</w:t>
      </w:r>
      <w:r>
        <w:rPr>
          <w:i/>
          <w:lang w:val="fr-CA"/>
        </w:rPr>
        <w:t>c</w:t>
      </w:r>
      <w:r>
        <w:rPr>
          <w:lang w:val="fr-CA"/>
        </w:rPr>
        <w:t>) est clair et n’exige pas des circonstances exceptionnelles ou rares. Le caractère inexplicable ou inexpliqué du crime n’est pas non plus un critère qui devrait guider les juges dans leur analyse de l’</w:t>
      </w:r>
      <w:r w:rsidR="008F1803">
        <w:rPr>
          <w:lang w:val="fr-CA"/>
        </w:rPr>
        <w:t>al.</w:t>
      </w:r>
      <w:r w:rsidR="00CE3216">
        <w:rPr>
          <w:lang w:val="fr-CA"/>
        </w:rPr>
        <w:t xml:space="preserve"> </w:t>
      </w:r>
      <w:r>
        <w:rPr>
          <w:lang w:val="fr-CA"/>
        </w:rPr>
        <w:t>515(10)</w:t>
      </w:r>
      <w:r>
        <w:rPr>
          <w:i/>
          <w:lang w:val="fr-CA"/>
        </w:rPr>
        <w:t>c</w:t>
      </w:r>
      <w:r>
        <w:rPr>
          <w:lang w:val="fr-CA"/>
        </w:rPr>
        <w:t xml:space="preserve">). Cette notion est ambiguë et source de confusion. Puisque bon nombre de crimes peuvent être explicables d’une façon ou d’une autre, le critère du crime inexplicable est peu utile. De surcroît, l’utilisation d’un critère fondée sur la notion de crime inexplicable pourrait donner lieu à des conclusions peu souhaitables, car des crimes odieux et horribles pourraient ne pas satisfaire à ce critère. Cette notion risque de </w:t>
      </w:r>
      <w:r>
        <w:rPr>
          <w:lang w:val="fr-CA"/>
        </w:rPr>
        <w:lastRenderedPageBreak/>
        <w:t>créer dans l’esprit du public l’impression que les juges justifient certains crimes, soit ceux qui sont explicables.</w:t>
      </w:r>
    </w:p>
    <w:p w:rsidR="00895F51" w:rsidRDefault="00895F51" w:rsidP="00CE3216">
      <w:pPr>
        <w:pStyle w:val="SCCNormalDoubleSpacing"/>
        <w:widowControl w:val="0"/>
        <w:spacing w:before="480" w:after="480"/>
        <w:rPr>
          <w:lang w:val="fr-CA"/>
        </w:rPr>
      </w:pPr>
      <w:r>
        <w:rPr>
          <w:lang w:val="fr-CA"/>
        </w:rPr>
        <w:tab/>
        <w:t>Afin de déterminer si la détention de l’accusé est nécessaire pour ne pas miner la confiance du public envers l’administration de la justice, le juge doit d’abord tenir compte des quatre circonstances mentionnées expressément à l’</w:t>
      </w:r>
      <w:r w:rsidR="008F1803">
        <w:rPr>
          <w:lang w:val="fr-CA"/>
        </w:rPr>
        <w:t>al.</w:t>
      </w:r>
      <w:r w:rsidR="00CE3216">
        <w:rPr>
          <w:lang w:val="fr-CA"/>
        </w:rPr>
        <w:t xml:space="preserve"> </w:t>
      </w:r>
      <w:r>
        <w:rPr>
          <w:lang w:val="fr-CA"/>
        </w:rPr>
        <w:t>515(10)</w:t>
      </w:r>
      <w:r>
        <w:rPr>
          <w:i/>
          <w:lang w:val="fr-CA"/>
        </w:rPr>
        <w:t>c</w:t>
      </w:r>
      <w:r>
        <w:rPr>
          <w:lang w:val="fr-CA"/>
        </w:rPr>
        <w:t>). En premier lieu, le juge doit décider si l’accusation paraît fondée. Le poursuivant n’est pas tenu de prouver hors de tout doute raisonnable que l’accusé a commis l’infraction, et le juge doit se garder de jouer le rôle du juge du procès ou du jury</w:t>
      </w:r>
      <w:r w:rsidR="00CE3216">
        <w:rPr>
          <w:lang w:val="fr-CA"/>
        </w:rPr>
        <w:t> :</w:t>
      </w:r>
      <w:r>
        <w:rPr>
          <w:lang w:val="fr-CA"/>
        </w:rPr>
        <w:t xml:space="preserve"> la crédibilité des témoins, la fiabilité de la preuve scientifique et d’autres questions devront être analysées lors du procès et non à l’audience relative à la mise en liberté. Le juge doit tout de même tenir compte de la qualité de la preuve présentée par le poursuivant afin de déterminer le poids qu’il accordera à cette circonstance dans son exercice de pondération. Le juge doit également considérer tout moyen de défense soulevé par l’accusé. Si la défense paraît fondée, le juge doit en tenir compte dans son analyse de l’apparence de fondement de l’accusation.</w:t>
      </w:r>
    </w:p>
    <w:p w:rsidR="00895F51" w:rsidRDefault="00895F51" w:rsidP="00CE3216">
      <w:pPr>
        <w:pStyle w:val="SCCNormalDoubleSpacing"/>
        <w:widowControl w:val="0"/>
        <w:spacing w:before="480" w:after="480"/>
        <w:rPr>
          <w:lang w:val="fr-CA"/>
        </w:rPr>
      </w:pPr>
      <w:r>
        <w:rPr>
          <w:lang w:val="fr-CA"/>
        </w:rPr>
        <w:tab/>
        <w:t>Le juge doit ensuite déterminer la gravité objective de l’infraction, c’est</w:t>
      </w:r>
      <w:r w:rsidR="00CE3216">
        <w:rPr>
          <w:lang w:val="fr-CA"/>
        </w:rPr>
        <w:t>-</w:t>
      </w:r>
      <w:r>
        <w:rPr>
          <w:lang w:val="fr-CA"/>
        </w:rPr>
        <w:t>à</w:t>
      </w:r>
      <w:r w:rsidR="00CE3216">
        <w:rPr>
          <w:lang w:val="fr-CA"/>
        </w:rPr>
        <w:t>-</w:t>
      </w:r>
      <w:r>
        <w:rPr>
          <w:lang w:val="fr-CA"/>
        </w:rPr>
        <w:t xml:space="preserve">dire par rapport aux autres infractions du </w:t>
      </w:r>
      <w:r>
        <w:rPr>
          <w:i/>
          <w:lang w:val="fr-CA"/>
        </w:rPr>
        <w:t>Code criminel</w:t>
      </w:r>
      <w:r>
        <w:rPr>
          <w:lang w:val="fr-CA"/>
        </w:rPr>
        <w:t xml:space="preserve">. Cette gravité s’évalue en fonction de la sentence maximale </w:t>
      </w:r>
      <w:r w:rsidR="00302FAF" w:rsidRPr="00302FAF">
        <w:rPr>
          <w:lang w:val="fr-CA"/>
        </w:rPr>
        <w:t xml:space="preserve">— </w:t>
      </w:r>
      <w:r>
        <w:rPr>
          <w:lang w:val="fr-CA"/>
        </w:rPr>
        <w:t xml:space="preserve">et, le cas échéant, de la sentence minimale </w:t>
      </w:r>
      <w:r w:rsidR="00302FAF" w:rsidRPr="00302FAF">
        <w:rPr>
          <w:lang w:val="fr-CA"/>
        </w:rPr>
        <w:t xml:space="preserve">— </w:t>
      </w:r>
      <w:r>
        <w:rPr>
          <w:lang w:val="fr-CA"/>
        </w:rPr>
        <w:t xml:space="preserve">prévue par le </w:t>
      </w:r>
      <w:r>
        <w:rPr>
          <w:i/>
          <w:lang w:val="fr-CA"/>
        </w:rPr>
        <w:t>Code criminel</w:t>
      </w:r>
      <w:r>
        <w:rPr>
          <w:lang w:val="fr-CA"/>
        </w:rPr>
        <w:t xml:space="preserve"> à l’égard de l’infraction.</w:t>
      </w:r>
    </w:p>
    <w:p w:rsidR="00895F51" w:rsidRDefault="00895F51" w:rsidP="00CE3216">
      <w:pPr>
        <w:pStyle w:val="SCCNormalDoubleSpacing"/>
        <w:widowControl w:val="0"/>
        <w:spacing w:before="480" w:after="480"/>
        <w:rPr>
          <w:lang w:val="fr-CA"/>
        </w:rPr>
      </w:pPr>
      <w:r>
        <w:rPr>
          <w:lang w:val="fr-CA"/>
        </w:rPr>
        <w:tab/>
        <w:t xml:space="preserve">Puis, le juge doit considérer les circonstances entourant la perpétration de l’infraction, y compris l’usage d’une arme à feu. Celles qui peuvent être pertinentes </w:t>
      </w:r>
      <w:r>
        <w:rPr>
          <w:lang w:val="fr-CA"/>
        </w:rPr>
        <w:lastRenderedPageBreak/>
        <w:t>pour l’application de l’</w:t>
      </w:r>
      <w:r w:rsidR="008F1803">
        <w:rPr>
          <w:lang w:val="fr-CA"/>
        </w:rPr>
        <w:t>al.</w:t>
      </w:r>
      <w:r w:rsidR="00CE3216">
        <w:rPr>
          <w:lang w:val="fr-CA"/>
        </w:rPr>
        <w:t xml:space="preserve"> </w:t>
      </w:r>
      <w:r>
        <w:rPr>
          <w:lang w:val="fr-CA"/>
        </w:rPr>
        <w:t>515(10)</w:t>
      </w:r>
      <w:r>
        <w:rPr>
          <w:i/>
          <w:lang w:val="fr-CA"/>
        </w:rPr>
        <w:t>c</w:t>
      </w:r>
      <w:r>
        <w:rPr>
          <w:lang w:val="fr-CA"/>
        </w:rPr>
        <w:t>) sont entre autres les suivantes</w:t>
      </w:r>
      <w:r w:rsidR="00CE3216">
        <w:rPr>
          <w:lang w:val="fr-CA"/>
        </w:rPr>
        <w:t> :</w:t>
      </w:r>
      <w:r>
        <w:rPr>
          <w:lang w:val="fr-CA"/>
        </w:rPr>
        <w:t xml:space="preserve"> le caractère violent</w:t>
      </w:r>
      <w:r w:rsidR="001B5FC8">
        <w:rPr>
          <w:lang w:val="fr-CA"/>
        </w:rPr>
        <w:t>, odieux</w:t>
      </w:r>
      <w:r>
        <w:rPr>
          <w:lang w:val="fr-CA"/>
        </w:rPr>
        <w:t xml:space="preserve"> ou haineux de l’infraction, le fait que celle</w:t>
      </w:r>
      <w:r w:rsidR="00CE3216">
        <w:rPr>
          <w:lang w:val="fr-CA"/>
        </w:rPr>
        <w:t>-</w:t>
      </w:r>
      <w:r>
        <w:rPr>
          <w:lang w:val="fr-CA"/>
        </w:rPr>
        <w:t>ci s’inscrive dans un contexte de violence domestique, de gang criminel ou d’organisation terroriste, et le fait qu’elle ait été commise à l’égard d’une personne vulnérable. S’il s’agit d’une infraction commise par plusieurs personnes, le degré de participation de l’accusé peut s’avérer pertinent. Les facteurs aggravants ou atténuants dont le tribunal tient compte dans la détermination de la peine peuvent également être considérés.</w:t>
      </w:r>
    </w:p>
    <w:p w:rsidR="00895F51" w:rsidRDefault="00895F51" w:rsidP="00CE3216">
      <w:pPr>
        <w:pStyle w:val="SCCNormalDoubleSpacing"/>
        <w:widowControl w:val="0"/>
        <w:spacing w:before="480" w:after="480"/>
        <w:rPr>
          <w:lang w:val="fr-CA"/>
        </w:rPr>
      </w:pPr>
      <w:r>
        <w:rPr>
          <w:lang w:val="fr-CA"/>
        </w:rPr>
        <w:tab/>
        <w:t>Enfin, la quatrième circonstance à considérer est le fait que le prévenu encourt une longue peine d’emprisonnement. Bien qu’il ne soit pas souhaitable d’établir une règle fixant précisément le nombre d’années qui constitue une longue peine d’emprisonnement, certaines indications sont nécessaires. Puisqu’aucun crime n’est exempté de l’application possible de l’</w:t>
      </w:r>
      <w:r w:rsidR="008F1803">
        <w:rPr>
          <w:lang w:val="fr-CA"/>
        </w:rPr>
        <w:t>al.</w:t>
      </w:r>
      <w:r w:rsidR="00CE3216">
        <w:rPr>
          <w:lang w:val="fr-CA"/>
        </w:rPr>
        <w:t xml:space="preserve"> </w:t>
      </w:r>
      <w:r>
        <w:rPr>
          <w:lang w:val="fr-CA"/>
        </w:rPr>
        <w:t>515(10)</w:t>
      </w:r>
      <w:r>
        <w:rPr>
          <w:i/>
          <w:lang w:val="fr-CA"/>
        </w:rPr>
        <w:t>c</w:t>
      </w:r>
      <w:r>
        <w:rPr>
          <w:lang w:val="fr-CA"/>
        </w:rPr>
        <w:t>), une longue peine d’emprisonnement ne s’entend pas seulement des peines d’emprisonnement à perpétuité. De plus, afin de déterminer si l’accusé encourt réellement une longue peine d’emprisonnement, le juge doit tenir compte de toutes les circonstances connues au moment de l’audience et des principes devant moduler la peine applicable. Cette quatrième circonstance s’évalue de façon subjective.</w:t>
      </w:r>
    </w:p>
    <w:p w:rsidR="00895F51" w:rsidRDefault="00895F51" w:rsidP="00CE3216">
      <w:pPr>
        <w:pStyle w:val="SCCNormalDoubleSpacing"/>
        <w:widowControl w:val="0"/>
        <w:spacing w:before="480" w:after="480"/>
        <w:rPr>
          <w:lang w:val="fr-CA"/>
        </w:rPr>
      </w:pPr>
      <w:r>
        <w:rPr>
          <w:lang w:val="fr-CA"/>
        </w:rPr>
        <w:tab/>
        <w:t>Les circonstances énumérées à l’</w:t>
      </w:r>
      <w:r w:rsidR="008F1803">
        <w:rPr>
          <w:lang w:val="fr-CA"/>
        </w:rPr>
        <w:t>al.</w:t>
      </w:r>
      <w:r w:rsidR="00CE3216">
        <w:rPr>
          <w:lang w:val="fr-CA"/>
        </w:rPr>
        <w:t xml:space="preserve"> </w:t>
      </w:r>
      <w:r>
        <w:rPr>
          <w:lang w:val="fr-CA"/>
        </w:rPr>
        <w:t>515(10)</w:t>
      </w:r>
      <w:r>
        <w:rPr>
          <w:i/>
          <w:lang w:val="fr-CA"/>
        </w:rPr>
        <w:t>c</w:t>
      </w:r>
      <w:r>
        <w:rPr>
          <w:lang w:val="fr-CA"/>
        </w:rPr>
        <w:t>) ne sont pas exhaustives. Le tribunal doit plutôt tenir compte de toutes les circonstances propres à chaque cas d’espèce, en prêtant une attention particulière aux quatre circonstances énumérées.</w:t>
      </w:r>
      <w:r w:rsidRPr="00E96891">
        <w:rPr>
          <w:lang w:val="fr-CA"/>
        </w:rPr>
        <w:t xml:space="preserve"> </w:t>
      </w:r>
      <w:r>
        <w:rPr>
          <w:lang w:val="fr-CA"/>
        </w:rPr>
        <w:t>Aucune circonstance n’est déterminante en soi</w:t>
      </w:r>
      <w:r w:rsidR="00CE3216">
        <w:rPr>
          <w:lang w:val="fr-CA"/>
        </w:rPr>
        <w:t> :</w:t>
      </w:r>
      <w:r>
        <w:rPr>
          <w:lang w:val="fr-CA"/>
        </w:rPr>
        <w:t xml:space="preserve"> le juge doit considérer les effets </w:t>
      </w:r>
      <w:r>
        <w:rPr>
          <w:lang w:val="fr-CA"/>
        </w:rPr>
        <w:lastRenderedPageBreak/>
        <w:t>combinés de toutes les circonstances de chaque affaire qui lui permettront de déterminer si la détention est justifiée. Il s’agit d’un exercice de pondération de toutes les circonstances pertinentes, au terme duquel le tribunal doit ultimement se poser la question suivante</w:t>
      </w:r>
      <w:r w:rsidR="00CE3216">
        <w:rPr>
          <w:lang w:val="fr-CA"/>
        </w:rPr>
        <w:t> :</w:t>
      </w:r>
      <w:r>
        <w:rPr>
          <w:lang w:val="fr-CA"/>
        </w:rPr>
        <w:t xml:space="preserve"> la détention est</w:t>
      </w:r>
      <w:r w:rsidR="00CE3216">
        <w:rPr>
          <w:lang w:val="fr-CA"/>
        </w:rPr>
        <w:t>-</w:t>
      </w:r>
      <w:r>
        <w:rPr>
          <w:lang w:val="fr-CA"/>
        </w:rPr>
        <w:t>elle nécessaire pour ne pas miner la confiance du public envers l’administration de la justice?</w:t>
      </w:r>
      <w:r w:rsidRPr="001E4F18">
        <w:rPr>
          <w:lang w:val="fr-CA"/>
        </w:rPr>
        <w:t xml:space="preserve"> </w:t>
      </w:r>
      <w:r>
        <w:rPr>
          <w:lang w:val="fr-CA"/>
        </w:rPr>
        <w:t>Le tribunal ne doit donc pas automatiquement ordonner la détention même si les quatre circonstances énumérées favorisent ce résultat. D’autres circonstances qui peuvent être pertinentes sont les circonstances propres à l’accusé (âge, antécédents criminels, condition physique ou mentale, appartenance à une organisation criminelle), le statut de la victime et l’impact sur la société d’un crime commis contre cette personne, ainsi que le fait que le procès de l’accusé aura lieu à une date très éloignée.</w:t>
      </w:r>
    </w:p>
    <w:p w:rsidR="00895F51" w:rsidRPr="00707464" w:rsidRDefault="00895F51" w:rsidP="00CE3216">
      <w:pPr>
        <w:pStyle w:val="SCCNormalDoubleSpacing"/>
        <w:widowControl w:val="0"/>
        <w:spacing w:before="480" w:after="480"/>
        <w:rPr>
          <w:lang w:val="fr-CA"/>
        </w:rPr>
      </w:pPr>
      <w:r>
        <w:rPr>
          <w:lang w:val="fr-CA"/>
        </w:rPr>
        <w:tab/>
        <w:t>L’exercice de pondération de toutes les circonstances auquel doit se livrer le juge en application de l’</w:t>
      </w:r>
      <w:r w:rsidR="008F1803">
        <w:rPr>
          <w:lang w:val="fr-CA"/>
        </w:rPr>
        <w:t>al.</w:t>
      </w:r>
      <w:r w:rsidR="00CE3216">
        <w:rPr>
          <w:lang w:val="fr-CA"/>
        </w:rPr>
        <w:t xml:space="preserve"> </w:t>
      </w:r>
      <w:r>
        <w:rPr>
          <w:lang w:val="fr-CA"/>
        </w:rPr>
        <w:t>515(10)</w:t>
      </w:r>
      <w:r>
        <w:rPr>
          <w:i/>
          <w:lang w:val="fr-CA"/>
        </w:rPr>
        <w:t>c</w:t>
      </w:r>
      <w:r>
        <w:rPr>
          <w:lang w:val="fr-CA"/>
        </w:rPr>
        <w:t xml:space="preserve">) doit être en tout temps guidé par le point de vue du </w:t>
      </w:r>
      <w:r w:rsidR="00CE3216">
        <w:rPr>
          <w:lang w:val="fr-CA"/>
        </w:rPr>
        <w:t>« </w:t>
      </w:r>
      <w:r>
        <w:rPr>
          <w:lang w:val="fr-CA"/>
        </w:rPr>
        <w:t>public</w:t>
      </w:r>
      <w:r w:rsidR="00CE3216">
        <w:rPr>
          <w:lang w:val="fr-CA"/>
        </w:rPr>
        <w:t> »</w:t>
      </w:r>
      <w:r>
        <w:rPr>
          <w:lang w:val="fr-CA"/>
        </w:rPr>
        <w:t>, c’est</w:t>
      </w:r>
      <w:r w:rsidR="00CE3216">
        <w:rPr>
          <w:lang w:val="fr-CA"/>
        </w:rPr>
        <w:t>-</w:t>
      </w:r>
      <w:r>
        <w:rPr>
          <w:lang w:val="fr-CA"/>
        </w:rPr>
        <w:t>à</w:t>
      </w:r>
      <w:r w:rsidR="00CE3216">
        <w:rPr>
          <w:lang w:val="fr-CA"/>
        </w:rPr>
        <w:t>-</w:t>
      </w:r>
      <w:r>
        <w:rPr>
          <w:lang w:val="fr-CA"/>
        </w:rPr>
        <w:t xml:space="preserve">dire celui d’une personne raisonnable, bien </w:t>
      </w:r>
      <w:r w:rsidRPr="00E96891">
        <w:rPr>
          <w:lang w:val="fr-CA"/>
        </w:rPr>
        <w:t xml:space="preserve"> </w:t>
      </w:r>
      <w:r>
        <w:rPr>
          <w:lang w:val="fr-CA"/>
        </w:rPr>
        <w:t xml:space="preserve">informée de la philosophie des dispositions législatives, des valeurs consacrées par la </w:t>
      </w:r>
      <w:r>
        <w:rPr>
          <w:i/>
          <w:lang w:val="fr-CA"/>
        </w:rPr>
        <w:t>Charte canadienne des droits et libertés</w:t>
      </w:r>
      <w:r>
        <w:rPr>
          <w:lang w:val="fr-CA"/>
        </w:rPr>
        <w:t xml:space="preserve"> et des circonstances réelles de l’affaire. Cette personne est une personne réfléchie et non une personne aux réactions émotives, mal informée sur les circonstances de l’affaire ou en désaccord avec les valeurs fondamentales de notre société. Elle n’est toutefois pas un juriste et, bien qu’elle soit au fait de l’importance de la présomption d’innocence et du droit à la liberté dans notre société, qu’elle s’attende à ce que les personnes accusées d’un crime subissent leur procès dans un délai raisonnable, qu’elle sache que les infractions criminelles </w:t>
      </w:r>
      <w:r>
        <w:rPr>
          <w:lang w:val="fr-CA"/>
        </w:rPr>
        <w:lastRenderedPageBreak/>
        <w:t>requièrent la preuve d’une intention coupable et que certaines défenses tendent à démontrer l’absence de cette intention,</w:t>
      </w:r>
      <w:r w:rsidRPr="00FB5B6E">
        <w:rPr>
          <w:lang w:val="fr-CA"/>
        </w:rPr>
        <w:t xml:space="preserve"> </w:t>
      </w:r>
      <w:r>
        <w:rPr>
          <w:lang w:val="fr-CA"/>
        </w:rPr>
        <w:t xml:space="preserve">elle n’est pas en mesure d’apprécier les subtilités des différentes défenses qui s’offrent à l’accusé. La </w:t>
      </w:r>
      <w:r w:rsidRPr="003766D0">
        <w:rPr>
          <w:lang w:val="fr-CA"/>
        </w:rPr>
        <w:t xml:space="preserve">confiance de cette personne raisonnable envers l’administration de la justice peut être minée tout autant si le tribunal </w:t>
      </w:r>
      <w:r>
        <w:rPr>
          <w:lang w:val="fr-CA"/>
        </w:rPr>
        <w:t xml:space="preserve">refuse d’ordonner </w:t>
      </w:r>
      <w:r w:rsidRPr="003766D0">
        <w:rPr>
          <w:lang w:val="fr-CA"/>
        </w:rPr>
        <w:t xml:space="preserve">une détention justifiée compte tenu des circonstances de l’espèce, </w:t>
      </w:r>
      <w:r>
        <w:rPr>
          <w:lang w:val="fr-CA"/>
        </w:rPr>
        <w:t>que lorsqu’il l’ordonne alors qu’elle est</w:t>
      </w:r>
      <w:r w:rsidRPr="003766D0">
        <w:rPr>
          <w:lang w:val="fr-CA"/>
        </w:rPr>
        <w:t xml:space="preserve"> injustifiée.</w:t>
      </w:r>
    </w:p>
    <w:p w:rsidR="00895F51" w:rsidRDefault="00895F51" w:rsidP="00CE3216">
      <w:pPr>
        <w:pStyle w:val="SCCNormalDoubleSpacing"/>
        <w:widowControl w:val="0"/>
        <w:spacing w:before="480" w:after="480"/>
        <w:rPr>
          <w:lang w:val="fr-CA"/>
        </w:rPr>
      </w:pPr>
      <w:r>
        <w:rPr>
          <w:lang w:val="fr-CA"/>
        </w:rPr>
        <w:tab/>
        <w:t xml:space="preserve">Les </w:t>
      </w:r>
      <w:r w:rsidR="00AD7628">
        <w:rPr>
          <w:lang w:val="fr-CA"/>
        </w:rPr>
        <w:t>articles</w:t>
      </w:r>
      <w:r w:rsidR="00CE3216">
        <w:rPr>
          <w:lang w:val="fr-CA"/>
        </w:rPr>
        <w:t xml:space="preserve"> </w:t>
      </w:r>
      <w:r w:rsidRPr="00E81BC8">
        <w:rPr>
          <w:lang w:val="fr-CA"/>
        </w:rPr>
        <w:t>520</w:t>
      </w:r>
      <w:r>
        <w:rPr>
          <w:lang w:val="fr-CA"/>
        </w:rPr>
        <w:t xml:space="preserve"> et 521</w:t>
      </w:r>
      <w:r w:rsidRPr="00E81BC8">
        <w:rPr>
          <w:lang w:val="fr-CA"/>
        </w:rPr>
        <w:t xml:space="preserve"> </w:t>
      </w:r>
      <w:r>
        <w:rPr>
          <w:lang w:val="fr-CA"/>
        </w:rPr>
        <w:t xml:space="preserve">du </w:t>
      </w:r>
      <w:r>
        <w:rPr>
          <w:i/>
          <w:lang w:val="fr-CA"/>
        </w:rPr>
        <w:t>Code criminel</w:t>
      </w:r>
      <w:r w:rsidRPr="00E81BC8">
        <w:rPr>
          <w:lang w:val="fr-CA"/>
        </w:rPr>
        <w:t xml:space="preserve"> ne confère</w:t>
      </w:r>
      <w:r>
        <w:rPr>
          <w:lang w:val="fr-CA"/>
        </w:rPr>
        <w:t>nt</w:t>
      </w:r>
      <w:r w:rsidRPr="00E81BC8">
        <w:rPr>
          <w:lang w:val="fr-CA"/>
        </w:rPr>
        <w:t xml:space="preserve"> pas au juge réviseur un pouvoir discrétionnaire illimité pour modifier la décision initiale relative</w:t>
      </w:r>
      <w:r>
        <w:rPr>
          <w:lang w:val="fr-CA"/>
        </w:rPr>
        <w:t xml:space="preserve"> à la détention ou</w:t>
      </w:r>
      <w:r w:rsidRPr="00E81BC8">
        <w:rPr>
          <w:lang w:val="fr-CA"/>
        </w:rPr>
        <w:t xml:space="preserve"> à </w:t>
      </w:r>
      <w:r>
        <w:rPr>
          <w:lang w:val="fr-CA"/>
        </w:rPr>
        <w:t xml:space="preserve">la mise en liberté de l’accusé. Ces dispositions n’établissent pas une procédure </w:t>
      </w:r>
      <w:r>
        <w:rPr>
          <w:i/>
          <w:lang w:val="fr-CA"/>
        </w:rPr>
        <w:t>de novo</w:t>
      </w:r>
      <w:r>
        <w:rPr>
          <w:lang w:val="fr-CA"/>
        </w:rPr>
        <w:t>, mais plutôt un recours de nature hybride. Le juge doit se demander s’il est opportun qu’il exerce ce pouvoir de révision.</w:t>
      </w:r>
      <w:r w:rsidRPr="00E81BC8">
        <w:rPr>
          <w:lang w:val="fr-CA"/>
        </w:rPr>
        <w:t xml:space="preserve"> </w:t>
      </w:r>
      <w:r>
        <w:rPr>
          <w:lang w:val="fr-CA"/>
        </w:rPr>
        <w:t>L’opportunité d’exercer ce pouvoir ne se présentera que dans trois cas</w:t>
      </w:r>
      <w:r w:rsidR="00CE3216">
        <w:rPr>
          <w:lang w:val="fr-CA"/>
        </w:rPr>
        <w:t> :</w:t>
      </w:r>
      <w:r>
        <w:rPr>
          <w:lang w:val="fr-CA"/>
        </w:rPr>
        <w:t xml:space="preserve"> </w:t>
      </w:r>
      <w:r w:rsidR="00CE3221">
        <w:rPr>
          <w:lang w:val="fr-CA"/>
        </w:rPr>
        <w:t>(</w:t>
      </w:r>
      <w:r>
        <w:rPr>
          <w:lang w:val="fr-CA"/>
        </w:rPr>
        <w:t>1)</w:t>
      </w:r>
      <w:r w:rsidR="00CE3216">
        <w:rPr>
          <w:lang w:val="fr-CA"/>
        </w:rPr>
        <w:t xml:space="preserve"> </w:t>
      </w:r>
      <w:r>
        <w:rPr>
          <w:lang w:val="fr-CA"/>
        </w:rPr>
        <w:t>en présence d’une preuve nouvelle admissible si celle</w:t>
      </w:r>
      <w:r w:rsidR="00CE3216">
        <w:rPr>
          <w:lang w:val="fr-CA"/>
        </w:rPr>
        <w:t>-</w:t>
      </w:r>
      <w:r>
        <w:rPr>
          <w:lang w:val="fr-CA"/>
        </w:rPr>
        <w:t>ci démontre un changement important et pertinent dans les</w:t>
      </w:r>
      <w:r w:rsidR="008F1803">
        <w:rPr>
          <w:lang w:val="fr-CA"/>
        </w:rPr>
        <w:t xml:space="preserve"> circonstances de l’affaire; </w:t>
      </w:r>
      <w:r w:rsidR="00CE3221">
        <w:rPr>
          <w:lang w:val="fr-CA"/>
        </w:rPr>
        <w:t>(</w:t>
      </w:r>
      <w:r w:rsidR="008F1803">
        <w:rPr>
          <w:lang w:val="fr-CA"/>
        </w:rPr>
        <w:t>2)</w:t>
      </w:r>
      <w:r w:rsidR="00CE3216">
        <w:rPr>
          <w:lang w:val="fr-CA"/>
        </w:rPr>
        <w:t xml:space="preserve"> </w:t>
      </w:r>
      <w:r>
        <w:rPr>
          <w:lang w:val="fr-CA"/>
        </w:rPr>
        <w:t xml:space="preserve">en présence d’une erreur de droit dans la décision contestée; ou </w:t>
      </w:r>
      <w:r w:rsidR="00CE3221">
        <w:rPr>
          <w:lang w:val="fr-CA"/>
        </w:rPr>
        <w:t>(</w:t>
      </w:r>
      <w:r>
        <w:rPr>
          <w:lang w:val="fr-CA"/>
        </w:rPr>
        <w:t>3)</w:t>
      </w:r>
      <w:r w:rsidR="00CE3216">
        <w:rPr>
          <w:lang w:val="fr-CA"/>
        </w:rPr>
        <w:t xml:space="preserve"> </w:t>
      </w:r>
      <w:r>
        <w:rPr>
          <w:lang w:val="fr-CA"/>
        </w:rPr>
        <w:t xml:space="preserve">en présence d’une décision manifestement inappropriée. </w:t>
      </w:r>
    </w:p>
    <w:p w:rsidR="00895F51" w:rsidRDefault="00895F51" w:rsidP="00CE3216">
      <w:pPr>
        <w:pStyle w:val="SCCNormalDoubleSpacing"/>
        <w:widowControl w:val="0"/>
        <w:spacing w:before="480" w:after="480"/>
        <w:rPr>
          <w:lang w:val="fr-CA"/>
        </w:rPr>
      </w:pPr>
      <w:r>
        <w:rPr>
          <w:lang w:val="fr-CA"/>
        </w:rPr>
        <w:tab/>
        <w:t>L</w:t>
      </w:r>
      <w:r w:rsidRPr="004D39F4">
        <w:rPr>
          <w:lang w:val="fr-CA"/>
        </w:rPr>
        <w:t xml:space="preserve">es quatre critères de l’arrêt </w:t>
      </w:r>
      <w:r w:rsidRPr="004D39F4">
        <w:rPr>
          <w:i/>
          <w:lang w:val="fr-CA"/>
        </w:rPr>
        <w:t>Palmer</w:t>
      </w:r>
      <w:r>
        <w:rPr>
          <w:i/>
          <w:lang w:val="fr-CA"/>
        </w:rPr>
        <w:t xml:space="preserve"> c. La Reine</w:t>
      </w:r>
      <w:r>
        <w:rPr>
          <w:lang w:val="fr-CA"/>
        </w:rPr>
        <w:t xml:space="preserve">, </w:t>
      </w:r>
      <w:r w:rsidRPr="001E4F18">
        <w:rPr>
          <w:lang w:val="fr-CA"/>
        </w:rPr>
        <w:t>[</w:t>
      </w:r>
      <w:r>
        <w:rPr>
          <w:lang w:val="fr-CA"/>
        </w:rPr>
        <w:t>1980</w:t>
      </w:r>
      <w:r w:rsidRPr="001E4F18">
        <w:rPr>
          <w:lang w:val="fr-CA"/>
        </w:rPr>
        <w:t>]</w:t>
      </w:r>
      <w:r>
        <w:rPr>
          <w:lang w:val="fr-CA"/>
        </w:rPr>
        <w:t xml:space="preserve"> 1 R.C.S. 759, sont pertinents </w:t>
      </w:r>
      <w:r w:rsidRPr="004D39F4">
        <w:rPr>
          <w:lang w:val="fr-CA"/>
        </w:rPr>
        <w:t>pour déterminer en quoi consiste une preuve nouvelle pour les</w:t>
      </w:r>
      <w:r>
        <w:rPr>
          <w:lang w:val="fr-CA"/>
        </w:rPr>
        <w:t xml:space="preserve"> besoins de la révision prévue aux </w:t>
      </w:r>
      <w:r w:rsidR="008F1803">
        <w:rPr>
          <w:lang w:val="fr-CA"/>
        </w:rPr>
        <w:t>art.</w:t>
      </w:r>
      <w:r w:rsidR="00CE3216">
        <w:rPr>
          <w:lang w:val="fr-CA"/>
        </w:rPr>
        <w:t xml:space="preserve"> </w:t>
      </w:r>
      <w:r w:rsidRPr="004D39F4">
        <w:rPr>
          <w:lang w:val="fr-CA"/>
        </w:rPr>
        <w:t>520</w:t>
      </w:r>
      <w:r>
        <w:rPr>
          <w:lang w:val="fr-CA"/>
        </w:rPr>
        <w:t xml:space="preserve"> et 521. </w:t>
      </w:r>
      <w:r w:rsidRPr="004D39F4">
        <w:rPr>
          <w:lang w:val="fr-CA"/>
        </w:rPr>
        <w:t xml:space="preserve">Étant donné la nature généralement expéditive du processus de mise en liberté provisoire et les risques d’atteinte aux droits de l’accusé, et puisque l’audience sur mise en liberté survient au tout début des procédures criminelles et non à la fin comme l’appel de la </w:t>
      </w:r>
      <w:r>
        <w:rPr>
          <w:lang w:val="fr-CA"/>
        </w:rPr>
        <w:t>peine</w:t>
      </w:r>
      <w:r w:rsidRPr="004D39F4">
        <w:rPr>
          <w:lang w:val="fr-CA"/>
        </w:rPr>
        <w:t xml:space="preserve">, les juges réviseurs </w:t>
      </w:r>
      <w:r w:rsidRPr="004D39F4">
        <w:rPr>
          <w:lang w:val="fr-CA"/>
        </w:rPr>
        <w:lastRenderedPageBreak/>
        <w:t>doivent faire preuve de souplesse dans l’application de ces quatre critères.</w:t>
      </w:r>
      <w:r>
        <w:rPr>
          <w:lang w:val="fr-CA"/>
        </w:rPr>
        <w:t xml:space="preserve"> En ce qui concerne le premier critère, la diligence raisonnable, </w:t>
      </w:r>
      <w:r w:rsidRPr="00EC12E5">
        <w:rPr>
          <w:lang w:val="fr-CA"/>
        </w:rPr>
        <w:t xml:space="preserve">le juge réviseur peut tenir compte d’éléments de preuve véritablement nouveaux ou d’éléments qui existaient au moment de l’audience initiale sur la mise en liberté de l’accusé, mais </w:t>
      </w:r>
      <w:r>
        <w:rPr>
          <w:lang w:val="fr-CA"/>
        </w:rPr>
        <w:t>qui n’ont pas été présentés</w:t>
      </w:r>
      <w:r w:rsidRPr="00EC12E5">
        <w:rPr>
          <w:lang w:val="fr-CA"/>
        </w:rPr>
        <w:t xml:space="preserve"> pour une raison légitime et raisonnable. </w:t>
      </w:r>
      <w:r>
        <w:rPr>
          <w:lang w:val="fr-CA"/>
        </w:rPr>
        <w:t>C</w:t>
      </w:r>
      <w:r w:rsidRPr="00EC12E5">
        <w:rPr>
          <w:szCs w:val="24"/>
          <w:lang w:val="fr-CA"/>
        </w:rPr>
        <w:t>ette preuve nouvelle ne se limite pas à des éléments auxquels l’accusé n’a pas eu accès avant l’audience initiale</w:t>
      </w:r>
      <w:r>
        <w:rPr>
          <w:szCs w:val="24"/>
          <w:lang w:val="fr-CA"/>
        </w:rPr>
        <w:t xml:space="preserve">. </w:t>
      </w:r>
      <w:r w:rsidRPr="00EC12E5">
        <w:rPr>
          <w:lang w:val="fr-CA"/>
        </w:rPr>
        <w:t>Il appartiendra aux juges réviseurs de déterminer, dans chaque cas, si la raison pour laquelle l’accusé n’a pas présenté plus tôt ces éléments de preuve préexistants était légitime et raisonnable.</w:t>
      </w:r>
      <w:r>
        <w:rPr>
          <w:lang w:val="fr-CA"/>
        </w:rPr>
        <w:t xml:space="preserve"> Quant au deuxième critère, il suffit que la preuve soit pertinente pour les besoins du </w:t>
      </w:r>
      <w:r w:rsidR="008F1803">
        <w:rPr>
          <w:lang w:val="fr-CA"/>
        </w:rPr>
        <w:t>par.</w:t>
      </w:r>
      <w:r w:rsidR="00CE3216">
        <w:rPr>
          <w:lang w:val="fr-CA"/>
        </w:rPr>
        <w:t xml:space="preserve"> </w:t>
      </w:r>
      <w:r>
        <w:rPr>
          <w:lang w:val="fr-CA"/>
        </w:rPr>
        <w:t xml:space="preserve">515(10). Ce critère sera donc rarement décisif lors d’une demande de révision en vertu des </w:t>
      </w:r>
      <w:r w:rsidR="008F1803">
        <w:rPr>
          <w:lang w:val="fr-CA"/>
        </w:rPr>
        <w:t>art.</w:t>
      </w:r>
      <w:r w:rsidR="00CE3216">
        <w:rPr>
          <w:lang w:val="fr-CA"/>
        </w:rPr>
        <w:t xml:space="preserve"> </w:t>
      </w:r>
      <w:r>
        <w:rPr>
          <w:lang w:val="fr-CA"/>
        </w:rPr>
        <w:t xml:space="preserve">520 et 521, puisque l’éventail de preuves pertinentes sera généralement assez large. </w:t>
      </w:r>
      <w:r w:rsidRPr="00EC12E5">
        <w:rPr>
          <w:lang w:val="fr-CA"/>
        </w:rPr>
        <w:t>En ce qui concerne le troisième critère — soit que la preuve doit être plausible, en ce sens qu’on puisse raisonnablement y ajouter foi</w:t>
      </w:r>
      <w:r>
        <w:rPr>
          <w:lang w:val="fr-CA"/>
        </w:rPr>
        <w:t xml:space="preserve"> </w:t>
      </w:r>
      <w:r w:rsidRPr="00EC12E5">
        <w:rPr>
          <w:lang w:val="fr-CA"/>
        </w:rPr>
        <w:t>—, il doit être interprété à la lumière de l’assouplissement des règles de preuve à l’étape de la mise en liberté sous caution, en particulier de l’</w:t>
      </w:r>
      <w:r w:rsidR="008F1803">
        <w:rPr>
          <w:lang w:val="fr-CA"/>
        </w:rPr>
        <w:t>al.</w:t>
      </w:r>
      <w:r w:rsidR="00CE3216">
        <w:rPr>
          <w:lang w:val="fr-CA"/>
        </w:rPr>
        <w:t xml:space="preserve"> </w:t>
      </w:r>
      <w:r w:rsidRPr="00EC12E5">
        <w:rPr>
          <w:lang w:val="fr-CA"/>
        </w:rPr>
        <w:t>518(1)</w:t>
      </w:r>
      <w:r w:rsidRPr="00EC12E5">
        <w:rPr>
          <w:i/>
          <w:lang w:val="fr-CA"/>
        </w:rPr>
        <w:t>e</w:t>
      </w:r>
      <w:r w:rsidRPr="00EC12E5">
        <w:rPr>
          <w:lang w:val="fr-CA"/>
        </w:rPr>
        <w:t xml:space="preserve">) </w:t>
      </w:r>
      <w:r>
        <w:rPr>
          <w:lang w:val="fr-CA"/>
        </w:rPr>
        <w:t xml:space="preserve">du </w:t>
      </w:r>
      <w:r>
        <w:rPr>
          <w:i/>
          <w:lang w:val="fr-CA"/>
        </w:rPr>
        <w:t>Code criminel</w:t>
      </w:r>
      <w:r w:rsidRPr="00EC12E5">
        <w:rPr>
          <w:lang w:val="fr-CA"/>
        </w:rPr>
        <w:t xml:space="preserve">, lequel prévoit que </w:t>
      </w:r>
      <w:r w:rsidR="00CE3216">
        <w:rPr>
          <w:lang w:val="fr-CA"/>
        </w:rPr>
        <w:t>« </w:t>
      </w:r>
      <w:r w:rsidRPr="00EC12E5">
        <w:rPr>
          <w:lang w:val="fr-CA"/>
        </w:rPr>
        <w:t>le juge de paix peut recevoir toute preuve qu’il considère plausible ou digne de foi dans les circonstances de l’espèce et fonder sa décision sur cette preuve</w:t>
      </w:r>
      <w:r w:rsidR="00CE3216">
        <w:rPr>
          <w:lang w:val="fr-CA"/>
        </w:rPr>
        <w:t> »</w:t>
      </w:r>
      <w:r w:rsidRPr="00EC12E5">
        <w:rPr>
          <w:lang w:val="fr-CA"/>
        </w:rPr>
        <w:t>.</w:t>
      </w:r>
      <w:r>
        <w:rPr>
          <w:lang w:val="fr-CA"/>
        </w:rPr>
        <w:t xml:space="preserve"> </w:t>
      </w:r>
      <w:r w:rsidRPr="00EC12E5">
        <w:rPr>
          <w:lang w:val="fr-CA"/>
        </w:rPr>
        <w:t xml:space="preserve">Enfin, il convient de modifier ainsi le quatrième critère de </w:t>
      </w:r>
      <w:r w:rsidR="0087352E">
        <w:rPr>
          <w:lang w:val="fr-CA"/>
        </w:rPr>
        <w:t xml:space="preserve">l’arrêt </w:t>
      </w:r>
      <w:r w:rsidRPr="006C1BD8">
        <w:rPr>
          <w:i/>
          <w:lang w:val="fr-CA"/>
        </w:rPr>
        <w:t>Palmer</w:t>
      </w:r>
      <w:r w:rsidR="00CE3216">
        <w:rPr>
          <w:lang w:val="fr-CA"/>
        </w:rPr>
        <w:t> :</w:t>
      </w:r>
      <w:r w:rsidRPr="00EC12E5">
        <w:rPr>
          <w:lang w:val="fr-CA"/>
        </w:rPr>
        <w:t xml:space="preserve"> la preuve nouvelle doit être telle qu’il est raisonnable de penser que, compte tenu de toutes les circonstances pertinentes, elle aurait été susceptible d’influencer l’exercice de pondération auquel s’est livré le premier juge pour l’application de l’</w:t>
      </w:r>
      <w:r w:rsidR="008F1803">
        <w:rPr>
          <w:lang w:val="fr-CA"/>
        </w:rPr>
        <w:t>al.</w:t>
      </w:r>
      <w:r w:rsidR="00CE3216">
        <w:rPr>
          <w:lang w:val="fr-CA"/>
        </w:rPr>
        <w:t xml:space="preserve"> </w:t>
      </w:r>
      <w:r w:rsidRPr="00EC12E5">
        <w:rPr>
          <w:lang w:val="fr-CA"/>
        </w:rPr>
        <w:t>515(10)</w:t>
      </w:r>
      <w:r w:rsidRPr="006C1BD8">
        <w:rPr>
          <w:i/>
          <w:lang w:val="fr-CA"/>
        </w:rPr>
        <w:t>c</w:t>
      </w:r>
      <w:r w:rsidRPr="00EC12E5">
        <w:rPr>
          <w:lang w:val="fr-CA"/>
        </w:rPr>
        <w:t>)</w:t>
      </w:r>
      <w:r>
        <w:rPr>
          <w:lang w:val="fr-CA"/>
        </w:rPr>
        <w:t>.</w:t>
      </w:r>
      <w:r w:rsidRPr="00EC12E5">
        <w:rPr>
          <w:lang w:val="fr-CA"/>
        </w:rPr>
        <w:t xml:space="preserve"> Cette nouvelle preuve doit donc être significative.</w:t>
      </w:r>
      <w:r>
        <w:rPr>
          <w:lang w:val="fr-CA"/>
        </w:rPr>
        <w:t xml:space="preserve"> </w:t>
      </w:r>
      <w:r w:rsidRPr="00EC12E5">
        <w:rPr>
          <w:lang w:val="fr-CA"/>
        </w:rPr>
        <w:t xml:space="preserve">Si la preuve nouvelle satisfait aux quatre critères d’admissibilité, le juge réviseur est </w:t>
      </w:r>
      <w:r w:rsidRPr="00EC12E5">
        <w:rPr>
          <w:lang w:val="fr-CA"/>
        </w:rPr>
        <w:lastRenderedPageBreak/>
        <w:t>autorisé à reprendre l’analyse fondée sur l’</w:t>
      </w:r>
      <w:r w:rsidR="008F1803">
        <w:rPr>
          <w:lang w:val="fr-CA"/>
        </w:rPr>
        <w:t>al.</w:t>
      </w:r>
      <w:r w:rsidR="00CE3216">
        <w:rPr>
          <w:lang w:val="fr-CA"/>
        </w:rPr>
        <w:t xml:space="preserve"> </w:t>
      </w:r>
      <w:r w:rsidRPr="00EC12E5">
        <w:rPr>
          <w:lang w:val="fr-CA"/>
        </w:rPr>
        <w:t>515(10)</w:t>
      </w:r>
      <w:r w:rsidRPr="006C1BD8">
        <w:rPr>
          <w:i/>
          <w:lang w:val="fr-CA"/>
        </w:rPr>
        <w:t>c</w:t>
      </w:r>
      <w:r w:rsidRPr="00EC12E5">
        <w:rPr>
          <w:lang w:val="fr-CA"/>
        </w:rPr>
        <w:t>) comme s’il était le premier décideur.</w:t>
      </w:r>
    </w:p>
    <w:p w:rsidR="00895F51" w:rsidRDefault="00895F51" w:rsidP="00CE3216">
      <w:pPr>
        <w:pStyle w:val="SCCNormalDoubleSpacing"/>
        <w:widowControl w:val="0"/>
        <w:spacing w:before="480" w:after="480"/>
        <w:rPr>
          <w:lang w:val="fr-CA"/>
        </w:rPr>
      </w:pPr>
      <w:r>
        <w:rPr>
          <w:lang w:val="fr-CA"/>
        </w:rPr>
        <w:tab/>
        <w:t>L’opportunité d’intervenir existera aussi lorsqu’une erreur de droit a été commise par le premier juge, ou lorsque la décision contestée est manifestement inappropriée, c’est</w:t>
      </w:r>
      <w:r w:rsidR="00CE3216">
        <w:rPr>
          <w:lang w:val="fr-CA"/>
        </w:rPr>
        <w:t>-</w:t>
      </w:r>
      <w:r>
        <w:rPr>
          <w:lang w:val="fr-CA"/>
        </w:rPr>
        <w:t>à</w:t>
      </w:r>
      <w:r w:rsidR="00CE3216">
        <w:rPr>
          <w:lang w:val="fr-CA"/>
        </w:rPr>
        <w:t>-</w:t>
      </w:r>
      <w:r>
        <w:rPr>
          <w:lang w:val="fr-CA"/>
        </w:rPr>
        <w:t>dire lorsque le juge ayant rendu la décision contestée a accordé trop d’importance à un facteur pertinent ou pas suffisamment à un autre. Il ne s’agit donc pas d’accorder aux juges réviseurs le pouvoir d’intervenir à l’égard de la décision initiale simplement parce qu’ils auraient accordé un poids différent aux facteurs pertinents.</w:t>
      </w:r>
    </w:p>
    <w:p w:rsidR="00895F51" w:rsidRPr="0080488C" w:rsidRDefault="00895F51" w:rsidP="00CE3216">
      <w:pPr>
        <w:pStyle w:val="SCCNormalDoubleSpacing"/>
        <w:widowControl w:val="0"/>
        <w:spacing w:before="480" w:after="480"/>
        <w:rPr>
          <w:lang w:val="fr-CA"/>
        </w:rPr>
      </w:pPr>
      <w:r>
        <w:rPr>
          <w:lang w:val="fr-CA"/>
        </w:rPr>
        <w:tab/>
        <w:t>En l’espèce, le juge de la Cour supérieure est intervenu alors qu’il n’y avait pas matière à révision, vu l’absence de changement de circonstances et d’erreur de droit, et le fait que la décision initiale n’était pas manifestement inappropriée. La pondération de toutes les circonstances pertinentes, comme le requiert l’</w:t>
      </w:r>
      <w:r w:rsidR="008F1803">
        <w:rPr>
          <w:lang w:val="fr-CA"/>
        </w:rPr>
        <w:t>al.</w:t>
      </w:r>
      <w:r w:rsidR="00CE3216">
        <w:rPr>
          <w:lang w:val="fr-CA"/>
        </w:rPr>
        <w:t xml:space="preserve"> </w:t>
      </w:r>
      <w:r>
        <w:rPr>
          <w:lang w:val="fr-CA"/>
        </w:rPr>
        <w:t>515(10)</w:t>
      </w:r>
      <w:r>
        <w:rPr>
          <w:i/>
          <w:lang w:val="fr-CA"/>
        </w:rPr>
        <w:t>c</w:t>
      </w:r>
      <w:r>
        <w:rPr>
          <w:lang w:val="fr-CA"/>
        </w:rPr>
        <w:t>), rendait nécessaire la détention de S afin de ne pas miner la confiance du public envers l’administration de la justice.</w:t>
      </w:r>
    </w:p>
    <w:p w:rsidR="004D7D95" w:rsidRPr="004D7D95" w:rsidRDefault="004D7D95" w:rsidP="00CE3216">
      <w:pPr>
        <w:pStyle w:val="SCCNormalDoubleSpacing"/>
        <w:widowControl w:val="0"/>
        <w:spacing w:before="480" w:after="480"/>
        <w:rPr>
          <w:b/>
          <w:lang w:val="fr-CA"/>
        </w:rPr>
      </w:pPr>
      <w:r w:rsidRPr="004D7D95">
        <w:rPr>
          <w:b/>
          <w:lang w:val="fr-CA"/>
        </w:rPr>
        <w:t>Jurisprudence</w:t>
      </w:r>
    </w:p>
    <w:p w:rsidR="004D7D95" w:rsidRPr="00895F51" w:rsidRDefault="004D7D95" w:rsidP="00CE3216">
      <w:pPr>
        <w:pStyle w:val="SCCNormalDoubleSpacing"/>
        <w:widowControl w:val="0"/>
        <w:spacing w:before="480" w:after="480"/>
        <w:rPr>
          <w:lang w:val="en-US"/>
        </w:rPr>
      </w:pPr>
      <w:r w:rsidRPr="004D7D95">
        <w:rPr>
          <w:lang w:val="fr-CA"/>
        </w:rPr>
        <w:tab/>
      </w:r>
      <w:r w:rsidR="00DA3A0F" w:rsidRPr="004D7D95">
        <w:rPr>
          <w:b/>
          <w:lang w:val="fr-CA"/>
        </w:rPr>
        <w:t xml:space="preserve">Arrêt </w:t>
      </w:r>
      <w:r w:rsidR="00DA3A0F">
        <w:rPr>
          <w:b/>
          <w:lang w:val="fr-CA"/>
        </w:rPr>
        <w:t>examiné</w:t>
      </w:r>
      <w:r w:rsidR="00CE3216">
        <w:rPr>
          <w:b/>
          <w:lang w:val="fr-CA"/>
        </w:rPr>
        <w:t> :</w:t>
      </w:r>
      <w:r w:rsidR="00DA3A0F" w:rsidRPr="004D7D95">
        <w:rPr>
          <w:lang w:val="fr-CA"/>
        </w:rPr>
        <w:t xml:space="preserve"> </w:t>
      </w:r>
      <w:r w:rsidR="00B753F2" w:rsidRPr="005A6872">
        <w:rPr>
          <w:i/>
          <w:lang w:val="fr-CA"/>
        </w:rPr>
        <w:t>R. c. Hall</w:t>
      </w:r>
      <w:r w:rsidR="00B753F2" w:rsidRPr="00B753F2">
        <w:rPr>
          <w:lang w:val="fr-CA"/>
        </w:rPr>
        <w:t>, 2002 CSC 64, [2002] 3 R.C.S. 309</w:t>
      </w:r>
      <w:r w:rsidR="00B753F2">
        <w:rPr>
          <w:lang w:val="fr-CA"/>
        </w:rPr>
        <w:t xml:space="preserve">; </w:t>
      </w:r>
      <w:r w:rsidR="00DA3A0F">
        <w:rPr>
          <w:b/>
          <w:lang w:val="fr-CA"/>
        </w:rPr>
        <w:t>a</w:t>
      </w:r>
      <w:r w:rsidR="00DA3A0F" w:rsidRPr="004D7D95">
        <w:rPr>
          <w:b/>
          <w:lang w:val="fr-CA"/>
        </w:rPr>
        <w:t>rrêts mentionnés</w:t>
      </w:r>
      <w:r w:rsidR="00CE3216">
        <w:rPr>
          <w:b/>
          <w:lang w:val="fr-CA"/>
        </w:rPr>
        <w:t> :</w:t>
      </w:r>
      <w:r w:rsidR="00DA3A0F" w:rsidRPr="004D7D95">
        <w:rPr>
          <w:lang w:val="fr-CA"/>
        </w:rPr>
        <w:t xml:space="preserve"> </w:t>
      </w:r>
      <w:r w:rsidR="00B753F2" w:rsidRPr="00324449">
        <w:rPr>
          <w:i/>
          <w:lang w:val="fr-CA"/>
        </w:rPr>
        <w:t>R. c. Pearson</w:t>
      </w:r>
      <w:r w:rsidR="00B753F2" w:rsidRPr="00B753F2">
        <w:rPr>
          <w:lang w:val="fr-CA"/>
        </w:rPr>
        <w:t>, [1992] 3 R.C.S. 665</w:t>
      </w:r>
      <w:r w:rsidR="00B753F2">
        <w:rPr>
          <w:lang w:val="fr-CA"/>
        </w:rPr>
        <w:t xml:space="preserve">; </w:t>
      </w:r>
      <w:r w:rsidR="00B753F2" w:rsidRPr="0000167B">
        <w:rPr>
          <w:i/>
          <w:lang w:val="fr-CA"/>
        </w:rPr>
        <w:t>R. c. Morales</w:t>
      </w:r>
      <w:r w:rsidR="00B753F2" w:rsidRPr="00B753F2">
        <w:rPr>
          <w:lang w:val="fr-CA"/>
        </w:rPr>
        <w:t>, [1992] 3 R.C.S. 7</w:t>
      </w:r>
      <w:r w:rsidR="0000167B">
        <w:rPr>
          <w:lang w:val="fr-CA"/>
        </w:rPr>
        <w:t>1</w:t>
      </w:r>
      <w:r w:rsidR="00B753F2" w:rsidRPr="00B753F2">
        <w:rPr>
          <w:lang w:val="fr-CA"/>
        </w:rPr>
        <w:t>1</w:t>
      </w:r>
      <w:r w:rsidR="00B753F2">
        <w:rPr>
          <w:lang w:val="fr-CA"/>
        </w:rPr>
        <w:t xml:space="preserve">; </w:t>
      </w:r>
      <w:r w:rsidR="00B753F2" w:rsidRPr="0000167B">
        <w:rPr>
          <w:i/>
          <w:lang w:val="fr-CA"/>
        </w:rPr>
        <w:t>Valente c. La Reine</w:t>
      </w:r>
      <w:r w:rsidR="00B753F2" w:rsidRPr="00B753F2">
        <w:rPr>
          <w:lang w:val="fr-CA"/>
        </w:rPr>
        <w:t>, [1985] 2 R.C.S. 673</w:t>
      </w:r>
      <w:r w:rsidR="00B753F2">
        <w:rPr>
          <w:lang w:val="fr-CA"/>
        </w:rPr>
        <w:t xml:space="preserve">; </w:t>
      </w:r>
      <w:r w:rsidR="00B753F2" w:rsidRPr="00C31CE2">
        <w:rPr>
          <w:i/>
          <w:lang w:val="fr-CA"/>
        </w:rPr>
        <w:t>R. c. Thomson</w:t>
      </w:r>
      <w:r w:rsidR="00B753F2" w:rsidRPr="00B753F2">
        <w:rPr>
          <w:lang w:val="fr-CA"/>
        </w:rPr>
        <w:t xml:space="preserve"> (2004), 21 C.R. (6th) 209;</w:t>
      </w:r>
      <w:r w:rsidR="00B753F2">
        <w:rPr>
          <w:lang w:val="fr-CA"/>
        </w:rPr>
        <w:t xml:space="preserve"> </w:t>
      </w:r>
      <w:r w:rsidR="00B753F2" w:rsidRPr="00C31CE2">
        <w:rPr>
          <w:i/>
          <w:lang w:val="fr-CA"/>
        </w:rPr>
        <w:t>R. c. B.</w:t>
      </w:r>
      <w:r w:rsidR="00C31CE2" w:rsidRPr="00C31CE2">
        <w:rPr>
          <w:i/>
          <w:lang w:val="fr-CA"/>
        </w:rPr>
        <w:t xml:space="preserve"> </w:t>
      </w:r>
      <w:r w:rsidR="00B753F2" w:rsidRPr="00C31CE2">
        <w:rPr>
          <w:i/>
          <w:lang w:val="fr-CA"/>
        </w:rPr>
        <w:t>(A.)</w:t>
      </w:r>
      <w:r w:rsidR="00B753F2" w:rsidRPr="00B753F2">
        <w:rPr>
          <w:lang w:val="fr-CA"/>
        </w:rPr>
        <w:t xml:space="preserve"> (2006), 2</w:t>
      </w:r>
      <w:r w:rsidR="00B753F2">
        <w:rPr>
          <w:lang w:val="fr-CA"/>
        </w:rPr>
        <w:t>04 C.C.C. (3d) 490</w:t>
      </w:r>
      <w:r w:rsidR="00B753F2" w:rsidRPr="00B753F2">
        <w:rPr>
          <w:lang w:val="fr-CA"/>
        </w:rPr>
        <w:t>;</w:t>
      </w:r>
      <w:r w:rsidR="00B753F2">
        <w:rPr>
          <w:lang w:val="fr-CA"/>
        </w:rPr>
        <w:t xml:space="preserve"> </w:t>
      </w:r>
      <w:r w:rsidR="00B753F2" w:rsidRPr="00C31CE2">
        <w:rPr>
          <w:i/>
          <w:lang w:val="fr-CA"/>
        </w:rPr>
        <w:t>R. c. Pichler</w:t>
      </w:r>
      <w:r w:rsidR="00B753F2" w:rsidRPr="00B753F2">
        <w:rPr>
          <w:lang w:val="fr-CA"/>
        </w:rPr>
        <w:t>, 2009 ABPC 24;</w:t>
      </w:r>
      <w:r w:rsidR="00B753F2">
        <w:rPr>
          <w:lang w:val="fr-CA"/>
        </w:rPr>
        <w:t xml:space="preserve"> </w:t>
      </w:r>
      <w:r w:rsidR="00B753F2" w:rsidRPr="00C31CE2">
        <w:rPr>
          <w:i/>
          <w:lang w:val="fr-CA"/>
        </w:rPr>
        <w:t>R. c. Teemotee</w:t>
      </w:r>
      <w:r w:rsidR="00B753F2" w:rsidRPr="00B753F2">
        <w:rPr>
          <w:lang w:val="fr-CA"/>
        </w:rPr>
        <w:t xml:space="preserve">, </w:t>
      </w:r>
      <w:r w:rsidR="00B753F2" w:rsidRPr="00B753F2">
        <w:rPr>
          <w:lang w:val="fr-CA"/>
        </w:rPr>
        <w:lastRenderedPageBreak/>
        <w:t>2011 NUCJ 17</w:t>
      </w:r>
      <w:r w:rsidR="00B753F2">
        <w:rPr>
          <w:lang w:val="fr-CA"/>
        </w:rPr>
        <w:t xml:space="preserve">; </w:t>
      </w:r>
      <w:r w:rsidR="00B753F2" w:rsidRPr="00C31CE2">
        <w:rPr>
          <w:i/>
          <w:lang w:val="fr-CA"/>
        </w:rPr>
        <w:t>R. c. Bhullar</w:t>
      </w:r>
      <w:r w:rsidR="00B753F2">
        <w:rPr>
          <w:lang w:val="fr-CA"/>
        </w:rPr>
        <w:t>, 2005 BCCA 409</w:t>
      </w:r>
      <w:r w:rsidR="00B753F2" w:rsidRPr="00B753F2">
        <w:rPr>
          <w:lang w:val="fr-CA"/>
        </w:rPr>
        <w:t>;</w:t>
      </w:r>
      <w:r w:rsidR="00B753F2">
        <w:rPr>
          <w:lang w:val="fr-CA"/>
        </w:rPr>
        <w:t xml:space="preserve"> </w:t>
      </w:r>
      <w:r w:rsidR="00B753F2" w:rsidRPr="00C31CE2">
        <w:rPr>
          <w:i/>
          <w:lang w:val="fr-CA"/>
        </w:rPr>
        <w:t>R. c. Brotherston</w:t>
      </w:r>
      <w:r w:rsidR="00B753F2" w:rsidRPr="00B753F2">
        <w:rPr>
          <w:lang w:val="fr-CA"/>
        </w:rPr>
        <w:t>, 2009 BCCA 431, 71 C.R. (6th) 81;</w:t>
      </w:r>
      <w:r w:rsidR="00B753F2">
        <w:rPr>
          <w:lang w:val="fr-CA"/>
        </w:rPr>
        <w:t xml:space="preserve"> </w:t>
      </w:r>
      <w:r w:rsidR="00665566" w:rsidRPr="00665566">
        <w:rPr>
          <w:i/>
          <w:lang w:val="fr-CA"/>
        </w:rPr>
        <w:t>R. c. LaFramboise</w:t>
      </w:r>
      <w:r w:rsidR="00665566" w:rsidRPr="00665566">
        <w:rPr>
          <w:lang w:val="fr-CA"/>
        </w:rPr>
        <w:t xml:space="preserve"> (2005), 203 C.C.C. (3d) 492; </w:t>
      </w:r>
      <w:r w:rsidR="00665566" w:rsidRPr="00665566">
        <w:rPr>
          <w:i/>
          <w:lang w:val="fr-CA"/>
        </w:rPr>
        <w:t>R. c. D. (R.)</w:t>
      </w:r>
      <w:r w:rsidR="00665566" w:rsidRPr="00665566">
        <w:rPr>
          <w:lang w:val="fr-CA"/>
        </w:rPr>
        <w:t xml:space="preserve">, 2010 ONCA 899, 273 C.C.C. (3d) 7; </w:t>
      </w:r>
      <w:r w:rsidR="00B753F2" w:rsidRPr="00C31CE2">
        <w:rPr>
          <w:i/>
          <w:lang w:val="fr-CA"/>
        </w:rPr>
        <w:t>R. c. Blind</w:t>
      </w:r>
      <w:r w:rsidR="00B753F2" w:rsidRPr="00B753F2">
        <w:rPr>
          <w:lang w:val="fr-CA"/>
        </w:rPr>
        <w:t xml:space="preserve"> (1999), 139 C.C.C. (3d) 87</w:t>
      </w:r>
      <w:r w:rsidR="00B753F2">
        <w:rPr>
          <w:lang w:val="fr-CA"/>
        </w:rPr>
        <w:t xml:space="preserve">; </w:t>
      </w:r>
      <w:r w:rsidR="00665566" w:rsidRPr="00665566">
        <w:rPr>
          <w:i/>
          <w:lang w:val="fr-CA"/>
        </w:rPr>
        <w:t>R. c. Rondeau</w:t>
      </w:r>
      <w:r w:rsidR="00665566" w:rsidRPr="00665566">
        <w:rPr>
          <w:lang w:val="fr-CA"/>
        </w:rPr>
        <w:t xml:space="preserve">, [1996] R.J.Q. 1155; </w:t>
      </w:r>
      <w:r w:rsidR="00B753F2" w:rsidRPr="00707786">
        <w:rPr>
          <w:i/>
          <w:lang w:val="fr-CA"/>
        </w:rPr>
        <w:t>R. c. Summers</w:t>
      </w:r>
      <w:r w:rsidR="00B753F2" w:rsidRPr="00B753F2">
        <w:rPr>
          <w:lang w:val="fr-CA"/>
        </w:rPr>
        <w:t>, 2014 CSC 26, [2014] 1 R.C.S. 575</w:t>
      </w:r>
      <w:r w:rsidR="00B753F2">
        <w:rPr>
          <w:lang w:val="fr-CA"/>
        </w:rPr>
        <w:t xml:space="preserve">; </w:t>
      </w:r>
      <w:r w:rsidR="00B753F2" w:rsidRPr="005441A1">
        <w:rPr>
          <w:i/>
          <w:lang w:val="fr-CA"/>
        </w:rPr>
        <w:t>R. c. Coates</w:t>
      </w:r>
      <w:r w:rsidR="00B753F2" w:rsidRPr="00B753F2">
        <w:rPr>
          <w:lang w:val="fr-CA"/>
        </w:rPr>
        <w:t>, 2010 QCCA 919</w:t>
      </w:r>
      <w:r w:rsidR="00B753F2">
        <w:rPr>
          <w:lang w:val="fr-CA"/>
        </w:rPr>
        <w:t>;</w:t>
      </w:r>
      <w:r w:rsidR="00B753F2" w:rsidRPr="00B753F2">
        <w:rPr>
          <w:lang w:val="fr-CA"/>
        </w:rPr>
        <w:t xml:space="preserve"> </w:t>
      </w:r>
      <w:r w:rsidR="00B753F2" w:rsidRPr="00D1715F">
        <w:rPr>
          <w:i/>
          <w:lang w:val="fr-CA"/>
        </w:rPr>
        <w:t>R. c. Mordue</w:t>
      </w:r>
      <w:r w:rsidR="00B753F2" w:rsidRPr="00B753F2">
        <w:rPr>
          <w:lang w:val="fr-CA"/>
        </w:rPr>
        <w:t xml:space="preserve"> (2006), 223 C.C.C. (3d) 407</w:t>
      </w:r>
      <w:r w:rsidR="00B753F2">
        <w:rPr>
          <w:lang w:val="fr-CA"/>
        </w:rPr>
        <w:t xml:space="preserve">; </w:t>
      </w:r>
      <w:r w:rsidR="00102E39" w:rsidRPr="00D1715F">
        <w:rPr>
          <w:i/>
          <w:lang w:val="fr-CA"/>
        </w:rPr>
        <w:t>R. c. Nguyen</w:t>
      </w:r>
      <w:r w:rsidR="00102E39" w:rsidRPr="00102E39">
        <w:rPr>
          <w:lang w:val="fr-CA"/>
        </w:rPr>
        <w:t xml:space="preserve"> (1997), 119 C.C.C. (3d) 269</w:t>
      </w:r>
      <w:r w:rsidR="00102E39">
        <w:rPr>
          <w:lang w:val="fr-CA"/>
        </w:rPr>
        <w:t xml:space="preserve">; </w:t>
      </w:r>
      <w:r w:rsidR="00102E39" w:rsidRPr="0046657D">
        <w:rPr>
          <w:i/>
          <w:lang w:val="fr-CA"/>
        </w:rPr>
        <w:t>R. c. Lamothe</w:t>
      </w:r>
      <w:r w:rsidR="00102E39" w:rsidRPr="00102E39">
        <w:rPr>
          <w:lang w:val="fr-CA"/>
        </w:rPr>
        <w:t xml:space="preserve">, </w:t>
      </w:r>
      <w:r w:rsidR="0046657D">
        <w:rPr>
          <w:lang w:val="fr-CA"/>
        </w:rPr>
        <w:t>[1990] R.J.Q. 973</w:t>
      </w:r>
      <w:r w:rsidR="00102E39">
        <w:rPr>
          <w:lang w:val="fr-CA"/>
        </w:rPr>
        <w:t xml:space="preserve">; </w:t>
      </w:r>
      <w:r w:rsidR="00665566" w:rsidRPr="00665566">
        <w:rPr>
          <w:i/>
          <w:lang w:val="fr-CA"/>
        </w:rPr>
        <w:t>R. c. Collins</w:t>
      </w:r>
      <w:r w:rsidR="00665566" w:rsidRPr="00665566">
        <w:rPr>
          <w:lang w:val="fr-CA"/>
        </w:rPr>
        <w:t>, [1987] 1 R.C.S. 265</w:t>
      </w:r>
      <w:r w:rsidR="00665566">
        <w:rPr>
          <w:lang w:val="fr-CA"/>
        </w:rPr>
        <w:t xml:space="preserve">; </w:t>
      </w:r>
      <w:r w:rsidR="00665566" w:rsidRPr="00665566">
        <w:rPr>
          <w:i/>
          <w:lang w:val="fr-CA"/>
        </w:rPr>
        <w:t>R. c. Burlingham</w:t>
      </w:r>
      <w:r w:rsidR="00665566" w:rsidRPr="00665566">
        <w:rPr>
          <w:lang w:val="fr-CA"/>
        </w:rPr>
        <w:t>, [1995] 2 R.C.S. 206</w:t>
      </w:r>
      <w:r w:rsidR="00665566">
        <w:rPr>
          <w:lang w:val="fr-CA"/>
        </w:rPr>
        <w:t xml:space="preserve">; </w:t>
      </w:r>
      <w:r w:rsidR="00665566" w:rsidRPr="00665566">
        <w:rPr>
          <w:i/>
          <w:lang w:val="fr-CA"/>
        </w:rPr>
        <w:t>R. c. Trout</w:t>
      </w:r>
      <w:r w:rsidR="00665566" w:rsidRPr="00665566">
        <w:rPr>
          <w:lang w:val="fr-CA"/>
        </w:rPr>
        <w:t xml:space="preserve">, 2006 MBCA 96, 205 Man. R. (2d) 277; </w:t>
      </w:r>
      <w:r w:rsidR="00665566" w:rsidRPr="00665566">
        <w:rPr>
          <w:i/>
          <w:lang w:val="fr-CA"/>
        </w:rPr>
        <w:t>R. c. Turcotte</w:t>
      </w:r>
      <w:r w:rsidR="00665566" w:rsidRPr="00665566">
        <w:rPr>
          <w:lang w:val="fr-CA"/>
        </w:rPr>
        <w:t xml:space="preserve">, 2014 QCCA 2190; </w:t>
      </w:r>
      <w:r w:rsidR="000C3140" w:rsidRPr="000C3140">
        <w:rPr>
          <w:i/>
          <w:lang w:val="fr-CA"/>
        </w:rPr>
        <w:t>Société Radio</w:t>
      </w:r>
      <w:r w:rsidR="00CE3216">
        <w:rPr>
          <w:i/>
          <w:lang w:val="fr-CA"/>
        </w:rPr>
        <w:t>-</w:t>
      </w:r>
      <w:r w:rsidR="000C3140" w:rsidRPr="000C3140">
        <w:rPr>
          <w:i/>
          <w:lang w:val="fr-CA"/>
        </w:rPr>
        <w:t>Canada c. Nouveau</w:t>
      </w:r>
      <w:r w:rsidR="00CE3216">
        <w:rPr>
          <w:i/>
          <w:lang w:val="fr-CA"/>
        </w:rPr>
        <w:t>-</w:t>
      </w:r>
      <w:r w:rsidR="000C3140" w:rsidRPr="000C3140">
        <w:rPr>
          <w:i/>
          <w:lang w:val="fr-CA"/>
        </w:rPr>
        <w:t>Brunswick (Procureur général)</w:t>
      </w:r>
      <w:r w:rsidR="000C3140" w:rsidRPr="000C3140">
        <w:rPr>
          <w:lang w:val="fr-CA"/>
        </w:rPr>
        <w:t>, [1991] 3 R.C.S. 459</w:t>
      </w:r>
      <w:r w:rsidR="000C3140">
        <w:rPr>
          <w:lang w:val="fr-CA"/>
        </w:rPr>
        <w:t xml:space="preserve">; </w:t>
      </w:r>
      <w:r w:rsidR="00102E39" w:rsidRPr="00D1715F">
        <w:rPr>
          <w:i/>
          <w:lang w:val="fr-CA"/>
        </w:rPr>
        <w:t>R. c. M. (S.H.)</w:t>
      </w:r>
      <w:r w:rsidR="00102E39" w:rsidRPr="00102E39">
        <w:rPr>
          <w:lang w:val="fr-CA"/>
        </w:rPr>
        <w:t>, [1989] 2 R.C.S. 446</w:t>
      </w:r>
      <w:r w:rsidR="00102E39">
        <w:rPr>
          <w:lang w:val="fr-CA"/>
        </w:rPr>
        <w:t xml:space="preserve">; </w:t>
      </w:r>
      <w:r w:rsidR="00102E39" w:rsidRPr="00D1715F">
        <w:rPr>
          <w:i/>
          <w:lang w:val="fr-CA"/>
        </w:rPr>
        <w:t>R. c. Oliver</w:t>
      </w:r>
      <w:r w:rsidR="00102E39" w:rsidRPr="00102E39">
        <w:rPr>
          <w:lang w:val="fr-CA"/>
        </w:rPr>
        <w:t>, 2008 NLCA 27</w:t>
      </w:r>
      <w:r w:rsidR="00D1715F">
        <w:rPr>
          <w:lang w:val="fr-CA"/>
        </w:rPr>
        <w:t xml:space="preserve">, 287 Nfld. </w:t>
      </w:r>
      <w:r w:rsidR="00D1715F" w:rsidRPr="00CF55F6">
        <w:rPr>
          <w:lang w:val="en-US"/>
        </w:rPr>
        <w:t>&amp; P.E.I.R. 123</w:t>
      </w:r>
      <w:r w:rsidR="00102E39" w:rsidRPr="00CF55F6">
        <w:rPr>
          <w:lang w:val="en-US"/>
        </w:rPr>
        <w:t xml:space="preserve">; </w:t>
      </w:r>
      <w:r w:rsidR="00D1715F" w:rsidRPr="00CF55F6">
        <w:rPr>
          <w:i/>
          <w:lang w:val="en-US"/>
        </w:rPr>
        <w:t>R. c. Massan</w:t>
      </w:r>
      <w:r w:rsidR="00102E39" w:rsidRPr="00CF55F6">
        <w:rPr>
          <w:lang w:val="en-US"/>
        </w:rPr>
        <w:t xml:space="preserve">, </w:t>
      </w:r>
      <w:r w:rsidR="00D1715F" w:rsidRPr="00CF55F6">
        <w:rPr>
          <w:lang w:val="en-US"/>
        </w:rPr>
        <w:t xml:space="preserve">2012 MBCA 26, </w:t>
      </w:r>
      <w:r w:rsidR="00102E39" w:rsidRPr="00CF55F6">
        <w:rPr>
          <w:lang w:val="en-US"/>
        </w:rPr>
        <w:t xml:space="preserve">289 C.C.C. (3d) 285; </w:t>
      </w:r>
      <w:r w:rsidR="00102E39" w:rsidRPr="00CF55F6">
        <w:rPr>
          <w:i/>
          <w:lang w:val="en-US"/>
        </w:rPr>
        <w:t>R. c. White</w:t>
      </w:r>
      <w:r w:rsidR="00102E39" w:rsidRPr="00CF55F6">
        <w:rPr>
          <w:lang w:val="en-US"/>
        </w:rPr>
        <w:t xml:space="preserve">, </w:t>
      </w:r>
      <w:r w:rsidR="00D1715F" w:rsidRPr="00CF55F6">
        <w:rPr>
          <w:lang w:val="en-US"/>
        </w:rPr>
        <w:t xml:space="preserve">2005 ABCA 403, </w:t>
      </w:r>
      <w:r w:rsidR="00102E39" w:rsidRPr="00CF55F6">
        <w:rPr>
          <w:lang w:val="en-US"/>
        </w:rPr>
        <w:t xml:space="preserve">202 C.C.C. (3d) 295; </w:t>
      </w:r>
      <w:r w:rsidR="00102E39" w:rsidRPr="00CF55F6">
        <w:rPr>
          <w:i/>
          <w:lang w:val="en-US"/>
        </w:rPr>
        <w:t>United States of America c. Chan</w:t>
      </w:r>
      <w:r w:rsidR="00102E39" w:rsidRPr="00CF55F6">
        <w:rPr>
          <w:lang w:val="en-US"/>
        </w:rPr>
        <w:t xml:space="preserve"> (2000), 144 C</w:t>
      </w:r>
      <w:r w:rsidR="00D1715F" w:rsidRPr="00CF55F6">
        <w:rPr>
          <w:lang w:val="en-US"/>
        </w:rPr>
        <w:t>.</w:t>
      </w:r>
      <w:r w:rsidR="00102E39" w:rsidRPr="00CF55F6">
        <w:rPr>
          <w:lang w:val="en-US"/>
        </w:rPr>
        <w:t>C</w:t>
      </w:r>
      <w:r w:rsidR="00D1715F" w:rsidRPr="00CF55F6">
        <w:rPr>
          <w:lang w:val="en-US"/>
        </w:rPr>
        <w:t>.</w:t>
      </w:r>
      <w:r w:rsidR="00102E39" w:rsidRPr="00CF55F6">
        <w:rPr>
          <w:lang w:val="en-US"/>
        </w:rPr>
        <w:t>C</w:t>
      </w:r>
      <w:r w:rsidR="00D1715F" w:rsidRPr="00CF55F6">
        <w:rPr>
          <w:lang w:val="en-US"/>
        </w:rPr>
        <w:t>.</w:t>
      </w:r>
      <w:r w:rsidR="00102E39" w:rsidRPr="00CF55F6">
        <w:rPr>
          <w:lang w:val="en-US"/>
        </w:rPr>
        <w:t xml:space="preserve"> (3d) 93; </w:t>
      </w:r>
      <w:r w:rsidR="00102E39" w:rsidRPr="00CF55F6">
        <w:rPr>
          <w:i/>
          <w:lang w:val="en-US"/>
        </w:rPr>
        <w:t>United States of America c. Pannell</w:t>
      </w:r>
      <w:r w:rsidR="00102E39" w:rsidRPr="00CF55F6">
        <w:rPr>
          <w:lang w:val="en-US"/>
        </w:rPr>
        <w:t xml:space="preserve"> (2005), 193 C.C.C. (3d) 414; </w:t>
      </w:r>
      <w:r w:rsidR="00102E39" w:rsidRPr="00CF55F6">
        <w:rPr>
          <w:i/>
          <w:lang w:val="en-US"/>
        </w:rPr>
        <w:t xml:space="preserve">United States </w:t>
      </w:r>
      <w:r w:rsidR="00811877" w:rsidRPr="00CF55F6">
        <w:rPr>
          <w:i/>
          <w:lang w:val="en-US"/>
        </w:rPr>
        <w:t xml:space="preserve">of America </w:t>
      </w:r>
      <w:r w:rsidR="00102E39" w:rsidRPr="00CF55F6">
        <w:rPr>
          <w:i/>
          <w:lang w:val="en-US"/>
        </w:rPr>
        <w:t>c. Yuen</w:t>
      </w:r>
      <w:r w:rsidR="00102E39" w:rsidRPr="00CF55F6">
        <w:rPr>
          <w:lang w:val="en-US"/>
        </w:rPr>
        <w:t>, 2004 ABCA 368</w:t>
      </w:r>
      <w:r w:rsidR="00811877" w:rsidRPr="00CF55F6">
        <w:rPr>
          <w:lang w:val="en-US"/>
        </w:rPr>
        <w:t>, 363 A.R. 28</w:t>
      </w:r>
      <w:r w:rsidR="00102E39" w:rsidRPr="00CF55F6">
        <w:rPr>
          <w:lang w:val="en-US"/>
        </w:rPr>
        <w:t xml:space="preserve">; </w:t>
      </w:r>
      <w:r w:rsidR="00102E39" w:rsidRPr="00CF55F6">
        <w:rPr>
          <w:i/>
          <w:lang w:val="en-US"/>
        </w:rPr>
        <w:t>Tenenbaum c. United States</w:t>
      </w:r>
      <w:r w:rsidR="00811877" w:rsidRPr="00CF55F6">
        <w:rPr>
          <w:i/>
          <w:lang w:val="en-US"/>
        </w:rPr>
        <w:t xml:space="preserve"> of America</w:t>
      </w:r>
      <w:r w:rsidR="00102E39" w:rsidRPr="00CF55F6">
        <w:rPr>
          <w:lang w:val="en-US"/>
        </w:rPr>
        <w:t>, 2008 ABCA 396</w:t>
      </w:r>
      <w:r w:rsidR="00811877" w:rsidRPr="00CF55F6">
        <w:rPr>
          <w:lang w:val="en-US"/>
        </w:rPr>
        <w:t>, 446 A.R. 155</w:t>
      </w:r>
      <w:r w:rsidR="00102E39" w:rsidRPr="00CF55F6">
        <w:rPr>
          <w:lang w:val="en-US"/>
        </w:rPr>
        <w:t xml:space="preserve">; </w:t>
      </w:r>
      <w:r w:rsidR="00102E39" w:rsidRPr="00CF55F6">
        <w:rPr>
          <w:i/>
          <w:lang w:val="en-US"/>
        </w:rPr>
        <w:t>Delagarde c. United States of America</w:t>
      </w:r>
      <w:r w:rsidR="00102E39" w:rsidRPr="00CF55F6">
        <w:rPr>
          <w:lang w:val="en-US"/>
        </w:rPr>
        <w:t xml:space="preserve"> (2005), 293 R.N.</w:t>
      </w:r>
      <w:r w:rsidR="00CE3216">
        <w:rPr>
          <w:lang w:val="en-US"/>
        </w:rPr>
        <w:t>-</w:t>
      </w:r>
      <w:r w:rsidR="00102E39" w:rsidRPr="00CF55F6">
        <w:rPr>
          <w:lang w:val="en-US"/>
        </w:rPr>
        <w:t>B. (2</w:t>
      </w:r>
      <w:r w:rsidR="00102E39" w:rsidRPr="00CF55F6">
        <w:rPr>
          <w:vertAlign w:val="superscript"/>
          <w:lang w:val="en-US"/>
        </w:rPr>
        <w:t>e</w:t>
      </w:r>
      <w:r w:rsidR="00102E39" w:rsidRPr="00CF55F6">
        <w:rPr>
          <w:lang w:val="en-US"/>
        </w:rPr>
        <w:t xml:space="preserve">) 80; </w:t>
      </w:r>
      <w:r w:rsidR="00102E39" w:rsidRPr="00CF55F6">
        <w:rPr>
          <w:i/>
          <w:lang w:val="en-US"/>
        </w:rPr>
        <w:t>United States of America</w:t>
      </w:r>
      <w:r w:rsidR="00811877" w:rsidRPr="00CF55F6">
        <w:rPr>
          <w:i/>
          <w:lang w:val="en-US"/>
        </w:rPr>
        <w:t xml:space="preserve"> c. Palmucci</w:t>
      </w:r>
      <w:r w:rsidR="00811877" w:rsidRPr="00CF55F6">
        <w:rPr>
          <w:lang w:val="en-US"/>
        </w:rPr>
        <w:t>, 2001 CanLII 38680</w:t>
      </w:r>
      <w:r w:rsidR="00102E39" w:rsidRPr="00CF55F6">
        <w:rPr>
          <w:lang w:val="en-US"/>
        </w:rPr>
        <w:t xml:space="preserve">; </w:t>
      </w:r>
      <w:r w:rsidR="00102E39" w:rsidRPr="00CF55F6">
        <w:rPr>
          <w:i/>
          <w:lang w:val="en-US"/>
        </w:rPr>
        <w:t>Boily c. États</w:t>
      </w:r>
      <w:r w:rsidR="00CE3216">
        <w:rPr>
          <w:i/>
          <w:lang w:val="en-US"/>
        </w:rPr>
        <w:t>-</w:t>
      </w:r>
      <w:r w:rsidR="00102E39" w:rsidRPr="00CF55F6">
        <w:rPr>
          <w:i/>
          <w:lang w:val="en-US"/>
        </w:rPr>
        <w:t>Unis Mexicains</w:t>
      </w:r>
      <w:r w:rsidR="00102E39" w:rsidRPr="00CF55F6">
        <w:rPr>
          <w:lang w:val="en-US"/>
        </w:rPr>
        <w:t xml:space="preserve">, 2005 QCCA 599; </w:t>
      </w:r>
      <w:r w:rsidR="00811877" w:rsidRPr="00CF55F6">
        <w:rPr>
          <w:i/>
          <w:lang w:val="en-US"/>
        </w:rPr>
        <w:t xml:space="preserve">Ivanov c. </w:t>
      </w:r>
      <w:r w:rsidR="00102E39" w:rsidRPr="00CF55F6">
        <w:rPr>
          <w:i/>
          <w:lang w:val="en-US"/>
        </w:rPr>
        <w:t>United States of America</w:t>
      </w:r>
      <w:r w:rsidR="00102E39" w:rsidRPr="00CF55F6">
        <w:rPr>
          <w:lang w:val="en-US"/>
        </w:rPr>
        <w:t>, 2003 NLCA 11</w:t>
      </w:r>
      <w:r w:rsidR="00811877" w:rsidRPr="00CF55F6">
        <w:rPr>
          <w:lang w:val="en-US"/>
        </w:rPr>
        <w:t>, 223 Nfld. &amp; P.E.I.R. 44</w:t>
      </w:r>
      <w:r w:rsidR="00102E39" w:rsidRPr="00CF55F6">
        <w:rPr>
          <w:lang w:val="en-US"/>
        </w:rPr>
        <w:t xml:space="preserve">; </w:t>
      </w:r>
      <w:r w:rsidR="00102E39" w:rsidRPr="00CF55F6">
        <w:rPr>
          <w:i/>
          <w:lang w:val="en-US"/>
        </w:rPr>
        <w:t>Seifert c. Canada (Attorney General)</w:t>
      </w:r>
      <w:r w:rsidR="00811877" w:rsidRPr="00CF55F6">
        <w:rPr>
          <w:lang w:val="en-US"/>
        </w:rPr>
        <w:t>, 2002 BCCA 385</w:t>
      </w:r>
      <w:r w:rsidR="00102E39" w:rsidRPr="00CF55F6">
        <w:rPr>
          <w:lang w:val="en-US"/>
        </w:rPr>
        <w:t xml:space="preserve">, 171 B.C.A.C. 203; </w:t>
      </w:r>
      <w:r w:rsidR="00811877" w:rsidRPr="00CF55F6">
        <w:rPr>
          <w:i/>
          <w:lang w:val="en-US"/>
        </w:rPr>
        <w:t>United States of America</w:t>
      </w:r>
      <w:r w:rsidR="00102E39" w:rsidRPr="00CF55F6">
        <w:rPr>
          <w:i/>
          <w:lang w:val="en-US"/>
        </w:rPr>
        <w:t xml:space="preserve"> c. Graham</w:t>
      </w:r>
      <w:r w:rsidR="00102E39" w:rsidRPr="00CF55F6">
        <w:rPr>
          <w:lang w:val="en-US"/>
        </w:rPr>
        <w:t>, 2004 BCCA 162</w:t>
      </w:r>
      <w:r w:rsidR="00811877" w:rsidRPr="00CF55F6">
        <w:rPr>
          <w:lang w:val="en-US"/>
        </w:rPr>
        <w:t>, 195 B.C.A.C. 245</w:t>
      </w:r>
      <w:r w:rsidR="00102E39" w:rsidRPr="00CF55F6">
        <w:rPr>
          <w:lang w:val="en-US"/>
        </w:rPr>
        <w:t xml:space="preserve">; </w:t>
      </w:r>
      <w:r w:rsidR="00102E39" w:rsidRPr="00CF55F6">
        <w:rPr>
          <w:i/>
          <w:lang w:val="en-US"/>
        </w:rPr>
        <w:t>R. c. Shropshire</w:t>
      </w:r>
      <w:r w:rsidR="00102E39" w:rsidRPr="00CF55F6">
        <w:rPr>
          <w:lang w:val="en-US"/>
        </w:rPr>
        <w:t xml:space="preserve">, [1995] 4 R.C.S. 227; </w:t>
      </w:r>
      <w:r w:rsidR="00102E39" w:rsidRPr="00CF55F6">
        <w:rPr>
          <w:i/>
          <w:lang w:val="en-US"/>
        </w:rPr>
        <w:t>R. c. M.</w:t>
      </w:r>
      <w:r w:rsidR="00811877" w:rsidRPr="00CF55F6">
        <w:rPr>
          <w:i/>
          <w:lang w:val="en-US"/>
        </w:rPr>
        <w:t xml:space="preserve"> </w:t>
      </w:r>
      <w:r w:rsidR="00102E39" w:rsidRPr="00CF55F6">
        <w:rPr>
          <w:i/>
          <w:lang w:val="en-US"/>
        </w:rPr>
        <w:t>(C.A.)</w:t>
      </w:r>
      <w:r w:rsidR="00102E39" w:rsidRPr="00CF55F6">
        <w:rPr>
          <w:lang w:val="en-US"/>
        </w:rPr>
        <w:t xml:space="preserve">, [1996] 1 R.C.S. 500; </w:t>
      </w:r>
      <w:r w:rsidR="00102E39" w:rsidRPr="00CF55F6">
        <w:rPr>
          <w:i/>
          <w:lang w:val="en-US"/>
        </w:rPr>
        <w:t>R. c. McDonnell</w:t>
      </w:r>
      <w:r w:rsidR="00102E39" w:rsidRPr="00CF55F6">
        <w:rPr>
          <w:lang w:val="en-US"/>
        </w:rPr>
        <w:t xml:space="preserve">, [1997] 1 R.C.S. 948; </w:t>
      </w:r>
      <w:r w:rsidR="00102E39" w:rsidRPr="00CF55F6">
        <w:rPr>
          <w:i/>
          <w:lang w:val="en-US"/>
        </w:rPr>
        <w:t>R. c. L.M.</w:t>
      </w:r>
      <w:r w:rsidR="00102E39" w:rsidRPr="00CF55F6">
        <w:rPr>
          <w:lang w:val="en-US"/>
        </w:rPr>
        <w:t xml:space="preserve">, 2008 CSC 31, [2008] 2 R.C.S. 163; </w:t>
      </w:r>
      <w:r w:rsidR="00102E39" w:rsidRPr="00CF55F6">
        <w:rPr>
          <w:i/>
          <w:lang w:val="en-US"/>
        </w:rPr>
        <w:t>R. c. Nasogaluak</w:t>
      </w:r>
      <w:r w:rsidR="00102E39" w:rsidRPr="00CF55F6">
        <w:rPr>
          <w:lang w:val="en-US"/>
        </w:rPr>
        <w:t xml:space="preserve">, 2010 CSC 6, [2010] 1 R.C.S. 206; </w:t>
      </w:r>
      <w:r w:rsidR="00102E39" w:rsidRPr="00CF55F6">
        <w:rPr>
          <w:i/>
          <w:lang w:val="en-US"/>
        </w:rPr>
        <w:t>Toronto Star Newspaper</w:t>
      </w:r>
      <w:r w:rsidR="008F6A3C" w:rsidRPr="00CF55F6">
        <w:rPr>
          <w:i/>
          <w:lang w:val="en-US"/>
        </w:rPr>
        <w:t>s</w:t>
      </w:r>
      <w:r w:rsidR="00102E39" w:rsidRPr="00CF55F6">
        <w:rPr>
          <w:i/>
          <w:lang w:val="en-US"/>
        </w:rPr>
        <w:t xml:space="preserve"> Ltd. c. Canada</w:t>
      </w:r>
      <w:r w:rsidR="00102E39" w:rsidRPr="00CF55F6">
        <w:rPr>
          <w:lang w:val="en-US"/>
        </w:rPr>
        <w:t xml:space="preserve">, 2010 CSC 21, [2010] 1 R.C.S. 721; </w:t>
      </w:r>
      <w:r w:rsidR="00F923AD" w:rsidRPr="00CF55F6">
        <w:rPr>
          <w:i/>
          <w:lang w:val="en-US"/>
        </w:rPr>
        <w:t>R. c. Muise</w:t>
      </w:r>
      <w:r w:rsidR="00F923AD" w:rsidRPr="00CF55F6">
        <w:rPr>
          <w:lang w:val="en-US"/>
        </w:rPr>
        <w:t xml:space="preserve"> (1994), 94 C.C.C. (3d) 119; </w:t>
      </w:r>
      <w:r w:rsidR="00F923AD" w:rsidRPr="00CF55F6">
        <w:rPr>
          <w:i/>
          <w:lang w:val="en-US"/>
        </w:rPr>
        <w:lastRenderedPageBreak/>
        <w:t>R. c. McKnight</w:t>
      </w:r>
      <w:r w:rsidR="00F923AD" w:rsidRPr="00CF55F6">
        <w:rPr>
          <w:lang w:val="en-US"/>
        </w:rPr>
        <w:t xml:space="preserve"> (1999), 135 C.C.C. (3d) 41; </w:t>
      </w:r>
      <w:r w:rsidR="00306F8E" w:rsidRPr="00CF55F6">
        <w:rPr>
          <w:i/>
          <w:lang w:val="en-US"/>
        </w:rPr>
        <w:t>Ell c. Alberta</w:t>
      </w:r>
      <w:r w:rsidR="00306F8E" w:rsidRPr="00CF55F6">
        <w:rPr>
          <w:lang w:val="en-US"/>
        </w:rPr>
        <w:t xml:space="preserve">, 2003 CSC 35, [2003] 1 R.C.S. 857; </w:t>
      </w:r>
      <w:r w:rsidR="00306F8E" w:rsidRPr="00CF55F6">
        <w:rPr>
          <w:i/>
          <w:lang w:val="en-US"/>
        </w:rPr>
        <w:t>Palmer c. La Reine</w:t>
      </w:r>
      <w:r w:rsidR="00306F8E" w:rsidRPr="00CF55F6">
        <w:rPr>
          <w:lang w:val="en-US"/>
        </w:rPr>
        <w:t xml:space="preserve">, [1980] 1 R.C.S. 759; </w:t>
      </w:r>
      <w:r w:rsidR="00306F8E" w:rsidRPr="00CF55F6">
        <w:rPr>
          <w:i/>
          <w:lang w:val="en-US"/>
        </w:rPr>
        <w:t>R. c. Warsing</w:t>
      </w:r>
      <w:r w:rsidR="00306F8E" w:rsidRPr="00CF55F6">
        <w:rPr>
          <w:lang w:val="en-US"/>
        </w:rPr>
        <w:t xml:space="preserve">, [1998] 3 R.C.S. 579; </w:t>
      </w:r>
      <w:r w:rsidR="00306F8E" w:rsidRPr="00CF55F6">
        <w:rPr>
          <w:i/>
          <w:lang w:val="en-US"/>
        </w:rPr>
        <w:t>R. c. G.D.B.</w:t>
      </w:r>
      <w:r w:rsidR="00306F8E" w:rsidRPr="00CF55F6">
        <w:rPr>
          <w:lang w:val="en-US"/>
        </w:rPr>
        <w:t>, 2000 CSC 22</w:t>
      </w:r>
      <w:r w:rsidR="008F6A3C" w:rsidRPr="00CF55F6">
        <w:rPr>
          <w:lang w:val="en-US"/>
        </w:rPr>
        <w:t>, [2000] 1 R.C.S. 520</w:t>
      </w:r>
      <w:r w:rsidR="00306F8E" w:rsidRPr="00CF55F6">
        <w:rPr>
          <w:lang w:val="en-US"/>
        </w:rPr>
        <w:t xml:space="preserve">; </w:t>
      </w:r>
      <w:r w:rsidR="00306F8E" w:rsidRPr="00CF55F6">
        <w:rPr>
          <w:i/>
          <w:lang w:val="en-US"/>
        </w:rPr>
        <w:t>R. c. M. (P.S.)</w:t>
      </w:r>
      <w:r w:rsidR="00306F8E" w:rsidRPr="00CF55F6">
        <w:rPr>
          <w:lang w:val="en-US"/>
        </w:rPr>
        <w:t xml:space="preserve"> </w:t>
      </w:r>
      <w:r w:rsidR="00306F8E" w:rsidRPr="00895F51">
        <w:rPr>
          <w:lang w:val="en-US"/>
        </w:rPr>
        <w:t xml:space="preserve">(1992), 77 C.C.C. (3d) 402; </w:t>
      </w:r>
      <w:r w:rsidR="00306F8E" w:rsidRPr="00895F51">
        <w:rPr>
          <w:i/>
          <w:lang w:val="en-US"/>
        </w:rPr>
        <w:t xml:space="preserve">McMartin c. </w:t>
      </w:r>
      <w:r w:rsidR="008F6A3C" w:rsidRPr="00895F51">
        <w:rPr>
          <w:i/>
          <w:lang w:val="en-US"/>
        </w:rPr>
        <w:t>The Queen</w:t>
      </w:r>
      <w:r w:rsidR="00306F8E" w:rsidRPr="00895F51">
        <w:rPr>
          <w:lang w:val="en-US"/>
        </w:rPr>
        <w:t xml:space="preserve">, [1964] R.C.S. 484; </w:t>
      </w:r>
      <w:r w:rsidR="00306F8E" w:rsidRPr="00895F51">
        <w:rPr>
          <w:i/>
          <w:lang w:val="en-US"/>
        </w:rPr>
        <w:t>R. c. Price</w:t>
      </w:r>
      <w:r w:rsidR="00306F8E" w:rsidRPr="00895F51">
        <w:rPr>
          <w:lang w:val="en-US"/>
        </w:rPr>
        <w:t xml:space="preserve">, [1993] 3 R.C.S. 633; </w:t>
      </w:r>
      <w:r w:rsidR="00306F8E" w:rsidRPr="00895F51">
        <w:rPr>
          <w:i/>
          <w:lang w:val="en-US"/>
        </w:rPr>
        <w:t>R. c. Burns</w:t>
      </w:r>
      <w:r w:rsidR="00306F8E" w:rsidRPr="00895F51">
        <w:rPr>
          <w:lang w:val="en-US"/>
        </w:rPr>
        <w:t xml:space="preserve">, [1994] 1 R.C.S. 656; </w:t>
      </w:r>
      <w:r w:rsidR="00306F8E" w:rsidRPr="00895F51">
        <w:rPr>
          <w:i/>
          <w:lang w:val="en-US"/>
        </w:rPr>
        <w:t>Harper c. La Reine</w:t>
      </w:r>
      <w:r w:rsidR="00306F8E" w:rsidRPr="00895F51">
        <w:rPr>
          <w:lang w:val="en-US"/>
        </w:rPr>
        <w:t xml:space="preserve">, [1982] 1 R.C.S. 2; </w:t>
      </w:r>
      <w:r w:rsidR="00306F8E" w:rsidRPr="00895F51">
        <w:rPr>
          <w:i/>
          <w:lang w:val="en-US"/>
        </w:rPr>
        <w:t>R. c. Dagenais</w:t>
      </w:r>
      <w:r w:rsidR="00306F8E" w:rsidRPr="00895F51">
        <w:rPr>
          <w:lang w:val="en-US"/>
        </w:rPr>
        <w:t xml:space="preserve">, 2012 QCCA 244; </w:t>
      </w:r>
      <w:r w:rsidR="00306F8E" w:rsidRPr="00895F51">
        <w:rPr>
          <w:i/>
          <w:lang w:val="en-US"/>
        </w:rPr>
        <w:t>R. c. Riendeau</w:t>
      </w:r>
      <w:r w:rsidR="00306F8E" w:rsidRPr="00895F51">
        <w:rPr>
          <w:lang w:val="en-US"/>
        </w:rPr>
        <w:t>, 2012 QCCA 1155.</w:t>
      </w:r>
    </w:p>
    <w:p w:rsidR="004D7D95" w:rsidRPr="004D7D95" w:rsidRDefault="004D7D95" w:rsidP="00CE3216">
      <w:pPr>
        <w:pStyle w:val="SCCNormalDoubleSpacing"/>
        <w:widowControl w:val="0"/>
        <w:spacing w:after="720" w:line="240" w:lineRule="auto"/>
        <w:rPr>
          <w:b/>
          <w:lang w:val="fr-CA"/>
        </w:rPr>
      </w:pPr>
      <w:r w:rsidRPr="004D7D95">
        <w:rPr>
          <w:b/>
          <w:lang w:val="fr-CA"/>
        </w:rPr>
        <w:t>Lois et règlements cités</w:t>
      </w:r>
    </w:p>
    <w:p w:rsidR="00306F8E" w:rsidRDefault="00306F8E" w:rsidP="00CE3216">
      <w:pPr>
        <w:pStyle w:val="SCCNormalDoubleSpacing"/>
        <w:widowControl w:val="0"/>
        <w:spacing w:after="240" w:line="240" w:lineRule="auto"/>
        <w:ind w:left="547" w:hanging="547"/>
        <w:rPr>
          <w:lang w:val="fr-CA"/>
        </w:rPr>
      </w:pPr>
      <w:r w:rsidRPr="00306F8E">
        <w:rPr>
          <w:i/>
          <w:lang w:val="fr-CA"/>
        </w:rPr>
        <w:t>Charte canadienne des droits et libertés</w:t>
      </w:r>
      <w:r>
        <w:rPr>
          <w:lang w:val="fr-CA"/>
        </w:rPr>
        <w:t xml:space="preserve">, </w:t>
      </w:r>
      <w:r w:rsidR="008F1803">
        <w:rPr>
          <w:lang w:val="fr-CA"/>
        </w:rPr>
        <w:t>art.</w:t>
      </w:r>
      <w:r w:rsidR="00CE3216">
        <w:rPr>
          <w:lang w:val="fr-CA"/>
        </w:rPr>
        <w:t xml:space="preserve"> </w:t>
      </w:r>
      <w:r>
        <w:rPr>
          <w:lang w:val="fr-CA"/>
        </w:rPr>
        <w:t>11</w:t>
      </w:r>
      <w:r w:rsidR="00DA3A0F" w:rsidRPr="00DA3A0F">
        <w:rPr>
          <w:i/>
          <w:lang w:val="fr-CA"/>
        </w:rPr>
        <w:t>d</w:t>
      </w:r>
      <w:r w:rsidR="00DA3A0F">
        <w:rPr>
          <w:lang w:val="fr-CA"/>
        </w:rPr>
        <w:t xml:space="preserve">), </w:t>
      </w:r>
      <w:r w:rsidRPr="00306F8E">
        <w:rPr>
          <w:i/>
          <w:lang w:val="fr-CA"/>
        </w:rPr>
        <w:t>e</w:t>
      </w:r>
      <w:r>
        <w:rPr>
          <w:lang w:val="fr-CA"/>
        </w:rPr>
        <w:t>)</w:t>
      </w:r>
      <w:r w:rsidR="00DA3A0F">
        <w:rPr>
          <w:lang w:val="fr-CA"/>
        </w:rPr>
        <w:t>, 24(2)</w:t>
      </w:r>
      <w:r>
        <w:rPr>
          <w:lang w:val="fr-CA"/>
        </w:rPr>
        <w:t>.</w:t>
      </w:r>
    </w:p>
    <w:p w:rsidR="004D7D95" w:rsidRDefault="00306F8E" w:rsidP="00CE3216">
      <w:pPr>
        <w:pStyle w:val="SCCNormalDoubleSpacing"/>
        <w:widowControl w:val="0"/>
        <w:spacing w:after="240" w:line="240" w:lineRule="auto"/>
        <w:ind w:left="547" w:hanging="547"/>
        <w:rPr>
          <w:lang w:val="fr-CA"/>
        </w:rPr>
      </w:pPr>
      <w:r w:rsidRPr="00306F8E">
        <w:rPr>
          <w:i/>
          <w:lang w:val="fr-CA"/>
        </w:rPr>
        <w:t>Code criminel</w:t>
      </w:r>
      <w:r>
        <w:rPr>
          <w:lang w:val="fr-CA"/>
        </w:rPr>
        <w:t>, L.R.C. 1985, c.</w:t>
      </w:r>
      <w:r w:rsidR="00CE3216">
        <w:rPr>
          <w:lang w:val="fr-CA"/>
        </w:rPr>
        <w:t xml:space="preserve"> </w:t>
      </w:r>
      <w:r>
        <w:rPr>
          <w:lang w:val="fr-CA"/>
        </w:rPr>
        <w:t>C</w:t>
      </w:r>
      <w:r w:rsidR="00CE3216">
        <w:rPr>
          <w:lang w:val="fr-CA"/>
        </w:rPr>
        <w:t>-</w:t>
      </w:r>
      <w:r>
        <w:rPr>
          <w:lang w:val="fr-CA"/>
        </w:rPr>
        <w:t xml:space="preserve">46, </w:t>
      </w:r>
      <w:r w:rsidR="008F1803">
        <w:rPr>
          <w:lang w:val="fr-CA"/>
        </w:rPr>
        <w:t>art.</w:t>
      </w:r>
      <w:r w:rsidR="00CE3216">
        <w:rPr>
          <w:lang w:val="fr-CA"/>
        </w:rPr>
        <w:t xml:space="preserve"> </w:t>
      </w:r>
      <w:r>
        <w:rPr>
          <w:lang w:val="fr-CA"/>
        </w:rPr>
        <w:t>34, 232, 267</w:t>
      </w:r>
      <w:r w:rsidRPr="00306F8E">
        <w:rPr>
          <w:i/>
          <w:lang w:val="fr-CA"/>
        </w:rPr>
        <w:t>b</w:t>
      </w:r>
      <w:r>
        <w:rPr>
          <w:lang w:val="fr-CA"/>
        </w:rPr>
        <w:t xml:space="preserve">), 268, </w:t>
      </w:r>
      <w:r w:rsidRPr="008E2B6D">
        <w:rPr>
          <w:lang w:val="fr-CA"/>
        </w:rPr>
        <w:t>469, 515</w:t>
      </w:r>
      <w:r w:rsidR="008E2B6D">
        <w:rPr>
          <w:lang w:val="fr-CA"/>
        </w:rPr>
        <w:t xml:space="preserve">(1), (2), (4) à (4.3), </w:t>
      </w:r>
      <w:r w:rsidR="00DA3A0F">
        <w:rPr>
          <w:lang w:val="fr-CA"/>
        </w:rPr>
        <w:t xml:space="preserve">(5), </w:t>
      </w:r>
      <w:r w:rsidR="008E2B6D">
        <w:rPr>
          <w:lang w:val="fr-CA"/>
        </w:rPr>
        <w:t>(6), (8), (10)</w:t>
      </w:r>
      <w:r w:rsidRPr="008E2B6D">
        <w:rPr>
          <w:lang w:val="fr-CA"/>
        </w:rPr>
        <w:t xml:space="preserve">, </w:t>
      </w:r>
      <w:r w:rsidR="00DA3A0F">
        <w:rPr>
          <w:lang w:val="fr-CA"/>
        </w:rPr>
        <w:t>517(1)</w:t>
      </w:r>
      <w:r w:rsidR="00DA3A0F" w:rsidRPr="00DA3A0F">
        <w:rPr>
          <w:i/>
          <w:lang w:val="fr-CA"/>
        </w:rPr>
        <w:t>b</w:t>
      </w:r>
      <w:r w:rsidR="00DA3A0F">
        <w:rPr>
          <w:lang w:val="fr-CA"/>
        </w:rPr>
        <w:t xml:space="preserve">), </w:t>
      </w:r>
      <w:r w:rsidRPr="008E2B6D">
        <w:rPr>
          <w:lang w:val="fr-CA"/>
        </w:rPr>
        <w:t>518</w:t>
      </w:r>
      <w:r>
        <w:rPr>
          <w:lang w:val="fr-CA"/>
        </w:rPr>
        <w:t xml:space="preserve">, 520, 521, </w:t>
      </w:r>
      <w:r w:rsidR="00AB09FF">
        <w:rPr>
          <w:lang w:val="fr-CA"/>
        </w:rPr>
        <w:t>523(2)</w:t>
      </w:r>
      <w:r w:rsidR="00AB09FF" w:rsidRPr="00AB09FF">
        <w:rPr>
          <w:i/>
          <w:lang w:val="fr-CA"/>
        </w:rPr>
        <w:t>b</w:t>
      </w:r>
      <w:r w:rsidR="00AB09FF">
        <w:rPr>
          <w:lang w:val="fr-CA"/>
        </w:rPr>
        <w:t xml:space="preserve">), </w:t>
      </w:r>
      <w:r>
        <w:rPr>
          <w:lang w:val="fr-CA"/>
        </w:rPr>
        <w:t>680, 687, 718.2</w:t>
      </w:r>
      <w:r w:rsidRPr="00306F8E">
        <w:rPr>
          <w:i/>
          <w:lang w:val="fr-CA"/>
        </w:rPr>
        <w:t>d</w:t>
      </w:r>
      <w:r>
        <w:rPr>
          <w:lang w:val="fr-CA"/>
        </w:rPr>
        <w:t>), 719(3), (3.1), 723, 730, 731, 732.1(3), 734.</w:t>
      </w:r>
    </w:p>
    <w:p w:rsidR="00306F8E" w:rsidRDefault="00306F8E" w:rsidP="00CE3216">
      <w:pPr>
        <w:pStyle w:val="SCCNormalDoubleSpacing"/>
        <w:widowControl w:val="0"/>
        <w:spacing w:after="240" w:line="240" w:lineRule="auto"/>
        <w:ind w:left="547" w:hanging="547"/>
        <w:rPr>
          <w:lang w:val="fr-CA"/>
        </w:rPr>
      </w:pPr>
      <w:r w:rsidRPr="00C16120">
        <w:rPr>
          <w:i/>
          <w:lang w:val="fr-CA"/>
        </w:rPr>
        <w:t xml:space="preserve">Loi </w:t>
      </w:r>
      <w:r w:rsidR="00C16120" w:rsidRPr="00C16120">
        <w:rPr>
          <w:i/>
          <w:lang w:val="fr-CA"/>
        </w:rPr>
        <w:t>de 1996 visant à améliorer la législation pénale</w:t>
      </w:r>
      <w:r w:rsidR="00CF55F6">
        <w:rPr>
          <w:lang w:val="fr-CA"/>
        </w:rPr>
        <w:t>, L.C. 1997, c.</w:t>
      </w:r>
      <w:r w:rsidR="00CE3216">
        <w:rPr>
          <w:lang w:val="fr-CA"/>
        </w:rPr>
        <w:t xml:space="preserve"> </w:t>
      </w:r>
      <w:r w:rsidRPr="00306F8E">
        <w:rPr>
          <w:lang w:val="fr-CA"/>
        </w:rPr>
        <w:t xml:space="preserve">18, </w:t>
      </w:r>
      <w:r w:rsidR="008F1803">
        <w:rPr>
          <w:lang w:val="fr-CA"/>
        </w:rPr>
        <w:t>art.</w:t>
      </w:r>
      <w:r w:rsidR="00CE3216">
        <w:rPr>
          <w:lang w:val="fr-CA"/>
        </w:rPr>
        <w:t xml:space="preserve"> </w:t>
      </w:r>
      <w:r w:rsidRPr="00306F8E">
        <w:rPr>
          <w:lang w:val="fr-CA"/>
        </w:rPr>
        <w:t>59(2)</w:t>
      </w:r>
      <w:r>
        <w:rPr>
          <w:lang w:val="fr-CA"/>
        </w:rPr>
        <w:t>.</w:t>
      </w:r>
    </w:p>
    <w:p w:rsidR="00306F8E" w:rsidRDefault="00306F8E" w:rsidP="00CE3216">
      <w:pPr>
        <w:pStyle w:val="SCCNormalDoubleSpacing"/>
        <w:widowControl w:val="0"/>
        <w:spacing w:after="240" w:line="240" w:lineRule="auto"/>
        <w:ind w:left="547" w:hanging="547"/>
        <w:rPr>
          <w:lang w:val="fr-CA"/>
        </w:rPr>
      </w:pPr>
      <w:r w:rsidRPr="00426381">
        <w:rPr>
          <w:i/>
          <w:lang w:val="fr-CA"/>
        </w:rPr>
        <w:t>Loi sur l’extradition</w:t>
      </w:r>
      <w:r>
        <w:rPr>
          <w:lang w:val="fr-CA"/>
        </w:rPr>
        <w:t>,</w:t>
      </w:r>
      <w:r w:rsidRPr="00306F8E">
        <w:rPr>
          <w:lang w:val="fr-CA"/>
        </w:rPr>
        <w:t xml:space="preserve"> </w:t>
      </w:r>
      <w:r w:rsidR="00CF55F6">
        <w:rPr>
          <w:lang w:val="fr-CA"/>
        </w:rPr>
        <w:t>L.C. 1999, c.</w:t>
      </w:r>
      <w:r w:rsidR="00CE3216">
        <w:rPr>
          <w:lang w:val="fr-CA"/>
        </w:rPr>
        <w:t xml:space="preserve"> </w:t>
      </w:r>
      <w:r w:rsidR="00426381">
        <w:rPr>
          <w:lang w:val="fr-CA"/>
        </w:rPr>
        <w:t xml:space="preserve">18, </w:t>
      </w:r>
      <w:r w:rsidR="008F1803">
        <w:rPr>
          <w:lang w:val="fr-CA"/>
        </w:rPr>
        <w:t>art.</w:t>
      </w:r>
      <w:r w:rsidR="00CE3216">
        <w:rPr>
          <w:lang w:val="fr-CA"/>
        </w:rPr>
        <w:t xml:space="preserve"> </w:t>
      </w:r>
      <w:r w:rsidRPr="00306F8E">
        <w:rPr>
          <w:lang w:val="fr-CA"/>
        </w:rPr>
        <w:t>18</w:t>
      </w:r>
      <w:r w:rsidR="00DA3A0F">
        <w:rPr>
          <w:lang w:val="fr-CA"/>
        </w:rPr>
        <w:t>(2)</w:t>
      </w:r>
      <w:r>
        <w:rPr>
          <w:lang w:val="fr-CA"/>
        </w:rPr>
        <w:t>.</w:t>
      </w:r>
    </w:p>
    <w:p w:rsidR="00306F8E" w:rsidRDefault="00306F8E" w:rsidP="00CE3216">
      <w:pPr>
        <w:pStyle w:val="SCCNormalDoubleSpacing"/>
        <w:widowControl w:val="0"/>
        <w:spacing w:after="240" w:line="240" w:lineRule="auto"/>
        <w:ind w:left="547" w:hanging="547"/>
        <w:rPr>
          <w:lang w:val="fr-CA"/>
        </w:rPr>
      </w:pPr>
      <w:r w:rsidRPr="00426381">
        <w:rPr>
          <w:i/>
          <w:lang w:val="fr-CA"/>
        </w:rPr>
        <w:t>Loi sur la lutte contre les crimes violents</w:t>
      </w:r>
      <w:r w:rsidR="00CF55F6">
        <w:rPr>
          <w:lang w:val="fr-CA"/>
        </w:rPr>
        <w:t>, L.C. 2008, c.</w:t>
      </w:r>
      <w:r w:rsidR="00CE3216">
        <w:rPr>
          <w:lang w:val="fr-CA"/>
        </w:rPr>
        <w:t xml:space="preserve"> </w:t>
      </w:r>
      <w:r w:rsidRPr="00306F8E">
        <w:rPr>
          <w:lang w:val="fr-CA"/>
        </w:rPr>
        <w:t xml:space="preserve">6, </w:t>
      </w:r>
      <w:r w:rsidR="008F1803">
        <w:rPr>
          <w:lang w:val="fr-CA"/>
        </w:rPr>
        <w:t>art.</w:t>
      </w:r>
      <w:r w:rsidR="00CE3216">
        <w:rPr>
          <w:lang w:val="fr-CA"/>
        </w:rPr>
        <w:t xml:space="preserve"> </w:t>
      </w:r>
      <w:r w:rsidRPr="00306F8E">
        <w:rPr>
          <w:lang w:val="fr-CA"/>
        </w:rPr>
        <w:t>37(5)</w:t>
      </w:r>
      <w:r>
        <w:rPr>
          <w:lang w:val="fr-CA"/>
        </w:rPr>
        <w:t>.</w:t>
      </w:r>
    </w:p>
    <w:p w:rsidR="00306F8E" w:rsidRDefault="00306F8E" w:rsidP="00CE3216">
      <w:pPr>
        <w:pStyle w:val="SCCNormalDoubleSpacing"/>
        <w:widowControl w:val="0"/>
        <w:spacing w:after="240" w:line="240" w:lineRule="auto"/>
        <w:ind w:left="547" w:hanging="547"/>
        <w:rPr>
          <w:lang w:val="fr-CA"/>
        </w:rPr>
      </w:pPr>
      <w:r w:rsidRPr="00426381">
        <w:rPr>
          <w:i/>
          <w:lang w:val="fr-CA"/>
        </w:rPr>
        <w:t>Loi sur le système de justice pénale pour les adolescents</w:t>
      </w:r>
      <w:r w:rsidR="00CF55F6">
        <w:rPr>
          <w:lang w:val="fr-CA"/>
        </w:rPr>
        <w:t>, L.C. 2002, c.</w:t>
      </w:r>
      <w:r w:rsidR="00CE3216">
        <w:rPr>
          <w:lang w:val="fr-CA"/>
        </w:rPr>
        <w:t xml:space="preserve"> </w:t>
      </w:r>
      <w:r w:rsidRPr="00306F8E">
        <w:rPr>
          <w:lang w:val="fr-CA"/>
        </w:rPr>
        <w:t xml:space="preserve">1, </w:t>
      </w:r>
      <w:r w:rsidR="008F1803">
        <w:rPr>
          <w:lang w:val="fr-CA"/>
        </w:rPr>
        <w:t>art.</w:t>
      </w:r>
      <w:r w:rsidR="00CE3216">
        <w:rPr>
          <w:lang w:val="fr-CA"/>
        </w:rPr>
        <w:t xml:space="preserve"> </w:t>
      </w:r>
      <w:r w:rsidRPr="00306F8E">
        <w:rPr>
          <w:lang w:val="fr-CA"/>
        </w:rPr>
        <w:t>33(1)</w:t>
      </w:r>
      <w:r>
        <w:rPr>
          <w:lang w:val="fr-CA"/>
        </w:rPr>
        <w:t>.</w:t>
      </w:r>
    </w:p>
    <w:p w:rsidR="00306F8E" w:rsidRDefault="00306F8E" w:rsidP="00CE3216">
      <w:pPr>
        <w:pStyle w:val="SCCNormalDoubleSpacing"/>
        <w:widowControl w:val="0"/>
        <w:spacing w:after="720" w:line="240" w:lineRule="auto"/>
        <w:ind w:left="547" w:hanging="547"/>
        <w:rPr>
          <w:lang w:val="fr-CA"/>
        </w:rPr>
      </w:pPr>
      <w:r w:rsidRPr="00426381">
        <w:rPr>
          <w:i/>
          <w:lang w:val="fr-CA"/>
        </w:rPr>
        <w:t>Loi sur les jeunes contrevenants</w:t>
      </w:r>
      <w:r w:rsidR="00CF55F6">
        <w:rPr>
          <w:lang w:val="fr-CA"/>
        </w:rPr>
        <w:t>, L.R.C. 1985, c.</w:t>
      </w:r>
      <w:r w:rsidR="00CE3216">
        <w:rPr>
          <w:lang w:val="fr-CA"/>
        </w:rPr>
        <w:t xml:space="preserve"> </w:t>
      </w:r>
      <w:r w:rsidRPr="00306F8E">
        <w:rPr>
          <w:lang w:val="fr-CA"/>
        </w:rPr>
        <w:t>Y</w:t>
      </w:r>
      <w:r w:rsidR="00CE3216">
        <w:rPr>
          <w:lang w:val="fr-CA"/>
        </w:rPr>
        <w:t>-</w:t>
      </w:r>
      <w:r w:rsidRPr="00306F8E">
        <w:rPr>
          <w:lang w:val="fr-CA"/>
        </w:rPr>
        <w:t xml:space="preserve">1, </w:t>
      </w:r>
      <w:r w:rsidR="008F1803">
        <w:rPr>
          <w:lang w:val="fr-CA"/>
        </w:rPr>
        <w:t>art.</w:t>
      </w:r>
      <w:r w:rsidR="00CE3216">
        <w:rPr>
          <w:lang w:val="fr-CA"/>
        </w:rPr>
        <w:t xml:space="preserve"> </w:t>
      </w:r>
      <w:r w:rsidRPr="00306F8E">
        <w:rPr>
          <w:lang w:val="fr-CA"/>
        </w:rPr>
        <w:t>16(9)</w:t>
      </w:r>
      <w:r>
        <w:rPr>
          <w:lang w:val="fr-CA"/>
        </w:rPr>
        <w:t>,</w:t>
      </w:r>
      <w:r w:rsidRPr="00306F8E">
        <w:rPr>
          <w:lang w:val="fr-CA"/>
        </w:rPr>
        <w:t xml:space="preserve"> (10)</w:t>
      </w:r>
      <w:r>
        <w:rPr>
          <w:lang w:val="fr-CA"/>
        </w:rPr>
        <w:t>.</w:t>
      </w:r>
    </w:p>
    <w:p w:rsidR="004D7D95" w:rsidRPr="004D7D95" w:rsidRDefault="004D7D95" w:rsidP="00CE3216">
      <w:pPr>
        <w:pStyle w:val="SCCNormalDoubleSpacing"/>
        <w:widowControl w:val="0"/>
        <w:spacing w:after="720" w:line="240" w:lineRule="auto"/>
        <w:rPr>
          <w:b/>
          <w:lang w:val="fr-CA"/>
        </w:rPr>
      </w:pPr>
      <w:r w:rsidRPr="004D7D95">
        <w:rPr>
          <w:b/>
          <w:lang w:val="fr-CA"/>
        </w:rPr>
        <w:t>Doctrine et autres documents cités</w:t>
      </w:r>
    </w:p>
    <w:p w:rsidR="003407F8" w:rsidRPr="00CF55F6" w:rsidRDefault="003407F8" w:rsidP="00CE3216">
      <w:pPr>
        <w:pStyle w:val="SCCNormalDoubleSpacing"/>
        <w:widowControl w:val="0"/>
        <w:spacing w:after="240" w:line="240" w:lineRule="auto"/>
        <w:ind w:left="547" w:hanging="547"/>
        <w:rPr>
          <w:lang w:val="en-US"/>
        </w:rPr>
      </w:pPr>
      <w:r w:rsidRPr="006C0A7F">
        <w:rPr>
          <w:lang w:val="fr-CA"/>
        </w:rPr>
        <w:t>Morissette, Yves</w:t>
      </w:r>
      <w:r w:rsidR="00CE3216" w:rsidRPr="006C0A7F">
        <w:rPr>
          <w:lang w:val="fr-CA"/>
        </w:rPr>
        <w:t>-</w:t>
      </w:r>
      <w:r w:rsidRPr="006C0A7F">
        <w:rPr>
          <w:lang w:val="fr-CA"/>
        </w:rPr>
        <w:t xml:space="preserve">Marie. </w:t>
      </w:r>
      <w:r w:rsidR="00CE3216">
        <w:rPr>
          <w:lang w:val="en-US"/>
        </w:rPr>
        <w:t>« </w:t>
      </w:r>
      <w:r w:rsidRPr="00CF55F6">
        <w:rPr>
          <w:lang w:val="en-US"/>
        </w:rPr>
        <w:t xml:space="preserve">The Exclusion of Evidence under the </w:t>
      </w:r>
      <w:r w:rsidRPr="00CF55F6">
        <w:rPr>
          <w:i/>
          <w:lang w:val="en-US"/>
        </w:rPr>
        <w:t>Canadian Charter of Rights and Freedoms</w:t>
      </w:r>
      <w:r w:rsidR="00CE3216">
        <w:rPr>
          <w:lang w:val="en-US"/>
        </w:rPr>
        <w:t> :</w:t>
      </w:r>
      <w:r w:rsidRPr="00CF55F6">
        <w:rPr>
          <w:lang w:val="en-US"/>
        </w:rPr>
        <w:t xml:space="preserve"> What To Do and What Not To Do</w:t>
      </w:r>
      <w:r w:rsidR="00CE3216">
        <w:rPr>
          <w:lang w:val="en-US"/>
        </w:rPr>
        <w:t> »</w:t>
      </w:r>
      <w:r w:rsidRPr="00CF55F6">
        <w:rPr>
          <w:lang w:val="en-US"/>
        </w:rPr>
        <w:t xml:space="preserve"> (1984), 29 </w:t>
      </w:r>
      <w:bookmarkStart w:id="1" w:name="OLE_LINK3"/>
      <w:bookmarkStart w:id="2" w:name="OLE_LINK4"/>
      <w:r w:rsidRPr="00CF55F6">
        <w:rPr>
          <w:i/>
          <w:lang w:val="en-US"/>
        </w:rPr>
        <w:t>R.D. McGill</w:t>
      </w:r>
      <w:r w:rsidRPr="00CF55F6">
        <w:rPr>
          <w:lang w:val="en-US"/>
        </w:rPr>
        <w:t xml:space="preserve"> </w:t>
      </w:r>
      <w:bookmarkEnd w:id="1"/>
      <w:bookmarkEnd w:id="2"/>
      <w:r w:rsidRPr="00CF55F6">
        <w:rPr>
          <w:lang w:val="en-US"/>
        </w:rPr>
        <w:t>521.</w:t>
      </w:r>
    </w:p>
    <w:p w:rsidR="00306F8E" w:rsidRPr="00B63E87" w:rsidRDefault="00306F8E" w:rsidP="00CE3216">
      <w:pPr>
        <w:pStyle w:val="SCCNormalDoubleSpacing"/>
        <w:widowControl w:val="0"/>
        <w:spacing w:after="240" w:line="240" w:lineRule="auto"/>
        <w:ind w:left="547" w:hanging="547"/>
        <w:rPr>
          <w:lang w:val="en-US"/>
        </w:rPr>
      </w:pPr>
      <w:r w:rsidRPr="00CF55F6">
        <w:rPr>
          <w:lang w:val="en-US"/>
        </w:rPr>
        <w:t xml:space="preserve">Quigley, </w:t>
      </w:r>
      <w:r w:rsidR="00AD2DB4" w:rsidRPr="00CF55F6">
        <w:rPr>
          <w:lang w:val="en-US"/>
        </w:rPr>
        <w:t xml:space="preserve">Tim. </w:t>
      </w:r>
      <w:r w:rsidRPr="00CF55F6">
        <w:rPr>
          <w:i/>
          <w:lang w:val="en-US"/>
        </w:rPr>
        <w:t>Procedure in Canadian Criminal Law</w:t>
      </w:r>
      <w:r w:rsidRPr="00CF55F6">
        <w:rPr>
          <w:lang w:val="en-US"/>
        </w:rPr>
        <w:t xml:space="preserve">, 2nd ed., </w:t>
      </w:r>
      <w:r w:rsidR="00196E44" w:rsidRPr="00CF55F6">
        <w:rPr>
          <w:lang w:val="en-US"/>
        </w:rPr>
        <w:t xml:space="preserve">Toronto, </w:t>
      </w:r>
      <w:r w:rsidRPr="00CF55F6">
        <w:rPr>
          <w:lang w:val="en-US"/>
        </w:rPr>
        <w:t>Carswell</w:t>
      </w:r>
      <w:r w:rsidR="00AD2DB4" w:rsidRPr="00CF55F6">
        <w:rPr>
          <w:lang w:val="en-US"/>
        </w:rPr>
        <w:t xml:space="preserve">, </w:t>
      </w:r>
      <w:r w:rsidR="00AD2DB4" w:rsidRPr="00B63E87">
        <w:rPr>
          <w:lang w:val="en-US"/>
        </w:rPr>
        <w:t>2005</w:t>
      </w:r>
      <w:r w:rsidR="00181C9E" w:rsidRPr="00B63E87">
        <w:rPr>
          <w:lang w:val="en-US"/>
        </w:rPr>
        <w:t xml:space="preserve"> (loose</w:t>
      </w:r>
      <w:r w:rsidR="00CE3216">
        <w:rPr>
          <w:lang w:val="en-US"/>
        </w:rPr>
        <w:t>-</w:t>
      </w:r>
      <w:r w:rsidR="00CF55F6" w:rsidRPr="00B63E87">
        <w:rPr>
          <w:lang w:val="en-US"/>
        </w:rPr>
        <w:t>leaf updated 2014, release</w:t>
      </w:r>
      <w:r w:rsidR="00CE3216">
        <w:rPr>
          <w:lang w:val="en-US"/>
        </w:rPr>
        <w:t xml:space="preserve"> </w:t>
      </w:r>
      <w:r w:rsidR="00181C9E" w:rsidRPr="00B63E87">
        <w:rPr>
          <w:lang w:val="en-US"/>
        </w:rPr>
        <w:t>5)</w:t>
      </w:r>
      <w:r w:rsidRPr="00B63E87">
        <w:rPr>
          <w:lang w:val="en-US"/>
        </w:rPr>
        <w:t>.</w:t>
      </w:r>
    </w:p>
    <w:p w:rsidR="00AD2DB4" w:rsidRPr="00CF55F6" w:rsidRDefault="00AD2DB4" w:rsidP="00CE3216">
      <w:pPr>
        <w:pStyle w:val="SCCNormalDoubleSpacing"/>
        <w:widowControl w:val="0"/>
        <w:spacing w:after="240" w:line="240" w:lineRule="auto"/>
        <w:ind w:left="547" w:hanging="547"/>
        <w:rPr>
          <w:lang w:val="en-US"/>
        </w:rPr>
      </w:pPr>
      <w:r w:rsidRPr="00B63E87">
        <w:rPr>
          <w:lang w:val="en-US"/>
        </w:rPr>
        <w:t>Ruby,</w:t>
      </w:r>
      <w:r w:rsidR="00196E44" w:rsidRPr="00B63E87">
        <w:rPr>
          <w:lang w:val="en-US"/>
        </w:rPr>
        <w:t xml:space="preserve"> Clayton</w:t>
      </w:r>
      <w:r w:rsidR="00CE3216">
        <w:rPr>
          <w:lang w:val="en-US"/>
        </w:rPr>
        <w:t xml:space="preserve"> </w:t>
      </w:r>
      <w:r w:rsidRPr="00B63E87">
        <w:rPr>
          <w:lang w:val="en-US"/>
        </w:rPr>
        <w:t xml:space="preserve">C., </w:t>
      </w:r>
      <w:r w:rsidR="00196E44" w:rsidRPr="00B63E87">
        <w:rPr>
          <w:lang w:val="en-US"/>
        </w:rPr>
        <w:t>Gerald</w:t>
      </w:r>
      <w:r w:rsidR="00CE3216">
        <w:rPr>
          <w:lang w:val="en-US"/>
        </w:rPr>
        <w:t xml:space="preserve"> </w:t>
      </w:r>
      <w:r w:rsidR="00196E44" w:rsidRPr="00B63E87">
        <w:rPr>
          <w:lang w:val="en-US"/>
        </w:rPr>
        <w:t>J. Chan and Nader</w:t>
      </w:r>
      <w:r w:rsidR="00CE3216">
        <w:rPr>
          <w:lang w:val="en-US"/>
        </w:rPr>
        <w:t xml:space="preserve"> </w:t>
      </w:r>
      <w:r w:rsidR="00196E44" w:rsidRPr="00B63E87">
        <w:rPr>
          <w:lang w:val="en-US"/>
        </w:rPr>
        <w:t>R. Hasan.</w:t>
      </w:r>
      <w:r w:rsidRPr="00B63E87">
        <w:rPr>
          <w:lang w:val="en-US"/>
        </w:rPr>
        <w:t xml:space="preserve"> </w:t>
      </w:r>
      <w:r w:rsidRPr="00B63E87">
        <w:rPr>
          <w:i/>
          <w:lang w:val="en-US"/>
        </w:rPr>
        <w:t>Sentencing</w:t>
      </w:r>
      <w:r w:rsidRPr="00B63E87">
        <w:rPr>
          <w:lang w:val="en-US"/>
        </w:rPr>
        <w:t xml:space="preserve">, </w:t>
      </w:r>
      <w:r w:rsidR="00196E44" w:rsidRPr="00B63E87">
        <w:rPr>
          <w:lang w:val="en-US"/>
        </w:rPr>
        <w:t>8</w:t>
      </w:r>
      <w:r w:rsidRPr="00B63E87">
        <w:rPr>
          <w:lang w:val="en-US"/>
        </w:rPr>
        <w:t>th ed., Markham</w:t>
      </w:r>
      <w:r w:rsidR="00196E44" w:rsidRPr="00B63E87">
        <w:rPr>
          <w:lang w:val="en-US"/>
        </w:rPr>
        <w:t xml:space="preserve"> </w:t>
      </w:r>
      <w:r w:rsidR="00196E44" w:rsidRPr="00B63E87">
        <w:rPr>
          <w:lang w:val="en-US"/>
        </w:rPr>
        <w:lastRenderedPageBreak/>
        <w:t>(Ont.)</w:t>
      </w:r>
      <w:r w:rsidRPr="00B63E87">
        <w:rPr>
          <w:lang w:val="en-US"/>
        </w:rPr>
        <w:t>, LexisNexis, 20</w:t>
      </w:r>
      <w:r w:rsidR="00196E44" w:rsidRPr="00B63E87">
        <w:rPr>
          <w:lang w:val="en-US"/>
        </w:rPr>
        <w:t>12</w:t>
      </w:r>
      <w:r w:rsidRPr="00B63E87">
        <w:rPr>
          <w:lang w:val="en-US"/>
        </w:rPr>
        <w:t>.</w:t>
      </w:r>
    </w:p>
    <w:p w:rsidR="004D7D95" w:rsidRPr="00CF55F6" w:rsidRDefault="00306F8E" w:rsidP="00CE3216">
      <w:pPr>
        <w:pStyle w:val="SCCNormalDoubleSpacing"/>
        <w:widowControl w:val="0"/>
        <w:spacing w:after="720" w:line="240" w:lineRule="auto"/>
        <w:ind w:left="547" w:hanging="547"/>
        <w:rPr>
          <w:lang w:val="en-US"/>
        </w:rPr>
      </w:pPr>
      <w:r w:rsidRPr="00CF55F6">
        <w:rPr>
          <w:lang w:val="en-US"/>
        </w:rPr>
        <w:t xml:space="preserve">Trotter, </w:t>
      </w:r>
      <w:r w:rsidR="00AD2DB4" w:rsidRPr="00CF55F6">
        <w:rPr>
          <w:lang w:val="en-US"/>
        </w:rPr>
        <w:t>G</w:t>
      </w:r>
      <w:r w:rsidR="008E350A" w:rsidRPr="00CF55F6">
        <w:rPr>
          <w:lang w:val="en-US"/>
        </w:rPr>
        <w:t>ary</w:t>
      </w:r>
      <w:r w:rsidR="00CE3216">
        <w:rPr>
          <w:lang w:val="en-US"/>
        </w:rPr>
        <w:t xml:space="preserve"> </w:t>
      </w:r>
      <w:r w:rsidR="00AD2DB4" w:rsidRPr="00CF55F6">
        <w:rPr>
          <w:lang w:val="en-US"/>
        </w:rPr>
        <w:t xml:space="preserve">T. </w:t>
      </w:r>
      <w:r w:rsidRPr="00CF55F6">
        <w:rPr>
          <w:i/>
          <w:lang w:val="en-US"/>
        </w:rPr>
        <w:t>The Law of Bail in Canada</w:t>
      </w:r>
      <w:r w:rsidRPr="00CF55F6">
        <w:rPr>
          <w:lang w:val="en-US"/>
        </w:rPr>
        <w:t xml:space="preserve">, 3rd ed., </w:t>
      </w:r>
      <w:r w:rsidR="008E350A" w:rsidRPr="00CF55F6">
        <w:rPr>
          <w:lang w:val="en-US"/>
        </w:rPr>
        <w:t xml:space="preserve">Toronto, Carswell, </w:t>
      </w:r>
      <w:r w:rsidRPr="00CF55F6">
        <w:rPr>
          <w:lang w:val="en-US"/>
        </w:rPr>
        <w:t>2010</w:t>
      </w:r>
      <w:r w:rsidR="008E350A" w:rsidRPr="00CF55F6">
        <w:rPr>
          <w:lang w:val="en-US"/>
        </w:rPr>
        <w:t xml:space="preserve"> (loose</w:t>
      </w:r>
      <w:r w:rsidR="00CE3216">
        <w:rPr>
          <w:lang w:val="en-US"/>
        </w:rPr>
        <w:t>-</w:t>
      </w:r>
      <w:r w:rsidR="00CF55F6">
        <w:rPr>
          <w:lang w:val="en-US"/>
        </w:rPr>
        <w:t>leaf updated 2014, release</w:t>
      </w:r>
      <w:r w:rsidR="00CE3216">
        <w:rPr>
          <w:lang w:val="en-US"/>
        </w:rPr>
        <w:t xml:space="preserve"> </w:t>
      </w:r>
      <w:r w:rsidR="008E350A" w:rsidRPr="00CF55F6">
        <w:rPr>
          <w:lang w:val="en-US"/>
        </w:rPr>
        <w:t>3)</w:t>
      </w:r>
      <w:r w:rsidRPr="00CF55F6">
        <w:rPr>
          <w:lang w:val="en-US"/>
        </w:rPr>
        <w:t>.</w:t>
      </w:r>
    </w:p>
    <w:p w:rsidR="004D7D95" w:rsidRPr="004D7D95" w:rsidRDefault="008F6B14" w:rsidP="00CE3216">
      <w:pPr>
        <w:pStyle w:val="SCCNormalDoubleSpacing"/>
        <w:widowControl w:val="0"/>
        <w:spacing w:before="480" w:after="480"/>
        <w:rPr>
          <w:lang w:val="fr-CA"/>
        </w:rPr>
      </w:pPr>
      <w:r w:rsidRPr="00CF55F6">
        <w:rPr>
          <w:lang w:val="en-US"/>
        </w:rPr>
        <w:tab/>
      </w:r>
      <w:r w:rsidR="004D7D95" w:rsidRPr="004D7D95">
        <w:rPr>
          <w:lang w:val="fr-CA"/>
        </w:rPr>
        <w:t>POURVOI contre un</w:t>
      </w:r>
      <w:r w:rsidR="00A57C1F">
        <w:rPr>
          <w:lang w:val="fr-CA"/>
        </w:rPr>
        <w:t>e décision</w:t>
      </w:r>
      <w:r w:rsidR="004D7D95" w:rsidRPr="004D7D95">
        <w:rPr>
          <w:lang w:val="fr-CA"/>
        </w:rPr>
        <w:t xml:space="preserve"> de la </w:t>
      </w:r>
      <w:r w:rsidR="004D7D95" w:rsidRPr="00CF55F6">
        <w:rPr>
          <w:lang w:val="fr-CA"/>
        </w:rPr>
        <w:t>Cour supérieure du Québec</w:t>
      </w:r>
      <w:r w:rsidRPr="00CF55F6">
        <w:rPr>
          <w:lang w:val="fr-CA"/>
        </w:rPr>
        <w:t xml:space="preserve"> (le juge Martin), 2013 QCCS 5021, </w:t>
      </w:r>
      <w:r w:rsidR="00461712" w:rsidRPr="00CF55F6">
        <w:rPr>
          <w:lang w:val="fr-CA"/>
        </w:rPr>
        <w:t>[2013] AZ</w:t>
      </w:r>
      <w:r w:rsidR="00CE3216">
        <w:rPr>
          <w:lang w:val="fr-CA"/>
        </w:rPr>
        <w:t>-</w:t>
      </w:r>
      <w:r w:rsidR="00461712" w:rsidRPr="00CF55F6">
        <w:rPr>
          <w:lang w:val="fr-CA"/>
        </w:rPr>
        <w:t>51009868</w:t>
      </w:r>
      <w:r w:rsidRPr="00CF55F6">
        <w:rPr>
          <w:lang w:val="fr-CA"/>
        </w:rPr>
        <w:t>, [2013] J.Q. n</w:t>
      </w:r>
      <w:r w:rsidRPr="00CF55F6">
        <w:rPr>
          <w:vertAlign w:val="superscript"/>
          <w:lang w:val="fr-CA"/>
        </w:rPr>
        <w:t>o</w:t>
      </w:r>
      <w:r w:rsidR="00CE3216">
        <w:rPr>
          <w:lang w:val="fr-CA"/>
        </w:rPr>
        <w:t xml:space="preserve"> </w:t>
      </w:r>
      <w:r w:rsidRPr="00CF55F6">
        <w:rPr>
          <w:lang w:val="fr-CA"/>
        </w:rPr>
        <w:t>14227 (QL), 2013 CarswellQue 10825</w:t>
      </w:r>
      <w:r w:rsidR="00A955A2" w:rsidRPr="00CF55F6">
        <w:rPr>
          <w:lang w:val="fr-CA"/>
        </w:rPr>
        <w:t xml:space="preserve"> </w:t>
      </w:r>
      <w:r w:rsidR="00A955A2">
        <w:rPr>
          <w:lang w:val="fr-CA"/>
        </w:rPr>
        <w:t>(WL Can.)</w:t>
      </w:r>
      <w:r w:rsidRPr="00CF55F6">
        <w:rPr>
          <w:lang w:val="fr-CA"/>
        </w:rPr>
        <w:t xml:space="preserve">, </w:t>
      </w:r>
      <w:r w:rsidR="00A57C1F" w:rsidRPr="00CF55F6">
        <w:rPr>
          <w:lang w:val="fr-CA"/>
        </w:rPr>
        <w:t xml:space="preserve">qui a accueilli une requête en révision </w:t>
      </w:r>
      <w:r w:rsidR="00DA3A0F">
        <w:rPr>
          <w:lang w:val="fr-CA"/>
        </w:rPr>
        <w:t xml:space="preserve">d’une ordonnance de détention </w:t>
      </w:r>
      <w:r w:rsidR="00A57C1F" w:rsidRPr="00CF55F6">
        <w:rPr>
          <w:lang w:val="fr-CA"/>
        </w:rPr>
        <w:t>en vertu de l’</w:t>
      </w:r>
      <w:r w:rsidR="008F1803">
        <w:rPr>
          <w:lang w:val="fr-CA"/>
        </w:rPr>
        <w:t>art.</w:t>
      </w:r>
      <w:r w:rsidR="00CE3216">
        <w:rPr>
          <w:lang w:val="fr-CA"/>
        </w:rPr>
        <w:t xml:space="preserve"> </w:t>
      </w:r>
      <w:r w:rsidR="00A57C1F" w:rsidRPr="00CF55F6">
        <w:rPr>
          <w:lang w:val="fr-CA"/>
        </w:rPr>
        <w:t xml:space="preserve">520 du </w:t>
      </w:r>
      <w:r w:rsidR="00A57C1F" w:rsidRPr="00CF55F6">
        <w:rPr>
          <w:i/>
          <w:lang w:val="fr-CA"/>
        </w:rPr>
        <w:t>Code criminel</w:t>
      </w:r>
      <w:r w:rsidRPr="00CF55F6">
        <w:rPr>
          <w:lang w:val="fr-CA"/>
        </w:rPr>
        <w:t xml:space="preserve">. Pourvoi </w:t>
      </w:r>
      <w:r w:rsidR="00B91336">
        <w:rPr>
          <w:lang w:val="fr-CA"/>
        </w:rPr>
        <w:t>accueilli</w:t>
      </w:r>
      <w:r w:rsidRPr="00CF55F6">
        <w:rPr>
          <w:lang w:val="fr-CA"/>
        </w:rPr>
        <w:t>.</w:t>
      </w:r>
    </w:p>
    <w:p w:rsidR="00D91B14" w:rsidRPr="00CF55F6" w:rsidRDefault="003465B6" w:rsidP="00CE3216">
      <w:pPr>
        <w:pStyle w:val="SCCNormalDoubleSpacing"/>
        <w:widowControl w:val="0"/>
        <w:spacing w:before="480" w:after="480"/>
        <w:rPr>
          <w:lang w:val="fr-CA"/>
        </w:rPr>
      </w:pPr>
      <w:r w:rsidRPr="00CF55F6">
        <w:rPr>
          <w:rStyle w:val="SCCCounselNameChar"/>
          <w:i w:val="0"/>
          <w:lang w:val="fr-CA"/>
        </w:rPr>
        <w:tab/>
      </w:r>
      <w:r w:rsidRPr="00CF55F6">
        <w:rPr>
          <w:rStyle w:val="SCCCounselNameChar"/>
          <w:lang w:val="fr-CA"/>
        </w:rPr>
        <w:t>Christian Jarry</w:t>
      </w:r>
      <w:r w:rsidRPr="00CF55F6">
        <w:rPr>
          <w:rStyle w:val="SCCCounselSeparatorChar"/>
          <w:lang w:val="fr-CA"/>
        </w:rPr>
        <w:t xml:space="preserve"> et </w:t>
      </w:r>
      <w:r w:rsidRPr="00CF55F6">
        <w:rPr>
          <w:rStyle w:val="SCCCounselNameChar"/>
          <w:lang w:val="fr-CA"/>
        </w:rPr>
        <w:t>Geneviève Langlois</w:t>
      </w:r>
      <w:r w:rsidRPr="00CF55F6">
        <w:rPr>
          <w:rStyle w:val="SCCCounselPartyRoleChar"/>
          <w:lang w:val="fr-CA"/>
        </w:rPr>
        <w:t>, pour l</w:t>
      </w:r>
      <w:r w:rsidR="000A16C8" w:rsidRPr="00CF55F6">
        <w:rPr>
          <w:rStyle w:val="SCCCounselPartyRoleChar"/>
          <w:lang w:val="fr-CA"/>
        </w:rPr>
        <w:t>’</w:t>
      </w:r>
      <w:r w:rsidRPr="00CF55F6">
        <w:rPr>
          <w:rStyle w:val="SCCCounselPartyRoleChar"/>
          <w:lang w:val="fr-CA"/>
        </w:rPr>
        <w:t>appelante.</w:t>
      </w:r>
    </w:p>
    <w:p w:rsidR="00D91B14" w:rsidRPr="00CF55F6" w:rsidRDefault="003465B6" w:rsidP="00CE3216">
      <w:pPr>
        <w:pStyle w:val="SCCNormalDoubleSpacing"/>
        <w:widowControl w:val="0"/>
        <w:spacing w:before="480" w:after="480"/>
        <w:rPr>
          <w:lang w:val="fr-CA"/>
        </w:rPr>
      </w:pPr>
      <w:r w:rsidRPr="00CF55F6">
        <w:rPr>
          <w:rStyle w:val="SCCCounselNameChar"/>
          <w:i w:val="0"/>
          <w:lang w:val="fr-CA"/>
        </w:rPr>
        <w:tab/>
      </w:r>
      <w:r w:rsidRPr="00CF55F6">
        <w:rPr>
          <w:rStyle w:val="SCCCounselNameChar"/>
          <w:lang w:val="fr-CA"/>
        </w:rPr>
        <w:t>André Lapointe</w:t>
      </w:r>
      <w:r w:rsidRPr="00CF55F6">
        <w:rPr>
          <w:rStyle w:val="SCCCounselSeparatorChar"/>
          <w:lang w:val="fr-CA"/>
        </w:rPr>
        <w:t xml:space="preserve"> et </w:t>
      </w:r>
      <w:r w:rsidRPr="00CF55F6">
        <w:rPr>
          <w:rStyle w:val="SCCCounselNameChar"/>
          <w:lang w:val="fr-CA"/>
        </w:rPr>
        <w:t>Guylaine Tardif</w:t>
      </w:r>
      <w:r w:rsidRPr="00CF55F6">
        <w:rPr>
          <w:rStyle w:val="SCCCounselPartyRoleChar"/>
          <w:lang w:val="fr-CA"/>
        </w:rPr>
        <w:t>, pour l</w:t>
      </w:r>
      <w:r w:rsidR="000A16C8" w:rsidRPr="00CF55F6">
        <w:rPr>
          <w:rStyle w:val="SCCCounselPartyRoleChar"/>
          <w:lang w:val="fr-CA"/>
        </w:rPr>
        <w:t>’</w:t>
      </w:r>
      <w:r w:rsidRPr="00CF55F6">
        <w:rPr>
          <w:rStyle w:val="SCCCounselPartyRoleChar"/>
          <w:lang w:val="fr-CA"/>
        </w:rPr>
        <w:t>intimé.</w:t>
      </w:r>
    </w:p>
    <w:p w:rsidR="008F6B14" w:rsidRPr="00CF55F6" w:rsidRDefault="008F6B14" w:rsidP="00CE3216">
      <w:pPr>
        <w:pStyle w:val="SCCNormalDoubleSpacing"/>
        <w:widowControl w:val="0"/>
        <w:spacing w:before="480" w:after="480"/>
        <w:rPr>
          <w:lang w:val="fr-CA"/>
        </w:rPr>
      </w:pPr>
      <w:r w:rsidRPr="00CF55F6">
        <w:rPr>
          <w:rStyle w:val="SCCCounselNameChar"/>
          <w:i w:val="0"/>
          <w:lang w:val="fr-CA"/>
        </w:rPr>
        <w:tab/>
      </w:r>
      <w:r w:rsidRPr="00CF55F6">
        <w:rPr>
          <w:rStyle w:val="SCCCounselNameChar"/>
          <w:lang w:val="fr-CA"/>
        </w:rPr>
        <w:t>Robert</w:t>
      </w:r>
      <w:r w:rsidR="00CE3216">
        <w:rPr>
          <w:rStyle w:val="SCCCounselNameChar"/>
          <w:lang w:val="fr-CA"/>
        </w:rPr>
        <w:t xml:space="preserve"> </w:t>
      </w:r>
      <w:r w:rsidRPr="00CF55F6">
        <w:rPr>
          <w:rStyle w:val="SCCCounselNameChar"/>
          <w:lang w:val="fr-CA"/>
        </w:rPr>
        <w:t>E. Gattrell</w:t>
      </w:r>
      <w:r w:rsidRPr="00CF55F6">
        <w:rPr>
          <w:rStyle w:val="SCCCounselSeparatorChar"/>
          <w:lang w:val="fr-CA"/>
        </w:rPr>
        <w:t xml:space="preserve"> et </w:t>
      </w:r>
      <w:r w:rsidRPr="00CF55F6">
        <w:rPr>
          <w:rStyle w:val="SCCCounselNameChar"/>
          <w:lang w:val="fr-CA"/>
        </w:rPr>
        <w:t>Avene Derwa</w:t>
      </w:r>
      <w:r w:rsidRPr="00CF55F6">
        <w:rPr>
          <w:rStyle w:val="SCCCounselPartyRoleChar"/>
          <w:lang w:val="fr-CA"/>
        </w:rPr>
        <w:t>, pour l’intervenant le procureur général de l’Ontario.</w:t>
      </w:r>
    </w:p>
    <w:p w:rsidR="00D91B14" w:rsidRPr="00CF55F6" w:rsidRDefault="003465B6" w:rsidP="00CE3216">
      <w:pPr>
        <w:pStyle w:val="SCCNormalDoubleSpacing"/>
        <w:widowControl w:val="0"/>
        <w:spacing w:before="480" w:after="480"/>
        <w:rPr>
          <w:lang w:val="fr-CA"/>
        </w:rPr>
      </w:pPr>
      <w:r w:rsidRPr="00CF55F6">
        <w:rPr>
          <w:rStyle w:val="SCCCounselNameChar"/>
          <w:i w:val="0"/>
          <w:lang w:val="fr-CA"/>
        </w:rPr>
        <w:tab/>
      </w:r>
      <w:r w:rsidRPr="00CF55F6">
        <w:rPr>
          <w:rStyle w:val="SCCCounselNameChar"/>
          <w:lang w:val="fr-CA"/>
        </w:rPr>
        <w:t>John Norris</w:t>
      </w:r>
      <w:r w:rsidRPr="00CF55F6">
        <w:rPr>
          <w:rStyle w:val="SCCCounselSeparatorChar"/>
          <w:lang w:val="fr-CA"/>
        </w:rPr>
        <w:t xml:space="preserve"> et </w:t>
      </w:r>
      <w:r w:rsidRPr="00CF55F6">
        <w:rPr>
          <w:rStyle w:val="SCCCounselNameChar"/>
          <w:lang w:val="fr-CA"/>
        </w:rPr>
        <w:t>Christine Mainville</w:t>
      </w:r>
      <w:r w:rsidRPr="00CF55F6">
        <w:rPr>
          <w:rStyle w:val="SCCCounselPartyRoleChar"/>
          <w:lang w:val="fr-CA"/>
        </w:rPr>
        <w:t>, pour l</w:t>
      </w:r>
      <w:r w:rsidR="000A16C8" w:rsidRPr="00CF55F6">
        <w:rPr>
          <w:rStyle w:val="SCCCounselPartyRoleChar"/>
          <w:lang w:val="fr-CA"/>
        </w:rPr>
        <w:t>’</w:t>
      </w:r>
      <w:r w:rsidRPr="00CF55F6">
        <w:rPr>
          <w:rStyle w:val="SCCCounselPartyRoleChar"/>
          <w:lang w:val="fr-CA"/>
        </w:rPr>
        <w:t>intervenante Criminal Lawyers</w:t>
      </w:r>
      <w:r w:rsidR="000A16C8" w:rsidRPr="00CF55F6">
        <w:rPr>
          <w:rStyle w:val="SCCCounselPartyRoleChar"/>
          <w:lang w:val="fr-CA"/>
        </w:rPr>
        <w:t>’</w:t>
      </w:r>
      <w:r w:rsidRPr="00CF55F6">
        <w:rPr>
          <w:rStyle w:val="SCCCounselPartyRoleChar"/>
          <w:lang w:val="fr-CA"/>
        </w:rPr>
        <w:t xml:space="preserve"> Association (Ontario).</w:t>
      </w:r>
    </w:p>
    <w:p w:rsidR="00CE3216" w:rsidRDefault="003465B6" w:rsidP="00CE3216">
      <w:pPr>
        <w:pStyle w:val="SCCNormalDoubleSpacing"/>
        <w:widowControl w:val="0"/>
        <w:spacing w:before="480" w:after="480"/>
        <w:rPr>
          <w:rStyle w:val="SCCCounselPartyRoleChar"/>
          <w:lang w:val="fr-CA"/>
        </w:rPr>
      </w:pPr>
      <w:r w:rsidRPr="00CF55F6">
        <w:rPr>
          <w:rStyle w:val="SCCCounselNameChar"/>
          <w:i w:val="0"/>
          <w:lang w:val="fr-CA"/>
        </w:rPr>
        <w:tab/>
      </w:r>
      <w:r w:rsidR="008F6B14" w:rsidRPr="00CF55F6">
        <w:rPr>
          <w:rStyle w:val="SCCCounselNameChar"/>
          <w:lang w:val="fr-CA"/>
        </w:rPr>
        <w:t>Anil</w:t>
      </w:r>
      <w:r w:rsidR="00CE3216">
        <w:rPr>
          <w:rStyle w:val="SCCCounselNameChar"/>
          <w:lang w:val="fr-CA"/>
        </w:rPr>
        <w:t xml:space="preserve"> </w:t>
      </w:r>
      <w:r w:rsidRPr="00CF55F6">
        <w:rPr>
          <w:rStyle w:val="SCCCounselNameChar"/>
          <w:lang w:val="fr-CA"/>
        </w:rPr>
        <w:t>K. Kapoor</w:t>
      </w:r>
      <w:r w:rsidRPr="00CF55F6">
        <w:rPr>
          <w:rStyle w:val="SCCCounselSeparatorChar"/>
          <w:lang w:val="fr-CA"/>
        </w:rPr>
        <w:t xml:space="preserve"> et </w:t>
      </w:r>
      <w:r w:rsidRPr="00CF55F6">
        <w:rPr>
          <w:rStyle w:val="SCCCounselNameChar"/>
          <w:lang w:val="fr-CA"/>
        </w:rPr>
        <w:t>Lindsay Daviau</w:t>
      </w:r>
      <w:r w:rsidRPr="00CF55F6">
        <w:rPr>
          <w:rStyle w:val="SCCCounselPartyRoleChar"/>
          <w:lang w:val="fr-CA"/>
        </w:rPr>
        <w:t>, pour l</w:t>
      </w:r>
      <w:r w:rsidR="000A16C8" w:rsidRPr="00CF55F6">
        <w:rPr>
          <w:rStyle w:val="SCCCounselPartyRoleChar"/>
          <w:lang w:val="fr-CA"/>
        </w:rPr>
        <w:t>’</w:t>
      </w:r>
      <w:r w:rsidRPr="00CF55F6">
        <w:rPr>
          <w:rStyle w:val="SCCCounselPartyRoleChar"/>
          <w:lang w:val="fr-CA"/>
        </w:rPr>
        <w:t>intervenante</w:t>
      </w:r>
      <w:r w:rsidR="008F6B14" w:rsidRPr="00CF55F6">
        <w:rPr>
          <w:rStyle w:val="SCCCounselPartyRoleChar"/>
          <w:lang w:val="fr-CA"/>
        </w:rPr>
        <w:t xml:space="preserve"> l’</w:t>
      </w:r>
      <w:r w:rsidR="008F6B14" w:rsidRPr="00C45EB1">
        <w:rPr>
          <w:lang w:val="fr-CA"/>
        </w:rPr>
        <w:t>Association canadienne des libertés civiles</w:t>
      </w:r>
      <w:r w:rsidR="00CE3221">
        <w:rPr>
          <w:rStyle w:val="SCCCounselPartyRoleChar"/>
          <w:lang w:val="fr-CA"/>
        </w:rPr>
        <w:t>.</w:t>
      </w:r>
    </w:p>
    <w:p w:rsidR="00CE3221" w:rsidRPr="00CF55F6" w:rsidRDefault="00CE3221" w:rsidP="00CE3216">
      <w:pPr>
        <w:pStyle w:val="SCCNormalDoubleSpacing"/>
        <w:widowControl w:val="0"/>
        <w:spacing w:before="480" w:after="480"/>
        <w:rPr>
          <w:lang w:val="fr-CA"/>
        </w:rPr>
      </w:pPr>
      <w:r>
        <w:rPr>
          <w:rStyle w:val="SCCCounselPartyRoleChar"/>
          <w:lang w:val="fr-CA"/>
        </w:rPr>
        <w:tab/>
        <w:t>Le jugement de la Cour a été rendu par</w:t>
      </w:r>
    </w:p>
    <w:p w:rsidR="00CE3216" w:rsidRPr="00EB5449" w:rsidRDefault="00CE3216" w:rsidP="00CE3216">
      <w:pPr>
        <w:pStyle w:val="JudgeJuge"/>
        <w:widowControl w:val="0"/>
      </w:pPr>
      <w:r w:rsidRPr="00EB5449">
        <w:tab/>
        <w:t xml:space="preserve">Le juge Wagner — </w:t>
      </w:r>
    </w:p>
    <w:p w:rsidR="00CE3216" w:rsidRPr="00EB5449" w:rsidRDefault="00CE3216" w:rsidP="00CE3216">
      <w:pPr>
        <w:pStyle w:val="Title1LevelTitre1Niveau-AltL"/>
        <w:widowControl w:val="0"/>
        <w:rPr>
          <w:rFonts w:cs="Times New Roman"/>
          <w:szCs w:val="24"/>
        </w:rPr>
      </w:pPr>
      <w:r w:rsidRPr="00EB5449">
        <w:rPr>
          <w:rFonts w:cs="Times New Roman"/>
          <w:szCs w:val="24"/>
        </w:rPr>
        <w:lastRenderedPageBreak/>
        <w:t>Introduction</w:t>
      </w:r>
    </w:p>
    <w:p w:rsidR="00CE3216" w:rsidRPr="00EB5449" w:rsidRDefault="00CE3216" w:rsidP="00CE3216">
      <w:pPr>
        <w:pStyle w:val="ParaNoNdepar-AltN"/>
        <w:widowControl w:val="0"/>
        <w:rPr>
          <w:rFonts w:cs="Times New Roman"/>
          <w:szCs w:val="24"/>
        </w:rPr>
      </w:pPr>
      <w:r w:rsidRPr="00EB5449">
        <w:rPr>
          <w:rFonts w:cs="Times New Roman"/>
          <w:szCs w:val="24"/>
        </w:rPr>
        <w:t>La considération dont jouit notre système de justice pénale repose sur la conviction profonde des Canadiens et des Canadiennes que le droit à la liberté et la présomption d’innocence sont des valeurs fondamentales de notre société qu’il est essentiel de protéger. Mais cette considération est également tributaire de la confiance qu’ont les citoyens que les personnes accusées d’un crime sérieux ne pourront fuir la justice, causer préjudice à autrui ou nuire à l’administration de la justice lorsqu’elles sont en attente de leur procès. Le Parlement a reconnu ces risques d’atteinte à la considération du système de justice aux al. 515(10)</w:t>
      </w:r>
      <w:r w:rsidRPr="00EB5449">
        <w:rPr>
          <w:rFonts w:cs="Times New Roman"/>
          <w:i/>
          <w:iCs/>
          <w:szCs w:val="24"/>
        </w:rPr>
        <w:t>a</w:t>
      </w:r>
      <w:r w:rsidRPr="00EB5449">
        <w:rPr>
          <w:rFonts w:cs="Times New Roman"/>
          <w:szCs w:val="24"/>
        </w:rPr>
        <w:t xml:space="preserve">) et </w:t>
      </w:r>
      <w:r w:rsidRPr="00EB5449">
        <w:rPr>
          <w:rFonts w:cs="Times New Roman"/>
          <w:i/>
          <w:iCs/>
          <w:szCs w:val="24"/>
        </w:rPr>
        <w:t>b</w:t>
      </w:r>
      <w:r w:rsidRPr="00EB5449">
        <w:rPr>
          <w:rFonts w:cs="Times New Roman"/>
          <w:szCs w:val="24"/>
        </w:rPr>
        <w:t xml:space="preserve">) du </w:t>
      </w:r>
      <w:r w:rsidRPr="00EB5449">
        <w:rPr>
          <w:rFonts w:cs="Times New Roman"/>
          <w:i/>
          <w:iCs/>
          <w:szCs w:val="24"/>
        </w:rPr>
        <w:t>Code criminel</w:t>
      </w:r>
      <w:r w:rsidRPr="00EB5449">
        <w:rPr>
          <w:rFonts w:cs="Times New Roman"/>
          <w:iCs/>
          <w:szCs w:val="24"/>
        </w:rPr>
        <w:t>,</w:t>
      </w:r>
      <w:r w:rsidRPr="00EB5449">
        <w:rPr>
          <w:rFonts w:cs="Times New Roman"/>
          <w:i/>
          <w:iCs/>
          <w:szCs w:val="24"/>
        </w:rPr>
        <w:t xml:space="preserve"> </w:t>
      </w:r>
      <w:r w:rsidRPr="00EB5449">
        <w:rPr>
          <w:rFonts w:cs="Times New Roman"/>
          <w:szCs w:val="24"/>
        </w:rPr>
        <w:t>L.R.C. 1985, c. C-46 (</w:t>
      </w:r>
      <w:r>
        <w:rPr>
          <w:rFonts w:cs="Times New Roman"/>
          <w:szCs w:val="24"/>
        </w:rPr>
        <w:t>« </w:t>
      </w:r>
      <w:r w:rsidR="004364EE">
        <w:rPr>
          <w:rFonts w:cs="Times New Roman"/>
          <w:i/>
          <w:iCs/>
          <w:szCs w:val="24"/>
        </w:rPr>
        <w:t>C. cr.</w:t>
      </w:r>
      <w:r w:rsidRPr="00CE3216">
        <w:rPr>
          <w:rFonts w:cs="Times New Roman"/>
          <w:iCs/>
          <w:szCs w:val="24"/>
        </w:rPr>
        <w:t> »</w:t>
      </w:r>
      <w:r w:rsidRPr="00EB5449">
        <w:rPr>
          <w:rFonts w:cs="Times New Roman"/>
          <w:szCs w:val="24"/>
        </w:rPr>
        <w:t xml:space="preserve">), qui autorisent la mise en détention provisoire d’un accusé lorsqu’une telle mesure est nécessaire pour assurer sa présence au tribunal ou pour garantir la protection ou la sécurité du public. </w:t>
      </w:r>
    </w:p>
    <w:p w:rsidR="00CE3216" w:rsidRPr="00EB5449" w:rsidRDefault="00CE3216" w:rsidP="00CE3216">
      <w:pPr>
        <w:pStyle w:val="ParaNoNdepar-AltN"/>
        <w:widowControl w:val="0"/>
        <w:rPr>
          <w:rFonts w:cs="Times New Roman"/>
          <w:szCs w:val="24"/>
        </w:rPr>
      </w:pPr>
      <w:r w:rsidRPr="00EB5449">
        <w:rPr>
          <w:rFonts w:cs="Times New Roman"/>
          <w:szCs w:val="24"/>
        </w:rPr>
        <w:t>Le Parlement a en outre estimé que, dans certaines circonstances, la mise en liberté d’un accusé pouvait miner la considération dont jouit le système de justice. Il a donc prévu, à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004364EE">
        <w:rPr>
          <w:rFonts w:cs="Times New Roman"/>
          <w:szCs w:val="24"/>
        </w:rPr>
        <w:t>,</w:t>
      </w:r>
      <w:r w:rsidRPr="00EB5449">
        <w:rPr>
          <w:rFonts w:cs="Times New Roman"/>
          <w:i/>
          <w:szCs w:val="24"/>
        </w:rPr>
        <w:t xml:space="preserve"> </w:t>
      </w:r>
      <w:r w:rsidRPr="00EB5449">
        <w:rPr>
          <w:rFonts w:cs="Times New Roman"/>
          <w:szCs w:val="24"/>
        </w:rPr>
        <w:t>un troisième motif de détention provisoire, le maintien de la confiance du public envers l’administration de la justice. Ainsi, le Parlement a reconnu que d</w:t>
      </w:r>
      <w:r w:rsidRPr="00EB5449">
        <w:rPr>
          <w:rFonts w:cs="Times New Roman"/>
          <w:szCs w:val="24"/>
          <w:lang w:val="fr-FR"/>
        </w:rPr>
        <w:t>ans certaines situations, le fait de permettre à une personne accusée d’un crime grave de rester en liberté dans la collectivité en attendant son procès, lorsque la preuve qui pèse contre elle est accablante, peut engendrer auprès du public l’idée que justice n’est pas rendue</w:t>
      </w:r>
      <w:r>
        <w:rPr>
          <w:rFonts w:cs="Times New Roman"/>
          <w:szCs w:val="24"/>
          <w:lang w:val="fr-FR"/>
        </w:rPr>
        <w:t> :</w:t>
      </w:r>
      <w:r w:rsidRPr="00EB5449">
        <w:rPr>
          <w:rFonts w:cs="Times New Roman"/>
          <w:szCs w:val="24"/>
          <w:lang w:val="fr-FR"/>
        </w:rPr>
        <w:t xml:space="preserve"> voir </w:t>
      </w:r>
      <w:r w:rsidRPr="00EB5449">
        <w:rPr>
          <w:rFonts w:cs="Times New Roman"/>
          <w:i/>
          <w:szCs w:val="24"/>
          <w:lang w:val="fr-FR"/>
        </w:rPr>
        <w:t xml:space="preserve">R. c. </w:t>
      </w:r>
      <w:r w:rsidRPr="00EB5449">
        <w:rPr>
          <w:rFonts w:cs="Times New Roman"/>
          <w:i/>
          <w:iCs/>
          <w:szCs w:val="24"/>
          <w:lang w:val="fr-FR"/>
        </w:rPr>
        <w:t>Hall</w:t>
      </w:r>
      <w:r w:rsidRPr="00EB5449">
        <w:rPr>
          <w:rFonts w:cs="Times New Roman"/>
          <w:iCs/>
          <w:szCs w:val="24"/>
          <w:lang w:val="fr-FR"/>
        </w:rPr>
        <w:t>,</w:t>
      </w:r>
      <w:r w:rsidRPr="00EB5449">
        <w:rPr>
          <w:rFonts w:cs="Times New Roman"/>
          <w:szCs w:val="24"/>
        </w:rPr>
        <w:t xml:space="preserve"> 2002 CSC 64</w:t>
      </w:r>
      <w:r w:rsidRPr="00EB5449">
        <w:rPr>
          <w:rFonts w:cs="Times New Roman"/>
          <w:szCs w:val="24"/>
          <w:lang w:val="fr-FR"/>
        </w:rPr>
        <w:t xml:space="preserve">, </w:t>
      </w:r>
      <w:r w:rsidRPr="00EB5449">
        <w:rPr>
          <w:rFonts w:cs="Times New Roman"/>
          <w:szCs w:val="24"/>
        </w:rPr>
        <w:t xml:space="preserve">[2002] 3 R.C.S. 309, </w:t>
      </w:r>
      <w:r w:rsidRPr="00EB5449">
        <w:rPr>
          <w:rFonts w:cs="Times New Roman"/>
          <w:szCs w:val="24"/>
          <w:lang w:val="fr-FR"/>
        </w:rPr>
        <w:t xml:space="preserve">par. 26. </w:t>
      </w:r>
    </w:p>
    <w:p w:rsidR="00CE3216" w:rsidRPr="00EB5449" w:rsidRDefault="00CE3216" w:rsidP="00CE3216">
      <w:pPr>
        <w:pStyle w:val="ParaNoNdepar-AltN"/>
        <w:widowControl w:val="0"/>
        <w:rPr>
          <w:rFonts w:cs="Times New Roman"/>
          <w:szCs w:val="24"/>
        </w:rPr>
      </w:pPr>
      <w:r w:rsidRPr="00EB5449">
        <w:rPr>
          <w:rFonts w:cs="Times New Roman"/>
          <w:szCs w:val="24"/>
        </w:rPr>
        <w:lastRenderedPageBreak/>
        <w:t>Le présent pourvoi donne l’opportunité à la Cour d’examiner les circonstances dans lesquelles le maintien de la confiance du public canadien envers l’administration de la justice requiert la détention avant procès d’un accusé en vertu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Notre Cour s’est déjà penchée sur cette disposition dans l’arrêt </w:t>
      </w:r>
      <w:r w:rsidRPr="00EB5449">
        <w:rPr>
          <w:rFonts w:cs="Times New Roman"/>
          <w:i/>
          <w:iCs/>
          <w:szCs w:val="24"/>
        </w:rPr>
        <w:t>Hall</w:t>
      </w:r>
      <w:r w:rsidRPr="00EB5449">
        <w:rPr>
          <w:rFonts w:cs="Times New Roman"/>
          <w:iCs/>
          <w:szCs w:val="24"/>
        </w:rPr>
        <w:t>,</w:t>
      </w:r>
      <w:r w:rsidRPr="00EB5449">
        <w:rPr>
          <w:rFonts w:cs="Times New Roman"/>
          <w:szCs w:val="24"/>
        </w:rPr>
        <w:t xml:space="preserve"> mais la question centrale était alors la constitutionnalité de ce motif de détention tel qu’il était formulé à cette époque. Depuis, la jurisprudence des tribunaux inférieurs sur cette disposition révèle d’importantes divergences d’interprétation, qui incitent la Cour à fournir de plus amples précisions sur son application.</w:t>
      </w:r>
    </w:p>
    <w:p w:rsidR="00CE3216" w:rsidRPr="00EB5449" w:rsidRDefault="00CE3216" w:rsidP="00CE3216">
      <w:pPr>
        <w:pStyle w:val="ParaNoNdepar-AltN"/>
        <w:widowControl w:val="0"/>
        <w:rPr>
          <w:rFonts w:cs="Times New Roman"/>
          <w:szCs w:val="24"/>
        </w:rPr>
      </w:pPr>
      <w:r w:rsidRPr="00EB5449">
        <w:rPr>
          <w:rFonts w:cs="Times New Roman"/>
          <w:bCs/>
          <w:szCs w:val="24"/>
        </w:rPr>
        <w:t>Le motif de détention prévu à l’al. 515(10)</w:t>
      </w:r>
      <w:r w:rsidRPr="00EB5449">
        <w:rPr>
          <w:rFonts w:cs="Times New Roman"/>
          <w:bCs/>
          <w:i/>
          <w:iCs/>
          <w:szCs w:val="24"/>
        </w:rPr>
        <w:t>c</w:t>
      </w:r>
      <w:r w:rsidRPr="00EB5449">
        <w:rPr>
          <w:rFonts w:cs="Times New Roman"/>
          <w:bCs/>
          <w:szCs w:val="24"/>
        </w:rPr>
        <w:t xml:space="preserve">) </w:t>
      </w:r>
      <w:r w:rsidR="004364EE">
        <w:rPr>
          <w:rFonts w:cs="Times New Roman"/>
          <w:bCs/>
          <w:i/>
          <w:iCs/>
          <w:szCs w:val="24"/>
        </w:rPr>
        <w:t>C. cr.</w:t>
      </w:r>
      <w:r w:rsidRPr="00EB5449">
        <w:rPr>
          <w:rFonts w:cs="Times New Roman"/>
          <w:bCs/>
          <w:szCs w:val="24"/>
        </w:rPr>
        <w:t xml:space="preserve"> exige la recherche du </w:t>
      </w:r>
      <w:r>
        <w:rPr>
          <w:rFonts w:cs="Times New Roman"/>
          <w:bCs/>
          <w:szCs w:val="24"/>
        </w:rPr>
        <w:t>« </w:t>
      </w:r>
      <w:r w:rsidRPr="00EB5449">
        <w:rPr>
          <w:rFonts w:cs="Times New Roman"/>
          <w:szCs w:val="24"/>
          <w:lang w:val="fr-FR"/>
        </w:rPr>
        <w:t>juste équilibre entre les droits de l’accusé et la nécessité de veiller à ce que la justice règne dans la collectivité</w:t>
      </w:r>
      <w:r>
        <w:rPr>
          <w:rFonts w:cs="Times New Roman"/>
          <w:szCs w:val="24"/>
          <w:lang w:val="fr-FR"/>
        </w:rPr>
        <w:t> » :</w:t>
      </w:r>
      <w:r w:rsidRPr="00EB5449">
        <w:rPr>
          <w:rFonts w:cs="Times New Roman"/>
          <w:szCs w:val="24"/>
          <w:lang w:val="fr-FR"/>
        </w:rPr>
        <w:t xml:space="preserve"> </w:t>
      </w:r>
      <w:r w:rsidRPr="00EB5449">
        <w:rPr>
          <w:rFonts w:cs="Times New Roman"/>
          <w:i/>
          <w:iCs/>
          <w:szCs w:val="24"/>
          <w:lang w:val="fr-FR"/>
        </w:rPr>
        <w:t>Hall</w:t>
      </w:r>
      <w:r w:rsidRPr="00EB5449">
        <w:rPr>
          <w:rFonts w:cs="Times New Roman"/>
          <w:szCs w:val="24"/>
          <w:lang w:val="fr-FR"/>
        </w:rPr>
        <w:t xml:space="preserve">, par. 41. S’ajoute à cela la perspective du public, que doit adopter le juge afin de déterminer si la détention est nécessaire. Il s’agit d’une notion dont il n’est pas toujours aisé de saisir les contours. </w:t>
      </w:r>
      <w:r w:rsidRPr="00EB5449">
        <w:rPr>
          <w:rFonts w:cs="Times New Roman"/>
          <w:szCs w:val="24"/>
        </w:rPr>
        <w:t>Ces difficultés expliquent sans doute pourquoi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a fait couler tant d’encre chez les juristes et entraîné des résultats contradictoires à travers le pays. </w:t>
      </w:r>
    </w:p>
    <w:p w:rsidR="00CE3216" w:rsidRPr="00EB5449" w:rsidRDefault="00CE3216" w:rsidP="00CE3216">
      <w:pPr>
        <w:pStyle w:val="ParaNoNdepar-AltN"/>
        <w:widowControl w:val="0"/>
        <w:rPr>
          <w:rFonts w:cs="Times New Roman"/>
          <w:szCs w:val="24"/>
        </w:rPr>
      </w:pPr>
      <w:r w:rsidRPr="00EB5449">
        <w:rPr>
          <w:rFonts w:cs="Times New Roman"/>
          <w:szCs w:val="24"/>
        </w:rPr>
        <w:t>Je suis d’avis que la portée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a été indûment restreinte par les tribunaux dans certains cas. Ce motif de détention n’est pas nécessairement limité à des circonstances exceptionnelles, aux crimes les plus odieux qui présenteraient des circonstances similaires à celles de l’affaire </w:t>
      </w:r>
      <w:r w:rsidRPr="00EB5449">
        <w:rPr>
          <w:rFonts w:cs="Times New Roman"/>
          <w:i/>
          <w:iCs/>
          <w:szCs w:val="24"/>
        </w:rPr>
        <w:t>Hall</w:t>
      </w:r>
      <w:r w:rsidRPr="00EB5449">
        <w:rPr>
          <w:rFonts w:cs="Times New Roman"/>
          <w:iCs/>
          <w:szCs w:val="24"/>
        </w:rPr>
        <w:t>,</w:t>
      </w:r>
      <w:r w:rsidRPr="00EB5449">
        <w:rPr>
          <w:rFonts w:cs="Times New Roman"/>
          <w:szCs w:val="24"/>
        </w:rPr>
        <w:t xml:space="preserve"> ou encore à certaines catégories de crimes. L’interprétation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a également été tronquée par une conception erronée de la notion de </w:t>
      </w:r>
      <w:r>
        <w:rPr>
          <w:rFonts w:cs="Times New Roman"/>
          <w:szCs w:val="24"/>
        </w:rPr>
        <w:t>« </w:t>
      </w:r>
      <w:r w:rsidRPr="00EB5449">
        <w:rPr>
          <w:rFonts w:cs="Times New Roman"/>
          <w:szCs w:val="24"/>
        </w:rPr>
        <w:t>public</w:t>
      </w:r>
      <w:r>
        <w:rPr>
          <w:rFonts w:cs="Times New Roman"/>
          <w:szCs w:val="24"/>
        </w:rPr>
        <w:t> »</w:t>
      </w:r>
      <w:r w:rsidRPr="00EB5449">
        <w:rPr>
          <w:rFonts w:cs="Times New Roman"/>
          <w:szCs w:val="24"/>
        </w:rPr>
        <w:t xml:space="preserve"> dont fait mention </w:t>
      </w:r>
      <w:r w:rsidRPr="00EB5449">
        <w:rPr>
          <w:rFonts w:cs="Times New Roman"/>
          <w:szCs w:val="24"/>
        </w:rPr>
        <w:lastRenderedPageBreak/>
        <w:t xml:space="preserve">le texte français de la disposition (et qui est sous-entendue dans la notion de </w:t>
      </w:r>
      <w:r>
        <w:rPr>
          <w:rFonts w:cs="Times New Roman"/>
          <w:szCs w:val="24"/>
        </w:rPr>
        <w:t>« </w:t>
      </w:r>
      <w:r w:rsidRPr="00EB5449">
        <w:rPr>
          <w:rFonts w:cs="Times New Roman"/>
          <w:i/>
          <w:szCs w:val="24"/>
        </w:rPr>
        <w:t>confidence</w:t>
      </w:r>
      <w:r>
        <w:rPr>
          <w:rFonts w:cs="Times New Roman"/>
          <w:szCs w:val="24"/>
        </w:rPr>
        <w:t> »</w:t>
      </w:r>
      <w:r w:rsidRPr="00EB5449">
        <w:rPr>
          <w:rFonts w:cs="Times New Roman"/>
          <w:szCs w:val="24"/>
        </w:rPr>
        <w:t xml:space="preserve"> en anglais), notion sur laquelle je reviendrai plus loin. Pour l’instant, je me contenterai de rappeler que le </w:t>
      </w:r>
      <w:r>
        <w:rPr>
          <w:rFonts w:cs="Times New Roman"/>
          <w:szCs w:val="24"/>
        </w:rPr>
        <w:t>« </w:t>
      </w:r>
      <w:r w:rsidRPr="00EB5449">
        <w:rPr>
          <w:rFonts w:cs="Times New Roman"/>
          <w:szCs w:val="24"/>
        </w:rPr>
        <w:t>public</w:t>
      </w:r>
      <w:r>
        <w:rPr>
          <w:rFonts w:cs="Times New Roman"/>
          <w:szCs w:val="24"/>
        </w:rPr>
        <w:t> »</w:t>
      </w:r>
      <w:r w:rsidRPr="00EB5449">
        <w:rPr>
          <w:rFonts w:cs="Times New Roman"/>
          <w:szCs w:val="24"/>
        </w:rPr>
        <w:t xml:space="preserve"> est une personne raisonnable et bien informée de la collectivité, mais qui n’est pas un juriste possédant une connaissance approfondie de notre système de justice criminelle.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Par ailleurs, notre Cour est appelée pour la première fois en l’espèce à déterminer l’étendue du pouvoir de révision conféré par les art. 520 et 521 </w:t>
      </w:r>
      <w:r w:rsidR="004364EE">
        <w:rPr>
          <w:rFonts w:cs="Times New Roman"/>
          <w:i/>
          <w:iCs/>
          <w:szCs w:val="24"/>
        </w:rPr>
        <w:t>C. cr.</w:t>
      </w:r>
      <w:r w:rsidRPr="00EB5449">
        <w:rPr>
          <w:rFonts w:cs="Times New Roman"/>
          <w:szCs w:val="24"/>
        </w:rPr>
        <w:t xml:space="preserve"> à l’égard des décisions concernant la détention ou la mise en liberté provisoire. Puisque la décision de remettre ou non en liberté un accusé avant son procès constitue un exercice délicat de pondération de l’ensemble des circonstances pertinentes, le juge qui entend une requête en révision fondée sur l’art. 520 ou 521 </w:t>
      </w:r>
      <w:r w:rsidR="004364EE">
        <w:rPr>
          <w:rFonts w:cs="Times New Roman"/>
          <w:i/>
          <w:iCs/>
          <w:szCs w:val="24"/>
        </w:rPr>
        <w:t>C. cr.</w:t>
      </w:r>
      <w:r w:rsidRPr="00EB5449">
        <w:rPr>
          <w:rFonts w:cs="Times New Roman"/>
          <w:szCs w:val="24"/>
        </w:rPr>
        <w:t xml:space="preserve"> ne jouit pas d’un pouvoir illimité de révision de cette décision. Je conclus que l’opportunité d’exercer ce pouvoir ne se présentera que dans trois cas</w:t>
      </w:r>
      <w:r>
        <w:rPr>
          <w:rFonts w:cs="Times New Roman"/>
          <w:szCs w:val="24"/>
        </w:rPr>
        <w:t> :</w:t>
      </w:r>
      <w:r w:rsidRPr="00EB5449">
        <w:rPr>
          <w:rFonts w:cs="Times New Roman"/>
          <w:szCs w:val="24"/>
        </w:rPr>
        <w:t xml:space="preserve"> </w:t>
      </w:r>
      <w:r w:rsidR="00EF6864">
        <w:rPr>
          <w:rFonts w:cs="Times New Roman"/>
          <w:szCs w:val="24"/>
        </w:rPr>
        <w:t>(</w:t>
      </w:r>
      <w:r w:rsidRPr="00EB5449">
        <w:rPr>
          <w:rFonts w:cs="Times New Roman"/>
          <w:szCs w:val="24"/>
        </w:rPr>
        <w:t xml:space="preserve">1) en présence d’une preuve nouvelle admissible; </w:t>
      </w:r>
      <w:r w:rsidR="00EF6864">
        <w:rPr>
          <w:rFonts w:cs="Times New Roman"/>
          <w:szCs w:val="24"/>
        </w:rPr>
        <w:t>(</w:t>
      </w:r>
      <w:r w:rsidRPr="00EB5449">
        <w:rPr>
          <w:rFonts w:cs="Times New Roman"/>
          <w:szCs w:val="24"/>
        </w:rPr>
        <w:t xml:space="preserve">2) en présence d’une erreur de droit dans la décision contestée; ou </w:t>
      </w:r>
      <w:r w:rsidR="00EF6864">
        <w:rPr>
          <w:rFonts w:cs="Times New Roman"/>
          <w:szCs w:val="24"/>
        </w:rPr>
        <w:t>(</w:t>
      </w:r>
      <w:r w:rsidRPr="00EB5449">
        <w:rPr>
          <w:rFonts w:cs="Times New Roman"/>
          <w:szCs w:val="24"/>
        </w:rPr>
        <w:t xml:space="preserve">3) en présence d’une décision manifestement inappropriée. Dans ce dernier cas, il n’est pas question pour le juge réviseur de simplement substituer son appréciation des faits à celle du juge ayant rendu la décision contestée. Ce n’est que lorsque ce dernier a accordé trop d’importance à un facteur pertinent ou à l’inverse pas suffisamment à un autre que le juge réviseur pourra intervenir.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Dans la présente affaire, l’intimé Jeffrey St-Cloud a été accusé de voies de fait graves en vertu de l’art. 268 </w:t>
      </w:r>
      <w:r w:rsidR="004364EE">
        <w:rPr>
          <w:rFonts w:cs="Times New Roman"/>
          <w:i/>
          <w:iCs/>
          <w:szCs w:val="24"/>
        </w:rPr>
        <w:t>C. cr.</w:t>
      </w:r>
      <w:r w:rsidRPr="00EB5449">
        <w:rPr>
          <w:rFonts w:cs="Times New Roman"/>
          <w:szCs w:val="24"/>
        </w:rPr>
        <w:t xml:space="preserve"> Le juge de paix qui a entendu la demande </w:t>
      </w:r>
      <w:r w:rsidRPr="00EB5449">
        <w:rPr>
          <w:rFonts w:cs="Times New Roman"/>
          <w:szCs w:val="24"/>
        </w:rPr>
        <w:lastRenderedPageBreak/>
        <w:t>initiale de mise en liberté a conclu que la détention était nécessaire sur la base des al. 515(10)</w:t>
      </w:r>
      <w:r w:rsidRPr="00EB5449">
        <w:rPr>
          <w:rFonts w:cs="Times New Roman"/>
          <w:i/>
          <w:iCs/>
          <w:szCs w:val="24"/>
        </w:rPr>
        <w:t>b</w:t>
      </w:r>
      <w:r w:rsidRPr="00EB5449">
        <w:rPr>
          <w:rFonts w:cs="Times New Roman"/>
          <w:szCs w:val="24"/>
        </w:rPr>
        <w:t xml:space="preserve">) et </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Le juge de paix qui a entendu la deuxième demande de mise en liberté de l’intimé à la fin de l’enquête préliminaire a estimé que sa détention était toujours justifiée en vertu de l’al. 515(10)</w:t>
      </w:r>
      <w:r w:rsidRPr="00EB5449">
        <w:rPr>
          <w:rFonts w:cs="Times New Roman"/>
          <w:i/>
          <w:iCs/>
          <w:szCs w:val="24"/>
        </w:rPr>
        <w:t>c</w:t>
      </w:r>
      <w:r w:rsidRPr="00EB5449">
        <w:rPr>
          <w:rFonts w:cs="Times New Roman"/>
          <w:szCs w:val="24"/>
        </w:rPr>
        <w:t xml:space="preserve">). L’intimé a alors présenté une demande de révision en application de l’art. 520 </w:t>
      </w:r>
      <w:r w:rsidR="004364EE">
        <w:rPr>
          <w:rFonts w:cs="Times New Roman"/>
          <w:i/>
          <w:iCs/>
          <w:szCs w:val="24"/>
        </w:rPr>
        <w:t>C. cr.</w:t>
      </w:r>
      <w:r w:rsidRPr="00EB5449">
        <w:rPr>
          <w:rFonts w:cs="Times New Roman"/>
          <w:szCs w:val="24"/>
        </w:rPr>
        <w:t xml:space="preserve"> devant un juge de la Cour supérieure, qui a décidé que la détention de l’intimé n’était pas nécessaire au regard de l’al. 515(10)</w:t>
      </w:r>
      <w:r w:rsidRPr="00EB5449">
        <w:rPr>
          <w:rFonts w:cs="Times New Roman"/>
          <w:i/>
          <w:szCs w:val="24"/>
        </w:rPr>
        <w:t>c</w:t>
      </w:r>
      <w:r w:rsidRPr="00EB5449">
        <w:rPr>
          <w:rFonts w:cs="Times New Roman"/>
          <w:szCs w:val="24"/>
        </w:rPr>
        <w:t>) et a ordonné sa mise en liberté. Le ministère public se pourvoit contre cette dernière décision devant notre Cour.</w:t>
      </w:r>
    </w:p>
    <w:p w:rsidR="00CE3216" w:rsidRPr="00EB5449" w:rsidRDefault="00CE3216" w:rsidP="00CE3216">
      <w:pPr>
        <w:pStyle w:val="ParaNoNdepar-AltN"/>
        <w:widowControl w:val="0"/>
        <w:rPr>
          <w:rFonts w:cs="Times New Roman"/>
          <w:szCs w:val="24"/>
        </w:rPr>
      </w:pPr>
      <w:r w:rsidRPr="00EB5449">
        <w:rPr>
          <w:rFonts w:cs="Times New Roman"/>
          <w:szCs w:val="24"/>
        </w:rPr>
        <w:t xml:space="preserve">Pour les motifs qui suivent, je suis d’avis d’accueillir le pourvoi. La détention de l’intimé est nécessaire pour maintenir la confiance du public envers l’administration de la justice. Voici pourquoi.  </w:t>
      </w:r>
    </w:p>
    <w:p w:rsidR="00CE3216" w:rsidRPr="00EB5449" w:rsidRDefault="00CE3216" w:rsidP="00CE3216">
      <w:pPr>
        <w:pStyle w:val="Title1LevelTitre1Niveau-AltL"/>
        <w:widowControl w:val="0"/>
        <w:rPr>
          <w:rFonts w:cs="Times New Roman"/>
          <w:szCs w:val="24"/>
        </w:rPr>
      </w:pPr>
      <w:r w:rsidRPr="00EB5449">
        <w:rPr>
          <w:rFonts w:cs="Times New Roman"/>
          <w:szCs w:val="24"/>
        </w:rPr>
        <w:t>Contexte et historique judiciaire</w:t>
      </w:r>
    </w:p>
    <w:p w:rsidR="00CE3216" w:rsidRPr="00EB5449" w:rsidRDefault="00CE3216" w:rsidP="00CE3216">
      <w:pPr>
        <w:pStyle w:val="ParaNoNdepar-AltN"/>
        <w:widowControl w:val="0"/>
        <w:rPr>
          <w:rFonts w:cs="Times New Roman"/>
          <w:kern w:val="36"/>
          <w:szCs w:val="24"/>
          <w:lang w:val="fr-FR"/>
        </w:rPr>
      </w:pPr>
      <w:r w:rsidRPr="00EB5449">
        <w:rPr>
          <w:rFonts w:cs="Times New Roman"/>
          <w:szCs w:val="24"/>
        </w:rPr>
        <w:t xml:space="preserve">Dans la nuit du 24 avril 2013, </w:t>
      </w:r>
      <w:r w:rsidRPr="00EB5449">
        <w:rPr>
          <w:rFonts w:cs="Times New Roman"/>
          <w:bCs/>
          <w:szCs w:val="24"/>
        </w:rPr>
        <w:t>l’intimé</w:t>
      </w:r>
      <w:r w:rsidRPr="00EB5449">
        <w:rPr>
          <w:rFonts w:cs="Times New Roman"/>
          <w:szCs w:val="24"/>
        </w:rPr>
        <w:t xml:space="preserve"> ainsi que deux autres individus ont agressé avec une rare violence un chauffeur d’autobus de la Société de transport de Montréal. La scène a été captée par le système vidéo de l’autobus et les images ont démontré la participation active de l’intimé à l’agression. Les trois individus ont roué le chauffeur de nombreux coups à la tête qui l’ont laissé avec d’importantes séquelles à long terme. Même l’intervention de passagers n’a pas immédiatement permis de m</w:t>
      </w:r>
      <w:r w:rsidRPr="00EB5449">
        <w:rPr>
          <w:rFonts w:cs="Times New Roman"/>
          <w:szCs w:val="24"/>
          <w:lang w:val="fr-FR"/>
        </w:rPr>
        <w:t xml:space="preserve">ettre fin à l’agression. </w:t>
      </w:r>
      <w:r w:rsidRPr="00EB5449">
        <w:rPr>
          <w:rFonts w:cs="Times New Roman"/>
          <w:szCs w:val="24"/>
        </w:rPr>
        <w:t xml:space="preserve">L’intimé a été accusé de voies de fait graves en application de l’art. 268 </w:t>
      </w:r>
      <w:r w:rsidR="004364EE">
        <w:rPr>
          <w:rFonts w:cs="Times New Roman"/>
          <w:i/>
          <w:iCs/>
          <w:szCs w:val="24"/>
        </w:rPr>
        <w:t>C. cr.</w:t>
      </w:r>
      <w:r w:rsidRPr="00EB5449">
        <w:rPr>
          <w:rFonts w:cs="Times New Roman"/>
          <w:szCs w:val="24"/>
        </w:rPr>
        <w:t xml:space="preserve"> </w:t>
      </w:r>
    </w:p>
    <w:p w:rsidR="00CE3216" w:rsidRPr="00EB5449" w:rsidRDefault="00CE3216" w:rsidP="00CE3216">
      <w:pPr>
        <w:pStyle w:val="Title2LevelTitre2Niveau"/>
        <w:widowControl w:val="0"/>
        <w:outlineLvl w:val="0"/>
        <w:rPr>
          <w:rFonts w:cs="Times New Roman"/>
          <w:szCs w:val="24"/>
        </w:rPr>
      </w:pPr>
      <w:bookmarkStart w:id="3" w:name="_Toc268074673"/>
      <w:bookmarkStart w:id="4" w:name="_Toc401648653"/>
      <w:bookmarkStart w:id="5" w:name="_Toc402963095"/>
      <w:r w:rsidRPr="00EB5449">
        <w:rPr>
          <w:rFonts w:cs="Times New Roman"/>
          <w:szCs w:val="24"/>
        </w:rPr>
        <w:lastRenderedPageBreak/>
        <w:t xml:space="preserve">Cour </w:t>
      </w:r>
      <w:bookmarkEnd w:id="3"/>
      <w:r w:rsidRPr="00EB5449">
        <w:rPr>
          <w:rFonts w:cs="Times New Roman"/>
          <w:szCs w:val="24"/>
        </w:rPr>
        <w:t>du Québec (le juge Lavergne), n</w:t>
      </w:r>
      <w:r w:rsidRPr="00EB5449">
        <w:rPr>
          <w:rFonts w:cs="Times New Roman"/>
          <w:szCs w:val="24"/>
          <w:vertAlign w:val="superscript"/>
        </w:rPr>
        <w:t>o</w:t>
      </w:r>
      <w:r w:rsidRPr="00EB5449">
        <w:rPr>
          <w:rFonts w:cs="Times New Roman"/>
          <w:szCs w:val="24"/>
        </w:rPr>
        <w:t xml:space="preserve"> 500-01-088824-138, 29 avril 2013</w:t>
      </w:r>
      <w:bookmarkEnd w:id="4"/>
      <w:bookmarkEnd w:id="5"/>
      <w:r w:rsidRPr="00EB5449">
        <w:rPr>
          <w:rStyle w:val="FootnoteReference"/>
          <w:rFonts w:cs="Times New Roman"/>
          <w:i w:val="0"/>
          <w:szCs w:val="24"/>
        </w:rPr>
        <w:footnoteReference w:id="1"/>
      </w:r>
      <w:r w:rsidRPr="00EB5449">
        <w:rPr>
          <w:rFonts w:cs="Times New Roman"/>
          <w:szCs w:val="24"/>
        </w:rPr>
        <w:t xml:space="preserve"> </w:t>
      </w:r>
    </w:p>
    <w:p w:rsidR="00CE3216" w:rsidRPr="00EB5449" w:rsidRDefault="00CE3216" w:rsidP="00CE3216">
      <w:pPr>
        <w:pStyle w:val="ParaNoNdepar-AltN"/>
        <w:widowControl w:val="0"/>
        <w:rPr>
          <w:rFonts w:cs="Times New Roman"/>
          <w:szCs w:val="24"/>
        </w:rPr>
      </w:pPr>
      <w:r w:rsidRPr="00EB5449">
        <w:rPr>
          <w:rFonts w:cs="Times New Roman"/>
          <w:szCs w:val="24"/>
        </w:rPr>
        <w:t>La première audience sur la mise en liberté a eu lieu le 26 avril 2013 devant le juge Lavergne. L’appelante s’est opposée à la mise en liberté de l’intimé. Au moment de l’audience, la victime était toujours hospitalisée et le pronostic médical était incertain. On savait cependant qu’elle avait à tout le moins subi une fissure d’un os du visage ainsi qu’une commotion cérébrale.</w:t>
      </w:r>
    </w:p>
    <w:p w:rsidR="00CE3216" w:rsidRPr="00EB5449" w:rsidRDefault="00CE3216" w:rsidP="00CE3216">
      <w:pPr>
        <w:pStyle w:val="ParaNoNdepar-AltN"/>
        <w:widowControl w:val="0"/>
        <w:rPr>
          <w:rFonts w:cs="Times New Roman"/>
          <w:szCs w:val="24"/>
        </w:rPr>
      </w:pPr>
      <w:r w:rsidRPr="00EB5449">
        <w:rPr>
          <w:rFonts w:cs="Times New Roman"/>
          <w:szCs w:val="24"/>
        </w:rPr>
        <w:t>D’entrée de jeu, le juge Lavergne a précisé qu’il appartenait au poursuivant de démontrer la nécessité de la détention de l’intimé. Après avoir procédé à la pondération des facteurs pertinents, le juge Lavergne a conclu, en application de l’al. 515(10)</w:t>
      </w:r>
      <w:r w:rsidRPr="00EB5449">
        <w:rPr>
          <w:rFonts w:cs="Times New Roman"/>
          <w:i/>
          <w:iCs/>
          <w:szCs w:val="24"/>
        </w:rPr>
        <w:t>b</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que la détention provisoire de l’intimé était nécessaire pour la protection ou la sécurité du public. </w:t>
      </w:r>
    </w:p>
    <w:p w:rsidR="00CE3216" w:rsidRPr="00EB5449" w:rsidRDefault="00CE3216" w:rsidP="00CE3216">
      <w:pPr>
        <w:pStyle w:val="ParaNoNdepar-AltN"/>
        <w:widowControl w:val="0"/>
        <w:rPr>
          <w:rFonts w:cs="Times New Roman"/>
          <w:szCs w:val="24"/>
        </w:rPr>
      </w:pPr>
      <w:r w:rsidRPr="00EB5449">
        <w:rPr>
          <w:rFonts w:cs="Times New Roman"/>
          <w:szCs w:val="24"/>
        </w:rPr>
        <w:t>Le juge a néanmoins poursuivi son analyse et examiné les circonstances énoncées à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Les trois premières avaient déjà été examinées dans l’analyse du motif prévu à l’al. 515(10)</w:t>
      </w:r>
      <w:r w:rsidRPr="00EB5449">
        <w:rPr>
          <w:rFonts w:cs="Times New Roman"/>
          <w:i/>
          <w:iCs/>
          <w:szCs w:val="24"/>
        </w:rPr>
        <w:t>b</w:t>
      </w:r>
      <w:r w:rsidRPr="00EB5449">
        <w:rPr>
          <w:rFonts w:cs="Times New Roman"/>
          <w:szCs w:val="24"/>
        </w:rPr>
        <w:t>)</w:t>
      </w:r>
      <w:r>
        <w:rPr>
          <w:rFonts w:cs="Times New Roman"/>
          <w:szCs w:val="24"/>
        </w:rPr>
        <w:t> :</w:t>
      </w:r>
      <w:r w:rsidRPr="00EB5449">
        <w:rPr>
          <w:rFonts w:cs="Times New Roman"/>
          <w:szCs w:val="24"/>
        </w:rPr>
        <w:t xml:space="preserve"> </w:t>
      </w:r>
      <w:r w:rsidR="00EF6864">
        <w:rPr>
          <w:rFonts w:cs="Times New Roman"/>
          <w:szCs w:val="24"/>
        </w:rPr>
        <w:t>(</w:t>
      </w:r>
      <w:r w:rsidRPr="00EB5449">
        <w:rPr>
          <w:rFonts w:cs="Times New Roman"/>
          <w:szCs w:val="24"/>
        </w:rPr>
        <w:t xml:space="preserve">1) l’apparence de fondement de l’accusation; </w:t>
      </w:r>
      <w:r w:rsidR="00EF6864">
        <w:rPr>
          <w:rFonts w:cs="Times New Roman"/>
          <w:szCs w:val="24"/>
        </w:rPr>
        <w:t>(</w:t>
      </w:r>
      <w:r w:rsidRPr="00EB5449">
        <w:rPr>
          <w:rFonts w:cs="Times New Roman"/>
          <w:szCs w:val="24"/>
        </w:rPr>
        <w:t xml:space="preserve">2) la gravité de l’infraction; et </w:t>
      </w:r>
      <w:r w:rsidR="00EF6864">
        <w:rPr>
          <w:rFonts w:cs="Times New Roman"/>
          <w:szCs w:val="24"/>
        </w:rPr>
        <w:t>(</w:t>
      </w:r>
      <w:r w:rsidRPr="00EB5449">
        <w:rPr>
          <w:rFonts w:cs="Times New Roman"/>
          <w:szCs w:val="24"/>
        </w:rPr>
        <w:t>3) les circonstances entourant sa perpétration. Le juge a aussi tenu compte</w:t>
      </w:r>
      <w:r>
        <w:rPr>
          <w:rFonts w:cs="Times New Roman"/>
          <w:szCs w:val="24"/>
        </w:rPr>
        <w:t xml:space="preserve"> </w:t>
      </w:r>
      <w:r w:rsidRPr="00EB5449">
        <w:rPr>
          <w:rFonts w:cs="Times New Roman"/>
          <w:szCs w:val="24"/>
        </w:rPr>
        <w:t xml:space="preserve">de la quatrième circonstance, soit le fait que l’intimé encourt, en cas de condamnation, une longue peine d’emprisonnement (peine maximale de 14 ans). Il était également d’avis que des facteurs aggravants </w:t>
      </w:r>
      <w:r w:rsidRPr="00EB5449">
        <w:rPr>
          <w:rFonts w:cs="Times New Roman"/>
          <w:szCs w:val="24"/>
        </w:rPr>
        <w:lastRenderedPageBreak/>
        <w:t xml:space="preserve">ressortaient des circonstances de l’affaire. </w:t>
      </w:r>
    </w:p>
    <w:p w:rsidR="00CE3216" w:rsidRPr="00EB5449" w:rsidRDefault="00CE3216" w:rsidP="00CE3216">
      <w:pPr>
        <w:pStyle w:val="ParaNoNdepar-AltN"/>
        <w:widowControl w:val="0"/>
        <w:rPr>
          <w:rFonts w:cs="Times New Roman"/>
          <w:szCs w:val="24"/>
        </w:rPr>
      </w:pPr>
      <w:r w:rsidRPr="00EB5449">
        <w:rPr>
          <w:rFonts w:cs="Times New Roman"/>
          <w:szCs w:val="24"/>
        </w:rPr>
        <w:t>Le juge Lavergne a ensuite expliqué que l’al. 515(10)</w:t>
      </w:r>
      <w:r w:rsidRPr="00EB5449">
        <w:rPr>
          <w:rFonts w:cs="Times New Roman"/>
          <w:i/>
          <w:iCs/>
          <w:szCs w:val="24"/>
        </w:rPr>
        <w:t>c</w:t>
      </w:r>
      <w:r w:rsidRPr="00EB5449">
        <w:rPr>
          <w:rFonts w:cs="Times New Roman"/>
          <w:szCs w:val="24"/>
        </w:rPr>
        <w:t xml:space="preserve">) </w:t>
      </w:r>
      <w:r>
        <w:rPr>
          <w:rFonts w:cs="Times New Roman"/>
          <w:szCs w:val="24"/>
        </w:rPr>
        <w:t>« </w:t>
      </w:r>
      <w:r w:rsidRPr="00EB5449">
        <w:rPr>
          <w:rFonts w:cs="Times New Roman"/>
          <w:szCs w:val="24"/>
        </w:rPr>
        <w:t>induit à analyser si, au bout du compte, après considération de toutes les circonstances [</w:t>
      </w:r>
      <w:r>
        <w:rPr>
          <w:rFonts w:cs="Times New Roman"/>
          <w:szCs w:val="24"/>
        </w:rPr>
        <w:t>. . .</w:t>
      </w:r>
      <w:r w:rsidRPr="00EB5449">
        <w:rPr>
          <w:rFonts w:cs="Times New Roman"/>
          <w:szCs w:val="24"/>
        </w:rPr>
        <w:t>] il existe une expectative collective raisonnable de la nécessité de refuser la mise en liberté provisoire pour maintenir la confiance du public dans l’administration de la justice</w:t>
      </w:r>
      <w:r>
        <w:rPr>
          <w:rFonts w:cs="Times New Roman"/>
          <w:szCs w:val="24"/>
        </w:rPr>
        <w:t> »</w:t>
      </w:r>
      <w:r w:rsidR="00376827">
        <w:rPr>
          <w:rFonts w:cs="Times New Roman"/>
          <w:szCs w:val="24"/>
        </w:rPr>
        <w:t> : p. 18-19</w:t>
      </w:r>
      <w:r w:rsidRPr="00EB5449">
        <w:rPr>
          <w:rFonts w:cs="Times New Roman"/>
          <w:szCs w:val="24"/>
        </w:rPr>
        <w:t>. Il a formulé les précisions suivantes</w:t>
      </w:r>
      <w:r>
        <w:rPr>
          <w:rFonts w:cs="Times New Roman"/>
          <w:szCs w:val="24"/>
        </w:rPr>
        <w:t> :</w:t>
      </w:r>
      <w:r w:rsidRPr="00EB5449">
        <w:rPr>
          <w:rFonts w:cs="Times New Roman"/>
          <w:szCs w:val="24"/>
        </w:rPr>
        <w:t xml:space="preserve"> </w:t>
      </w:r>
    </w:p>
    <w:p w:rsidR="00CE3216" w:rsidRPr="00EB5449" w:rsidRDefault="00CE3216" w:rsidP="00CE3216">
      <w:pPr>
        <w:pStyle w:val="Citation-AltC"/>
        <w:widowControl w:val="0"/>
        <w:rPr>
          <w:szCs w:val="24"/>
        </w:rPr>
      </w:pPr>
      <w:r w:rsidRPr="00EB5449">
        <w:rPr>
          <w:szCs w:val="24"/>
        </w:rPr>
        <w:t>Mais qu’est-ce donc le public? Le public réfère à la personne raisonnable, objective, bien informée des valeurs véhiculées par les lois, notamment la présomption d’innocence qui existe tout au long du processus pénal, ainsi que je l’ai indiqué, mais informée aussi de toutes les circonstances qui marquent la perpétration d’un crime.</w:t>
      </w:r>
    </w:p>
    <w:p w:rsidR="00CE3216" w:rsidRPr="00EB5449" w:rsidRDefault="00CE3216" w:rsidP="00CE3216">
      <w:pPr>
        <w:pStyle w:val="Citation-AltC"/>
        <w:widowControl w:val="0"/>
        <w:rPr>
          <w:szCs w:val="24"/>
        </w:rPr>
      </w:pPr>
    </w:p>
    <w:p w:rsidR="00CE3216" w:rsidRPr="00EB5449" w:rsidRDefault="00CE3216" w:rsidP="00CE3216">
      <w:pPr>
        <w:pStyle w:val="Citation-AltC"/>
        <w:widowControl w:val="0"/>
        <w:rPr>
          <w:szCs w:val="24"/>
        </w:rPr>
      </w:pPr>
      <w:r w:rsidRPr="00EB5449">
        <w:rPr>
          <w:szCs w:val="24"/>
        </w:rPr>
        <w:t>Le Tribunal est convaincu que cette personne raisonnable, au vu de la bande vidéo et de toutes les circonstances, de la participation du défendeur, de la probabilité d’une condamnation et des risques d’une peine significative d’emprisonnement, que cette personne conclurait que le refus de la remise en liberté provisoire s’impose. [p. 19]</w:t>
      </w:r>
    </w:p>
    <w:p w:rsidR="00CE3216" w:rsidRPr="00EB5449" w:rsidRDefault="00CE3216" w:rsidP="00CE3216">
      <w:pPr>
        <w:pStyle w:val="ParaNoNdepar-AltN"/>
        <w:widowControl w:val="0"/>
        <w:rPr>
          <w:rFonts w:cs="Times New Roman"/>
          <w:szCs w:val="24"/>
        </w:rPr>
      </w:pPr>
      <w:r w:rsidRPr="00EB5449">
        <w:rPr>
          <w:rFonts w:cs="Times New Roman"/>
          <w:szCs w:val="24"/>
        </w:rPr>
        <w:t>Concluant que le ministère public s’était déchargé de son fardeau en vertu de l’al. 515(10)</w:t>
      </w:r>
      <w:r w:rsidRPr="00EB5449">
        <w:rPr>
          <w:rFonts w:cs="Times New Roman"/>
          <w:i/>
          <w:iCs/>
          <w:szCs w:val="24"/>
        </w:rPr>
        <w:t>c</w:t>
      </w:r>
      <w:r w:rsidRPr="00EB5449">
        <w:rPr>
          <w:rFonts w:cs="Times New Roman"/>
          <w:szCs w:val="24"/>
        </w:rPr>
        <w:t xml:space="preserve">) </w:t>
      </w:r>
      <w:r w:rsidR="004364EE">
        <w:rPr>
          <w:rFonts w:cs="Times New Roman"/>
          <w:i/>
          <w:szCs w:val="24"/>
        </w:rPr>
        <w:t>C. cr.</w:t>
      </w:r>
      <w:r w:rsidRPr="00EB5449">
        <w:rPr>
          <w:rFonts w:cs="Times New Roman"/>
          <w:szCs w:val="24"/>
        </w:rPr>
        <w:t xml:space="preserve">, le juge Lavergne a ordonné la détention de l’intimé jusqu’à nouvel ordre. </w:t>
      </w:r>
    </w:p>
    <w:p w:rsidR="00CE3216" w:rsidRPr="00EB5449" w:rsidRDefault="00CE3216" w:rsidP="00CE3216">
      <w:pPr>
        <w:pStyle w:val="Title2LevelTitre2Niveau"/>
        <w:widowControl w:val="0"/>
        <w:outlineLvl w:val="0"/>
        <w:rPr>
          <w:rFonts w:cs="Times New Roman"/>
          <w:szCs w:val="24"/>
        </w:rPr>
      </w:pPr>
      <w:bookmarkStart w:id="6" w:name="_Toc268074674"/>
      <w:bookmarkStart w:id="7" w:name="_Toc401648654"/>
      <w:bookmarkStart w:id="8" w:name="_Toc402963096"/>
      <w:r w:rsidRPr="00EB5449">
        <w:rPr>
          <w:rFonts w:cs="Times New Roman"/>
          <w:szCs w:val="24"/>
        </w:rPr>
        <w:t xml:space="preserve">Cour </w:t>
      </w:r>
      <w:bookmarkEnd w:id="6"/>
      <w:r w:rsidRPr="00EB5449">
        <w:rPr>
          <w:rFonts w:cs="Times New Roman"/>
          <w:szCs w:val="24"/>
        </w:rPr>
        <w:t>du Québec (le juge Legault), n</w:t>
      </w:r>
      <w:r w:rsidRPr="00EB5449">
        <w:rPr>
          <w:rFonts w:cs="Times New Roman"/>
          <w:szCs w:val="24"/>
          <w:vertAlign w:val="superscript"/>
        </w:rPr>
        <w:t>o</w:t>
      </w:r>
      <w:r w:rsidRPr="00EB5449">
        <w:rPr>
          <w:rFonts w:cs="Times New Roman"/>
          <w:szCs w:val="24"/>
        </w:rPr>
        <w:t xml:space="preserve"> 500-01-088824-138, 21 juin 2013</w:t>
      </w:r>
      <w:bookmarkEnd w:id="7"/>
      <w:bookmarkEnd w:id="8"/>
    </w:p>
    <w:p w:rsidR="00CE3216" w:rsidRPr="00EB5449" w:rsidRDefault="00CE3216" w:rsidP="00CE3216">
      <w:pPr>
        <w:pStyle w:val="ParaNoNdepar-AltN"/>
        <w:widowControl w:val="0"/>
        <w:rPr>
          <w:rFonts w:cs="Times New Roman"/>
          <w:szCs w:val="24"/>
        </w:rPr>
      </w:pPr>
      <w:r w:rsidRPr="00EB5449">
        <w:rPr>
          <w:rFonts w:cs="Times New Roman"/>
          <w:szCs w:val="24"/>
        </w:rPr>
        <w:t>Au terme de l’enquête préliminaire, l’intimé a présenté une nouvelle demande de mise en liberté, cette fois suivant l’al. 523(2)</w:t>
      </w:r>
      <w:r w:rsidRPr="00EB5449">
        <w:rPr>
          <w:rFonts w:cs="Times New Roman"/>
          <w:i/>
          <w:iCs/>
          <w:szCs w:val="24"/>
        </w:rPr>
        <w:t>b</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Le juge Legault a d’abord expliqué qu’il incombait à l’intimé de démontrer l’existence de motifs </w:t>
      </w:r>
      <w:r w:rsidRPr="00EB5449">
        <w:rPr>
          <w:rFonts w:cs="Times New Roman"/>
          <w:szCs w:val="24"/>
        </w:rPr>
        <w:lastRenderedPageBreak/>
        <w:t xml:space="preserve">justificatifs nouveaux, et que la cour disposait d’un </w:t>
      </w:r>
      <w:r>
        <w:rPr>
          <w:rFonts w:cs="Times New Roman"/>
          <w:szCs w:val="24"/>
        </w:rPr>
        <w:t>« </w:t>
      </w:r>
      <w:r w:rsidRPr="00EB5449">
        <w:rPr>
          <w:rFonts w:cs="Times New Roman"/>
          <w:szCs w:val="24"/>
        </w:rPr>
        <w:t>pouvoir limité qui demande au tribunal de faire preuve de réserve</w:t>
      </w:r>
      <w:r>
        <w:rPr>
          <w:rFonts w:cs="Times New Roman"/>
          <w:szCs w:val="24"/>
        </w:rPr>
        <w:t> »</w:t>
      </w:r>
      <w:r w:rsidR="00D2334A">
        <w:rPr>
          <w:rFonts w:cs="Times New Roman"/>
          <w:szCs w:val="24"/>
        </w:rPr>
        <w:t xml:space="preserve"> : </w:t>
      </w:r>
      <w:r w:rsidRPr="00EB5449">
        <w:rPr>
          <w:rFonts w:cs="Times New Roman"/>
          <w:szCs w:val="24"/>
        </w:rPr>
        <w:t xml:space="preserve">par. 2. </w:t>
      </w:r>
    </w:p>
    <w:p w:rsidR="00CE3216" w:rsidRPr="00EB5449" w:rsidRDefault="00CE3216" w:rsidP="00CE3216">
      <w:pPr>
        <w:pStyle w:val="ParaNoNdepar-AltN"/>
        <w:widowControl w:val="0"/>
        <w:rPr>
          <w:rFonts w:cs="Times New Roman"/>
          <w:szCs w:val="24"/>
        </w:rPr>
      </w:pPr>
      <w:r w:rsidRPr="00EB5449">
        <w:rPr>
          <w:rFonts w:cs="Times New Roman"/>
          <w:szCs w:val="24"/>
        </w:rPr>
        <w:t>Notant que la preuve des circonstances de l’infraction semblait être la même que celle présentée lors de la requête initiale, le juge Legault a cependant exprimé l’avis qu’il existait également des faits nouveaux, notamment l’augmentation substantielle des garanties financières fournies par la famille de l’intimé et la possibilité que celui-ci obtienne un emploi régulier dans un garage.</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Le juge Legault a conclu des faits nouveaux que les risques de récidive étaient </w:t>
      </w:r>
      <w:r>
        <w:rPr>
          <w:rFonts w:cs="Times New Roman"/>
          <w:szCs w:val="24"/>
        </w:rPr>
        <w:t>« </w:t>
      </w:r>
      <w:r w:rsidRPr="00EB5449">
        <w:rPr>
          <w:rFonts w:cs="Times New Roman"/>
          <w:szCs w:val="24"/>
        </w:rPr>
        <w:t>amenuisés</w:t>
      </w:r>
      <w:r>
        <w:rPr>
          <w:rFonts w:cs="Times New Roman"/>
          <w:szCs w:val="24"/>
        </w:rPr>
        <w:t> »</w:t>
      </w:r>
      <w:r w:rsidRPr="00EB5449">
        <w:rPr>
          <w:rFonts w:cs="Times New Roman"/>
          <w:szCs w:val="24"/>
        </w:rPr>
        <w:t xml:space="preserve">, estimant également </w:t>
      </w:r>
      <w:r>
        <w:rPr>
          <w:rFonts w:cs="Times New Roman"/>
          <w:szCs w:val="24"/>
        </w:rPr>
        <w:t>« </w:t>
      </w:r>
      <w:r w:rsidRPr="00EB5449">
        <w:rPr>
          <w:rFonts w:cs="Times New Roman"/>
          <w:szCs w:val="24"/>
        </w:rPr>
        <w:t>crédible</w:t>
      </w:r>
      <w:r>
        <w:rPr>
          <w:rFonts w:cs="Times New Roman"/>
          <w:szCs w:val="24"/>
        </w:rPr>
        <w:t> »</w:t>
      </w:r>
      <w:r w:rsidRPr="00EB5449">
        <w:rPr>
          <w:rFonts w:cs="Times New Roman"/>
          <w:szCs w:val="24"/>
        </w:rPr>
        <w:t xml:space="preserve"> la volonté de l’intimé de s’engager sérieusement dans un </w:t>
      </w:r>
      <w:r w:rsidR="00D2334A">
        <w:rPr>
          <w:rFonts w:cs="Times New Roman"/>
          <w:szCs w:val="24"/>
        </w:rPr>
        <w:t xml:space="preserve">travail, voire dans ses études : </w:t>
      </w:r>
      <w:r w:rsidRPr="00EB5449">
        <w:rPr>
          <w:rFonts w:cs="Times New Roman"/>
          <w:szCs w:val="24"/>
        </w:rPr>
        <w:t>par. 20-21. Il a noté, par contre, que la situation médicale de la victime était plus grave.</w:t>
      </w:r>
    </w:p>
    <w:p w:rsidR="00CE3216" w:rsidRPr="00EB5449" w:rsidRDefault="00CE3216" w:rsidP="00CE3216">
      <w:pPr>
        <w:pStyle w:val="ParaNoNdepar-AltN"/>
        <w:widowControl w:val="0"/>
        <w:rPr>
          <w:rFonts w:cs="Times New Roman"/>
        </w:rPr>
      </w:pPr>
      <w:r w:rsidRPr="00EB5449">
        <w:rPr>
          <w:rFonts w:cs="Times New Roman"/>
        </w:rPr>
        <w:t>Le juge Legault s’est donc rallié à la conclusion du juge Lavergne selon laquelle la détention de l’intimé était nécessaire pour ne pas miner la confiance du public envers l’administration de la justice, motif prévu à l’al. 515(10)</w:t>
      </w:r>
      <w:r w:rsidRPr="00EB5449">
        <w:rPr>
          <w:rFonts w:cs="Times New Roman"/>
          <w:i/>
          <w:iCs/>
        </w:rPr>
        <w:t>c</w:t>
      </w:r>
      <w:r w:rsidRPr="00EB5449">
        <w:rPr>
          <w:rFonts w:cs="Times New Roman"/>
        </w:rPr>
        <w:t>)</w:t>
      </w:r>
      <w:r w:rsidRPr="00EB5449">
        <w:rPr>
          <w:rFonts w:cs="Times New Roman"/>
          <w:i/>
        </w:rPr>
        <w:t xml:space="preserve"> </w:t>
      </w:r>
      <w:r w:rsidR="004364EE">
        <w:rPr>
          <w:rFonts w:cs="Times New Roman"/>
          <w:i/>
          <w:iCs/>
        </w:rPr>
        <w:t>C. cr.</w:t>
      </w:r>
      <w:r w:rsidRPr="00EB5449">
        <w:rPr>
          <w:rFonts w:cs="Times New Roman"/>
        </w:rPr>
        <w:t xml:space="preserve"> À l’instar du juge Lavergne, le juge Legault a estimé qu’il existait </w:t>
      </w:r>
      <w:r>
        <w:rPr>
          <w:rFonts w:cs="Times New Roman"/>
        </w:rPr>
        <w:t>« </w:t>
      </w:r>
      <w:r w:rsidRPr="00EB5449">
        <w:rPr>
          <w:rFonts w:cs="Times New Roman"/>
        </w:rPr>
        <w:t>une expectative collective raisonnable de la nécessité de refuser la mise en liberté provisoire pour maintenir la confiance du public</w:t>
      </w:r>
      <w:r>
        <w:rPr>
          <w:rFonts w:cs="Times New Roman"/>
        </w:rPr>
        <w:t xml:space="preserve"> </w:t>
      </w:r>
      <w:r w:rsidRPr="00EB5449">
        <w:rPr>
          <w:rFonts w:cs="Times New Roman"/>
        </w:rPr>
        <w:t>dans l’administration de la justice</w:t>
      </w:r>
      <w:r>
        <w:rPr>
          <w:rFonts w:cs="Times New Roman"/>
        </w:rPr>
        <w:t> »</w:t>
      </w:r>
      <w:r w:rsidR="00D2334A">
        <w:rPr>
          <w:rFonts w:cs="Times New Roman"/>
        </w:rPr>
        <w:t> : par. 25</w:t>
      </w:r>
      <w:r w:rsidRPr="00EB5449">
        <w:rPr>
          <w:rFonts w:cs="Times New Roman"/>
        </w:rPr>
        <w:t xml:space="preserve">. </w:t>
      </w:r>
      <w:bookmarkStart w:id="9" w:name="_Toc401648655"/>
      <w:bookmarkStart w:id="10" w:name="_Toc402963097"/>
    </w:p>
    <w:p w:rsidR="00CE3216" w:rsidRPr="00EB5449" w:rsidRDefault="00CE3216" w:rsidP="00CE3216">
      <w:pPr>
        <w:pStyle w:val="Title2LevelTitre2Niveau"/>
        <w:widowControl w:val="0"/>
        <w:rPr>
          <w:rFonts w:cs="Times New Roman"/>
        </w:rPr>
      </w:pPr>
      <w:r w:rsidRPr="00EB5449">
        <w:rPr>
          <w:rFonts w:cs="Times New Roman"/>
        </w:rPr>
        <w:t>Cour supérieure du Québec (le juge Martin), 2013 QCCS 5021</w:t>
      </w:r>
      <w:bookmarkEnd w:id="9"/>
      <w:bookmarkEnd w:id="10"/>
    </w:p>
    <w:p w:rsidR="00CE3216" w:rsidRPr="00EB5449" w:rsidRDefault="00CE3216" w:rsidP="00CE3216">
      <w:pPr>
        <w:pStyle w:val="ParaNoNdepar-AltN"/>
        <w:widowControl w:val="0"/>
        <w:rPr>
          <w:rFonts w:cs="Times New Roman"/>
          <w:szCs w:val="24"/>
        </w:rPr>
      </w:pPr>
      <w:r w:rsidRPr="00EB5449">
        <w:rPr>
          <w:rFonts w:cs="Times New Roman"/>
          <w:szCs w:val="24"/>
        </w:rPr>
        <w:t xml:space="preserve">Le 2 juillet 2013, l’intimé a saisi la Cour supérieure d’une requête en </w:t>
      </w:r>
      <w:r w:rsidRPr="00EB5449">
        <w:rPr>
          <w:rFonts w:cs="Times New Roman"/>
          <w:szCs w:val="24"/>
        </w:rPr>
        <w:lastRenderedPageBreak/>
        <w:t xml:space="preserve">révision de l’ordonnance de détention, en vertu de l’art. 520 </w:t>
      </w:r>
      <w:r w:rsidR="004364EE">
        <w:rPr>
          <w:rFonts w:cs="Times New Roman"/>
          <w:i/>
          <w:iCs/>
          <w:szCs w:val="24"/>
        </w:rPr>
        <w:t>C. cr.</w:t>
      </w:r>
      <w:r w:rsidRPr="00EB5449">
        <w:rPr>
          <w:rFonts w:cs="Times New Roman"/>
          <w:szCs w:val="24"/>
        </w:rPr>
        <w:t xml:space="preserve"> </w:t>
      </w:r>
    </w:p>
    <w:p w:rsidR="00CE3216" w:rsidRPr="00EB5449" w:rsidRDefault="00CE3216" w:rsidP="00CE3216">
      <w:pPr>
        <w:pStyle w:val="ParaNoNdepar-AltN"/>
        <w:widowControl w:val="0"/>
        <w:rPr>
          <w:rFonts w:cs="Times New Roman"/>
          <w:szCs w:val="24"/>
        </w:rPr>
      </w:pPr>
      <w:r w:rsidRPr="00EB5449">
        <w:rPr>
          <w:rFonts w:cs="Times New Roman"/>
          <w:szCs w:val="24"/>
        </w:rPr>
        <w:t>Le juge Martin a d’abord indiqué qu’il ressortait selon lui de la décision du juge Legault que ce dernier avait conclu que la détention de l’intimé n’était pas nécessaire pour la protection ou la sécurité du public aux termes de l’al. 515(10)</w:t>
      </w:r>
      <w:r w:rsidRPr="00EB5449">
        <w:rPr>
          <w:rFonts w:cs="Times New Roman"/>
          <w:i/>
          <w:iCs/>
          <w:szCs w:val="24"/>
        </w:rPr>
        <w:t>b</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De l’avis du juge Martin, le juge Legault aurait donc libéré l’intimé moyennant un cautionnement n’eût été du motif prévu à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soit la nécessité de la détention pour ne pas miner la confiance du public envers l’administration de la justice.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Le juge Martin a précisé ensuite qu’il appartenait à l’intimé d’établir une erreur révisable de la part des juges ayant ordonné sa détention. Se référant à l’affaire </w:t>
      </w:r>
      <w:r w:rsidRPr="00EB5449">
        <w:rPr>
          <w:rFonts w:cs="Times New Roman"/>
          <w:i/>
          <w:szCs w:val="24"/>
        </w:rPr>
        <w:t>Hall</w:t>
      </w:r>
      <w:r w:rsidRPr="00EB5449">
        <w:rPr>
          <w:rFonts w:cs="Times New Roman"/>
          <w:szCs w:val="24"/>
        </w:rPr>
        <w:t>, le juge Martin a conclu que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devait être </w:t>
      </w:r>
      <w:r>
        <w:rPr>
          <w:rFonts w:cs="Times New Roman"/>
          <w:szCs w:val="24"/>
        </w:rPr>
        <w:t>« </w:t>
      </w:r>
      <w:r w:rsidRPr="00EB5449">
        <w:rPr>
          <w:rFonts w:cs="Times New Roman"/>
          <w:szCs w:val="24"/>
        </w:rPr>
        <w:t>appliqué avec parcimonie</w:t>
      </w:r>
      <w:r>
        <w:rPr>
          <w:rFonts w:cs="Times New Roman"/>
          <w:szCs w:val="24"/>
        </w:rPr>
        <w:t> » :</w:t>
      </w:r>
      <w:r w:rsidRPr="00EB5449">
        <w:rPr>
          <w:rFonts w:cs="Times New Roman"/>
          <w:szCs w:val="24"/>
        </w:rPr>
        <w:t xml:space="preserve"> par. 22 (CanLII). </w:t>
      </w:r>
    </w:p>
    <w:p w:rsidR="00CE3216" w:rsidRPr="00EB5449" w:rsidRDefault="00CE3216" w:rsidP="00CE3216">
      <w:pPr>
        <w:pStyle w:val="ParaNoNdepar-AltN"/>
        <w:widowControl w:val="0"/>
        <w:rPr>
          <w:rFonts w:cs="Times New Roman"/>
          <w:szCs w:val="24"/>
        </w:rPr>
      </w:pPr>
      <w:r w:rsidRPr="00EB5449">
        <w:rPr>
          <w:rFonts w:cs="Times New Roman"/>
          <w:szCs w:val="24"/>
        </w:rPr>
        <w:t>Le juge Martin a énoncé en ces termes le test qu’il devait appliquer</w:t>
      </w:r>
      <w:r>
        <w:rPr>
          <w:rFonts w:cs="Times New Roman"/>
          <w:szCs w:val="24"/>
        </w:rPr>
        <w:t> :</w:t>
      </w:r>
    </w:p>
    <w:p w:rsidR="00CE3216" w:rsidRPr="00EB5449" w:rsidRDefault="00CE3216" w:rsidP="00CE3216">
      <w:pPr>
        <w:pStyle w:val="Citation-AltC"/>
        <w:widowControl w:val="0"/>
        <w:ind w:firstLine="274"/>
        <w:rPr>
          <w:szCs w:val="24"/>
        </w:rPr>
      </w:pPr>
      <w:r>
        <w:rPr>
          <w:szCs w:val="24"/>
        </w:rPr>
        <w:t>. . .</w:t>
      </w:r>
      <w:r w:rsidRPr="00EB5449">
        <w:rPr>
          <w:szCs w:val="24"/>
        </w:rPr>
        <w:t xml:space="preserve"> Est-ce qu’un homme raisonnable, sans aucun intérêt dans la situation, mais bel et bien instruit dans le contenu de la Charte des droits, dans les dispositions du Code criminel et dans les enseignements de la Cour Suprême, est-ce que cette personne pourrait conclure que la confiance du public dans l’administration de la justice serait minée par la libération de la personne en question. Effectivement, c’est le juge qui est appelé à évaluer cette formule-là face aux faits mis en preuve devant lui. [par. 23]</w:t>
      </w:r>
    </w:p>
    <w:p w:rsidR="00CE3216" w:rsidRPr="00EB5449" w:rsidRDefault="00CE3216" w:rsidP="00CE3216">
      <w:pPr>
        <w:pStyle w:val="ParaNoNdepar-AltN"/>
        <w:widowControl w:val="0"/>
        <w:rPr>
          <w:rFonts w:cs="Times New Roman"/>
          <w:szCs w:val="24"/>
        </w:rPr>
      </w:pPr>
      <w:r w:rsidRPr="00EB5449">
        <w:rPr>
          <w:rFonts w:cs="Times New Roman"/>
          <w:szCs w:val="24"/>
        </w:rPr>
        <w:t xml:space="preserve">En l’espèce, le juge Martin a considéré que l’incident était </w:t>
      </w:r>
      <w:r>
        <w:rPr>
          <w:rFonts w:cs="Times New Roman"/>
          <w:szCs w:val="24"/>
        </w:rPr>
        <w:t>« </w:t>
      </w:r>
      <w:r w:rsidRPr="00EB5449">
        <w:rPr>
          <w:rFonts w:cs="Times New Roman"/>
          <w:szCs w:val="24"/>
        </w:rPr>
        <w:t xml:space="preserve">répugnant </w:t>
      </w:r>
      <w:r w:rsidRPr="00EB5449">
        <w:rPr>
          <w:rFonts w:cs="Times New Roman"/>
          <w:szCs w:val="24"/>
        </w:rPr>
        <w:lastRenderedPageBreak/>
        <w:t>[</w:t>
      </w:r>
      <w:r>
        <w:rPr>
          <w:rFonts w:cs="Times New Roman"/>
          <w:szCs w:val="24"/>
        </w:rPr>
        <w:t>. . .</w:t>
      </w:r>
      <w:r w:rsidRPr="00EB5449">
        <w:rPr>
          <w:rFonts w:cs="Times New Roman"/>
          <w:szCs w:val="24"/>
        </w:rPr>
        <w:t>] odieux et ne [pouvait] être justifié</w:t>
      </w:r>
      <w:r>
        <w:rPr>
          <w:rFonts w:cs="Times New Roman"/>
          <w:szCs w:val="24"/>
        </w:rPr>
        <w:t> »</w:t>
      </w:r>
      <w:r w:rsidRPr="00EB5449">
        <w:rPr>
          <w:rFonts w:cs="Times New Roman"/>
          <w:szCs w:val="24"/>
        </w:rPr>
        <w:t>, mais qu’il n</w:t>
      </w:r>
      <w:r w:rsidR="00D2334A">
        <w:rPr>
          <w:rFonts w:cs="Times New Roman"/>
          <w:szCs w:val="24"/>
        </w:rPr>
        <w:t xml:space="preserve">’était pas inexplicable : </w:t>
      </w:r>
      <w:r w:rsidRPr="00EB5449">
        <w:rPr>
          <w:rFonts w:cs="Times New Roman"/>
          <w:szCs w:val="24"/>
        </w:rPr>
        <w:t>par. 27. À son avis, les deux premiers juges avaient donc eu tort de refuser la mise en liberté pour le motif prévu à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En conséquence, il a accueilli la requête de l’intimé et ordonné sa mise en liberté.</w:t>
      </w:r>
    </w:p>
    <w:p w:rsidR="00CE3216" w:rsidRPr="00EB5449" w:rsidRDefault="00CE3216" w:rsidP="00CE3216">
      <w:pPr>
        <w:pStyle w:val="Title1LevelTitre1Niveau-AltL"/>
        <w:widowControl w:val="0"/>
        <w:rPr>
          <w:rFonts w:cs="Times New Roman"/>
          <w:szCs w:val="24"/>
        </w:rPr>
      </w:pPr>
      <w:r w:rsidRPr="00EB5449">
        <w:rPr>
          <w:rFonts w:cs="Times New Roman"/>
          <w:szCs w:val="24"/>
        </w:rPr>
        <w:t>Questions en litige</w:t>
      </w:r>
    </w:p>
    <w:p w:rsidR="00CE3216" w:rsidRPr="00EB5449" w:rsidRDefault="00CE3216" w:rsidP="00CE3216">
      <w:pPr>
        <w:pStyle w:val="ParaNoNdepar-AltN"/>
        <w:widowControl w:val="0"/>
        <w:rPr>
          <w:rFonts w:cs="Times New Roman"/>
          <w:szCs w:val="24"/>
        </w:rPr>
      </w:pPr>
      <w:r w:rsidRPr="00EB5449">
        <w:rPr>
          <w:rFonts w:cs="Times New Roman"/>
          <w:szCs w:val="24"/>
        </w:rPr>
        <w:t>Le présent pourvoi soulève les questions suivantes</w:t>
      </w:r>
      <w:r>
        <w:rPr>
          <w:rFonts w:cs="Times New Roman"/>
          <w:szCs w:val="24"/>
        </w:rPr>
        <w:t> :</w:t>
      </w:r>
      <w:r w:rsidRPr="00EB5449">
        <w:rPr>
          <w:rFonts w:cs="Times New Roman"/>
          <w:szCs w:val="24"/>
        </w:rPr>
        <w:t xml:space="preserve"> </w:t>
      </w:r>
    </w:p>
    <w:p w:rsidR="00CE3216" w:rsidRPr="00EB5449" w:rsidRDefault="00CE3216" w:rsidP="00D2334A">
      <w:pPr>
        <w:pStyle w:val="Citation-AltC"/>
        <w:widowControl w:val="0"/>
        <w:tabs>
          <w:tab w:val="left" w:pos="540"/>
        </w:tabs>
        <w:spacing w:line="480" w:lineRule="auto"/>
        <w:ind w:left="540" w:hanging="540"/>
        <w:rPr>
          <w:szCs w:val="24"/>
        </w:rPr>
      </w:pPr>
      <w:r w:rsidRPr="00EB5449">
        <w:rPr>
          <w:szCs w:val="24"/>
        </w:rPr>
        <w:t xml:space="preserve">1. </w:t>
      </w:r>
      <w:r w:rsidR="00D2334A">
        <w:rPr>
          <w:szCs w:val="24"/>
        </w:rPr>
        <w:tab/>
      </w:r>
      <w:r w:rsidRPr="00EB5449">
        <w:rPr>
          <w:szCs w:val="24"/>
        </w:rPr>
        <w:t>Quelle est l’interprétation que doit recevoir l’al. 515(10)</w:t>
      </w:r>
      <w:r w:rsidRPr="00EB5449">
        <w:rPr>
          <w:i/>
          <w:iCs/>
          <w:szCs w:val="24"/>
        </w:rPr>
        <w:t>c</w:t>
      </w:r>
      <w:r w:rsidRPr="00EB5449">
        <w:rPr>
          <w:szCs w:val="24"/>
        </w:rPr>
        <w:t xml:space="preserve">) </w:t>
      </w:r>
      <w:r w:rsidR="004364EE">
        <w:rPr>
          <w:i/>
          <w:szCs w:val="24"/>
        </w:rPr>
        <w:t>C. cr.</w:t>
      </w:r>
      <w:r w:rsidRPr="00EB5449">
        <w:rPr>
          <w:szCs w:val="24"/>
        </w:rPr>
        <w:t>?</w:t>
      </w:r>
    </w:p>
    <w:p w:rsidR="00CE3216" w:rsidRPr="00EB5449" w:rsidRDefault="00CE3216" w:rsidP="00CE3216">
      <w:pPr>
        <w:pStyle w:val="Citation-AltC"/>
        <w:widowControl w:val="0"/>
        <w:spacing w:line="480" w:lineRule="auto"/>
        <w:rPr>
          <w:szCs w:val="24"/>
        </w:rPr>
      </w:pPr>
    </w:p>
    <w:p w:rsidR="00CE3216" w:rsidRPr="00EB5449" w:rsidRDefault="00CE3216" w:rsidP="00D2334A">
      <w:pPr>
        <w:pStyle w:val="Citation-AltC"/>
        <w:widowControl w:val="0"/>
        <w:tabs>
          <w:tab w:val="left" w:pos="540"/>
        </w:tabs>
        <w:spacing w:line="480" w:lineRule="auto"/>
        <w:ind w:left="540" w:hanging="540"/>
        <w:rPr>
          <w:szCs w:val="24"/>
        </w:rPr>
      </w:pPr>
      <w:r w:rsidRPr="00EB5449">
        <w:rPr>
          <w:szCs w:val="24"/>
        </w:rPr>
        <w:t xml:space="preserve">2. </w:t>
      </w:r>
      <w:r w:rsidR="00D2334A">
        <w:rPr>
          <w:szCs w:val="24"/>
        </w:rPr>
        <w:tab/>
      </w:r>
      <w:r w:rsidRPr="00EB5449">
        <w:rPr>
          <w:szCs w:val="24"/>
        </w:rPr>
        <w:t xml:space="preserve">Quels sont les cas donnant ouverture à la révision prévue aux art. 520 et 521 </w:t>
      </w:r>
      <w:r w:rsidR="004364EE">
        <w:rPr>
          <w:i/>
          <w:szCs w:val="24"/>
        </w:rPr>
        <w:t>C. cr.</w:t>
      </w:r>
      <w:r w:rsidRPr="00EB5449">
        <w:rPr>
          <w:szCs w:val="24"/>
        </w:rPr>
        <w:t xml:space="preserve"> en matière de mise en liberté provisoire?  </w:t>
      </w:r>
    </w:p>
    <w:p w:rsidR="00CE3216" w:rsidRPr="00EB5449" w:rsidRDefault="00CE3216" w:rsidP="00CE3216">
      <w:pPr>
        <w:pStyle w:val="Citation-AltC"/>
        <w:widowControl w:val="0"/>
        <w:spacing w:line="480" w:lineRule="auto"/>
        <w:rPr>
          <w:szCs w:val="24"/>
        </w:rPr>
      </w:pPr>
    </w:p>
    <w:p w:rsidR="00CE3216" w:rsidRPr="00EB5449" w:rsidRDefault="00CE3216" w:rsidP="00D2334A">
      <w:pPr>
        <w:pStyle w:val="Citation-AltC"/>
        <w:widowControl w:val="0"/>
        <w:tabs>
          <w:tab w:val="left" w:pos="540"/>
        </w:tabs>
        <w:spacing w:line="480" w:lineRule="auto"/>
        <w:ind w:left="540" w:hanging="540"/>
        <w:rPr>
          <w:szCs w:val="24"/>
        </w:rPr>
      </w:pPr>
      <w:r w:rsidRPr="00EB5449">
        <w:rPr>
          <w:szCs w:val="24"/>
        </w:rPr>
        <w:t xml:space="preserve">3. </w:t>
      </w:r>
      <w:r w:rsidR="00D2334A">
        <w:rPr>
          <w:szCs w:val="24"/>
        </w:rPr>
        <w:tab/>
      </w:r>
      <w:r w:rsidRPr="00EB5449">
        <w:rPr>
          <w:szCs w:val="24"/>
        </w:rPr>
        <w:t>En l’espèce, le juge de la Cour supérieure a-t-il erré dans son interprétation de l’al. 515(10)</w:t>
      </w:r>
      <w:r w:rsidRPr="00EB5449">
        <w:rPr>
          <w:i/>
          <w:iCs/>
          <w:szCs w:val="24"/>
        </w:rPr>
        <w:t>c</w:t>
      </w:r>
      <w:r w:rsidRPr="00EB5449">
        <w:rPr>
          <w:szCs w:val="24"/>
        </w:rPr>
        <w:t xml:space="preserve">) </w:t>
      </w:r>
      <w:r w:rsidR="004364EE">
        <w:rPr>
          <w:i/>
          <w:iCs/>
          <w:szCs w:val="24"/>
        </w:rPr>
        <w:t>C. cr.</w:t>
      </w:r>
      <w:r w:rsidRPr="00EB5449">
        <w:rPr>
          <w:szCs w:val="24"/>
        </w:rPr>
        <w:t>?</w:t>
      </w:r>
    </w:p>
    <w:p w:rsidR="00CE3216" w:rsidRPr="00EB5449" w:rsidRDefault="00CE3216" w:rsidP="00CE3216">
      <w:pPr>
        <w:pStyle w:val="Citation-AltC"/>
        <w:widowControl w:val="0"/>
        <w:spacing w:line="480" w:lineRule="auto"/>
        <w:rPr>
          <w:szCs w:val="24"/>
        </w:rPr>
      </w:pPr>
    </w:p>
    <w:p w:rsidR="00CE3216" w:rsidRPr="00EB5449" w:rsidRDefault="00CE3216" w:rsidP="00D2334A">
      <w:pPr>
        <w:pStyle w:val="Citation-AltC"/>
        <w:widowControl w:val="0"/>
        <w:tabs>
          <w:tab w:val="left" w:pos="540"/>
        </w:tabs>
        <w:spacing w:line="480" w:lineRule="auto"/>
        <w:ind w:left="540" w:hanging="540"/>
        <w:rPr>
          <w:szCs w:val="24"/>
        </w:rPr>
      </w:pPr>
      <w:r w:rsidRPr="00EB5449">
        <w:rPr>
          <w:szCs w:val="24"/>
        </w:rPr>
        <w:t xml:space="preserve">4. </w:t>
      </w:r>
      <w:r w:rsidR="00D2334A">
        <w:rPr>
          <w:szCs w:val="24"/>
        </w:rPr>
        <w:tab/>
      </w:r>
      <w:r w:rsidRPr="00EB5449">
        <w:rPr>
          <w:szCs w:val="24"/>
        </w:rPr>
        <w:t xml:space="preserve">En l’espèce, le juge de la Cour supérieure a-t-il erronément exercé son rôle de juge réviseur prévu à l’art. 520 </w:t>
      </w:r>
      <w:r w:rsidR="004364EE">
        <w:rPr>
          <w:i/>
          <w:iCs/>
          <w:szCs w:val="24"/>
        </w:rPr>
        <w:t>C. cr.</w:t>
      </w:r>
      <w:r w:rsidRPr="00EB5449">
        <w:rPr>
          <w:szCs w:val="24"/>
        </w:rPr>
        <w:t>, en substituant purement et simplement son appréciation de la preuve à celle des juges de paix?</w:t>
      </w:r>
    </w:p>
    <w:p w:rsidR="00CE3216" w:rsidRPr="00EB5449" w:rsidRDefault="00CE3216" w:rsidP="00CE3216">
      <w:pPr>
        <w:pStyle w:val="Citation-AltC"/>
        <w:widowControl w:val="0"/>
        <w:spacing w:after="0" w:line="480" w:lineRule="auto"/>
        <w:ind w:left="0"/>
        <w:rPr>
          <w:szCs w:val="24"/>
        </w:rPr>
      </w:pPr>
    </w:p>
    <w:p w:rsidR="00CE3216" w:rsidRPr="00EB5449" w:rsidRDefault="00CE3216" w:rsidP="00CE3216">
      <w:pPr>
        <w:pStyle w:val="Title1LevelTitre1Niveau-AltL"/>
        <w:widowControl w:val="0"/>
        <w:spacing w:before="0"/>
        <w:rPr>
          <w:rFonts w:cs="Times New Roman"/>
          <w:szCs w:val="24"/>
        </w:rPr>
      </w:pPr>
      <w:r w:rsidRPr="00EB5449">
        <w:rPr>
          <w:rFonts w:cs="Times New Roman"/>
          <w:szCs w:val="24"/>
        </w:rPr>
        <w:t>Analyse</w:t>
      </w:r>
    </w:p>
    <w:p w:rsidR="00CE3216" w:rsidRPr="00EB5449" w:rsidRDefault="00CE3216" w:rsidP="00CE3216">
      <w:pPr>
        <w:pStyle w:val="Title2LevelTitre2Niveau"/>
        <w:widowControl w:val="0"/>
        <w:rPr>
          <w:rFonts w:cs="Times New Roman"/>
          <w:szCs w:val="24"/>
        </w:rPr>
      </w:pPr>
      <w:r w:rsidRPr="00EB5449">
        <w:rPr>
          <w:rFonts w:cs="Times New Roman"/>
          <w:szCs w:val="24"/>
        </w:rPr>
        <w:t xml:space="preserve">L’interprétation appropriée de l’al. 515(10)c) </w:t>
      </w:r>
      <w:r w:rsidR="004364EE">
        <w:rPr>
          <w:rFonts w:cs="Times New Roman"/>
          <w:szCs w:val="24"/>
        </w:rPr>
        <w:t>C. cr.</w:t>
      </w:r>
    </w:p>
    <w:p w:rsidR="00CE3216" w:rsidRPr="00EB5449" w:rsidRDefault="00CE3216" w:rsidP="00CE3216">
      <w:pPr>
        <w:pStyle w:val="Title3LevelTitre3Niveau"/>
        <w:widowControl w:val="0"/>
        <w:rPr>
          <w:rFonts w:cs="Times New Roman"/>
          <w:szCs w:val="24"/>
        </w:rPr>
      </w:pPr>
      <w:r w:rsidRPr="00EB5449">
        <w:rPr>
          <w:rFonts w:cs="Times New Roman"/>
          <w:szCs w:val="24"/>
        </w:rPr>
        <w:lastRenderedPageBreak/>
        <w:t>Contexte législatif et judiciaire</w:t>
      </w:r>
    </w:p>
    <w:p w:rsidR="00CE3216" w:rsidRPr="00EB5449" w:rsidRDefault="00CE3216" w:rsidP="00CE3216">
      <w:pPr>
        <w:pStyle w:val="ParaNoNdepar-AltN"/>
        <w:widowControl w:val="0"/>
        <w:rPr>
          <w:rFonts w:cs="Times New Roman"/>
          <w:bCs/>
          <w:szCs w:val="24"/>
        </w:rPr>
      </w:pPr>
      <w:r w:rsidRPr="00EB5449">
        <w:rPr>
          <w:rFonts w:cs="Times New Roman"/>
          <w:bCs/>
          <w:szCs w:val="24"/>
        </w:rPr>
        <w:t xml:space="preserve">Dans l’arrêt </w:t>
      </w:r>
      <w:r w:rsidRPr="00EB5449">
        <w:rPr>
          <w:rFonts w:cs="Times New Roman"/>
          <w:bCs/>
          <w:i/>
          <w:iCs/>
          <w:szCs w:val="24"/>
        </w:rPr>
        <w:t>Hall</w:t>
      </w:r>
      <w:r w:rsidRPr="00EB5449">
        <w:rPr>
          <w:rFonts w:cs="Times New Roman"/>
          <w:bCs/>
          <w:szCs w:val="24"/>
        </w:rPr>
        <w:t xml:space="preserve">, notre Cour a bien expliqué l’historique législatif du par. 515(10) </w:t>
      </w:r>
      <w:r w:rsidR="004364EE">
        <w:rPr>
          <w:rFonts w:cs="Times New Roman"/>
          <w:bCs/>
          <w:i/>
          <w:iCs/>
          <w:szCs w:val="24"/>
        </w:rPr>
        <w:t>C. cr.</w:t>
      </w:r>
      <w:r w:rsidRPr="00EB5449">
        <w:rPr>
          <w:rFonts w:cs="Times New Roman"/>
          <w:bCs/>
          <w:szCs w:val="24"/>
        </w:rPr>
        <w:t xml:space="preserve"> Je crois toutefois utile d’en rappeler les grandes lignes. </w:t>
      </w:r>
    </w:p>
    <w:p w:rsidR="00CE3216" w:rsidRPr="00EB5449" w:rsidRDefault="00CE3216" w:rsidP="00CE3216">
      <w:pPr>
        <w:pStyle w:val="ParaNoNdepar-AltN"/>
        <w:widowControl w:val="0"/>
        <w:rPr>
          <w:rFonts w:cs="Times New Roman"/>
          <w:bCs/>
          <w:szCs w:val="24"/>
        </w:rPr>
      </w:pPr>
      <w:r w:rsidRPr="00EB5449">
        <w:rPr>
          <w:rFonts w:cs="Times New Roman"/>
          <w:bCs/>
          <w:szCs w:val="24"/>
        </w:rPr>
        <w:t>Mentionnons d’abord que les dispositions régissant la mise en liberté avant procès ont des origines relativement anciennes</w:t>
      </w:r>
      <w:r>
        <w:rPr>
          <w:rFonts w:cs="Times New Roman"/>
          <w:bCs/>
          <w:szCs w:val="24"/>
        </w:rPr>
        <w:t> :</w:t>
      </w:r>
    </w:p>
    <w:p w:rsidR="00CE3216" w:rsidRPr="00EB5449" w:rsidRDefault="00CE3216" w:rsidP="00CE3216">
      <w:pPr>
        <w:pStyle w:val="Citation-AltC"/>
        <w:widowControl w:val="0"/>
        <w:rPr>
          <w:szCs w:val="24"/>
          <w:lang w:val="fr-FR"/>
        </w:rPr>
      </w:pPr>
      <w:r w:rsidRPr="00EB5449">
        <w:rPr>
          <w:szCs w:val="24"/>
          <w:lang w:val="fr-FR"/>
        </w:rPr>
        <w:t>En 1869, le gouvernement fédéral a adopté une loi qui rendait discrétionnaire la mise en liberté sous caution pour toutes les infractions</w:t>
      </w:r>
      <w:r>
        <w:rPr>
          <w:szCs w:val="24"/>
          <w:lang w:val="fr-FR"/>
        </w:rPr>
        <w:t> :</w:t>
      </w:r>
      <w:r w:rsidRPr="00EB5449">
        <w:rPr>
          <w:szCs w:val="24"/>
          <w:lang w:val="fr-FR"/>
        </w:rPr>
        <w:t xml:space="preserve"> voir l’</w:t>
      </w:r>
      <w:r w:rsidRPr="00EB5449">
        <w:rPr>
          <w:i/>
          <w:iCs/>
          <w:szCs w:val="24"/>
          <w:lang w:val="fr-FR"/>
        </w:rPr>
        <w:t>Acte concernant les devoirs des juges de paix, hors des sessions, relativement aux personnes accusées de délits poursuivables par voie d’accusation</w:t>
      </w:r>
      <w:r w:rsidRPr="00EB5449">
        <w:rPr>
          <w:szCs w:val="24"/>
          <w:lang w:val="fr-FR"/>
        </w:rPr>
        <w:t>, S.C. 1869, ch.</w:t>
      </w:r>
      <w:r>
        <w:rPr>
          <w:szCs w:val="24"/>
          <w:lang w:val="fr-FR"/>
        </w:rPr>
        <w:t xml:space="preserve"> </w:t>
      </w:r>
      <w:r w:rsidRPr="00EB5449">
        <w:rPr>
          <w:szCs w:val="24"/>
          <w:lang w:val="fr-FR"/>
        </w:rPr>
        <w:t>30.</w:t>
      </w:r>
      <w:r>
        <w:rPr>
          <w:szCs w:val="24"/>
          <w:lang w:val="fr-FR"/>
        </w:rPr>
        <w:t xml:space="preserve"> </w:t>
      </w:r>
      <w:r w:rsidRPr="00EB5449">
        <w:rPr>
          <w:szCs w:val="24"/>
          <w:lang w:val="fr-FR"/>
        </w:rPr>
        <w:t xml:space="preserve"> La mise en liberté sous caution était donc laissée à la discrétion du juge.</w:t>
      </w:r>
      <w:r>
        <w:rPr>
          <w:szCs w:val="24"/>
          <w:lang w:val="fr-FR"/>
        </w:rPr>
        <w:t xml:space="preserve"> </w:t>
      </w:r>
      <w:r w:rsidRPr="00EB5449">
        <w:rPr>
          <w:szCs w:val="24"/>
          <w:lang w:val="fr-FR"/>
        </w:rPr>
        <w:t xml:space="preserve"> Même si la principale cause de refus invoquée était la nécessité de contraindre l’accusé à se présenter à son procès, les tribunaux ont également tenu compte d’autres facteurs tels la nature de l’infraction, la sévérité de la peine, la preuve pesant contre l’accusé et la moralité de ce dernier</w:t>
      </w:r>
      <w:r>
        <w:rPr>
          <w:szCs w:val="24"/>
          <w:lang w:val="fr-FR"/>
        </w:rPr>
        <w:t> :</w:t>
      </w:r>
      <w:r w:rsidRPr="00EB5449">
        <w:rPr>
          <w:szCs w:val="24"/>
          <w:lang w:val="fr-FR"/>
        </w:rPr>
        <w:t xml:space="preserve"> voir, par exemple, </w:t>
      </w:r>
      <w:r w:rsidRPr="00EB5449">
        <w:rPr>
          <w:i/>
          <w:iCs/>
          <w:szCs w:val="24"/>
          <w:lang w:val="fr-FR"/>
        </w:rPr>
        <w:t xml:space="preserve">R. c. Gottfriedson </w:t>
      </w:r>
      <w:r w:rsidRPr="00EB5449">
        <w:rPr>
          <w:szCs w:val="24"/>
          <w:lang w:val="fr-FR"/>
        </w:rPr>
        <w:t>(1906), 10</w:t>
      </w:r>
      <w:r>
        <w:rPr>
          <w:szCs w:val="24"/>
          <w:lang w:val="fr-FR"/>
        </w:rPr>
        <w:t xml:space="preserve"> </w:t>
      </w:r>
      <w:r w:rsidRPr="00EB5449">
        <w:rPr>
          <w:szCs w:val="24"/>
          <w:lang w:val="fr-FR"/>
        </w:rPr>
        <w:t xml:space="preserve">C.C.C. 239 (C. cté C.-B.); </w:t>
      </w:r>
      <w:r w:rsidRPr="00EB5449">
        <w:rPr>
          <w:i/>
          <w:iCs/>
          <w:szCs w:val="24"/>
          <w:lang w:val="fr-FR"/>
        </w:rPr>
        <w:t>Re N</w:t>
      </w:r>
      <w:r w:rsidRPr="00EB5449">
        <w:rPr>
          <w:szCs w:val="24"/>
          <w:lang w:val="fr-FR"/>
        </w:rPr>
        <w:t>. (1945), 87 C.C.C. 377</w:t>
      </w:r>
      <w:r>
        <w:rPr>
          <w:szCs w:val="24"/>
          <w:lang w:val="fr-FR"/>
        </w:rPr>
        <w:t xml:space="preserve"> </w:t>
      </w:r>
      <w:r w:rsidRPr="00EB5449">
        <w:rPr>
          <w:szCs w:val="24"/>
          <w:lang w:val="fr-FR"/>
        </w:rPr>
        <w:t>(C.S.Î.</w:t>
      </w:r>
      <w:r>
        <w:rPr>
          <w:szCs w:val="24"/>
          <w:lang w:val="fr-FR"/>
        </w:rPr>
        <w:t>-</w:t>
      </w:r>
      <w:r w:rsidRPr="00EB5449">
        <w:rPr>
          <w:szCs w:val="24"/>
          <w:lang w:val="fr-FR"/>
        </w:rPr>
        <w:t>P.-É.).</w:t>
      </w:r>
    </w:p>
    <w:p w:rsidR="00CE3216" w:rsidRPr="00EB5449" w:rsidRDefault="00CE3216" w:rsidP="00CE3216">
      <w:pPr>
        <w:pStyle w:val="Citation-AltC"/>
        <w:widowControl w:val="0"/>
        <w:rPr>
          <w:szCs w:val="24"/>
          <w:lang w:val="fr-FR"/>
        </w:rPr>
      </w:pPr>
      <w:r>
        <w:rPr>
          <w:szCs w:val="24"/>
          <w:lang w:val="fr-FR"/>
        </w:rPr>
        <w:t xml:space="preserve"> </w:t>
      </w:r>
    </w:p>
    <w:p w:rsidR="00CE3216" w:rsidRPr="00EB5449" w:rsidRDefault="00CE3216" w:rsidP="00CE3216">
      <w:pPr>
        <w:pStyle w:val="Citation-AltC"/>
        <w:widowControl w:val="0"/>
        <w:ind w:firstLine="274"/>
        <w:rPr>
          <w:szCs w:val="24"/>
          <w:lang w:val="fr-FR"/>
        </w:rPr>
      </w:pPr>
      <w:r w:rsidRPr="00EB5449">
        <w:rPr>
          <w:szCs w:val="24"/>
          <w:lang w:val="fr-FR"/>
        </w:rPr>
        <w:t>En 1972, le droit applicable en matière de liberté sous caution a fait l’objet d’une nouvelle codification</w:t>
      </w:r>
      <w:r>
        <w:rPr>
          <w:szCs w:val="24"/>
          <w:lang w:val="fr-FR"/>
        </w:rPr>
        <w:t> :</w:t>
      </w:r>
      <w:r w:rsidRPr="00EB5449">
        <w:rPr>
          <w:szCs w:val="24"/>
          <w:lang w:val="fr-FR"/>
        </w:rPr>
        <w:t xml:space="preserve"> </w:t>
      </w:r>
      <w:r w:rsidRPr="00EB5449">
        <w:rPr>
          <w:i/>
          <w:iCs/>
          <w:szCs w:val="24"/>
          <w:lang w:val="fr-FR"/>
        </w:rPr>
        <w:t>Loi sur la réforme du cautionnement</w:t>
      </w:r>
      <w:r w:rsidRPr="00EB5449">
        <w:rPr>
          <w:szCs w:val="24"/>
          <w:lang w:val="fr-FR"/>
        </w:rPr>
        <w:t>, S.C. 1970</w:t>
      </w:r>
      <w:r>
        <w:rPr>
          <w:szCs w:val="24"/>
          <w:lang w:val="fr-FR"/>
        </w:rPr>
        <w:t>-</w:t>
      </w:r>
      <w:r w:rsidRPr="00EB5449">
        <w:rPr>
          <w:szCs w:val="24"/>
          <w:lang w:val="fr-FR"/>
        </w:rPr>
        <w:t>71</w:t>
      </w:r>
      <w:r>
        <w:rPr>
          <w:szCs w:val="24"/>
          <w:lang w:val="fr-FR"/>
        </w:rPr>
        <w:t>-</w:t>
      </w:r>
      <w:r w:rsidRPr="00EB5449">
        <w:rPr>
          <w:szCs w:val="24"/>
          <w:lang w:val="fr-FR"/>
        </w:rPr>
        <w:t>72, ch.</w:t>
      </w:r>
      <w:r>
        <w:rPr>
          <w:szCs w:val="24"/>
          <w:lang w:val="fr-FR"/>
        </w:rPr>
        <w:t xml:space="preserve"> </w:t>
      </w:r>
      <w:r w:rsidRPr="00EB5449">
        <w:rPr>
          <w:szCs w:val="24"/>
          <w:lang w:val="fr-FR"/>
        </w:rPr>
        <w:t>37.</w:t>
      </w:r>
      <w:r>
        <w:rPr>
          <w:szCs w:val="24"/>
          <w:lang w:val="fr-FR"/>
        </w:rPr>
        <w:t xml:space="preserve"> </w:t>
      </w:r>
      <w:r w:rsidRPr="00EB5449">
        <w:rPr>
          <w:szCs w:val="24"/>
          <w:lang w:val="fr-FR"/>
        </w:rPr>
        <w:t xml:space="preserve"> La Loi prévoyait deux motifs de refuser d’accorder la mise en liberté sous caution</w:t>
      </w:r>
      <w:r>
        <w:rPr>
          <w:szCs w:val="24"/>
          <w:lang w:val="fr-FR"/>
        </w:rPr>
        <w:t> :</w:t>
      </w:r>
      <w:r w:rsidRPr="00EB5449">
        <w:rPr>
          <w:szCs w:val="24"/>
          <w:lang w:val="fr-FR"/>
        </w:rPr>
        <w:t xml:space="preserve"> (1)</w:t>
      </w:r>
      <w:r>
        <w:rPr>
          <w:szCs w:val="24"/>
          <w:lang w:val="fr-FR"/>
        </w:rPr>
        <w:t xml:space="preserve"> </w:t>
      </w:r>
      <w:r w:rsidRPr="00EB5449">
        <w:rPr>
          <w:szCs w:val="24"/>
          <w:lang w:val="fr-FR"/>
        </w:rPr>
        <w:t>la détention de l’accusé était nécessaire pour assurer sa présence au tribunal, ou (2)</w:t>
      </w:r>
      <w:r>
        <w:rPr>
          <w:szCs w:val="24"/>
          <w:lang w:val="fr-FR"/>
        </w:rPr>
        <w:t xml:space="preserve"> </w:t>
      </w:r>
      <w:r w:rsidRPr="00EB5449">
        <w:rPr>
          <w:szCs w:val="24"/>
          <w:lang w:val="fr-FR"/>
        </w:rPr>
        <w:t xml:space="preserve">sa détention était </w:t>
      </w:r>
      <w:r>
        <w:rPr>
          <w:szCs w:val="24"/>
          <w:lang w:val="fr-FR"/>
        </w:rPr>
        <w:t>« </w:t>
      </w:r>
      <w:r w:rsidRPr="00EB5449">
        <w:rPr>
          <w:szCs w:val="24"/>
          <w:lang w:val="fr-FR"/>
        </w:rPr>
        <w:t>nécessaire dans l’intérêt public ou pour la protection ou la sécurité du public</w:t>
      </w:r>
      <w:r>
        <w:rPr>
          <w:szCs w:val="24"/>
          <w:lang w:val="fr-FR"/>
        </w:rPr>
        <w:t> »</w:t>
      </w:r>
      <w:r w:rsidRPr="00EB5449">
        <w:rPr>
          <w:szCs w:val="24"/>
          <w:lang w:val="fr-FR"/>
        </w:rPr>
        <w:t xml:space="preserve"> afin de l’empêcher de récidiver ou de nuire à l’administration de la justice.</w:t>
      </w:r>
      <w:r>
        <w:rPr>
          <w:szCs w:val="24"/>
          <w:lang w:val="fr-FR"/>
        </w:rPr>
        <w:t xml:space="preserve"> </w:t>
      </w:r>
      <w:r w:rsidRPr="00EB5449">
        <w:rPr>
          <w:szCs w:val="24"/>
          <w:lang w:val="fr-FR"/>
        </w:rPr>
        <w:t xml:space="preserve"> L’emploi du mot </w:t>
      </w:r>
      <w:r>
        <w:rPr>
          <w:szCs w:val="24"/>
          <w:lang w:val="fr-FR"/>
        </w:rPr>
        <w:t>« </w:t>
      </w:r>
      <w:r w:rsidRPr="00EB5449">
        <w:rPr>
          <w:szCs w:val="24"/>
          <w:lang w:val="fr-FR"/>
        </w:rPr>
        <w:t>ou</w:t>
      </w:r>
      <w:r>
        <w:rPr>
          <w:szCs w:val="24"/>
          <w:lang w:val="fr-FR"/>
        </w:rPr>
        <w:t> »</w:t>
      </w:r>
      <w:r w:rsidRPr="00EB5449">
        <w:rPr>
          <w:szCs w:val="24"/>
          <w:lang w:val="fr-FR"/>
        </w:rPr>
        <w:t xml:space="preserve"> dans le second motif a amené à croire qu’il existait en réalité trois motifs de refuser d’accorder la mise en liberté sous caution</w:t>
      </w:r>
      <w:r>
        <w:rPr>
          <w:szCs w:val="24"/>
          <w:lang w:val="fr-FR"/>
        </w:rPr>
        <w:t> :</w:t>
      </w:r>
      <w:r w:rsidRPr="00EB5449">
        <w:rPr>
          <w:szCs w:val="24"/>
          <w:lang w:val="fr-FR"/>
        </w:rPr>
        <w:t xml:space="preserve"> (1)</w:t>
      </w:r>
      <w:r>
        <w:rPr>
          <w:szCs w:val="24"/>
          <w:lang w:val="fr-FR"/>
        </w:rPr>
        <w:t xml:space="preserve"> </w:t>
      </w:r>
      <w:r w:rsidRPr="00EB5449">
        <w:rPr>
          <w:szCs w:val="24"/>
          <w:lang w:val="fr-FR"/>
        </w:rPr>
        <w:t>assurer la comparution au procès, (2)</w:t>
      </w:r>
      <w:r>
        <w:rPr>
          <w:szCs w:val="24"/>
          <w:lang w:val="fr-FR"/>
        </w:rPr>
        <w:t xml:space="preserve"> </w:t>
      </w:r>
      <w:r w:rsidRPr="00EB5449">
        <w:rPr>
          <w:szCs w:val="24"/>
          <w:lang w:val="fr-FR"/>
        </w:rPr>
        <w:t>la protection contre les infractions criminelles avant le procès, et (3)</w:t>
      </w:r>
      <w:r>
        <w:rPr>
          <w:szCs w:val="24"/>
          <w:lang w:val="fr-FR"/>
        </w:rPr>
        <w:t xml:space="preserve"> </w:t>
      </w:r>
      <w:r w:rsidRPr="00EB5449">
        <w:rPr>
          <w:szCs w:val="24"/>
          <w:lang w:val="fr-FR"/>
        </w:rPr>
        <w:t>l’</w:t>
      </w:r>
      <w:r>
        <w:rPr>
          <w:szCs w:val="24"/>
          <w:lang w:val="fr-FR"/>
        </w:rPr>
        <w:t>« </w:t>
      </w:r>
      <w:r w:rsidRPr="00EB5449">
        <w:rPr>
          <w:szCs w:val="24"/>
          <w:lang w:val="fr-FR"/>
        </w:rPr>
        <w:t>intérêt public</w:t>
      </w:r>
      <w:r>
        <w:rPr>
          <w:szCs w:val="24"/>
          <w:lang w:val="fr-FR"/>
        </w:rPr>
        <w:t> »</w:t>
      </w:r>
      <w:r w:rsidRPr="00EB5449">
        <w:rPr>
          <w:szCs w:val="24"/>
          <w:lang w:val="fr-FR"/>
        </w:rPr>
        <w:t>.</w:t>
      </w:r>
      <w:r>
        <w:rPr>
          <w:szCs w:val="24"/>
          <w:lang w:val="fr-FR"/>
        </w:rPr>
        <w:t xml:space="preserve"> </w:t>
      </w:r>
      <w:r w:rsidRPr="00EB5449">
        <w:rPr>
          <w:szCs w:val="24"/>
          <w:lang w:val="fr-FR"/>
        </w:rPr>
        <w:t xml:space="preserve"> Édictés à l’origine aux al. 457(7)</w:t>
      </w:r>
      <w:r w:rsidRPr="00EB5449">
        <w:rPr>
          <w:i/>
          <w:iCs/>
          <w:szCs w:val="24"/>
          <w:lang w:val="fr-FR"/>
        </w:rPr>
        <w:t>a</w:t>
      </w:r>
      <w:r w:rsidRPr="00EB5449">
        <w:rPr>
          <w:szCs w:val="24"/>
          <w:lang w:val="fr-FR"/>
        </w:rPr>
        <w:t xml:space="preserve">) et </w:t>
      </w:r>
      <w:r w:rsidRPr="00EB5449">
        <w:rPr>
          <w:i/>
          <w:iCs/>
          <w:szCs w:val="24"/>
          <w:lang w:val="fr-FR"/>
        </w:rPr>
        <w:t>b</w:t>
      </w:r>
      <w:r w:rsidRPr="00EB5449">
        <w:rPr>
          <w:szCs w:val="24"/>
          <w:lang w:val="fr-FR"/>
        </w:rPr>
        <w:t xml:space="preserve">) du </w:t>
      </w:r>
      <w:r w:rsidRPr="00EB5449">
        <w:rPr>
          <w:i/>
          <w:iCs/>
          <w:szCs w:val="24"/>
          <w:lang w:val="fr-FR"/>
        </w:rPr>
        <w:t>Code criminel</w:t>
      </w:r>
      <w:r w:rsidRPr="00EB5449">
        <w:rPr>
          <w:szCs w:val="24"/>
          <w:lang w:val="fr-FR"/>
        </w:rPr>
        <w:t>, ces motifs se sont retrouvés par la suite aux al. 515(10)</w:t>
      </w:r>
      <w:r w:rsidRPr="00EB5449">
        <w:rPr>
          <w:i/>
          <w:iCs/>
          <w:szCs w:val="24"/>
          <w:lang w:val="fr-FR"/>
        </w:rPr>
        <w:t>a</w:t>
      </w:r>
      <w:r w:rsidRPr="00EB5449">
        <w:rPr>
          <w:szCs w:val="24"/>
          <w:lang w:val="fr-FR"/>
        </w:rPr>
        <w:t xml:space="preserve">) et </w:t>
      </w:r>
      <w:r w:rsidRPr="00EB5449">
        <w:rPr>
          <w:i/>
          <w:iCs/>
          <w:szCs w:val="24"/>
          <w:lang w:val="fr-FR"/>
        </w:rPr>
        <w:t>b</w:t>
      </w:r>
      <w:r w:rsidRPr="00EB5449">
        <w:rPr>
          <w:szCs w:val="24"/>
          <w:lang w:val="fr-FR"/>
        </w:rPr>
        <w:t xml:space="preserve">). </w:t>
      </w:r>
    </w:p>
    <w:p w:rsidR="00CE3216" w:rsidRPr="00EB5449" w:rsidRDefault="00CE3216" w:rsidP="00CE3216">
      <w:pPr>
        <w:pStyle w:val="Citation-AltC"/>
        <w:widowControl w:val="0"/>
        <w:rPr>
          <w:szCs w:val="24"/>
          <w:lang w:val="fr-FR"/>
        </w:rPr>
      </w:pPr>
    </w:p>
    <w:p w:rsidR="00CE3216" w:rsidRPr="00EB5449" w:rsidRDefault="00CE3216" w:rsidP="00464C91">
      <w:pPr>
        <w:pStyle w:val="Citation-AltC"/>
        <w:widowControl w:val="0"/>
        <w:ind w:left="0"/>
        <w:rPr>
          <w:szCs w:val="24"/>
          <w:lang w:val="fr-FR"/>
        </w:rPr>
      </w:pPr>
      <w:r w:rsidRPr="00EB5449">
        <w:rPr>
          <w:iCs/>
          <w:szCs w:val="24"/>
          <w:lang w:val="fr-FR"/>
        </w:rPr>
        <w:t>(</w:t>
      </w:r>
      <w:r w:rsidRPr="00EB5449">
        <w:rPr>
          <w:i/>
          <w:iCs/>
          <w:szCs w:val="24"/>
          <w:lang w:val="fr-FR"/>
        </w:rPr>
        <w:t>Hall</w:t>
      </w:r>
      <w:r w:rsidRPr="00EB5449">
        <w:rPr>
          <w:szCs w:val="24"/>
          <w:lang w:val="fr-FR"/>
        </w:rPr>
        <w:t>, par. 14-15)</w:t>
      </w:r>
    </w:p>
    <w:p w:rsidR="00CE3216" w:rsidRPr="00EB5449" w:rsidRDefault="00CE3216" w:rsidP="00CE3216">
      <w:pPr>
        <w:pStyle w:val="ParaNoNdepar-AltN"/>
        <w:widowControl w:val="0"/>
        <w:rPr>
          <w:rFonts w:cs="Times New Roman"/>
          <w:bCs/>
          <w:szCs w:val="24"/>
        </w:rPr>
      </w:pPr>
      <w:r w:rsidRPr="00EB5449">
        <w:rPr>
          <w:rFonts w:cs="Times New Roman"/>
          <w:bCs/>
          <w:szCs w:val="24"/>
        </w:rPr>
        <w:lastRenderedPageBreak/>
        <w:t xml:space="preserve">Depuis l’adoption de la </w:t>
      </w:r>
      <w:r w:rsidRPr="00EB5449">
        <w:rPr>
          <w:rFonts w:cs="Times New Roman"/>
          <w:bCs/>
          <w:i/>
          <w:iCs/>
          <w:szCs w:val="24"/>
        </w:rPr>
        <w:t>Charte canadienne des droits et libertés</w:t>
      </w:r>
      <w:r w:rsidRPr="00EB5449">
        <w:rPr>
          <w:rFonts w:cs="Times New Roman"/>
          <w:bCs/>
          <w:szCs w:val="24"/>
        </w:rPr>
        <w:t xml:space="preserve"> (</w:t>
      </w:r>
      <w:r>
        <w:rPr>
          <w:rFonts w:cs="Times New Roman"/>
          <w:bCs/>
          <w:szCs w:val="24"/>
        </w:rPr>
        <w:t>« </w:t>
      </w:r>
      <w:r w:rsidRPr="00EB5449">
        <w:rPr>
          <w:rFonts w:cs="Times New Roman"/>
          <w:bCs/>
          <w:i/>
          <w:iCs/>
          <w:szCs w:val="24"/>
        </w:rPr>
        <w:t>Charte</w:t>
      </w:r>
      <w:r>
        <w:rPr>
          <w:rFonts w:cs="Times New Roman"/>
          <w:bCs/>
          <w:szCs w:val="24"/>
        </w:rPr>
        <w:t> »</w:t>
      </w:r>
      <w:r w:rsidRPr="00EB5449">
        <w:rPr>
          <w:rFonts w:cs="Times New Roman"/>
          <w:bCs/>
          <w:szCs w:val="24"/>
        </w:rPr>
        <w:t xml:space="preserve">) en 1982, </w:t>
      </w:r>
      <w:r w:rsidRPr="00EB5449">
        <w:rPr>
          <w:rFonts w:cs="Times New Roman"/>
          <w:szCs w:val="24"/>
          <w:lang w:val="fr-FR"/>
        </w:rPr>
        <w:t xml:space="preserve">tout inculpé a le droit </w:t>
      </w:r>
      <w:r>
        <w:rPr>
          <w:rFonts w:cs="Times New Roman"/>
          <w:szCs w:val="24"/>
          <w:lang w:val="fr-FR"/>
        </w:rPr>
        <w:t>« </w:t>
      </w:r>
      <w:r w:rsidRPr="00EB5449">
        <w:rPr>
          <w:rFonts w:cs="Times New Roman"/>
          <w:szCs w:val="24"/>
          <w:lang w:val="fr-FR"/>
        </w:rPr>
        <w:t>de ne pas être privé sans juste cause d’une mise en liberté assortie d’un cautionnement raisonnable</w:t>
      </w:r>
      <w:r>
        <w:rPr>
          <w:rFonts w:cs="Times New Roman"/>
          <w:szCs w:val="24"/>
          <w:lang w:val="fr-FR"/>
        </w:rPr>
        <w:t> » :</w:t>
      </w:r>
      <w:r w:rsidRPr="00EB5449">
        <w:rPr>
          <w:rFonts w:cs="Times New Roman"/>
          <w:szCs w:val="24"/>
          <w:lang w:val="fr-FR"/>
        </w:rPr>
        <w:t xml:space="preserve"> al. 11</w:t>
      </w:r>
      <w:r w:rsidRPr="00EB5449">
        <w:rPr>
          <w:rFonts w:cs="Times New Roman"/>
          <w:i/>
          <w:iCs/>
          <w:szCs w:val="24"/>
          <w:lang w:val="fr-FR"/>
        </w:rPr>
        <w:t>e</w:t>
      </w:r>
      <w:r w:rsidRPr="00EB5449">
        <w:rPr>
          <w:rFonts w:cs="Times New Roman"/>
          <w:szCs w:val="24"/>
          <w:lang w:val="fr-FR"/>
        </w:rPr>
        <w:t>).</w:t>
      </w:r>
      <w:r>
        <w:rPr>
          <w:rFonts w:cs="Times New Roman"/>
          <w:szCs w:val="24"/>
          <w:lang w:val="fr-FR"/>
        </w:rPr>
        <w:t xml:space="preserve"> </w:t>
      </w:r>
      <w:r w:rsidRPr="00EB5449">
        <w:rPr>
          <w:rFonts w:cs="Times New Roman"/>
          <w:szCs w:val="24"/>
          <w:lang w:val="fr-FR"/>
        </w:rPr>
        <w:t xml:space="preserve"> Notre Cour a énoncé que le droit conféré par cet article est </w:t>
      </w:r>
      <w:r>
        <w:rPr>
          <w:rFonts w:cs="Times New Roman"/>
          <w:szCs w:val="24"/>
          <w:lang w:val="fr-FR"/>
        </w:rPr>
        <w:t>« </w:t>
      </w:r>
      <w:r w:rsidRPr="00EB5449">
        <w:rPr>
          <w:rFonts w:cs="Times New Roman"/>
          <w:szCs w:val="24"/>
          <w:lang w:val="fr-FR"/>
        </w:rPr>
        <w:t>un droit fondamental à une mise en liberté assortie d’un cautionnement raisonnable sauf s’il existe une juste cause justifiant le refus de l’accorder</w:t>
      </w:r>
      <w:r>
        <w:rPr>
          <w:rFonts w:cs="Times New Roman"/>
          <w:szCs w:val="24"/>
          <w:lang w:val="fr-FR"/>
        </w:rPr>
        <w:t> » :</w:t>
      </w:r>
      <w:r w:rsidRPr="00EB5449">
        <w:rPr>
          <w:rFonts w:cs="Times New Roman"/>
          <w:szCs w:val="24"/>
          <w:lang w:val="fr-FR"/>
        </w:rPr>
        <w:t xml:space="preserve"> </w:t>
      </w:r>
      <w:r w:rsidRPr="00EB5449">
        <w:rPr>
          <w:rFonts w:cs="Times New Roman"/>
          <w:i/>
          <w:iCs/>
          <w:szCs w:val="24"/>
        </w:rPr>
        <w:t>R. c. Pearson</w:t>
      </w:r>
      <w:r w:rsidRPr="00EB5449">
        <w:rPr>
          <w:rFonts w:cs="Times New Roman"/>
          <w:szCs w:val="24"/>
        </w:rPr>
        <w:t xml:space="preserve">, [1992] 3 R.C.S. 665, </w:t>
      </w:r>
      <w:r w:rsidRPr="00EB5449">
        <w:rPr>
          <w:rFonts w:cs="Times New Roman"/>
          <w:szCs w:val="24"/>
          <w:lang w:val="fr-FR"/>
        </w:rPr>
        <w:t>p. 691. L’alinéa 11</w:t>
      </w:r>
      <w:r w:rsidRPr="00EB5449">
        <w:rPr>
          <w:rFonts w:cs="Times New Roman"/>
          <w:i/>
          <w:iCs/>
          <w:szCs w:val="24"/>
          <w:lang w:val="fr-FR"/>
        </w:rPr>
        <w:t>e</w:t>
      </w:r>
      <w:r w:rsidRPr="00EB5449">
        <w:rPr>
          <w:rFonts w:cs="Times New Roman"/>
          <w:szCs w:val="24"/>
          <w:lang w:val="fr-FR"/>
        </w:rPr>
        <w:t>) comporte en fait deux éléments distincts</w:t>
      </w:r>
      <w:r>
        <w:rPr>
          <w:rFonts w:cs="Times New Roman"/>
          <w:szCs w:val="24"/>
          <w:lang w:val="fr-FR"/>
        </w:rPr>
        <w:t> :</w:t>
      </w:r>
      <w:r w:rsidRPr="00EB5449">
        <w:rPr>
          <w:rFonts w:cs="Times New Roman"/>
          <w:szCs w:val="24"/>
          <w:lang w:val="fr-FR"/>
        </w:rPr>
        <w:t xml:space="preserve"> </w:t>
      </w:r>
      <w:r w:rsidR="00464C91">
        <w:rPr>
          <w:rFonts w:cs="Times New Roman"/>
          <w:szCs w:val="24"/>
          <w:lang w:val="fr-FR"/>
        </w:rPr>
        <w:t>(</w:t>
      </w:r>
      <w:r w:rsidRPr="00EB5449">
        <w:rPr>
          <w:rFonts w:cs="Times New Roman"/>
          <w:szCs w:val="24"/>
          <w:lang w:val="fr-FR"/>
        </w:rPr>
        <w:t>1)</w:t>
      </w:r>
      <w:r>
        <w:rPr>
          <w:rFonts w:cs="Times New Roman"/>
          <w:szCs w:val="24"/>
          <w:lang w:val="fr-FR"/>
        </w:rPr>
        <w:t xml:space="preserve"> </w:t>
      </w:r>
      <w:r w:rsidRPr="00EB5449">
        <w:rPr>
          <w:rFonts w:cs="Times New Roman"/>
          <w:szCs w:val="24"/>
          <w:lang w:val="fr-FR"/>
        </w:rPr>
        <w:t xml:space="preserve">le droit à un </w:t>
      </w:r>
      <w:r>
        <w:rPr>
          <w:rFonts w:cs="Times New Roman"/>
          <w:szCs w:val="24"/>
          <w:lang w:val="fr-FR"/>
        </w:rPr>
        <w:t>« </w:t>
      </w:r>
      <w:r w:rsidRPr="00EB5449">
        <w:rPr>
          <w:rFonts w:cs="Times New Roman"/>
          <w:szCs w:val="24"/>
          <w:lang w:val="fr-FR"/>
        </w:rPr>
        <w:t>cautionnement raisonnable</w:t>
      </w:r>
      <w:r>
        <w:rPr>
          <w:rFonts w:cs="Times New Roman"/>
          <w:szCs w:val="24"/>
          <w:lang w:val="fr-FR"/>
        </w:rPr>
        <w:t> »</w:t>
      </w:r>
      <w:r w:rsidRPr="00EB5449">
        <w:rPr>
          <w:rFonts w:cs="Times New Roman"/>
          <w:szCs w:val="24"/>
          <w:lang w:val="fr-FR"/>
        </w:rPr>
        <w:t xml:space="preserve"> du point de vue de la somme d’argent exigée et des autres conditions imposées; et </w:t>
      </w:r>
      <w:r w:rsidR="00464C91">
        <w:rPr>
          <w:rFonts w:cs="Times New Roman"/>
          <w:szCs w:val="24"/>
          <w:lang w:val="fr-FR"/>
        </w:rPr>
        <w:t>(</w:t>
      </w:r>
      <w:r w:rsidRPr="00EB5449">
        <w:rPr>
          <w:rFonts w:cs="Times New Roman"/>
          <w:szCs w:val="24"/>
          <w:lang w:val="fr-FR"/>
        </w:rPr>
        <w:t>2)</w:t>
      </w:r>
      <w:r>
        <w:rPr>
          <w:rFonts w:cs="Times New Roman"/>
          <w:szCs w:val="24"/>
          <w:lang w:val="fr-FR"/>
        </w:rPr>
        <w:t xml:space="preserve"> </w:t>
      </w:r>
      <w:r w:rsidRPr="00EB5449">
        <w:rPr>
          <w:rFonts w:cs="Times New Roman"/>
          <w:szCs w:val="24"/>
          <w:lang w:val="fr-FR"/>
        </w:rPr>
        <w:t xml:space="preserve">le droit de ne pas être privé sans </w:t>
      </w:r>
      <w:r>
        <w:rPr>
          <w:rFonts w:cs="Times New Roman"/>
          <w:szCs w:val="24"/>
          <w:lang w:val="fr-FR"/>
        </w:rPr>
        <w:t>« </w:t>
      </w:r>
      <w:r w:rsidRPr="00EB5449">
        <w:rPr>
          <w:rFonts w:cs="Times New Roman"/>
          <w:szCs w:val="24"/>
          <w:lang w:val="fr-FR"/>
        </w:rPr>
        <w:t>juste cause</w:t>
      </w:r>
      <w:r>
        <w:rPr>
          <w:rFonts w:cs="Times New Roman"/>
          <w:szCs w:val="24"/>
          <w:lang w:val="fr-FR"/>
        </w:rPr>
        <w:t> »</w:t>
      </w:r>
      <w:r w:rsidRPr="00EB5449">
        <w:rPr>
          <w:rFonts w:cs="Times New Roman"/>
          <w:szCs w:val="24"/>
          <w:lang w:val="fr-FR"/>
        </w:rPr>
        <w:t xml:space="preserve"> de la mise en liberté sous caution. </w:t>
      </w:r>
    </w:p>
    <w:p w:rsidR="00CE3216" w:rsidRPr="00EB5449" w:rsidRDefault="00CE3216" w:rsidP="00CE3216">
      <w:pPr>
        <w:pStyle w:val="ParaNoNdepar-AltN"/>
        <w:widowControl w:val="0"/>
        <w:rPr>
          <w:rFonts w:cs="Times New Roman"/>
          <w:bCs/>
          <w:szCs w:val="24"/>
        </w:rPr>
      </w:pPr>
      <w:r w:rsidRPr="00EB5449">
        <w:rPr>
          <w:rFonts w:cs="Times New Roman"/>
          <w:szCs w:val="24"/>
        </w:rPr>
        <w:t>Dans l’affaire</w:t>
      </w:r>
      <w:r w:rsidRPr="00EB5449">
        <w:rPr>
          <w:rFonts w:cs="Times New Roman"/>
          <w:i/>
          <w:iCs/>
          <w:szCs w:val="24"/>
        </w:rPr>
        <w:t xml:space="preserve"> R. c. Morales</w:t>
      </w:r>
      <w:r w:rsidRPr="00EB5449">
        <w:rPr>
          <w:rFonts w:cs="Times New Roman"/>
          <w:szCs w:val="24"/>
        </w:rPr>
        <w:t>, [1992] 3 R.C.S. 711, notre</w:t>
      </w:r>
      <w:r w:rsidRPr="00EB5449">
        <w:rPr>
          <w:rFonts w:cs="Times New Roman"/>
          <w:szCs w:val="24"/>
          <w:lang w:val="fr-FR"/>
        </w:rPr>
        <w:t xml:space="preserve"> Cour a invalidé l’élément de l’al. 515(10)</w:t>
      </w:r>
      <w:r w:rsidRPr="00EB5449">
        <w:rPr>
          <w:rFonts w:cs="Times New Roman"/>
          <w:i/>
          <w:iCs/>
          <w:szCs w:val="24"/>
          <w:lang w:val="fr-FR"/>
        </w:rPr>
        <w:t>b</w:t>
      </w:r>
      <w:r w:rsidRPr="00EB5449">
        <w:rPr>
          <w:rFonts w:cs="Times New Roman"/>
          <w:szCs w:val="24"/>
          <w:lang w:val="fr-FR"/>
        </w:rPr>
        <w:t xml:space="preserve">) </w:t>
      </w:r>
      <w:r w:rsidR="004364EE">
        <w:rPr>
          <w:rFonts w:cs="Times New Roman"/>
          <w:i/>
          <w:iCs/>
          <w:szCs w:val="24"/>
          <w:lang w:val="fr-FR"/>
        </w:rPr>
        <w:t>C. cr.</w:t>
      </w:r>
      <w:r w:rsidRPr="00EB5449">
        <w:rPr>
          <w:rFonts w:cs="Times New Roman"/>
          <w:szCs w:val="24"/>
          <w:lang w:val="fr-FR"/>
        </w:rPr>
        <w:t xml:space="preserve"> qui autorisait la détention du prévenu avant son procès si cette mesure était nécessaire dans l’</w:t>
      </w:r>
      <w:r>
        <w:rPr>
          <w:rFonts w:cs="Times New Roman"/>
          <w:szCs w:val="24"/>
          <w:lang w:val="fr-FR"/>
        </w:rPr>
        <w:t>« </w:t>
      </w:r>
      <w:r w:rsidRPr="00EB5449">
        <w:rPr>
          <w:rFonts w:cs="Times New Roman"/>
          <w:szCs w:val="24"/>
          <w:lang w:val="fr-FR"/>
        </w:rPr>
        <w:t>intérêt public</w:t>
      </w:r>
      <w:r>
        <w:rPr>
          <w:rFonts w:cs="Times New Roman"/>
          <w:szCs w:val="24"/>
          <w:lang w:val="fr-FR"/>
        </w:rPr>
        <w:t> »</w:t>
      </w:r>
      <w:r w:rsidRPr="00EB5449">
        <w:rPr>
          <w:rFonts w:cs="Times New Roman"/>
          <w:szCs w:val="24"/>
          <w:lang w:val="fr-FR"/>
        </w:rPr>
        <w:t xml:space="preserve">. La Cour a jugé que cette formulation était vague et imprécise, et qu’elle laissait une </w:t>
      </w:r>
      <w:r>
        <w:rPr>
          <w:rFonts w:cs="Times New Roman"/>
          <w:szCs w:val="24"/>
          <w:lang w:val="fr-FR"/>
        </w:rPr>
        <w:t>« </w:t>
      </w:r>
      <w:r w:rsidRPr="00EB5449">
        <w:rPr>
          <w:rFonts w:cs="Times New Roman"/>
          <w:szCs w:val="24"/>
          <w:lang w:val="fr-FR"/>
        </w:rPr>
        <w:t>large place à l’arbitraire</w:t>
      </w:r>
      <w:r>
        <w:rPr>
          <w:rFonts w:cs="Times New Roman"/>
          <w:szCs w:val="24"/>
          <w:lang w:val="fr-FR"/>
        </w:rPr>
        <w:t> »</w:t>
      </w:r>
      <w:r w:rsidRPr="00EB5449">
        <w:rPr>
          <w:rFonts w:cs="Times New Roman"/>
          <w:szCs w:val="24"/>
          <w:lang w:val="fr-FR"/>
        </w:rPr>
        <w:t xml:space="preserve"> permettant au </w:t>
      </w:r>
      <w:r>
        <w:rPr>
          <w:rFonts w:cs="Times New Roman"/>
          <w:szCs w:val="24"/>
          <w:lang w:val="fr-FR"/>
        </w:rPr>
        <w:t>« </w:t>
      </w:r>
      <w:r w:rsidRPr="00EB5449">
        <w:rPr>
          <w:rFonts w:cs="Times New Roman"/>
          <w:szCs w:val="24"/>
          <w:lang w:val="fr-FR"/>
        </w:rPr>
        <w:t>tribunal [d’]ordonner l’emprisonnement quand il juge[ait] bon de le faire</w:t>
      </w:r>
      <w:r>
        <w:rPr>
          <w:rFonts w:cs="Times New Roman"/>
          <w:szCs w:val="24"/>
          <w:lang w:val="fr-FR"/>
        </w:rPr>
        <w:t> » :</w:t>
      </w:r>
      <w:r w:rsidRPr="00EB5449">
        <w:rPr>
          <w:rFonts w:cs="Times New Roman"/>
          <w:szCs w:val="24"/>
          <w:lang w:val="fr-FR"/>
        </w:rPr>
        <w:t xml:space="preserve"> p.</w:t>
      </w:r>
      <w:r>
        <w:rPr>
          <w:rFonts w:cs="Times New Roman"/>
          <w:szCs w:val="24"/>
          <w:lang w:val="fr-FR"/>
        </w:rPr>
        <w:t xml:space="preserve"> </w:t>
      </w:r>
      <w:r w:rsidRPr="00EB5449">
        <w:rPr>
          <w:rFonts w:cs="Times New Roman"/>
          <w:szCs w:val="24"/>
          <w:lang w:val="fr-FR"/>
        </w:rPr>
        <w:t>732.</w:t>
      </w:r>
    </w:p>
    <w:p w:rsidR="00CE3216" w:rsidRPr="00EB5449" w:rsidRDefault="00CE3216" w:rsidP="00CE3216">
      <w:pPr>
        <w:pStyle w:val="ParaNoNdepar-AltN"/>
        <w:widowControl w:val="0"/>
        <w:rPr>
          <w:rFonts w:cs="Times New Roman"/>
          <w:bCs/>
          <w:szCs w:val="24"/>
        </w:rPr>
      </w:pPr>
      <w:r w:rsidRPr="00EB5449">
        <w:rPr>
          <w:rFonts w:cs="Times New Roman"/>
          <w:szCs w:val="24"/>
          <w:lang w:val="fr-FR"/>
        </w:rPr>
        <w:t>En 1997, le législateur a en conséquence changé</w:t>
      </w:r>
      <w:r>
        <w:rPr>
          <w:rFonts w:cs="Times New Roman"/>
          <w:szCs w:val="24"/>
          <w:lang w:val="fr-FR"/>
        </w:rPr>
        <w:t xml:space="preserve"> </w:t>
      </w:r>
      <w:r w:rsidRPr="00EB5449">
        <w:rPr>
          <w:rFonts w:cs="Times New Roman"/>
          <w:szCs w:val="24"/>
          <w:lang w:val="fr-FR"/>
        </w:rPr>
        <w:t xml:space="preserve">la formulation du par. 515(10), et y a ajouté l’al. </w:t>
      </w:r>
      <w:r w:rsidRPr="00EB5449">
        <w:rPr>
          <w:rFonts w:cs="Times New Roman"/>
          <w:i/>
          <w:iCs/>
          <w:szCs w:val="24"/>
          <w:lang w:val="fr-FR"/>
        </w:rPr>
        <w:t>c</w:t>
      </w:r>
      <w:r w:rsidRPr="00EB5449">
        <w:rPr>
          <w:rFonts w:cs="Times New Roman"/>
          <w:szCs w:val="24"/>
          <w:lang w:val="fr-FR"/>
        </w:rPr>
        <w:t>)</w:t>
      </w:r>
      <w:r>
        <w:rPr>
          <w:rFonts w:cs="Times New Roman"/>
          <w:szCs w:val="24"/>
          <w:lang w:val="fr-FR"/>
        </w:rPr>
        <w:t> :</w:t>
      </w:r>
      <w:r w:rsidRPr="00EB5449">
        <w:rPr>
          <w:rFonts w:cs="Times New Roman"/>
          <w:szCs w:val="24"/>
          <w:lang w:val="fr-FR"/>
        </w:rPr>
        <w:t xml:space="preserve"> </w:t>
      </w:r>
      <w:r w:rsidRPr="00EB5449">
        <w:rPr>
          <w:rFonts w:cs="Times New Roman"/>
          <w:i/>
          <w:iCs/>
          <w:szCs w:val="24"/>
          <w:lang w:val="fr-FR"/>
        </w:rPr>
        <w:t>Loi de 1996 visant à améliorer la législation pénale</w:t>
      </w:r>
      <w:r w:rsidRPr="00EB5449">
        <w:rPr>
          <w:rFonts w:cs="Times New Roman"/>
          <w:szCs w:val="24"/>
          <w:lang w:val="fr-FR"/>
        </w:rPr>
        <w:t>, L.C. 1997, c.</w:t>
      </w:r>
      <w:r>
        <w:rPr>
          <w:rFonts w:cs="Times New Roman"/>
          <w:szCs w:val="24"/>
          <w:lang w:val="fr-FR"/>
        </w:rPr>
        <w:t xml:space="preserve"> </w:t>
      </w:r>
      <w:r w:rsidRPr="00EB5449">
        <w:rPr>
          <w:rFonts w:cs="Times New Roman"/>
          <w:szCs w:val="24"/>
          <w:lang w:val="fr-FR"/>
        </w:rPr>
        <w:t xml:space="preserve">18, par. 59(2). La détention d’un accusé était désormais justifiée s’il était </w:t>
      </w:r>
      <w:r>
        <w:rPr>
          <w:rFonts w:cs="Times New Roman"/>
          <w:szCs w:val="24"/>
          <w:lang w:val="fr-FR"/>
        </w:rPr>
        <w:t>« </w:t>
      </w:r>
      <w:r w:rsidRPr="00EB5449">
        <w:rPr>
          <w:rFonts w:cs="Times New Roman"/>
          <w:szCs w:val="24"/>
          <w:lang w:val="fr-FR"/>
        </w:rPr>
        <w:t xml:space="preserve">démontré </w:t>
      </w:r>
      <w:r w:rsidRPr="00EB5449">
        <w:rPr>
          <w:rFonts w:cs="Times New Roman"/>
          <w:szCs w:val="24"/>
          <w:u w:val="single"/>
          <w:lang w:val="fr-FR"/>
        </w:rPr>
        <w:t>une autre juste cause</w:t>
      </w:r>
      <w:r w:rsidRPr="00EB5449">
        <w:rPr>
          <w:rFonts w:cs="Times New Roman"/>
          <w:szCs w:val="24"/>
          <w:lang w:val="fr-FR"/>
        </w:rPr>
        <w:t xml:space="preserve"> et, sans préjudice de ce qui précède, [que] sa détention est nécessaire pour ne pas miner la confiance du public envers </w:t>
      </w:r>
      <w:r w:rsidRPr="00EB5449">
        <w:rPr>
          <w:rFonts w:cs="Times New Roman"/>
          <w:szCs w:val="24"/>
          <w:lang w:val="fr-FR"/>
        </w:rPr>
        <w:lastRenderedPageBreak/>
        <w:t>l’administration de la justice</w:t>
      </w:r>
      <w:r>
        <w:rPr>
          <w:rFonts w:cs="Times New Roman"/>
          <w:szCs w:val="24"/>
          <w:lang w:val="fr-FR"/>
        </w:rPr>
        <w:t> »</w:t>
      </w:r>
      <w:r w:rsidRPr="00EB5449">
        <w:rPr>
          <w:rFonts w:cs="Times New Roman"/>
          <w:szCs w:val="24"/>
          <w:lang w:val="fr-FR"/>
        </w:rPr>
        <w:t xml:space="preserve">. À cette époque, le législateur n’avait pas dressé de liste de circonstances dont le juge devait tenir compte dans cette analyse. </w:t>
      </w:r>
    </w:p>
    <w:p w:rsidR="00CE3216" w:rsidRPr="00EB5449" w:rsidRDefault="00CE3216" w:rsidP="00CE3216">
      <w:pPr>
        <w:pStyle w:val="ParaNoNdepar-AltN"/>
        <w:widowControl w:val="0"/>
        <w:rPr>
          <w:rFonts w:cs="Times New Roman"/>
          <w:szCs w:val="24"/>
        </w:rPr>
      </w:pPr>
      <w:r w:rsidRPr="00EB5449">
        <w:rPr>
          <w:rFonts w:cs="Times New Roman"/>
          <w:szCs w:val="24"/>
          <w:lang w:val="fr-FR"/>
        </w:rPr>
        <w:t xml:space="preserve">C’est la validité de cette disposition que la Cour a contrôlée dans l’arrêt </w:t>
      </w:r>
      <w:r w:rsidRPr="00EB5449">
        <w:rPr>
          <w:rFonts w:cs="Times New Roman"/>
          <w:i/>
          <w:iCs/>
          <w:szCs w:val="24"/>
          <w:lang w:val="fr-FR"/>
        </w:rPr>
        <w:t>Hall</w:t>
      </w:r>
      <w:r w:rsidRPr="00EB5449">
        <w:rPr>
          <w:rFonts w:cs="Times New Roman"/>
          <w:szCs w:val="24"/>
          <w:lang w:val="fr-FR"/>
        </w:rPr>
        <w:t>. La</w:t>
      </w:r>
      <w:r w:rsidRPr="00EB5449">
        <w:rPr>
          <w:rFonts w:cs="Times New Roman"/>
          <w:szCs w:val="24"/>
        </w:rPr>
        <w:t xml:space="preserve"> Cour a conclu que la première partie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w:t>
      </w:r>
      <w:r w:rsidRPr="00EB5449">
        <w:rPr>
          <w:rFonts w:cs="Times New Roman"/>
          <w:szCs w:val="24"/>
          <w:lang w:val="fr-FR"/>
        </w:rPr>
        <w:t xml:space="preserve">qui permettait de refuser la mise en liberté sous caution pour </w:t>
      </w:r>
      <w:r>
        <w:rPr>
          <w:rFonts w:cs="Times New Roman"/>
          <w:szCs w:val="24"/>
          <w:lang w:val="fr-FR"/>
        </w:rPr>
        <w:t>« </w:t>
      </w:r>
      <w:r w:rsidRPr="00EB5449">
        <w:rPr>
          <w:rFonts w:cs="Times New Roman"/>
          <w:szCs w:val="24"/>
          <w:lang w:val="fr-FR"/>
        </w:rPr>
        <w:t>une autre juste cause</w:t>
      </w:r>
      <w:r>
        <w:rPr>
          <w:rFonts w:cs="Times New Roman"/>
          <w:szCs w:val="24"/>
          <w:lang w:val="fr-FR"/>
        </w:rPr>
        <w:t> »</w:t>
      </w:r>
      <w:r w:rsidRPr="00EB5449">
        <w:rPr>
          <w:rFonts w:cs="Times New Roman"/>
          <w:szCs w:val="24"/>
          <w:lang w:val="fr-FR"/>
        </w:rPr>
        <w:t>, était inconstitutionnelle parce qu’</w:t>
      </w:r>
      <w:r w:rsidRPr="00EB5449">
        <w:rPr>
          <w:rFonts w:cs="Times New Roman"/>
          <w:szCs w:val="24"/>
        </w:rPr>
        <w:t>incompatible avec la présomption d’innocence et avec l’al. 11</w:t>
      </w:r>
      <w:r w:rsidRPr="00EB5449">
        <w:rPr>
          <w:rFonts w:cs="Times New Roman"/>
          <w:i/>
          <w:iCs/>
          <w:szCs w:val="24"/>
        </w:rPr>
        <w:t>e</w:t>
      </w:r>
      <w:r w:rsidRPr="00EB5449">
        <w:rPr>
          <w:rFonts w:cs="Times New Roman"/>
          <w:szCs w:val="24"/>
        </w:rPr>
        <w:t>) de la</w:t>
      </w:r>
      <w:r w:rsidRPr="00EB5449">
        <w:rPr>
          <w:rFonts w:cs="Times New Roman"/>
          <w:i/>
          <w:iCs/>
          <w:szCs w:val="24"/>
        </w:rPr>
        <w:t xml:space="preserve"> Charte</w:t>
      </w:r>
      <w:r w:rsidRPr="00EB5449">
        <w:rPr>
          <w:rFonts w:cs="Times New Roman"/>
          <w:szCs w:val="24"/>
        </w:rPr>
        <w:t>. La Cour a estimé que cette formulation conférait aux juges un large pouvoir discrétionnaire pour accorder ou non la mise en liberté sous caution, du fait qu’elle ne précisait aucun motif particulier pouvant justifier le refus de mise en liberté sous caution</w:t>
      </w:r>
      <w:r>
        <w:rPr>
          <w:rFonts w:cs="Times New Roman"/>
          <w:szCs w:val="24"/>
        </w:rPr>
        <w:t> :</w:t>
      </w:r>
      <w:r w:rsidRPr="00EB5449">
        <w:rPr>
          <w:rFonts w:cs="Times New Roman"/>
          <w:szCs w:val="24"/>
        </w:rPr>
        <w:t xml:space="preserve"> </w:t>
      </w:r>
      <w:r w:rsidRPr="00EB5449">
        <w:rPr>
          <w:rFonts w:cs="Times New Roman"/>
          <w:i/>
          <w:iCs/>
          <w:szCs w:val="24"/>
        </w:rPr>
        <w:t>Hall</w:t>
      </w:r>
      <w:r w:rsidRPr="00EB5449">
        <w:rPr>
          <w:rFonts w:cs="Times New Roman"/>
          <w:szCs w:val="24"/>
        </w:rPr>
        <w:t>, par. 22. Le reste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a cependant été jugé constitutionnel. </w:t>
      </w:r>
    </w:p>
    <w:p w:rsidR="00CE3216" w:rsidRPr="00EB5449" w:rsidRDefault="00CE3216" w:rsidP="00CE3216">
      <w:pPr>
        <w:pStyle w:val="ParaNoNdepar-AltN"/>
        <w:widowControl w:val="0"/>
        <w:rPr>
          <w:rFonts w:cs="Times New Roman"/>
          <w:szCs w:val="24"/>
        </w:rPr>
      </w:pPr>
      <w:r w:rsidRPr="00EB5449">
        <w:rPr>
          <w:rFonts w:cs="Times New Roman"/>
          <w:szCs w:val="24"/>
        </w:rPr>
        <w:t>En 2008, le législateur fédéral a modifié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afin de le rendre conforme à la décision de la Cour dans </w:t>
      </w:r>
      <w:r w:rsidRPr="00EB5449">
        <w:rPr>
          <w:rFonts w:cs="Times New Roman"/>
          <w:i/>
          <w:iCs/>
          <w:szCs w:val="24"/>
        </w:rPr>
        <w:t>Hall</w:t>
      </w:r>
      <w:r>
        <w:rPr>
          <w:rFonts w:cs="Times New Roman"/>
          <w:i/>
          <w:iCs/>
          <w:szCs w:val="24"/>
        </w:rPr>
        <w:t> </w:t>
      </w:r>
      <w:r w:rsidRPr="008E130A">
        <w:rPr>
          <w:rFonts w:cs="Times New Roman"/>
          <w:iCs/>
          <w:szCs w:val="24"/>
        </w:rPr>
        <w:t>:</w:t>
      </w:r>
      <w:r w:rsidRPr="00EB5449">
        <w:rPr>
          <w:rFonts w:cs="Times New Roman"/>
          <w:i/>
          <w:iCs/>
          <w:szCs w:val="24"/>
        </w:rPr>
        <w:t xml:space="preserve"> </w:t>
      </w:r>
      <w:r w:rsidRPr="00EB5449">
        <w:rPr>
          <w:rFonts w:cs="Times New Roman"/>
          <w:i/>
          <w:iCs/>
          <w:kern w:val="36"/>
          <w:szCs w:val="24"/>
          <w:lang w:val="fr-FR"/>
        </w:rPr>
        <w:t>Loi sur la lutte contre les crimes violents</w:t>
      </w:r>
      <w:r w:rsidRPr="00EB5449">
        <w:rPr>
          <w:rFonts w:cs="Times New Roman"/>
          <w:kern w:val="36"/>
          <w:szCs w:val="24"/>
          <w:lang w:val="fr-FR"/>
        </w:rPr>
        <w:t>, L.C. 2008, c. 6, par. 37(5)</w:t>
      </w:r>
      <w:r w:rsidRPr="00EB5449">
        <w:rPr>
          <w:rFonts w:cs="Times New Roman"/>
          <w:i/>
          <w:iCs/>
          <w:szCs w:val="24"/>
        </w:rPr>
        <w:t xml:space="preserve">. </w:t>
      </w:r>
      <w:r w:rsidRPr="00EB5449">
        <w:rPr>
          <w:rFonts w:cs="Times New Roman"/>
          <w:szCs w:val="24"/>
        </w:rPr>
        <w:t>C’est cette version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iCs/>
          <w:szCs w:val="24"/>
        </w:rPr>
        <w:t>,</w:t>
      </w:r>
      <w:r w:rsidRPr="00EB5449">
        <w:rPr>
          <w:rFonts w:cs="Times New Roman"/>
          <w:i/>
          <w:iCs/>
          <w:szCs w:val="24"/>
        </w:rPr>
        <w:t xml:space="preserve"> </w:t>
      </w:r>
      <w:r w:rsidRPr="00EB5449">
        <w:rPr>
          <w:rFonts w:cs="Times New Roman"/>
          <w:szCs w:val="24"/>
        </w:rPr>
        <w:t>toujours en vigueur aujourd’hui, qui est en cause dans le présent pourvoi</w:t>
      </w:r>
      <w:r>
        <w:rPr>
          <w:rFonts w:cs="Times New Roman"/>
          <w:szCs w:val="24"/>
        </w:rPr>
        <w:t> :</w:t>
      </w:r>
      <w:r w:rsidRPr="00EB5449">
        <w:rPr>
          <w:rFonts w:cs="Times New Roman"/>
          <w:szCs w:val="24"/>
        </w:rPr>
        <w:t xml:space="preserve"> </w:t>
      </w:r>
    </w:p>
    <w:p w:rsidR="00CE3216" w:rsidRPr="00EB5449" w:rsidRDefault="00CE3216" w:rsidP="00CE3216">
      <w:pPr>
        <w:pStyle w:val="Citation-AltC"/>
        <w:widowControl w:val="0"/>
        <w:rPr>
          <w:szCs w:val="24"/>
          <w:lang w:val="fr-FR"/>
        </w:rPr>
      </w:pPr>
      <w:r w:rsidRPr="00EB5449">
        <w:rPr>
          <w:rStyle w:val="Emphasis"/>
          <w:szCs w:val="24"/>
          <w:lang w:val="fr-FR"/>
        </w:rPr>
        <w:t>c</w:t>
      </w:r>
      <w:r w:rsidRPr="00EB5449">
        <w:rPr>
          <w:szCs w:val="24"/>
          <w:lang w:val="fr-FR"/>
        </w:rPr>
        <w:t>)</w:t>
      </w:r>
      <w:r>
        <w:rPr>
          <w:szCs w:val="24"/>
          <w:lang w:val="fr-FR"/>
        </w:rPr>
        <w:t xml:space="preserve"> </w:t>
      </w:r>
      <w:r w:rsidRPr="00EB5449">
        <w:rPr>
          <w:szCs w:val="24"/>
          <w:lang w:val="fr-FR"/>
        </w:rPr>
        <w:t>sa détention est nécessaire pour ne pas miner la confiance du public envers l’administration de la justice, compte tenu de toutes les circonstances, notamment les suivantes</w:t>
      </w:r>
      <w:r>
        <w:rPr>
          <w:szCs w:val="24"/>
          <w:lang w:val="fr-FR"/>
        </w:rPr>
        <w:t>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ind w:firstLine="274"/>
        <w:rPr>
          <w:szCs w:val="24"/>
          <w:lang w:val="fr-FR"/>
        </w:rPr>
      </w:pPr>
      <w:r w:rsidRPr="00EB5449">
        <w:rPr>
          <w:szCs w:val="24"/>
          <w:lang w:val="fr-FR"/>
        </w:rPr>
        <w:t>(i)</w:t>
      </w:r>
      <w:r>
        <w:rPr>
          <w:szCs w:val="24"/>
          <w:lang w:val="fr-FR"/>
        </w:rPr>
        <w:t xml:space="preserve"> </w:t>
      </w:r>
      <w:r w:rsidRPr="00EB5449">
        <w:rPr>
          <w:szCs w:val="24"/>
          <w:lang w:val="fr-FR"/>
        </w:rPr>
        <w:t>le fait que l’accusation paraît fondée,</w:t>
      </w:r>
    </w:p>
    <w:p w:rsidR="00CE3216" w:rsidRPr="00EB5449" w:rsidRDefault="00CE3216" w:rsidP="00CE3216">
      <w:pPr>
        <w:pStyle w:val="Citation-AltC"/>
        <w:widowControl w:val="0"/>
        <w:ind w:firstLine="274"/>
        <w:rPr>
          <w:szCs w:val="24"/>
          <w:lang w:val="fr-FR"/>
        </w:rPr>
      </w:pPr>
    </w:p>
    <w:p w:rsidR="00CE3216" w:rsidRPr="00EB5449" w:rsidRDefault="00CE3216" w:rsidP="00CE3216">
      <w:pPr>
        <w:pStyle w:val="Citation-AltC"/>
        <w:widowControl w:val="0"/>
        <w:ind w:firstLine="274"/>
        <w:rPr>
          <w:szCs w:val="24"/>
          <w:lang w:val="fr-FR"/>
        </w:rPr>
      </w:pPr>
      <w:r w:rsidRPr="00EB5449">
        <w:rPr>
          <w:szCs w:val="24"/>
          <w:lang w:val="fr-FR"/>
        </w:rPr>
        <w:t>(ii)</w:t>
      </w:r>
      <w:r>
        <w:rPr>
          <w:szCs w:val="24"/>
          <w:lang w:val="fr-FR"/>
        </w:rPr>
        <w:t xml:space="preserve"> </w:t>
      </w:r>
      <w:r w:rsidRPr="00EB5449">
        <w:rPr>
          <w:szCs w:val="24"/>
          <w:lang w:val="fr-FR"/>
        </w:rPr>
        <w:t>la gravité de l’infraction,</w:t>
      </w:r>
    </w:p>
    <w:p w:rsidR="00CE3216" w:rsidRPr="00EB5449" w:rsidRDefault="00CE3216" w:rsidP="00CE3216">
      <w:pPr>
        <w:pStyle w:val="Citation-AltC"/>
        <w:widowControl w:val="0"/>
        <w:ind w:firstLine="274"/>
        <w:rPr>
          <w:szCs w:val="24"/>
          <w:lang w:val="fr-FR"/>
        </w:rPr>
      </w:pPr>
    </w:p>
    <w:p w:rsidR="00CE3216" w:rsidRPr="00EB5449" w:rsidRDefault="00CE3216" w:rsidP="00CE3216">
      <w:pPr>
        <w:pStyle w:val="Citation-AltC"/>
        <w:widowControl w:val="0"/>
        <w:ind w:left="1440"/>
        <w:rPr>
          <w:szCs w:val="24"/>
          <w:lang w:val="fr-FR"/>
        </w:rPr>
      </w:pPr>
      <w:r w:rsidRPr="00EB5449">
        <w:rPr>
          <w:szCs w:val="24"/>
          <w:lang w:val="fr-FR"/>
        </w:rPr>
        <w:t>(iii)</w:t>
      </w:r>
      <w:r>
        <w:rPr>
          <w:szCs w:val="24"/>
          <w:lang w:val="fr-FR"/>
        </w:rPr>
        <w:t xml:space="preserve"> </w:t>
      </w:r>
      <w:r w:rsidRPr="00EB5449">
        <w:rPr>
          <w:szCs w:val="24"/>
          <w:lang w:val="fr-FR"/>
        </w:rPr>
        <w:t>les circonstances entourant sa perpétration, y compris l’usage d’une arme à feu,</w:t>
      </w:r>
    </w:p>
    <w:p w:rsidR="00CE3216" w:rsidRPr="00EB5449" w:rsidRDefault="00CE3216" w:rsidP="00CE3216">
      <w:pPr>
        <w:pStyle w:val="Citation-AltC"/>
        <w:widowControl w:val="0"/>
        <w:ind w:left="1440"/>
        <w:rPr>
          <w:szCs w:val="24"/>
          <w:lang w:val="fr-FR"/>
        </w:rPr>
      </w:pPr>
    </w:p>
    <w:p w:rsidR="00CE3216" w:rsidRPr="00EB5449" w:rsidRDefault="00CE3216" w:rsidP="00CE3216">
      <w:pPr>
        <w:pStyle w:val="Citation-AltC"/>
        <w:widowControl w:val="0"/>
        <w:ind w:left="1440"/>
        <w:rPr>
          <w:szCs w:val="24"/>
          <w:lang w:val="fr-FR"/>
        </w:rPr>
      </w:pPr>
      <w:r w:rsidRPr="00EB5449">
        <w:rPr>
          <w:szCs w:val="24"/>
          <w:lang w:val="fr-FR"/>
        </w:rPr>
        <w:lastRenderedPageBreak/>
        <w:t>(iv)</w:t>
      </w:r>
      <w:r>
        <w:rPr>
          <w:szCs w:val="24"/>
          <w:lang w:val="fr-FR"/>
        </w:rPr>
        <w:t xml:space="preserve"> </w:t>
      </w:r>
      <w:r w:rsidRPr="00EB5449">
        <w:rPr>
          <w:szCs w:val="24"/>
          <w:lang w:val="fr-FR"/>
        </w:rPr>
        <w:t>le fait que le prévenu encourt, en cas de condamnation, une longue peine d’emprisonnement ou, s’agissant d’une infraction mettant en jeu une arme à feu, une peine minimale d’emprisonnement d’au moins trois ans.</w:t>
      </w:r>
    </w:p>
    <w:p w:rsidR="00CE3216" w:rsidRPr="00EB5449" w:rsidRDefault="00CE3216" w:rsidP="00CE3216">
      <w:pPr>
        <w:pStyle w:val="Citation-AltC"/>
        <w:widowControl w:val="0"/>
        <w:ind w:left="1440"/>
        <w:rPr>
          <w:szCs w:val="24"/>
          <w:lang w:val="fr-FR"/>
        </w:rPr>
      </w:pPr>
    </w:p>
    <w:p w:rsidR="00CE3216" w:rsidRPr="00EB5449" w:rsidRDefault="00CE3216" w:rsidP="00CE3216">
      <w:pPr>
        <w:pStyle w:val="ContinueParaSuitedupar-AltP"/>
        <w:widowControl w:val="0"/>
        <w:rPr>
          <w:rFonts w:cs="Times New Roman"/>
          <w:lang w:val="fr-FR"/>
        </w:rPr>
      </w:pPr>
      <w:r w:rsidRPr="00EB5449">
        <w:rPr>
          <w:rFonts w:cs="Times New Roman"/>
          <w:lang w:val="fr-FR"/>
        </w:rPr>
        <w:t xml:space="preserve">Le reste du par. 515(10) </w:t>
      </w:r>
      <w:r w:rsidR="004364EE">
        <w:rPr>
          <w:rFonts w:cs="Times New Roman"/>
          <w:i/>
          <w:lang w:val="fr-FR"/>
        </w:rPr>
        <w:t>C. cr.</w:t>
      </w:r>
      <w:r w:rsidRPr="00EB5449">
        <w:rPr>
          <w:rFonts w:cs="Times New Roman"/>
          <w:lang w:val="fr-FR"/>
        </w:rPr>
        <w:t>, ainsi que d’autres dispositions législatives pertinentes, sont reproduites à l’annexe à la fin des présents motifs.</w:t>
      </w:r>
    </w:p>
    <w:p w:rsidR="00CE3216" w:rsidRPr="00EB5449" w:rsidRDefault="00CE3216" w:rsidP="00CE3216">
      <w:pPr>
        <w:pStyle w:val="Title3LevelTitre3Niveau"/>
        <w:widowControl w:val="0"/>
        <w:rPr>
          <w:rFonts w:cs="Times New Roman"/>
          <w:szCs w:val="24"/>
        </w:rPr>
      </w:pPr>
      <w:r w:rsidRPr="00EB5449">
        <w:rPr>
          <w:rFonts w:cs="Times New Roman"/>
          <w:szCs w:val="24"/>
        </w:rPr>
        <w:t xml:space="preserve">Les enseignements de l’arrêt </w:t>
      </w:r>
      <w:r w:rsidRPr="00EB5449">
        <w:rPr>
          <w:rFonts w:cs="Times New Roman"/>
          <w:i/>
          <w:iCs/>
          <w:szCs w:val="24"/>
        </w:rPr>
        <w:t>Hall</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La question centrale dans l’affaire </w:t>
      </w:r>
      <w:r w:rsidRPr="00EB5449">
        <w:rPr>
          <w:rFonts w:cs="Times New Roman"/>
          <w:i/>
          <w:iCs/>
          <w:szCs w:val="24"/>
        </w:rPr>
        <w:t>Hall</w:t>
      </w:r>
      <w:r w:rsidRPr="00EB5449">
        <w:rPr>
          <w:rFonts w:cs="Times New Roman"/>
          <w:szCs w:val="24"/>
        </w:rPr>
        <w:t xml:space="preserve"> était la constitutionnalité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La Cour a cependant donné quelques indications sur l’interprétation à donner à cet alinéa.</w:t>
      </w:r>
    </w:p>
    <w:p w:rsidR="00CE3216" w:rsidRPr="00EB5449" w:rsidRDefault="00CE3216" w:rsidP="00464C91">
      <w:pPr>
        <w:pStyle w:val="Title4LevelTitre4Niveau"/>
        <w:tabs>
          <w:tab w:val="clear" w:pos="1296"/>
          <w:tab w:val="num" w:pos="900"/>
        </w:tabs>
        <w:ind w:left="900" w:hanging="450"/>
      </w:pPr>
      <w:r w:rsidRPr="00EB5449">
        <w:t xml:space="preserve">Le fondement de l’al. 515(10)c) </w:t>
      </w:r>
      <w:r w:rsidR="004364EE">
        <w:t>C. cr.</w:t>
      </w:r>
    </w:p>
    <w:p w:rsidR="00CE3216" w:rsidRPr="00EB5449" w:rsidRDefault="00CE3216" w:rsidP="00CE3216">
      <w:pPr>
        <w:pStyle w:val="ParaNoNdepar-AltN"/>
        <w:widowControl w:val="0"/>
        <w:rPr>
          <w:rFonts w:cs="Times New Roman"/>
          <w:szCs w:val="24"/>
        </w:rPr>
      </w:pPr>
      <w:r w:rsidRPr="00EB5449">
        <w:rPr>
          <w:rFonts w:cs="Times New Roman"/>
          <w:szCs w:val="24"/>
        </w:rPr>
        <w:t>S’exprimant au nom de la majorité de la Cour, la juge en chef McLachlin a expliqué qu’il peut être nécessaire, dans certains cas, de refuser la mise en liberté d’un accusé, et ce, même en l’absence de risque qu’il ne se présente pas à son procès, qu’il récidive ou qu’il nuise à l’administration de la justice</w:t>
      </w:r>
      <w:r>
        <w:rPr>
          <w:rFonts w:cs="Times New Roman"/>
          <w:szCs w:val="24"/>
        </w:rPr>
        <w:t> :</w:t>
      </w:r>
      <w:r w:rsidRPr="00EB5449">
        <w:rPr>
          <w:rFonts w:cs="Times New Roman"/>
          <w:szCs w:val="24"/>
        </w:rPr>
        <w:t xml:space="preserve"> </w:t>
      </w:r>
      <w:r w:rsidRPr="00EB5449">
        <w:rPr>
          <w:rFonts w:cs="Times New Roman"/>
          <w:i/>
          <w:iCs/>
          <w:szCs w:val="24"/>
        </w:rPr>
        <w:t>Hall</w:t>
      </w:r>
      <w:r w:rsidRPr="00EB5449">
        <w:rPr>
          <w:rFonts w:cs="Times New Roman"/>
          <w:szCs w:val="24"/>
        </w:rPr>
        <w:t xml:space="preserve">, par. 25. Selon la Juge en chef, </w:t>
      </w:r>
      <w:r>
        <w:rPr>
          <w:rFonts w:cs="Times New Roman"/>
          <w:szCs w:val="24"/>
        </w:rPr>
        <w:t>« </w:t>
      </w:r>
      <w:r w:rsidRPr="00EB5449">
        <w:rPr>
          <w:rFonts w:cs="Times New Roman"/>
          <w:szCs w:val="24"/>
        </w:rPr>
        <w:t>[l]orsque le public n’a pas l’impression que justice est rendue, il risque d’avoir moins confiance dans le système de mise en liberté sous caution et, de manière plus générale, dans tout le système de justice</w:t>
      </w:r>
      <w:r>
        <w:rPr>
          <w:rFonts w:cs="Times New Roman"/>
          <w:szCs w:val="24"/>
        </w:rPr>
        <w:t> » :</w:t>
      </w:r>
      <w:r w:rsidRPr="00EB5449">
        <w:rPr>
          <w:rFonts w:cs="Times New Roman"/>
          <w:szCs w:val="24"/>
        </w:rPr>
        <w:t xml:space="preserve"> par. 26. Or, écrit la Juge en chef, </w:t>
      </w:r>
      <w:r>
        <w:rPr>
          <w:rFonts w:cs="Times New Roman"/>
          <w:szCs w:val="24"/>
        </w:rPr>
        <w:t>« </w:t>
      </w:r>
      <w:r w:rsidRPr="00EB5449">
        <w:rPr>
          <w:rFonts w:cs="Times New Roman"/>
          <w:szCs w:val="24"/>
        </w:rPr>
        <w:t>[l]a confiance du public est essentielle au bon fonctionnement du système de mise en liberté sous caution et de l’ensemble du système de justice</w:t>
      </w:r>
      <w:r>
        <w:rPr>
          <w:rFonts w:cs="Times New Roman"/>
          <w:szCs w:val="24"/>
        </w:rPr>
        <w:t> » :</w:t>
      </w:r>
      <w:r w:rsidRPr="00EB5449">
        <w:rPr>
          <w:rFonts w:cs="Times New Roman"/>
          <w:szCs w:val="24"/>
        </w:rPr>
        <w:t xml:space="preserve"> par. 27, se </w:t>
      </w:r>
      <w:r w:rsidRPr="00EB5449">
        <w:rPr>
          <w:rFonts w:cs="Times New Roman"/>
          <w:szCs w:val="24"/>
        </w:rPr>
        <w:lastRenderedPageBreak/>
        <w:t xml:space="preserve">référant à </w:t>
      </w:r>
      <w:r w:rsidRPr="00EB5449">
        <w:rPr>
          <w:rFonts w:cs="Times New Roman"/>
          <w:i/>
          <w:iCs/>
          <w:szCs w:val="24"/>
        </w:rPr>
        <w:t>Valente c. La Reine</w:t>
      </w:r>
      <w:r w:rsidRPr="00EB5449">
        <w:rPr>
          <w:rFonts w:cs="Times New Roman"/>
          <w:szCs w:val="24"/>
        </w:rPr>
        <w:t>, [1985] 2 R.C.S. 673, p. 689.</w:t>
      </w:r>
    </w:p>
    <w:p w:rsidR="00CE3216" w:rsidRPr="00EB5449" w:rsidRDefault="00CE3216" w:rsidP="00CE3216">
      <w:pPr>
        <w:pStyle w:val="Title4LevelTitre4Niveau"/>
        <w:widowControl w:val="0"/>
        <w:ind w:left="892" w:hanging="446"/>
        <w:rPr>
          <w:rFonts w:cs="Times New Roman"/>
          <w:iCs/>
          <w:szCs w:val="24"/>
        </w:rPr>
      </w:pPr>
      <w:r w:rsidRPr="00EB5449">
        <w:rPr>
          <w:rFonts w:cs="Times New Roman"/>
          <w:szCs w:val="24"/>
        </w:rPr>
        <w:t xml:space="preserve">Le caractère distinct du motif prévu à l’al. 515(10)c) </w:t>
      </w:r>
      <w:r w:rsidR="004364EE">
        <w:rPr>
          <w:rFonts w:cs="Times New Roman"/>
          <w:iCs/>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t>La juge en chef McLachlin a par ailleurs précisé que l’al. 515(10)</w:t>
      </w:r>
      <w:r w:rsidRPr="00EB5449">
        <w:rPr>
          <w:rFonts w:cs="Times New Roman"/>
          <w:i/>
          <w:szCs w:val="24"/>
        </w:rPr>
        <w:t>c</w:t>
      </w:r>
      <w:r w:rsidRPr="00EB5449">
        <w:rPr>
          <w:rFonts w:cs="Times New Roman"/>
          <w:szCs w:val="24"/>
        </w:rPr>
        <w:t xml:space="preserve">) </w:t>
      </w:r>
      <w:r w:rsidR="004364EE">
        <w:rPr>
          <w:rFonts w:cs="Times New Roman"/>
          <w:i/>
          <w:iCs/>
          <w:szCs w:val="24"/>
        </w:rPr>
        <w:t>C. cr.</w:t>
      </w:r>
      <w:r w:rsidRPr="00EB5449">
        <w:rPr>
          <w:rFonts w:cs="Times New Roman"/>
          <w:i/>
          <w:iCs/>
          <w:szCs w:val="24"/>
        </w:rPr>
        <w:t xml:space="preserve"> </w:t>
      </w:r>
      <w:r w:rsidRPr="00EB5449">
        <w:rPr>
          <w:rFonts w:cs="Times New Roman"/>
          <w:iCs/>
          <w:szCs w:val="24"/>
        </w:rPr>
        <w:t xml:space="preserve">n’énonce </w:t>
      </w:r>
      <w:r w:rsidRPr="00EB5449">
        <w:rPr>
          <w:rFonts w:cs="Times New Roman"/>
          <w:szCs w:val="24"/>
        </w:rPr>
        <w:t xml:space="preserve">pas de motif de détention que l’on pourrait qualifier de </w:t>
      </w:r>
      <w:r>
        <w:rPr>
          <w:rFonts w:cs="Times New Roman"/>
          <w:szCs w:val="24"/>
        </w:rPr>
        <w:t>« </w:t>
      </w:r>
      <w:r w:rsidRPr="00EB5449">
        <w:rPr>
          <w:rFonts w:cs="Times New Roman"/>
          <w:szCs w:val="24"/>
        </w:rPr>
        <w:t>résiduel</w:t>
      </w:r>
      <w:r>
        <w:rPr>
          <w:rFonts w:cs="Times New Roman"/>
          <w:szCs w:val="24"/>
        </w:rPr>
        <w:t> »</w:t>
      </w:r>
      <w:r w:rsidRPr="00EB5449">
        <w:rPr>
          <w:rFonts w:cs="Times New Roman"/>
          <w:szCs w:val="24"/>
        </w:rPr>
        <w:t>, c’est-à-dire un motif qui ne s’appliquerait qu’en dernier recours, mais plutôt un motif séparé et distinct</w:t>
      </w:r>
      <w:r>
        <w:rPr>
          <w:rFonts w:cs="Times New Roman"/>
          <w:szCs w:val="24"/>
        </w:rPr>
        <w:t> :</w:t>
      </w:r>
    </w:p>
    <w:p w:rsidR="00CE3216" w:rsidRPr="00EB5449" w:rsidRDefault="00CE3216" w:rsidP="00CE3216">
      <w:pPr>
        <w:pStyle w:val="Citation-AltC"/>
        <w:widowControl w:val="0"/>
        <w:ind w:firstLine="274"/>
        <w:rPr>
          <w:szCs w:val="24"/>
          <w:lang w:val="fr-FR"/>
        </w:rPr>
      </w:pPr>
      <w:r w:rsidRPr="00EB5449">
        <w:rPr>
          <w:szCs w:val="24"/>
          <w:lang w:val="fr-FR"/>
        </w:rPr>
        <w:t>Le refus d’accorder la mise en liberté sous caution pour ne pas miner la confiance du public dans l’administration de la justice n’est pas simplement une solution générale applicable dans les cas où les deux premiers motifs n’ont pas pu être invoqués avec succès.</w:t>
      </w:r>
      <w:r>
        <w:rPr>
          <w:szCs w:val="24"/>
          <w:lang w:val="fr-FR"/>
        </w:rPr>
        <w:t xml:space="preserve"> </w:t>
      </w:r>
      <w:r w:rsidRPr="00EB5449">
        <w:rPr>
          <w:szCs w:val="24"/>
          <w:lang w:val="fr-FR"/>
        </w:rPr>
        <w:t xml:space="preserve"> Elle représente un </w:t>
      </w:r>
      <w:r w:rsidRPr="00EB5449">
        <w:rPr>
          <w:szCs w:val="24"/>
          <w:u w:val="single"/>
          <w:lang w:val="fr-FR"/>
        </w:rPr>
        <w:t>motif séparé et distinct de refuser d’accorder la mise en liberté</w:t>
      </w:r>
      <w:r w:rsidRPr="00EB5449">
        <w:rPr>
          <w:szCs w:val="24"/>
          <w:lang w:val="fr-FR"/>
        </w:rPr>
        <w:t xml:space="preserve"> sous caution, qui n’est pas visé par les deux autres catégories.</w:t>
      </w:r>
      <w:r>
        <w:rPr>
          <w:szCs w:val="24"/>
          <w:lang w:val="fr-FR"/>
        </w:rPr>
        <w:t xml:space="preserve"> </w:t>
      </w:r>
      <w:r w:rsidRPr="00EB5449">
        <w:rPr>
          <w:szCs w:val="24"/>
          <w:lang w:val="fr-FR"/>
        </w:rPr>
        <w:t xml:space="preserve"> </w:t>
      </w:r>
      <w:r w:rsidRPr="00EB5449">
        <w:rPr>
          <w:szCs w:val="24"/>
          <w:u w:val="single"/>
          <w:lang w:val="fr-FR"/>
        </w:rPr>
        <w:t>Les mêmes faits peuvent être pertinents à l’égard des trois motifs</w:t>
      </w:r>
      <w:r w:rsidRPr="00C96D64">
        <w:rPr>
          <w:szCs w:val="24"/>
          <w:u w:val="single"/>
          <w:lang w:val="fr-FR"/>
        </w:rPr>
        <w:t>.</w:t>
      </w:r>
      <w:r w:rsidRPr="00EB5449">
        <w:rPr>
          <w:szCs w:val="24"/>
          <w:lang w:val="fr-FR"/>
        </w:rPr>
        <w:t xml:space="preserve"> [</w:t>
      </w:r>
      <w:r>
        <w:rPr>
          <w:szCs w:val="24"/>
          <w:lang w:val="fr-FR"/>
        </w:rPr>
        <w:t>. . .</w:t>
      </w:r>
      <w:r w:rsidRPr="00EB5449">
        <w:rPr>
          <w:szCs w:val="24"/>
          <w:lang w:val="fr-FR"/>
        </w:rPr>
        <w:t>]</w:t>
      </w:r>
      <w:r>
        <w:rPr>
          <w:szCs w:val="24"/>
          <w:lang w:val="fr-FR"/>
        </w:rPr>
        <w:t xml:space="preserve"> </w:t>
      </w:r>
      <w:r w:rsidRPr="00EB5449">
        <w:rPr>
          <w:szCs w:val="24"/>
          <w:lang w:val="fr-FR"/>
        </w:rPr>
        <w:t xml:space="preserve"> Cependant, cela n’enlève rien au caractère distinct des trois motifs. [Je souligne.]</w:t>
      </w:r>
    </w:p>
    <w:p w:rsidR="00CE3216" w:rsidRPr="00EB5449" w:rsidRDefault="00CE3216" w:rsidP="00CE3216">
      <w:pPr>
        <w:pStyle w:val="Citation-AltC"/>
        <w:widowControl w:val="0"/>
        <w:rPr>
          <w:szCs w:val="24"/>
          <w:lang w:val="fr-FR"/>
        </w:rPr>
      </w:pPr>
    </w:p>
    <w:p w:rsidR="00CE3216" w:rsidRPr="00EB5449" w:rsidRDefault="00CE3216" w:rsidP="00C96D64">
      <w:pPr>
        <w:pStyle w:val="Citation-AltC"/>
        <w:widowControl w:val="0"/>
        <w:ind w:left="0"/>
        <w:rPr>
          <w:szCs w:val="24"/>
        </w:rPr>
      </w:pPr>
      <w:r w:rsidRPr="00EB5449">
        <w:rPr>
          <w:iCs/>
          <w:szCs w:val="24"/>
          <w:lang w:val="fr-FR"/>
        </w:rPr>
        <w:t>(</w:t>
      </w:r>
      <w:r w:rsidRPr="00EB5449">
        <w:rPr>
          <w:i/>
          <w:iCs/>
          <w:szCs w:val="24"/>
          <w:lang w:val="fr-FR"/>
        </w:rPr>
        <w:t>Hall</w:t>
      </w:r>
      <w:r w:rsidRPr="00EB5449">
        <w:rPr>
          <w:szCs w:val="24"/>
          <w:lang w:val="fr-FR"/>
        </w:rPr>
        <w:t>, par. 30)</w:t>
      </w:r>
    </w:p>
    <w:p w:rsidR="00CE3216" w:rsidRPr="00EB5449" w:rsidRDefault="00CE3216" w:rsidP="00CE3216">
      <w:pPr>
        <w:pStyle w:val="Title4LevelTitre4Niveau"/>
        <w:widowControl w:val="0"/>
        <w:ind w:left="892" w:hanging="446"/>
        <w:rPr>
          <w:rFonts w:cs="Times New Roman"/>
          <w:szCs w:val="24"/>
        </w:rPr>
      </w:pPr>
      <w:r w:rsidRPr="00EB5449">
        <w:rPr>
          <w:rFonts w:cs="Times New Roman"/>
          <w:szCs w:val="24"/>
        </w:rPr>
        <w:t xml:space="preserve">L’analyse requise par l’al. 515(10)c) </w:t>
      </w:r>
      <w:r w:rsidR="004364EE">
        <w:rPr>
          <w:rFonts w:cs="Times New Roman"/>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t>La Juge en chef ne s’est pas attardée longuement à l’analyse que doit effectuer le juge appelé à statuer sur l’application ou non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Je reproduis toutefois les propos</w:t>
      </w:r>
      <w:r>
        <w:rPr>
          <w:rFonts w:cs="Times New Roman"/>
          <w:szCs w:val="24"/>
        </w:rPr>
        <w:t xml:space="preserve"> </w:t>
      </w:r>
      <w:r w:rsidRPr="00EB5449">
        <w:rPr>
          <w:rFonts w:cs="Times New Roman"/>
          <w:szCs w:val="24"/>
        </w:rPr>
        <w:t>suivants</w:t>
      </w:r>
      <w:r>
        <w:rPr>
          <w:rFonts w:cs="Times New Roman"/>
          <w:szCs w:val="24"/>
        </w:rPr>
        <w:t> :</w:t>
      </w:r>
    </w:p>
    <w:p w:rsidR="00CE3216" w:rsidRPr="00EB5449" w:rsidRDefault="00CE3216" w:rsidP="00CE3216">
      <w:pPr>
        <w:pStyle w:val="Citation-AltC"/>
        <w:widowControl w:val="0"/>
        <w:ind w:firstLine="274"/>
        <w:rPr>
          <w:szCs w:val="24"/>
          <w:lang w:val="fr-FR"/>
        </w:rPr>
      </w:pPr>
      <w:r w:rsidRPr="00EB5449">
        <w:rPr>
          <w:szCs w:val="24"/>
          <w:u w:val="single"/>
          <w:lang w:val="fr-FR"/>
        </w:rPr>
        <w:t>L’alinéa 515(10)</w:t>
      </w:r>
      <w:r w:rsidRPr="00EB5449">
        <w:rPr>
          <w:i/>
          <w:iCs/>
          <w:szCs w:val="24"/>
          <w:u w:val="single"/>
          <w:lang w:val="fr-FR"/>
        </w:rPr>
        <w:t>c</w:t>
      </w:r>
      <w:r w:rsidRPr="00EB5449">
        <w:rPr>
          <w:szCs w:val="24"/>
          <w:u w:val="single"/>
          <w:lang w:val="fr-FR"/>
        </w:rPr>
        <w:t>) énonce des facteurs particuliers qui décrivent certains cas bien précis</w:t>
      </w:r>
      <w:r w:rsidRPr="00EB5449">
        <w:rPr>
          <w:szCs w:val="24"/>
          <w:lang w:val="fr-FR"/>
        </w:rPr>
        <w:t xml:space="preserve"> dans lesquels la mise en liberté sous caution peut être refusée dans le but de maintenir la confiance du public dans l’administration de la justice.</w:t>
      </w:r>
      <w:r>
        <w:rPr>
          <w:szCs w:val="24"/>
          <w:lang w:val="fr-FR"/>
        </w:rPr>
        <w:t xml:space="preserve"> </w:t>
      </w:r>
      <w:r w:rsidRPr="00EB5449">
        <w:rPr>
          <w:szCs w:val="24"/>
          <w:lang w:val="fr-FR"/>
        </w:rPr>
        <w:t xml:space="preserve"> Comme nous l’avons vu, ces cas peuvent se présenter lorsque, en dépit du fait qu’il est improbable que l’accusé </w:t>
      </w:r>
      <w:r w:rsidRPr="00EB5449">
        <w:rPr>
          <w:szCs w:val="24"/>
          <w:lang w:val="fr-FR"/>
        </w:rPr>
        <w:lastRenderedPageBreak/>
        <w:t>s’esquivera ou qu’il commettra d’autres infractions en attendant de subir son procès, sa présence dans la collectivité compromettra la confiance du public dans l’administration de la justice.</w:t>
      </w:r>
      <w:r>
        <w:rPr>
          <w:szCs w:val="24"/>
          <w:lang w:val="fr-FR"/>
        </w:rPr>
        <w:t xml:space="preserve"> </w:t>
      </w:r>
      <w:r w:rsidRPr="00EB5449">
        <w:rPr>
          <w:szCs w:val="24"/>
          <w:lang w:val="fr-FR"/>
        </w:rPr>
        <w:t xml:space="preserve"> Pour décider si on est en présence d’une telle situation, </w:t>
      </w:r>
      <w:r w:rsidRPr="00EB5449">
        <w:rPr>
          <w:szCs w:val="24"/>
          <w:u w:val="single"/>
          <w:lang w:val="fr-FR"/>
        </w:rPr>
        <w:t>il faut tenir compte de toutes les circonstances, mais particulièrement des quatre facteurs énoncés</w:t>
      </w:r>
      <w:r w:rsidRPr="00EB5449">
        <w:rPr>
          <w:szCs w:val="24"/>
          <w:lang w:val="fr-FR"/>
        </w:rPr>
        <w:t xml:space="preserve"> par le législateur à l’al. 515(10)</w:t>
      </w:r>
      <w:r w:rsidRPr="00EB5449">
        <w:rPr>
          <w:i/>
          <w:iCs/>
          <w:szCs w:val="24"/>
          <w:lang w:val="fr-FR"/>
        </w:rPr>
        <w:t>c</w:t>
      </w:r>
      <w:r w:rsidRPr="00EB5449">
        <w:rPr>
          <w:szCs w:val="24"/>
          <w:lang w:val="fr-FR"/>
        </w:rPr>
        <w:t>) — le fait que l’accusation paraît fondée, la gravité de l’infraction, les circonstances entourant sa perpétration et le fait que le prévenu encourt, en cas de condamnation, une longue peine d’emprisonnement</w:t>
      </w:r>
      <w:r>
        <w:rPr>
          <w:szCs w:val="24"/>
          <w:lang w:val="fr-FR"/>
        </w:rPr>
        <w:t>. .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ind w:firstLine="274"/>
        <w:rPr>
          <w:szCs w:val="24"/>
          <w:lang w:val="fr-FR"/>
        </w:rPr>
      </w:pPr>
      <w:r w:rsidRPr="00EB5449">
        <w:rPr>
          <w:szCs w:val="24"/>
          <w:u w:val="single"/>
          <w:lang w:val="fr-FR"/>
        </w:rPr>
        <w:t>Tel est donc l’objectif du législateur</w:t>
      </w:r>
      <w:r>
        <w:rPr>
          <w:szCs w:val="24"/>
          <w:u w:val="single"/>
          <w:lang w:val="fr-FR"/>
        </w:rPr>
        <w:t> :</w:t>
      </w:r>
      <w:r w:rsidRPr="00EB5449">
        <w:rPr>
          <w:szCs w:val="24"/>
          <w:u w:val="single"/>
          <w:lang w:val="fr-FR"/>
        </w:rPr>
        <w:t xml:space="preserve"> maintenir la confiance du public</w:t>
      </w:r>
      <w:r w:rsidRPr="004364EE">
        <w:rPr>
          <w:szCs w:val="24"/>
          <w:lang w:val="fr-FR"/>
        </w:rPr>
        <w:t xml:space="preserve"> </w:t>
      </w:r>
      <w:r w:rsidRPr="00EB5449">
        <w:rPr>
          <w:szCs w:val="24"/>
          <w:lang w:val="fr-FR"/>
        </w:rPr>
        <w:t>dans le système de mise en liberté sous caution et l’ensemble du système de justice.</w:t>
      </w:r>
      <w:r>
        <w:rPr>
          <w:szCs w:val="24"/>
          <w:lang w:val="fr-FR"/>
        </w:rPr>
        <w:t xml:space="preserve"> </w:t>
      </w:r>
      <w:r w:rsidRPr="00EB5449">
        <w:rPr>
          <w:szCs w:val="24"/>
          <w:lang w:val="fr-FR"/>
        </w:rPr>
        <w:t xml:space="preserve"> [</w:t>
      </w:r>
      <w:r>
        <w:rPr>
          <w:szCs w:val="24"/>
          <w:lang w:val="fr-FR"/>
        </w:rPr>
        <w:t>. . .</w:t>
      </w:r>
      <w:r w:rsidRPr="00EB5449">
        <w:rPr>
          <w:szCs w:val="24"/>
          <w:lang w:val="fr-FR"/>
        </w:rPr>
        <w:t>]</w:t>
      </w:r>
      <w:r>
        <w:rPr>
          <w:szCs w:val="24"/>
          <w:lang w:val="fr-FR"/>
        </w:rPr>
        <w:t xml:space="preserve"> </w:t>
      </w:r>
      <w:r w:rsidRPr="00EB5449">
        <w:rPr>
          <w:szCs w:val="24"/>
          <w:lang w:val="fr-FR"/>
        </w:rPr>
        <w:t xml:space="preserve"> Qui plus est, </w:t>
      </w:r>
      <w:r w:rsidRPr="00EB5449">
        <w:rPr>
          <w:szCs w:val="24"/>
          <w:u w:val="single"/>
          <w:lang w:val="fr-FR"/>
        </w:rPr>
        <w:t>le juge procède à cette évaluation objectivement</w:t>
      </w:r>
      <w:r w:rsidRPr="00EB5449">
        <w:rPr>
          <w:szCs w:val="24"/>
          <w:lang w:val="fr-FR"/>
        </w:rPr>
        <w:t xml:space="preserve"> à la lumière des quatre facteurs énoncés par le législateur. Il ne peut pas évoquer ses propres raisons pour refuser d’accorder la mise en liberté sous caution.</w:t>
      </w:r>
      <w:r>
        <w:rPr>
          <w:szCs w:val="24"/>
          <w:lang w:val="fr-FR"/>
        </w:rPr>
        <w:t xml:space="preserve"> </w:t>
      </w:r>
      <w:r w:rsidRPr="00EB5449">
        <w:rPr>
          <w:szCs w:val="24"/>
          <w:lang w:val="fr-FR"/>
        </w:rPr>
        <w:t xml:space="preserve"> </w:t>
      </w:r>
      <w:r w:rsidRPr="00EB5449">
        <w:rPr>
          <w:szCs w:val="24"/>
          <w:u w:val="single"/>
          <w:lang w:val="fr-FR"/>
        </w:rPr>
        <w:t>Bien qu’il doive tenir compte de toutes les circonstances, le juge doit prêter une attention particulière aux facteurs énoncés par le législateur.</w:t>
      </w:r>
      <w:r>
        <w:rPr>
          <w:szCs w:val="24"/>
          <w:lang w:val="fr-FR"/>
        </w:rPr>
        <w:t xml:space="preserve"> </w:t>
      </w:r>
      <w:r w:rsidRPr="00EB5449">
        <w:rPr>
          <w:szCs w:val="24"/>
          <w:lang w:val="fr-FR"/>
        </w:rPr>
        <w:t xml:space="preserve"> En définitive, le juge peut refuser d’accorder la mise en liberté sous caution uniquement s’il est persuadé, à la lumière de ces facteurs et des circonstances connexes, qu’un membre raisonnable de la collectivité serait convaincu que ce refus est nécessaire pour ne pas miner la confiance du public dans l’administration de la justice.</w:t>
      </w:r>
      <w:r>
        <w:rPr>
          <w:szCs w:val="24"/>
          <w:lang w:val="fr-FR"/>
        </w:rPr>
        <w:t xml:space="preserve"> </w:t>
      </w:r>
      <w:r w:rsidRPr="00EB5449">
        <w:rPr>
          <w:szCs w:val="24"/>
          <w:lang w:val="fr-FR"/>
        </w:rPr>
        <w:t xml:space="preserve"> [</w:t>
      </w:r>
      <w:r>
        <w:rPr>
          <w:szCs w:val="24"/>
          <w:lang w:val="fr-FR"/>
        </w:rPr>
        <w:t>. . .</w:t>
      </w:r>
      <w:r w:rsidRPr="00EB5449">
        <w:rPr>
          <w:szCs w:val="24"/>
          <w:lang w:val="fr-FR"/>
        </w:rPr>
        <w:t xml:space="preserve">] [L]a disposition en cause ne laisse pas une </w:t>
      </w:r>
      <w:r>
        <w:rPr>
          <w:szCs w:val="24"/>
          <w:lang w:val="fr-FR"/>
        </w:rPr>
        <w:t>« </w:t>
      </w:r>
      <w:r w:rsidRPr="00EB5449">
        <w:rPr>
          <w:szCs w:val="24"/>
          <w:lang w:val="fr-FR"/>
        </w:rPr>
        <w:t>large place à l’arbitraire</w:t>
      </w:r>
      <w:r>
        <w:rPr>
          <w:szCs w:val="24"/>
          <w:lang w:val="fr-FR"/>
        </w:rPr>
        <w:t> »</w:t>
      </w:r>
      <w:r w:rsidRPr="00EB5449">
        <w:rPr>
          <w:szCs w:val="24"/>
          <w:lang w:val="fr-FR"/>
        </w:rPr>
        <w:t xml:space="preserve"> et ne confère pas non plus aux juges un pouvoir discrétionnaire illimité.</w:t>
      </w:r>
      <w:r>
        <w:rPr>
          <w:szCs w:val="24"/>
          <w:lang w:val="fr-FR"/>
        </w:rPr>
        <w:t xml:space="preserve"> </w:t>
      </w:r>
      <w:r w:rsidRPr="00EB5449">
        <w:rPr>
          <w:szCs w:val="24"/>
          <w:lang w:val="fr-FR"/>
        </w:rPr>
        <w:t xml:space="preserve"> Au contraire, </w:t>
      </w:r>
      <w:r w:rsidRPr="00EB5449">
        <w:rPr>
          <w:szCs w:val="24"/>
          <w:u w:val="single"/>
          <w:lang w:val="fr-FR"/>
        </w:rPr>
        <w:t>elle établit un juste équilibre entre les droits de l’accusé et la nécessité de veiller à ce que la justice règne dans la collectivité</w:t>
      </w:r>
      <w:r w:rsidRPr="00EB5449">
        <w:rPr>
          <w:szCs w:val="24"/>
          <w:lang w:val="fr-FR"/>
        </w:rPr>
        <w:t>.</w:t>
      </w:r>
      <w:r>
        <w:rPr>
          <w:szCs w:val="24"/>
          <w:lang w:val="fr-FR"/>
        </w:rPr>
        <w:t xml:space="preserve"> </w:t>
      </w:r>
      <w:r w:rsidRPr="00EB5449">
        <w:rPr>
          <w:szCs w:val="24"/>
          <w:lang w:val="fr-FR"/>
        </w:rPr>
        <w:t xml:space="preserve"> Somme toute, elle n’a pas une portée excessive. [Je souligne.]</w:t>
      </w:r>
    </w:p>
    <w:p w:rsidR="00CE3216" w:rsidRPr="00EB5449" w:rsidRDefault="00CE3216" w:rsidP="00CE3216">
      <w:pPr>
        <w:pStyle w:val="Citation-AltC"/>
        <w:widowControl w:val="0"/>
        <w:rPr>
          <w:szCs w:val="24"/>
          <w:u w:val="single"/>
          <w:lang w:val="fr-FR"/>
        </w:rPr>
      </w:pPr>
    </w:p>
    <w:p w:rsidR="00CE3216" w:rsidRPr="00EB5449" w:rsidRDefault="00CE3216" w:rsidP="00C96D64">
      <w:pPr>
        <w:pStyle w:val="Citation-AltC"/>
        <w:widowControl w:val="0"/>
        <w:ind w:left="0"/>
        <w:rPr>
          <w:szCs w:val="24"/>
          <w:lang w:val="fr-FR"/>
        </w:rPr>
      </w:pPr>
      <w:r w:rsidRPr="00EB5449">
        <w:rPr>
          <w:szCs w:val="24"/>
          <w:lang w:val="fr-FR"/>
        </w:rPr>
        <w:t>(</w:t>
      </w:r>
      <w:r w:rsidRPr="00EB5449">
        <w:rPr>
          <w:i/>
          <w:iCs/>
          <w:szCs w:val="24"/>
          <w:lang w:val="fr-FR"/>
        </w:rPr>
        <w:t>Hall</w:t>
      </w:r>
      <w:r w:rsidRPr="00EB5449">
        <w:rPr>
          <w:szCs w:val="24"/>
          <w:lang w:val="fr-FR"/>
        </w:rPr>
        <w:t>, par. 40-41)</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 xml:space="preserve">Je reviendrai plus loin sur l’arrêt </w:t>
      </w:r>
      <w:r w:rsidRPr="00EB5449">
        <w:rPr>
          <w:rFonts w:cs="Times New Roman"/>
          <w:i/>
          <w:iCs/>
          <w:szCs w:val="24"/>
          <w:lang w:val="fr-FR"/>
        </w:rPr>
        <w:t>Hall</w:t>
      </w:r>
      <w:r w:rsidRPr="00EB5449">
        <w:rPr>
          <w:rFonts w:cs="Times New Roman"/>
          <w:szCs w:val="24"/>
          <w:lang w:val="fr-FR"/>
        </w:rPr>
        <w:t xml:space="preserve"> et sur certains passages dont je n’ai pas traité ici.  </w:t>
      </w:r>
    </w:p>
    <w:p w:rsidR="00CE3216" w:rsidRPr="00EB5449" w:rsidRDefault="00CE3216" w:rsidP="00CE3216">
      <w:pPr>
        <w:pStyle w:val="Title3LevelTitre3Niveau"/>
        <w:widowControl w:val="0"/>
        <w:rPr>
          <w:rFonts w:cs="Times New Roman"/>
          <w:szCs w:val="24"/>
        </w:rPr>
      </w:pPr>
      <w:r w:rsidRPr="00EB5449">
        <w:rPr>
          <w:rFonts w:cs="Times New Roman"/>
          <w:szCs w:val="24"/>
        </w:rPr>
        <w:t>Les principes devant guider l’analyse</w:t>
      </w:r>
    </w:p>
    <w:p w:rsidR="00CE3216" w:rsidRPr="00EB5449" w:rsidRDefault="00CE3216" w:rsidP="00CE3216">
      <w:pPr>
        <w:pStyle w:val="Title4LevelTitre4Niveau"/>
        <w:widowControl w:val="0"/>
        <w:ind w:left="892" w:hanging="446"/>
        <w:rPr>
          <w:rFonts w:cs="Times New Roman"/>
          <w:szCs w:val="24"/>
        </w:rPr>
      </w:pPr>
      <w:r w:rsidRPr="00EB5449">
        <w:rPr>
          <w:rFonts w:cs="Times New Roman"/>
          <w:szCs w:val="24"/>
        </w:rPr>
        <w:t xml:space="preserve">Le rejet de l’application restrictive de l’al. 515(10)c) </w:t>
      </w:r>
      <w:r w:rsidR="004364EE">
        <w:rPr>
          <w:rFonts w:cs="Times New Roman"/>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L’appelante soutient que les tribunaux ont artificiellement ajouté des </w:t>
      </w:r>
      <w:r w:rsidRPr="00EB5449">
        <w:rPr>
          <w:rFonts w:cs="Times New Roman"/>
          <w:szCs w:val="24"/>
        </w:rPr>
        <w:lastRenderedPageBreak/>
        <w:t>facteurs à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malgré les enseignements très clairs de l’arrêt </w:t>
      </w:r>
      <w:r w:rsidRPr="00EB5449">
        <w:rPr>
          <w:rFonts w:cs="Times New Roman"/>
          <w:i/>
          <w:szCs w:val="24"/>
        </w:rPr>
        <w:t>Hall</w:t>
      </w:r>
      <w:r w:rsidRPr="00EB5449">
        <w:rPr>
          <w:rFonts w:cs="Times New Roman"/>
          <w:szCs w:val="24"/>
        </w:rPr>
        <w:t>, dans le but avoué de restreindre sa portée et de raréfier les cas où son application serait justifiée. Elle affirme qu’une telle approche doit être rejetée.</w:t>
      </w:r>
    </w:p>
    <w:p w:rsidR="00CE3216" w:rsidRPr="00EB5449" w:rsidRDefault="00CE3216" w:rsidP="00CE3216">
      <w:pPr>
        <w:pStyle w:val="ParaNoNdepar-AltN"/>
        <w:widowControl w:val="0"/>
        <w:rPr>
          <w:rFonts w:cs="Times New Roman"/>
          <w:szCs w:val="24"/>
        </w:rPr>
      </w:pPr>
      <w:r w:rsidRPr="00EB5449">
        <w:rPr>
          <w:rFonts w:cs="Times New Roman"/>
          <w:szCs w:val="24"/>
        </w:rPr>
        <w:t xml:space="preserve">Pour sa part, l’intimé prétend au contraire qu’il ressort des enseignements de l’arrêt </w:t>
      </w:r>
      <w:r w:rsidRPr="00EB5449">
        <w:rPr>
          <w:rFonts w:cs="Times New Roman"/>
          <w:i/>
          <w:szCs w:val="24"/>
        </w:rPr>
        <w:t>Hall</w:t>
      </w:r>
      <w:r w:rsidRPr="00EB5449">
        <w:rPr>
          <w:rFonts w:cs="Times New Roman"/>
          <w:szCs w:val="24"/>
        </w:rPr>
        <w:t xml:space="preserve"> que les cas d’application de l’al. 515(10)</w:t>
      </w:r>
      <w:r w:rsidRPr="00EB5449">
        <w:rPr>
          <w:rFonts w:cs="Times New Roman"/>
          <w:i/>
          <w:iCs/>
          <w:szCs w:val="24"/>
        </w:rPr>
        <w:t>c</w:t>
      </w:r>
      <w:r w:rsidRPr="00EB5449">
        <w:rPr>
          <w:rFonts w:cs="Times New Roman"/>
          <w:szCs w:val="24"/>
        </w:rPr>
        <w:t>) sont limités et rares. L’intimé plaide qu’il faut accorder un poids relatif aux quatre facteurs et que le juge ne doit pas perdre de vue la question déterminante, soit celle de savoir si la mise en liberté du prévenu aurait pour effet de miner la confiance du public envers l’administration de la justice.</w:t>
      </w:r>
    </w:p>
    <w:p w:rsidR="00CE3216" w:rsidRPr="00EB5449" w:rsidRDefault="00CE3216" w:rsidP="00CE3216">
      <w:pPr>
        <w:pStyle w:val="ParaNoNdepar-AltN"/>
        <w:widowControl w:val="0"/>
        <w:rPr>
          <w:rFonts w:cs="Times New Roman"/>
          <w:szCs w:val="24"/>
        </w:rPr>
      </w:pPr>
      <w:r w:rsidRPr="00EB5449">
        <w:rPr>
          <w:rFonts w:cs="Times New Roman"/>
          <w:szCs w:val="24"/>
        </w:rPr>
        <w:t>Il est vrai que certaines décisions témoignent d’une application stricte de l’al. 515(10)</w:t>
      </w:r>
      <w:r w:rsidRPr="00EB5449">
        <w:rPr>
          <w:rFonts w:cs="Times New Roman"/>
          <w:i/>
          <w:iCs/>
          <w:szCs w:val="24"/>
        </w:rPr>
        <w:t>c</w:t>
      </w:r>
      <w:r w:rsidRPr="00EB5449">
        <w:rPr>
          <w:rFonts w:cs="Times New Roman"/>
          <w:szCs w:val="24"/>
        </w:rPr>
        <w:t>)</w:t>
      </w:r>
      <w:r>
        <w:rPr>
          <w:rFonts w:cs="Times New Roman"/>
          <w:szCs w:val="24"/>
        </w:rPr>
        <w:t> :</w:t>
      </w:r>
      <w:r w:rsidRPr="00EB5449">
        <w:rPr>
          <w:rFonts w:cs="Times New Roman"/>
          <w:szCs w:val="24"/>
        </w:rPr>
        <w:t xml:space="preserve"> voir, p. ex., </w:t>
      </w:r>
      <w:r w:rsidRPr="00EB5449">
        <w:rPr>
          <w:rFonts w:cs="Times New Roman"/>
          <w:i/>
          <w:iCs/>
          <w:szCs w:val="24"/>
        </w:rPr>
        <w:t>R. c. Thomson</w:t>
      </w:r>
      <w:r w:rsidRPr="00EB5449">
        <w:rPr>
          <w:rFonts w:cs="Times New Roman"/>
          <w:szCs w:val="24"/>
        </w:rPr>
        <w:t xml:space="preserve"> (2004), 21 C.R. (6th) 209 (C.S.J. Ont.); </w:t>
      </w:r>
      <w:r w:rsidRPr="00EB5449">
        <w:rPr>
          <w:rFonts w:cs="Times New Roman"/>
          <w:i/>
          <w:iCs/>
          <w:szCs w:val="24"/>
        </w:rPr>
        <w:t>R. c. B. (A.)</w:t>
      </w:r>
      <w:r w:rsidRPr="00EB5449">
        <w:rPr>
          <w:rFonts w:cs="Times New Roman"/>
          <w:szCs w:val="24"/>
        </w:rPr>
        <w:t xml:space="preserve"> </w:t>
      </w:r>
      <w:r w:rsidRPr="00EB5449">
        <w:rPr>
          <w:rFonts w:cs="Times New Roman"/>
          <w:szCs w:val="24"/>
          <w:lang w:val="en-US"/>
        </w:rPr>
        <w:t xml:space="preserve">(2006), 204 C.C.C. (3d) 490 (C.S.J. Ont.); </w:t>
      </w:r>
      <w:r w:rsidRPr="00EB5449">
        <w:rPr>
          <w:rFonts w:cs="Times New Roman"/>
          <w:i/>
          <w:iCs/>
          <w:szCs w:val="24"/>
          <w:lang w:val="en-US"/>
        </w:rPr>
        <w:t>R. c. Pichler</w:t>
      </w:r>
      <w:r w:rsidRPr="00EB5449">
        <w:rPr>
          <w:rFonts w:cs="Times New Roman"/>
          <w:szCs w:val="24"/>
          <w:lang w:val="en-US"/>
        </w:rPr>
        <w:t xml:space="preserve">, 2009 ABPC 24; </w:t>
      </w:r>
      <w:r w:rsidRPr="00EB5449">
        <w:rPr>
          <w:rFonts w:cs="Times New Roman"/>
          <w:i/>
          <w:iCs/>
          <w:szCs w:val="24"/>
          <w:lang w:val="en-US"/>
        </w:rPr>
        <w:t>R. c. Teemotee</w:t>
      </w:r>
      <w:r w:rsidRPr="00EB5449">
        <w:rPr>
          <w:rFonts w:cs="Times New Roman"/>
          <w:szCs w:val="24"/>
          <w:lang w:val="en-US"/>
        </w:rPr>
        <w:t xml:space="preserve">, 2011 NUCJ 17. </w:t>
      </w:r>
      <w:r w:rsidRPr="00EB5449">
        <w:rPr>
          <w:rFonts w:cs="Times New Roman"/>
          <w:szCs w:val="24"/>
        </w:rPr>
        <w:t>Cette approche a également été retenue par certaines cours d’appel. À titre d’exemple, la Cour d’appel de la Colombie-Britannique et celle de l’Ontario ont affirmé que le recours à l’al. 515(10)</w:t>
      </w:r>
      <w:r w:rsidRPr="00EB5449">
        <w:rPr>
          <w:rFonts w:cs="Times New Roman"/>
          <w:i/>
          <w:iCs/>
          <w:szCs w:val="24"/>
        </w:rPr>
        <w:t>c</w:t>
      </w:r>
      <w:r w:rsidRPr="00EB5449">
        <w:rPr>
          <w:rFonts w:cs="Times New Roman"/>
          <w:szCs w:val="24"/>
        </w:rPr>
        <w:t>) n’est justifié qu’en présence de circonstances</w:t>
      </w:r>
      <w:r>
        <w:rPr>
          <w:rFonts w:cs="Times New Roman"/>
          <w:szCs w:val="24"/>
        </w:rPr>
        <w:t xml:space="preserve"> </w:t>
      </w:r>
      <w:r w:rsidRPr="00EB5449">
        <w:rPr>
          <w:rFonts w:cs="Times New Roman"/>
          <w:szCs w:val="24"/>
        </w:rPr>
        <w:t xml:space="preserve">rares ou exceptionnelles: </w:t>
      </w:r>
      <w:r w:rsidRPr="00EB5449">
        <w:rPr>
          <w:rFonts w:cs="Times New Roman"/>
          <w:i/>
          <w:iCs/>
          <w:szCs w:val="24"/>
        </w:rPr>
        <w:t>R. c. Bhullar</w:t>
      </w:r>
      <w:r w:rsidRPr="00EB5449">
        <w:rPr>
          <w:rFonts w:cs="Times New Roman"/>
          <w:szCs w:val="24"/>
        </w:rPr>
        <w:t xml:space="preserve">, 2005 BCCA 409, par. 62 et 65; </w:t>
      </w:r>
      <w:r w:rsidRPr="00EB5449">
        <w:rPr>
          <w:rFonts w:cs="Times New Roman"/>
          <w:i/>
          <w:iCs/>
          <w:szCs w:val="24"/>
        </w:rPr>
        <w:t>R. c. Brotherston</w:t>
      </w:r>
      <w:r w:rsidRPr="00EB5449">
        <w:rPr>
          <w:rFonts w:cs="Times New Roman"/>
          <w:szCs w:val="24"/>
        </w:rPr>
        <w:t xml:space="preserve">, 2009 BCCA 431, 71 C.R. (6th) 81, par. 30 et 35; </w:t>
      </w:r>
      <w:r w:rsidRPr="00EB5449">
        <w:rPr>
          <w:rFonts w:cs="Times New Roman"/>
          <w:i/>
          <w:iCs/>
          <w:szCs w:val="24"/>
        </w:rPr>
        <w:t xml:space="preserve">R. c. LaFramboise </w:t>
      </w:r>
      <w:r w:rsidRPr="00EB5449">
        <w:rPr>
          <w:rFonts w:cs="Times New Roman"/>
          <w:szCs w:val="24"/>
        </w:rPr>
        <w:t>(2005), 203 C.C.C. (3d) 492 (C.A. Ont.), par. 30. Une variante de ce prérequis est l’affirmation selon laquelle l’al. 515(10)</w:t>
      </w:r>
      <w:r w:rsidRPr="00EB5449">
        <w:rPr>
          <w:rFonts w:cs="Times New Roman"/>
          <w:i/>
          <w:iCs/>
          <w:szCs w:val="24"/>
        </w:rPr>
        <w:t>c</w:t>
      </w:r>
      <w:r w:rsidRPr="00EB5449">
        <w:rPr>
          <w:rFonts w:cs="Times New Roman"/>
          <w:szCs w:val="24"/>
        </w:rPr>
        <w:t>) doit être appliqué [</w:t>
      </w:r>
      <w:r w:rsidRPr="00EB5449">
        <w:rPr>
          <w:rFonts w:cs="Times New Roman"/>
          <w:smallCaps/>
          <w:szCs w:val="24"/>
        </w:rPr>
        <w:t>traduction</w:t>
      </w:r>
      <w:r w:rsidRPr="00EB5449">
        <w:rPr>
          <w:rFonts w:cs="Times New Roman"/>
          <w:szCs w:val="24"/>
        </w:rPr>
        <w:t xml:space="preserve">] </w:t>
      </w:r>
      <w:r>
        <w:rPr>
          <w:rFonts w:cs="Times New Roman"/>
          <w:szCs w:val="24"/>
        </w:rPr>
        <w:t>« </w:t>
      </w:r>
      <w:r w:rsidRPr="00EB5449">
        <w:rPr>
          <w:rFonts w:cs="Times New Roman"/>
          <w:szCs w:val="24"/>
        </w:rPr>
        <w:t>parcimonieusement</w:t>
      </w:r>
      <w:r>
        <w:rPr>
          <w:rFonts w:cs="Times New Roman"/>
          <w:szCs w:val="24"/>
        </w:rPr>
        <w:t xml:space="preserve"> » </w:t>
      </w:r>
      <w:r w:rsidRPr="00EB5449">
        <w:rPr>
          <w:rFonts w:cs="Times New Roman"/>
          <w:szCs w:val="24"/>
        </w:rPr>
        <w:t>(</w:t>
      </w:r>
      <w:r>
        <w:rPr>
          <w:rFonts w:cs="Times New Roman"/>
          <w:szCs w:val="24"/>
        </w:rPr>
        <w:t>« </w:t>
      </w:r>
      <w:r w:rsidRPr="00EB5449">
        <w:rPr>
          <w:rFonts w:cs="Times New Roman"/>
          <w:i/>
          <w:szCs w:val="24"/>
        </w:rPr>
        <w:t>sparingly</w:t>
      </w:r>
      <w:r>
        <w:rPr>
          <w:rFonts w:cs="Times New Roman"/>
          <w:szCs w:val="24"/>
        </w:rPr>
        <w:t> »</w:t>
      </w:r>
      <w:r w:rsidRPr="00EB5449">
        <w:rPr>
          <w:rFonts w:cs="Times New Roman"/>
          <w:szCs w:val="24"/>
        </w:rPr>
        <w:t>)</w:t>
      </w:r>
      <w:r w:rsidR="004364EE">
        <w:rPr>
          <w:rFonts w:cs="Times New Roman"/>
          <w:szCs w:val="24"/>
        </w:rPr>
        <w:t xml:space="preserve"> </w:t>
      </w:r>
      <w:r w:rsidRPr="00EB5449">
        <w:rPr>
          <w:rFonts w:cs="Times New Roman"/>
          <w:szCs w:val="24"/>
        </w:rPr>
        <w:t xml:space="preserve">: </w:t>
      </w:r>
      <w:r w:rsidRPr="00EB5449">
        <w:rPr>
          <w:rFonts w:cs="Times New Roman"/>
          <w:i/>
          <w:iCs/>
          <w:szCs w:val="24"/>
        </w:rPr>
        <w:t>LaFramboise</w:t>
      </w:r>
      <w:r w:rsidRPr="00EB5449">
        <w:rPr>
          <w:rFonts w:cs="Times New Roman"/>
          <w:iCs/>
          <w:szCs w:val="24"/>
        </w:rPr>
        <w:t>,</w:t>
      </w:r>
      <w:r w:rsidRPr="00EB5449">
        <w:rPr>
          <w:rFonts w:cs="Times New Roman"/>
          <w:i/>
          <w:iCs/>
          <w:szCs w:val="24"/>
        </w:rPr>
        <w:t xml:space="preserve"> </w:t>
      </w:r>
      <w:r w:rsidRPr="00EB5449">
        <w:rPr>
          <w:rFonts w:cs="Times New Roman"/>
          <w:szCs w:val="24"/>
        </w:rPr>
        <w:t>par. 30;</w:t>
      </w:r>
      <w:r w:rsidRPr="00EB5449">
        <w:rPr>
          <w:rFonts w:cs="Times New Roman"/>
          <w:i/>
          <w:iCs/>
          <w:szCs w:val="24"/>
        </w:rPr>
        <w:t xml:space="preserve"> </w:t>
      </w:r>
      <w:r w:rsidRPr="00EB5449">
        <w:rPr>
          <w:rFonts w:cs="Times New Roman"/>
          <w:i/>
          <w:szCs w:val="24"/>
        </w:rPr>
        <w:t>R</w:t>
      </w:r>
      <w:r w:rsidRPr="00EB5449">
        <w:rPr>
          <w:rFonts w:cs="Times New Roman"/>
          <w:szCs w:val="24"/>
        </w:rPr>
        <w:t xml:space="preserve">. </w:t>
      </w:r>
      <w:r w:rsidRPr="00EB5449">
        <w:rPr>
          <w:rFonts w:cs="Times New Roman"/>
          <w:i/>
          <w:szCs w:val="24"/>
        </w:rPr>
        <w:t>c.</w:t>
      </w:r>
      <w:r w:rsidRPr="00EB5449">
        <w:rPr>
          <w:rFonts w:cs="Times New Roman"/>
          <w:szCs w:val="24"/>
        </w:rPr>
        <w:t xml:space="preserve"> </w:t>
      </w:r>
      <w:r w:rsidRPr="00EB5449">
        <w:rPr>
          <w:rFonts w:cs="Times New Roman"/>
          <w:i/>
          <w:szCs w:val="24"/>
        </w:rPr>
        <w:t>D. (R.)</w:t>
      </w:r>
      <w:r w:rsidRPr="00EB5449">
        <w:rPr>
          <w:rFonts w:cs="Times New Roman"/>
          <w:szCs w:val="24"/>
        </w:rPr>
        <w:t xml:space="preserve">, 2010 ONCA 899, 273 C.C.C. (3d) 7, par. 51-53. La Cour d’appel de la </w:t>
      </w:r>
      <w:r w:rsidRPr="00EB5449">
        <w:rPr>
          <w:rFonts w:cs="Times New Roman"/>
          <w:szCs w:val="24"/>
        </w:rPr>
        <w:lastRenderedPageBreak/>
        <w:t>Saskatchewan a par ailleurs jugé que l’al. 515(10)</w:t>
      </w:r>
      <w:r w:rsidRPr="00EB5449">
        <w:rPr>
          <w:rFonts w:cs="Times New Roman"/>
          <w:i/>
          <w:iCs/>
          <w:szCs w:val="24"/>
        </w:rPr>
        <w:t>c</w:t>
      </w:r>
      <w:r w:rsidRPr="00EB5449">
        <w:rPr>
          <w:rFonts w:cs="Times New Roman"/>
          <w:szCs w:val="24"/>
        </w:rPr>
        <w:t>) requérait quelque chose de plus, en sus des quatre facteurs énoncés (</w:t>
      </w:r>
      <w:r>
        <w:rPr>
          <w:rFonts w:cs="Times New Roman"/>
          <w:szCs w:val="24"/>
        </w:rPr>
        <w:t>« </w:t>
      </w:r>
      <w:r w:rsidRPr="00EB5449">
        <w:rPr>
          <w:rFonts w:cs="Times New Roman"/>
          <w:i/>
          <w:iCs/>
          <w:szCs w:val="24"/>
        </w:rPr>
        <w:t>something more</w:t>
      </w:r>
      <w:r w:rsidRPr="00CE3216">
        <w:rPr>
          <w:rFonts w:cs="Times New Roman"/>
          <w:iCs/>
          <w:szCs w:val="24"/>
        </w:rPr>
        <w:t> »</w:t>
      </w:r>
      <w:r w:rsidRPr="00EB5449">
        <w:rPr>
          <w:rFonts w:cs="Times New Roman"/>
          <w:szCs w:val="24"/>
        </w:rPr>
        <w:t>)</w:t>
      </w:r>
      <w:r>
        <w:rPr>
          <w:rFonts w:cs="Times New Roman"/>
          <w:szCs w:val="24"/>
        </w:rPr>
        <w:t> :</w:t>
      </w:r>
      <w:r w:rsidRPr="00EB5449">
        <w:rPr>
          <w:rFonts w:cs="Times New Roman"/>
          <w:szCs w:val="24"/>
        </w:rPr>
        <w:t xml:space="preserve"> </w:t>
      </w:r>
      <w:r w:rsidRPr="00EB5449">
        <w:rPr>
          <w:rFonts w:cs="Times New Roman"/>
          <w:i/>
          <w:iCs/>
          <w:szCs w:val="24"/>
        </w:rPr>
        <w:t>R. c. Blind</w:t>
      </w:r>
      <w:r w:rsidRPr="00EB5449">
        <w:rPr>
          <w:rFonts w:cs="Times New Roman"/>
          <w:szCs w:val="24"/>
        </w:rPr>
        <w:t xml:space="preserve"> (1999), 139 C.C.C. (3d) 87, par. 16. Bien que cette dernière décision soit antérieure à celle de notre Cour dans </w:t>
      </w:r>
      <w:r w:rsidRPr="00EB5449">
        <w:rPr>
          <w:rFonts w:cs="Times New Roman"/>
          <w:i/>
          <w:iCs/>
          <w:szCs w:val="24"/>
        </w:rPr>
        <w:t>Hall</w:t>
      </w:r>
      <w:r w:rsidRPr="00EB5449">
        <w:rPr>
          <w:rFonts w:cs="Times New Roman"/>
          <w:szCs w:val="24"/>
        </w:rPr>
        <w:t xml:space="preserve">, cette affirmation a été reprise postérieurement à l’arrêt </w:t>
      </w:r>
      <w:r w:rsidRPr="00EB5449">
        <w:rPr>
          <w:rFonts w:cs="Times New Roman"/>
          <w:i/>
          <w:iCs/>
          <w:szCs w:val="24"/>
        </w:rPr>
        <w:t>Hall</w:t>
      </w:r>
      <w:r w:rsidRPr="00EB5449">
        <w:rPr>
          <w:rFonts w:cs="Times New Roman"/>
          <w:szCs w:val="24"/>
        </w:rPr>
        <w:t>, notamment par la Cour d’appel de l’Ontario</w:t>
      </w:r>
      <w:r>
        <w:rPr>
          <w:rFonts w:cs="Times New Roman"/>
          <w:szCs w:val="24"/>
        </w:rPr>
        <w:t> :</w:t>
      </w:r>
      <w:r w:rsidRPr="00EB5449">
        <w:rPr>
          <w:rFonts w:cs="Times New Roman"/>
          <w:szCs w:val="24"/>
        </w:rPr>
        <w:t xml:space="preserve"> </w:t>
      </w:r>
      <w:r w:rsidRPr="00EB5449">
        <w:rPr>
          <w:rFonts w:cs="Times New Roman"/>
          <w:i/>
          <w:iCs/>
          <w:szCs w:val="24"/>
        </w:rPr>
        <w:t>LaFramboise</w:t>
      </w:r>
      <w:r w:rsidRPr="00EB5449">
        <w:rPr>
          <w:rFonts w:cs="Times New Roman"/>
          <w:iCs/>
          <w:szCs w:val="24"/>
        </w:rPr>
        <w:t>,</w:t>
      </w:r>
      <w:r w:rsidRPr="00EB5449">
        <w:rPr>
          <w:rFonts w:cs="Times New Roman"/>
          <w:i/>
          <w:iCs/>
          <w:szCs w:val="24"/>
        </w:rPr>
        <w:t xml:space="preserve"> </w:t>
      </w:r>
      <w:r w:rsidRPr="00EB5449">
        <w:rPr>
          <w:rFonts w:cs="Times New Roman"/>
          <w:szCs w:val="24"/>
        </w:rPr>
        <w:t xml:space="preserve">par. 38. Dans une décision subséquente à l’arrêt </w:t>
      </w:r>
      <w:r w:rsidRPr="00EB5449">
        <w:rPr>
          <w:rFonts w:cs="Times New Roman"/>
          <w:i/>
          <w:iCs/>
          <w:szCs w:val="24"/>
        </w:rPr>
        <w:t>LaFramboise</w:t>
      </w:r>
      <w:r w:rsidRPr="00EB5449">
        <w:rPr>
          <w:rFonts w:cs="Times New Roman"/>
          <w:szCs w:val="24"/>
        </w:rPr>
        <w:t>, la Cour d’appel de l’Ontario a plutôt conclu que l’idée de quelque chose de plus (</w:t>
      </w:r>
      <w:r>
        <w:rPr>
          <w:rFonts w:cs="Times New Roman"/>
          <w:szCs w:val="24"/>
        </w:rPr>
        <w:t>« </w:t>
      </w:r>
      <w:r w:rsidRPr="00EB5449">
        <w:rPr>
          <w:rFonts w:cs="Times New Roman"/>
          <w:i/>
          <w:iCs/>
          <w:szCs w:val="24"/>
        </w:rPr>
        <w:t>something more</w:t>
      </w:r>
      <w:r>
        <w:rPr>
          <w:rFonts w:cs="Times New Roman"/>
          <w:szCs w:val="24"/>
        </w:rPr>
        <w:t> »</w:t>
      </w:r>
      <w:r w:rsidRPr="00EB5449">
        <w:rPr>
          <w:rFonts w:cs="Times New Roman"/>
          <w:szCs w:val="24"/>
        </w:rPr>
        <w:t>) ne faisait qu’exprimer la nécessité de recourir parcimonieusement à l’al. 515(10)</w:t>
      </w:r>
      <w:r w:rsidRPr="00EB5449">
        <w:rPr>
          <w:rFonts w:cs="Times New Roman"/>
          <w:i/>
          <w:iCs/>
          <w:szCs w:val="24"/>
        </w:rPr>
        <w:t>c</w:t>
      </w:r>
      <w:r w:rsidRPr="00EB5449">
        <w:rPr>
          <w:rFonts w:cs="Times New Roman"/>
          <w:szCs w:val="24"/>
        </w:rPr>
        <w:t>)</w:t>
      </w:r>
      <w:r>
        <w:rPr>
          <w:rFonts w:cs="Times New Roman"/>
          <w:szCs w:val="24"/>
        </w:rPr>
        <w:t> :</w:t>
      </w:r>
      <w:r w:rsidRPr="00EB5449">
        <w:rPr>
          <w:rFonts w:cs="Times New Roman"/>
          <w:szCs w:val="24"/>
        </w:rPr>
        <w:t xml:space="preserve"> </w:t>
      </w:r>
      <w:r w:rsidRPr="00EB5449">
        <w:rPr>
          <w:rFonts w:cs="Times New Roman"/>
          <w:i/>
          <w:szCs w:val="24"/>
        </w:rPr>
        <w:t>D. (R.)</w:t>
      </w:r>
      <w:r w:rsidRPr="00EB5449">
        <w:rPr>
          <w:rFonts w:cs="Times New Roman"/>
          <w:szCs w:val="24"/>
        </w:rPr>
        <w:t>, par. 53.</w:t>
      </w:r>
      <w:r>
        <w:rPr>
          <w:rFonts w:cs="Times New Roman"/>
          <w:szCs w:val="24"/>
        </w:rPr>
        <w:t xml:space="preserve"> </w:t>
      </w:r>
      <w:r w:rsidRPr="00EB5449">
        <w:rPr>
          <w:rFonts w:cs="Times New Roman"/>
          <w:szCs w:val="24"/>
        </w:rPr>
        <w:t xml:space="preserve">La cour a toutefois exprimé l’avis que le troisième motif de détention ne se limitait pas aux infractions les plus odieuses qui soient et qu’il pouvait être invoqué dans des circonstances n’atteignant pas le degré d’horreur et d’effroi qu’avaient suscité dans la communauté les circonstances de l’affaire </w:t>
      </w:r>
      <w:r w:rsidRPr="00EB5449">
        <w:rPr>
          <w:rFonts w:cs="Times New Roman"/>
          <w:i/>
          <w:iCs/>
          <w:szCs w:val="24"/>
        </w:rPr>
        <w:t>Hall</w:t>
      </w:r>
      <w:r w:rsidRPr="00EB5449">
        <w:rPr>
          <w:rFonts w:cs="Times New Roman"/>
          <w:szCs w:val="24"/>
        </w:rPr>
        <w:t>.</w:t>
      </w:r>
    </w:p>
    <w:p w:rsidR="00CE3216" w:rsidRPr="00EB5449" w:rsidRDefault="00CE3216" w:rsidP="00CE3216">
      <w:pPr>
        <w:pStyle w:val="ParaNoNdepar-AltN"/>
        <w:widowControl w:val="0"/>
        <w:rPr>
          <w:rFonts w:cs="Times New Roman"/>
          <w:szCs w:val="24"/>
        </w:rPr>
      </w:pPr>
      <w:r w:rsidRPr="00EB5449">
        <w:rPr>
          <w:rFonts w:cs="Times New Roman"/>
          <w:szCs w:val="24"/>
        </w:rPr>
        <w:t xml:space="preserve">Je vois deux raisons —  l’une législative, l’autre jurisprudentielle — qui ont pu amener les tribunaux d’appel canadiens à ces interprétations.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D’abord, l’ancienne formulation du par. 515(10) </w:t>
      </w:r>
      <w:r w:rsidR="004364EE">
        <w:rPr>
          <w:rFonts w:cs="Times New Roman"/>
          <w:i/>
          <w:iCs/>
          <w:szCs w:val="24"/>
        </w:rPr>
        <w:t>C. cr.</w:t>
      </w:r>
      <w:r w:rsidRPr="00EB5449">
        <w:rPr>
          <w:rFonts w:cs="Times New Roman"/>
          <w:szCs w:val="24"/>
        </w:rPr>
        <w:t xml:space="preserve"> — celle en vigueur notamment à l’époque de l’affaire </w:t>
      </w:r>
      <w:r w:rsidRPr="00EB5449">
        <w:rPr>
          <w:rFonts w:cs="Times New Roman"/>
          <w:i/>
          <w:iCs/>
          <w:szCs w:val="24"/>
        </w:rPr>
        <w:t xml:space="preserve">Morales </w:t>
      </w:r>
      <w:r w:rsidRPr="00EB5449">
        <w:rPr>
          <w:rFonts w:cs="Times New Roman"/>
          <w:iCs/>
          <w:szCs w:val="24"/>
        </w:rPr>
        <w:t xml:space="preserve">— faisait état de </w:t>
      </w:r>
      <w:r w:rsidRPr="00EB5449">
        <w:rPr>
          <w:rFonts w:cs="Times New Roman"/>
          <w:szCs w:val="24"/>
        </w:rPr>
        <w:t xml:space="preserve">deux motifs de détention avant procès, l’un </w:t>
      </w:r>
      <w:r w:rsidRPr="00EB5449">
        <w:rPr>
          <w:rFonts w:cs="Times New Roman"/>
          <w:i/>
          <w:szCs w:val="24"/>
        </w:rPr>
        <w:t>principal</w:t>
      </w:r>
      <w:r w:rsidRPr="00EB5449">
        <w:rPr>
          <w:rFonts w:cs="Times New Roman"/>
          <w:szCs w:val="24"/>
        </w:rPr>
        <w:t xml:space="preserve"> et l’autre </w:t>
      </w:r>
      <w:r w:rsidRPr="00EB5449">
        <w:rPr>
          <w:rFonts w:cs="Times New Roman"/>
          <w:i/>
          <w:szCs w:val="24"/>
        </w:rPr>
        <w:t>secondaire</w:t>
      </w:r>
      <w:r w:rsidRPr="00EB5449">
        <w:rPr>
          <w:rFonts w:cs="Times New Roman"/>
          <w:szCs w:val="24"/>
        </w:rPr>
        <w:t>. Aux termes de l’al. 515(10)</w:t>
      </w:r>
      <w:r w:rsidRPr="00EB5449">
        <w:rPr>
          <w:rFonts w:cs="Times New Roman"/>
          <w:i/>
          <w:iCs/>
          <w:szCs w:val="24"/>
        </w:rPr>
        <w:t>a</w:t>
      </w:r>
      <w:r w:rsidRPr="00EB5449">
        <w:rPr>
          <w:rFonts w:cs="Times New Roman"/>
          <w:szCs w:val="24"/>
        </w:rPr>
        <w:t xml:space="preserve">), le motif principal était la nécessité de la détention du prévenu </w:t>
      </w:r>
      <w:r>
        <w:rPr>
          <w:rFonts w:cs="Times New Roman"/>
          <w:szCs w:val="24"/>
        </w:rPr>
        <w:t>« </w:t>
      </w:r>
      <w:r w:rsidRPr="00EB5449">
        <w:rPr>
          <w:rFonts w:cs="Times New Roman"/>
          <w:szCs w:val="24"/>
        </w:rPr>
        <w:t>pour assurer sa présence au tribunal afin qu’il soit traité selon la loi</w:t>
      </w:r>
      <w:r>
        <w:rPr>
          <w:rFonts w:cs="Times New Roman"/>
          <w:szCs w:val="24"/>
        </w:rPr>
        <w:t> »</w:t>
      </w:r>
      <w:r w:rsidRPr="00EB5449">
        <w:rPr>
          <w:rFonts w:cs="Times New Roman"/>
          <w:szCs w:val="24"/>
        </w:rPr>
        <w:t>.</w:t>
      </w:r>
      <w:r>
        <w:rPr>
          <w:rFonts w:cs="Times New Roman"/>
          <w:szCs w:val="24"/>
        </w:rPr>
        <w:t xml:space="preserve"> </w:t>
      </w:r>
      <w:r w:rsidRPr="00EB5449">
        <w:rPr>
          <w:rFonts w:cs="Times New Roman"/>
          <w:szCs w:val="24"/>
        </w:rPr>
        <w:t xml:space="preserve"> Suivant l’al. 515(10)</w:t>
      </w:r>
      <w:r w:rsidRPr="00EB5449">
        <w:rPr>
          <w:rFonts w:cs="Times New Roman"/>
          <w:i/>
          <w:iCs/>
          <w:szCs w:val="24"/>
        </w:rPr>
        <w:t>b</w:t>
      </w:r>
      <w:r w:rsidRPr="00EB5449">
        <w:rPr>
          <w:rFonts w:cs="Times New Roman"/>
          <w:szCs w:val="24"/>
        </w:rPr>
        <w:t xml:space="preserve">), le motif secondaire était la nécessité de la détention du prévenu </w:t>
      </w:r>
      <w:r>
        <w:rPr>
          <w:rFonts w:cs="Times New Roman"/>
          <w:szCs w:val="24"/>
        </w:rPr>
        <w:t>« </w:t>
      </w:r>
      <w:r w:rsidRPr="00EB5449">
        <w:rPr>
          <w:rFonts w:cs="Times New Roman"/>
          <w:szCs w:val="24"/>
        </w:rPr>
        <w:t xml:space="preserve">dans l’intérêt public ou pour la protection ou la sécurité du public, eu égard aux </w:t>
      </w:r>
      <w:r w:rsidRPr="00EB5449">
        <w:rPr>
          <w:rFonts w:cs="Times New Roman"/>
          <w:szCs w:val="24"/>
        </w:rPr>
        <w:lastRenderedPageBreak/>
        <w:t>circonstances, y compris toute probabilité marquée que le prévenu, s’il est mis en liberté, commettra une infraction criminelle ou nuira à l’administration de la justice</w:t>
      </w:r>
      <w:r>
        <w:rPr>
          <w:rFonts w:cs="Times New Roman"/>
          <w:szCs w:val="24"/>
        </w:rPr>
        <w:t> »</w:t>
      </w:r>
      <w:r w:rsidRPr="00EB5449">
        <w:rPr>
          <w:rFonts w:cs="Times New Roman"/>
          <w:szCs w:val="24"/>
        </w:rPr>
        <w:t xml:space="preserve">. </w:t>
      </w:r>
      <w:r>
        <w:rPr>
          <w:rFonts w:cs="Times New Roman"/>
          <w:spacing w:val="-3"/>
          <w:szCs w:val="24"/>
        </w:rPr>
        <w:t xml:space="preserve"> </w:t>
      </w:r>
      <w:r w:rsidRPr="00EB5449">
        <w:rPr>
          <w:rFonts w:cs="Times New Roman"/>
          <w:spacing w:val="-3"/>
          <w:szCs w:val="24"/>
        </w:rPr>
        <w:t>Le motif secondaire ne pouvait fonder la détention d’un prévenu que si sa détention n’était pas justifiée pour le motif principal mentionné à l’al.</w:t>
      </w:r>
      <w:r>
        <w:rPr>
          <w:rFonts w:cs="Times New Roman"/>
          <w:spacing w:val="-3"/>
          <w:szCs w:val="24"/>
        </w:rPr>
        <w:t xml:space="preserve"> </w:t>
      </w:r>
      <w:r w:rsidRPr="00EB5449">
        <w:rPr>
          <w:rFonts w:cs="Times New Roman"/>
          <w:i/>
          <w:iCs/>
          <w:spacing w:val="-3"/>
          <w:szCs w:val="24"/>
        </w:rPr>
        <w:t>a</w:t>
      </w:r>
      <w:r w:rsidRPr="00EB5449">
        <w:rPr>
          <w:rFonts w:cs="Times New Roman"/>
          <w:spacing w:val="-3"/>
          <w:szCs w:val="24"/>
        </w:rPr>
        <w:t xml:space="preserve">). </w:t>
      </w:r>
      <w:r w:rsidRPr="00EB5449">
        <w:rPr>
          <w:rFonts w:cs="Times New Roman"/>
          <w:szCs w:val="24"/>
        </w:rPr>
        <w:t xml:space="preserve">C’est le motif secondaire de détention qui était en cause dans l’affaire </w:t>
      </w:r>
      <w:r w:rsidRPr="00EB5449">
        <w:rPr>
          <w:rFonts w:cs="Times New Roman"/>
          <w:i/>
          <w:iCs/>
          <w:szCs w:val="24"/>
        </w:rPr>
        <w:t>Morales</w:t>
      </w:r>
      <w:r w:rsidRPr="00EB5449">
        <w:rPr>
          <w:rFonts w:cs="Times New Roman"/>
          <w:szCs w:val="24"/>
        </w:rPr>
        <w:t xml:space="preserve"> et, comme je l’ai rappelé précédemment, notre Cour a invalidé l’élément </w:t>
      </w:r>
      <w:r>
        <w:rPr>
          <w:rFonts w:cs="Times New Roman"/>
          <w:szCs w:val="24"/>
        </w:rPr>
        <w:t>« </w:t>
      </w:r>
      <w:r w:rsidRPr="00EB5449">
        <w:rPr>
          <w:rFonts w:cs="Times New Roman"/>
          <w:szCs w:val="24"/>
        </w:rPr>
        <w:t>intérêt [du] public</w:t>
      </w:r>
      <w:r>
        <w:rPr>
          <w:rFonts w:cs="Times New Roman"/>
          <w:szCs w:val="24"/>
        </w:rPr>
        <w:t> »</w:t>
      </w:r>
      <w:r w:rsidRPr="00EB5449">
        <w:rPr>
          <w:rFonts w:cs="Times New Roman"/>
          <w:szCs w:val="24"/>
        </w:rPr>
        <w:t xml:space="preserve"> de ce motif. Cependant, depuis le changement apporté en 1997, le libellé du par. 515(10) ne prévoit plus aucune hiérarchisation des motifs de détention. </w:t>
      </w:r>
    </w:p>
    <w:p w:rsidR="00CE3216" w:rsidRPr="00EB5449" w:rsidRDefault="00CE3216" w:rsidP="00CE3216">
      <w:pPr>
        <w:pStyle w:val="ParaNoNdepar-AltN"/>
        <w:widowControl w:val="0"/>
        <w:rPr>
          <w:rFonts w:cs="Times New Roman"/>
          <w:szCs w:val="24"/>
        </w:rPr>
      </w:pPr>
      <w:r w:rsidRPr="00EB5449">
        <w:rPr>
          <w:rFonts w:cs="Times New Roman"/>
          <w:bCs/>
          <w:szCs w:val="24"/>
        </w:rPr>
        <w:t xml:space="preserve">Par ailleurs, il me semble que la position adoptée par certains tribunaux tire ses origines d’une interprétation erronée de l’arrêt </w:t>
      </w:r>
      <w:r w:rsidRPr="00EB5449">
        <w:rPr>
          <w:rFonts w:cs="Times New Roman"/>
          <w:bCs/>
          <w:i/>
          <w:iCs/>
          <w:szCs w:val="24"/>
        </w:rPr>
        <w:t>Hall</w:t>
      </w:r>
      <w:r w:rsidRPr="00EB5449">
        <w:rPr>
          <w:rFonts w:cs="Times New Roman"/>
          <w:bCs/>
          <w:szCs w:val="24"/>
        </w:rPr>
        <w:t xml:space="preserve">. </w:t>
      </w:r>
      <w:r w:rsidRPr="00EB5449">
        <w:rPr>
          <w:rFonts w:cs="Times New Roman"/>
          <w:szCs w:val="24"/>
        </w:rPr>
        <w:t xml:space="preserve">Comme le soulève le juge Trotter, il existe un courant jurisprudentiel qui, bien qu’il reconnaisse que les motifs de la Juge en chef dans </w:t>
      </w:r>
      <w:r w:rsidRPr="00EB5449">
        <w:rPr>
          <w:rFonts w:cs="Times New Roman"/>
          <w:i/>
          <w:iCs/>
          <w:szCs w:val="24"/>
        </w:rPr>
        <w:t>Hall</w:t>
      </w:r>
      <w:r w:rsidRPr="00EB5449">
        <w:rPr>
          <w:rFonts w:cs="Times New Roman"/>
          <w:szCs w:val="24"/>
        </w:rPr>
        <w:t xml:space="preserve"> font autorité, semble plutôt leur préférer les motifs des juges minoritaires</w:t>
      </w:r>
      <w:r>
        <w:rPr>
          <w:rFonts w:cs="Times New Roman"/>
          <w:szCs w:val="24"/>
        </w:rPr>
        <w:t> :</w:t>
      </w:r>
      <w:r w:rsidRPr="00EB5449">
        <w:rPr>
          <w:rFonts w:cs="Times New Roman"/>
          <w:szCs w:val="24"/>
        </w:rPr>
        <w:t xml:space="preserve"> </w:t>
      </w:r>
      <w:r w:rsidRPr="00EB5449">
        <w:rPr>
          <w:rFonts w:cs="Times New Roman"/>
          <w:i/>
          <w:szCs w:val="24"/>
        </w:rPr>
        <w:t>The Law of Bail in Canada</w:t>
      </w:r>
      <w:r w:rsidRPr="00EB5449">
        <w:rPr>
          <w:rFonts w:cs="Times New Roman"/>
          <w:szCs w:val="24"/>
        </w:rPr>
        <w:t xml:space="preserve"> (3</w:t>
      </w:r>
      <w:r w:rsidRPr="00EB5449">
        <w:rPr>
          <w:rFonts w:cs="Times New Roman"/>
          <w:szCs w:val="24"/>
          <w:vertAlign w:val="superscript"/>
        </w:rPr>
        <w:t>e</w:t>
      </w:r>
      <w:r w:rsidRPr="00EB5449">
        <w:rPr>
          <w:rFonts w:cs="Times New Roman"/>
          <w:szCs w:val="24"/>
        </w:rPr>
        <w:t xml:space="preserve"> éd. (feuilles mobiles)), p. 3-45. Je rappelle que ces derniers auraient invalidé l’ensemble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étant d’avis que cet alinéa ne se prêtait pas à une analyse fragmentaire</w:t>
      </w:r>
      <w:r>
        <w:rPr>
          <w:rFonts w:cs="Times New Roman"/>
          <w:szCs w:val="24"/>
        </w:rPr>
        <w:t> :</w:t>
      </w:r>
      <w:r w:rsidRPr="00EB5449">
        <w:rPr>
          <w:rFonts w:cs="Times New Roman"/>
          <w:szCs w:val="24"/>
        </w:rPr>
        <w:t xml:space="preserve"> </w:t>
      </w:r>
      <w:r w:rsidRPr="00EB5449">
        <w:rPr>
          <w:rFonts w:cs="Times New Roman"/>
          <w:i/>
          <w:iCs/>
          <w:szCs w:val="24"/>
        </w:rPr>
        <w:t>Hall</w:t>
      </w:r>
      <w:r w:rsidRPr="00EB5449">
        <w:rPr>
          <w:rFonts w:cs="Times New Roman"/>
          <w:szCs w:val="24"/>
        </w:rPr>
        <w:t xml:space="preserve">, par. 88. Selon les juges dissidents, les facteurs énumérés à cet alinéa créaient une </w:t>
      </w:r>
      <w:r>
        <w:rPr>
          <w:rFonts w:cs="Times New Roman"/>
          <w:szCs w:val="24"/>
        </w:rPr>
        <w:t>« </w:t>
      </w:r>
      <w:r w:rsidRPr="00EB5449">
        <w:rPr>
          <w:rFonts w:cs="Times New Roman"/>
          <w:szCs w:val="24"/>
        </w:rPr>
        <w:t>fausse apparence de précision</w:t>
      </w:r>
      <w:r>
        <w:rPr>
          <w:rFonts w:cs="Times New Roman"/>
          <w:szCs w:val="24"/>
        </w:rPr>
        <w:t> »</w:t>
      </w:r>
      <w:r w:rsidRPr="00EB5449">
        <w:rPr>
          <w:rFonts w:cs="Times New Roman"/>
          <w:szCs w:val="24"/>
        </w:rPr>
        <w:t xml:space="preserve"> et il était difficile de voir comment ils pourraient favoriser la bonne administration de la justice</w:t>
      </w:r>
      <w:r>
        <w:rPr>
          <w:rFonts w:cs="Times New Roman"/>
          <w:szCs w:val="24"/>
        </w:rPr>
        <w:t xml:space="preserve"> </w:t>
      </w:r>
      <w:r w:rsidRPr="00EB5449">
        <w:rPr>
          <w:rFonts w:cs="Times New Roman"/>
          <w:szCs w:val="24"/>
        </w:rPr>
        <w:t xml:space="preserve">lorsque les motifs prévus aux al. </w:t>
      </w:r>
      <w:r w:rsidRPr="00EB5449">
        <w:rPr>
          <w:rFonts w:cs="Times New Roman"/>
          <w:i/>
          <w:iCs/>
          <w:szCs w:val="24"/>
        </w:rPr>
        <w:t>a</w:t>
      </w:r>
      <w:r w:rsidRPr="00EB5449">
        <w:rPr>
          <w:rFonts w:cs="Times New Roman"/>
          <w:szCs w:val="24"/>
        </w:rPr>
        <w:t xml:space="preserve">) ou </w:t>
      </w:r>
      <w:r w:rsidRPr="00EB5449">
        <w:rPr>
          <w:rFonts w:cs="Times New Roman"/>
          <w:i/>
          <w:iCs/>
          <w:szCs w:val="24"/>
        </w:rPr>
        <w:t>b</w:t>
      </w:r>
      <w:r w:rsidRPr="00EB5449">
        <w:rPr>
          <w:rFonts w:cs="Times New Roman"/>
          <w:szCs w:val="24"/>
        </w:rPr>
        <w:t>) ne trouvaient pas déjà application</w:t>
      </w:r>
      <w:r>
        <w:rPr>
          <w:rFonts w:cs="Times New Roman"/>
          <w:szCs w:val="24"/>
        </w:rPr>
        <w:t> :</w:t>
      </w:r>
      <w:r w:rsidRPr="00EB5449">
        <w:rPr>
          <w:rFonts w:cs="Times New Roman"/>
          <w:szCs w:val="24"/>
        </w:rPr>
        <w:t xml:space="preserve"> par. 98-99. Ils étaient aussi d’avis que l’expression </w:t>
      </w:r>
      <w:r>
        <w:rPr>
          <w:rFonts w:cs="Times New Roman"/>
          <w:szCs w:val="24"/>
        </w:rPr>
        <w:t>« </w:t>
      </w:r>
      <w:r w:rsidRPr="00EB5449">
        <w:rPr>
          <w:rFonts w:cs="Times New Roman"/>
          <w:szCs w:val="24"/>
        </w:rPr>
        <w:t>pour ne pas miner la confiance du public envers l’administration de la justice</w:t>
      </w:r>
      <w:r>
        <w:rPr>
          <w:rFonts w:cs="Times New Roman"/>
          <w:szCs w:val="24"/>
        </w:rPr>
        <w:t> »</w:t>
      </w:r>
      <w:r w:rsidRPr="00EB5449">
        <w:rPr>
          <w:rFonts w:cs="Times New Roman"/>
          <w:szCs w:val="24"/>
        </w:rPr>
        <w:t xml:space="preserve"> faisait essentiellement renaître l’ancien motif d’</w:t>
      </w:r>
      <w:r>
        <w:rPr>
          <w:rFonts w:cs="Times New Roman"/>
          <w:szCs w:val="24"/>
        </w:rPr>
        <w:t>« </w:t>
      </w:r>
      <w:r w:rsidRPr="00EB5449">
        <w:rPr>
          <w:rFonts w:cs="Times New Roman"/>
          <w:szCs w:val="24"/>
        </w:rPr>
        <w:t>intérêt public</w:t>
      </w:r>
      <w:r>
        <w:rPr>
          <w:rFonts w:cs="Times New Roman"/>
          <w:szCs w:val="24"/>
        </w:rPr>
        <w:t> »</w:t>
      </w:r>
      <w:r w:rsidRPr="00EB5449">
        <w:rPr>
          <w:rFonts w:cs="Times New Roman"/>
          <w:szCs w:val="24"/>
        </w:rPr>
        <w:t xml:space="preserve">, qu’avait invalidé la Cour dans l’arrêt </w:t>
      </w:r>
      <w:r w:rsidRPr="00EB5449">
        <w:rPr>
          <w:rFonts w:cs="Times New Roman"/>
          <w:i/>
          <w:iCs/>
          <w:szCs w:val="24"/>
        </w:rPr>
        <w:t>Morales</w:t>
      </w:r>
      <w:r w:rsidRPr="00EB5449">
        <w:rPr>
          <w:rFonts w:cs="Times New Roman"/>
          <w:szCs w:val="24"/>
        </w:rPr>
        <w:t>,</w:t>
      </w:r>
      <w:r w:rsidRPr="00EB5449">
        <w:rPr>
          <w:rFonts w:cs="Times New Roman"/>
          <w:i/>
          <w:iCs/>
          <w:szCs w:val="24"/>
        </w:rPr>
        <w:t xml:space="preserve"> </w:t>
      </w:r>
      <w:r w:rsidRPr="00EB5449">
        <w:rPr>
          <w:rFonts w:cs="Times New Roman"/>
          <w:szCs w:val="24"/>
        </w:rPr>
        <w:t>et que cette expression s’appuyait sur des notions</w:t>
      </w:r>
      <w:r w:rsidRPr="00EB5449">
        <w:rPr>
          <w:rFonts w:cs="Times New Roman"/>
          <w:i/>
          <w:iCs/>
          <w:szCs w:val="24"/>
        </w:rPr>
        <w:t xml:space="preserve"> </w:t>
      </w:r>
      <w:r>
        <w:rPr>
          <w:rFonts w:cs="Times New Roman"/>
          <w:szCs w:val="24"/>
        </w:rPr>
        <w:t>« </w:t>
      </w:r>
      <w:r w:rsidRPr="00EB5449">
        <w:rPr>
          <w:rFonts w:cs="Times New Roman"/>
          <w:szCs w:val="24"/>
        </w:rPr>
        <w:t xml:space="preserve">tout aussi </w:t>
      </w:r>
      <w:r w:rsidRPr="00EB5449">
        <w:rPr>
          <w:rFonts w:cs="Times New Roman"/>
          <w:szCs w:val="24"/>
        </w:rPr>
        <w:lastRenderedPageBreak/>
        <w:t>imprécises</w:t>
      </w:r>
      <w:r>
        <w:rPr>
          <w:rFonts w:cs="Times New Roman"/>
          <w:szCs w:val="24"/>
        </w:rPr>
        <w:t xml:space="preserve"> </w:t>
      </w:r>
      <w:r w:rsidRPr="00EB5449">
        <w:rPr>
          <w:rFonts w:cs="Times New Roman"/>
          <w:szCs w:val="24"/>
        </w:rPr>
        <w:t>de l’image du système de justice criminelle auprès du public</w:t>
      </w:r>
      <w:r>
        <w:rPr>
          <w:rFonts w:cs="Times New Roman"/>
          <w:szCs w:val="24"/>
        </w:rPr>
        <w:t> » :</w:t>
      </w:r>
      <w:r w:rsidRPr="00EB5449">
        <w:rPr>
          <w:rFonts w:cs="Times New Roman"/>
          <w:szCs w:val="24"/>
        </w:rPr>
        <w:t xml:space="preserve"> par. 104.  En conséquence, depuis l’arrêt </w:t>
      </w:r>
      <w:r w:rsidRPr="00EB5449">
        <w:rPr>
          <w:rFonts w:cs="Times New Roman"/>
          <w:i/>
          <w:iCs/>
          <w:szCs w:val="24"/>
        </w:rPr>
        <w:t>Hall</w:t>
      </w:r>
      <w:r w:rsidRPr="00EB5449">
        <w:rPr>
          <w:rFonts w:cs="Times New Roman"/>
          <w:szCs w:val="24"/>
        </w:rPr>
        <w:t>, une certaine jurisprudence considère, en trouvant appui dans les motifs de la minorité, que les motifs de la majorité préconisent une interprétation restrictive de l’al. 515(10)</w:t>
      </w:r>
      <w:r w:rsidRPr="00EB5449">
        <w:rPr>
          <w:rFonts w:cs="Times New Roman"/>
          <w:i/>
          <w:iCs/>
          <w:szCs w:val="24"/>
        </w:rPr>
        <w:t>c</w:t>
      </w:r>
      <w:r w:rsidRPr="00EB5449">
        <w:rPr>
          <w:rFonts w:cs="Times New Roman"/>
          <w:szCs w:val="24"/>
        </w:rPr>
        <w:t>)</w:t>
      </w:r>
      <w:r>
        <w:rPr>
          <w:rFonts w:cs="Times New Roman"/>
          <w:szCs w:val="24"/>
        </w:rPr>
        <w:t> :</w:t>
      </w:r>
      <w:r w:rsidRPr="00EB5449">
        <w:rPr>
          <w:rFonts w:cs="Times New Roman"/>
          <w:szCs w:val="24"/>
        </w:rPr>
        <w:t xml:space="preserve"> Trotter, p. 3-45. </w:t>
      </w:r>
    </w:p>
    <w:p w:rsidR="00CE3216" w:rsidRPr="00EB5449" w:rsidRDefault="00CE3216" w:rsidP="00CE3216">
      <w:pPr>
        <w:pStyle w:val="ParaNoNdepar-AltN"/>
        <w:widowControl w:val="0"/>
        <w:rPr>
          <w:rFonts w:cs="Times New Roman"/>
          <w:bCs/>
          <w:szCs w:val="24"/>
        </w:rPr>
      </w:pPr>
      <w:r w:rsidRPr="00EB5449">
        <w:rPr>
          <w:rFonts w:cs="Times New Roman"/>
          <w:bCs/>
          <w:iCs/>
          <w:szCs w:val="24"/>
        </w:rPr>
        <w:t xml:space="preserve">L’affaire </w:t>
      </w:r>
      <w:r w:rsidRPr="00EB5449">
        <w:rPr>
          <w:rFonts w:cs="Times New Roman"/>
          <w:bCs/>
          <w:i/>
          <w:iCs/>
          <w:szCs w:val="24"/>
        </w:rPr>
        <w:t>Hall</w:t>
      </w:r>
      <w:r w:rsidRPr="00EB5449">
        <w:rPr>
          <w:rFonts w:cs="Times New Roman"/>
          <w:bCs/>
          <w:szCs w:val="24"/>
        </w:rPr>
        <w:t xml:space="preserve"> concernait un crime particulièrement odieux</w:t>
      </w:r>
      <w:r>
        <w:rPr>
          <w:rFonts w:cs="Times New Roman"/>
          <w:bCs/>
          <w:szCs w:val="24"/>
        </w:rPr>
        <w:t> :</w:t>
      </w:r>
      <w:r w:rsidRPr="00EB5449">
        <w:rPr>
          <w:rFonts w:cs="Times New Roman"/>
          <w:bCs/>
          <w:szCs w:val="24"/>
        </w:rPr>
        <w:t xml:space="preserve"> le</w:t>
      </w:r>
      <w:r w:rsidRPr="00EB5449">
        <w:rPr>
          <w:rFonts w:cs="Times New Roman"/>
          <w:szCs w:val="24"/>
        </w:rPr>
        <w:t xml:space="preserve"> meurtre d’une femme dont le corps portait les marques de 37</w:t>
      </w:r>
      <w:r>
        <w:rPr>
          <w:rFonts w:cs="Times New Roman"/>
          <w:szCs w:val="24"/>
        </w:rPr>
        <w:t xml:space="preserve"> </w:t>
      </w:r>
      <w:r w:rsidRPr="00EB5449">
        <w:rPr>
          <w:rFonts w:cs="Times New Roman"/>
          <w:szCs w:val="24"/>
        </w:rPr>
        <w:t>entailles. Son assaillant avait essayé de la décapiter. Ce meurtre avait suscité beaucoup d’inquiétude dans la population. L’accusé avait présenté une demande de mise en liberté sous caution, que le juge avait refusée sur le fondement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p>
    <w:p w:rsidR="00CE3216" w:rsidRPr="00EB5449" w:rsidRDefault="00CE3216" w:rsidP="00CE3216">
      <w:pPr>
        <w:pStyle w:val="ParaNoNdepar-AltN"/>
        <w:widowControl w:val="0"/>
        <w:rPr>
          <w:rFonts w:cs="Times New Roman"/>
          <w:bCs/>
          <w:szCs w:val="24"/>
        </w:rPr>
      </w:pPr>
      <w:r w:rsidRPr="00EB5449">
        <w:rPr>
          <w:rFonts w:cs="Times New Roman"/>
          <w:szCs w:val="24"/>
        </w:rPr>
        <w:t xml:space="preserve">Notre Cour a qualifié ce crime de </w:t>
      </w:r>
      <w:r>
        <w:rPr>
          <w:rFonts w:cs="Times New Roman"/>
          <w:szCs w:val="24"/>
        </w:rPr>
        <w:t>« </w:t>
      </w:r>
      <w:r w:rsidRPr="00EB5449">
        <w:rPr>
          <w:rFonts w:cs="Times New Roman"/>
          <w:szCs w:val="24"/>
        </w:rPr>
        <w:t>haineux et [d’]inexpliqué</w:t>
      </w:r>
      <w:r>
        <w:rPr>
          <w:rFonts w:cs="Times New Roman"/>
          <w:szCs w:val="24"/>
        </w:rPr>
        <w:t> » :</w:t>
      </w:r>
      <w:r w:rsidRPr="00EB5449">
        <w:rPr>
          <w:rFonts w:cs="Times New Roman"/>
          <w:bCs/>
          <w:szCs w:val="24"/>
          <w:lang w:val="fr-FR"/>
        </w:rPr>
        <w:t xml:space="preserve"> </w:t>
      </w:r>
      <w:r w:rsidRPr="00EB5449">
        <w:rPr>
          <w:rFonts w:cs="Times New Roman"/>
          <w:bCs/>
          <w:i/>
          <w:iCs/>
          <w:szCs w:val="24"/>
          <w:lang w:val="fr-FR"/>
        </w:rPr>
        <w:t>Hall</w:t>
      </w:r>
      <w:r w:rsidRPr="00EB5449">
        <w:rPr>
          <w:rFonts w:cs="Times New Roman"/>
          <w:bCs/>
          <w:szCs w:val="24"/>
          <w:lang w:val="fr-FR"/>
        </w:rPr>
        <w:t>, par. 25</w:t>
      </w:r>
      <w:r w:rsidRPr="00EB5449">
        <w:rPr>
          <w:rFonts w:cs="Times New Roman"/>
          <w:bCs/>
          <w:szCs w:val="24"/>
        </w:rPr>
        <w:t xml:space="preserve">. Elle a également repris les propos de l’arrêt </w:t>
      </w:r>
      <w:r w:rsidRPr="00EB5449">
        <w:rPr>
          <w:rFonts w:cs="Times New Roman"/>
          <w:bCs/>
          <w:i/>
          <w:iCs/>
          <w:szCs w:val="24"/>
        </w:rPr>
        <w:t>R. c. Rondeau</w:t>
      </w:r>
      <w:r w:rsidRPr="00EB5449">
        <w:rPr>
          <w:rFonts w:cs="Times New Roman"/>
          <w:bCs/>
          <w:szCs w:val="24"/>
        </w:rPr>
        <w:t>, [1996] R.J.Q. 1155 (C.A.), p. 1159, déclarant que</w:t>
      </w:r>
      <w:r>
        <w:rPr>
          <w:rFonts w:cs="Times New Roman"/>
          <w:bCs/>
          <w:szCs w:val="24"/>
        </w:rPr>
        <w:t> :</w:t>
      </w:r>
      <w:r w:rsidRPr="00EB5449">
        <w:rPr>
          <w:rFonts w:cs="Times New Roman"/>
          <w:bCs/>
          <w:szCs w:val="24"/>
        </w:rPr>
        <w:t xml:space="preserve"> </w:t>
      </w:r>
      <w:r>
        <w:rPr>
          <w:rFonts w:cs="Times New Roman"/>
          <w:bCs/>
          <w:szCs w:val="24"/>
        </w:rPr>
        <w:t>« </w:t>
      </w:r>
      <w:r w:rsidR="00C96D64">
        <w:rPr>
          <w:rFonts w:cs="Times New Roman"/>
          <w:szCs w:val="24"/>
          <w:lang w:val="fr-FR"/>
        </w:rPr>
        <w:t>P</w:t>
      </w:r>
      <w:r w:rsidRPr="00EB5449">
        <w:rPr>
          <w:rFonts w:cs="Times New Roman"/>
          <w:szCs w:val="24"/>
          <w:lang w:val="fr-FR"/>
        </w:rPr>
        <w:t>lus un crime comme celui-là est inexpliqué et inexplicable, plus inquiétante pour la société s’avère la mise en liberté provisoire</w:t>
      </w:r>
      <w:r>
        <w:rPr>
          <w:rFonts w:cs="Times New Roman"/>
          <w:szCs w:val="24"/>
          <w:lang w:val="fr-FR"/>
        </w:rPr>
        <w:t xml:space="preserve"> » </w:t>
      </w:r>
      <w:r w:rsidRPr="00EB5449">
        <w:rPr>
          <w:rFonts w:cs="Times New Roman"/>
          <w:szCs w:val="24"/>
          <w:lang w:val="fr-FR"/>
        </w:rPr>
        <w:t>(</w:t>
      </w:r>
      <w:r w:rsidRPr="00EB5449">
        <w:rPr>
          <w:rFonts w:cs="Times New Roman"/>
          <w:i/>
          <w:iCs/>
          <w:szCs w:val="24"/>
          <w:lang w:val="fr-FR"/>
        </w:rPr>
        <w:t>Hall</w:t>
      </w:r>
      <w:r w:rsidRPr="00EB5449">
        <w:rPr>
          <w:rFonts w:cs="Times New Roman"/>
          <w:szCs w:val="24"/>
          <w:lang w:val="fr-FR"/>
        </w:rPr>
        <w:t xml:space="preserve">, par. 25). Je précise que, dans l’affaire </w:t>
      </w:r>
      <w:r w:rsidRPr="00EB5449">
        <w:rPr>
          <w:rFonts w:cs="Times New Roman"/>
          <w:i/>
          <w:szCs w:val="24"/>
          <w:lang w:val="fr-FR"/>
        </w:rPr>
        <w:t>Rondeau</w:t>
      </w:r>
      <w:r w:rsidRPr="00EB5449">
        <w:rPr>
          <w:rFonts w:cs="Times New Roman"/>
          <w:szCs w:val="24"/>
          <w:lang w:val="fr-FR"/>
        </w:rPr>
        <w:t>, la décision portait sur ce qui était à l’époque le motif secondaire de détention, soit la nécessité de détenir le prévenu pour assurer la sécurité ou la protection du public. L’alinéa 515(10)</w:t>
      </w:r>
      <w:r w:rsidRPr="00EB5449">
        <w:rPr>
          <w:rFonts w:cs="Times New Roman"/>
          <w:i/>
          <w:iCs/>
          <w:szCs w:val="24"/>
          <w:lang w:val="fr-FR"/>
        </w:rPr>
        <w:t>c</w:t>
      </w:r>
      <w:r w:rsidRPr="00EB5449">
        <w:rPr>
          <w:rFonts w:cs="Times New Roman"/>
          <w:szCs w:val="24"/>
          <w:lang w:val="fr-FR"/>
        </w:rPr>
        <w:t xml:space="preserve">) </w:t>
      </w:r>
      <w:r w:rsidR="004364EE">
        <w:rPr>
          <w:rFonts w:cs="Times New Roman"/>
          <w:i/>
          <w:iCs/>
          <w:szCs w:val="24"/>
          <w:lang w:val="fr-FR"/>
        </w:rPr>
        <w:t>C. cr.</w:t>
      </w:r>
      <w:r w:rsidRPr="00EB5449">
        <w:rPr>
          <w:rFonts w:cs="Times New Roman"/>
          <w:szCs w:val="24"/>
          <w:lang w:val="fr-FR"/>
        </w:rPr>
        <w:t xml:space="preserve"> n’était pas encore en vigueur lorsque l’arrêt </w:t>
      </w:r>
      <w:r w:rsidRPr="00EB5449">
        <w:rPr>
          <w:rFonts w:cs="Times New Roman"/>
          <w:i/>
          <w:iCs/>
          <w:szCs w:val="24"/>
          <w:lang w:val="fr-FR"/>
        </w:rPr>
        <w:t>Rondeau</w:t>
      </w:r>
      <w:r w:rsidRPr="00EB5449">
        <w:rPr>
          <w:rFonts w:cs="Times New Roman"/>
          <w:szCs w:val="24"/>
          <w:lang w:val="fr-FR"/>
        </w:rPr>
        <w:t xml:space="preserve"> a été rendu.</w:t>
      </w:r>
    </w:p>
    <w:p w:rsidR="00CE3216" w:rsidRPr="00EB5449" w:rsidRDefault="00CE3216" w:rsidP="00CE3216">
      <w:pPr>
        <w:pStyle w:val="ParaNoNdepar-AltN"/>
        <w:widowControl w:val="0"/>
        <w:rPr>
          <w:rFonts w:cs="Times New Roman"/>
          <w:bCs/>
          <w:szCs w:val="24"/>
        </w:rPr>
      </w:pPr>
      <w:r w:rsidRPr="00EB5449">
        <w:rPr>
          <w:rFonts w:cs="Times New Roman"/>
          <w:szCs w:val="24"/>
          <w:lang w:val="fr-FR"/>
        </w:rPr>
        <w:t>Il convient aussi de citer le passage suivant</w:t>
      </w:r>
      <w:r>
        <w:rPr>
          <w:rFonts w:cs="Times New Roman"/>
          <w:szCs w:val="24"/>
          <w:lang w:val="fr-FR"/>
        </w:rPr>
        <w:t xml:space="preserve"> </w:t>
      </w:r>
      <w:r w:rsidRPr="00EB5449">
        <w:rPr>
          <w:rFonts w:cs="Times New Roman"/>
          <w:szCs w:val="24"/>
          <w:lang w:val="fr-FR"/>
        </w:rPr>
        <w:t xml:space="preserve">de l’arrêt </w:t>
      </w:r>
      <w:r w:rsidRPr="00EB5449">
        <w:rPr>
          <w:rFonts w:cs="Times New Roman"/>
          <w:i/>
          <w:iCs/>
          <w:szCs w:val="24"/>
          <w:lang w:val="fr-FR"/>
        </w:rPr>
        <w:t>Hall</w:t>
      </w:r>
      <w:r>
        <w:rPr>
          <w:rFonts w:cs="Times New Roman"/>
          <w:szCs w:val="24"/>
          <w:lang w:val="fr-FR"/>
        </w:rPr>
        <w:t> :</w:t>
      </w:r>
    </w:p>
    <w:p w:rsidR="00CE3216" w:rsidRPr="00EB5449" w:rsidRDefault="00CE3216" w:rsidP="00CE3216">
      <w:pPr>
        <w:pStyle w:val="Citation-AltC"/>
        <w:widowControl w:val="0"/>
        <w:rPr>
          <w:szCs w:val="24"/>
          <w:lang w:val="fr-FR"/>
        </w:rPr>
      </w:pPr>
      <w:r w:rsidRPr="00EB5449">
        <w:rPr>
          <w:szCs w:val="24"/>
          <w:lang w:val="fr-FR"/>
        </w:rPr>
        <w:t xml:space="preserve">Dans le cas où, comme en l’espèce, le crime commis est horrible, inexplicable et fortement lié à l’accusé, un système de justice qui ne permet pas d’ordonner la détention de l’accusé risque de perdre la </w:t>
      </w:r>
      <w:r w:rsidRPr="00EB5449">
        <w:rPr>
          <w:szCs w:val="24"/>
          <w:lang w:val="fr-FR"/>
        </w:rPr>
        <w:lastRenderedPageBreak/>
        <w:t>confiance du public qui est à la base du système de mise en liberté sous caution et de l’ensemble du système de justice. [par. 40]</w:t>
      </w:r>
    </w:p>
    <w:p w:rsidR="00CE3216" w:rsidRPr="00EB5449" w:rsidRDefault="00CE3216" w:rsidP="00CE3216">
      <w:pPr>
        <w:pStyle w:val="ParaNoNdepar-AltN"/>
        <w:widowControl w:val="0"/>
        <w:rPr>
          <w:rFonts w:cs="Times New Roman"/>
          <w:szCs w:val="24"/>
        </w:rPr>
      </w:pPr>
      <w:r w:rsidRPr="00EB5449">
        <w:rPr>
          <w:rFonts w:cs="Times New Roman"/>
          <w:szCs w:val="24"/>
        </w:rPr>
        <w:t xml:space="preserve">Je suis d’avis que certains tribunaux ont mal interprété la décision de notre Cour dans l’arrêt </w:t>
      </w:r>
      <w:r w:rsidRPr="00EB5449">
        <w:rPr>
          <w:rFonts w:cs="Times New Roman"/>
          <w:i/>
          <w:iCs/>
          <w:szCs w:val="24"/>
        </w:rPr>
        <w:t>Hall</w:t>
      </w:r>
      <w:r w:rsidRPr="00EB5449">
        <w:rPr>
          <w:rFonts w:cs="Times New Roman"/>
          <w:szCs w:val="24"/>
        </w:rPr>
        <w:t>. D’abord, il importe de replacer les propos de la Cour dans le contexte de l’affaire et de les analyser à la lumière des circonstances bien particulières</w:t>
      </w:r>
      <w:r>
        <w:rPr>
          <w:rFonts w:cs="Times New Roman"/>
          <w:szCs w:val="24"/>
        </w:rPr>
        <w:t xml:space="preserve"> </w:t>
      </w:r>
      <w:r w:rsidRPr="00EB5449">
        <w:rPr>
          <w:rFonts w:cs="Times New Roman"/>
          <w:szCs w:val="24"/>
        </w:rPr>
        <w:t>de celle-ci</w:t>
      </w:r>
      <w:r>
        <w:rPr>
          <w:rFonts w:cs="Times New Roman"/>
          <w:szCs w:val="24"/>
        </w:rPr>
        <w:t> :</w:t>
      </w:r>
      <w:r w:rsidRPr="00EB5449">
        <w:rPr>
          <w:rFonts w:cs="Times New Roman"/>
          <w:szCs w:val="24"/>
        </w:rPr>
        <w:t xml:space="preserve"> le crime était des plus horribles. Il est donc normal que la Cour ait tenu compte de ce fait dans l’application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Que le crime soit qualifié par la Cour d’horrible, d’odieux, de haineux ou d’inexpliqué ne constitue qu’une constatation, une description des faits que la Cour a considérés dans son analyse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On ne saurait y voir des conditions ou des préalables exigés par la Cour.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Selon moi, le caractère </w:t>
      </w:r>
      <w:r>
        <w:rPr>
          <w:rFonts w:cs="Times New Roman"/>
          <w:szCs w:val="24"/>
        </w:rPr>
        <w:t>« </w:t>
      </w:r>
      <w:r w:rsidRPr="00EB5449">
        <w:rPr>
          <w:rFonts w:cs="Times New Roman"/>
          <w:szCs w:val="24"/>
        </w:rPr>
        <w:t>inexplicable</w:t>
      </w:r>
      <w:r>
        <w:rPr>
          <w:rFonts w:cs="Times New Roman"/>
          <w:szCs w:val="24"/>
        </w:rPr>
        <w:t> »</w:t>
      </w:r>
      <w:r w:rsidRPr="00EB5449">
        <w:rPr>
          <w:rFonts w:cs="Times New Roman"/>
          <w:szCs w:val="24"/>
        </w:rPr>
        <w:t xml:space="preserve"> ou </w:t>
      </w:r>
      <w:r>
        <w:rPr>
          <w:rFonts w:cs="Times New Roman"/>
          <w:szCs w:val="24"/>
        </w:rPr>
        <w:t>« </w:t>
      </w:r>
      <w:r w:rsidRPr="00EB5449">
        <w:rPr>
          <w:rFonts w:cs="Times New Roman"/>
          <w:szCs w:val="24"/>
        </w:rPr>
        <w:t>inexpliqué</w:t>
      </w:r>
      <w:r>
        <w:rPr>
          <w:rFonts w:cs="Times New Roman"/>
          <w:szCs w:val="24"/>
        </w:rPr>
        <w:t> »</w:t>
      </w:r>
      <w:r w:rsidRPr="00EB5449">
        <w:rPr>
          <w:rFonts w:cs="Times New Roman"/>
          <w:szCs w:val="24"/>
        </w:rPr>
        <w:t xml:space="preserve"> du crime n’est pas un critère qui devrait guider les juges dans leur analyse de l’al. 515(10)</w:t>
      </w:r>
      <w:r w:rsidRPr="00EB5449">
        <w:rPr>
          <w:rFonts w:cs="Times New Roman"/>
          <w:i/>
          <w:iCs/>
          <w:szCs w:val="24"/>
        </w:rPr>
        <w:t>c</w:t>
      </w:r>
      <w:r w:rsidRPr="00EB5449">
        <w:rPr>
          <w:rFonts w:cs="Times New Roman"/>
          <w:szCs w:val="24"/>
        </w:rPr>
        <w:t xml:space="preserve">). En effet, au-delà du fait que le libellé de cette disposition ne prévoit même pas ce critère, je suis d’avis que cette notion est ambiguë et source de confusion. Qu’entend-on par un crime </w:t>
      </w:r>
      <w:r>
        <w:rPr>
          <w:rFonts w:cs="Times New Roman"/>
          <w:szCs w:val="24"/>
        </w:rPr>
        <w:t>« </w:t>
      </w:r>
      <w:r w:rsidRPr="00EB5449">
        <w:rPr>
          <w:rFonts w:cs="Times New Roman"/>
          <w:szCs w:val="24"/>
        </w:rPr>
        <w:t>inexplicable</w:t>
      </w:r>
      <w:r>
        <w:rPr>
          <w:rFonts w:cs="Times New Roman"/>
          <w:szCs w:val="24"/>
        </w:rPr>
        <w:t> »</w:t>
      </w:r>
      <w:r w:rsidRPr="00EB5449">
        <w:rPr>
          <w:rFonts w:cs="Times New Roman"/>
          <w:szCs w:val="24"/>
        </w:rPr>
        <w:t xml:space="preserve">? Est-ce un crime visant une victime au hasard? Un crime que seule une personne non dotée de raison pourrait commettre? Un crime particulièrement horrible?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De plus, bon nombre de crimes peuvent être </w:t>
      </w:r>
      <w:r>
        <w:rPr>
          <w:rFonts w:cs="Times New Roman"/>
          <w:szCs w:val="24"/>
        </w:rPr>
        <w:t>« </w:t>
      </w:r>
      <w:r w:rsidRPr="00EB5449">
        <w:rPr>
          <w:rFonts w:cs="Times New Roman"/>
          <w:szCs w:val="24"/>
        </w:rPr>
        <w:t>explicables</w:t>
      </w:r>
      <w:r>
        <w:rPr>
          <w:rFonts w:cs="Times New Roman"/>
          <w:szCs w:val="24"/>
        </w:rPr>
        <w:t> »</w:t>
      </w:r>
      <w:r w:rsidRPr="00EB5449">
        <w:rPr>
          <w:rFonts w:cs="Times New Roman"/>
          <w:szCs w:val="24"/>
        </w:rPr>
        <w:t xml:space="preserve"> d’une façon ou d’une autre, soit par exemple parce que la victime a provoqué son agresseur, parce que l’auteur souffrait d’une maladie mentale ou encore parce que l’auteur était </w:t>
      </w:r>
      <w:r w:rsidRPr="00EB5449">
        <w:rPr>
          <w:rFonts w:cs="Times New Roman"/>
          <w:szCs w:val="24"/>
        </w:rPr>
        <w:lastRenderedPageBreak/>
        <w:t xml:space="preserve">intoxiqué. En ce sens, le critère du crime </w:t>
      </w:r>
      <w:r>
        <w:rPr>
          <w:rFonts w:cs="Times New Roman"/>
          <w:szCs w:val="24"/>
        </w:rPr>
        <w:t>« </w:t>
      </w:r>
      <w:r w:rsidRPr="00EB5449">
        <w:rPr>
          <w:rFonts w:cs="Times New Roman"/>
          <w:szCs w:val="24"/>
        </w:rPr>
        <w:t>inexplicable</w:t>
      </w:r>
      <w:r>
        <w:rPr>
          <w:rFonts w:cs="Times New Roman"/>
          <w:szCs w:val="24"/>
        </w:rPr>
        <w:t> »</w:t>
      </w:r>
      <w:r w:rsidRPr="00EB5449">
        <w:rPr>
          <w:rFonts w:cs="Times New Roman"/>
          <w:szCs w:val="24"/>
        </w:rPr>
        <w:t xml:space="preserve"> est peu utile.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De surcroît, l’utilisation d’un critère fondée sur la notion de crime </w:t>
      </w:r>
      <w:r>
        <w:rPr>
          <w:rFonts w:cs="Times New Roman"/>
          <w:szCs w:val="24"/>
        </w:rPr>
        <w:t>« </w:t>
      </w:r>
      <w:r w:rsidRPr="00EB5449">
        <w:rPr>
          <w:rFonts w:cs="Times New Roman"/>
          <w:szCs w:val="24"/>
        </w:rPr>
        <w:t>inexplicable</w:t>
      </w:r>
      <w:r>
        <w:rPr>
          <w:rFonts w:cs="Times New Roman"/>
          <w:szCs w:val="24"/>
        </w:rPr>
        <w:t> »</w:t>
      </w:r>
      <w:r w:rsidRPr="00EB5449">
        <w:rPr>
          <w:rFonts w:cs="Times New Roman"/>
          <w:szCs w:val="24"/>
        </w:rPr>
        <w:t xml:space="preserve"> pourrait donner lieu à des conclusions peu souhaitables. Des crimes carrément odieux et horribles pourraient en effet ne pas satisfaire à ce critère. Cette notion risque donc de créer dans l’esprit du public l’impression que les juges </w:t>
      </w:r>
      <w:r>
        <w:rPr>
          <w:rFonts w:cs="Times New Roman"/>
          <w:szCs w:val="24"/>
        </w:rPr>
        <w:t>« </w:t>
      </w:r>
      <w:r w:rsidRPr="00EB5449">
        <w:rPr>
          <w:rFonts w:cs="Times New Roman"/>
          <w:szCs w:val="24"/>
        </w:rPr>
        <w:t>justifient</w:t>
      </w:r>
      <w:r>
        <w:rPr>
          <w:rFonts w:cs="Times New Roman"/>
          <w:szCs w:val="24"/>
        </w:rPr>
        <w:t> »</w:t>
      </w:r>
      <w:r w:rsidRPr="00EB5449">
        <w:rPr>
          <w:rFonts w:cs="Times New Roman"/>
          <w:szCs w:val="24"/>
        </w:rPr>
        <w:t xml:space="preserve"> certains crimes, soit ceux qui sont </w:t>
      </w:r>
      <w:r>
        <w:rPr>
          <w:rFonts w:cs="Times New Roman"/>
          <w:szCs w:val="24"/>
        </w:rPr>
        <w:t>« </w:t>
      </w:r>
      <w:r w:rsidRPr="00EB5449">
        <w:rPr>
          <w:rFonts w:cs="Times New Roman"/>
          <w:szCs w:val="24"/>
        </w:rPr>
        <w:t>explicables</w:t>
      </w:r>
      <w:r>
        <w:rPr>
          <w:rFonts w:cs="Times New Roman"/>
          <w:szCs w:val="24"/>
        </w:rPr>
        <w:t> »</w:t>
      </w:r>
      <w:r w:rsidRPr="00EB5449">
        <w:rPr>
          <w:rFonts w:cs="Times New Roman"/>
          <w:szCs w:val="24"/>
        </w:rPr>
        <w:t xml:space="preserve">. Bien que dans l’arrêt </w:t>
      </w:r>
      <w:r w:rsidRPr="00EB5449">
        <w:rPr>
          <w:rFonts w:cs="Times New Roman"/>
          <w:i/>
          <w:iCs/>
          <w:szCs w:val="24"/>
        </w:rPr>
        <w:t>Hall</w:t>
      </w:r>
      <w:r w:rsidRPr="00EB5449">
        <w:rPr>
          <w:rFonts w:cs="Times New Roman"/>
          <w:szCs w:val="24"/>
        </w:rPr>
        <w:t xml:space="preserve">, notre Cour ait parlé du meurtre en cause comme étant un meurtre </w:t>
      </w:r>
      <w:r>
        <w:rPr>
          <w:rFonts w:cs="Times New Roman"/>
          <w:szCs w:val="24"/>
        </w:rPr>
        <w:t>« </w:t>
      </w:r>
      <w:r w:rsidRPr="00EB5449">
        <w:rPr>
          <w:rFonts w:cs="Times New Roman"/>
          <w:szCs w:val="24"/>
        </w:rPr>
        <w:t>inexpliqué et inexplicable</w:t>
      </w:r>
      <w:r>
        <w:rPr>
          <w:rFonts w:cs="Times New Roman"/>
          <w:szCs w:val="24"/>
        </w:rPr>
        <w:t> »</w:t>
      </w:r>
      <w:r w:rsidRPr="00EB5449">
        <w:rPr>
          <w:rFonts w:cs="Times New Roman"/>
          <w:szCs w:val="24"/>
        </w:rPr>
        <w:t>, sa décision reposait d’abord et avant tout sur le caractère sauvage et odieux du crime, sur la preuve convaincante le reliant à l’accusé et sur le fait que la population était effrayée</w:t>
      </w:r>
      <w:r>
        <w:rPr>
          <w:rFonts w:cs="Times New Roman"/>
          <w:szCs w:val="24"/>
        </w:rPr>
        <w:t> :</w:t>
      </w:r>
      <w:r w:rsidRPr="00EB5449">
        <w:rPr>
          <w:rFonts w:cs="Times New Roman"/>
          <w:szCs w:val="24"/>
        </w:rPr>
        <w:t xml:space="preserve"> par. 25. En tout état de cause, les dérives de la jurisprudence depuis l’arrêt </w:t>
      </w:r>
      <w:r w:rsidRPr="00EB5449">
        <w:rPr>
          <w:rFonts w:cs="Times New Roman"/>
          <w:i/>
          <w:iCs/>
          <w:szCs w:val="24"/>
        </w:rPr>
        <w:t>Hall</w:t>
      </w:r>
      <w:r w:rsidRPr="00EB5449">
        <w:rPr>
          <w:rFonts w:cs="Times New Roman"/>
          <w:szCs w:val="24"/>
        </w:rPr>
        <w:t xml:space="preserve"> ainsi que les raisons que j’ai soulevées montrent qu’il est nécessaire de limiter le recours à un tel critère. Il serait également sage que les juges saisis de demandes de mise en liberté évitent autant que possible d’accoler une telle étiquette aux circonstances des crimes reprochés qui leur sont présentés, et ce, afin d’éviter de créer cette impression de </w:t>
      </w:r>
      <w:r>
        <w:rPr>
          <w:rFonts w:cs="Times New Roman"/>
          <w:szCs w:val="24"/>
        </w:rPr>
        <w:t>« </w:t>
      </w:r>
      <w:r w:rsidRPr="00EB5449">
        <w:rPr>
          <w:rFonts w:cs="Times New Roman"/>
          <w:szCs w:val="24"/>
        </w:rPr>
        <w:t>justification</w:t>
      </w:r>
      <w:r>
        <w:rPr>
          <w:rFonts w:cs="Times New Roman"/>
          <w:szCs w:val="24"/>
        </w:rPr>
        <w:t> »</w:t>
      </w:r>
      <w:r w:rsidRPr="00EB5449">
        <w:rPr>
          <w:rFonts w:cs="Times New Roman"/>
          <w:szCs w:val="24"/>
        </w:rPr>
        <w:t xml:space="preserve"> dans l’esprit du public.     </w:t>
      </w:r>
    </w:p>
    <w:p w:rsidR="00CE3216" w:rsidRPr="00EB5449" w:rsidRDefault="00CE3216" w:rsidP="00CE3216">
      <w:pPr>
        <w:pStyle w:val="ParaNoNdepar-AltN"/>
        <w:widowControl w:val="0"/>
        <w:rPr>
          <w:rFonts w:cs="Times New Roman"/>
          <w:szCs w:val="24"/>
        </w:rPr>
      </w:pPr>
      <w:r w:rsidRPr="00EB5449">
        <w:rPr>
          <w:rFonts w:cs="Times New Roman"/>
          <w:szCs w:val="24"/>
        </w:rPr>
        <w:t>Par ailleurs, je suis d’accord avec l’appelante pour affirmer que la détention pourrait n’être justifiée qu’en de rares occasions, mais qu’il ne s’agit là que d’une conséquence de l’application de l’al. 515(10)</w:t>
      </w:r>
      <w:r w:rsidRPr="00EB5449">
        <w:rPr>
          <w:rFonts w:cs="Times New Roman"/>
          <w:i/>
          <w:iCs/>
          <w:szCs w:val="24"/>
        </w:rPr>
        <w:t>c</w:t>
      </w:r>
      <w:r w:rsidRPr="00EB5449">
        <w:rPr>
          <w:rFonts w:cs="Times New Roman"/>
          <w:szCs w:val="24"/>
        </w:rPr>
        <w:t>), et non d’une condition préalable à son application, d’un critère dont doit tenir compte le tribunal dans son analyse</w:t>
      </w:r>
      <w:r>
        <w:rPr>
          <w:rFonts w:cs="Times New Roman"/>
          <w:szCs w:val="24"/>
        </w:rPr>
        <w:t xml:space="preserve"> </w:t>
      </w:r>
      <w:r w:rsidRPr="00EB5449">
        <w:rPr>
          <w:rFonts w:cs="Times New Roman"/>
          <w:szCs w:val="24"/>
        </w:rPr>
        <w:t xml:space="preserve">ou du but de cette disposition.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Cette interprétation est conforme à l’observation suivante de notre Cour </w:t>
      </w:r>
      <w:r w:rsidRPr="00EB5449">
        <w:rPr>
          <w:rFonts w:cs="Times New Roman"/>
          <w:szCs w:val="24"/>
        </w:rPr>
        <w:lastRenderedPageBreak/>
        <w:t xml:space="preserve">dans l’arrêt </w:t>
      </w:r>
      <w:r w:rsidRPr="00EB5449">
        <w:rPr>
          <w:rFonts w:cs="Times New Roman"/>
          <w:i/>
          <w:iCs/>
          <w:szCs w:val="24"/>
        </w:rPr>
        <w:t>Hall</w:t>
      </w:r>
      <w:r>
        <w:rPr>
          <w:rFonts w:cs="Times New Roman"/>
          <w:szCs w:val="24"/>
        </w:rPr>
        <w:t> :</w:t>
      </w:r>
    </w:p>
    <w:p w:rsidR="00CE3216" w:rsidRPr="00EB5449" w:rsidRDefault="00CE3216" w:rsidP="00CE3216">
      <w:pPr>
        <w:pStyle w:val="Citation-AltC"/>
        <w:widowControl w:val="0"/>
        <w:rPr>
          <w:szCs w:val="24"/>
          <w:lang w:val="fr-FR"/>
        </w:rPr>
      </w:pPr>
      <w:r w:rsidRPr="00EB5449">
        <w:rPr>
          <w:szCs w:val="24"/>
          <w:u w:val="single"/>
          <w:lang w:val="fr-FR"/>
        </w:rPr>
        <w:t>Bien que les circonstances</w:t>
      </w:r>
      <w:r w:rsidRPr="00EB5449">
        <w:rPr>
          <w:szCs w:val="24"/>
          <w:lang w:val="fr-FR"/>
        </w:rPr>
        <w:t xml:space="preserve"> dans lesquelles il est possible d’invoquer ce motif de refus d’accorder la mise en liberté sous caution </w:t>
      </w:r>
      <w:r w:rsidRPr="00EB5449">
        <w:rPr>
          <w:szCs w:val="24"/>
          <w:u w:val="single"/>
          <w:lang w:val="fr-FR"/>
        </w:rPr>
        <w:t>puissent être rares</w:t>
      </w:r>
      <w:r w:rsidRPr="00EB5449">
        <w:rPr>
          <w:szCs w:val="24"/>
          <w:lang w:val="fr-FR"/>
        </w:rPr>
        <w:t>, lorsqu’elles se présentent, il est essentiel de disposer d’un moyen de refuser cette mise en liberté. [Je souligne; par. 31.]</w:t>
      </w:r>
    </w:p>
    <w:p w:rsidR="00CE3216" w:rsidRPr="00EB5449" w:rsidRDefault="00CE3216" w:rsidP="00CE3216">
      <w:pPr>
        <w:pStyle w:val="Citation-AltC"/>
        <w:widowControl w:val="0"/>
        <w:rPr>
          <w:szCs w:val="24"/>
          <w:lang w:val="fr-FR"/>
        </w:rPr>
      </w:pPr>
    </w:p>
    <w:p w:rsidR="00CE3216" w:rsidRPr="00EB5449" w:rsidRDefault="00CE3216" w:rsidP="00CE3216">
      <w:pPr>
        <w:pStyle w:val="ParaNoNdepar-AltN"/>
        <w:widowControl w:val="0"/>
        <w:rPr>
          <w:rFonts w:cs="Times New Roman"/>
          <w:szCs w:val="24"/>
        </w:rPr>
      </w:pPr>
      <w:r w:rsidRPr="00EB5449">
        <w:rPr>
          <w:rFonts w:cs="Times New Roman"/>
          <w:szCs w:val="24"/>
        </w:rPr>
        <w:t xml:space="preserve">Je suis d’avis que l’utilisation du critère de la </w:t>
      </w:r>
      <w:r>
        <w:rPr>
          <w:rFonts w:cs="Times New Roman"/>
          <w:szCs w:val="24"/>
        </w:rPr>
        <w:t>« </w:t>
      </w:r>
      <w:r w:rsidRPr="00EB5449">
        <w:rPr>
          <w:rFonts w:cs="Times New Roman"/>
          <w:szCs w:val="24"/>
        </w:rPr>
        <w:t>rareté</w:t>
      </w:r>
      <w:r>
        <w:rPr>
          <w:rFonts w:cs="Times New Roman"/>
          <w:szCs w:val="24"/>
        </w:rPr>
        <w:t> »</w:t>
      </w:r>
      <w:r w:rsidRPr="00EB5449">
        <w:rPr>
          <w:rFonts w:cs="Times New Roman"/>
          <w:szCs w:val="24"/>
        </w:rPr>
        <w:t xml:space="preserve"> des circonstances est vague et ingérable en pratique. En effet, comment appliquer un tel critère? Le juge devrait-il se demander combien de causes ont été entendues (devant sa juridiction, au Canada, dans la dernière année, etc.) et, en même temps, s’assurer que s’il ordonne la détention dans l’affaire dont il est saisi, les cas de détention fondés sur l’al. 515(10)</w:t>
      </w:r>
      <w:r w:rsidRPr="00EB5449">
        <w:rPr>
          <w:rFonts w:cs="Times New Roman"/>
          <w:i/>
          <w:iCs/>
          <w:szCs w:val="24"/>
        </w:rPr>
        <w:t>c</w:t>
      </w:r>
      <w:r w:rsidRPr="00EB5449">
        <w:rPr>
          <w:rFonts w:cs="Times New Roman"/>
          <w:szCs w:val="24"/>
        </w:rPr>
        <w:t xml:space="preserve">) demeureront </w:t>
      </w:r>
      <w:r>
        <w:rPr>
          <w:rFonts w:cs="Times New Roman"/>
          <w:szCs w:val="24"/>
        </w:rPr>
        <w:t>« </w:t>
      </w:r>
      <w:r w:rsidRPr="00EB5449">
        <w:rPr>
          <w:rFonts w:cs="Times New Roman"/>
          <w:szCs w:val="24"/>
        </w:rPr>
        <w:t>rares</w:t>
      </w:r>
      <w:r>
        <w:rPr>
          <w:rFonts w:cs="Times New Roman"/>
          <w:szCs w:val="24"/>
        </w:rPr>
        <w:t> »</w:t>
      </w:r>
      <w:r w:rsidRPr="00EB5449">
        <w:rPr>
          <w:rFonts w:cs="Times New Roman"/>
          <w:szCs w:val="24"/>
        </w:rPr>
        <w:t xml:space="preserve">? Devrait-il recenser les décisions où la détention a été ordonnée et se demander si les faits de l’affaire devant lui sont identiques (ou presque) à ceux en cause dans ces décisions? En tout état de cause, il me semble que le critère de la </w:t>
      </w:r>
      <w:r>
        <w:rPr>
          <w:rFonts w:cs="Times New Roman"/>
          <w:szCs w:val="24"/>
        </w:rPr>
        <w:t>« </w:t>
      </w:r>
      <w:r w:rsidRPr="00EB5449">
        <w:rPr>
          <w:rFonts w:cs="Times New Roman"/>
          <w:szCs w:val="24"/>
        </w:rPr>
        <w:t>rareté</w:t>
      </w:r>
      <w:r>
        <w:rPr>
          <w:rFonts w:cs="Times New Roman"/>
          <w:szCs w:val="24"/>
        </w:rPr>
        <w:t> »</w:t>
      </w:r>
      <w:r w:rsidRPr="00EB5449">
        <w:rPr>
          <w:rFonts w:cs="Times New Roman"/>
          <w:szCs w:val="24"/>
        </w:rPr>
        <w:t xml:space="preserve"> des circonstances amènerait le juge à se livrer à un exercice de comparaison et, donc, à s’éloigner de l’examen attentif des circonstances propres à chaque espèce que requiert la question. À mon avis, une telle approche comparative risquerait de miner la confiance du public envers l’administration de la justice.   </w:t>
      </w:r>
    </w:p>
    <w:p w:rsidR="00CE3216" w:rsidRPr="00EB5449" w:rsidRDefault="00CE3216" w:rsidP="00CE3216">
      <w:pPr>
        <w:pStyle w:val="ParaNoNdepar-AltN"/>
        <w:widowControl w:val="0"/>
        <w:rPr>
          <w:rFonts w:cs="Times New Roman"/>
          <w:szCs w:val="24"/>
        </w:rPr>
      </w:pPr>
      <w:r w:rsidRPr="00EB5449">
        <w:rPr>
          <w:rFonts w:cs="Times New Roman"/>
          <w:szCs w:val="24"/>
        </w:rPr>
        <w:t>De plus, l’appelante signale à juste titre que le libellé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est clair et n’exige pas des circonstances exceptionnelles ou rares. Cette interprétation est conforme à la récente décision de notre Cour dans </w:t>
      </w:r>
      <w:r w:rsidRPr="00EB5449">
        <w:rPr>
          <w:rFonts w:cs="Times New Roman"/>
          <w:i/>
          <w:iCs/>
          <w:szCs w:val="24"/>
          <w:lang w:val="fr-FR"/>
        </w:rPr>
        <w:t>R. c. Summers</w:t>
      </w:r>
      <w:r w:rsidRPr="00EB5449">
        <w:rPr>
          <w:rFonts w:cs="Times New Roman"/>
          <w:szCs w:val="24"/>
          <w:lang w:val="fr-FR"/>
        </w:rPr>
        <w:t xml:space="preserve">, 2014 CSC 26, [2014] 1 R.C.S. 575, qui portait sur les par. 719(3) et (3.1) </w:t>
      </w:r>
      <w:r w:rsidR="004364EE">
        <w:rPr>
          <w:rFonts w:cs="Times New Roman"/>
          <w:i/>
          <w:iCs/>
          <w:szCs w:val="24"/>
          <w:lang w:val="fr-FR"/>
        </w:rPr>
        <w:t>C. cr.</w:t>
      </w:r>
      <w:r w:rsidRPr="00EB5449">
        <w:rPr>
          <w:rFonts w:cs="Times New Roman"/>
          <w:szCs w:val="24"/>
          <w:lang w:val="fr-FR"/>
        </w:rPr>
        <w:t xml:space="preserve"> relatifs à la détermination de la peine. Le paragraphe 719(3) prévoit que pour fixer la </w:t>
      </w:r>
      <w:r w:rsidRPr="00EB5449">
        <w:rPr>
          <w:rFonts w:cs="Times New Roman"/>
          <w:szCs w:val="24"/>
          <w:lang w:val="fr-FR"/>
        </w:rPr>
        <w:lastRenderedPageBreak/>
        <w:t xml:space="preserve">peine à infliger à une personne déclarée coupable d’une infraction, le tribunal peut prendre en compte toute période que la personne a passée sous garde par suite de l’infraction, à raison d’un maximum d’un jour pour chaque jour passé sous garde. Le paragraphe 719(3.1) précise toutefois que </w:t>
      </w:r>
      <w:r>
        <w:rPr>
          <w:rFonts w:cs="Times New Roman"/>
          <w:szCs w:val="24"/>
          <w:lang w:val="fr-FR"/>
        </w:rPr>
        <w:t>« </w:t>
      </w:r>
      <w:r w:rsidRPr="00EB5449">
        <w:rPr>
          <w:rFonts w:cs="Times New Roman"/>
          <w:szCs w:val="24"/>
          <w:lang w:val="fr-FR"/>
        </w:rPr>
        <w:t>si les circonstances le justifient</w:t>
      </w:r>
      <w:r>
        <w:rPr>
          <w:rFonts w:cs="Times New Roman"/>
          <w:szCs w:val="24"/>
          <w:lang w:val="fr-FR"/>
        </w:rPr>
        <w:t> »</w:t>
      </w:r>
      <w:r w:rsidRPr="00EB5449">
        <w:rPr>
          <w:rFonts w:cs="Times New Roman"/>
          <w:szCs w:val="24"/>
          <w:lang w:val="fr-FR"/>
        </w:rPr>
        <w:t>, le maximum peut être porté à un jour et demi pour chaque jour passé sous garde. La Cour a interprété ainsi cette disposition</w:t>
      </w:r>
      <w:r>
        <w:rPr>
          <w:rFonts w:cs="Times New Roman"/>
          <w:szCs w:val="24"/>
          <w:lang w:val="fr-FR"/>
        </w:rPr>
        <w:t> :</w:t>
      </w:r>
    </w:p>
    <w:p w:rsidR="00CE3216" w:rsidRPr="00EB5449" w:rsidRDefault="00CE3216" w:rsidP="00CE3216">
      <w:pPr>
        <w:pStyle w:val="Citation-AltC"/>
        <w:widowControl w:val="0"/>
        <w:ind w:firstLine="274"/>
        <w:rPr>
          <w:szCs w:val="24"/>
          <w:lang w:val="fr-FR"/>
        </w:rPr>
      </w:pPr>
      <w:r>
        <w:rPr>
          <w:szCs w:val="24"/>
        </w:rPr>
        <w:t>. . .</w:t>
      </w:r>
      <w:r w:rsidRPr="00EB5449">
        <w:rPr>
          <w:szCs w:val="24"/>
        </w:rPr>
        <w:t xml:space="preserve"> l</w:t>
      </w:r>
      <w:r w:rsidRPr="00EB5449">
        <w:rPr>
          <w:szCs w:val="24"/>
          <w:lang w:val="fr-FR"/>
        </w:rPr>
        <w:t xml:space="preserve">e libellé de cette disposition n’est pas limitatif quant aux données qui peuvent constituer des </w:t>
      </w:r>
      <w:r>
        <w:rPr>
          <w:szCs w:val="24"/>
          <w:lang w:val="fr-FR"/>
        </w:rPr>
        <w:t>« </w:t>
      </w:r>
      <w:r w:rsidRPr="00EB5449">
        <w:rPr>
          <w:szCs w:val="24"/>
          <w:lang w:val="fr-FR"/>
        </w:rPr>
        <w:t>circonstances</w:t>
      </w:r>
      <w:r>
        <w:rPr>
          <w:szCs w:val="24"/>
          <w:lang w:val="fr-FR"/>
        </w:rPr>
        <w:t> »</w:t>
      </w:r>
      <w:r w:rsidRPr="00EB5449">
        <w:rPr>
          <w:szCs w:val="24"/>
          <w:lang w:val="fr-FR"/>
        </w:rPr>
        <w:t xml:space="preserve">. </w:t>
      </w:r>
      <w:r w:rsidRPr="00EB5449">
        <w:rPr>
          <w:szCs w:val="24"/>
          <w:u w:val="single"/>
          <w:lang w:val="fr-FR"/>
        </w:rPr>
        <w:t xml:space="preserve">Il aurait été facile pour le législateur de préciser que seules des </w:t>
      </w:r>
      <w:r>
        <w:rPr>
          <w:szCs w:val="24"/>
          <w:u w:val="single"/>
          <w:lang w:val="fr-FR"/>
        </w:rPr>
        <w:t>« </w:t>
      </w:r>
      <w:r w:rsidRPr="00EB5449">
        <w:rPr>
          <w:szCs w:val="24"/>
          <w:u w:val="single"/>
          <w:lang w:val="fr-FR"/>
        </w:rPr>
        <w:t>circonstances exceptionnelles</w:t>
      </w:r>
      <w:r>
        <w:rPr>
          <w:szCs w:val="24"/>
          <w:u w:val="single"/>
          <w:lang w:val="fr-FR"/>
        </w:rPr>
        <w:t> »</w:t>
      </w:r>
      <w:r w:rsidRPr="00EB5449">
        <w:rPr>
          <w:szCs w:val="24"/>
          <w:lang w:val="fr-FR"/>
        </w:rPr>
        <w:t xml:space="preserve"> ou d’</w:t>
      </w:r>
      <w:r>
        <w:rPr>
          <w:szCs w:val="24"/>
          <w:lang w:val="fr-FR"/>
        </w:rPr>
        <w:t>« </w:t>
      </w:r>
      <w:r w:rsidRPr="00EB5449">
        <w:rPr>
          <w:szCs w:val="24"/>
          <w:lang w:val="fr-FR"/>
        </w:rPr>
        <w:t>autres circonstances que la perte liée à l’admissibilité à la libération anticipée et à la libération conditionnelle</w:t>
      </w:r>
      <w:r>
        <w:rPr>
          <w:szCs w:val="24"/>
          <w:lang w:val="fr-FR"/>
        </w:rPr>
        <w:t> »</w:t>
      </w:r>
      <w:r w:rsidRPr="00EB5449">
        <w:rPr>
          <w:szCs w:val="24"/>
          <w:lang w:val="fr-FR"/>
        </w:rPr>
        <w:t xml:space="preserve"> justifient l’octroi d’un crédit majoré.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ind w:firstLine="274"/>
        <w:rPr>
          <w:szCs w:val="24"/>
          <w:lang w:val="fr-FR"/>
        </w:rPr>
      </w:pPr>
      <w:r w:rsidRPr="00EB5449">
        <w:rPr>
          <w:szCs w:val="24"/>
          <w:lang w:val="fr-FR"/>
        </w:rPr>
        <w:t xml:space="preserve">La juge Cronk signale que, </w:t>
      </w:r>
      <w:r w:rsidRPr="00EB5449">
        <w:rPr>
          <w:szCs w:val="24"/>
          <w:u w:val="single"/>
          <w:lang w:val="fr-FR"/>
        </w:rPr>
        <w:t xml:space="preserve">ailleurs dans le </w:t>
      </w:r>
      <w:r w:rsidRPr="00EB5449">
        <w:rPr>
          <w:i/>
          <w:iCs/>
          <w:szCs w:val="24"/>
          <w:u w:val="single"/>
          <w:lang w:val="fr-FR"/>
        </w:rPr>
        <w:t>Code criminel</w:t>
      </w:r>
      <w:r w:rsidRPr="00EB5449">
        <w:rPr>
          <w:szCs w:val="24"/>
          <w:u w:val="single"/>
          <w:lang w:val="fr-FR"/>
        </w:rPr>
        <w:t xml:space="preserve">, le législateur emploie un libellé qui restreint la portée du mot </w:t>
      </w:r>
      <w:r>
        <w:rPr>
          <w:szCs w:val="24"/>
          <w:u w:val="single"/>
          <w:lang w:val="fr-FR"/>
        </w:rPr>
        <w:t>« </w:t>
      </w:r>
      <w:r w:rsidRPr="00EB5449">
        <w:rPr>
          <w:szCs w:val="24"/>
          <w:u w:val="single"/>
          <w:lang w:val="fr-FR"/>
        </w:rPr>
        <w:t>circonstances</w:t>
      </w:r>
      <w:r>
        <w:rPr>
          <w:szCs w:val="24"/>
          <w:u w:val="single"/>
          <w:lang w:val="fr-FR"/>
        </w:rPr>
        <w:t> »</w:t>
      </w:r>
      <w:r w:rsidRPr="00EB5449">
        <w:rPr>
          <w:szCs w:val="24"/>
          <w:lang w:val="fr-FR"/>
        </w:rPr>
        <w:t>.</w:t>
      </w:r>
      <w:r>
        <w:rPr>
          <w:szCs w:val="24"/>
          <w:lang w:val="fr-FR"/>
        </w:rPr>
        <w:t xml:space="preserve"> </w:t>
      </w:r>
      <w:r w:rsidRPr="00EB5449">
        <w:rPr>
          <w:szCs w:val="24"/>
          <w:lang w:val="fr-FR"/>
        </w:rPr>
        <w:t xml:space="preserve"> Par exemple, il renvoie à des </w:t>
      </w:r>
      <w:r>
        <w:rPr>
          <w:szCs w:val="24"/>
          <w:lang w:val="fr-FR"/>
        </w:rPr>
        <w:t>« </w:t>
      </w:r>
      <w:r w:rsidRPr="00EB5449">
        <w:rPr>
          <w:szCs w:val="24"/>
          <w:lang w:val="fr-FR"/>
        </w:rPr>
        <w:t>circonstances exceptionnelles</w:t>
      </w:r>
      <w:r>
        <w:rPr>
          <w:szCs w:val="24"/>
          <w:lang w:val="fr-FR"/>
        </w:rPr>
        <w:t> »</w:t>
      </w:r>
      <w:r w:rsidRPr="00EB5449">
        <w:rPr>
          <w:szCs w:val="24"/>
          <w:lang w:val="fr-FR"/>
        </w:rPr>
        <w:t xml:space="preserve"> au par. 672.14(3) (une ordonnance d’évaluation de l’aptitude de l’accusé à subir son procès n’est en vigueur que pendant 30</w:t>
      </w:r>
      <w:r>
        <w:rPr>
          <w:szCs w:val="24"/>
          <w:lang w:val="fr-FR"/>
        </w:rPr>
        <w:t xml:space="preserve"> </w:t>
      </w:r>
      <w:r w:rsidRPr="00EB5449">
        <w:rPr>
          <w:szCs w:val="24"/>
          <w:lang w:val="fr-FR"/>
        </w:rPr>
        <w:t>jours, mais elle peut valoir pour une période de 60</w:t>
      </w:r>
      <w:r>
        <w:rPr>
          <w:szCs w:val="24"/>
          <w:lang w:val="fr-FR"/>
        </w:rPr>
        <w:t xml:space="preserve"> </w:t>
      </w:r>
      <w:r w:rsidRPr="00EB5449">
        <w:rPr>
          <w:szCs w:val="24"/>
          <w:lang w:val="fr-FR"/>
        </w:rPr>
        <w:t xml:space="preserve">jours si des </w:t>
      </w:r>
      <w:r>
        <w:rPr>
          <w:szCs w:val="24"/>
          <w:lang w:val="fr-FR"/>
        </w:rPr>
        <w:t>« </w:t>
      </w:r>
      <w:r w:rsidRPr="00EB5449">
        <w:rPr>
          <w:szCs w:val="24"/>
          <w:lang w:val="fr-FR"/>
        </w:rPr>
        <w:t>circonstances exceptionnelles</w:t>
      </w:r>
      <w:r>
        <w:rPr>
          <w:szCs w:val="24"/>
          <w:lang w:val="fr-FR"/>
        </w:rPr>
        <w:t> »</w:t>
      </w:r>
      <w:r w:rsidRPr="00EB5449">
        <w:rPr>
          <w:szCs w:val="24"/>
          <w:lang w:val="fr-FR"/>
        </w:rPr>
        <w:t xml:space="preserve"> l’exigent), au par. 672.47(2) (lorsqu’un accusé est jugé inapte à subir son procès, une décision doit être rendue dans les 45 jours, sauf </w:t>
      </w:r>
      <w:r>
        <w:rPr>
          <w:szCs w:val="24"/>
          <w:lang w:val="fr-FR"/>
        </w:rPr>
        <w:t>« </w:t>
      </w:r>
      <w:r w:rsidRPr="00EB5449">
        <w:rPr>
          <w:szCs w:val="24"/>
          <w:lang w:val="fr-FR"/>
        </w:rPr>
        <w:t>circonstances exceptionnelles</w:t>
      </w:r>
      <w:r>
        <w:rPr>
          <w:szCs w:val="24"/>
          <w:lang w:val="fr-FR"/>
        </w:rPr>
        <w:t> »</w:t>
      </w:r>
      <w:r w:rsidRPr="00EB5449">
        <w:rPr>
          <w:szCs w:val="24"/>
          <w:lang w:val="fr-FR"/>
        </w:rPr>
        <w:t xml:space="preserve">, auquel cas le délai peut être prolongé jusqu’à un maximum de 90 jours) et au par. 742.6(16) (lorsqu’un délinquant enfreint une ordonnance de sursis, une partie de la période de suspension peut, dans les </w:t>
      </w:r>
      <w:r>
        <w:rPr>
          <w:szCs w:val="24"/>
          <w:lang w:val="fr-FR"/>
        </w:rPr>
        <w:t>« </w:t>
      </w:r>
      <w:r w:rsidRPr="00EB5449">
        <w:rPr>
          <w:szCs w:val="24"/>
          <w:lang w:val="fr-FR"/>
        </w:rPr>
        <w:t>cas exceptionnels</w:t>
      </w:r>
      <w:r>
        <w:rPr>
          <w:szCs w:val="24"/>
          <w:lang w:val="fr-FR"/>
        </w:rPr>
        <w:t> »</w:t>
      </w:r>
      <w:r w:rsidRPr="00EB5449">
        <w:rPr>
          <w:szCs w:val="24"/>
          <w:lang w:val="fr-FR"/>
        </w:rPr>
        <w:t xml:space="preserve">, être réputée valoir comme temps écoulé).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ind w:firstLine="274"/>
        <w:rPr>
          <w:i/>
          <w:iCs/>
          <w:szCs w:val="24"/>
          <w:lang w:val="fr-FR"/>
        </w:rPr>
      </w:pPr>
      <w:r w:rsidRPr="00EB5449">
        <w:rPr>
          <w:szCs w:val="24"/>
          <w:u w:val="single"/>
          <w:lang w:val="fr-FR"/>
        </w:rPr>
        <w:t xml:space="preserve">L’absence de délimitation des </w:t>
      </w:r>
      <w:r>
        <w:rPr>
          <w:szCs w:val="24"/>
          <w:u w:val="single"/>
          <w:lang w:val="fr-FR"/>
        </w:rPr>
        <w:t>« </w:t>
      </w:r>
      <w:r w:rsidRPr="00EB5449">
        <w:rPr>
          <w:szCs w:val="24"/>
          <w:u w:val="single"/>
          <w:lang w:val="fr-FR"/>
        </w:rPr>
        <w:t>circonstances</w:t>
      </w:r>
      <w:r>
        <w:rPr>
          <w:szCs w:val="24"/>
          <w:u w:val="single"/>
          <w:lang w:val="fr-FR"/>
        </w:rPr>
        <w:t> »</w:t>
      </w:r>
      <w:r w:rsidRPr="00EB5449">
        <w:rPr>
          <w:szCs w:val="24"/>
          <w:u w:val="single"/>
          <w:lang w:val="fr-FR"/>
        </w:rPr>
        <w:t xml:space="preserve"> visées au par. 719(3.1) est révélatrice</w:t>
      </w:r>
      <w:r w:rsidRPr="00EB5449">
        <w:rPr>
          <w:szCs w:val="24"/>
          <w:lang w:val="fr-FR"/>
        </w:rPr>
        <w:t xml:space="preserve">, car le législateur </w:t>
      </w:r>
      <w:r w:rsidRPr="00EB5449">
        <w:rPr>
          <w:i/>
          <w:iCs/>
          <w:szCs w:val="24"/>
          <w:lang w:val="fr-FR"/>
        </w:rPr>
        <w:t xml:space="preserve">limite </w:t>
      </w:r>
      <w:r w:rsidRPr="00EB5449">
        <w:rPr>
          <w:szCs w:val="24"/>
          <w:lang w:val="fr-FR"/>
        </w:rPr>
        <w:t>l’accès au crédit majoré et le refuse au délinquant qui n’a pas été libéré sous caution principalement à cause d’une condamnation antérieure (par. 515(9.1)), à celui qui a violé les conditions de sa mise en liberté sous caution (al. 524(4)</w:t>
      </w:r>
      <w:r w:rsidRPr="00EB5449">
        <w:rPr>
          <w:i/>
          <w:iCs/>
          <w:szCs w:val="24"/>
          <w:lang w:val="fr-FR"/>
        </w:rPr>
        <w:t>a</w:t>
      </w:r>
      <w:r w:rsidRPr="00EB5449">
        <w:rPr>
          <w:szCs w:val="24"/>
          <w:lang w:val="fr-FR"/>
        </w:rPr>
        <w:t>) et 524(8)</w:t>
      </w:r>
      <w:r w:rsidRPr="00EB5449">
        <w:rPr>
          <w:i/>
          <w:iCs/>
          <w:szCs w:val="24"/>
          <w:lang w:val="fr-FR"/>
        </w:rPr>
        <w:t>a</w:t>
      </w:r>
      <w:r w:rsidRPr="00EB5449">
        <w:rPr>
          <w:szCs w:val="24"/>
          <w:lang w:val="fr-FR"/>
        </w:rPr>
        <w:t>)) et à celui qui a commis un acte criminel lorsqu’il était en liberté sous caution (al. 524(4)</w:t>
      </w:r>
      <w:r w:rsidRPr="00EB5449">
        <w:rPr>
          <w:i/>
          <w:iCs/>
          <w:szCs w:val="24"/>
          <w:lang w:val="fr-FR"/>
        </w:rPr>
        <w:t>b</w:t>
      </w:r>
      <w:r w:rsidRPr="00EB5449">
        <w:rPr>
          <w:szCs w:val="24"/>
          <w:lang w:val="fr-FR"/>
        </w:rPr>
        <w:t>) et 524(8)</w:t>
      </w:r>
      <w:r w:rsidRPr="00EB5449">
        <w:rPr>
          <w:i/>
          <w:iCs/>
          <w:szCs w:val="24"/>
          <w:lang w:val="fr-FR"/>
        </w:rPr>
        <w:t>b</w:t>
      </w:r>
      <w:r w:rsidRPr="00EB5449">
        <w:rPr>
          <w:szCs w:val="24"/>
          <w:lang w:val="fr-FR"/>
        </w:rPr>
        <w:t>)).</w:t>
      </w:r>
      <w:r>
        <w:rPr>
          <w:szCs w:val="24"/>
          <w:lang w:val="fr-FR"/>
        </w:rPr>
        <w:t xml:space="preserve"> </w:t>
      </w:r>
      <w:r w:rsidRPr="00EB5449">
        <w:rPr>
          <w:szCs w:val="24"/>
          <w:lang w:val="fr-FR"/>
        </w:rPr>
        <w:t xml:space="preserve"> Le législateur a clairement considéré les circonstances dans lesquelles le par. 719(3.1) </w:t>
      </w:r>
      <w:r w:rsidRPr="00EB5449">
        <w:rPr>
          <w:i/>
          <w:iCs/>
          <w:szCs w:val="24"/>
          <w:lang w:val="fr-FR"/>
        </w:rPr>
        <w:t>ne</w:t>
      </w:r>
      <w:r w:rsidRPr="00EB5449">
        <w:rPr>
          <w:szCs w:val="24"/>
          <w:lang w:val="fr-FR"/>
        </w:rPr>
        <w:t xml:space="preserve"> devait </w:t>
      </w:r>
      <w:r w:rsidRPr="00EB5449">
        <w:rPr>
          <w:i/>
          <w:iCs/>
          <w:szCs w:val="24"/>
          <w:lang w:val="fr-FR"/>
        </w:rPr>
        <w:t>pas</w:t>
      </w:r>
      <w:r w:rsidRPr="00EB5449">
        <w:rPr>
          <w:szCs w:val="24"/>
          <w:lang w:val="fr-FR"/>
        </w:rPr>
        <w:t xml:space="preserve"> s’appliquer, mais il n’a pas limité les </w:t>
      </w:r>
      <w:r>
        <w:rPr>
          <w:szCs w:val="24"/>
          <w:lang w:val="fr-FR"/>
        </w:rPr>
        <w:t>« </w:t>
      </w:r>
      <w:r w:rsidRPr="00EB5449">
        <w:rPr>
          <w:szCs w:val="24"/>
          <w:lang w:val="fr-FR"/>
        </w:rPr>
        <w:t>circonstances</w:t>
      </w:r>
      <w:r>
        <w:rPr>
          <w:szCs w:val="24"/>
          <w:lang w:val="fr-FR"/>
        </w:rPr>
        <w:t> »</w:t>
      </w:r>
      <w:r w:rsidRPr="00EB5449">
        <w:rPr>
          <w:szCs w:val="24"/>
          <w:lang w:val="fr-FR"/>
        </w:rPr>
        <w:t xml:space="preserve"> qui justifient son application. [Je souligne.]</w:t>
      </w:r>
    </w:p>
    <w:p w:rsidR="00CE3216" w:rsidRPr="00EB5449" w:rsidRDefault="00CE3216" w:rsidP="00CE3216">
      <w:pPr>
        <w:pStyle w:val="Citation-AltC"/>
        <w:widowControl w:val="0"/>
        <w:rPr>
          <w:szCs w:val="24"/>
          <w:u w:val="single"/>
          <w:lang w:val="fr-FR"/>
        </w:rPr>
      </w:pPr>
    </w:p>
    <w:p w:rsidR="00CE3216" w:rsidRPr="00EB5449" w:rsidRDefault="00CE3216" w:rsidP="003036DE">
      <w:pPr>
        <w:pStyle w:val="Citation-AltC"/>
        <w:widowControl w:val="0"/>
        <w:spacing w:after="480" w:line="480" w:lineRule="auto"/>
        <w:ind w:left="0"/>
        <w:contextualSpacing w:val="0"/>
        <w:rPr>
          <w:szCs w:val="24"/>
          <w:lang w:val="fr-FR"/>
        </w:rPr>
      </w:pPr>
      <w:r w:rsidRPr="00EB5449">
        <w:rPr>
          <w:szCs w:val="24"/>
          <w:lang w:val="fr-FR"/>
        </w:rPr>
        <w:lastRenderedPageBreak/>
        <w:t>(</w:t>
      </w:r>
      <w:r w:rsidRPr="00EB5449">
        <w:rPr>
          <w:i/>
          <w:iCs/>
          <w:szCs w:val="24"/>
          <w:lang w:val="fr-FR"/>
        </w:rPr>
        <w:t>Summers</w:t>
      </w:r>
      <w:r w:rsidRPr="00EB5449">
        <w:rPr>
          <w:szCs w:val="24"/>
          <w:lang w:val="fr-FR"/>
        </w:rPr>
        <w:t>, par. 37-39)</w:t>
      </w:r>
    </w:p>
    <w:p w:rsidR="00CE3216" w:rsidRPr="00EB5449" w:rsidRDefault="00CE3216" w:rsidP="00CE3216">
      <w:pPr>
        <w:pStyle w:val="ParaNoNdepar-AltN"/>
        <w:widowControl w:val="0"/>
        <w:rPr>
          <w:rFonts w:cs="Times New Roman"/>
          <w:szCs w:val="24"/>
        </w:rPr>
      </w:pPr>
      <w:r w:rsidRPr="00EB5449">
        <w:rPr>
          <w:rFonts w:cs="Times New Roman"/>
          <w:szCs w:val="24"/>
        </w:rPr>
        <w:t>En conclusion, le recours à l’al. 515(10)</w:t>
      </w:r>
      <w:r w:rsidRPr="00EB5449">
        <w:rPr>
          <w:rFonts w:cs="Times New Roman"/>
          <w:i/>
          <w:iCs/>
          <w:szCs w:val="24"/>
        </w:rPr>
        <w:t>c</w:t>
      </w:r>
      <w:r w:rsidRPr="00EB5449">
        <w:rPr>
          <w:rFonts w:cs="Times New Roman"/>
          <w:szCs w:val="24"/>
        </w:rPr>
        <w:t xml:space="preserve">) ne se limite pas aux circonstances exceptionnelles, aux crimes </w:t>
      </w:r>
      <w:r>
        <w:rPr>
          <w:rFonts w:cs="Times New Roman"/>
          <w:szCs w:val="24"/>
        </w:rPr>
        <w:t>« </w:t>
      </w:r>
      <w:r w:rsidRPr="00EB5449">
        <w:rPr>
          <w:rFonts w:cs="Times New Roman"/>
          <w:szCs w:val="24"/>
        </w:rPr>
        <w:t>inexplicables</w:t>
      </w:r>
      <w:r>
        <w:rPr>
          <w:rFonts w:cs="Times New Roman"/>
          <w:szCs w:val="24"/>
        </w:rPr>
        <w:t> »</w:t>
      </w:r>
      <w:r w:rsidRPr="00EB5449">
        <w:rPr>
          <w:rFonts w:cs="Times New Roman"/>
          <w:szCs w:val="24"/>
        </w:rPr>
        <w:t xml:space="preserve"> ou encore à certains types de crimes comme le meurtre. Le ministère public peut l’invoquer pour tout type de crimes, mais il devra faire la preuve — sous réserve des cas prévus au par. 515(6) — que la détention de l’accusé est justifiée afin de ne pas miner la confiance du public envers l’administration de la justice. </w:t>
      </w:r>
    </w:p>
    <w:p w:rsidR="00CE3216" w:rsidRPr="00EB5449" w:rsidRDefault="00CE3216" w:rsidP="00CE3216">
      <w:pPr>
        <w:pStyle w:val="Title4LevelTitre4Niveau"/>
        <w:widowControl w:val="0"/>
        <w:ind w:left="892" w:hanging="446"/>
        <w:rPr>
          <w:rFonts w:cs="Times New Roman"/>
          <w:szCs w:val="24"/>
        </w:rPr>
      </w:pPr>
      <w:r w:rsidRPr="00EB5449">
        <w:rPr>
          <w:rFonts w:cs="Times New Roman"/>
          <w:szCs w:val="24"/>
        </w:rPr>
        <w:t xml:space="preserve">Les circonstances énumérées à l’al. 515(10)c) </w:t>
      </w:r>
      <w:r w:rsidR="004364EE">
        <w:rPr>
          <w:rFonts w:cs="Times New Roman"/>
          <w:szCs w:val="24"/>
        </w:rPr>
        <w:t>C. cr.</w:t>
      </w:r>
      <w:r w:rsidR="003036DE" w:rsidRPr="003036DE">
        <w:rPr>
          <w:rFonts w:cs="Times New Roman"/>
          <w:i w:val="0"/>
          <w:szCs w:val="24"/>
        </w:rPr>
        <w:t xml:space="preserve"> </w:t>
      </w:r>
    </w:p>
    <w:p w:rsidR="00CE3216" w:rsidRPr="00EB5449" w:rsidRDefault="00CE3216" w:rsidP="00CE3216">
      <w:pPr>
        <w:pStyle w:val="ParaNoNdepar-AltN"/>
        <w:widowControl w:val="0"/>
        <w:rPr>
          <w:rFonts w:cs="Times New Roman"/>
          <w:szCs w:val="24"/>
        </w:rPr>
      </w:pPr>
      <w:r w:rsidRPr="00EB5449">
        <w:rPr>
          <w:rFonts w:cs="Times New Roman"/>
          <w:szCs w:val="24"/>
        </w:rPr>
        <w:t>L’alinéa 515(10)</w:t>
      </w:r>
      <w:r w:rsidRPr="00EB5449">
        <w:rPr>
          <w:rFonts w:cs="Times New Roman"/>
          <w:i/>
          <w:iCs/>
          <w:szCs w:val="24"/>
        </w:rPr>
        <w:t>c</w:t>
      </w:r>
      <w:r w:rsidRPr="00EB5449">
        <w:rPr>
          <w:rFonts w:cs="Times New Roman"/>
          <w:szCs w:val="24"/>
        </w:rPr>
        <w:t xml:space="preserve">) mentionne expressément quatre circonstances dont le juge doit tenir compte afin de déterminer si la détention de l’accusé est nécessaire pour ne pas miner la confiance du public envers l’administration de la justice. Le juge doit apprécier chacune de ces circonstances — ou facteurs — et prendre en considération leur effet conjugué. Il s’agit d’un exercice de pondération qui amènera le juge à décider si la détention est justifiée.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Je signale qu’il faut garder à l’esprit que, à cette étape des procédures criminelles, l’accusé est encore présumé innocent, peu importe la gravité de l’infraction, le caractère probant de la preuve de la poursuite ou la possibilité d’une longue peine d’emprisonnement. </w:t>
      </w:r>
    </w:p>
    <w:p w:rsidR="00CE3216" w:rsidRPr="00EB5449" w:rsidRDefault="00CE3216" w:rsidP="003036DE">
      <w:pPr>
        <w:pStyle w:val="Title5LevelTitre5Niveau"/>
        <w:widowControl w:val="0"/>
        <w:tabs>
          <w:tab w:val="num" w:pos="900"/>
        </w:tabs>
        <w:ind w:left="900" w:hanging="450"/>
        <w:rPr>
          <w:rFonts w:cs="Times New Roman"/>
          <w:szCs w:val="24"/>
        </w:rPr>
      </w:pPr>
      <w:r w:rsidRPr="00EB5449">
        <w:rPr>
          <w:rFonts w:cs="Times New Roman"/>
          <w:szCs w:val="24"/>
        </w:rPr>
        <w:t>Le fait que l’accusation paraît fondée</w:t>
      </w:r>
    </w:p>
    <w:p w:rsidR="00CE3216" w:rsidRPr="00EB5449" w:rsidRDefault="00CE3216" w:rsidP="00CE3216">
      <w:pPr>
        <w:pStyle w:val="ParaNoNdepar-AltN"/>
        <w:widowControl w:val="0"/>
        <w:rPr>
          <w:rFonts w:cs="Times New Roman"/>
          <w:szCs w:val="24"/>
        </w:rPr>
      </w:pPr>
      <w:r w:rsidRPr="00EB5449">
        <w:rPr>
          <w:rFonts w:eastAsia="Times New Roman" w:cs="Times New Roman"/>
          <w:szCs w:val="24"/>
          <w:lang w:eastAsia="en-CA"/>
        </w:rPr>
        <w:lastRenderedPageBreak/>
        <w:t>L’enquête sur la mise en liberté provisoire est une procédure sommaire où l’application de règles de preuve plus souples est autorisée.</w:t>
      </w:r>
      <w:r w:rsidRPr="00EB5449">
        <w:rPr>
          <w:rFonts w:cs="Times New Roman"/>
          <w:szCs w:val="24"/>
        </w:rPr>
        <w:t xml:space="preserve"> Ainsi, certaines preuves admises à l’occasion de cette enquête peuvent être par la suite exclues au procès. Comme le souligne le juge Trotter, il peut être difficile d’évaluer la force du dossier du poursuivant</w:t>
      </w:r>
      <w:r>
        <w:rPr>
          <w:rFonts w:cs="Times New Roman"/>
          <w:szCs w:val="24"/>
        </w:rPr>
        <w:t xml:space="preserve"> </w:t>
      </w:r>
      <w:r w:rsidRPr="00EB5449">
        <w:rPr>
          <w:rFonts w:cs="Times New Roman"/>
          <w:szCs w:val="24"/>
        </w:rPr>
        <w:t>à l’audience relative à la mise en liberté</w:t>
      </w:r>
      <w:r>
        <w:rPr>
          <w:rFonts w:cs="Times New Roman"/>
          <w:szCs w:val="24"/>
        </w:rPr>
        <w:t> :</w:t>
      </w:r>
      <w:r w:rsidRPr="00EB5449">
        <w:rPr>
          <w:rFonts w:cs="Times New Roman"/>
          <w:szCs w:val="24"/>
        </w:rPr>
        <w:t xml:space="preserve"> [</w:t>
      </w:r>
      <w:r w:rsidRPr="00EB5449">
        <w:rPr>
          <w:rFonts w:cs="Times New Roman"/>
          <w:smallCaps/>
          <w:szCs w:val="24"/>
        </w:rPr>
        <w:t>traduction</w:t>
      </w:r>
      <w:r w:rsidRPr="00EB5449">
        <w:rPr>
          <w:rFonts w:cs="Times New Roman"/>
          <w:szCs w:val="24"/>
        </w:rPr>
        <w:t xml:space="preserve">] </w:t>
      </w:r>
      <w:r>
        <w:rPr>
          <w:rFonts w:cs="Times New Roman"/>
          <w:szCs w:val="24"/>
        </w:rPr>
        <w:t>« </w:t>
      </w:r>
      <w:r w:rsidRPr="00EB5449">
        <w:rPr>
          <w:rFonts w:cs="Times New Roman"/>
          <w:szCs w:val="24"/>
        </w:rPr>
        <w:t>La nature expéditive et quelquefois informelle de l’audience relative à la mise en liberté sous caution peut refléter l’existence d’une preuve à charge excessivement forte</w:t>
      </w:r>
      <w:r>
        <w:rPr>
          <w:rFonts w:cs="Times New Roman"/>
          <w:szCs w:val="24"/>
        </w:rPr>
        <w:t> »</w:t>
      </w:r>
      <w:r w:rsidRPr="00EB5449">
        <w:rPr>
          <w:rFonts w:cs="Times New Roman"/>
          <w:szCs w:val="24"/>
        </w:rPr>
        <w:t xml:space="preserve"> (p. 3-7).</w:t>
      </w:r>
    </w:p>
    <w:p w:rsidR="00CE3216" w:rsidRPr="00EB5449" w:rsidRDefault="00CE3216" w:rsidP="00CE3216">
      <w:pPr>
        <w:pStyle w:val="ParaNoNdepar-AltN"/>
        <w:widowControl w:val="0"/>
        <w:rPr>
          <w:rFonts w:cs="Times New Roman"/>
          <w:szCs w:val="24"/>
        </w:rPr>
      </w:pPr>
      <w:r w:rsidRPr="00EB5449">
        <w:rPr>
          <w:rFonts w:cs="Times New Roman"/>
          <w:szCs w:val="24"/>
        </w:rPr>
        <w:t>Malgré ces difficultés inhérentes au processus de mise en liberté, le juge doit décider si l’accusation paraît fondée. D’une part, le poursuivant n’est pas tenu de prouver hors de tout doute raisonnable que l’accusé a commis l’infraction. Et le juge doit se garder de jouer le rôle du juge du procès</w:t>
      </w:r>
      <w:r>
        <w:rPr>
          <w:rFonts w:cs="Times New Roman"/>
          <w:szCs w:val="24"/>
        </w:rPr>
        <w:t xml:space="preserve"> </w:t>
      </w:r>
      <w:r w:rsidRPr="00EB5449">
        <w:rPr>
          <w:rFonts w:cs="Times New Roman"/>
          <w:szCs w:val="24"/>
        </w:rPr>
        <w:t>ou du jury</w:t>
      </w:r>
      <w:r>
        <w:rPr>
          <w:rFonts w:cs="Times New Roman"/>
          <w:szCs w:val="24"/>
        </w:rPr>
        <w:t> :</w:t>
      </w:r>
      <w:r w:rsidRPr="00EB5449">
        <w:rPr>
          <w:rFonts w:cs="Times New Roman"/>
          <w:szCs w:val="24"/>
        </w:rPr>
        <w:t xml:space="preserve"> la crédibilité des témoins, la fiabilité de la preuve scientifique et d’autres questions devront être analysées lors du procès et non à l’audience relative à la mise en liberté. Cela dit, le juge qui préside cette audience doit tenir compte de la qualité de la preuve présentée par le poursuivant afin de déterminer le poids qu’il accordera à ce facteur dans son exercice de pondération. À titre d’exemple, des éléments de preuve matérielle peuvent s’avérer plus fiables que la simple déclaration d’un témoin, et une preuve circonstancielle peut être moins fiable qu’une preuve directe. L’existence de nombreux éléments de preuve peut également avoir pour effet de renforcer l’apparence de fondement de l’accusation.  </w:t>
      </w:r>
    </w:p>
    <w:p w:rsidR="00CE3216" w:rsidRPr="00EB5449" w:rsidRDefault="00CE3216" w:rsidP="00CE3216">
      <w:pPr>
        <w:pStyle w:val="ParaNoNdepar-AltN"/>
        <w:widowControl w:val="0"/>
        <w:rPr>
          <w:rFonts w:cs="Times New Roman"/>
          <w:szCs w:val="24"/>
        </w:rPr>
      </w:pPr>
      <w:r w:rsidRPr="00EB5449">
        <w:rPr>
          <w:rFonts w:cs="Times New Roman"/>
          <w:szCs w:val="24"/>
        </w:rPr>
        <w:lastRenderedPageBreak/>
        <w:t xml:space="preserve">D’autre part, le juge doit également considérer tout moyen de défense soulevé par l’accusé. Il est probable que cela ne survienne qu’à l’audience relative à la mise en liberté tenue à la fin de l’enquête préliminaire plutôt qu’à l’audience initiale. Il se peut même que l’accusé n’invoque aucun moyen de défense avant le procès. Mais s’il le fait, cela fait partie des éléments que le juge doit évaluer et, si la défense paraît fondée, il doit en tenir compte dans son analyse de l’apparence de fondement de l’accusation. Comme le soulignait la Cour d’appel du Québec dans une décision relativement récente, </w:t>
      </w:r>
      <w:r>
        <w:rPr>
          <w:rFonts w:cs="Times New Roman"/>
          <w:szCs w:val="24"/>
        </w:rPr>
        <w:t>« </w:t>
      </w:r>
      <w:r w:rsidRPr="00EB5449">
        <w:rPr>
          <w:rFonts w:cs="Times New Roman"/>
          <w:szCs w:val="24"/>
        </w:rPr>
        <w:t>il serait en effet injuste de permettre à la poursuite de faire état de la preuve à charge sans que le juge puisse considérer non seulement ses faiblesses, mais aussi les moyens de défense qu’elle laisse [entre]voir</w:t>
      </w:r>
      <w:r>
        <w:rPr>
          <w:rFonts w:cs="Times New Roman"/>
          <w:szCs w:val="24"/>
        </w:rPr>
        <w:t> » :</w:t>
      </w:r>
      <w:r w:rsidRPr="00EB5449">
        <w:rPr>
          <w:rFonts w:cs="Times New Roman"/>
          <w:szCs w:val="24"/>
        </w:rPr>
        <w:t xml:space="preserve"> </w:t>
      </w:r>
      <w:r w:rsidRPr="00EB5449">
        <w:rPr>
          <w:rFonts w:cs="Times New Roman"/>
          <w:i/>
          <w:iCs/>
          <w:szCs w:val="24"/>
        </w:rPr>
        <w:t>R. c. Coates</w:t>
      </w:r>
      <w:r w:rsidRPr="00EB5449">
        <w:rPr>
          <w:rFonts w:cs="Times New Roman"/>
          <w:szCs w:val="24"/>
        </w:rPr>
        <w:t>, 2010 QCCA 919, par. 19</w:t>
      </w:r>
      <w:r w:rsidR="003036DE">
        <w:rPr>
          <w:rFonts w:cs="Times New Roman"/>
          <w:szCs w:val="24"/>
        </w:rPr>
        <w:t xml:space="preserve"> (CanLII)</w:t>
      </w:r>
      <w:r w:rsidRPr="00EB5449">
        <w:rPr>
          <w:rFonts w:cs="Times New Roman"/>
          <w:szCs w:val="24"/>
        </w:rPr>
        <w:t>.</w:t>
      </w:r>
    </w:p>
    <w:p w:rsidR="00CE3216" w:rsidRPr="00EB5449" w:rsidRDefault="00CE3216" w:rsidP="003036DE">
      <w:pPr>
        <w:pStyle w:val="Title5LevelTitre5Niveau"/>
        <w:widowControl w:val="0"/>
        <w:tabs>
          <w:tab w:val="clear" w:pos="1728"/>
          <w:tab w:val="num" w:pos="900"/>
        </w:tabs>
        <w:ind w:left="900" w:hanging="450"/>
        <w:rPr>
          <w:rFonts w:cs="Times New Roman"/>
          <w:szCs w:val="24"/>
        </w:rPr>
      </w:pPr>
      <w:r w:rsidRPr="00EB5449">
        <w:rPr>
          <w:rFonts w:cs="Times New Roman"/>
          <w:szCs w:val="24"/>
        </w:rPr>
        <w:t>La gravité de l’infraction</w:t>
      </w:r>
      <w:r>
        <w:rPr>
          <w:rFonts w:cs="Times New Roman"/>
          <w:szCs w:val="24"/>
          <w:u w:val="none"/>
        </w:rPr>
        <w:t xml:space="preserve"> </w:t>
      </w:r>
    </w:p>
    <w:p w:rsidR="00CE3216" w:rsidRPr="00EB5449" w:rsidRDefault="00CE3216" w:rsidP="00CE3216">
      <w:pPr>
        <w:pStyle w:val="ParaNoNdepar-AltN"/>
        <w:widowControl w:val="0"/>
        <w:rPr>
          <w:rFonts w:cs="Times New Roman"/>
          <w:szCs w:val="24"/>
        </w:rPr>
      </w:pPr>
      <w:r w:rsidRPr="00EB5449">
        <w:rPr>
          <w:rFonts w:cs="Times New Roman"/>
          <w:szCs w:val="24"/>
        </w:rPr>
        <w:t>Pour les besoins de l’al. 515(10)</w:t>
      </w:r>
      <w:r w:rsidRPr="00EB5449">
        <w:rPr>
          <w:rFonts w:cs="Times New Roman"/>
          <w:i/>
          <w:iCs/>
          <w:szCs w:val="24"/>
        </w:rPr>
        <w:t>c</w:t>
      </w:r>
      <w:r w:rsidRPr="00EB5449">
        <w:rPr>
          <w:rFonts w:cs="Times New Roman"/>
          <w:szCs w:val="24"/>
        </w:rPr>
        <w:t xml:space="preserve">), il s’agit pour le juge de déterminer la gravité </w:t>
      </w:r>
      <w:r>
        <w:rPr>
          <w:rFonts w:cs="Times New Roman"/>
          <w:szCs w:val="24"/>
        </w:rPr>
        <w:t>« </w:t>
      </w:r>
      <w:r w:rsidRPr="00EB5449">
        <w:rPr>
          <w:rFonts w:cs="Times New Roman"/>
          <w:szCs w:val="24"/>
        </w:rPr>
        <w:t>objective</w:t>
      </w:r>
      <w:r>
        <w:rPr>
          <w:rFonts w:cs="Times New Roman"/>
          <w:szCs w:val="24"/>
        </w:rPr>
        <w:t> »</w:t>
      </w:r>
      <w:r w:rsidRPr="00EB5449">
        <w:rPr>
          <w:rFonts w:cs="Times New Roman"/>
          <w:szCs w:val="24"/>
        </w:rPr>
        <w:t xml:space="preserve"> de l’infraction, c’est-à-dire par rapport aux autres infractions du </w:t>
      </w:r>
      <w:r w:rsidRPr="00EB5449">
        <w:rPr>
          <w:rFonts w:cs="Times New Roman"/>
          <w:i/>
          <w:iCs/>
          <w:szCs w:val="24"/>
        </w:rPr>
        <w:t>Code criminel</w:t>
      </w:r>
      <w:r w:rsidRPr="00EB5449">
        <w:rPr>
          <w:rFonts w:cs="Times New Roman"/>
          <w:szCs w:val="24"/>
        </w:rPr>
        <w:t xml:space="preserve">. Cette gravité s’évalue en fonction de la sentence maximale </w:t>
      </w:r>
      <w:r w:rsidR="003036DE">
        <w:rPr>
          <w:rFonts w:cs="Times New Roman"/>
          <w:szCs w:val="24"/>
        </w:rPr>
        <w:t xml:space="preserve">— </w:t>
      </w:r>
      <w:r w:rsidRPr="00EB5449">
        <w:rPr>
          <w:rFonts w:cs="Times New Roman"/>
          <w:szCs w:val="24"/>
        </w:rPr>
        <w:t>et, le cas éc</w:t>
      </w:r>
      <w:r w:rsidR="003036DE">
        <w:rPr>
          <w:rFonts w:cs="Times New Roman"/>
          <w:szCs w:val="24"/>
        </w:rPr>
        <w:t>héant, de la sentence minimale —</w:t>
      </w:r>
      <w:r w:rsidRPr="00EB5449">
        <w:rPr>
          <w:rFonts w:cs="Times New Roman"/>
          <w:szCs w:val="24"/>
        </w:rPr>
        <w:t xml:space="preserve"> prévue par le </w:t>
      </w:r>
      <w:r w:rsidRPr="00EB5449">
        <w:rPr>
          <w:rFonts w:cs="Times New Roman"/>
          <w:i/>
          <w:iCs/>
          <w:szCs w:val="24"/>
        </w:rPr>
        <w:t>Code criminel</w:t>
      </w:r>
      <w:r w:rsidRPr="00EB5449">
        <w:rPr>
          <w:rFonts w:cs="Times New Roman"/>
          <w:iCs/>
          <w:szCs w:val="24"/>
        </w:rPr>
        <w:t xml:space="preserve"> à l’égard de l’infraction</w:t>
      </w:r>
      <w:r w:rsidRPr="00EB5449">
        <w:rPr>
          <w:rFonts w:cs="Times New Roman"/>
          <w:szCs w:val="24"/>
        </w:rPr>
        <w:t xml:space="preserve">. </w:t>
      </w:r>
    </w:p>
    <w:p w:rsidR="00CE3216" w:rsidRPr="00EB5449" w:rsidRDefault="00CE3216" w:rsidP="003036DE">
      <w:pPr>
        <w:pStyle w:val="Title5LevelTitre5Niveau"/>
        <w:widowControl w:val="0"/>
        <w:tabs>
          <w:tab w:val="clear" w:pos="1728"/>
          <w:tab w:val="num" w:pos="900"/>
        </w:tabs>
        <w:ind w:left="900" w:hanging="450"/>
        <w:rPr>
          <w:rFonts w:cs="Times New Roman"/>
          <w:szCs w:val="24"/>
        </w:rPr>
      </w:pPr>
      <w:r w:rsidRPr="00EB5449">
        <w:rPr>
          <w:rFonts w:cs="Times New Roman"/>
          <w:szCs w:val="24"/>
        </w:rPr>
        <w:t>Les circonstances entourant la perpétration de l’infraction, y compris l’usage d’une arme à feu</w:t>
      </w:r>
    </w:p>
    <w:p w:rsidR="00CE3216" w:rsidRPr="00EB5449" w:rsidRDefault="00CE3216" w:rsidP="00CE3216">
      <w:pPr>
        <w:pStyle w:val="ParaNoNdepar-AltN"/>
        <w:widowControl w:val="0"/>
        <w:rPr>
          <w:rFonts w:cs="Times New Roman"/>
          <w:szCs w:val="24"/>
        </w:rPr>
      </w:pPr>
      <w:r w:rsidRPr="00EB5449">
        <w:rPr>
          <w:rFonts w:cs="Times New Roman"/>
          <w:szCs w:val="24"/>
        </w:rPr>
        <w:t xml:space="preserve">Sans dresser une liste exhaustive des circonstances entourant la </w:t>
      </w:r>
      <w:r w:rsidRPr="00EB5449">
        <w:rPr>
          <w:rFonts w:cs="Times New Roman"/>
          <w:szCs w:val="24"/>
        </w:rPr>
        <w:lastRenderedPageBreak/>
        <w:t>perpétration de l’infraction qui peuvent être pertinentes pour l’application de l’al. 515(10)</w:t>
      </w:r>
      <w:r w:rsidRPr="00EB5449">
        <w:rPr>
          <w:rFonts w:cs="Times New Roman"/>
          <w:i/>
          <w:iCs/>
          <w:szCs w:val="24"/>
        </w:rPr>
        <w:t>c</w:t>
      </w:r>
      <w:r w:rsidRPr="00EB5449">
        <w:rPr>
          <w:rFonts w:cs="Times New Roman"/>
          <w:szCs w:val="24"/>
        </w:rPr>
        <w:t>), mentionnons les suivantes</w:t>
      </w:r>
      <w:r>
        <w:rPr>
          <w:rFonts w:cs="Times New Roman"/>
          <w:szCs w:val="24"/>
        </w:rPr>
        <w:t> :</w:t>
      </w:r>
      <w:r w:rsidRPr="00EB5449">
        <w:rPr>
          <w:rFonts w:cs="Times New Roman"/>
          <w:szCs w:val="24"/>
        </w:rPr>
        <w:t xml:space="preserve"> le caractère violent, odieux ou haineux de l’infraction, le fait que celle-ci s’inscrive dans un contexte de violence domestique, de gang criminel ou d’organisation terroriste, et le fait qu’elle ait été commise à l’égard d’une personne vulnérable (par exemple, un enfant, une personne âgée ou une personne souffrant d’une déficience). S’il s’agit d’une infraction commise par plusieurs personnes, le degré de participation de l’accusé peut s’avérer pertinent. Les facteurs aggravants ou atténuants dont le tribunal tient compte dans la détermination de la peine peuvent également être considérés. </w:t>
      </w:r>
    </w:p>
    <w:p w:rsidR="00CE3216" w:rsidRPr="00EB5449" w:rsidRDefault="00CE3216" w:rsidP="003036DE">
      <w:pPr>
        <w:pStyle w:val="Title5LevelTitre5Niveau"/>
        <w:widowControl w:val="0"/>
        <w:tabs>
          <w:tab w:val="clear" w:pos="1728"/>
          <w:tab w:val="num" w:pos="900"/>
        </w:tabs>
        <w:ind w:left="900" w:hanging="450"/>
        <w:rPr>
          <w:rFonts w:cs="Times New Roman"/>
          <w:szCs w:val="24"/>
        </w:rPr>
      </w:pPr>
      <w:r w:rsidRPr="00EB5449">
        <w:rPr>
          <w:rFonts w:cs="Times New Roman"/>
          <w:szCs w:val="24"/>
        </w:rPr>
        <w:t>Le fait que le prévenu encourt une longue peine d’emprisonnement</w:t>
      </w:r>
    </w:p>
    <w:p w:rsidR="00CE3216" w:rsidRPr="00EB5449" w:rsidRDefault="00CE3216" w:rsidP="00CE3216">
      <w:pPr>
        <w:pStyle w:val="ParaNoNdepar-AltN"/>
        <w:widowControl w:val="0"/>
        <w:rPr>
          <w:rFonts w:cs="Times New Roman"/>
          <w:szCs w:val="24"/>
        </w:rPr>
      </w:pPr>
      <w:r w:rsidRPr="00EB5449">
        <w:rPr>
          <w:rFonts w:cs="Times New Roman"/>
          <w:szCs w:val="24"/>
          <w:lang w:val="fr-FR"/>
        </w:rPr>
        <w:t>La quatrième circonstance énoncée à l’al. 515(10)</w:t>
      </w:r>
      <w:r w:rsidRPr="00EB5449">
        <w:rPr>
          <w:rFonts w:cs="Times New Roman"/>
          <w:i/>
          <w:iCs/>
          <w:szCs w:val="24"/>
          <w:lang w:val="fr-FR"/>
        </w:rPr>
        <w:t>c</w:t>
      </w:r>
      <w:r w:rsidRPr="00EB5449">
        <w:rPr>
          <w:rFonts w:cs="Times New Roman"/>
          <w:szCs w:val="24"/>
          <w:lang w:val="fr-FR"/>
        </w:rPr>
        <w:t>) est</w:t>
      </w:r>
      <w:r>
        <w:rPr>
          <w:rFonts w:cs="Times New Roman"/>
          <w:szCs w:val="24"/>
          <w:lang w:val="fr-FR"/>
        </w:rPr>
        <w:t xml:space="preserve"> « </w:t>
      </w:r>
      <w:r w:rsidRPr="00EB5449">
        <w:rPr>
          <w:rFonts w:cs="Times New Roman"/>
          <w:szCs w:val="24"/>
          <w:lang w:val="fr-FR"/>
        </w:rPr>
        <w:t>le fait que le prévenu encourt, en cas de condamnation, une longue peine d’emprisonnement ou, s’agissant d’une infraction mettant en jeu une arme à feu, une peine minimale d’emprisonnement d’au moins trois ans</w:t>
      </w:r>
      <w:r>
        <w:rPr>
          <w:rFonts w:cs="Times New Roman"/>
          <w:szCs w:val="24"/>
          <w:lang w:val="fr-FR"/>
        </w:rPr>
        <w:t> »</w:t>
      </w:r>
      <w:r w:rsidRPr="00EB5449">
        <w:rPr>
          <w:rFonts w:cs="Times New Roman"/>
          <w:szCs w:val="24"/>
          <w:lang w:val="fr-FR"/>
        </w:rPr>
        <w:t>.</w:t>
      </w:r>
    </w:p>
    <w:p w:rsidR="00CE3216" w:rsidRPr="00EB5449" w:rsidRDefault="00CE3216" w:rsidP="00CE3216">
      <w:pPr>
        <w:pStyle w:val="ParaNoNdepar-AltN"/>
        <w:widowControl w:val="0"/>
        <w:rPr>
          <w:rFonts w:cs="Times New Roman"/>
          <w:szCs w:val="24"/>
        </w:rPr>
      </w:pPr>
      <w:r w:rsidRPr="00EB5449">
        <w:rPr>
          <w:rFonts w:cs="Times New Roman"/>
          <w:szCs w:val="24"/>
        </w:rPr>
        <w:t>Bien qu’il ne soit pas souhaitable d’établir, pour les besoins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une règle fixant précisément le nombre d’années qui constitue une </w:t>
      </w:r>
      <w:r>
        <w:rPr>
          <w:rFonts w:cs="Times New Roman"/>
          <w:szCs w:val="24"/>
        </w:rPr>
        <w:t>« </w:t>
      </w:r>
      <w:r w:rsidRPr="00EB5449">
        <w:rPr>
          <w:rFonts w:cs="Times New Roman"/>
          <w:szCs w:val="24"/>
        </w:rPr>
        <w:t>longue peine d’emprisonnement</w:t>
      </w:r>
      <w:r>
        <w:rPr>
          <w:rFonts w:cs="Times New Roman"/>
          <w:szCs w:val="24"/>
        </w:rPr>
        <w:t> »</w:t>
      </w:r>
      <w:r w:rsidRPr="00EB5449">
        <w:rPr>
          <w:rFonts w:cs="Times New Roman"/>
          <w:szCs w:val="24"/>
        </w:rPr>
        <w:t xml:space="preserve">, certaines indications sont toutefois nécessaires afin de baliser l’exercice auquel doivent se livrer à cet égard les juges décideurs. </w:t>
      </w:r>
    </w:p>
    <w:p w:rsidR="00CE3216" w:rsidRPr="00EB5449" w:rsidRDefault="00CE3216" w:rsidP="00CE3216">
      <w:pPr>
        <w:pStyle w:val="ParaNoNdepar-AltN"/>
        <w:widowControl w:val="0"/>
        <w:rPr>
          <w:rFonts w:cs="Times New Roman"/>
          <w:szCs w:val="24"/>
        </w:rPr>
      </w:pPr>
      <w:r w:rsidRPr="00EB5449">
        <w:rPr>
          <w:rFonts w:cs="Times New Roman"/>
          <w:szCs w:val="24"/>
        </w:rPr>
        <w:t>En premier lieu, comme j’ai conclu qu’aucun crime n’était exempté de l’application possible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il coule de source qu’une </w:t>
      </w:r>
      <w:r>
        <w:rPr>
          <w:rFonts w:cs="Times New Roman"/>
          <w:szCs w:val="24"/>
        </w:rPr>
        <w:t>« </w:t>
      </w:r>
      <w:r w:rsidRPr="00EB5449">
        <w:rPr>
          <w:rFonts w:cs="Times New Roman"/>
          <w:szCs w:val="24"/>
        </w:rPr>
        <w:t xml:space="preserve">longue </w:t>
      </w:r>
      <w:r w:rsidRPr="00EB5449">
        <w:rPr>
          <w:rFonts w:cs="Times New Roman"/>
          <w:szCs w:val="24"/>
        </w:rPr>
        <w:lastRenderedPageBreak/>
        <w:t>peine d’emprisonnement</w:t>
      </w:r>
      <w:r>
        <w:rPr>
          <w:rFonts w:cs="Times New Roman"/>
          <w:szCs w:val="24"/>
        </w:rPr>
        <w:t> »</w:t>
      </w:r>
      <w:r w:rsidRPr="00EB5449">
        <w:rPr>
          <w:rFonts w:cs="Times New Roman"/>
          <w:szCs w:val="24"/>
        </w:rPr>
        <w:t xml:space="preserve"> ne s’entend pas seulement des peines d’emprisonnement à perpétuité.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De plus, afin de déterminer, au cas par cas, si l’accusé encourt réellement une </w:t>
      </w:r>
      <w:r>
        <w:rPr>
          <w:rFonts w:cs="Times New Roman"/>
          <w:szCs w:val="24"/>
        </w:rPr>
        <w:t>« </w:t>
      </w:r>
      <w:r w:rsidRPr="00EB5449">
        <w:rPr>
          <w:rFonts w:cs="Times New Roman"/>
          <w:szCs w:val="24"/>
        </w:rPr>
        <w:t>longue peine d’emprisonnement</w:t>
      </w:r>
      <w:r>
        <w:rPr>
          <w:rFonts w:cs="Times New Roman"/>
          <w:szCs w:val="24"/>
        </w:rPr>
        <w:t> »</w:t>
      </w:r>
      <w:r w:rsidRPr="00EB5449">
        <w:rPr>
          <w:rFonts w:cs="Times New Roman"/>
          <w:szCs w:val="24"/>
        </w:rPr>
        <w:t xml:space="preserve">, le juge doit tenir compte de toutes les circonstances connues au moment de l’audience et des principes devant moduler la peine applicable. Toutefois, cela ne signifie pas que le juge est justifié de se livrer à un complexe calcul de la peine que l’accusé pourrait recevoir, car, faut-il le rappeler, la mise en liberté provisoire survient au début du processus pénal et le juge doit éviter de se substituer au juge du procès. Cela dit, il arrivera dans certains cas que des circonstances atténuantes ou aggravantes apparaîtront suffisamment fondées pour que le juge puisse les prendre en compte pour déterminer si l’accusé encourt une </w:t>
      </w:r>
      <w:r>
        <w:rPr>
          <w:rFonts w:cs="Times New Roman"/>
          <w:szCs w:val="24"/>
        </w:rPr>
        <w:t>« </w:t>
      </w:r>
      <w:r w:rsidRPr="00EB5449">
        <w:rPr>
          <w:rFonts w:cs="Times New Roman"/>
          <w:szCs w:val="24"/>
        </w:rPr>
        <w:t>longue peine d’emprisonnement</w:t>
      </w:r>
      <w:r>
        <w:rPr>
          <w:rFonts w:cs="Times New Roman"/>
          <w:szCs w:val="24"/>
        </w:rPr>
        <w:t> »</w:t>
      </w:r>
      <w:r w:rsidRPr="00EB5449">
        <w:rPr>
          <w:rFonts w:cs="Times New Roman"/>
          <w:szCs w:val="24"/>
        </w:rPr>
        <w:t xml:space="preserve">. Dans la mesure du possible, cette quatrième circonstance s’évalue donc de façon </w:t>
      </w:r>
      <w:r w:rsidRPr="00EB5449">
        <w:rPr>
          <w:rFonts w:cs="Times New Roman"/>
          <w:i/>
          <w:iCs/>
          <w:szCs w:val="24"/>
        </w:rPr>
        <w:t>subjective</w:t>
      </w:r>
      <w:r w:rsidRPr="00EB5449">
        <w:rPr>
          <w:rFonts w:cs="Times New Roman"/>
          <w:szCs w:val="24"/>
        </w:rPr>
        <w:t xml:space="preserve">, contrairement à la deuxième circonstance — la gravité de l’infraction — qui s’évalue quant à elle de manière </w:t>
      </w:r>
      <w:r w:rsidRPr="00EB5449">
        <w:rPr>
          <w:rFonts w:cs="Times New Roman"/>
          <w:i/>
          <w:iCs/>
          <w:szCs w:val="24"/>
        </w:rPr>
        <w:t>objective</w:t>
      </w:r>
      <w:r w:rsidRPr="00EB5449">
        <w:rPr>
          <w:rFonts w:cs="Times New Roman"/>
          <w:szCs w:val="24"/>
        </w:rPr>
        <w:t xml:space="preserve">. </w:t>
      </w:r>
    </w:p>
    <w:p w:rsidR="00CE3216" w:rsidRPr="00EB5449" w:rsidRDefault="00CE3216" w:rsidP="00CE3216">
      <w:pPr>
        <w:pStyle w:val="Title4LevelTitre4Niveau"/>
        <w:widowControl w:val="0"/>
        <w:ind w:left="892" w:hanging="446"/>
        <w:rPr>
          <w:rFonts w:cs="Times New Roman"/>
          <w:szCs w:val="24"/>
        </w:rPr>
      </w:pPr>
      <w:r w:rsidRPr="00EB5449">
        <w:rPr>
          <w:rFonts w:cs="Times New Roman"/>
          <w:szCs w:val="24"/>
        </w:rPr>
        <w:t>Les circonstances énumérées ne sont pas exhaustives</w:t>
      </w:r>
    </w:p>
    <w:p w:rsidR="00CE3216" w:rsidRPr="00EB5449" w:rsidRDefault="00CE3216" w:rsidP="00CE3216">
      <w:pPr>
        <w:pStyle w:val="ParaNoNdepar-AltN"/>
        <w:widowControl w:val="0"/>
        <w:rPr>
          <w:rFonts w:cs="Times New Roman"/>
          <w:bCs/>
          <w:szCs w:val="24"/>
        </w:rPr>
      </w:pPr>
      <w:r w:rsidRPr="00EB5449">
        <w:rPr>
          <w:rFonts w:cs="Times New Roman"/>
          <w:bCs/>
          <w:szCs w:val="24"/>
        </w:rPr>
        <w:t xml:space="preserve">Se fondant sur l’arrêt </w:t>
      </w:r>
      <w:r w:rsidRPr="00EB5449">
        <w:rPr>
          <w:rFonts w:cs="Times New Roman"/>
          <w:bCs/>
          <w:i/>
          <w:szCs w:val="24"/>
        </w:rPr>
        <w:t>R. c. Mordue</w:t>
      </w:r>
      <w:r w:rsidRPr="00EB5449">
        <w:rPr>
          <w:rFonts w:cs="Times New Roman"/>
          <w:bCs/>
          <w:szCs w:val="24"/>
        </w:rPr>
        <w:t xml:space="preserve"> (2006), 223 C.C.C. (3d) 407 (C.A. Ont.), l’appelante soutient que, lorsque les quatre circonstances énoncées à l’al. 515(10)</w:t>
      </w:r>
      <w:r w:rsidRPr="00EB5449">
        <w:rPr>
          <w:rFonts w:cs="Times New Roman"/>
          <w:bCs/>
          <w:i/>
          <w:iCs/>
          <w:szCs w:val="24"/>
        </w:rPr>
        <w:t>c</w:t>
      </w:r>
      <w:r w:rsidRPr="00EB5449">
        <w:rPr>
          <w:rFonts w:cs="Times New Roman"/>
          <w:bCs/>
          <w:szCs w:val="24"/>
        </w:rPr>
        <w:t>) jouent en faveur d’une ordonnance de détention, celle-ci s’impose, à moins que d’</w:t>
      </w:r>
      <w:r w:rsidRPr="00EB5449">
        <w:rPr>
          <w:rFonts w:cs="Times New Roman"/>
          <w:szCs w:val="24"/>
        </w:rPr>
        <w:t xml:space="preserve">autres </w:t>
      </w:r>
      <w:r>
        <w:rPr>
          <w:rFonts w:cs="Times New Roman"/>
          <w:szCs w:val="24"/>
        </w:rPr>
        <w:t>« </w:t>
      </w:r>
      <w:r w:rsidRPr="00EB5449">
        <w:rPr>
          <w:rFonts w:cs="Times New Roman"/>
          <w:szCs w:val="24"/>
        </w:rPr>
        <w:t>circonstances</w:t>
      </w:r>
      <w:r>
        <w:rPr>
          <w:rFonts w:cs="Times New Roman"/>
          <w:szCs w:val="24"/>
        </w:rPr>
        <w:t> »</w:t>
      </w:r>
      <w:r w:rsidRPr="00EB5449">
        <w:rPr>
          <w:rFonts w:cs="Times New Roman"/>
          <w:szCs w:val="24"/>
        </w:rPr>
        <w:t xml:space="preserve"> puissent justifier une ordonnance de mise en liberté.</w:t>
      </w:r>
      <w:r w:rsidRPr="00EB5449">
        <w:rPr>
          <w:rFonts w:cs="Times New Roman"/>
          <w:bCs/>
          <w:szCs w:val="24"/>
        </w:rPr>
        <w:t xml:space="preserv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J’estime que l’appelante a tort. </w:t>
      </w:r>
    </w:p>
    <w:p w:rsidR="00CE3216" w:rsidRPr="00EB5449" w:rsidRDefault="00CE3216" w:rsidP="00CE3216">
      <w:pPr>
        <w:pStyle w:val="ParaNoNdepar-AltN"/>
        <w:widowControl w:val="0"/>
        <w:rPr>
          <w:rFonts w:cs="Times New Roman"/>
          <w:szCs w:val="24"/>
        </w:rPr>
      </w:pPr>
      <w:r w:rsidRPr="00EB5449">
        <w:rPr>
          <w:rFonts w:cs="Times New Roman"/>
          <w:szCs w:val="24"/>
        </w:rPr>
        <w:lastRenderedPageBreak/>
        <w:t>Le libellé de l’al. 515(10)</w:t>
      </w:r>
      <w:r w:rsidRPr="00EB5449">
        <w:rPr>
          <w:rFonts w:cs="Times New Roman"/>
          <w:i/>
          <w:iCs/>
          <w:szCs w:val="24"/>
        </w:rPr>
        <w:t>c</w:t>
      </w:r>
      <w:r w:rsidRPr="00EB5449">
        <w:rPr>
          <w:rFonts w:cs="Times New Roman"/>
          <w:szCs w:val="24"/>
        </w:rPr>
        <w:t>) ne pourrait être plus clair</w:t>
      </w:r>
      <w:r>
        <w:rPr>
          <w:rFonts w:cs="Times New Roman"/>
          <w:szCs w:val="24"/>
        </w:rPr>
        <w:t> :</w:t>
      </w:r>
      <w:r w:rsidRPr="00EB5449">
        <w:rPr>
          <w:rFonts w:cs="Times New Roman"/>
          <w:szCs w:val="24"/>
        </w:rPr>
        <w:t xml:space="preserve"> il est question de </w:t>
      </w:r>
      <w:r>
        <w:rPr>
          <w:rFonts w:cs="Times New Roman"/>
          <w:szCs w:val="24"/>
        </w:rPr>
        <w:t>« </w:t>
      </w:r>
      <w:r w:rsidRPr="00EB5449">
        <w:rPr>
          <w:rFonts w:cs="Times New Roman"/>
          <w:szCs w:val="24"/>
        </w:rPr>
        <w:t xml:space="preserve">toutes les circonstances, </w:t>
      </w:r>
      <w:r w:rsidRPr="00EB5449">
        <w:rPr>
          <w:rFonts w:cs="Times New Roman"/>
          <w:szCs w:val="24"/>
          <w:u w:val="single"/>
        </w:rPr>
        <w:t>notamment</w:t>
      </w:r>
      <w:r w:rsidRPr="00EB5449">
        <w:rPr>
          <w:rFonts w:cs="Times New Roman"/>
          <w:szCs w:val="24"/>
        </w:rPr>
        <w:t xml:space="preserve"> les suivantes</w:t>
      </w:r>
      <w:r>
        <w:rPr>
          <w:rFonts w:cs="Times New Roman"/>
          <w:szCs w:val="24"/>
        </w:rPr>
        <w:t> »</w:t>
      </w:r>
      <w:r w:rsidRPr="00EB5449">
        <w:rPr>
          <w:rFonts w:cs="Times New Roman"/>
          <w:szCs w:val="24"/>
        </w:rPr>
        <w:t xml:space="preserve">. Sans me prononcer sur la validité d’un libellé différent, je suis d’avis que, si le législateur avait voulu que l’ordonnance de détention soit automatique lorsque les quatre circonstances énoncées à cet alinéa jouent en faveur d’une telle ordonnance, il aurait rédigé la disposition différemment. Le législateur a plutôt souhaité le contraire. Comme la Juge en chef l’a affirmé dans l’arrêt </w:t>
      </w:r>
      <w:r w:rsidRPr="00EB5449">
        <w:rPr>
          <w:rFonts w:cs="Times New Roman"/>
          <w:i/>
          <w:iCs/>
          <w:szCs w:val="24"/>
        </w:rPr>
        <w:t>Hall</w:t>
      </w:r>
      <w:r w:rsidRPr="00EB5449">
        <w:rPr>
          <w:rFonts w:cs="Times New Roman"/>
          <w:szCs w:val="24"/>
        </w:rPr>
        <w:t>, le juge saisi d’une demande de détention fondée sur l’al. 515(10)</w:t>
      </w:r>
      <w:r w:rsidRPr="00EB5449">
        <w:rPr>
          <w:rFonts w:cs="Times New Roman"/>
          <w:i/>
          <w:iCs/>
          <w:szCs w:val="24"/>
        </w:rPr>
        <w:t>c</w:t>
      </w:r>
      <w:r w:rsidRPr="00EB5449">
        <w:rPr>
          <w:rFonts w:cs="Times New Roman"/>
          <w:szCs w:val="24"/>
        </w:rPr>
        <w:t>) doit tenir compte de toutes les circonstances pertinentes,</w:t>
      </w:r>
      <w:r>
        <w:rPr>
          <w:rFonts w:cs="Times New Roman"/>
          <w:szCs w:val="24"/>
        </w:rPr>
        <w:t xml:space="preserve"> </w:t>
      </w:r>
      <w:r w:rsidRPr="00EB5449">
        <w:rPr>
          <w:rFonts w:cs="Times New Roman"/>
          <w:szCs w:val="24"/>
        </w:rPr>
        <w:t xml:space="preserve">mais il doit </w:t>
      </w:r>
      <w:r w:rsidRPr="00EB5449">
        <w:rPr>
          <w:rFonts w:cs="Times New Roman"/>
          <w:i/>
          <w:iCs/>
          <w:szCs w:val="24"/>
          <w:lang w:val="fr-FR"/>
        </w:rPr>
        <w:t>prêter une attention particulière aux</w:t>
      </w:r>
      <w:r w:rsidRPr="00EB5449">
        <w:rPr>
          <w:rFonts w:cs="Times New Roman"/>
          <w:szCs w:val="24"/>
          <w:lang w:val="fr-FR"/>
        </w:rPr>
        <w:t xml:space="preserve"> </w:t>
      </w:r>
      <w:r w:rsidRPr="00EB5449">
        <w:rPr>
          <w:rFonts w:cs="Times New Roman"/>
          <w:i/>
          <w:iCs/>
          <w:szCs w:val="24"/>
          <w:lang w:val="fr-FR"/>
        </w:rPr>
        <w:t>facteurs énoncés par le législateur</w:t>
      </w:r>
      <w:r>
        <w:rPr>
          <w:rFonts w:cs="Times New Roman"/>
          <w:i/>
          <w:iCs/>
          <w:szCs w:val="24"/>
          <w:lang w:val="fr-FR"/>
        </w:rPr>
        <w:t> </w:t>
      </w:r>
      <w:r w:rsidRPr="003036DE">
        <w:rPr>
          <w:rFonts w:cs="Times New Roman"/>
          <w:iCs/>
          <w:szCs w:val="24"/>
          <w:lang w:val="fr-FR"/>
        </w:rPr>
        <w:t>:</w:t>
      </w:r>
      <w:r w:rsidRPr="00EB5449">
        <w:rPr>
          <w:rFonts w:cs="Times New Roman"/>
          <w:szCs w:val="24"/>
        </w:rPr>
        <w:t xml:space="preserve"> par. 41. L’argument de la détention automatique me semble d’ailleurs contraire aux propos de la Juge en chef</w:t>
      </w:r>
      <w:r w:rsidR="003036DE">
        <w:rPr>
          <w:rFonts w:cs="Times New Roman"/>
          <w:szCs w:val="24"/>
        </w:rPr>
        <w:t>,</w:t>
      </w:r>
      <w:r w:rsidRPr="00EB5449">
        <w:rPr>
          <w:rFonts w:cs="Times New Roman"/>
          <w:szCs w:val="24"/>
        </w:rPr>
        <w:t xml:space="preserve"> au par. 41</w:t>
      </w:r>
      <w:r>
        <w:rPr>
          <w:rFonts w:cs="Times New Roman"/>
          <w:szCs w:val="24"/>
        </w:rPr>
        <w:t> :</w:t>
      </w:r>
      <w:r w:rsidRPr="00EB5449">
        <w:rPr>
          <w:rFonts w:cs="Times New Roman"/>
          <w:szCs w:val="24"/>
        </w:rPr>
        <w:t xml:space="preserve"> </w:t>
      </w:r>
    </w:p>
    <w:p w:rsidR="00CE3216" w:rsidRPr="00EB5449" w:rsidRDefault="00CE3216" w:rsidP="00CE3216">
      <w:pPr>
        <w:pStyle w:val="Citation-AltC"/>
        <w:widowControl w:val="0"/>
        <w:rPr>
          <w:szCs w:val="24"/>
          <w:lang w:val="fr-FR"/>
        </w:rPr>
      </w:pPr>
      <w:r w:rsidRPr="00EB5449">
        <w:rPr>
          <w:szCs w:val="24"/>
          <w:lang w:val="fr-FR"/>
        </w:rPr>
        <w:t xml:space="preserve">En définitive, le juge peut refuser d’accorder la mise en liberté sous caution </w:t>
      </w:r>
      <w:r w:rsidRPr="00EB5449">
        <w:rPr>
          <w:szCs w:val="24"/>
          <w:u w:val="single"/>
          <w:lang w:val="fr-FR"/>
        </w:rPr>
        <w:t>uniquement s’il est persuadé, à la lumière de ces facteurs et des circonstances connexes</w:t>
      </w:r>
      <w:r w:rsidRPr="00EB5449">
        <w:rPr>
          <w:szCs w:val="24"/>
          <w:lang w:val="fr-FR"/>
        </w:rPr>
        <w:t>, qu’un membre raisonnable de la collectivité serait convaincu que ce refus est nécessaire pour ne pas miner la confiance du public dans l’administration de la justice. [Je souligne.]</w:t>
      </w:r>
    </w:p>
    <w:p w:rsidR="00CE3216" w:rsidRPr="00EB5449" w:rsidRDefault="00CE3216" w:rsidP="00CE3216">
      <w:pPr>
        <w:pStyle w:val="ParaNoNdepar-AltN"/>
        <w:widowControl w:val="0"/>
        <w:rPr>
          <w:rFonts w:cs="Times New Roman"/>
          <w:szCs w:val="24"/>
        </w:rPr>
      </w:pPr>
      <w:r w:rsidRPr="00EB5449">
        <w:rPr>
          <w:rFonts w:cs="Times New Roman"/>
          <w:szCs w:val="24"/>
        </w:rPr>
        <w:t>De plus, l’argument de la détention automatique</w:t>
      </w:r>
      <w:r>
        <w:rPr>
          <w:rFonts w:cs="Times New Roman"/>
          <w:szCs w:val="24"/>
        </w:rPr>
        <w:t xml:space="preserve"> </w:t>
      </w:r>
      <w:r w:rsidRPr="00EB5449">
        <w:rPr>
          <w:rFonts w:cs="Times New Roman"/>
          <w:szCs w:val="24"/>
        </w:rPr>
        <w:t>néglige le fait que le test à satisfaire pour les besoins de l’al. 515(10)</w:t>
      </w:r>
      <w:r w:rsidRPr="00EB5449">
        <w:rPr>
          <w:rFonts w:cs="Times New Roman"/>
          <w:i/>
          <w:iCs/>
          <w:szCs w:val="24"/>
        </w:rPr>
        <w:t>c</w:t>
      </w:r>
      <w:r w:rsidRPr="00EB5449">
        <w:rPr>
          <w:rFonts w:cs="Times New Roman"/>
          <w:szCs w:val="24"/>
        </w:rPr>
        <w:t xml:space="preserve">) est la question de savoir si la détention de l’accusé est nécessaire afin de ne pas miner la confiance du public envers l’administration de la justice. </w:t>
      </w:r>
      <w:r w:rsidRPr="00EB5449">
        <w:rPr>
          <w:rFonts w:cs="Times New Roman"/>
          <w:szCs w:val="24"/>
          <w:lang w:val="fr-FR"/>
        </w:rPr>
        <w:t>Les quatre circonstances énumérées ne sont que les principaux éléments que le juge doit pondérer en sus de tout autre élément pertinent, afin de déterminer si, dans l’affaire qui l’occupe, la détention est nécessaire pour réaliser l’objectif poursuivi</w:t>
      </w:r>
      <w:r>
        <w:rPr>
          <w:rFonts w:cs="Times New Roman"/>
          <w:szCs w:val="24"/>
          <w:lang w:val="fr-FR"/>
        </w:rPr>
        <w:t> :</w:t>
      </w:r>
      <w:r w:rsidRPr="00EB5449">
        <w:rPr>
          <w:rFonts w:cs="Times New Roman"/>
          <w:szCs w:val="24"/>
          <w:lang w:val="fr-FR"/>
        </w:rPr>
        <w:t xml:space="preserve"> le maintien de la confiance du public envers </w:t>
      </w:r>
      <w:r w:rsidRPr="00EB5449">
        <w:rPr>
          <w:rFonts w:cs="Times New Roman"/>
          <w:szCs w:val="24"/>
          <w:lang w:val="fr-FR"/>
        </w:rPr>
        <w:lastRenderedPageBreak/>
        <w:t xml:space="preserve">l’administration de la justice au pays. Telle est la finalité de cet alinéa. Même si </w:t>
      </w:r>
      <w:r w:rsidRPr="00EB5449">
        <w:rPr>
          <w:rFonts w:cs="Times New Roman"/>
          <w:szCs w:val="24"/>
        </w:rPr>
        <w:t xml:space="preserve">le juge doit prendre connaissance de toutes les circonstances de l’affaire et se livrer à un exercice de pondération, c’est cette question ultime que le juge doit trancher, et qui doit donc le guider dans sa décision. </w:t>
      </w:r>
      <w:r w:rsidRPr="00EB5449">
        <w:rPr>
          <w:rFonts w:cs="Times New Roman"/>
          <w:szCs w:val="24"/>
          <w:lang w:val="fr-FR"/>
        </w:rPr>
        <w:t>Soutenir qu’il y a automatiquement détention si l’examen des quatre circonstances favorise celle-ci est incompatible avec l’exercice de pondération énoncé</w:t>
      </w:r>
      <w:r>
        <w:rPr>
          <w:rFonts w:cs="Times New Roman"/>
          <w:szCs w:val="24"/>
          <w:lang w:val="fr-FR"/>
        </w:rPr>
        <w:t xml:space="preserve"> </w:t>
      </w:r>
      <w:r w:rsidRPr="00EB5449">
        <w:rPr>
          <w:rFonts w:cs="Times New Roman"/>
          <w:szCs w:val="24"/>
          <w:lang w:val="fr-FR"/>
        </w:rPr>
        <w:t>à l’al. 515(10)</w:t>
      </w:r>
      <w:r w:rsidRPr="00EB5449">
        <w:rPr>
          <w:rFonts w:cs="Times New Roman"/>
          <w:i/>
          <w:iCs/>
          <w:szCs w:val="24"/>
          <w:lang w:val="fr-FR"/>
        </w:rPr>
        <w:t>c</w:t>
      </w:r>
      <w:r w:rsidRPr="00EB5449">
        <w:rPr>
          <w:rFonts w:cs="Times New Roman"/>
          <w:szCs w:val="24"/>
          <w:lang w:val="fr-FR"/>
        </w:rPr>
        <w:t>) et avec l’objectif ainsi recherché.</w:t>
      </w:r>
    </w:p>
    <w:p w:rsidR="00CE3216" w:rsidRPr="00EB5449" w:rsidRDefault="00CE3216" w:rsidP="00CE3216">
      <w:pPr>
        <w:pStyle w:val="ParaNoNdepar-AltN"/>
        <w:widowControl w:val="0"/>
        <w:rPr>
          <w:rFonts w:cs="Times New Roman"/>
          <w:szCs w:val="24"/>
        </w:rPr>
      </w:pPr>
      <w:r w:rsidRPr="00EB5449">
        <w:rPr>
          <w:rFonts w:cs="Times New Roman"/>
          <w:szCs w:val="24"/>
        </w:rPr>
        <w:t>Enfin, il ne faut surtout pas oublier qu’en droit canadien, la règle cardinale est la mise en liberté de l’accusé et la détention, l’exception</w:t>
      </w:r>
      <w:r>
        <w:rPr>
          <w:rFonts w:cs="Times New Roman"/>
          <w:spacing w:val="-3"/>
          <w:szCs w:val="24"/>
        </w:rPr>
        <w:t> :</w:t>
      </w:r>
      <w:r w:rsidRPr="00EB5449">
        <w:rPr>
          <w:rFonts w:cs="Times New Roman"/>
          <w:spacing w:val="-3"/>
          <w:szCs w:val="24"/>
        </w:rPr>
        <w:t xml:space="preserve"> </w:t>
      </w:r>
      <w:r w:rsidRPr="00EB5449">
        <w:rPr>
          <w:rFonts w:cs="Times New Roman"/>
          <w:i/>
          <w:iCs/>
          <w:spacing w:val="-3"/>
          <w:szCs w:val="24"/>
        </w:rPr>
        <w:t>Morales</w:t>
      </w:r>
      <w:r w:rsidRPr="00EB5449">
        <w:rPr>
          <w:rFonts w:cs="Times New Roman"/>
          <w:spacing w:val="-3"/>
          <w:szCs w:val="24"/>
        </w:rPr>
        <w:t xml:space="preserve">, p. 728. Le fait d’ordonner </w:t>
      </w:r>
      <w:r w:rsidRPr="00EB5449">
        <w:rPr>
          <w:rFonts w:cs="Times New Roman"/>
          <w:szCs w:val="24"/>
        </w:rPr>
        <w:t xml:space="preserve">automatiquement la détention irait à l’encontre du </w:t>
      </w:r>
      <w:r>
        <w:rPr>
          <w:rFonts w:cs="Times New Roman"/>
          <w:szCs w:val="24"/>
        </w:rPr>
        <w:t>« </w:t>
      </w:r>
      <w:r w:rsidRPr="00EB5449">
        <w:rPr>
          <w:rFonts w:cs="Times New Roman"/>
          <w:szCs w:val="24"/>
          <w:lang w:val="fr-FR"/>
        </w:rPr>
        <w:t>droit fondamental à une mise en liberté assortie d’un cautionnement raisonnable sauf s’il existe une juste cause justifiant le refus de l’accorder</w:t>
      </w:r>
      <w:r>
        <w:rPr>
          <w:rFonts w:cs="Times New Roman"/>
          <w:szCs w:val="24"/>
          <w:lang w:val="fr-FR"/>
        </w:rPr>
        <w:t> »</w:t>
      </w:r>
      <w:r w:rsidRPr="00EB5449">
        <w:rPr>
          <w:rFonts w:cs="Times New Roman"/>
          <w:szCs w:val="24"/>
          <w:lang w:val="fr-FR"/>
        </w:rPr>
        <w:t>, garanti par l’al. 11</w:t>
      </w:r>
      <w:r w:rsidRPr="00EB5449">
        <w:rPr>
          <w:rFonts w:cs="Times New Roman"/>
          <w:i/>
          <w:iCs/>
          <w:szCs w:val="24"/>
          <w:lang w:val="fr-FR"/>
        </w:rPr>
        <w:t>e</w:t>
      </w:r>
      <w:r w:rsidRPr="00EB5449">
        <w:rPr>
          <w:rFonts w:cs="Times New Roman"/>
          <w:szCs w:val="24"/>
          <w:lang w:val="fr-FR"/>
        </w:rPr>
        <w:t xml:space="preserve">) de la </w:t>
      </w:r>
      <w:r w:rsidRPr="00EB5449">
        <w:rPr>
          <w:rFonts w:cs="Times New Roman"/>
          <w:i/>
          <w:iCs/>
          <w:szCs w:val="24"/>
          <w:lang w:val="fr-FR"/>
        </w:rPr>
        <w:t>Charte</w:t>
      </w:r>
      <w:r>
        <w:rPr>
          <w:rFonts w:cs="Times New Roman"/>
          <w:szCs w:val="24"/>
          <w:lang w:val="fr-FR"/>
        </w:rPr>
        <w:t> :</w:t>
      </w:r>
      <w:r w:rsidRPr="00EB5449">
        <w:rPr>
          <w:rFonts w:cs="Times New Roman"/>
          <w:szCs w:val="24"/>
          <w:lang w:val="fr-FR"/>
        </w:rPr>
        <w:t xml:space="preserve"> </w:t>
      </w:r>
      <w:r w:rsidRPr="00EB5449">
        <w:rPr>
          <w:rFonts w:cs="Times New Roman"/>
          <w:i/>
          <w:iCs/>
          <w:szCs w:val="24"/>
          <w:lang w:val="fr-FR"/>
        </w:rPr>
        <w:t>Pearson</w:t>
      </w:r>
      <w:r w:rsidRPr="00EB5449">
        <w:rPr>
          <w:rFonts w:cs="Times New Roman"/>
          <w:szCs w:val="24"/>
          <w:lang w:val="fr-FR"/>
        </w:rPr>
        <w:t>, p. 691. À son tour, ce droit repose sur la pierre angulaire du droit pénal canadien, soit</w:t>
      </w:r>
      <w:r>
        <w:rPr>
          <w:rFonts w:cs="Times New Roman"/>
          <w:szCs w:val="24"/>
          <w:lang w:val="fr-FR"/>
        </w:rPr>
        <w:t xml:space="preserve"> </w:t>
      </w:r>
      <w:r w:rsidRPr="00EB5449">
        <w:rPr>
          <w:rFonts w:cs="Times New Roman"/>
          <w:szCs w:val="24"/>
          <w:lang w:val="fr-FR"/>
        </w:rPr>
        <w:t>la présomption d’innocence, garantie par l’al. 11</w:t>
      </w:r>
      <w:r w:rsidRPr="00EB5449">
        <w:rPr>
          <w:rFonts w:cs="Times New Roman"/>
          <w:i/>
          <w:iCs/>
          <w:szCs w:val="24"/>
          <w:lang w:val="fr-FR"/>
        </w:rPr>
        <w:t>d</w:t>
      </w:r>
      <w:r w:rsidRPr="00EB5449">
        <w:rPr>
          <w:rFonts w:cs="Times New Roman"/>
          <w:szCs w:val="24"/>
          <w:lang w:val="fr-FR"/>
        </w:rPr>
        <w:t xml:space="preserve">) de la </w:t>
      </w:r>
      <w:r w:rsidRPr="00EB5449">
        <w:rPr>
          <w:rFonts w:cs="Times New Roman"/>
          <w:i/>
          <w:iCs/>
          <w:szCs w:val="24"/>
          <w:lang w:val="fr-FR"/>
        </w:rPr>
        <w:t>Charte</w:t>
      </w:r>
      <w:r w:rsidR="003036DE">
        <w:rPr>
          <w:rFonts w:cs="Times New Roman"/>
          <w:szCs w:val="24"/>
          <w:lang w:val="fr-FR"/>
        </w:rPr>
        <w:t xml:space="preserve"> : </w:t>
      </w:r>
      <w:r w:rsidRPr="00EB5449">
        <w:rPr>
          <w:rFonts w:cs="Times New Roman"/>
          <w:i/>
          <w:iCs/>
          <w:szCs w:val="24"/>
          <w:lang w:val="fr-FR"/>
        </w:rPr>
        <w:t>Hall</w:t>
      </w:r>
      <w:r w:rsidRPr="00EB5449">
        <w:rPr>
          <w:rFonts w:cs="Times New Roman"/>
          <w:szCs w:val="24"/>
          <w:lang w:val="fr-FR"/>
        </w:rPr>
        <w:t xml:space="preserve">, par. 13. </w:t>
      </w:r>
      <w:r w:rsidRPr="00EB5449">
        <w:rPr>
          <w:rFonts w:cs="Times New Roman"/>
          <w:szCs w:val="24"/>
        </w:rPr>
        <w:t>Ces droits fondamentaux exigent que le juge s’assure que la détention provisoire est réellement justifiée, eu égard à toutes les circonstances pertinentes de l’affaire.</w:t>
      </w:r>
    </w:p>
    <w:p w:rsidR="00CE3216" w:rsidRPr="00EB5449" w:rsidRDefault="00CE3216" w:rsidP="00CE3216">
      <w:pPr>
        <w:pStyle w:val="ParaNoNdepar-AltN"/>
        <w:widowControl w:val="0"/>
        <w:rPr>
          <w:rFonts w:cs="Times New Roman"/>
          <w:szCs w:val="24"/>
        </w:rPr>
      </w:pPr>
      <w:r w:rsidRPr="00EB5449">
        <w:rPr>
          <w:rFonts w:cs="Times New Roman"/>
          <w:szCs w:val="24"/>
        </w:rPr>
        <w:t>Sans énoncer ici une liste exhaustive des circonstances qui sont pertinentes dans l’analyse requise par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je crois utile d’en mentionner quelques exemples. Le sous-alinéa 515(10)</w:t>
      </w:r>
      <w:r w:rsidRPr="00EB5449">
        <w:rPr>
          <w:rFonts w:cs="Times New Roman"/>
          <w:i/>
          <w:iCs/>
          <w:szCs w:val="24"/>
        </w:rPr>
        <w:t>c</w:t>
      </w:r>
      <w:r w:rsidRPr="00EB5449">
        <w:rPr>
          <w:rFonts w:cs="Times New Roman"/>
          <w:szCs w:val="24"/>
        </w:rPr>
        <w:t xml:space="preserve">)(iii) évoque les </w:t>
      </w:r>
      <w:r>
        <w:rPr>
          <w:rFonts w:cs="Times New Roman"/>
          <w:szCs w:val="24"/>
        </w:rPr>
        <w:t>« </w:t>
      </w:r>
      <w:r w:rsidRPr="00EB5449">
        <w:rPr>
          <w:rFonts w:cs="Times New Roman"/>
          <w:szCs w:val="24"/>
        </w:rPr>
        <w:t>circonstances entourant [la] perpétration [de l’infraction]</w:t>
      </w:r>
      <w:r>
        <w:rPr>
          <w:rFonts w:cs="Times New Roman"/>
          <w:szCs w:val="24"/>
        </w:rPr>
        <w:t> »</w:t>
      </w:r>
      <w:r w:rsidRPr="00EB5449">
        <w:rPr>
          <w:rFonts w:cs="Times New Roman"/>
          <w:szCs w:val="24"/>
        </w:rPr>
        <w:t xml:space="preserve">. J’ajouterai que les circonstances propres à l’accusé peuvent également être pertinentes (son âge, ses </w:t>
      </w:r>
      <w:r w:rsidRPr="00EB5449">
        <w:rPr>
          <w:rFonts w:cs="Times New Roman"/>
          <w:szCs w:val="24"/>
        </w:rPr>
        <w:lastRenderedPageBreak/>
        <w:t xml:space="preserve">antécédents criminels, sa condition physique ou mentale, son appartenance à une organisation criminelle, etc.). De même, le juge pourra considérer le statut de la victime et l’impact sur la société d’un crime commis contre cette personne. Dans certains cas, le juge pourrait aussi tenir compte du fait que le procès de l’accusé aura lieu à une date très éloignée. </w:t>
      </w:r>
    </w:p>
    <w:p w:rsidR="00CE3216" w:rsidRPr="00EB5449" w:rsidRDefault="00CE3216" w:rsidP="00CE3216">
      <w:pPr>
        <w:pStyle w:val="Title4LevelTitre4Niveau"/>
        <w:widowControl w:val="0"/>
        <w:ind w:left="892" w:hanging="446"/>
        <w:rPr>
          <w:rFonts w:cs="Times New Roman"/>
          <w:szCs w:val="24"/>
        </w:rPr>
      </w:pPr>
      <w:r w:rsidRPr="00EB5449">
        <w:rPr>
          <w:rFonts w:cs="Times New Roman"/>
          <w:szCs w:val="24"/>
        </w:rPr>
        <w:t xml:space="preserve">La notion de </w:t>
      </w:r>
      <w:r>
        <w:rPr>
          <w:rFonts w:cs="Times New Roman"/>
          <w:szCs w:val="24"/>
        </w:rPr>
        <w:t>« </w:t>
      </w:r>
      <w:r w:rsidRPr="00EB5449">
        <w:rPr>
          <w:rFonts w:cs="Times New Roman"/>
          <w:szCs w:val="24"/>
        </w:rPr>
        <w:t>public</w:t>
      </w:r>
      <w:r>
        <w:rPr>
          <w:rFonts w:cs="Times New Roman"/>
          <w:szCs w:val="24"/>
        </w:rPr>
        <w:t> »</w:t>
      </w:r>
    </w:p>
    <w:p w:rsidR="00CE3216" w:rsidRPr="00EB5449" w:rsidRDefault="00CE3216" w:rsidP="00CE3216">
      <w:pPr>
        <w:pStyle w:val="ParaNoNdepar-AltN"/>
        <w:widowControl w:val="0"/>
        <w:rPr>
          <w:rFonts w:cs="Times New Roman"/>
          <w:szCs w:val="24"/>
        </w:rPr>
      </w:pPr>
      <w:r w:rsidRPr="00EB5449">
        <w:rPr>
          <w:rFonts w:cs="Times New Roman"/>
          <w:szCs w:val="24"/>
        </w:rPr>
        <w:t>Il convient de souligner que bien que la version française de l’al. 515(10)</w:t>
      </w:r>
      <w:r w:rsidRPr="00EB5449">
        <w:rPr>
          <w:rFonts w:cs="Times New Roman"/>
          <w:i/>
          <w:szCs w:val="24"/>
        </w:rPr>
        <w:t>c</w:t>
      </w:r>
      <w:r w:rsidRPr="00EB5449">
        <w:rPr>
          <w:rFonts w:cs="Times New Roman"/>
          <w:szCs w:val="24"/>
        </w:rPr>
        <w:t xml:space="preserve">) évoque la notion de </w:t>
      </w:r>
      <w:r>
        <w:rPr>
          <w:rFonts w:cs="Times New Roman"/>
          <w:szCs w:val="24"/>
        </w:rPr>
        <w:t>« </w:t>
      </w:r>
      <w:r w:rsidRPr="00EB5449">
        <w:rPr>
          <w:rFonts w:cs="Times New Roman"/>
          <w:szCs w:val="24"/>
        </w:rPr>
        <w:t>confiance du public</w:t>
      </w:r>
      <w:r>
        <w:rPr>
          <w:rFonts w:cs="Times New Roman"/>
          <w:szCs w:val="24"/>
        </w:rPr>
        <w:t> »</w:t>
      </w:r>
      <w:r w:rsidRPr="00EB5449">
        <w:rPr>
          <w:rFonts w:cs="Times New Roman"/>
          <w:szCs w:val="24"/>
        </w:rPr>
        <w:t xml:space="preserve">, le mot </w:t>
      </w:r>
      <w:r>
        <w:rPr>
          <w:rFonts w:cs="Times New Roman"/>
          <w:szCs w:val="24"/>
        </w:rPr>
        <w:t>« </w:t>
      </w:r>
      <w:r w:rsidRPr="00EB5449">
        <w:rPr>
          <w:rFonts w:cs="Times New Roman"/>
          <w:szCs w:val="24"/>
        </w:rPr>
        <w:t>public</w:t>
      </w:r>
      <w:r>
        <w:rPr>
          <w:rFonts w:cs="Times New Roman"/>
          <w:szCs w:val="24"/>
        </w:rPr>
        <w:t> »</w:t>
      </w:r>
      <w:r w:rsidRPr="00EB5449">
        <w:rPr>
          <w:rFonts w:cs="Times New Roman"/>
          <w:szCs w:val="24"/>
        </w:rPr>
        <w:t xml:space="preserve"> ne figure pas dans la version anglaise de l’al. 515(10</w:t>
      </w:r>
      <w:r w:rsidRPr="00EB5449">
        <w:rPr>
          <w:rFonts w:cs="Times New Roman"/>
          <w:iCs/>
          <w:szCs w:val="24"/>
        </w:rPr>
        <w:t>)</w:t>
      </w:r>
      <w:r w:rsidRPr="00EB5449">
        <w:rPr>
          <w:rFonts w:cs="Times New Roman"/>
          <w:i/>
          <w:iCs/>
          <w:szCs w:val="24"/>
        </w:rPr>
        <w:t>c</w:t>
      </w:r>
      <w:r w:rsidRPr="00EB5449">
        <w:rPr>
          <w:rFonts w:cs="Times New Roman"/>
          <w:szCs w:val="24"/>
        </w:rPr>
        <w:t>)</w:t>
      </w:r>
      <w:r>
        <w:rPr>
          <w:rFonts w:cs="Times New Roman"/>
          <w:szCs w:val="24"/>
        </w:rPr>
        <w:t> :</w:t>
      </w:r>
      <w:r w:rsidRPr="00EB5449">
        <w:rPr>
          <w:rFonts w:cs="Times New Roman"/>
          <w:szCs w:val="24"/>
        </w:rPr>
        <w:t xml:space="preserve"> </w:t>
      </w:r>
      <w:r>
        <w:rPr>
          <w:rFonts w:cs="Times New Roman"/>
          <w:szCs w:val="24"/>
        </w:rPr>
        <w:t>« </w:t>
      </w:r>
      <w:r w:rsidRPr="00EB5449">
        <w:rPr>
          <w:rFonts w:cs="Times New Roman"/>
          <w:i/>
          <w:iCs/>
          <w:szCs w:val="24"/>
        </w:rPr>
        <w:t>if the detention is necessary to maintain confidence in the administration of justice, having regard to all the circumstances, including</w:t>
      </w:r>
      <w:r w:rsidR="007559CA">
        <w:rPr>
          <w:rFonts w:cs="Times New Roman"/>
          <w:i/>
          <w:iCs/>
          <w:szCs w:val="24"/>
        </w:rPr>
        <w:t> </w:t>
      </w:r>
      <w:r>
        <w:rPr>
          <w:rFonts w:cs="Times New Roman"/>
          <w:szCs w:val="24"/>
        </w:rPr>
        <w:t>. . . »</w:t>
      </w:r>
      <w:r w:rsidRPr="00EB5449">
        <w:rPr>
          <w:rFonts w:cs="Times New Roman"/>
          <w:szCs w:val="24"/>
        </w:rPr>
        <w:t>. Cependant, notre Cour a confirmé que</w:t>
      </w:r>
      <w:r w:rsidRPr="00EB5449">
        <w:rPr>
          <w:rFonts w:cs="Times New Roman"/>
          <w:szCs w:val="24"/>
          <w:lang w:val="fr-FR"/>
        </w:rPr>
        <w:t xml:space="preserve"> le motif de détention de cet alinéa est la nécessité de ne pas miner la confiance</w:t>
      </w:r>
      <w:r w:rsidRPr="00EB5449">
        <w:rPr>
          <w:rFonts w:cs="Times New Roman"/>
          <w:i/>
          <w:iCs/>
          <w:szCs w:val="24"/>
          <w:lang w:val="fr-FR"/>
        </w:rPr>
        <w:t xml:space="preserve"> </w:t>
      </w:r>
      <w:r w:rsidRPr="00EB5449">
        <w:rPr>
          <w:rFonts w:cs="Times New Roman"/>
          <w:szCs w:val="24"/>
          <w:lang w:val="fr-FR"/>
        </w:rPr>
        <w:t>du</w:t>
      </w:r>
      <w:r w:rsidRPr="00EB5449">
        <w:rPr>
          <w:rFonts w:cs="Times New Roman"/>
          <w:i/>
          <w:iCs/>
          <w:szCs w:val="24"/>
          <w:lang w:val="fr-FR"/>
        </w:rPr>
        <w:t xml:space="preserve"> public</w:t>
      </w:r>
      <w:r w:rsidRPr="00EB5449">
        <w:rPr>
          <w:rFonts w:cs="Times New Roman"/>
          <w:szCs w:val="24"/>
          <w:lang w:val="fr-FR"/>
        </w:rPr>
        <w:t xml:space="preserve"> envers l’administration de la justice</w:t>
      </w:r>
      <w:r>
        <w:rPr>
          <w:rFonts w:cs="Times New Roman"/>
          <w:szCs w:val="24"/>
          <w:lang w:val="fr-FR"/>
        </w:rPr>
        <w:t> :</w:t>
      </w:r>
      <w:r w:rsidRPr="00EB5449">
        <w:rPr>
          <w:rFonts w:cs="Times New Roman"/>
          <w:i/>
          <w:iCs/>
          <w:szCs w:val="24"/>
          <w:lang w:val="fr-FR"/>
        </w:rPr>
        <w:t xml:space="preserve"> Hall</w:t>
      </w:r>
      <w:r w:rsidRPr="00EB5449">
        <w:rPr>
          <w:rFonts w:cs="Times New Roman"/>
          <w:szCs w:val="24"/>
          <w:lang w:val="fr-FR"/>
        </w:rPr>
        <w:t>, par. 41. En conséquence</w:t>
      </w:r>
      <w:r w:rsidRPr="00EB5449">
        <w:rPr>
          <w:rFonts w:cs="Times New Roman"/>
          <w:szCs w:val="24"/>
        </w:rPr>
        <w:t>, l’exercice de pondération de toutes les circonstances auquel doit se livrer le juge en application de l’al. 515(10)</w:t>
      </w:r>
      <w:r w:rsidRPr="00EB5449">
        <w:rPr>
          <w:rFonts w:cs="Times New Roman"/>
          <w:i/>
          <w:iCs/>
          <w:szCs w:val="24"/>
        </w:rPr>
        <w:t>c</w:t>
      </w:r>
      <w:r w:rsidRPr="00EB5449">
        <w:rPr>
          <w:rFonts w:cs="Times New Roman"/>
          <w:szCs w:val="24"/>
        </w:rPr>
        <w:t xml:space="preserve">) doit être en tout temps guidé par le point de vue du </w:t>
      </w:r>
      <w:r>
        <w:rPr>
          <w:rFonts w:cs="Times New Roman"/>
          <w:szCs w:val="24"/>
        </w:rPr>
        <w:t>« </w:t>
      </w:r>
      <w:r w:rsidRPr="00EB5449">
        <w:rPr>
          <w:rFonts w:cs="Times New Roman"/>
          <w:szCs w:val="24"/>
        </w:rPr>
        <w:t>public</w:t>
      </w:r>
      <w:r>
        <w:rPr>
          <w:rFonts w:cs="Times New Roman"/>
          <w:szCs w:val="24"/>
        </w:rPr>
        <w:t> »</w:t>
      </w:r>
      <w:r w:rsidRPr="00EB5449">
        <w:rPr>
          <w:rFonts w:cs="Times New Roman"/>
          <w:szCs w:val="24"/>
        </w:rPr>
        <w:t xml:space="preserve">. </w:t>
      </w:r>
    </w:p>
    <w:p w:rsidR="00CE3216" w:rsidRPr="00EB5449" w:rsidRDefault="00CE3216" w:rsidP="00CE3216">
      <w:pPr>
        <w:pStyle w:val="ParaNoNdepar-AltN"/>
        <w:widowControl w:val="0"/>
        <w:rPr>
          <w:rFonts w:cs="Times New Roman"/>
          <w:szCs w:val="24"/>
        </w:rPr>
      </w:pPr>
      <w:r w:rsidRPr="00EB5449">
        <w:rPr>
          <w:rFonts w:cs="Times New Roman"/>
          <w:szCs w:val="24"/>
          <w:lang w:val="fr-FR"/>
        </w:rPr>
        <w:t xml:space="preserve">Dans l’arrêt </w:t>
      </w:r>
      <w:r w:rsidRPr="00EB5449">
        <w:rPr>
          <w:rFonts w:cs="Times New Roman"/>
          <w:i/>
          <w:iCs/>
          <w:szCs w:val="24"/>
          <w:lang w:val="fr-FR"/>
        </w:rPr>
        <w:t>Mordue</w:t>
      </w:r>
      <w:r w:rsidRPr="00EB5449">
        <w:rPr>
          <w:rFonts w:cs="Times New Roman"/>
          <w:szCs w:val="24"/>
          <w:lang w:val="fr-FR"/>
        </w:rPr>
        <w:t xml:space="preserve">, la Cour d’appel de l’Ontario a fait une analyse intéressante du lien entre la notion de </w:t>
      </w:r>
      <w:r>
        <w:rPr>
          <w:rFonts w:cs="Times New Roman"/>
          <w:szCs w:val="24"/>
          <w:lang w:val="fr-FR"/>
        </w:rPr>
        <w:t>« </w:t>
      </w:r>
      <w:r w:rsidRPr="00EB5449">
        <w:rPr>
          <w:rFonts w:cs="Times New Roman"/>
          <w:szCs w:val="24"/>
          <w:lang w:val="fr-FR"/>
        </w:rPr>
        <w:t>confiance du public</w:t>
      </w:r>
      <w:r>
        <w:rPr>
          <w:rFonts w:cs="Times New Roman"/>
          <w:szCs w:val="24"/>
          <w:lang w:val="fr-FR"/>
        </w:rPr>
        <w:t> »</w:t>
      </w:r>
      <w:r w:rsidRPr="00EB5449">
        <w:rPr>
          <w:rFonts w:cs="Times New Roman"/>
          <w:szCs w:val="24"/>
          <w:lang w:val="fr-FR"/>
        </w:rPr>
        <w:t xml:space="preserve"> à l’al. 515(10)</w:t>
      </w:r>
      <w:r w:rsidRPr="00EB5449">
        <w:rPr>
          <w:rFonts w:cs="Times New Roman"/>
          <w:i/>
          <w:iCs/>
          <w:szCs w:val="24"/>
          <w:lang w:val="fr-FR"/>
        </w:rPr>
        <w:t>c</w:t>
      </w:r>
      <w:r w:rsidRPr="00EB5449">
        <w:rPr>
          <w:rFonts w:cs="Times New Roman"/>
          <w:szCs w:val="24"/>
          <w:lang w:val="fr-FR"/>
        </w:rPr>
        <w:t xml:space="preserve">) et celle de </w:t>
      </w:r>
      <w:r>
        <w:rPr>
          <w:rFonts w:cs="Times New Roman"/>
          <w:szCs w:val="24"/>
          <w:lang w:val="fr-FR"/>
        </w:rPr>
        <w:t>« </w:t>
      </w:r>
      <w:r w:rsidRPr="00EB5449">
        <w:rPr>
          <w:rFonts w:cs="Times New Roman"/>
          <w:szCs w:val="24"/>
          <w:lang w:val="fr-FR"/>
        </w:rPr>
        <w:t>sécurité</w:t>
      </w:r>
      <w:r>
        <w:rPr>
          <w:rFonts w:cs="Times New Roman"/>
          <w:szCs w:val="24"/>
          <w:lang w:val="fr-FR"/>
        </w:rPr>
        <w:t xml:space="preserve"> </w:t>
      </w:r>
      <w:r w:rsidRPr="00EB5449">
        <w:rPr>
          <w:rFonts w:cs="Times New Roman"/>
          <w:szCs w:val="24"/>
          <w:lang w:val="fr-FR"/>
        </w:rPr>
        <w:t>du public</w:t>
      </w:r>
      <w:r>
        <w:rPr>
          <w:rFonts w:cs="Times New Roman"/>
          <w:szCs w:val="24"/>
          <w:lang w:val="fr-FR"/>
        </w:rPr>
        <w:t> »</w:t>
      </w:r>
      <w:r w:rsidRPr="00EB5449">
        <w:rPr>
          <w:rFonts w:cs="Times New Roman"/>
          <w:szCs w:val="24"/>
          <w:lang w:val="fr-FR"/>
        </w:rPr>
        <w:t xml:space="preserve"> mentionnée à l’al. 515(10)</w:t>
      </w:r>
      <w:r w:rsidRPr="00EB5449">
        <w:rPr>
          <w:rFonts w:cs="Times New Roman"/>
          <w:i/>
          <w:iCs/>
          <w:szCs w:val="24"/>
          <w:lang w:val="fr-FR"/>
        </w:rPr>
        <w:t>b</w:t>
      </w:r>
      <w:r w:rsidRPr="00EB5449">
        <w:rPr>
          <w:rFonts w:cs="Times New Roman"/>
          <w:szCs w:val="24"/>
          <w:lang w:val="fr-FR"/>
        </w:rPr>
        <w:t>)</w:t>
      </w:r>
      <w:r>
        <w:rPr>
          <w:rFonts w:cs="Times New Roman"/>
          <w:szCs w:val="24"/>
          <w:lang w:val="fr-FR"/>
        </w:rPr>
        <w:t> :</w:t>
      </w:r>
      <w:r w:rsidRPr="00EB5449">
        <w:rPr>
          <w:rFonts w:cs="Times New Roman"/>
          <w:szCs w:val="24"/>
          <w:lang w:val="fr-FR"/>
        </w:rPr>
        <w:t xml:space="preserve">  </w:t>
      </w:r>
    </w:p>
    <w:p w:rsidR="00CE3216" w:rsidRPr="00EB5449" w:rsidRDefault="007559CA" w:rsidP="00CE3216">
      <w:pPr>
        <w:pStyle w:val="Citation-AltC"/>
        <w:widowControl w:val="0"/>
        <w:ind w:firstLine="274"/>
        <w:rPr>
          <w:szCs w:val="24"/>
        </w:rPr>
      </w:pPr>
      <w:r w:rsidRPr="00EB5449">
        <w:rPr>
          <w:szCs w:val="24"/>
        </w:rPr>
        <w:t>[</w:t>
      </w:r>
      <w:r w:rsidRPr="00EB5449">
        <w:rPr>
          <w:smallCaps/>
          <w:szCs w:val="24"/>
        </w:rPr>
        <w:t>traduction</w:t>
      </w:r>
      <w:r w:rsidRPr="00EB5449">
        <w:rPr>
          <w:szCs w:val="24"/>
        </w:rPr>
        <w:t>]</w:t>
      </w:r>
      <w:r>
        <w:rPr>
          <w:szCs w:val="24"/>
        </w:rPr>
        <w:t xml:space="preserve"> </w:t>
      </w:r>
      <w:r w:rsidR="00CE3216" w:rsidRPr="00EB5449">
        <w:rPr>
          <w:szCs w:val="24"/>
          <w:u w:val="single"/>
        </w:rPr>
        <w:t xml:space="preserve">Bien que pertinentes, les craintes et les inquiétudes du public à l’égard de sa sécurité ne sont pas les seules considérations applicables pour apprécier la confiance du public envers l’administration </w:t>
      </w:r>
      <w:r w:rsidR="00CE3216" w:rsidRPr="00EB5449">
        <w:rPr>
          <w:szCs w:val="24"/>
          <w:u w:val="single"/>
        </w:rPr>
        <w:lastRenderedPageBreak/>
        <w:t xml:space="preserve">de la justice. </w:t>
      </w:r>
      <w:r w:rsidR="00CE3216" w:rsidRPr="00EB5449">
        <w:rPr>
          <w:szCs w:val="24"/>
        </w:rPr>
        <w:t xml:space="preserve">L’effet de la libération de l’accusé sur la confiance du public envers l’administration de la justice doit être examiné plus largement. </w:t>
      </w:r>
    </w:p>
    <w:p w:rsidR="00CE3216" w:rsidRPr="00EB5449" w:rsidRDefault="00CE3216" w:rsidP="00CE3216">
      <w:pPr>
        <w:pStyle w:val="Citation-AltC"/>
        <w:widowControl w:val="0"/>
        <w:ind w:firstLine="274"/>
        <w:rPr>
          <w:szCs w:val="24"/>
          <w:u w:val="single"/>
        </w:rPr>
      </w:pPr>
    </w:p>
    <w:p w:rsidR="00CE3216" w:rsidRPr="00EB5449" w:rsidRDefault="00CE3216" w:rsidP="00CE3216">
      <w:pPr>
        <w:pStyle w:val="Citation-AltC"/>
        <w:widowControl w:val="0"/>
        <w:ind w:firstLine="274"/>
        <w:rPr>
          <w:szCs w:val="24"/>
        </w:rPr>
      </w:pPr>
      <w:r w:rsidRPr="00EB5449">
        <w:rPr>
          <w:szCs w:val="24"/>
          <w:u w:val="single"/>
        </w:rPr>
        <w:t>Le fait de limiter l’analyse de la question de la confiance envers l’administration de la justice aux inquiétudes du public relativement à sa sécurité a pour résultat que le troisième motif ne constitue guère plus qu’une répétition du deuxième motif.</w:t>
      </w:r>
      <w:r w:rsidR="00A65B18">
        <w:rPr>
          <w:szCs w:val="24"/>
        </w:rPr>
        <w:t> </w:t>
      </w:r>
      <w:r w:rsidR="004364EE">
        <w:rPr>
          <w:szCs w:val="24"/>
        </w:rPr>
        <w:t>. .</w:t>
      </w:r>
    </w:p>
    <w:p w:rsidR="00CE3216" w:rsidRPr="00EB5449" w:rsidRDefault="00CE3216" w:rsidP="00CE3216">
      <w:pPr>
        <w:pStyle w:val="Citation-AltC"/>
        <w:widowControl w:val="0"/>
        <w:ind w:firstLine="274"/>
        <w:rPr>
          <w:szCs w:val="24"/>
          <w:u w:val="single"/>
        </w:rPr>
      </w:pPr>
    </w:p>
    <w:p w:rsidR="00CE3216" w:rsidRPr="00EB5449" w:rsidRDefault="00CE3216" w:rsidP="00CE3216">
      <w:pPr>
        <w:pStyle w:val="Citation-AltC"/>
        <w:widowControl w:val="0"/>
        <w:ind w:firstLine="274"/>
        <w:rPr>
          <w:szCs w:val="24"/>
        </w:rPr>
      </w:pPr>
      <w:r w:rsidRPr="00EB5449">
        <w:rPr>
          <w:szCs w:val="24"/>
        </w:rPr>
        <w:t>En l’espèce, le juge saisi de la demande de cautionnement a accordé un poids décisif à la qualité des arrangements relatifs à la mise en liberté sous caution de l’intimé.  Ce faisant, il a commis une erreur en omettant de se demander si le troisième motif ne constituait pas une raison distincte de refuser la libération sous caution. Après avoir considéré comme il se doit le degré d’inquiétude du public sur le plan de la sécurité, le juge saisi de la demande de cautionnement a fait erreur en ne poursuivant pas son analyse afin de se demander quel effet la mise en liberté de l’intimé aurait, de façon plus large, sur la confiance du public envers l’administration de la justice. [Je souligne; par. 23-25.]</w:t>
      </w:r>
    </w:p>
    <w:p w:rsidR="00CE3216" w:rsidRPr="00EB5449" w:rsidRDefault="00CE3216" w:rsidP="00CE3216">
      <w:pPr>
        <w:pStyle w:val="ParaNoNdepar-AltN"/>
        <w:widowControl w:val="0"/>
        <w:rPr>
          <w:rFonts w:cs="Times New Roman"/>
          <w:szCs w:val="24"/>
          <w:lang w:val="fr-FR"/>
        </w:rPr>
      </w:pPr>
      <w:r w:rsidRPr="00EB5449">
        <w:rPr>
          <w:rFonts w:cs="Times New Roman"/>
          <w:szCs w:val="24"/>
        </w:rPr>
        <w:t xml:space="preserve">Dans l’arrêt </w:t>
      </w:r>
      <w:r w:rsidRPr="00EB5449">
        <w:rPr>
          <w:rFonts w:cs="Times New Roman"/>
          <w:i/>
          <w:iCs/>
          <w:szCs w:val="24"/>
        </w:rPr>
        <w:t>Hall</w:t>
      </w:r>
      <w:r w:rsidRPr="00EB5449">
        <w:rPr>
          <w:rFonts w:cs="Times New Roman"/>
          <w:szCs w:val="24"/>
        </w:rPr>
        <w:t xml:space="preserve">, notre Cour a précisé que la notion de </w:t>
      </w:r>
      <w:r>
        <w:rPr>
          <w:rFonts w:cs="Times New Roman"/>
          <w:szCs w:val="24"/>
        </w:rPr>
        <w:t>« </w:t>
      </w:r>
      <w:r w:rsidRPr="00EB5449">
        <w:rPr>
          <w:rFonts w:cs="Times New Roman"/>
          <w:szCs w:val="24"/>
        </w:rPr>
        <w:t>public</w:t>
      </w:r>
      <w:r>
        <w:rPr>
          <w:rFonts w:cs="Times New Roman"/>
          <w:szCs w:val="24"/>
        </w:rPr>
        <w:t> »</w:t>
      </w:r>
      <w:r w:rsidRPr="00EB5449">
        <w:rPr>
          <w:rFonts w:cs="Times New Roman"/>
          <w:szCs w:val="24"/>
        </w:rPr>
        <w:t xml:space="preserve"> s’entend d’un </w:t>
      </w:r>
      <w:r w:rsidRPr="00EB5449">
        <w:rPr>
          <w:rFonts w:cs="Times New Roman"/>
          <w:szCs w:val="24"/>
          <w:lang w:val="fr-FR"/>
        </w:rPr>
        <w:t>membre raisonnable de la collectivité</w:t>
      </w:r>
      <w:r>
        <w:rPr>
          <w:rFonts w:cs="Times New Roman"/>
          <w:szCs w:val="24"/>
          <w:lang w:val="fr-FR"/>
        </w:rPr>
        <w:t xml:space="preserve"> </w:t>
      </w:r>
      <w:r w:rsidRPr="00EB5449">
        <w:rPr>
          <w:rFonts w:cs="Times New Roman"/>
          <w:szCs w:val="24"/>
          <w:lang w:val="fr-FR"/>
        </w:rPr>
        <w:t xml:space="preserve">bien informé </w:t>
      </w:r>
      <w:r>
        <w:rPr>
          <w:rFonts w:cs="Times New Roman"/>
          <w:szCs w:val="24"/>
          <w:lang w:val="fr-FR"/>
        </w:rPr>
        <w:t>« </w:t>
      </w:r>
      <w:r w:rsidRPr="00EB5449">
        <w:rPr>
          <w:rFonts w:cs="Times New Roman"/>
          <w:szCs w:val="24"/>
          <w:lang w:val="fr-FR"/>
        </w:rPr>
        <w:t xml:space="preserve">de la philosophie des dispositions législatives, des valeurs consacrées par la </w:t>
      </w:r>
      <w:r w:rsidRPr="00EB5449">
        <w:rPr>
          <w:rFonts w:cs="Times New Roman"/>
          <w:i/>
          <w:iCs/>
          <w:szCs w:val="24"/>
          <w:lang w:val="fr-FR"/>
        </w:rPr>
        <w:t>Charte</w:t>
      </w:r>
      <w:r w:rsidRPr="00EB5449">
        <w:rPr>
          <w:rFonts w:cs="Times New Roman"/>
          <w:szCs w:val="24"/>
          <w:lang w:val="fr-FR"/>
        </w:rPr>
        <w:t xml:space="preserve"> et des circonstances réelles de l’affaire</w:t>
      </w:r>
      <w:r>
        <w:rPr>
          <w:rFonts w:cs="Times New Roman"/>
          <w:szCs w:val="24"/>
          <w:lang w:val="fr-FR"/>
        </w:rPr>
        <w:t> » :</w:t>
      </w:r>
      <w:r w:rsidRPr="00EB5449">
        <w:rPr>
          <w:rFonts w:cs="Times New Roman"/>
          <w:szCs w:val="24"/>
          <w:lang w:val="fr-FR"/>
        </w:rPr>
        <w:t xml:space="preserve"> par. 41, citant </w:t>
      </w:r>
      <w:r w:rsidRPr="00EB5449">
        <w:rPr>
          <w:rFonts w:cs="Times New Roman"/>
          <w:i/>
          <w:iCs/>
          <w:szCs w:val="24"/>
          <w:lang w:val="fr-FR"/>
        </w:rPr>
        <w:t>R. c. Nguyen</w:t>
      </w:r>
      <w:r w:rsidRPr="00EB5449">
        <w:rPr>
          <w:rFonts w:cs="Times New Roman"/>
          <w:szCs w:val="24"/>
          <w:lang w:val="fr-FR"/>
        </w:rPr>
        <w:t xml:space="preserve"> (1997), 119 C.C.C. (3d) 269 (C.A.C.-B.), par. 18. </w:t>
      </w:r>
    </w:p>
    <w:p w:rsidR="00CE3216" w:rsidRPr="00EB5449" w:rsidRDefault="00CE3216" w:rsidP="00CE3216">
      <w:pPr>
        <w:pStyle w:val="ParaNoNdepar-AltN"/>
        <w:widowControl w:val="0"/>
        <w:rPr>
          <w:rFonts w:cs="Times New Roman"/>
          <w:szCs w:val="24"/>
        </w:rPr>
      </w:pPr>
      <w:r w:rsidRPr="00EB5449">
        <w:rPr>
          <w:rFonts w:cs="Times New Roman"/>
          <w:szCs w:val="24"/>
          <w:lang w:val="fr-FR"/>
        </w:rPr>
        <w:t xml:space="preserve">Dans une décision rendue avant l’arrêt </w:t>
      </w:r>
      <w:r w:rsidRPr="00EB5449">
        <w:rPr>
          <w:rFonts w:cs="Times New Roman"/>
          <w:i/>
          <w:szCs w:val="24"/>
          <w:lang w:val="fr-FR"/>
        </w:rPr>
        <w:t>Hall</w:t>
      </w:r>
      <w:r w:rsidRPr="00EB5449">
        <w:rPr>
          <w:rFonts w:cs="Times New Roman"/>
          <w:szCs w:val="24"/>
          <w:lang w:val="fr-FR"/>
        </w:rPr>
        <w:t xml:space="preserve"> et portant</w:t>
      </w:r>
      <w:r w:rsidRPr="00EB5449">
        <w:rPr>
          <w:rFonts w:cs="Times New Roman"/>
          <w:szCs w:val="24"/>
        </w:rPr>
        <w:t xml:space="preserve"> sur l’ancien motif fondé sur l’</w:t>
      </w:r>
      <w:r>
        <w:rPr>
          <w:rFonts w:cs="Times New Roman"/>
          <w:szCs w:val="24"/>
        </w:rPr>
        <w:t>« </w:t>
      </w:r>
      <w:r w:rsidRPr="00EB5449">
        <w:rPr>
          <w:rFonts w:cs="Times New Roman"/>
          <w:szCs w:val="24"/>
        </w:rPr>
        <w:t>intérêt public</w:t>
      </w:r>
      <w:r>
        <w:rPr>
          <w:rFonts w:cs="Times New Roman"/>
          <w:szCs w:val="24"/>
        </w:rPr>
        <w:t> »</w:t>
      </w:r>
      <w:r w:rsidRPr="00EB5449">
        <w:rPr>
          <w:rFonts w:cs="Times New Roman"/>
          <w:szCs w:val="24"/>
        </w:rPr>
        <w:t xml:space="preserve"> prévu à l’al. 515(10</w:t>
      </w:r>
      <w:r w:rsidRPr="00EB5449">
        <w:rPr>
          <w:rFonts w:cs="Times New Roman"/>
          <w:iCs/>
          <w:szCs w:val="24"/>
        </w:rPr>
        <w:t>)</w:t>
      </w:r>
      <w:r w:rsidRPr="00EB5449">
        <w:rPr>
          <w:rFonts w:cs="Times New Roman"/>
          <w:i/>
          <w:iCs/>
          <w:szCs w:val="24"/>
        </w:rPr>
        <w:t>b</w:t>
      </w:r>
      <w:r w:rsidRPr="00EB5449">
        <w:rPr>
          <w:rFonts w:cs="Times New Roman"/>
          <w:szCs w:val="24"/>
        </w:rPr>
        <w:t>)</w:t>
      </w:r>
      <w:r w:rsidRPr="00EB5449">
        <w:rPr>
          <w:rFonts w:cs="Times New Roman"/>
          <w:i/>
          <w:iCs/>
          <w:szCs w:val="24"/>
        </w:rPr>
        <w:t xml:space="preserve"> </w:t>
      </w:r>
      <w:r w:rsidR="004364EE">
        <w:rPr>
          <w:rFonts w:cs="Times New Roman"/>
          <w:i/>
          <w:iCs/>
          <w:szCs w:val="24"/>
        </w:rPr>
        <w:t>C. cr.</w:t>
      </w:r>
      <w:r w:rsidRPr="00EB5449">
        <w:rPr>
          <w:rFonts w:cs="Times New Roman"/>
          <w:iCs/>
          <w:szCs w:val="24"/>
          <w:lang w:val="fr-FR"/>
        </w:rPr>
        <w:t>,</w:t>
      </w:r>
      <w:r w:rsidRPr="00EB5449">
        <w:rPr>
          <w:rFonts w:cs="Times New Roman"/>
          <w:szCs w:val="24"/>
          <w:lang w:val="fr-FR"/>
        </w:rPr>
        <w:t xml:space="preserve"> la Cour d’appel du Québec s’est exprimée ainsi</w:t>
      </w:r>
      <w:r>
        <w:rPr>
          <w:rFonts w:cs="Times New Roman"/>
          <w:szCs w:val="24"/>
          <w:lang w:val="fr-FR"/>
        </w:rPr>
        <w:t> :</w:t>
      </w:r>
      <w:r w:rsidRPr="00EB5449">
        <w:rPr>
          <w:rFonts w:cs="Times New Roman"/>
          <w:szCs w:val="24"/>
          <w:lang w:val="fr-FR"/>
        </w:rPr>
        <w:t xml:space="preserve"> </w:t>
      </w:r>
    </w:p>
    <w:p w:rsidR="00CE3216" w:rsidRPr="00EB5449" w:rsidRDefault="00CE3216" w:rsidP="00CE3216">
      <w:pPr>
        <w:pStyle w:val="Citation-AltC"/>
        <w:widowControl w:val="0"/>
        <w:ind w:firstLine="274"/>
        <w:rPr>
          <w:szCs w:val="24"/>
        </w:rPr>
      </w:pPr>
      <w:r w:rsidRPr="00EB5449">
        <w:rPr>
          <w:szCs w:val="24"/>
        </w:rPr>
        <w:t xml:space="preserve">S’agissant tout d’abord de la perception du public, comme on le sait, face aux criminels ou aux criminels en puissance, </w:t>
      </w:r>
      <w:r w:rsidRPr="00EB5449">
        <w:rPr>
          <w:szCs w:val="24"/>
          <w:u w:val="single"/>
        </w:rPr>
        <w:t>une large partie du public canadien adopte souvent une attitude négative et parfois passionnée</w:t>
      </w:r>
      <w:r w:rsidRPr="00EB5449">
        <w:rPr>
          <w:szCs w:val="24"/>
        </w:rPr>
        <w:t>. Elle veut se voir protég[ée], voir les criminels en prison et les voir châti[és] durement.</w:t>
      </w:r>
      <w:r>
        <w:rPr>
          <w:szCs w:val="24"/>
        </w:rPr>
        <w:t xml:space="preserve"> </w:t>
      </w:r>
      <w:r w:rsidRPr="00EB5449">
        <w:rPr>
          <w:szCs w:val="24"/>
        </w:rPr>
        <w:t xml:space="preserve"> Se débarrasser du criminel, c’est se débarrasser du crime.</w:t>
      </w:r>
      <w:r>
        <w:rPr>
          <w:szCs w:val="24"/>
        </w:rPr>
        <w:t xml:space="preserve"> </w:t>
      </w:r>
      <w:r w:rsidRPr="00EB5449">
        <w:rPr>
          <w:szCs w:val="24"/>
        </w:rPr>
        <w:t xml:space="preserve"> </w:t>
      </w:r>
      <w:r w:rsidRPr="00EB5449">
        <w:rPr>
          <w:szCs w:val="24"/>
          <w:u w:val="single"/>
        </w:rPr>
        <w:t xml:space="preserve">Elle perçoit alors indûment le système judiciaire et celui de </w:t>
      </w:r>
      <w:r w:rsidRPr="00EB5449">
        <w:rPr>
          <w:szCs w:val="24"/>
          <w:u w:val="single"/>
        </w:rPr>
        <w:lastRenderedPageBreak/>
        <w:t>l’administration de la justice en général comme trop indulgent</w:t>
      </w:r>
      <w:r w:rsidRPr="00EB5449">
        <w:rPr>
          <w:szCs w:val="24"/>
        </w:rPr>
        <w:t xml:space="preserve">, trop mou, trop bon pour le criminel. </w:t>
      </w:r>
      <w:r w:rsidRPr="00EB5449">
        <w:rPr>
          <w:szCs w:val="24"/>
          <w:u w:val="single"/>
        </w:rPr>
        <w:t>Cette perception, presque viscérale, face au crime n’est sûrement pas celle sur laquelle le juge doit se fonder pour décider de la remise en liberté.</w:t>
      </w:r>
      <w:r w:rsidRPr="00EB5449">
        <w:rPr>
          <w:szCs w:val="24"/>
        </w:rPr>
        <w:t xml:space="preserve"> Dans cette hypothèse, en effet, les personnes accusées de certains types d’infraction ne seraient jamais remises en liberté parce que la perception du public est négative à l’égard du type de crime commis, alors que d’autres, au contraire, seraient presque automatiquement libérées vu la perception plus neutre ou plus indulgente du public. [</w:t>
      </w:r>
      <w:r>
        <w:rPr>
          <w:szCs w:val="24"/>
        </w:rPr>
        <w:t>. . .</w:t>
      </w:r>
      <w:r w:rsidRPr="00EB5449">
        <w:rPr>
          <w:szCs w:val="24"/>
        </w:rPr>
        <w:t xml:space="preserve">] </w:t>
      </w:r>
      <w:r w:rsidRPr="00EB5449">
        <w:rPr>
          <w:szCs w:val="24"/>
          <w:u w:val="single"/>
        </w:rPr>
        <w:t>C’est donc à un autre niveau qu’il faut se placer, soit celui d’un public raisonnablement informé de notre système de droit pénal</w:t>
      </w:r>
      <w:r w:rsidRPr="00EB5449">
        <w:rPr>
          <w:szCs w:val="24"/>
        </w:rPr>
        <w:t xml:space="preserve"> et capable de juger et de percevoir sans passion que l’application de la présomption d’innocence, même au niveau de la liberté provisoire, a pour effet qu’effectivement des gens qui, plus tard, seront trouvés coupables, même de crimes sérieux, auront cependant retrouvé leur liberté entre le moment de leur arrestation et celui de leur procès. En d’autres termes, le critère de la perception du public ne doit pas s’exercer à partir du plus petit commun dénominateur. [Je souligne.]</w:t>
      </w:r>
    </w:p>
    <w:p w:rsidR="00CE3216" w:rsidRPr="00EB5449" w:rsidRDefault="00CE3216" w:rsidP="00CE3216">
      <w:pPr>
        <w:pStyle w:val="Citation-AltC"/>
        <w:widowControl w:val="0"/>
        <w:rPr>
          <w:szCs w:val="24"/>
        </w:rPr>
      </w:pPr>
    </w:p>
    <w:p w:rsidR="00CE3216" w:rsidRPr="00B03314" w:rsidRDefault="00CE3216" w:rsidP="00A65B18">
      <w:pPr>
        <w:pStyle w:val="Citation-AltC"/>
        <w:widowControl w:val="0"/>
        <w:ind w:left="0"/>
        <w:rPr>
          <w:szCs w:val="24"/>
          <w:lang w:val="en-US"/>
        </w:rPr>
      </w:pPr>
      <w:r w:rsidRPr="00B03314">
        <w:rPr>
          <w:szCs w:val="24"/>
          <w:lang w:val="en-US"/>
        </w:rPr>
        <w:t>(</w:t>
      </w:r>
      <w:r w:rsidRPr="00B03314">
        <w:rPr>
          <w:i/>
          <w:szCs w:val="24"/>
          <w:lang w:val="en-US"/>
        </w:rPr>
        <w:t>R. c. Lamothe</w:t>
      </w:r>
      <w:r w:rsidRPr="00B03314">
        <w:rPr>
          <w:szCs w:val="24"/>
          <w:lang w:val="en-US"/>
        </w:rPr>
        <w:t>, [1990] R.J.Q. 973, p. 981)</w:t>
      </w:r>
    </w:p>
    <w:p w:rsidR="00CE3216" w:rsidRPr="00EB5449" w:rsidRDefault="00CE3216" w:rsidP="00CE3216">
      <w:pPr>
        <w:pStyle w:val="ParaNoNdepar-AltN"/>
        <w:widowControl w:val="0"/>
        <w:rPr>
          <w:rFonts w:cs="Times New Roman"/>
          <w:szCs w:val="24"/>
        </w:rPr>
      </w:pPr>
      <w:r w:rsidRPr="00EB5449">
        <w:rPr>
          <w:rFonts w:cs="Times New Roman"/>
          <w:szCs w:val="24"/>
        </w:rPr>
        <w:t>Je suis d’avis que ces enseignements sont toujours pertinents.</w:t>
      </w:r>
    </w:p>
    <w:p w:rsidR="00CE3216" w:rsidRPr="00EB5449" w:rsidRDefault="00CE3216" w:rsidP="00CE3216">
      <w:pPr>
        <w:pStyle w:val="ParaNoNdepar-AltN"/>
        <w:widowControl w:val="0"/>
        <w:rPr>
          <w:rFonts w:cs="Times New Roman"/>
          <w:szCs w:val="24"/>
        </w:rPr>
      </w:pPr>
      <w:r w:rsidRPr="00EB5449">
        <w:rPr>
          <w:rFonts w:cs="Times New Roman"/>
          <w:szCs w:val="24"/>
        </w:rPr>
        <w:t>Même si le motif fondé sur l’</w:t>
      </w:r>
      <w:r>
        <w:rPr>
          <w:rFonts w:cs="Times New Roman"/>
          <w:szCs w:val="24"/>
        </w:rPr>
        <w:t>« </w:t>
      </w:r>
      <w:r w:rsidRPr="00EB5449">
        <w:rPr>
          <w:rFonts w:cs="Times New Roman"/>
          <w:szCs w:val="24"/>
        </w:rPr>
        <w:t>intérêt public</w:t>
      </w:r>
      <w:r>
        <w:rPr>
          <w:rFonts w:cs="Times New Roman"/>
          <w:szCs w:val="24"/>
        </w:rPr>
        <w:t> »</w:t>
      </w:r>
      <w:r w:rsidRPr="00EB5449">
        <w:rPr>
          <w:rFonts w:cs="Times New Roman"/>
          <w:szCs w:val="24"/>
        </w:rPr>
        <w:t xml:space="preserve"> a depuis été jugé inconstitutionnel, ces passages sont utiles pour rappeler que la notion de </w:t>
      </w:r>
      <w:r>
        <w:rPr>
          <w:rFonts w:cs="Times New Roman"/>
          <w:szCs w:val="24"/>
        </w:rPr>
        <w:t>« </w:t>
      </w:r>
      <w:r w:rsidRPr="00EB5449">
        <w:rPr>
          <w:rFonts w:cs="Times New Roman"/>
          <w:szCs w:val="24"/>
        </w:rPr>
        <w:t>public</w:t>
      </w:r>
      <w:r>
        <w:rPr>
          <w:rFonts w:cs="Times New Roman"/>
          <w:szCs w:val="24"/>
        </w:rPr>
        <w:t> »</w:t>
      </w:r>
      <w:r w:rsidRPr="00EB5449">
        <w:rPr>
          <w:rFonts w:cs="Times New Roman"/>
          <w:szCs w:val="24"/>
        </w:rPr>
        <w:t xml:space="preserve"> visée au nouvel al. 515(10)</w:t>
      </w:r>
      <w:r w:rsidRPr="00EB5449">
        <w:rPr>
          <w:rFonts w:cs="Times New Roman"/>
          <w:i/>
          <w:szCs w:val="24"/>
        </w:rPr>
        <w:t>c</w:t>
      </w:r>
      <w:r w:rsidRPr="00EB5449">
        <w:rPr>
          <w:rFonts w:cs="Times New Roman"/>
          <w:szCs w:val="24"/>
        </w:rPr>
        <w:t>) ne s’entend pas du justiciable canadien trop prompt à réagir de façon émotive. Cela dit, s’il est vrai que le public dont il est question à l’al. 515(10)</w:t>
      </w:r>
      <w:r w:rsidRPr="00EB5449">
        <w:rPr>
          <w:rFonts w:cs="Times New Roman"/>
          <w:i/>
          <w:iCs/>
          <w:szCs w:val="24"/>
        </w:rPr>
        <w:t>c</w:t>
      </w:r>
      <w:r w:rsidRPr="00EB5449">
        <w:rPr>
          <w:rFonts w:cs="Times New Roman"/>
          <w:szCs w:val="24"/>
        </w:rPr>
        <w:t xml:space="preserve">) n’est pas un membre trop émotif de la collectivité, mais plutôt une personne raisonnable et bien informée, certaines décisions me semblent avoir vidé de tout son sens cette notion de </w:t>
      </w:r>
      <w:r>
        <w:rPr>
          <w:rFonts w:cs="Times New Roman"/>
          <w:szCs w:val="24"/>
        </w:rPr>
        <w:t>« </w:t>
      </w:r>
      <w:r w:rsidRPr="00EB5449">
        <w:rPr>
          <w:rFonts w:cs="Times New Roman"/>
          <w:szCs w:val="24"/>
        </w:rPr>
        <w:t>public</w:t>
      </w:r>
      <w:r>
        <w:rPr>
          <w:rFonts w:cs="Times New Roman"/>
          <w:szCs w:val="24"/>
        </w:rPr>
        <w:t> »</w:t>
      </w:r>
      <w:r w:rsidRPr="00EB5449">
        <w:rPr>
          <w:rFonts w:cs="Times New Roman"/>
          <w:szCs w:val="24"/>
        </w:rPr>
        <w:t xml:space="preserve">. Le législateur a fait un choix exprès en demandant aux tribunaux de tenir compte de la confiance du </w:t>
      </w:r>
      <w:r>
        <w:rPr>
          <w:rFonts w:cs="Times New Roman"/>
          <w:szCs w:val="24"/>
        </w:rPr>
        <w:t>« </w:t>
      </w:r>
      <w:r w:rsidRPr="00EB5449">
        <w:rPr>
          <w:rFonts w:cs="Times New Roman"/>
          <w:szCs w:val="24"/>
        </w:rPr>
        <w:t>public</w:t>
      </w:r>
      <w:r>
        <w:rPr>
          <w:rFonts w:cs="Times New Roman"/>
          <w:szCs w:val="24"/>
        </w:rPr>
        <w:t> »</w:t>
      </w:r>
      <w:r w:rsidRPr="00EB5449">
        <w:rPr>
          <w:rFonts w:cs="Times New Roman"/>
          <w:szCs w:val="24"/>
        </w:rPr>
        <w:t xml:space="preserve"> envers l’administration de la justice lorsqu’ils décident si un accusé devrait être détenu en attendant son procès. Il n’a pas fait mention d’un juriste ou d’un juge, mais bien du </w:t>
      </w:r>
      <w:r>
        <w:rPr>
          <w:rFonts w:cs="Times New Roman"/>
          <w:szCs w:val="24"/>
        </w:rPr>
        <w:lastRenderedPageBreak/>
        <w:t>« </w:t>
      </w:r>
      <w:r w:rsidRPr="00EB5449">
        <w:rPr>
          <w:rFonts w:cs="Times New Roman"/>
          <w:szCs w:val="24"/>
        </w:rPr>
        <w:t>public</w:t>
      </w:r>
      <w:r>
        <w:rPr>
          <w:rFonts w:cs="Times New Roman"/>
          <w:szCs w:val="24"/>
        </w:rPr>
        <w:t> »</w:t>
      </w:r>
      <w:r w:rsidRPr="00EB5449">
        <w:rPr>
          <w:rFonts w:cs="Times New Roman"/>
          <w:szCs w:val="24"/>
        </w:rPr>
        <w:t xml:space="preserve">. Il faut donc donner un sens à ce choix législatif. En conséquence, la confiance du public ne saurait être assimilée à la confiance des juristes envers l’administration de la justice. On ne peut attendre de la population canadienne — même de ses membres les mieux informés — le même niveau de connaissances juridiques qu’un juge ou un avocat. Ce serait là dénaturer la notion de </w:t>
      </w:r>
      <w:r>
        <w:rPr>
          <w:rFonts w:cs="Times New Roman"/>
          <w:szCs w:val="24"/>
        </w:rPr>
        <w:t>« </w:t>
      </w:r>
      <w:r w:rsidRPr="00EB5449">
        <w:rPr>
          <w:rFonts w:cs="Times New Roman"/>
          <w:szCs w:val="24"/>
        </w:rPr>
        <w:t>public</w:t>
      </w:r>
      <w:r>
        <w:rPr>
          <w:rFonts w:cs="Times New Roman"/>
          <w:szCs w:val="24"/>
        </w:rPr>
        <w:t> »</w:t>
      </w:r>
      <w:r w:rsidRPr="00EB5449">
        <w:rPr>
          <w:rFonts w:cs="Times New Roman"/>
          <w:szCs w:val="24"/>
        </w:rPr>
        <w:t xml:space="preserve">. Ce serait également faire abstraction de l’objectif de cette disposition, qui consiste à assurer le maintien de la confiance du public envers l’administration de la justice. </w:t>
      </w:r>
    </w:p>
    <w:p w:rsidR="00CE3216" w:rsidRPr="00EB5449" w:rsidRDefault="00CE3216" w:rsidP="00CE3216">
      <w:pPr>
        <w:pStyle w:val="ParaNoNdepar-AltN"/>
        <w:widowControl w:val="0"/>
        <w:rPr>
          <w:rFonts w:cs="Times New Roman"/>
        </w:rPr>
      </w:pPr>
      <w:r w:rsidRPr="00EB5449">
        <w:rPr>
          <w:rFonts w:cs="Times New Roman"/>
        </w:rPr>
        <w:t xml:space="preserve">Je souligne que cette position est similaire à celle adoptée par notre Cour </w:t>
      </w:r>
      <w:r w:rsidRPr="00EB5449">
        <w:rPr>
          <w:rFonts w:cs="Times New Roman"/>
          <w:szCs w:val="24"/>
        </w:rPr>
        <w:t xml:space="preserve">au sujet du par. 24(2) de la </w:t>
      </w:r>
      <w:r w:rsidRPr="00EB5449">
        <w:rPr>
          <w:rFonts w:cs="Times New Roman"/>
          <w:i/>
          <w:iCs/>
          <w:szCs w:val="24"/>
        </w:rPr>
        <w:t>Charte</w:t>
      </w:r>
      <w:r w:rsidRPr="00EB5449">
        <w:rPr>
          <w:rFonts w:cs="Times New Roman"/>
          <w:szCs w:val="24"/>
        </w:rPr>
        <w:t xml:space="preserve">, qui prévoit l’exclusion d’éléments de preuve </w:t>
      </w:r>
      <w:r w:rsidRPr="00EB5449">
        <w:rPr>
          <w:rFonts w:cs="Times New Roman"/>
          <w:szCs w:val="24"/>
          <w:lang w:val="fr-FR"/>
        </w:rPr>
        <w:t>obtenus en violation de celle-ci</w:t>
      </w:r>
      <w:r w:rsidRPr="00EB5449">
        <w:rPr>
          <w:rFonts w:cs="Times New Roman"/>
          <w:szCs w:val="24"/>
        </w:rPr>
        <w:t xml:space="preserve"> lorsque </w:t>
      </w:r>
      <w:r>
        <w:rPr>
          <w:rFonts w:cs="Times New Roman"/>
          <w:szCs w:val="24"/>
        </w:rPr>
        <w:t>« </w:t>
      </w:r>
      <w:r w:rsidRPr="00EB5449">
        <w:rPr>
          <w:rFonts w:cs="Times New Roman"/>
          <w:szCs w:val="24"/>
        </w:rPr>
        <w:t xml:space="preserve">leur </w:t>
      </w:r>
      <w:r w:rsidRPr="00EB5449">
        <w:rPr>
          <w:rFonts w:cs="Times New Roman"/>
          <w:szCs w:val="24"/>
          <w:lang w:val="fr-FR"/>
        </w:rPr>
        <w:t>utilisation est susceptible de déconsidérer l’administration de la justice</w:t>
      </w:r>
      <w:r>
        <w:rPr>
          <w:rFonts w:cs="Times New Roman"/>
          <w:szCs w:val="24"/>
          <w:lang w:val="fr-FR"/>
        </w:rPr>
        <w:t> »</w:t>
      </w:r>
      <w:r w:rsidRPr="00EB5449">
        <w:rPr>
          <w:rFonts w:cs="Times New Roman"/>
          <w:szCs w:val="24"/>
          <w:lang w:val="fr-FR"/>
        </w:rPr>
        <w:t>.</w:t>
      </w:r>
      <w:r w:rsidRPr="00EB5449">
        <w:rPr>
          <w:rFonts w:cs="Times New Roman"/>
        </w:rPr>
        <w:t xml:space="preserve"> Dans l’arrêt </w:t>
      </w:r>
      <w:r w:rsidRPr="00EB5449">
        <w:rPr>
          <w:rFonts w:cs="Times New Roman"/>
          <w:i/>
        </w:rPr>
        <w:t>R. c.</w:t>
      </w:r>
      <w:r w:rsidRPr="00EB5449">
        <w:rPr>
          <w:rFonts w:cs="Times New Roman"/>
        </w:rPr>
        <w:t xml:space="preserve"> </w:t>
      </w:r>
      <w:r w:rsidRPr="00EB5449">
        <w:rPr>
          <w:rFonts w:cs="Times New Roman"/>
          <w:i/>
          <w:iCs/>
        </w:rPr>
        <w:t>Collins</w:t>
      </w:r>
      <w:r w:rsidRPr="00EB5449">
        <w:rPr>
          <w:rFonts w:cs="Times New Roman"/>
        </w:rPr>
        <w:t>, [1987] 1 R.C.S. 265, s’exprimant au nom de la majorité, le juge Lamer a utilisé la formule imagée suivante pour énoncer la question pertinente</w:t>
      </w:r>
      <w:r>
        <w:rPr>
          <w:rFonts w:cs="Times New Roman"/>
        </w:rPr>
        <w:t> :</w:t>
      </w:r>
      <w:r w:rsidRPr="00EB5449">
        <w:rPr>
          <w:rFonts w:cs="Times New Roman"/>
        </w:rPr>
        <w:t xml:space="preserve"> </w:t>
      </w:r>
      <w:r>
        <w:rPr>
          <w:rFonts w:cs="Times New Roman"/>
        </w:rPr>
        <w:t>« </w:t>
      </w:r>
      <w:r w:rsidRPr="00EB5449">
        <w:rPr>
          <w:rFonts w:cs="Times New Roman"/>
        </w:rPr>
        <w:t>L’utilisation des éléments de preuve est-elle susceptible de déconsidérer l’administration de la justice aux yeux de l’homme raisonnable, objectif et bien informé de toutes les circonstances de l’affaire?</w:t>
      </w:r>
      <w:r w:rsidR="00B03314">
        <w:rPr>
          <w:rFonts w:cs="Times New Roman"/>
        </w:rPr>
        <w:t> »</w:t>
      </w:r>
      <w:r w:rsidRPr="00EB5449">
        <w:rPr>
          <w:rFonts w:cs="Times New Roman"/>
        </w:rPr>
        <w:t xml:space="preserve"> </w:t>
      </w:r>
      <w:r w:rsidRPr="0058650B">
        <w:rPr>
          <w:rFonts w:cs="Times New Roman"/>
          <w:lang w:val="en-US"/>
        </w:rPr>
        <w:t xml:space="preserve">(p. 282, citant </w:t>
      </w:r>
      <w:r w:rsidRPr="0058650B">
        <w:rPr>
          <w:rFonts w:cs="Times New Roman"/>
          <w:spacing w:val="-3"/>
          <w:lang w:val="en-US"/>
        </w:rPr>
        <w:t xml:space="preserve">Y.-M. Morissette, « The Exclusion of Evidence under the </w:t>
      </w:r>
      <w:r w:rsidRPr="0058650B">
        <w:rPr>
          <w:rFonts w:cs="Times New Roman"/>
          <w:i/>
          <w:iCs/>
          <w:spacing w:val="-3"/>
          <w:lang w:val="en-US"/>
        </w:rPr>
        <w:t>Canadian Charter of Rights and Freedoms </w:t>
      </w:r>
      <w:r w:rsidRPr="0058650B">
        <w:rPr>
          <w:rFonts w:cs="Times New Roman"/>
          <w:iCs/>
          <w:spacing w:val="-3"/>
          <w:lang w:val="en-US"/>
        </w:rPr>
        <w:t>:</w:t>
      </w:r>
      <w:r w:rsidRPr="0058650B">
        <w:rPr>
          <w:rFonts w:cs="Times New Roman"/>
          <w:spacing w:val="-3"/>
          <w:lang w:val="en-US"/>
        </w:rPr>
        <w:t xml:space="preserve"> What To Do and What Not To Do » (1984), 29 </w:t>
      </w:r>
      <w:r w:rsidRPr="0058650B">
        <w:rPr>
          <w:rFonts w:cs="Times New Roman"/>
          <w:i/>
          <w:iCs/>
          <w:spacing w:val="-3"/>
          <w:lang w:val="en-US"/>
        </w:rPr>
        <w:t>R.D. McGill</w:t>
      </w:r>
      <w:r w:rsidRPr="0058650B">
        <w:rPr>
          <w:rFonts w:cs="Times New Roman"/>
          <w:spacing w:val="-3"/>
          <w:lang w:val="en-US"/>
        </w:rPr>
        <w:t xml:space="preserve"> 521, p. 538</w:t>
      </w:r>
      <w:r w:rsidRPr="0058650B">
        <w:rPr>
          <w:rFonts w:cs="Times New Roman"/>
          <w:lang w:val="en-US"/>
        </w:rPr>
        <w:t xml:space="preserve">). </w:t>
      </w:r>
      <w:r w:rsidRPr="00EB5449">
        <w:rPr>
          <w:rFonts w:cs="Times New Roman"/>
        </w:rPr>
        <w:t xml:space="preserve">Le juge Lamer a précisé que </w:t>
      </w:r>
      <w:r>
        <w:rPr>
          <w:rFonts w:cs="Times New Roman"/>
        </w:rPr>
        <w:t>« </w:t>
      </w:r>
      <w:r w:rsidRPr="00EB5449">
        <w:rPr>
          <w:rFonts w:cs="Times New Roman"/>
        </w:rPr>
        <w:t xml:space="preserve">[l]a </w:t>
      </w:r>
      <w:r w:rsidRPr="00EB5449">
        <w:rPr>
          <w:rFonts w:cs="Times New Roman"/>
          <w:spacing w:val="-3"/>
        </w:rPr>
        <w:t>personne raisonnable est habituellement la personne moyenne dans la société, mais uniquement lorsque l’humeur courante de la société est raisonnable</w:t>
      </w:r>
      <w:r>
        <w:rPr>
          <w:rFonts w:cs="Times New Roman"/>
          <w:spacing w:val="-3"/>
        </w:rPr>
        <w:t> » :</w:t>
      </w:r>
      <w:r w:rsidRPr="00EB5449">
        <w:rPr>
          <w:rFonts w:cs="Times New Roman"/>
          <w:spacing w:val="-3"/>
        </w:rPr>
        <w:t xml:space="preserve"> </w:t>
      </w:r>
      <w:r w:rsidRPr="00EB5449">
        <w:rPr>
          <w:rFonts w:cs="Times New Roman"/>
          <w:i/>
          <w:spacing w:val="-3"/>
        </w:rPr>
        <w:t>Collins</w:t>
      </w:r>
      <w:r w:rsidRPr="00EB5449">
        <w:rPr>
          <w:rFonts w:cs="Times New Roman"/>
          <w:spacing w:val="-3"/>
        </w:rPr>
        <w:t>, p. 282. Il a expliqué que l</w:t>
      </w:r>
      <w:r w:rsidRPr="00EB5449">
        <w:rPr>
          <w:rFonts w:cs="Times New Roman"/>
        </w:rPr>
        <w:t xml:space="preserve">e critère de la personne raisonnable </w:t>
      </w:r>
      <w:r>
        <w:rPr>
          <w:rFonts w:cs="Times New Roman"/>
        </w:rPr>
        <w:t>« </w:t>
      </w:r>
      <w:r w:rsidRPr="00EB5449">
        <w:rPr>
          <w:rFonts w:cs="Times New Roman"/>
        </w:rPr>
        <w:t xml:space="preserve">sert à rappeler à chaque juge que son pouvoir discrétionnaire est enraciné dans les valeurs de la société et, en particulier, </w:t>
      </w:r>
      <w:r w:rsidRPr="00EB5449">
        <w:rPr>
          <w:rFonts w:cs="Times New Roman"/>
        </w:rPr>
        <w:lastRenderedPageBreak/>
        <w:t>ses valeurs à long terme. Il ne doit pas rendre une décision que la société considérerait inacceptable lorsque celle</w:t>
      </w:r>
      <w:r>
        <w:rPr>
          <w:rFonts w:cs="Times New Roman"/>
        </w:rPr>
        <w:t>-</w:t>
      </w:r>
      <w:r w:rsidRPr="00EB5449">
        <w:rPr>
          <w:rFonts w:cs="Times New Roman"/>
        </w:rPr>
        <w:t>ci n’est pas déchirée par la passion ou autrement tiraillée par des événements présents</w:t>
      </w:r>
      <w:r>
        <w:rPr>
          <w:rFonts w:cs="Times New Roman"/>
        </w:rPr>
        <w:t> » :</w:t>
      </w:r>
      <w:r w:rsidRPr="00EB5449">
        <w:rPr>
          <w:rFonts w:cs="Times New Roman"/>
        </w:rPr>
        <w:t xml:space="preserve"> </w:t>
      </w:r>
      <w:r w:rsidRPr="00EB5449">
        <w:rPr>
          <w:rFonts w:cs="Times New Roman"/>
          <w:i/>
          <w:iCs/>
        </w:rPr>
        <w:t>ibid</w:t>
      </w:r>
      <w:r w:rsidRPr="00EB5449">
        <w:rPr>
          <w:rFonts w:cs="Times New Roman"/>
        </w:rPr>
        <w:t xml:space="preserve">., p. 283; voir aussi </w:t>
      </w:r>
      <w:r w:rsidRPr="00EB5449">
        <w:rPr>
          <w:rFonts w:cs="Times New Roman"/>
          <w:i/>
          <w:iCs/>
        </w:rPr>
        <w:t>R. c. Burlingham</w:t>
      </w:r>
      <w:r w:rsidRPr="00EB5449">
        <w:rPr>
          <w:rFonts w:cs="Times New Roman"/>
        </w:rPr>
        <w:t>, [1995] 2 R.C.S. 206, par. 142.</w:t>
      </w:r>
    </w:p>
    <w:p w:rsidR="00CE3216" w:rsidRPr="00EB5449" w:rsidRDefault="00CE3216" w:rsidP="00CE3216">
      <w:pPr>
        <w:pStyle w:val="ParaNoNdepar-AltN"/>
        <w:widowControl w:val="0"/>
        <w:rPr>
          <w:rFonts w:cs="Times New Roman"/>
          <w:szCs w:val="24"/>
        </w:rPr>
      </w:pPr>
      <w:r w:rsidRPr="00EB5449">
        <w:rPr>
          <w:rFonts w:cs="Times New Roman"/>
          <w:szCs w:val="24"/>
        </w:rPr>
        <w:t xml:space="preserve">Ce membre raisonnable du public connaît donc les rudiments de notre État de droit et il est sensible à nos valeurs fondamentales en droit pénal, dont celles protégées par la </w:t>
      </w:r>
      <w:r w:rsidRPr="00EB5449">
        <w:rPr>
          <w:rFonts w:cs="Times New Roman"/>
          <w:i/>
          <w:iCs/>
          <w:szCs w:val="24"/>
        </w:rPr>
        <w:t>Charte</w:t>
      </w:r>
      <w:r w:rsidRPr="00EB5449">
        <w:rPr>
          <w:rFonts w:cs="Times New Roman"/>
          <w:iCs/>
          <w:szCs w:val="24"/>
        </w:rPr>
        <w:t>.</w:t>
      </w:r>
      <w:r w:rsidRPr="00EB5449">
        <w:rPr>
          <w:rFonts w:cs="Times New Roman"/>
          <w:i/>
          <w:iCs/>
          <w:szCs w:val="24"/>
        </w:rPr>
        <w:t xml:space="preserve"> </w:t>
      </w:r>
      <w:r w:rsidRPr="00EB5449">
        <w:rPr>
          <w:rFonts w:cs="Times New Roman"/>
          <w:szCs w:val="24"/>
        </w:rPr>
        <w:t xml:space="preserve">Il ne fait aucun doute qu’il est au fait de l’importance de la présomption d’innocence et du droit à la liberté dans notre société. Il sait qu’il s’agit là de droits fondamentaux, garantis par notre Constitution. Cette personne </w:t>
      </w:r>
      <w:r w:rsidRPr="00EB5449">
        <w:rPr>
          <w:rFonts w:cs="Times New Roman"/>
          <w:szCs w:val="24"/>
          <w:lang w:val="fr-FR"/>
        </w:rPr>
        <w:t>s’attend aussi à ce que les personnes accusées d’un crime subissent leur procès dans un délai raisonnable, et elle connaît l’adage selon lequel [</w:t>
      </w:r>
      <w:r w:rsidRPr="00EB5449">
        <w:rPr>
          <w:rFonts w:cs="Times New Roman"/>
          <w:smallCaps/>
          <w:szCs w:val="24"/>
          <w:lang w:val="fr-FR"/>
        </w:rPr>
        <w:t>traduction</w:t>
      </w:r>
      <w:r w:rsidRPr="00EB5449">
        <w:rPr>
          <w:rFonts w:cs="Times New Roman"/>
          <w:szCs w:val="24"/>
          <w:lang w:val="fr-FR"/>
        </w:rPr>
        <w:t xml:space="preserve">] </w:t>
      </w:r>
      <w:r>
        <w:rPr>
          <w:rFonts w:cs="Times New Roman"/>
          <w:szCs w:val="24"/>
          <w:lang w:val="fr-FR"/>
        </w:rPr>
        <w:t>« </w:t>
      </w:r>
      <w:r w:rsidRPr="00EB5449">
        <w:rPr>
          <w:rFonts w:cs="Times New Roman"/>
          <w:szCs w:val="24"/>
          <w:lang w:val="fr-FR"/>
        </w:rPr>
        <w:t>justice retardée équivaut à justice déniée</w:t>
      </w:r>
      <w:r>
        <w:rPr>
          <w:rFonts w:cs="Times New Roman"/>
          <w:szCs w:val="24"/>
          <w:lang w:val="fr-FR"/>
        </w:rPr>
        <w:t> » :</w:t>
      </w:r>
      <w:r w:rsidRPr="00EB5449">
        <w:rPr>
          <w:rFonts w:cs="Times New Roman"/>
          <w:szCs w:val="24"/>
          <w:lang w:val="fr-FR"/>
        </w:rPr>
        <w:t xml:space="preserve"> </w:t>
      </w:r>
      <w:r w:rsidRPr="00EB5449">
        <w:rPr>
          <w:rFonts w:cs="Times New Roman"/>
          <w:i/>
          <w:iCs/>
          <w:szCs w:val="24"/>
        </w:rPr>
        <w:t>R. c. Trout</w:t>
      </w:r>
      <w:r w:rsidRPr="00EB5449">
        <w:rPr>
          <w:rFonts w:cs="Times New Roman"/>
          <w:szCs w:val="24"/>
        </w:rPr>
        <w:t>, 2006 MBCA 96, 205 Man. R. (2d) 277, par. 15. Enfin, elle sait que les infractions criminelles requièrent la preuve d’une intention coupable (</w:t>
      </w:r>
      <w:r w:rsidRPr="00EB5449">
        <w:rPr>
          <w:rFonts w:cs="Times New Roman"/>
          <w:i/>
          <w:iCs/>
          <w:szCs w:val="24"/>
        </w:rPr>
        <w:t>mens rea</w:t>
      </w:r>
      <w:r w:rsidRPr="00EB5449">
        <w:rPr>
          <w:rFonts w:cs="Times New Roman"/>
          <w:szCs w:val="24"/>
        </w:rPr>
        <w:t>) et que certaines défenses tendent à démontrer l’absence de cette intention. Un exemple bien connu de ce type de défense est celle relative aux troubles mentaux. La personne envisagée à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comprend donc que, une fois établie, cette défense permet à l’accusé d’échapper à sa responsabilité criminelle. Cela dit, il serait exagéré de s’attendre à ce qu’elle maîtrise toutes les subtilités de moyens de défense complexes, particulièrement lorsque la preuve de l’acte criminel est accablante, que les circonstances du crime sont odieuses et que l’accusé reconnaît l’avoir commis. </w:t>
      </w:r>
    </w:p>
    <w:p w:rsidR="00CE3216" w:rsidRPr="00EB5449" w:rsidRDefault="00CE3216" w:rsidP="00CE3216">
      <w:pPr>
        <w:pStyle w:val="ParaNoNdepar-AltN"/>
        <w:widowControl w:val="0"/>
        <w:rPr>
          <w:rFonts w:cs="Times New Roman"/>
          <w:szCs w:val="24"/>
        </w:rPr>
      </w:pPr>
      <w:r w:rsidRPr="00EB5449">
        <w:rPr>
          <w:rFonts w:cs="Times New Roman"/>
          <w:szCs w:val="24"/>
        </w:rPr>
        <w:lastRenderedPageBreak/>
        <w:t>Bref, la personne visée à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est donc une personne réfléchie et non une personne aux réactions émotives, mal informée sur les circonstances d’une affaire ou en désaccord avec les valeurs fondamentales de notre société. Mais cette personne n’est pas un juriste qui connaît tous les rudiments du système de justice criminelle, les éléments constitutifs des infractions criminelles ou les subtilités de l’intention criminelle et des défenses disponibles aux accusés.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Je conçois qu’il n’est certes pas facile pour les juges de trouver le juste équilibre entre, d’une part, leurs attentes peut-être démesurées envers le public, et d’autre part, la nécessité de refuser de céder aux réactions populaires mues uniquement par la passion. Cet exercice peut s’avérer particulièrement délicat en cette ère caractérisée par la multiplication et la diversification des sources d’information, l’accès à des bulletins d’information en continu et le phénomène des médias sociaux.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En effet, il est possible que la population canadienne croie qu’elle est très bien informée, mais ce n’est malheureusement pas toujours le cas. En outre, la population est également en mesure de faire connaître ses réactions beaucoup plus rapidement, efficacement et largement que par le passé, notamment par l’entremise des médias sociaux évoqués plus haut, lesquels sont propices à des réactions en chaîne. Pour cette raison, les tribunaux doivent se garder de céder aux réactions purement émotives de la population ou susceptibles d’être fondées sur une connaissance inappropriée des véritables circonstances de l’affaire.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Cependant, les tribunaux doivent aussi être sensibles aux perceptions de </w:t>
      </w:r>
      <w:r w:rsidRPr="00EB5449">
        <w:rPr>
          <w:rFonts w:cs="Times New Roman"/>
          <w:szCs w:val="24"/>
        </w:rPr>
        <w:lastRenderedPageBreak/>
        <w:t xml:space="preserve">la personne raisonnable et bien informée. Ce faisant, ils agissent à la fois comme vigiles à l’égard des mouvements de vindicte populaire et comme gardiens de la confiance du public envers notre système de justice. Il serait en conséquence dangereux, inapproprié et erroné pour un juge de fonder sa décision sur des reportages médiatiques qui ne seraient nullement représentatifs d’un public bien informé. La Cour d’appel du Québec a d’ailleurs reconnu ce danger dans sa récente décision dans l’affaire </w:t>
      </w:r>
      <w:r w:rsidRPr="00EB5449">
        <w:rPr>
          <w:rFonts w:cs="Times New Roman"/>
          <w:i/>
          <w:szCs w:val="24"/>
        </w:rPr>
        <w:t>R. c.</w:t>
      </w:r>
      <w:r w:rsidRPr="00EB5449">
        <w:rPr>
          <w:rFonts w:cs="Times New Roman"/>
          <w:szCs w:val="24"/>
        </w:rPr>
        <w:t xml:space="preserve"> </w:t>
      </w:r>
      <w:r w:rsidRPr="00EB5449">
        <w:rPr>
          <w:rFonts w:cs="Times New Roman"/>
          <w:i/>
          <w:iCs/>
          <w:szCs w:val="24"/>
        </w:rPr>
        <w:t>Turcotte</w:t>
      </w:r>
      <w:r w:rsidRPr="00EB5449">
        <w:rPr>
          <w:rFonts w:cs="Times New Roman"/>
          <w:iCs/>
          <w:szCs w:val="24"/>
        </w:rPr>
        <w:t>, 2014 QCCA 2190</w:t>
      </w:r>
      <w:r>
        <w:rPr>
          <w:rFonts w:cs="Times New Roman"/>
          <w:szCs w:val="24"/>
        </w:rPr>
        <w:t> :</w:t>
      </w:r>
    </w:p>
    <w:p w:rsidR="00CE3216" w:rsidRPr="00EB5449" w:rsidRDefault="00CE3216" w:rsidP="00CE3216">
      <w:pPr>
        <w:pStyle w:val="Citation-AltC"/>
        <w:widowControl w:val="0"/>
        <w:ind w:firstLine="274"/>
      </w:pPr>
      <w:r w:rsidRPr="00EB5449">
        <w:t>La lecture des coupures de presse montre à quel point il est dangereux de recourir à ce mode de preuve. On y retrouve des opinions diverses, plus ou moins nuancées, plus ou moins objectives, plus ou moins mesurées, plus ou moins superficielles. Plusieurs exposent des faits inexacts ou ne rapportent pas ceux qui sont essentiels. La plupart taisent les principes juridiques essentiels à la prise de décision en matière de mise en liberté. Certaines opinions attisent la colère et dénaturent le débat. Peu rapportent fidèlement les faits et rappellent correctement les principes applicables. Globalement, il faut convenir qu’elles ne satisfont pas au critère de la personne raisonnable définie par la jurisprudence. [par. 68 (CanLII)]</w:t>
      </w:r>
    </w:p>
    <w:p w:rsidR="00CE3216" w:rsidRPr="00EB5449" w:rsidRDefault="00CE3216" w:rsidP="00CE3216">
      <w:pPr>
        <w:pStyle w:val="ParaNoNdepar-AltN"/>
        <w:widowControl w:val="0"/>
        <w:rPr>
          <w:rFonts w:cs="Times New Roman"/>
        </w:rPr>
      </w:pPr>
      <w:r w:rsidRPr="00EB5449">
        <w:rPr>
          <w:rFonts w:cs="Times New Roman"/>
        </w:rPr>
        <w:t xml:space="preserve">Cela dit, je tiens à préciser que cela ne signifie pas pour autant que les tribunaux doivent automatiquement occulter la preuve qui émane des médias d’information. Il faut reconnaître que les médias participent à la vie en société et reflètent l’opinion de certains segments de la population canadienne. Dans l’arrêt </w:t>
      </w:r>
      <w:r w:rsidRPr="00EB5449">
        <w:rPr>
          <w:rFonts w:cs="Times New Roman"/>
          <w:i/>
          <w:iCs/>
          <w:spacing w:val="-3"/>
        </w:rPr>
        <w:t>Société Radio-Canada c. Nouveau</w:t>
      </w:r>
      <w:r>
        <w:rPr>
          <w:rFonts w:cs="Times New Roman"/>
          <w:i/>
          <w:iCs/>
          <w:spacing w:val="-3"/>
        </w:rPr>
        <w:t>-</w:t>
      </w:r>
      <w:r w:rsidRPr="00EB5449">
        <w:rPr>
          <w:rFonts w:cs="Times New Roman"/>
          <w:i/>
          <w:iCs/>
          <w:spacing w:val="-3"/>
        </w:rPr>
        <w:t>Brunswick (Procureur général)</w:t>
      </w:r>
      <w:r w:rsidRPr="00EB5449">
        <w:rPr>
          <w:rFonts w:cs="Times New Roman"/>
          <w:spacing w:val="-3"/>
        </w:rPr>
        <w:t>, [1991] 3 R.C.S. 459</w:t>
      </w:r>
      <w:r w:rsidRPr="00EB5449">
        <w:rPr>
          <w:rFonts w:cs="Times New Roman"/>
        </w:rPr>
        <w:t>, p. 475, notre Cour soulignait</w:t>
      </w:r>
      <w:r>
        <w:rPr>
          <w:rFonts w:cs="Times New Roman"/>
        </w:rPr>
        <w:t> :</w:t>
      </w:r>
      <w:r w:rsidRPr="00EB5449">
        <w:rPr>
          <w:rFonts w:cs="Times New Roman"/>
        </w:rPr>
        <w:t xml:space="preserve"> </w:t>
      </w:r>
      <w:r>
        <w:rPr>
          <w:rFonts w:cs="Times New Roman"/>
        </w:rPr>
        <w:t>« </w:t>
      </w:r>
      <w:r w:rsidRPr="00EB5449">
        <w:rPr>
          <w:rFonts w:cs="Times New Roman"/>
        </w:rPr>
        <w:t xml:space="preserve">Les médias ont un rôle primordial à jouer dans une société démocratique. Ce sont les médias qui, en réunissant et en diffusant les informations, permettent aux membres de notre société de se former une opinion </w:t>
      </w:r>
      <w:r w:rsidRPr="00EB5449">
        <w:rPr>
          <w:rFonts w:cs="Times New Roman"/>
        </w:rPr>
        <w:lastRenderedPageBreak/>
        <w:t>éclairée sur les questions susceptibles d’avoir un effet important sur leur vie et leur bien-être.</w:t>
      </w:r>
      <w:r>
        <w:rPr>
          <w:rFonts w:cs="Times New Roman"/>
        </w:rPr>
        <w:t> »</w:t>
      </w:r>
      <w:r w:rsidRPr="00EB5449">
        <w:rPr>
          <w:rFonts w:cs="Times New Roman"/>
        </w:rPr>
        <w:t xml:space="preserve"> Ainsi, lorsqu’elle est admissible et pertinente, cette preuve d’opinion peut être considérée par les tribunaux. Ce sera le cas lorsqu’elle correspondra à celle de la personne raisonnable, telle que je l’ai décrite.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Je souligne par ailleurs que, comme l’affaire </w:t>
      </w:r>
      <w:r w:rsidRPr="00EB5449">
        <w:rPr>
          <w:rFonts w:cs="Times New Roman"/>
          <w:i/>
          <w:iCs/>
          <w:szCs w:val="24"/>
        </w:rPr>
        <w:t>Turcotte</w:t>
      </w:r>
      <w:r w:rsidRPr="00EB5449">
        <w:rPr>
          <w:rFonts w:cs="Times New Roman"/>
          <w:szCs w:val="24"/>
        </w:rPr>
        <w:t xml:space="preserve"> n’a jamais été portée devant notre Cour, il ne conviendrait pas que je me prononce sur le bien-fondé de la conclusion de la Cour d’appel sur la mise en liberté dans cette affaire. Je me contenterai de signaler que la justesse de cette conclusion doit être appréciée à l’aune des principes que j’ai déjà énoncés</w:t>
      </w:r>
      <w:r w:rsidRPr="00EB5449">
        <w:rPr>
          <w:rFonts w:cs="Times New Roman"/>
          <w:spacing w:val="-3"/>
        </w:rPr>
        <w:t>.</w:t>
      </w:r>
      <w:r>
        <w:rPr>
          <w:rFonts w:cs="Times New Roman"/>
          <w:spacing w:val="-3"/>
        </w:rPr>
        <w:t xml:space="preserve"> </w:t>
      </w:r>
    </w:p>
    <w:p w:rsidR="00CE3216" w:rsidRPr="00EB5449" w:rsidRDefault="00CE3216" w:rsidP="00CE3216">
      <w:pPr>
        <w:pStyle w:val="ParaNoNdepar-AltN"/>
        <w:widowControl w:val="0"/>
        <w:rPr>
          <w:rFonts w:cs="Times New Roman"/>
          <w:szCs w:val="24"/>
          <w:lang w:val="fr-FR"/>
        </w:rPr>
      </w:pPr>
      <w:r w:rsidRPr="00EB5449">
        <w:rPr>
          <w:rFonts w:cs="Times New Roman"/>
          <w:szCs w:val="24"/>
        </w:rPr>
        <w:t xml:space="preserve">Somme toute, </w:t>
      </w:r>
      <w:r w:rsidRPr="00EB5449">
        <w:rPr>
          <w:rFonts w:cs="Times New Roman"/>
          <w:szCs w:val="24"/>
          <w:lang w:val="fr-FR"/>
        </w:rPr>
        <w:t xml:space="preserve">la confiance du public envers l’administration de la justice n’est pas tributaire d’une seule avenue. Cette confiance peut être minée tout autant lorsque le juge refuse d’ordonner la détention provisoire d’un accusé dans des circonstances qui le justifient, que lorsqu’il l’ordonne alors qu’elle est injustifiée. </w:t>
      </w:r>
    </w:p>
    <w:p w:rsidR="00CE3216" w:rsidRPr="00EB5449" w:rsidRDefault="00CE3216" w:rsidP="00CE3216">
      <w:pPr>
        <w:pStyle w:val="Title3LevelTitre3Niveau"/>
        <w:widowControl w:val="0"/>
        <w:rPr>
          <w:rFonts w:cs="Times New Roman"/>
          <w:szCs w:val="24"/>
        </w:rPr>
      </w:pPr>
      <w:r w:rsidRPr="00EB5449">
        <w:rPr>
          <w:rFonts w:cs="Times New Roman"/>
          <w:szCs w:val="24"/>
        </w:rPr>
        <w:t>Conclusion sur l’application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t>Je résumerais ainsi les principes essentiels qui doivent guider le juge dans l’application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Pr>
          <w:rFonts w:cs="Times New Roman"/>
          <w:szCs w:val="24"/>
        </w:rPr>
        <w:t> :</w:t>
      </w:r>
    </w:p>
    <w:p w:rsidR="00CE3216" w:rsidRPr="00EB5449" w:rsidRDefault="00CE3216" w:rsidP="0058650B">
      <w:pPr>
        <w:pStyle w:val="Citation-AltC"/>
        <w:widowControl w:val="0"/>
        <w:numPr>
          <w:ilvl w:val="0"/>
          <w:numId w:val="14"/>
        </w:numPr>
        <w:spacing w:after="480" w:line="480" w:lineRule="auto"/>
        <w:ind w:left="1166" w:hanging="1170"/>
        <w:contextualSpacing w:val="0"/>
        <w:rPr>
          <w:szCs w:val="24"/>
        </w:rPr>
      </w:pPr>
      <w:r w:rsidRPr="00EB5449">
        <w:rPr>
          <w:szCs w:val="24"/>
        </w:rPr>
        <w:t>L’alinéa 515(10)</w:t>
      </w:r>
      <w:r w:rsidRPr="00EB5449">
        <w:rPr>
          <w:i/>
          <w:iCs/>
          <w:szCs w:val="24"/>
        </w:rPr>
        <w:t>c</w:t>
      </w:r>
      <w:r w:rsidRPr="00EB5449">
        <w:rPr>
          <w:szCs w:val="24"/>
        </w:rPr>
        <w:t xml:space="preserve">) </w:t>
      </w:r>
      <w:r w:rsidR="004364EE">
        <w:rPr>
          <w:i/>
          <w:iCs/>
          <w:szCs w:val="24"/>
        </w:rPr>
        <w:t>C. cr.</w:t>
      </w:r>
      <w:r w:rsidRPr="00EB5449">
        <w:rPr>
          <w:szCs w:val="24"/>
        </w:rPr>
        <w:t xml:space="preserve"> ne prévoit pas un motif résiduel de détention, applicable seulement lorsque les deux premiers motifs de détention (al. </w:t>
      </w:r>
      <w:r w:rsidRPr="00EB5449">
        <w:rPr>
          <w:i/>
          <w:iCs/>
          <w:szCs w:val="24"/>
        </w:rPr>
        <w:t>a</w:t>
      </w:r>
      <w:r w:rsidRPr="00EB5449">
        <w:rPr>
          <w:szCs w:val="24"/>
        </w:rPr>
        <w:t xml:space="preserve">) et </w:t>
      </w:r>
      <w:r w:rsidRPr="00EB5449">
        <w:rPr>
          <w:i/>
          <w:iCs/>
          <w:szCs w:val="24"/>
        </w:rPr>
        <w:t>b</w:t>
      </w:r>
      <w:r w:rsidRPr="00EB5449">
        <w:rPr>
          <w:szCs w:val="24"/>
        </w:rPr>
        <w:t xml:space="preserve">)) ne sont pas satisfaits. Il s’agit d’un motif distinct permettant à lui </w:t>
      </w:r>
      <w:r w:rsidRPr="00EB5449">
        <w:rPr>
          <w:szCs w:val="24"/>
        </w:rPr>
        <w:lastRenderedPageBreak/>
        <w:t>seul d’ordonner la détention avant procès d’un accusé.</w:t>
      </w:r>
    </w:p>
    <w:p w:rsidR="00CE3216" w:rsidRPr="00EB5449" w:rsidRDefault="00CE3216" w:rsidP="00A036EA">
      <w:pPr>
        <w:pStyle w:val="Citation-AltC"/>
        <w:widowControl w:val="0"/>
        <w:numPr>
          <w:ilvl w:val="0"/>
          <w:numId w:val="14"/>
        </w:numPr>
        <w:spacing w:after="480" w:line="480" w:lineRule="auto"/>
        <w:ind w:left="1166" w:hanging="1170"/>
        <w:contextualSpacing w:val="0"/>
        <w:rPr>
          <w:szCs w:val="24"/>
        </w:rPr>
      </w:pPr>
      <w:r w:rsidRPr="00EB5449">
        <w:rPr>
          <w:szCs w:val="24"/>
        </w:rPr>
        <w:t>L’alinéa 515(10)</w:t>
      </w:r>
      <w:r w:rsidRPr="00EB5449">
        <w:rPr>
          <w:i/>
          <w:iCs/>
          <w:szCs w:val="24"/>
        </w:rPr>
        <w:t>c</w:t>
      </w:r>
      <w:r w:rsidRPr="00EB5449">
        <w:rPr>
          <w:szCs w:val="24"/>
        </w:rPr>
        <w:t xml:space="preserve">) </w:t>
      </w:r>
      <w:r w:rsidR="004364EE">
        <w:rPr>
          <w:i/>
          <w:iCs/>
          <w:szCs w:val="24"/>
        </w:rPr>
        <w:t>C. cr.</w:t>
      </w:r>
      <w:r w:rsidRPr="00EB5449">
        <w:rPr>
          <w:szCs w:val="24"/>
        </w:rPr>
        <w:t xml:space="preserve"> ne doit pas être interprété restrictivement (ou appliqué avec parcimonie), ni s’appliquer que dans de rares cas ou circonstances exceptionnelles, ou pour certains types de crime seulement.</w:t>
      </w:r>
    </w:p>
    <w:p w:rsidR="00CE3216" w:rsidRPr="00EB5449" w:rsidRDefault="00CE3216" w:rsidP="00A036EA">
      <w:pPr>
        <w:pStyle w:val="Citation-AltC"/>
        <w:widowControl w:val="0"/>
        <w:numPr>
          <w:ilvl w:val="0"/>
          <w:numId w:val="14"/>
        </w:numPr>
        <w:spacing w:after="480" w:line="480" w:lineRule="auto"/>
        <w:ind w:left="1166" w:hanging="1170"/>
        <w:contextualSpacing w:val="0"/>
        <w:rPr>
          <w:szCs w:val="24"/>
        </w:rPr>
      </w:pPr>
      <w:r w:rsidRPr="00EB5449">
        <w:rPr>
          <w:szCs w:val="24"/>
        </w:rPr>
        <w:t>Les quatre circonstances énumérées à l’al. 515(10)</w:t>
      </w:r>
      <w:r w:rsidRPr="00EB5449">
        <w:rPr>
          <w:i/>
          <w:iCs/>
          <w:szCs w:val="24"/>
        </w:rPr>
        <w:t>c</w:t>
      </w:r>
      <w:r w:rsidRPr="00EB5449">
        <w:rPr>
          <w:szCs w:val="24"/>
        </w:rPr>
        <w:t xml:space="preserve">) </w:t>
      </w:r>
      <w:r w:rsidR="004364EE">
        <w:rPr>
          <w:i/>
          <w:iCs/>
          <w:szCs w:val="24"/>
        </w:rPr>
        <w:t>C. cr.</w:t>
      </w:r>
      <w:r w:rsidRPr="00EB5449">
        <w:rPr>
          <w:szCs w:val="24"/>
        </w:rPr>
        <w:t xml:space="preserve"> ne sont pas exhaustives.</w:t>
      </w:r>
    </w:p>
    <w:p w:rsidR="00CE3216" w:rsidRPr="00EB5449" w:rsidRDefault="00CE3216" w:rsidP="00A036EA">
      <w:pPr>
        <w:pStyle w:val="Citation-AltC"/>
        <w:widowControl w:val="0"/>
        <w:numPr>
          <w:ilvl w:val="0"/>
          <w:numId w:val="14"/>
        </w:numPr>
        <w:spacing w:after="480" w:line="480" w:lineRule="auto"/>
        <w:ind w:left="1166" w:hanging="1170"/>
        <w:contextualSpacing w:val="0"/>
        <w:rPr>
          <w:szCs w:val="24"/>
        </w:rPr>
      </w:pPr>
      <w:r w:rsidRPr="00EB5449">
        <w:rPr>
          <w:szCs w:val="24"/>
        </w:rPr>
        <w:t xml:space="preserve">Le tribunal ne doit pas automatiquement ordonner la détention même si les quatre circonstances énumérées favorisent ce résultat. </w:t>
      </w:r>
    </w:p>
    <w:p w:rsidR="00CE3216" w:rsidRDefault="00CE3216" w:rsidP="00A036EA">
      <w:pPr>
        <w:pStyle w:val="Citation-AltC"/>
        <w:widowControl w:val="0"/>
        <w:numPr>
          <w:ilvl w:val="0"/>
          <w:numId w:val="14"/>
        </w:numPr>
        <w:spacing w:after="480" w:line="480" w:lineRule="auto"/>
        <w:ind w:left="1166" w:hanging="1170"/>
        <w:contextualSpacing w:val="0"/>
        <w:rPr>
          <w:szCs w:val="24"/>
        </w:rPr>
      </w:pPr>
      <w:r w:rsidRPr="00EB5449">
        <w:rPr>
          <w:szCs w:val="24"/>
        </w:rPr>
        <w:t>Le tribunal doit plutôt tenir compte de toutes les circonstances propres à chaque cas d’espèce, en prêtant une attention particulière aux quatre circonstances énumérées.</w:t>
      </w:r>
    </w:p>
    <w:p w:rsidR="00CE3216" w:rsidRPr="00EB5449" w:rsidRDefault="00CE3216" w:rsidP="00A036EA">
      <w:pPr>
        <w:pStyle w:val="Citation-AltC"/>
        <w:widowControl w:val="0"/>
        <w:numPr>
          <w:ilvl w:val="0"/>
          <w:numId w:val="14"/>
        </w:numPr>
        <w:spacing w:after="480" w:line="480" w:lineRule="auto"/>
        <w:ind w:left="1166" w:hanging="1170"/>
        <w:contextualSpacing w:val="0"/>
        <w:rPr>
          <w:szCs w:val="24"/>
        </w:rPr>
      </w:pPr>
      <w:r w:rsidRPr="00EB5449">
        <w:rPr>
          <w:szCs w:val="24"/>
        </w:rPr>
        <w:t xml:space="preserve">Le caractère </w:t>
      </w:r>
      <w:r>
        <w:rPr>
          <w:szCs w:val="24"/>
        </w:rPr>
        <w:t>« </w:t>
      </w:r>
      <w:r w:rsidRPr="00EB5449">
        <w:rPr>
          <w:szCs w:val="24"/>
        </w:rPr>
        <w:t>inexplicable</w:t>
      </w:r>
      <w:r>
        <w:rPr>
          <w:szCs w:val="24"/>
        </w:rPr>
        <w:t> »</w:t>
      </w:r>
      <w:r w:rsidRPr="00EB5449">
        <w:rPr>
          <w:szCs w:val="24"/>
        </w:rPr>
        <w:t xml:space="preserve"> ou </w:t>
      </w:r>
      <w:r>
        <w:rPr>
          <w:szCs w:val="24"/>
        </w:rPr>
        <w:t>« </w:t>
      </w:r>
      <w:r w:rsidRPr="00EB5449">
        <w:rPr>
          <w:szCs w:val="24"/>
        </w:rPr>
        <w:t>inexpliqué</w:t>
      </w:r>
      <w:r>
        <w:rPr>
          <w:szCs w:val="24"/>
        </w:rPr>
        <w:t> »</w:t>
      </w:r>
      <w:r w:rsidRPr="00EB5449">
        <w:rPr>
          <w:szCs w:val="24"/>
        </w:rPr>
        <w:t xml:space="preserve"> du crime n’est pas un critère devant guider l’analyse.</w:t>
      </w:r>
    </w:p>
    <w:p w:rsidR="00CE3216" w:rsidRPr="00EB5449" w:rsidRDefault="00CE3216" w:rsidP="00A036EA">
      <w:pPr>
        <w:pStyle w:val="Citation-AltC"/>
        <w:widowControl w:val="0"/>
        <w:numPr>
          <w:ilvl w:val="0"/>
          <w:numId w:val="14"/>
        </w:numPr>
        <w:spacing w:after="480" w:line="480" w:lineRule="auto"/>
        <w:ind w:left="1166" w:hanging="1170"/>
        <w:contextualSpacing w:val="0"/>
        <w:rPr>
          <w:szCs w:val="24"/>
        </w:rPr>
      </w:pPr>
      <w:r w:rsidRPr="00EB5449">
        <w:rPr>
          <w:szCs w:val="24"/>
          <w:lang w:val="fr-FR"/>
        </w:rPr>
        <w:t>Aucune circonstance n’est déterminante en soi. Le juge doit considérer l</w:t>
      </w:r>
      <w:r w:rsidRPr="00EB5449">
        <w:rPr>
          <w:szCs w:val="24"/>
        </w:rPr>
        <w:t>es effets combinés de toutes les circonstances de chaque affaire qui lui permettront de déterminer si la détention est justifiée.</w:t>
      </w:r>
    </w:p>
    <w:p w:rsidR="00CE3216" w:rsidRPr="00EB5449" w:rsidRDefault="00CE3216" w:rsidP="00A036EA">
      <w:pPr>
        <w:pStyle w:val="Citation-AltC"/>
        <w:widowControl w:val="0"/>
        <w:numPr>
          <w:ilvl w:val="0"/>
          <w:numId w:val="14"/>
        </w:numPr>
        <w:spacing w:after="480" w:line="480" w:lineRule="auto"/>
        <w:ind w:left="1166" w:hanging="1170"/>
        <w:contextualSpacing w:val="0"/>
        <w:rPr>
          <w:szCs w:val="24"/>
        </w:rPr>
      </w:pPr>
      <w:r w:rsidRPr="00EB5449">
        <w:rPr>
          <w:szCs w:val="24"/>
        </w:rPr>
        <w:t xml:space="preserve">Il s’agit d’un exercice de pondération de toutes les circonstances </w:t>
      </w:r>
      <w:r w:rsidRPr="00EB5449">
        <w:rPr>
          <w:szCs w:val="24"/>
        </w:rPr>
        <w:lastRenderedPageBreak/>
        <w:t>pertinentes, au terme duquel le tribunal doit ultimement se poser la question suivante</w:t>
      </w:r>
      <w:r>
        <w:rPr>
          <w:szCs w:val="24"/>
        </w:rPr>
        <w:t> :</w:t>
      </w:r>
      <w:r w:rsidRPr="00EB5449">
        <w:rPr>
          <w:szCs w:val="24"/>
        </w:rPr>
        <w:t xml:space="preserve"> la détention est-elle nécessaire pour ne pas miner la confiance du public envers l’administration de la justice? Tel est le test à satisfaire sous l’al. 515(10)</w:t>
      </w:r>
      <w:r w:rsidRPr="00EB5449">
        <w:rPr>
          <w:i/>
          <w:iCs/>
          <w:szCs w:val="24"/>
        </w:rPr>
        <w:t>c</w:t>
      </w:r>
      <w:r w:rsidRPr="00EB5449">
        <w:rPr>
          <w:szCs w:val="24"/>
        </w:rPr>
        <w:t>).</w:t>
      </w:r>
    </w:p>
    <w:p w:rsidR="00CE3216" w:rsidRPr="00EB5449" w:rsidRDefault="00CE3216" w:rsidP="00A036EA">
      <w:pPr>
        <w:pStyle w:val="Citation-AltC"/>
        <w:widowControl w:val="0"/>
        <w:numPr>
          <w:ilvl w:val="0"/>
          <w:numId w:val="14"/>
        </w:numPr>
        <w:spacing w:after="480" w:line="480" w:lineRule="auto"/>
        <w:ind w:left="1166" w:hanging="1170"/>
        <w:contextualSpacing w:val="0"/>
        <w:rPr>
          <w:szCs w:val="24"/>
        </w:rPr>
      </w:pPr>
      <w:r w:rsidRPr="00EB5449">
        <w:rPr>
          <w:szCs w:val="24"/>
        </w:rPr>
        <w:t xml:space="preserve">Pour répondre à cette question, le tribunal doit adopter le point de vue du </w:t>
      </w:r>
      <w:r>
        <w:rPr>
          <w:szCs w:val="24"/>
        </w:rPr>
        <w:t>« </w:t>
      </w:r>
      <w:r w:rsidRPr="00EB5449">
        <w:rPr>
          <w:szCs w:val="24"/>
        </w:rPr>
        <w:t>public</w:t>
      </w:r>
      <w:r>
        <w:rPr>
          <w:szCs w:val="24"/>
        </w:rPr>
        <w:t> »</w:t>
      </w:r>
      <w:r w:rsidRPr="00EB5449">
        <w:rPr>
          <w:szCs w:val="24"/>
        </w:rPr>
        <w:t xml:space="preserve">, c’est-à-dire celui d’une personne raisonnable, bien informée de la philosophie des dispositions législatives, des valeurs consacrées par la </w:t>
      </w:r>
      <w:r w:rsidRPr="00EB5449">
        <w:rPr>
          <w:i/>
          <w:szCs w:val="24"/>
        </w:rPr>
        <w:t>Charte</w:t>
      </w:r>
      <w:r w:rsidRPr="00EB5449">
        <w:rPr>
          <w:szCs w:val="24"/>
        </w:rPr>
        <w:t xml:space="preserve"> et des circonstances réelles de l’affaire. Cette personne n’est toutefois pas un juriste et n’est pas en mesure d’apprécier les subtilités des différentes défenses qui s’offrent à l’accusé.</w:t>
      </w:r>
    </w:p>
    <w:p w:rsidR="00CE3216" w:rsidRPr="00EB5449" w:rsidRDefault="00CE3216" w:rsidP="00A036EA">
      <w:pPr>
        <w:pStyle w:val="Citation-AltC"/>
        <w:widowControl w:val="0"/>
        <w:numPr>
          <w:ilvl w:val="0"/>
          <w:numId w:val="14"/>
        </w:numPr>
        <w:spacing w:after="480" w:line="480" w:lineRule="auto"/>
        <w:ind w:left="1166" w:hanging="1170"/>
        <w:contextualSpacing w:val="0"/>
        <w:rPr>
          <w:szCs w:val="24"/>
        </w:rPr>
      </w:pPr>
      <w:r w:rsidRPr="00EB5449">
        <w:rPr>
          <w:szCs w:val="24"/>
        </w:rPr>
        <w:t>La confiance de cette personne raisonnable envers l’administration de la justice peut être minée tout autant si le tribunal refuse d’ordonner une détention justifiée compte tenu des circonstances de l’espèce, que lorsqu’il l’ordonne alors qu’elle est injustifiée.</w:t>
      </w:r>
    </w:p>
    <w:p w:rsidR="00CE3216" w:rsidRPr="00EB5449" w:rsidRDefault="00CE3216" w:rsidP="00CE3216">
      <w:pPr>
        <w:pStyle w:val="ParaNoNdepar-AltN"/>
        <w:widowControl w:val="0"/>
        <w:rPr>
          <w:rFonts w:cs="Times New Roman"/>
          <w:szCs w:val="24"/>
        </w:rPr>
      </w:pPr>
      <w:r w:rsidRPr="00EB5449">
        <w:rPr>
          <w:rFonts w:cs="Times New Roman"/>
          <w:szCs w:val="24"/>
        </w:rPr>
        <w:t xml:space="preserve">En conclusion, en présence d’un crime grave ou très violent, lorsque la preuve contre l’accusé est accablante, et que la ou les victimes sont vulnérables, la détention préventive sera habituellement ordonnée. </w:t>
      </w:r>
    </w:p>
    <w:p w:rsidR="00CE3216" w:rsidRPr="00EB5449" w:rsidRDefault="00CE3216" w:rsidP="00CE3216">
      <w:pPr>
        <w:pStyle w:val="ParaNoNdepar-AltN"/>
        <w:widowControl w:val="0"/>
        <w:rPr>
          <w:rFonts w:cs="Times New Roman"/>
          <w:szCs w:val="24"/>
        </w:rPr>
      </w:pPr>
      <w:r w:rsidRPr="00EB5449">
        <w:rPr>
          <w:rFonts w:cs="Times New Roman"/>
          <w:szCs w:val="24"/>
        </w:rPr>
        <w:t>Maintenant que j’ai interprété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je vais examiner le pouvoir de révision dont dispose un juge d’une cour supérieure pour modifier l’ordonnance de mise en liberté ou de détention, qu’elle soit rendue en application de </w:t>
      </w:r>
      <w:r w:rsidRPr="00EB5449">
        <w:rPr>
          <w:rFonts w:cs="Times New Roman"/>
          <w:szCs w:val="24"/>
        </w:rPr>
        <w:lastRenderedPageBreak/>
        <w:t>l’al. 515(10)</w:t>
      </w:r>
      <w:r w:rsidRPr="00EB5449">
        <w:rPr>
          <w:rFonts w:cs="Times New Roman"/>
          <w:i/>
          <w:iCs/>
          <w:szCs w:val="24"/>
        </w:rPr>
        <w:t>a</w:t>
      </w:r>
      <w:r w:rsidRPr="00EB5449">
        <w:rPr>
          <w:rFonts w:cs="Times New Roman"/>
          <w:szCs w:val="24"/>
        </w:rPr>
        <w:t xml:space="preserve">), </w:t>
      </w:r>
      <w:r w:rsidRPr="00EB5449">
        <w:rPr>
          <w:rFonts w:cs="Times New Roman"/>
          <w:i/>
          <w:iCs/>
          <w:szCs w:val="24"/>
        </w:rPr>
        <w:t>b</w:t>
      </w:r>
      <w:r w:rsidRPr="00EB5449">
        <w:rPr>
          <w:rFonts w:cs="Times New Roman"/>
          <w:szCs w:val="24"/>
        </w:rPr>
        <w:t xml:space="preserve">) ou </w:t>
      </w:r>
      <w:r w:rsidRPr="00EB5449">
        <w:rPr>
          <w:rFonts w:cs="Times New Roman"/>
          <w:i/>
          <w:iCs/>
          <w:szCs w:val="24"/>
        </w:rPr>
        <w:t>c</w:t>
      </w:r>
      <w:r w:rsidRPr="00EB5449">
        <w:rPr>
          <w:rFonts w:cs="Times New Roman"/>
          <w:szCs w:val="24"/>
        </w:rPr>
        <w:t xml:space="preserve">) </w:t>
      </w:r>
      <w:r w:rsidR="004364EE">
        <w:rPr>
          <w:rFonts w:cs="Times New Roman"/>
          <w:i/>
          <w:iCs/>
          <w:szCs w:val="24"/>
        </w:rPr>
        <w:t>C. cr.</w:t>
      </w:r>
    </w:p>
    <w:p w:rsidR="00CE3216" w:rsidRPr="00EB5449" w:rsidRDefault="00CE3216" w:rsidP="00CE3216">
      <w:pPr>
        <w:pStyle w:val="Title2LevelTitre2Niveau"/>
        <w:widowControl w:val="0"/>
        <w:rPr>
          <w:rFonts w:cs="Times New Roman"/>
          <w:szCs w:val="24"/>
        </w:rPr>
      </w:pPr>
      <w:r w:rsidRPr="00EB5449">
        <w:rPr>
          <w:rFonts w:cs="Times New Roman"/>
          <w:szCs w:val="24"/>
        </w:rPr>
        <w:t xml:space="preserve">Les cas donnant ouverture à la révision prévue aux art. 520 et 521 </w:t>
      </w:r>
      <w:r w:rsidR="004364EE">
        <w:rPr>
          <w:rFonts w:cs="Times New Roman"/>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L’article 520 </w:t>
      </w:r>
      <w:r w:rsidR="004364EE">
        <w:rPr>
          <w:rFonts w:cs="Times New Roman"/>
          <w:i/>
          <w:iCs/>
          <w:szCs w:val="24"/>
        </w:rPr>
        <w:t>C. cr.</w:t>
      </w:r>
      <w:r w:rsidRPr="00EB5449">
        <w:rPr>
          <w:rFonts w:cs="Times New Roman"/>
          <w:szCs w:val="24"/>
        </w:rPr>
        <w:t xml:space="preserve"> accorde au </w:t>
      </w:r>
      <w:r w:rsidRPr="00EB5449">
        <w:rPr>
          <w:rFonts w:cs="Times New Roman"/>
          <w:i/>
          <w:iCs/>
          <w:szCs w:val="24"/>
        </w:rPr>
        <w:t>prévenu</w:t>
      </w:r>
      <w:r w:rsidRPr="00EB5449">
        <w:rPr>
          <w:rFonts w:cs="Times New Roman"/>
          <w:iCs/>
          <w:szCs w:val="24"/>
        </w:rPr>
        <w:t xml:space="preserve"> </w:t>
      </w:r>
      <w:r w:rsidRPr="00EB5449">
        <w:rPr>
          <w:rFonts w:cs="Times New Roman"/>
          <w:szCs w:val="24"/>
        </w:rPr>
        <w:t xml:space="preserve">le droit de demander à un juge de réviser une ordonnance de détention provisoire rendue contre lui par un juge de paix. De même, l’art. 521 </w:t>
      </w:r>
      <w:r w:rsidR="004364EE">
        <w:rPr>
          <w:rFonts w:cs="Times New Roman"/>
          <w:i/>
          <w:iCs/>
          <w:szCs w:val="24"/>
        </w:rPr>
        <w:t>C. cr.</w:t>
      </w:r>
      <w:r w:rsidRPr="00EB5449">
        <w:rPr>
          <w:rFonts w:cs="Times New Roman"/>
          <w:szCs w:val="24"/>
        </w:rPr>
        <w:t xml:space="preserve"> permet au </w:t>
      </w:r>
      <w:r w:rsidRPr="00EB5449">
        <w:rPr>
          <w:rFonts w:cs="Times New Roman"/>
          <w:i/>
          <w:iCs/>
          <w:szCs w:val="24"/>
        </w:rPr>
        <w:t>poursuivant</w:t>
      </w:r>
      <w:r w:rsidRPr="00EB5449">
        <w:rPr>
          <w:rFonts w:cs="Times New Roman"/>
          <w:szCs w:val="24"/>
        </w:rPr>
        <w:t xml:space="preserve"> de demander à un juge de réviser une ordonnance de mise en liberté rendue à l’égard d’un prévenu. Le libellé des art. 520 et 521 est similaire. Dans les deux cas, la demande peut être faite </w:t>
      </w:r>
      <w:r>
        <w:rPr>
          <w:rFonts w:cs="Times New Roman"/>
          <w:szCs w:val="24"/>
        </w:rPr>
        <w:t>« </w:t>
      </w:r>
      <w:r w:rsidRPr="00EB5449">
        <w:rPr>
          <w:rFonts w:cs="Times New Roman"/>
          <w:szCs w:val="24"/>
        </w:rPr>
        <w:t>en tout temps avant [le] procès</w:t>
      </w:r>
      <w:r>
        <w:rPr>
          <w:rFonts w:cs="Times New Roman"/>
          <w:szCs w:val="24"/>
        </w:rPr>
        <w:t> » :</w:t>
      </w:r>
      <w:r w:rsidRPr="00EB5449">
        <w:rPr>
          <w:rFonts w:cs="Times New Roman"/>
          <w:szCs w:val="24"/>
        </w:rPr>
        <w:t xml:space="preserve"> par. 520(1) et 521(1) </w:t>
      </w:r>
      <w:r w:rsidR="004364EE">
        <w:rPr>
          <w:rFonts w:cs="Times New Roman"/>
          <w:i/>
          <w:iCs/>
          <w:szCs w:val="24"/>
        </w:rPr>
        <w:t>C. cr.</w:t>
      </w:r>
      <w:r w:rsidRPr="00EB5449">
        <w:rPr>
          <w:rFonts w:cs="Times New Roman"/>
          <w:szCs w:val="24"/>
        </w:rPr>
        <w:t xml:space="preserve"> Notons que ces articles ne concernent que les révisions d’ordonnances rendues dans le cadre d’infractions autres que celles mentionnées à l’art. 469 </w:t>
      </w:r>
      <w:r w:rsidR="004364EE">
        <w:rPr>
          <w:rFonts w:cs="Times New Roman"/>
          <w:i/>
          <w:iCs/>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t xml:space="preserve">Il s’agit de la première occasion qu’a notre Cour de se pencher sur la portée des art. 520 et 521 </w:t>
      </w:r>
      <w:r w:rsidR="004364EE">
        <w:rPr>
          <w:rFonts w:cs="Times New Roman"/>
          <w:i/>
          <w:iCs/>
          <w:szCs w:val="24"/>
        </w:rPr>
        <w:t>C. cr.</w:t>
      </w:r>
      <w:r w:rsidRPr="00EB5449">
        <w:rPr>
          <w:rFonts w:cs="Times New Roman"/>
          <w:szCs w:val="24"/>
        </w:rPr>
        <w:t xml:space="preserve"> Les tribunaux inférieurs canadiens ne s’entendent pas tous sur la nature de ce processus de révision. Certains considèrent qu’il s’agit d’un appel et donc que seule une erreur de droit ou de principe donnerait ouverture à la</w:t>
      </w:r>
      <w:r>
        <w:rPr>
          <w:rFonts w:cs="Times New Roman"/>
          <w:szCs w:val="24"/>
        </w:rPr>
        <w:t xml:space="preserve"> « </w:t>
      </w:r>
      <w:r w:rsidRPr="00EB5449">
        <w:rPr>
          <w:rFonts w:cs="Times New Roman"/>
          <w:szCs w:val="24"/>
        </w:rPr>
        <w:t>révision</w:t>
      </w:r>
      <w:r>
        <w:rPr>
          <w:rFonts w:cs="Times New Roman"/>
          <w:szCs w:val="24"/>
        </w:rPr>
        <w:t> »</w:t>
      </w:r>
      <w:r w:rsidRPr="00EB5449">
        <w:rPr>
          <w:rFonts w:cs="Times New Roman"/>
          <w:szCs w:val="24"/>
        </w:rPr>
        <w:t xml:space="preserve">. D’autres sont plutôt d’avis qu’ils disposent de toute la discrétion voulue pour modifier l’ordonnance initiale, et ce, même en l’absence d’erreur. Cette approche est parfois qualifiée d’audience </w:t>
      </w:r>
      <w:r>
        <w:rPr>
          <w:rFonts w:cs="Times New Roman"/>
          <w:szCs w:val="24"/>
        </w:rPr>
        <w:t>« </w:t>
      </w:r>
      <w:r w:rsidRPr="00EB5449">
        <w:rPr>
          <w:rFonts w:cs="Times New Roman"/>
          <w:i/>
          <w:iCs/>
          <w:szCs w:val="24"/>
        </w:rPr>
        <w:t>de novo</w:t>
      </w:r>
      <w:r>
        <w:rPr>
          <w:rFonts w:cs="Times New Roman"/>
          <w:szCs w:val="24"/>
        </w:rPr>
        <w:t> »</w:t>
      </w:r>
      <w:r w:rsidRPr="00EB5449">
        <w:rPr>
          <w:rFonts w:cs="Times New Roman"/>
          <w:szCs w:val="24"/>
        </w:rPr>
        <w:t xml:space="preserve"> bien que, comme le souligne le juge Trotter, une véritable audience </w:t>
      </w:r>
      <w:r w:rsidRPr="00EB5449">
        <w:rPr>
          <w:rFonts w:cs="Times New Roman"/>
          <w:i/>
          <w:iCs/>
          <w:szCs w:val="24"/>
        </w:rPr>
        <w:t xml:space="preserve">de novo </w:t>
      </w:r>
      <w:r w:rsidRPr="00EB5449">
        <w:rPr>
          <w:rFonts w:cs="Times New Roman"/>
          <w:szCs w:val="24"/>
        </w:rPr>
        <w:t>se déroule comme s’il n’y avait pas eu de procédures antérieures</w:t>
      </w:r>
      <w:r>
        <w:rPr>
          <w:rFonts w:cs="Times New Roman"/>
          <w:szCs w:val="24"/>
        </w:rPr>
        <w:t> :</w:t>
      </w:r>
      <w:r w:rsidRPr="00EB5449">
        <w:rPr>
          <w:rFonts w:cs="Times New Roman"/>
          <w:szCs w:val="24"/>
        </w:rPr>
        <w:t xml:space="preserve"> p. 8-13. Enfin, d’autres tribunaux traitent le recours prévu aux art. 520 et 521 </w:t>
      </w:r>
      <w:r w:rsidR="004364EE">
        <w:rPr>
          <w:rFonts w:cs="Times New Roman"/>
          <w:i/>
          <w:szCs w:val="24"/>
        </w:rPr>
        <w:t>C. cr.</w:t>
      </w:r>
      <w:r w:rsidRPr="00EB5449">
        <w:rPr>
          <w:rFonts w:cs="Times New Roman"/>
          <w:szCs w:val="24"/>
        </w:rPr>
        <w:t xml:space="preserve"> comme un recours de nature hybride. Selon eux, il autorise l’accusé et le poursuivant à soumettre une preuve nouvelle pour démontrer un </w:t>
      </w:r>
      <w:r w:rsidRPr="00EB5449">
        <w:rPr>
          <w:rFonts w:cs="Times New Roman"/>
          <w:szCs w:val="24"/>
        </w:rPr>
        <w:lastRenderedPageBreak/>
        <w:t xml:space="preserve">changement de circonstances et à soulever une erreur de droit ou de principe du premier juge pour justifier la révision de l’ordonnance initiale.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Pour les raisons qui suivent, je suis d’avis que les art. 520 et 521 </w:t>
      </w:r>
      <w:r w:rsidR="004364EE">
        <w:rPr>
          <w:rFonts w:cs="Times New Roman"/>
          <w:i/>
          <w:iCs/>
          <w:szCs w:val="24"/>
        </w:rPr>
        <w:t>C. cr.</w:t>
      </w:r>
      <w:r w:rsidRPr="00EB5449">
        <w:rPr>
          <w:rFonts w:cs="Times New Roman"/>
          <w:szCs w:val="24"/>
        </w:rPr>
        <w:t xml:space="preserve"> ne confèrent pas au juge réviseur un pouvoir discrétionnaire illimité pour modifier la décision initiale relative à détention ou à la mise en liberté de l’accusé. Toutefois, ces dispositions établissent un recours de nature hybride et, partant, les possibilités de modification de l’ordonnance initiale par rapport à un appel, s’en trouvent accrues.  </w:t>
      </w:r>
    </w:p>
    <w:p w:rsidR="00CE3216" w:rsidRPr="00EB5449" w:rsidRDefault="00CE3216" w:rsidP="00CE3216">
      <w:pPr>
        <w:pStyle w:val="Title3LevelTitre3Niveau"/>
        <w:widowControl w:val="0"/>
        <w:rPr>
          <w:rFonts w:cs="Times New Roman"/>
          <w:szCs w:val="24"/>
        </w:rPr>
      </w:pPr>
      <w:r w:rsidRPr="00EB5449">
        <w:rPr>
          <w:rFonts w:cs="Times New Roman"/>
          <w:szCs w:val="24"/>
        </w:rPr>
        <w:t xml:space="preserve">Le langage des art. 520 et 521 </w:t>
      </w:r>
      <w:r w:rsidR="004364EE">
        <w:rPr>
          <w:rFonts w:cs="Times New Roman"/>
          <w:i/>
          <w:iCs/>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t>Les dispositions conférant le pouvoir de révision, les par. 520(1) et (7) et 521(1) et (8), sont rédigées</w:t>
      </w:r>
      <w:r>
        <w:rPr>
          <w:rFonts w:cs="Times New Roman"/>
          <w:szCs w:val="24"/>
        </w:rPr>
        <w:t xml:space="preserve"> </w:t>
      </w:r>
      <w:r w:rsidRPr="00EB5449">
        <w:rPr>
          <w:rFonts w:cs="Times New Roman"/>
          <w:szCs w:val="24"/>
        </w:rPr>
        <w:t>ainsi</w:t>
      </w:r>
      <w:r>
        <w:rPr>
          <w:rFonts w:cs="Times New Roman"/>
          <w:szCs w:val="24"/>
        </w:rPr>
        <w:t> :</w:t>
      </w:r>
      <w:r w:rsidRPr="00EB5449">
        <w:rPr>
          <w:rFonts w:cs="Times New Roman"/>
          <w:szCs w:val="24"/>
        </w:rPr>
        <w:t xml:space="preserve"> </w:t>
      </w:r>
    </w:p>
    <w:p w:rsidR="00CE3216" w:rsidRPr="00EB5449" w:rsidRDefault="00CE3216" w:rsidP="00CE3216">
      <w:pPr>
        <w:pStyle w:val="Citation-AltC"/>
        <w:widowControl w:val="0"/>
        <w:ind w:firstLine="274"/>
        <w:rPr>
          <w:szCs w:val="24"/>
          <w:lang w:val="fr-FR"/>
        </w:rPr>
      </w:pPr>
      <w:r w:rsidRPr="00EB5449">
        <w:rPr>
          <w:b/>
          <w:szCs w:val="24"/>
        </w:rPr>
        <w:t xml:space="preserve">520. </w:t>
      </w:r>
      <w:r w:rsidRPr="00EB5449">
        <w:rPr>
          <w:szCs w:val="24"/>
          <w:lang w:val="fr-FR"/>
        </w:rPr>
        <w:t xml:space="preserve">(1) Le prévenu peut, en tout temps avant son procès sur l’inculpation, demander à un juge de </w:t>
      </w:r>
      <w:r w:rsidRPr="00EB5449">
        <w:rPr>
          <w:szCs w:val="24"/>
          <w:u w:val="single"/>
          <w:lang w:val="fr-FR"/>
        </w:rPr>
        <w:t>réviser</w:t>
      </w:r>
      <w:r w:rsidRPr="00EB5449">
        <w:rPr>
          <w:szCs w:val="24"/>
          <w:lang w:val="fr-FR"/>
        </w:rPr>
        <w:t xml:space="preserve"> l’ordonnance rendue par un juge de paix ou un juge de la Cour de justice du Nunavut conformément aux paragraphes 515(2), (5), (6), (7), (8) ou (12), ou rendue ou annulée en vertu de l’alinéa 523(2)</w:t>
      </w:r>
      <w:r w:rsidRPr="00EB5449">
        <w:rPr>
          <w:rStyle w:val="Emphasis"/>
          <w:szCs w:val="24"/>
          <w:lang w:val="fr-FR"/>
        </w:rPr>
        <w:t>b</w:t>
      </w:r>
      <w:r w:rsidRPr="00EB5449">
        <w:rPr>
          <w:szCs w:val="24"/>
          <w:lang w:val="fr-FR"/>
        </w:rPr>
        <w:t>).</w:t>
      </w:r>
    </w:p>
    <w:p w:rsidR="00CE3216" w:rsidRPr="00EB5449" w:rsidRDefault="00CE3216" w:rsidP="00CE3216">
      <w:pPr>
        <w:pStyle w:val="Citation-AltC"/>
        <w:widowControl w:val="0"/>
        <w:rPr>
          <w:szCs w:val="24"/>
        </w:rPr>
      </w:pPr>
    </w:p>
    <w:p w:rsidR="00CE3216" w:rsidRPr="00EB5449" w:rsidRDefault="00CE3216" w:rsidP="00CE3216">
      <w:pPr>
        <w:pStyle w:val="Citation-AltC"/>
        <w:widowControl w:val="0"/>
        <w:jc w:val="center"/>
        <w:rPr>
          <w:szCs w:val="24"/>
        </w:rPr>
      </w:pPr>
      <w:r>
        <w:rPr>
          <w:szCs w:val="24"/>
        </w:rPr>
        <w:t>. . .</w:t>
      </w:r>
    </w:p>
    <w:p w:rsidR="00CE3216" w:rsidRPr="00EB5449" w:rsidRDefault="00CE3216" w:rsidP="00CE3216">
      <w:pPr>
        <w:pStyle w:val="Citation-AltC"/>
        <w:widowControl w:val="0"/>
        <w:jc w:val="center"/>
        <w:rPr>
          <w:szCs w:val="24"/>
        </w:rPr>
      </w:pPr>
    </w:p>
    <w:p w:rsidR="00CE3216" w:rsidRPr="00EB5449" w:rsidRDefault="00CE3216" w:rsidP="00CE3216">
      <w:pPr>
        <w:pStyle w:val="Citation-AltC"/>
        <w:widowControl w:val="0"/>
        <w:ind w:firstLine="274"/>
        <w:rPr>
          <w:szCs w:val="24"/>
        </w:rPr>
      </w:pPr>
      <w:r w:rsidRPr="00EB5449">
        <w:rPr>
          <w:szCs w:val="24"/>
        </w:rPr>
        <w:t xml:space="preserve">(7) </w:t>
      </w:r>
      <w:r>
        <w:rPr>
          <w:szCs w:val="24"/>
        </w:rPr>
        <w:t>. . .</w:t>
      </w:r>
    </w:p>
    <w:p w:rsidR="00CE3216" w:rsidRPr="00EB5449" w:rsidRDefault="00CE3216" w:rsidP="00CE3216">
      <w:pPr>
        <w:pStyle w:val="Citation-AltC"/>
        <w:widowControl w:val="0"/>
        <w:ind w:firstLine="274"/>
        <w:rPr>
          <w:szCs w:val="24"/>
        </w:rPr>
      </w:pPr>
    </w:p>
    <w:p w:rsidR="00CE3216" w:rsidRPr="00EB5449" w:rsidRDefault="00CE3216" w:rsidP="00CE3216">
      <w:pPr>
        <w:pStyle w:val="Citation-AltC"/>
        <w:widowControl w:val="0"/>
        <w:ind w:left="1170"/>
        <w:rPr>
          <w:szCs w:val="24"/>
        </w:rPr>
      </w:pPr>
      <w:r w:rsidRPr="00EB5449">
        <w:rPr>
          <w:szCs w:val="24"/>
        </w:rPr>
        <w:t>et [le juge] doit</w:t>
      </w:r>
      <w:r>
        <w:rPr>
          <w:szCs w:val="24"/>
        </w:rPr>
        <w:t> :</w:t>
      </w:r>
    </w:p>
    <w:p w:rsidR="00CE3216" w:rsidRPr="00EB5449" w:rsidRDefault="00CE3216" w:rsidP="00CE3216">
      <w:pPr>
        <w:pStyle w:val="Citation-AltC"/>
        <w:widowControl w:val="0"/>
        <w:rPr>
          <w:szCs w:val="24"/>
        </w:rPr>
      </w:pPr>
    </w:p>
    <w:p w:rsidR="00CE3216" w:rsidRPr="00EB5449" w:rsidRDefault="00CE3216" w:rsidP="00CE3216">
      <w:pPr>
        <w:pStyle w:val="Citation-AltC"/>
        <w:widowControl w:val="0"/>
        <w:ind w:firstLine="274"/>
        <w:rPr>
          <w:szCs w:val="24"/>
        </w:rPr>
      </w:pPr>
      <w:r w:rsidRPr="00EB5449">
        <w:rPr>
          <w:rStyle w:val="Emphasis"/>
          <w:szCs w:val="24"/>
        </w:rPr>
        <w:t>d</w:t>
      </w:r>
      <w:r w:rsidRPr="00EB5449">
        <w:rPr>
          <w:szCs w:val="24"/>
        </w:rPr>
        <w:t>)</w:t>
      </w:r>
      <w:r>
        <w:rPr>
          <w:szCs w:val="24"/>
        </w:rPr>
        <w:t xml:space="preserve"> </w:t>
      </w:r>
      <w:r w:rsidRPr="00EB5449">
        <w:rPr>
          <w:szCs w:val="24"/>
        </w:rPr>
        <w:t>soit rejeter la demande;</w:t>
      </w:r>
    </w:p>
    <w:p w:rsidR="00CE3216" w:rsidRPr="00EB5449" w:rsidRDefault="00CE3216" w:rsidP="00CE3216">
      <w:pPr>
        <w:pStyle w:val="Citation-AltC"/>
        <w:widowControl w:val="0"/>
        <w:rPr>
          <w:szCs w:val="24"/>
        </w:rPr>
      </w:pPr>
    </w:p>
    <w:p w:rsidR="00CE3216" w:rsidRPr="00EB5449" w:rsidRDefault="00CE3216" w:rsidP="00CE3216">
      <w:pPr>
        <w:pStyle w:val="Citation-AltC"/>
        <w:widowControl w:val="0"/>
        <w:ind w:left="1440"/>
        <w:rPr>
          <w:szCs w:val="24"/>
        </w:rPr>
      </w:pPr>
      <w:r w:rsidRPr="00EB5449">
        <w:rPr>
          <w:rStyle w:val="Emphasis"/>
          <w:szCs w:val="24"/>
        </w:rPr>
        <w:t>e</w:t>
      </w:r>
      <w:r w:rsidRPr="00EB5449">
        <w:rPr>
          <w:szCs w:val="24"/>
        </w:rPr>
        <w:t>)</w:t>
      </w:r>
      <w:r>
        <w:rPr>
          <w:szCs w:val="24"/>
        </w:rPr>
        <w:t xml:space="preserve"> </w:t>
      </w:r>
      <w:r w:rsidRPr="00EB5449">
        <w:rPr>
          <w:szCs w:val="24"/>
        </w:rPr>
        <w:t xml:space="preserve">soit, </w:t>
      </w:r>
      <w:r w:rsidRPr="00EB5449">
        <w:rPr>
          <w:szCs w:val="24"/>
          <w:u w:val="single"/>
        </w:rPr>
        <w:t>si le prévenu fait valoir des motifs justifiant</w:t>
      </w:r>
      <w:r w:rsidRPr="00EB5449">
        <w:rPr>
          <w:szCs w:val="24"/>
        </w:rPr>
        <w:t xml:space="preserve"> de le faire, accueillir la demande, annuler l’ordonnance antérieurement rendue par le juge de paix et </w:t>
      </w:r>
      <w:r w:rsidRPr="00EB5449">
        <w:rPr>
          <w:szCs w:val="24"/>
          <w:u w:val="single"/>
        </w:rPr>
        <w:t>rendre toute autre ordonnance</w:t>
      </w:r>
      <w:r w:rsidRPr="00EB5449">
        <w:rPr>
          <w:szCs w:val="24"/>
        </w:rPr>
        <w:t xml:space="preserve"> prévue à l’article 515, qu’il estime justifiée. </w:t>
      </w:r>
    </w:p>
    <w:p w:rsidR="00CE3216" w:rsidRPr="00EB5449" w:rsidRDefault="00CE3216" w:rsidP="00CE3216">
      <w:pPr>
        <w:pStyle w:val="Citation-AltC"/>
        <w:widowControl w:val="0"/>
        <w:ind w:left="1440"/>
        <w:rPr>
          <w:rStyle w:val="Emphasis"/>
          <w:i w:val="0"/>
          <w:iCs w:val="0"/>
          <w:szCs w:val="24"/>
        </w:rPr>
      </w:pPr>
    </w:p>
    <w:p w:rsidR="00CE3216" w:rsidRPr="00EB5449" w:rsidRDefault="00CE3216" w:rsidP="00CE3216">
      <w:pPr>
        <w:pStyle w:val="Citation-AltC"/>
        <w:widowControl w:val="0"/>
        <w:ind w:left="1440"/>
        <w:jc w:val="center"/>
        <w:rPr>
          <w:rStyle w:val="Emphasis"/>
          <w:i w:val="0"/>
          <w:iCs w:val="0"/>
          <w:szCs w:val="24"/>
        </w:rPr>
      </w:pPr>
      <w:r>
        <w:rPr>
          <w:rStyle w:val="Emphasis"/>
          <w:szCs w:val="24"/>
        </w:rPr>
        <w:lastRenderedPageBreak/>
        <w:t>. . .</w:t>
      </w:r>
    </w:p>
    <w:p w:rsidR="00CE3216" w:rsidRPr="00EB5449" w:rsidRDefault="00CE3216" w:rsidP="00CE3216">
      <w:pPr>
        <w:pStyle w:val="Citation-AltC"/>
        <w:widowControl w:val="0"/>
        <w:ind w:left="1440"/>
        <w:rPr>
          <w:rStyle w:val="Emphasis"/>
          <w:i w:val="0"/>
          <w:iCs w:val="0"/>
          <w:szCs w:val="24"/>
        </w:rPr>
      </w:pPr>
    </w:p>
    <w:p w:rsidR="00CE3216" w:rsidRPr="00EB5449" w:rsidRDefault="00CE3216" w:rsidP="00CE3216">
      <w:pPr>
        <w:pStyle w:val="Citation-AltC"/>
        <w:widowControl w:val="0"/>
        <w:ind w:left="1170" w:firstLine="270"/>
        <w:rPr>
          <w:rStyle w:val="Emphasis"/>
          <w:i w:val="0"/>
          <w:iCs w:val="0"/>
          <w:szCs w:val="24"/>
        </w:rPr>
      </w:pPr>
      <w:r w:rsidRPr="00A036EA">
        <w:rPr>
          <w:rStyle w:val="Emphasis"/>
          <w:b/>
          <w:i w:val="0"/>
          <w:szCs w:val="24"/>
        </w:rPr>
        <w:t>521.</w:t>
      </w:r>
      <w:r w:rsidRPr="00A036EA">
        <w:rPr>
          <w:rStyle w:val="Emphasis"/>
          <w:i w:val="0"/>
          <w:szCs w:val="24"/>
        </w:rPr>
        <w:t xml:space="preserve"> (1)</w:t>
      </w:r>
      <w:r w:rsidRPr="00EB5449">
        <w:rPr>
          <w:rStyle w:val="Emphasis"/>
          <w:szCs w:val="24"/>
        </w:rPr>
        <w:t xml:space="preserve"> </w:t>
      </w:r>
      <w:r w:rsidRPr="00EB5449">
        <w:rPr>
          <w:szCs w:val="24"/>
          <w:lang w:val="fr-FR"/>
        </w:rPr>
        <w:t>Le poursuivant peut, en tout temps avant le procès sur l’inculpation, demander à un juge de réviser l’ordonnance rendue par un juge de paix ou un juge de la Cour de justice du Nunavut conformément aux paragraphes 515(1), (2), (7), (8) ou (12), ou rendue ou annulée en vertu de l’alinéa 523(2)</w:t>
      </w:r>
      <w:r w:rsidRPr="00EB5449">
        <w:rPr>
          <w:i/>
          <w:szCs w:val="24"/>
          <w:lang w:val="fr-FR"/>
        </w:rPr>
        <w:t>b</w:t>
      </w:r>
      <w:r w:rsidRPr="00EB5449">
        <w:rPr>
          <w:szCs w:val="24"/>
          <w:lang w:val="fr-FR"/>
        </w:rPr>
        <w:t>).</w:t>
      </w:r>
    </w:p>
    <w:p w:rsidR="00CE3216" w:rsidRPr="00EB5449" w:rsidRDefault="00CE3216" w:rsidP="00CE3216">
      <w:pPr>
        <w:pStyle w:val="Citation-AltC"/>
        <w:widowControl w:val="0"/>
        <w:ind w:left="1440"/>
        <w:rPr>
          <w:szCs w:val="24"/>
        </w:rPr>
      </w:pPr>
    </w:p>
    <w:p w:rsidR="00CE3216" w:rsidRPr="00EB5449" w:rsidRDefault="00CE3216" w:rsidP="00CE3216">
      <w:pPr>
        <w:pStyle w:val="Citation-AltC"/>
        <w:widowControl w:val="0"/>
        <w:ind w:left="1440"/>
        <w:jc w:val="center"/>
        <w:rPr>
          <w:szCs w:val="24"/>
        </w:rPr>
      </w:pPr>
      <w:r>
        <w:rPr>
          <w:szCs w:val="24"/>
        </w:rPr>
        <w:t>. . .</w:t>
      </w:r>
    </w:p>
    <w:p w:rsidR="00CE3216" w:rsidRPr="00EB5449" w:rsidRDefault="00CE3216" w:rsidP="00CE3216">
      <w:pPr>
        <w:pStyle w:val="Citation-AltC"/>
        <w:widowControl w:val="0"/>
        <w:ind w:left="0"/>
        <w:rPr>
          <w:szCs w:val="24"/>
        </w:rPr>
      </w:pPr>
    </w:p>
    <w:p w:rsidR="00CE3216" w:rsidRPr="00EB5449" w:rsidRDefault="00CE3216" w:rsidP="00CE3216">
      <w:pPr>
        <w:pStyle w:val="Citation-AltC"/>
        <w:widowControl w:val="0"/>
        <w:ind w:left="0"/>
        <w:rPr>
          <w:szCs w:val="24"/>
        </w:rPr>
      </w:pPr>
      <w:r w:rsidRPr="00EB5449">
        <w:rPr>
          <w:szCs w:val="24"/>
        </w:rPr>
        <w:tab/>
      </w:r>
      <w:r w:rsidRPr="00EB5449">
        <w:rPr>
          <w:szCs w:val="24"/>
        </w:rPr>
        <w:tab/>
        <w:t xml:space="preserve">(8) </w:t>
      </w:r>
      <w:r>
        <w:rPr>
          <w:szCs w:val="24"/>
        </w:rPr>
        <w:t>. . .</w:t>
      </w:r>
    </w:p>
    <w:p w:rsidR="00CE3216" w:rsidRPr="00EB5449" w:rsidRDefault="00CE3216" w:rsidP="007D5562">
      <w:pPr>
        <w:pStyle w:val="Citation-AltC"/>
        <w:widowControl w:val="0"/>
        <w:spacing w:after="240"/>
        <w:ind w:left="0"/>
        <w:contextualSpacing w:val="0"/>
        <w:rPr>
          <w:szCs w:val="24"/>
        </w:rPr>
      </w:pPr>
    </w:p>
    <w:p w:rsidR="00CE3216" w:rsidRPr="00EB5449" w:rsidRDefault="00CE3216" w:rsidP="00CE3216">
      <w:pPr>
        <w:widowControl w:val="0"/>
        <w:tabs>
          <w:tab w:val="left" w:pos="1620"/>
        </w:tabs>
        <w:ind w:left="1170"/>
        <w:jc w:val="both"/>
        <w:rPr>
          <w:szCs w:val="24"/>
          <w:lang w:val="fr-FR"/>
        </w:rPr>
      </w:pPr>
      <w:r w:rsidRPr="00EB5449">
        <w:rPr>
          <w:szCs w:val="24"/>
          <w:lang w:val="fr-FR"/>
        </w:rPr>
        <w:t>et [le juge] doit</w:t>
      </w:r>
      <w:r>
        <w:rPr>
          <w:szCs w:val="24"/>
          <w:lang w:val="fr-FR"/>
        </w:rPr>
        <w:t> :</w:t>
      </w:r>
    </w:p>
    <w:p w:rsidR="00CE3216" w:rsidRPr="00EB5449" w:rsidRDefault="00CE3216" w:rsidP="00CE3216">
      <w:pPr>
        <w:widowControl w:val="0"/>
        <w:tabs>
          <w:tab w:val="left" w:pos="1620"/>
        </w:tabs>
        <w:ind w:left="1170"/>
        <w:jc w:val="both"/>
        <w:rPr>
          <w:szCs w:val="24"/>
          <w:lang w:val="fr-FR"/>
        </w:rPr>
      </w:pPr>
    </w:p>
    <w:p w:rsidR="00CE3216" w:rsidRPr="00EB5449" w:rsidRDefault="00CE3216" w:rsidP="00CE3216">
      <w:pPr>
        <w:widowControl w:val="0"/>
        <w:ind w:left="1620"/>
        <w:jc w:val="both"/>
        <w:rPr>
          <w:szCs w:val="24"/>
          <w:lang w:val="fr-FR"/>
        </w:rPr>
      </w:pPr>
      <w:r w:rsidRPr="00EB5449">
        <w:rPr>
          <w:i/>
          <w:szCs w:val="24"/>
          <w:lang w:val="fr-FR"/>
        </w:rPr>
        <w:t>d</w:t>
      </w:r>
      <w:r w:rsidRPr="00EB5449">
        <w:rPr>
          <w:szCs w:val="24"/>
          <w:lang w:val="fr-FR"/>
        </w:rPr>
        <w:t>) soit rejeter la demande;</w:t>
      </w:r>
    </w:p>
    <w:p w:rsidR="00CE3216" w:rsidRPr="00EB5449" w:rsidRDefault="00CE3216" w:rsidP="00CE3216">
      <w:pPr>
        <w:widowControl w:val="0"/>
        <w:tabs>
          <w:tab w:val="left" w:pos="1620"/>
        </w:tabs>
        <w:ind w:left="1170"/>
        <w:jc w:val="both"/>
        <w:rPr>
          <w:szCs w:val="24"/>
          <w:lang w:val="fr-FR"/>
        </w:rPr>
      </w:pPr>
    </w:p>
    <w:p w:rsidR="00CE3216" w:rsidRPr="00EB5449" w:rsidRDefault="00CE3216" w:rsidP="00CE3216">
      <w:pPr>
        <w:widowControl w:val="0"/>
        <w:ind w:left="1620"/>
        <w:jc w:val="both"/>
        <w:rPr>
          <w:szCs w:val="24"/>
          <w:lang w:val="fr-FR"/>
        </w:rPr>
      </w:pPr>
      <w:r w:rsidRPr="00EB5449">
        <w:rPr>
          <w:i/>
          <w:szCs w:val="24"/>
          <w:lang w:val="fr-FR"/>
        </w:rPr>
        <w:t>e</w:t>
      </w:r>
      <w:r w:rsidRPr="00EB5449">
        <w:rPr>
          <w:szCs w:val="24"/>
          <w:lang w:val="fr-FR"/>
        </w:rPr>
        <w:t>) soit, si le poursuivant fait valoir des motifs justifiant de le faire, accueillir la demande, annuler l’ordonnance antérieurement rendue par le juge de paix et rendre toute autre ordonnance prévue à l’article 515, qu’il estime justifiée.</w:t>
      </w:r>
    </w:p>
    <w:p w:rsidR="00CE3216" w:rsidRPr="00EB5449" w:rsidRDefault="00CE3216" w:rsidP="00CE3216">
      <w:pPr>
        <w:widowControl w:val="0"/>
        <w:ind w:left="1620"/>
        <w:jc w:val="both"/>
        <w:rPr>
          <w:szCs w:val="24"/>
          <w:lang w:val="fr-FR"/>
        </w:rPr>
      </w:pPr>
    </w:p>
    <w:p w:rsidR="00CE3216" w:rsidRPr="00EB5449" w:rsidRDefault="00CE3216" w:rsidP="00CE3216">
      <w:pPr>
        <w:widowControl w:val="0"/>
        <w:tabs>
          <w:tab w:val="left" w:pos="1440"/>
        </w:tabs>
        <w:ind w:left="1620"/>
        <w:jc w:val="center"/>
        <w:rPr>
          <w:szCs w:val="24"/>
          <w:lang w:val="fr-FR"/>
        </w:rPr>
      </w:pPr>
      <w:r>
        <w:rPr>
          <w:szCs w:val="24"/>
          <w:lang w:val="fr-FR"/>
        </w:rPr>
        <w:t>. . .</w:t>
      </w:r>
    </w:p>
    <w:p w:rsidR="00CE3216" w:rsidRPr="00EB5449" w:rsidRDefault="00CE3216" w:rsidP="00CE3216">
      <w:pPr>
        <w:pStyle w:val="Citation-AltC"/>
        <w:widowControl w:val="0"/>
        <w:ind w:left="0"/>
        <w:rPr>
          <w:szCs w:val="24"/>
          <w:lang w:val="fr-FR"/>
        </w:rPr>
      </w:pPr>
    </w:p>
    <w:p w:rsidR="00CE3216" w:rsidRPr="00EB5449" w:rsidRDefault="00CE3216" w:rsidP="00CE3216">
      <w:pPr>
        <w:pStyle w:val="ParaNoNdepar-AltN"/>
        <w:widowControl w:val="0"/>
        <w:rPr>
          <w:rFonts w:cs="Times New Roman"/>
          <w:szCs w:val="24"/>
          <w:lang w:val="fr-FR"/>
        </w:rPr>
      </w:pPr>
      <w:r w:rsidRPr="00EB5449">
        <w:rPr>
          <w:rFonts w:cs="Times New Roman"/>
          <w:szCs w:val="24"/>
        </w:rPr>
        <w:t xml:space="preserve">Il convient de souligner que les art. 520 et 521 n’envisagent pas d’audience </w:t>
      </w:r>
      <w:r w:rsidRPr="00EB5449">
        <w:rPr>
          <w:rFonts w:cs="Times New Roman"/>
          <w:i/>
          <w:iCs/>
          <w:szCs w:val="24"/>
        </w:rPr>
        <w:t>de novo</w:t>
      </w:r>
      <w:r w:rsidRPr="00EB5449">
        <w:rPr>
          <w:rFonts w:cs="Times New Roman"/>
          <w:szCs w:val="24"/>
        </w:rPr>
        <w:t xml:space="preserve">, alors que le législateur a expressément prévu une telle audience dans la </w:t>
      </w:r>
      <w:r w:rsidRPr="00EB5449">
        <w:rPr>
          <w:rFonts w:cs="Times New Roman"/>
          <w:i/>
          <w:iCs/>
          <w:kern w:val="36"/>
          <w:szCs w:val="24"/>
          <w:lang w:val="fr-FR"/>
        </w:rPr>
        <w:t>Loi sur le système de justice pénale pour les adolescents</w:t>
      </w:r>
      <w:r w:rsidRPr="00EB5449">
        <w:rPr>
          <w:rFonts w:cs="Times New Roman"/>
          <w:kern w:val="36"/>
          <w:szCs w:val="24"/>
          <w:lang w:val="fr-FR"/>
        </w:rPr>
        <w:t>, L.C. 2002, c. 1, p</w:t>
      </w:r>
      <w:r w:rsidRPr="00EB5449">
        <w:rPr>
          <w:rFonts w:cs="Times New Roman"/>
          <w:szCs w:val="24"/>
        </w:rPr>
        <w:t>ar. 33(1)</w:t>
      </w:r>
      <w:r w:rsidR="0058650B">
        <w:rPr>
          <w:rFonts w:cs="Times New Roman"/>
          <w:szCs w:val="24"/>
        </w:rPr>
        <w:t>,</w:t>
      </w:r>
      <w:r w:rsidRPr="00EB5449">
        <w:rPr>
          <w:rFonts w:cs="Times New Roman"/>
          <w:szCs w:val="24"/>
        </w:rPr>
        <w:t xml:space="preserve"> lorsqu’une demande de mise en liberté est présentée à un tribunal pour adolescent, si celui-ci n’a pas rendu la décision sur la demande initiale. Si le législateur avait voulu que le juge réviseur tienne une véritable audience </w:t>
      </w:r>
      <w:r w:rsidRPr="00EB5449">
        <w:rPr>
          <w:rFonts w:cs="Times New Roman"/>
          <w:i/>
          <w:iCs/>
          <w:szCs w:val="24"/>
        </w:rPr>
        <w:t>de novo</w:t>
      </w:r>
      <w:r w:rsidRPr="00EB5449">
        <w:rPr>
          <w:rFonts w:cs="Times New Roman"/>
          <w:szCs w:val="24"/>
        </w:rPr>
        <w:t xml:space="preserve">, il l’aurait précisé dans le texte de la loi. De plus, les par. 520(7) et 521(8) prévoient que la révision s’effectue sur la base de la transcription et des pièces des procédures initiales, bien qu’une certaine nouvelle preuve soit admissible. Je reviendrai plus tard sur ce point. Pour l’instant, il suffit de mentionner que ces facteurs confirment ma </w:t>
      </w:r>
      <w:r w:rsidRPr="00EB5449">
        <w:rPr>
          <w:rFonts w:cs="Times New Roman"/>
          <w:szCs w:val="24"/>
        </w:rPr>
        <w:lastRenderedPageBreak/>
        <w:t xml:space="preserve">conclusion selon laquelle les art. 520 et 521 </w:t>
      </w:r>
      <w:r w:rsidR="004364EE">
        <w:rPr>
          <w:rFonts w:cs="Times New Roman"/>
          <w:i/>
          <w:iCs/>
          <w:szCs w:val="24"/>
        </w:rPr>
        <w:t>C. cr.</w:t>
      </w:r>
      <w:r w:rsidRPr="00EB5449">
        <w:rPr>
          <w:rFonts w:cs="Times New Roman"/>
          <w:szCs w:val="24"/>
        </w:rPr>
        <w:t xml:space="preserve"> n’établissent pas une procédure </w:t>
      </w:r>
      <w:r w:rsidRPr="00EB5449">
        <w:rPr>
          <w:rFonts w:cs="Times New Roman"/>
          <w:i/>
          <w:iCs/>
          <w:szCs w:val="24"/>
        </w:rPr>
        <w:t>de novo</w:t>
      </w:r>
      <w:r w:rsidRPr="00EB5449">
        <w:rPr>
          <w:rFonts w:cs="Times New Roman"/>
          <w:szCs w:val="24"/>
        </w:rPr>
        <w:t>.</w:t>
      </w:r>
    </w:p>
    <w:p w:rsidR="00CE3216" w:rsidRPr="00EB5449" w:rsidRDefault="00CE3216" w:rsidP="00CE3216">
      <w:pPr>
        <w:pStyle w:val="ParaNoNdepar-AltN"/>
        <w:widowControl w:val="0"/>
        <w:rPr>
          <w:rFonts w:cs="Times New Roman"/>
          <w:szCs w:val="24"/>
        </w:rPr>
      </w:pPr>
      <w:r w:rsidRPr="00EB5449">
        <w:rPr>
          <w:rFonts w:cs="Times New Roman"/>
          <w:szCs w:val="24"/>
        </w:rPr>
        <w:t xml:space="preserve">Par ailleurs, même si le pouvoir de révision peut sembler large à première vue, le texte des art. 520 et 521 </w:t>
      </w:r>
      <w:r w:rsidR="004364EE">
        <w:rPr>
          <w:rFonts w:cs="Times New Roman"/>
          <w:i/>
          <w:iCs/>
          <w:szCs w:val="24"/>
        </w:rPr>
        <w:t>C. cr.</w:t>
      </w:r>
      <w:r w:rsidRPr="00EB5449">
        <w:rPr>
          <w:rFonts w:cs="Times New Roman"/>
          <w:szCs w:val="24"/>
        </w:rPr>
        <w:t xml:space="preserve"> limite son application en faveur du prévenu ou du poursuivant, selon le cas, aux seuls cas où ceux-ci font la démonstration de motifs justificatifs. Rappelons que, dans l’ancienne </w:t>
      </w:r>
      <w:r w:rsidRPr="00EB5449">
        <w:rPr>
          <w:rFonts w:cs="Times New Roman"/>
          <w:i/>
          <w:iCs/>
          <w:szCs w:val="24"/>
        </w:rPr>
        <w:t>Loi sur les jeunes contrevenants</w:t>
      </w:r>
      <w:r w:rsidRPr="00EB5449">
        <w:rPr>
          <w:rFonts w:cs="Times New Roman"/>
          <w:iCs/>
          <w:szCs w:val="24"/>
        </w:rPr>
        <w:t>,</w:t>
      </w:r>
      <w:r w:rsidRPr="00EB5449">
        <w:rPr>
          <w:rFonts w:cs="Times New Roman"/>
          <w:szCs w:val="24"/>
        </w:rPr>
        <w:t xml:space="preserve"> L.R.C. 1985, c. Y-1, le législateur avait expressément mentionné le pouvoir </w:t>
      </w:r>
      <w:r>
        <w:rPr>
          <w:rFonts w:cs="Times New Roman"/>
          <w:szCs w:val="24"/>
        </w:rPr>
        <w:t>« </w:t>
      </w:r>
      <w:r w:rsidRPr="00EB5449">
        <w:rPr>
          <w:rFonts w:cs="Times New Roman"/>
          <w:szCs w:val="24"/>
        </w:rPr>
        <w:t>discrétionnaire</w:t>
      </w:r>
      <w:r>
        <w:rPr>
          <w:rFonts w:cs="Times New Roman"/>
          <w:szCs w:val="24"/>
        </w:rPr>
        <w:t> »</w:t>
      </w:r>
      <w:r w:rsidRPr="00EB5449">
        <w:rPr>
          <w:rFonts w:cs="Times New Roman"/>
          <w:i/>
          <w:iCs/>
          <w:szCs w:val="24"/>
        </w:rPr>
        <w:t xml:space="preserve"> </w:t>
      </w:r>
      <w:r w:rsidRPr="00EB5449">
        <w:rPr>
          <w:rFonts w:cs="Times New Roman"/>
          <w:szCs w:val="24"/>
        </w:rPr>
        <w:t>du tribunal réviseur en matière de renvoi d’un accusé adolescent vers le tribunal compétent</w:t>
      </w:r>
      <w:r>
        <w:rPr>
          <w:rFonts w:cs="Times New Roman"/>
          <w:szCs w:val="24"/>
        </w:rPr>
        <w:t> :</w:t>
      </w:r>
      <w:r w:rsidRPr="00EB5449">
        <w:rPr>
          <w:rFonts w:cs="Times New Roman"/>
          <w:szCs w:val="24"/>
        </w:rPr>
        <w:t xml:space="preserve"> par. 16(9) et (10). Notre Cour a considéré que ce libellé conférait un grand pouvoir de révision, qui autorisait le tribunal à </w:t>
      </w:r>
      <w:r w:rsidRPr="00EB5449">
        <w:rPr>
          <w:rFonts w:cs="Times New Roman"/>
          <w:spacing w:val="-3"/>
          <w:szCs w:val="24"/>
        </w:rPr>
        <w:t>procéder à une évaluation indépendante et à tirer une conclusion distincte à partir des mêmes faits</w:t>
      </w:r>
      <w:r>
        <w:rPr>
          <w:rFonts w:cs="Times New Roman"/>
          <w:spacing w:val="-3"/>
          <w:szCs w:val="24"/>
        </w:rPr>
        <w:t> :</w:t>
      </w:r>
      <w:r w:rsidRPr="00EB5449">
        <w:rPr>
          <w:rFonts w:cs="Times New Roman"/>
          <w:szCs w:val="24"/>
        </w:rPr>
        <w:t xml:space="preserve"> </w:t>
      </w:r>
      <w:r w:rsidRPr="00EB5449">
        <w:rPr>
          <w:rFonts w:cs="Times New Roman"/>
          <w:i/>
          <w:iCs/>
          <w:spacing w:val="-3"/>
          <w:szCs w:val="24"/>
        </w:rPr>
        <w:t>R. c. M. (S.H.)</w:t>
      </w:r>
      <w:r w:rsidRPr="00EB5449">
        <w:rPr>
          <w:rFonts w:cs="Times New Roman"/>
          <w:iCs/>
          <w:spacing w:val="-3"/>
          <w:szCs w:val="24"/>
        </w:rPr>
        <w:t>,</w:t>
      </w:r>
      <w:r w:rsidRPr="00EB5449">
        <w:rPr>
          <w:rFonts w:cs="Times New Roman"/>
          <w:spacing w:val="-3"/>
          <w:szCs w:val="24"/>
        </w:rPr>
        <w:t xml:space="preserve"> [1989] 2 R.C.S. 446. Le législateur n’a pas fait ce même choix lors de la rédaction des art. 520 et 521 </w:t>
      </w:r>
      <w:r w:rsidR="004364EE">
        <w:rPr>
          <w:rFonts w:cs="Times New Roman"/>
          <w:i/>
          <w:iCs/>
          <w:spacing w:val="-3"/>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Le texte des art. 520 et 521 </w:t>
      </w:r>
      <w:r w:rsidR="004364EE">
        <w:rPr>
          <w:rFonts w:cs="Times New Roman"/>
          <w:i/>
          <w:iCs/>
          <w:szCs w:val="24"/>
        </w:rPr>
        <w:t>C. cr.</w:t>
      </w:r>
      <w:r w:rsidRPr="00EB5449">
        <w:rPr>
          <w:rFonts w:cs="Times New Roman"/>
          <w:szCs w:val="24"/>
        </w:rPr>
        <w:t xml:space="preserve"> semble donc exclure une interprétation reconnaissant un pouvoir discrétionnaire illimité au juge réviseur. Il reste à voir si cette constatation peut être confirmée au terme d’une comparaison avec d’autres dispositions similaires et compte tenu de la nature de la décision initiale sur la mise en liberté.</w:t>
      </w:r>
    </w:p>
    <w:p w:rsidR="00CE3216" w:rsidRPr="00EB5449" w:rsidRDefault="00CE3216" w:rsidP="00CE3216">
      <w:pPr>
        <w:pStyle w:val="Title3LevelTitre3Niveau"/>
        <w:widowControl w:val="0"/>
        <w:jc w:val="both"/>
        <w:rPr>
          <w:rFonts w:cs="Times New Roman"/>
          <w:szCs w:val="24"/>
        </w:rPr>
      </w:pPr>
      <w:r w:rsidRPr="00EB5449">
        <w:rPr>
          <w:rFonts w:cs="Times New Roman"/>
          <w:szCs w:val="24"/>
        </w:rPr>
        <w:t xml:space="preserve">La différence entre le libellé des art. 520 et 521 </w:t>
      </w:r>
      <w:r w:rsidR="004364EE">
        <w:rPr>
          <w:rFonts w:cs="Times New Roman"/>
          <w:i/>
          <w:iCs/>
          <w:szCs w:val="24"/>
        </w:rPr>
        <w:t>C. cr.</w:t>
      </w:r>
      <w:r w:rsidRPr="00EB5449">
        <w:rPr>
          <w:rFonts w:cs="Times New Roman"/>
          <w:szCs w:val="24"/>
        </w:rPr>
        <w:t xml:space="preserve"> et celui d’autres dispositions en matière de révision</w:t>
      </w:r>
    </w:p>
    <w:p w:rsidR="00CE3216" w:rsidRPr="00EB5449" w:rsidRDefault="00CE3216" w:rsidP="00CE3216">
      <w:pPr>
        <w:pStyle w:val="ParaNoNdepar-AltN"/>
        <w:widowControl w:val="0"/>
        <w:rPr>
          <w:rFonts w:cs="Times New Roman"/>
          <w:szCs w:val="24"/>
        </w:rPr>
      </w:pPr>
      <w:r w:rsidRPr="00EB5449">
        <w:rPr>
          <w:rFonts w:cs="Times New Roman"/>
          <w:szCs w:val="24"/>
        </w:rPr>
        <w:lastRenderedPageBreak/>
        <w:t>L’appelante soutient que la différence entre le libellé des al. 520(7)</w:t>
      </w:r>
      <w:r w:rsidRPr="00EB5449">
        <w:rPr>
          <w:rFonts w:cs="Times New Roman"/>
          <w:i/>
          <w:iCs/>
          <w:szCs w:val="24"/>
        </w:rPr>
        <w:t>e</w:t>
      </w:r>
      <w:r w:rsidRPr="00EB5449">
        <w:rPr>
          <w:rFonts w:cs="Times New Roman"/>
          <w:szCs w:val="24"/>
        </w:rPr>
        <w:t>) et 521(8)</w:t>
      </w:r>
      <w:r w:rsidRPr="00EB5449">
        <w:rPr>
          <w:rFonts w:cs="Times New Roman"/>
          <w:i/>
          <w:iCs/>
          <w:szCs w:val="24"/>
        </w:rPr>
        <w:t>e</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qui énoncent que le juge en révision peut modifier la décision initiale </w:t>
      </w:r>
      <w:r>
        <w:rPr>
          <w:rFonts w:cs="Times New Roman"/>
          <w:szCs w:val="24"/>
        </w:rPr>
        <w:t>« </w:t>
      </w:r>
      <w:r w:rsidRPr="00EB5449">
        <w:rPr>
          <w:rFonts w:cs="Times New Roman"/>
          <w:szCs w:val="24"/>
        </w:rPr>
        <w:t>si le prévenu [ou le poursuivant, selon le cas] fait valoir des motifs justifiant de le faire</w:t>
      </w:r>
      <w:r>
        <w:rPr>
          <w:rFonts w:cs="Times New Roman"/>
          <w:szCs w:val="24"/>
        </w:rPr>
        <w:t> »</w:t>
      </w:r>
      <w:r w:rsidRPr="00EB5449">
        <w:rPr>
          <w:rFonts w:cs="Times New Roman"/>
          <w:szCs w:val="24"/>
        </w:rPr>
        <w:t xml:space="preserve">, et celui des par. 680(1) </w:t>
      </w:r>
      <w:r w:rsidR="004364EE">
        <w:rPr>
          <w:rFonts w:cs="Times New Roman"/>
          <w:i/>
          <w:iCs/>
          <w:szCs w:val="24"/>
        </w:rPr>
        <w:t>C. cr.</w:t>
      </w:r>
      <w:r w:rsidRPr="00EB5449">
        <w:rPr>
          <w:rFonts w:cs="Times New Roman"/>
          <w:szCs w:val="24"/>
        </w:rPr>
        <w:t xml:space="preserve"> et 18(2) de la</w:t>
      </w:r>
      <w:r w:rsidRPr="00EB5449">
        <w:rPr>
          <w:rFonts w:cs="Times New Roman"/>
          <w:i/>
          <w:szCs w:val="24"/>
        </w:rPr>
        <w:t xml:space="preserve"> Loi sur l’extradition</w:t>
      </w:r>
      <w:r w:rsidRPr="00EB5449">
        <w:rPr>
          <w:rFonts w:cs="Times New Roman"/>
          <w:szCs w:val="24"/>
        </w:rPr>
        <w:t xml:space="preserve">, L.C. 1999, c. 18, qui ne comportent pas pareille mention, milite en faveur d’une norme de contrôle requérant une plus grande déférence envers la décision initiale sur la mise en liberté.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L’article 680 </w:t>
      </w:r>
      <w:r w:rsidR="004364EE">
        <w:rPr>
          <w:rFonts w:cs="Times New Roman"/>
          <w:i/>
          <w:iCs/>
          <w:szCs w:val="24"/>
        </w:rPr>
        <w:t>C. cr.</w:t>
      </w:r>
      <w:r w:rsidRPr="00EB5449">
        <w:rPr>
          <w:rFonts w:cs="Times New Roman"/>
          <w:szCs w:val="24"/>
        </w:rPr>
        <w:t xml:space="preserve"> traite notamment de la révision de la décision de mise en liberté dans le cas d’infractions prévues à l’art. 469 </w:t>
      </w:r>
      <w:r w:rsidR="004364EE">
        <w:rPr>
          <w:rFonts w:cs="Times New Roman"/>
          <w:i/>
          <w:iCs/>
          <w:szCs w:val="24"/>
        </w:rPr>
        <w:t>C. cr.</w:t>
      </w:r>
      <w:r w:rsidRPr="00EB5449">
        <w:rPr>
          <w:rFonts w:cs="Times New Roman"/>
          <w:szCs w:val="24"/>
        </w:rPr>
        <w:t xml:space="preserve"> Le paragraphe 680(1) </w:t>
      </w:r>
      <w:r w:rsidR="004364EE">
        <w:rPr>
          <w:rFonts w:cs="Times New Roman"/>
          <w:i/>
          <w:iCs/>
          <w:szCs w:val="24"/>
        </w:rPr>
        <w:t>C. cr.</w:t>
      </w:r>
      <w:r w:rsidRPr="00EB5449">
        <w:rPr>
          <w:rFonts w:cs="Times New Roman"/>
          <w:szCs w:val="24"/>
        </w:rPr>
        <w:t xml:space="preserve"> est rédigé</w:t>
      </w:r>
      <w:r>
        <w:rPr>
          <w:rFonts w:cs="Times New Roman"/>
          <w:szCs w:val="24"/>
        </w:rPr>
        <w:t xml:space="preserve"> </w:t>
      </w:r>
      <w:r w:rsidRPr="00EB5449">
        <w:rPr>
          <w:rFonts w:cs="Times New Roman"/>
          <w:szCs w:val="24"/>
        </w:rPr>
        <w:t>ainsi</w:t>
      </w:r>
      <w:r>
        <w:rPr>
          <w:rFonts w:cs="Times New Roman"/>
          <w:szCs w:val="24"/>
        </w:rPr>
        <w:t> :</w:t>
      </w:r>
    </w:p>
    <w:p w:rsidR="00CE3216" w:rsidRPr="00EB5449" w:rsidRDefault="00CE3216" w:rsidP="00CE3216">
      <w:pPr>
        <w:pStyle w:val="Citation-AltC"/>
        <w:widowControl w:val="0"/>
        <w:ind w:firstLine="274"/>
        <w:rPr>
          <w:szCs w:val="24"/>
          <w:lang w:val="fr-FR"/>
        </w:rPr>
      </w:pPr>
      <w:r w:rsidRPr="00EB5449">
        <w:rPr>
          <w:b/>
          <w:szCs w:val="24"/>
          <w:lang w:val="fr-FR"/>
        </w:rPr>
        <w:t>680.</w:t>
      </w:r>
      <w:r w:rsidRPr="00EB5449">
        <w:rPr>
          <w:szCs w:val="24"/>
          <w:lang w:val="fr-FR"/>
        </w:rPr>
        <w:t xml:space="preserve"> (1) Une décision rendue par un juge en vertu de l’article 522 ou des paragraphes 524(4) ou (5) ou une décision rendue par un juge de la cour d’appel en vertu des articles 261 ou 679 peut, sur l’ordre du juge en chef ou du juge en chef suppléant de la cour d’appel, faire l’objet d’une révision par ce tribunal et celui-ci peut, s’il ne confirme pas la décision</w:t>
      </w:r>
      <w:r>
        <w:rPr>
          <w:szCs w:val="24"/>
          <w:lang w:val="fr-FR"/>
        </w:rPr>
        <w:t> :</w:t>
      </w:r>
    </w:p>
    <w:p w:rsidR="00CE3216" w:rsidRPr="00EB5449" w:rsidRDefault="00CE3216" w:rsidP="00CE3216">
      <w:pPr>
        <w:pStyle w:val="Citation-AltC"/>
        <w:widowControl w:val="0"/>
        <w:rPr>
          <w:szCs w:val="24"/>
        </w:rPr>
      </w:pPr>
    </w:p>
    <w:p w:rsidR="00CE3216" w:rsidRPr="00EB5449" w:rsidRDefault="00CE3216" w:rsidP="00CE3216">
      <w:pPr>
        <w:pStyle w:val="Citation-AltC"/>
        <w:widowControl w:val="0"/>
        <w:ind w:firstLine="274"/>
        <w:rPr>
          <w:szCs w:val="24"/>
        </w:rPr>
      </w:pPr>
      <w:r w:rsidRPr="00EB5449">
        <w:rPr>
          <w:rStyle w:val="Emphasis"/>
          <w:szCs w:val="24"/>
        </w:rPr>
        <w:t>a</w:t>
      </w:r>
      <w:r w:rsidRPr="00EB5449">
        <w:rPr>
          <w:szCs w:val="24"/>
        </w:rPr>
        <w:t>)</w:t>
      </w:r>
      <w:r>
        <w:rPr>
          <w:szCs w:val="24"/>
        </w:rPr>
        <w:t xml:space="preserve"> </w:t>
      </w:r>
      <w:r w:rsidRPr="00EB5449">
        <w:rPr>
          <w:szCs w:val="24"/>
        </w:rPr>
        <w:t>ou bien modifier la décision;</w:t>
      </w:r>
    </w:p>
    <w:p w:rsidR="00CE3216" w:rsidRPr="00EB5449" w:rsidRDefault="00CE3216" w:rsidP="00CE3216">
      <w:pPr>
        <w:pStyle w:val="Citation-AltC"/>
        <w:widowControl w:val="0"/>
        <w:rPr>
          <w:szCs w:val="24"/>
        </w:rPr>
      </w:pPr>
    </w:p>
    <w:p w:rsidR="00CE3216" w:rsidRPr="00EB5449" w:rsidRDefault="00CE3216" w:rsidP="00CE3216">
      <w:pPr>
        <w:pStyle w:val="Citation-AltC"/>
        <w:widowControl w:val="0"/>
        <w:ind w:left="1440"/>
        <w:rPr>
          <w:szCs w:val="24"/>
        </w:rPr>
      </w:pPr>
      <w:r w:rsidRPr="00EB5449">
        <w:rPr>
          <w:rStyle w:val="Emphasis"/>
          <w:szCs w:val="24"/>
        </w:rPr>
        <w:t>b</w:t>
      </w:r>
      <w:r w:rsidRPr="00EB5449">
        <w:rPr>
          <w:szCs w:val="24"/>
        </w:rPr>
        <w:t>)</w:t>
      </w:r>
      <w:r>
        <w:rPr>
          <w:szCs w:val="24"/>
        </w:rPr>
        <w:t xml:space="preserve"> </w:t>
      </w:r>
      <w:r w:rsidRPr="00EB5449">
        <w:rPr>
          <w:szCs w:val="24"/>
        </w:rPr>
        <w:t>ou bien substituer à cette décision telle autre décision qui, à son avis, aurait dû être rendue.</w:t>
      </w:r>
    </w:p>
    <w:p w:rsidR="00CE3216" w:rsidRPr="00EB5449" w:rsidRDefault="00CE3216" w:rsidP="00CE3216">
      <w:pPr>
        <w:pStyle w:val="ParaNoNdepar-AltN"/>
        <w:widowControl w:val="0"/>
        <w:rPr>
          <w:rFonts w:cs="Times New Roman"/>
          <w:szCs w:val="24"/>
        </w:rPr>
      </w:pPr>
      <w:r w:rsidRPr="00EB5449">
        <w:rPr>
          <w:rFonts w:cs="Times New Roman"/>
          <w:szCs w:val="24"/>
        </w:rPr>
        <w:t xml:space="preserve">Comme l’appelante l’admet elle-même, la jurisprudence sur la nature de la révision prévue à l’art. 680 </w:t>
      </w:r>
      <w:r w:rsidR="004364EE">
        <w:rPr>
          <w:rFonts w:cs="Times New Roman"/>
          <w:i/>
          <w:iCs/>
          <w:szCs w:val="24"/>
        </w:rPr>
        <w:t>C. cr.</w:t>
      </w:r>
      <w:r w:rsidRPr="00EB5449">
        <w:rPr>
          <w:rFonts w:cs="Times New Roman"/>
          <w:i/>
          <w:iCs/>
          <w:szCs w:val="24"/>
        </w:rPr>
        <w:t xml:space="preserve"> </w:t>
      </w:r>
      <w:r w:rsidRPr="00EB5449">
        <w:rPr>
          <w:rFonts w:cs="Times New Roman"/>
          <w:szCs w:val="24"/>
        </w:rPr>
        <w:t>et sur les cas donnant ouverture à celle-ci n’est pas uniforme. Certaines cours d’appel provinciales ont même reconnu cet état de fait</w:t>
      </w:r>
      <w:r>
        <w:rPr>
          <w:rFonts w:cs="Times New Roman"/>
          <w:szCs w:val="24"/>
        </w:rPr>
        <w:t> :</w:t>
      </w:r>
      <w:r w:rsidRPr="00EB5449">
        <w:rPr>
          <w:rFonts w:cs="Times New Roman"/>
          <w:szCs w:val="24"/>
        </w:rPr>
        <w:t xml:space="preserve"> </w:t>
      </w:r>
      <w:r w:rsidRPr="00EB5449">
        <w:rPr>
          <w:rFonts w:cs="Times New Roman"/>
          <w:i/>
          <w:iCs/>
          <w:szCs w:val="24"/>
        </w:rPr>
        <w:t>R. c. Oliver</w:t>
      </w:r>
      <w:r w:rsidRPr="00EB5449">
        <w:rPr>
          <w:rFonts w:cs="Times New Roman"/>
          <w:szCs w:val="24"/>
        </w:rPr>
        <w:t xml:space="preserve">, 2008 NLCA 27, 287 Nfld. &amp; P.E.I.R. 123; </w:t>
      </w:r>
      <w:r w:rsidRPr="00EB5449">
        <w:rPr>
          <w:rFonts w:cs="Times New Roman"/>
          <w:i/>
          <w:iCs/>
          <w:szCs w:val="24"/>
        </w:rPr>
        <w:t>R. c. Massan</w:t>
      </w:r>
      <w:r w:rsidRPr="00EB5449">
        <w:rPr>
          <w:rFonts w:cs="Times New Roman"/>
          <w:iCs/>
          <w:szCs w:val="24"/>
        </w:rPr>
        <w:t>,</w:t>
      </w:r>
      <w:r w:rsidRPr="00EB5449">
        <w:rPr>
          <w:rFonts w:cs="Times New Roman"/>
          <w:szCs w:val="24"/>
        </w:rPr>
        <w:t xml:space="preserve"> 2012 MBCA 26, 289 C.C.C. (3d) 285; </w:t>
      </w:r>
      <w:r w:rsidRPr="00EB5449">
        <w:rPr>
          <w:rFonts w:cs="Times New Roman"/>
          <w:i/>
          <w:iCs/>
          <w:szCs w:val="24"/>
        </w:rPr>
        <w:t>R. c. White</w:t>
      </w:r>
      <w:r w:rsidRPr="00EB5449">
        <w:rPr>
          <w:rFonts w:cs="Times New Roman"/>
          <w:iCs/>
          <w:szCs w:val="24"/>
        </w:rPr>
        <w:t>,</w:t>
      </w:r>
      <w:r w:rsidRPr="00EB5449">
        <w:rPr>
          <w:rFonts w:cs="Times New Roman"/>
          <w:szCs w:val="24"/>
        </w:rPr>
        <w:t xml:space="preserve"> 2005 ABCA 403, 202 C.C.C. (3d) 295; voir aussi Trotter, p. 8-23; T. Quigley, </w:t>
      </w:r>
      <w:r w:rsidRPr="00EB5449">
        <w:rPr>
          <w:rFonts w:cs="Times New Roman"/>
          <w:i/>
          <w:szCs w:val="24"/>
        </w:rPr>
        <w:t>Procedure in Canadian Criminal Law</w:t>
      </w:r>
      <w:r w:rsidRPr="00EB5449">
        <w:rPr>
          <w:rFonts w:cs="Times New Roman"/>
          <w:szCs w:val="24"/>
        </w:rPr>
        <w:t xml:space="preserve"> (2</w:t>
      </w:r>
      <w:r w:rsidRPr="00EB5449">
        <w:rPr>
          <w:rFonts w:cs="Times New Roman"/>
          <w:szCs w:val="24"/>
          <w:vertAlign w:val="superscript"/>
        </w:rPr>
        <w:t xml:space="preserve">e </w:t>
      </w:r>
      <w:r w:rsidRPr="00EB5449">
        <w:rPr>
          <w:rFonts w:cs="Times New Roman"/>
          <w:szCs w:val="24"/>
        </w:rPr>
        <w:t xml:space="preserve">éd. </w:t>
      </w:r>
      <w:r w:rsidRPr="00EB5449">
        <w:rPr>
          <w:rFonts w:cs="Times New Roman"/>
          <w:szCs w:val="24"/>
        </w:rPr>
        <w:lastRenderedPageBreak/>
        <w:t xml:space="preserve">(feuilles mobiles)), p. 11-17.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De son côté, le par. 18(2) de la </w:t>
      </w:r>
      <w:r w:rsidRPr="00EB5449">
        <w:rPr>
          <w:rFonts w:cs="Times New Roman"/>
          <w:i/>
          <w:iCs/>
          <w:szCs w:val="24"/>
        </w:rPr>
        <w:t>Loi sur l’extradition</w:t>
      </w:r>
      <w:r w:rsidRPr="00EB5449">
        <w:rPr>
          <w:rFonts w:cs="Times New Roman"/>
          <w:szCs w:val="24"/>
        </w:rPr>
        <w:t xml:space="preserve"> porte sur la révision d’une ordonnance rendue à l’égard d’une personne arrêtée en vertu de cette loi. Celui-ci prévoit</w:t>
      </w:r>
      <w:r>
        <w:rPr>
          <w:rFonts w:cs="Times New Roman"/>
          <w:szCs w:val="24"/>
        </w:rPr>
        <w:t xml:space="preserve"> </w:t>
      </w:r>
      <w:r w:rsidRPr="00EB5449">
        <w:rPr>
          <w:rFonts w:cs="Times New Roman"/>
          <w:szCs w:val="24"/>
        </w:rPr>
        <w:t>ce qui suit</w:t>
      </w:r>
      <w:r>
        <w:rPr>
          <w:rFonts w:cs="Times New Roman"/>
          <w:szCs w:val="24"/>
        </w:rPr>
        <w:t> :</w:t>
      </w:r>
    </w:p>
    <w:p w:rsidR="00CE3216" w:rsidRPr="00EB5449" w:rsidRDefault="00CE3216" w:rsidP="00CE3216">
      <w:pPr>
        <w:pStyle w:val="Citation-AltC"/>
        <w:widowControl w:val="0"/>
        <w:ind w:firstLine="274"/>
        <w:rPr>
          <w:szCs w:val="24"/>
        </w:rPr>
      </w:pPr>
      <w:r w:rsidRPr="00EB5449">
        <w:rPr>
          <w:szCs w:val="24"/>
        </w:rPr>
        <w:t xml:space="preserve">(2) </w:t>
      </w:r>
      <w:r w:rsidRPr="00EB5449">
        <w:rPr>
          <w:szCs w:val="24"/>
          <w:lang w:val="fr-FR"/>
        </w:rPr>
        <w:t>La décision d’accorder ou de refuser la mise en liberté provisoire peut faire l’objet d’une révision par un juge de la cour d’appel; celui-ci peut confirmer la décision, la modifier ou y substituer toute décision qui, à son avis, aurait dû être rendue.</w:t>
      </w:r>
    </w:p>
    <w:p w:rsidR="00CE3216" w:rsidRPr="00EB5449" w:rsidRDefault="00CE3216" w:rsidP="00CE3216">
      <w:pPr>
        <w:pStyle w:val="ParaNoNdepar-AltN"/>
        <w:widowControl w:val="0"/>
        <w:rPr>
          <w:rFonts w:cs="Times New Roman"/>
          <w:szCs w:val="24"/>
        </w:rPr>
      </w:pPr>
      <w:r w:rsidRPr="00EB5449">
        <w:rPr>
          <w:rFonts w:cs="Times New Roman"/>
          <w:szCs w:val="24"/>
        </w:rPr>
        <w:t xml:space="preserve">On remarque immédiatement que les différentes décisions que peut rendre le juge réviseur sont présentées de façon analogue à celles prévues à l’art. 520 </w:t>
      </w:r>
      <w:r w:rsidR="004364EE">
        <w:rPr>
          <w:rFonts w:cs="Times New Roman"/>
          <w:i/>
          <w:iCs/>
          <w:szCs w:val="24"/>
        </w:rPr>
        <w:t>C. cr.</w:t>
      </w:r>
      <w:r w:rsidRPr="00EB5449">
        <w:rPr>
          <w:rFonts w:cs="Times New Roman"/>
          <w:szCs w:val="24"/>
        </w:rPr>
        <w:t xml:space="preserve"> Cependant, à l’instar du par. 680(1) </w:t>
      </w:r>
      <w:r w:rsidR="004364EE">
        <w:rPr>
          <w:rFonts w:cs="Times New Roman"/>
          <w:i/>
          <w:iCs/>
          <w:szCs w:val="24"/>
        </w:rPr>
        <w:t>C. cr.</w:t>
      </w:r>
      <w:r w:rsidRPr="00EB5449">
        <w:rPr>
          <w:rFonts w:cs="Times New Roman"/>
          <w:szCs w:val="24"/>
        </w:rPr>
        <w:t xml:space="preserve">, le libellé du par. 18(2) de la </w:t>
      </w:r>
      <w:r w:rsidRPr="00EB5449">
        <w:rPr>
          <w:rFonts w:cs="Times New Roman"/>
          <w:i/>
          <w:iCs/>
          <w:szCs w:val="24"/>
        </w:rPr>
        <w:t>Loi sur l’extradition</w:t>
      </w:r>
      <w:r w:rsidRPr="00EB5449">
        <w:rPr>
          <w:rFonts w:cs="Times New Roman"/>
          <w:szCs w:val="24"/>
        </w:rPr>
        <w:t xml:space="preserve"> ne limite pas la révision de la décision initiale à la démonstration de </w:t>
      </w:r>
      <w:r>
        <w:rPr>
          <w:rFonts w:cs="Times New Roman"/>
          <w:szCs w:val="24"/>
        </w:rPr>
        <w:t>« </w:t>
      </w:r>
      <w:r w:rsidRPr="00EB5449">
        <w:rPr>
          <w:rFonts w:cs="Times New Roman"/>
          <w:szCs w:val="24"/>
        </w:rPr>
        <w:t>motifs justificatifs</w:t>
      </w:r>
      <w:r>
        <w:rPr>
          <w:rFonts w:cs="Times New Roman"/>
          <w:szCs w:val="24"/>
        </w:rPr>
        <w:t> »</w:t>
      </w:r>
      <w:r w:rsidRPr="00EB5449">
        <w:rPr>
          <w:rFonts w:cs="Times New Roman"/>
          <w:szCs w:val="24"/>
        </w:rPr>
        <w:t xml:space="preserv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La jurisprudence des cours d’appel canadiennes est presque unanime. Le paragraphe 18(2) de la </w:t>
      </w:r>
      <w:r w:rsidRPr="00EB5449">
        <w:rPr>
          <w:rFonts w:cs="Times New Roman"/>
          <w:i/>
          <w:iCs/>
          <w:szCs w:val="24"/>
        </w:rPr>
        <w:t>Loi sur l’extradition</w:t>
      </w:r>
      <w:r w:rsidRPr="00EB5449">
        <w:rPr>
          <w:rFonts w:cs="Times New Roman"/>
          <w:iCs/>
          <w:szCs w:val="24"/>
        </w:rPr>
        <w:t xml:space="preserve"> prévoit que</w:t>
      </w:r>
      <w:r w:rsidRPr="00EB5449">
        <w:rPr>
          <w:rFonts w:cs="Times New Roman"/>
          <w:szCs w:val="24"/>
        </w:rPr>
        <w:t xml:space="preserve"> seule une erreur de principe permet au juge réviseur de changer la décision initiale</w:t>
      </w:r>
      <w:r>
        <w:rPr>
          <w:rFonts w:cs="Times New Roman"/>
          <w:szCs w:val="24"/>
        </w:rPr>
        <w:t> :</w:t>
      </w:r>
      <w:r w:rsidRPr="00EB5449">
        <w:rPr>
          <w:rFonts w:cs="Times New Roman"/>
          <w:szCs w:val="24"/>
        </w:rPr>
        <w:t xml:space="preserve"> </w:t>
      </w:r>
      <w:r w:rsidRPr="00EB5449">
        <w:rPr>
          <w:rFonts w:cs="Times New Roman"/>
          <w:i/>
          <w:iCs/>
          <w:szCs w:val="24"/>
        </w:rPr>
        <w:t>United States of America c. Chan</w:t>
      </w:r>
      <w:r w:rsidRPr="00EB5449">
        <w:rPr>
          <w:rFonts w:cs="Times New Roman"/>
          <w:szCs w:val="24"/>
        </w:rPr>
        <w:t xml:space="preserve"> (2000), </w:t>
      </w:r>
      <w:r w:rsidRPr="00EB5449">
        <w:rPr>
          <w:rStyle w:val="nowrap"/>
          <w:rFonts w:cs="Times New Roman"/>
        </w:rPr>
        <w:t xml:space="preserve">144 C.C.C. (3d) 93 (C.A. Ont.); </w:t>
      </w:r>
      <w:r w:rsidRPr="00EB5449">
        <w:rPr>
          <w:rFonts w:cs="Times New Roman"/>
          <w:i/>
          <w:iCs/>
          <w:szCs w:val="24"/>
        </w:rPr>
        <w:t>United States of America c. Pannell</w:t>
      </w:r>
      <w:r w:rsidRPr="00EB5449">
        <w:rPr>
          <w:rFonts w:cs="Times New Roman"/>
          <w:szCs w:val="24"/>
        </w:rPr>
        <w:t xml:space="preserve"> (2005), 193 C.C.C. (3d) 414 (C.A. Ont.); </w:t>
      </w:r>
      <w:r w:rsidRPr="00EB5449">
        <w:rPr>
          <w:rFonts w:cs="Times New Roman"/>
          <w:i/>
          <w:iCs/>
          <w:szCs w:val="24"/>
        </w:rPr>
        <w:t>United States of America c. Yuen</w:t>
      </w:r>
      <w:r w:rsidRPr="00EB5449">
        <w:rPr>
          <w:rFonts w:cs="Times New Roman"/>
          <w:szCs w:val="24"/>
        </w:rPr>
        <w:t xml:space="preserve">, 2004 ABCA 368, 363 A.R. 28; </w:t>
      </w:r>
      <w:r w:rsidRPr="00EB5449">
        <w:rPr>
          <w:rFonts w:cs="Times New Roman"/>
          <w:i/>
          <w:iCs/>
          <w:szCs w:val="24"/>
        </w:rPr>
        <w:t>Tenenbaum c. United States of America</w:t>
      </w:r>
      <w:r w:rsidRPr="00EB5449">
        <w:rPr>
          <w:rFonts w:cs="Times New Roman"/>
          <w:szCs w:val="24"/>
        </w:rPr>
        <w:t xml:space="preserve">, 2008 ABCA 396, 446 A.R. 155; </w:t>
      </w:r>
      <w:r w:rsidRPr="00EB5449">
        <w:rPr>
          <w:rFonts w:cs="Times New Roman"/>
          <w:i/>
          <w:iCs/>
          <w:szCs w:val="24"/>
        </w:rPr>
        <w:t>Delagarde c. United States of America</w:t>
      </w:r>
      <w:r w:rsidRPr="00EB5449">
        <w:rPr>
          <w:rFonts w:cs="Times New Roman"/>
          <w:szCs w:val="24"/>
        </w:rPr>
        <w:t xml:space="preserve"> </w:t>
      </w:r>
      <w:r w:rsidRPr="00EB5449">
        <w:rPr>
          <w:rStyle w:val="reflex3-block"/>
          <w:rFonts w:cs="Times New Roman"/>
        </w:rPr>
        <w:t>(2005), 293 R.N.-B. (2</w:t>
      </w:r>
      <w:r w:rsidRPr="00EB5449">
        <w:rPr>
          <w:rStyle w:val="reflex3-block"/>
          <w:rFonts w:cs="Times New Roman"/>
          <w:vertAlign w:val="superscript"/>
        </w:rPr>
        <w:t>e</w:t>
      </w:r>
      <w:r w:rsidRPr="00EB5449">
        <w:rPr>
          <w:rStyle w:val="reflex3-block"/>
          <w:rFonts w:cs="Times New Roman"/>
        </w:rPr>
        <w:t>) 80 (C.A.)</w:t>
      </w:r>
      <w:r w:rsidRPr="00EB5449">
        <w:rPr>
          <w:rFonts w:cs="Times New Roman"/>
          <w:szCs w:val="24"/>
        </w:rPr>
        <w:t xml:space="preserve">; </w:t>
      </w:r>
      <w:r w:rsidRPr="00EB5449">
        <w:rPr>
          <w:rFonts w:cs="Times New Roman"/>
          <w:i/>
          <w:iCs/>
          <w:szCs w:val="24"/>
        </w:rPr>
        <w:t>United States of America c. Palmucci</w:t>
      </w:r>
      <w:r w:rsidRPr="00EB5449">
        <w:rPr>
          <w:rFonts w:cs="Times New Roman"/>
          <w:szCs w:val="24"/>
        </w:rPr>
        <w:t xml:space="preserve">, </w:t>
      </w:r>
      <w:r w:rsidRPr="00EB5449">
        <w:rPr>
          <w:rStyle w:val="reflex3-reflex"/>
          <w:rFonts w:cs="Times New Roman"/>
        </w:rPr>
        <w:t>2001 CanLII 38680 (C.A. Qc)</w:t>
      </w:r>
      <w:r w:rsidRPr="00EB5449">
        <w:rPr>
          <w:rFonts w:cs="Times New Roman"/>
          <w:szCs w:val="24"/>
        </w:rPr>
        <w:t xml:space="preserve">; </w:t>
      </w:r>
      <w:r w:rsidRPr="00EB5449">
        <w:rPr>
          <w:rFonts w:cs="Times New Roman"/>
          <w:i/>
          <w:iCs/>
          <w:szCs w:val="24"/>
        </w:rPr>
        <w:t xml:space="preserve">Boily c. </w:t>
      </w:r>
      <w:r w:rsidRPr="00EB5449">
        <w:rPr>
          <w:rFonts w:cs="Times New Roman"/>
          <w:i/>
          <w:iCs/>
          <w:szCs w:val="24"/>
        </w:rPr>
        <w:lastRenderedPageBreak/>
        <w:t>États-Unis Mexicains</w:t>
      </w:r>
      <w:r w:rsidRPr="00EB5449">
        <w:rPr>
          <w:rFonts w:cs="Times New Roman"/>
          <w:szCs w:val="24"/>
        </w:rPr>
        <w:t xml:space="preserve">, 2005 QCCA 599; </w:t>
      </w:r>
      <w:r w:rsidRPr="00EB5449">
        <w:rPr>
          <w:rFonts w:cs="Times New Roman"/>
          <w:i/>
          <w:iCs/>
          <w:szCs w:val="24"/>
        </w:rPr>
        <w:t>Ivanov c. United States of America</w:t>
      </w:r>
      <w:r w:rsidRPr="00EB5449">
        <w:rPr>
          <w:rFonts w:cs="Times New Roman"/>
          <w:szCs w:val="24"/>
        </w:rPr>
        <w:t xml:space="preserve">, 2003 NLCA 11, 223 Nfld. &amp; P.E.I.R. 44.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Seule la Cour d’appel de la Colombie-Britannique considère que, bien qu’il ne s’agisse pas d’une audience </w:t>
      </w:r>
      <w:r w:rsidRPr="00EB5449">
        <w:rPr>
          <w:rFonts w:cs="Times New Roman"/>
          <w:i/>
          <w:iCs/>
          <w:szCs w:val="24"/>
        </w:rPr>
        <w:t>de novo</w:t>
      </w:r>
      <w:r w:rsidRPr="00EB5449">
        <w:rPr>
          <w:rFonts w:cs="Times New Roman"/>
          <w:szCs w:val="24"/>
        </w:rPr>
        <w:t xml:space="preserve"> ni d’une procédure lui permettant de décider comme si elle était le premier juge, elle doit déterminer si la décision initiale est correcte (</w:t>
      </w:r>
      <w:r>
        <w:rPr>
          <w:rFonts w:cs="Times New Roman"/>
          <w:szCs w:val="24"/>
        </w:rPr>
        <w:t>« </w:t>
      </w:r>
      <w:r w:rsidRPr="00EB5449">
        <w:rPr>
          <w:rFonts w:cs="Times New Roman"/>
          <w:i/>
          <w:iCs/>
          <w:szCs w:val="24"/>
        </w:rPr>
        <w:t>correct</w:t>
      </w:r>
      <w:r>
        <w:rPr>
          <w:rFonts w:cs="Times New Roman"/>
          <w:szCs w:val="24"/>
        </w:rPr>
        <w:t> »</w:t>
      </w:r>
      <w:r w:rsidRPr="00EB5449">
        <w:rPr>
          <w:rFonts w:cs="Times New Roman"/>
          <w:szCs w:val="24"/>
        </w:rPr>
        <w:t>), tout en accordant la déférence habituelle aux conclusions de fait du premier juge</w:t>
      </w:r>
      <w:r>
        <w:rPr>
          <w:rFonts w:cs="Times New Roman"/>
          <w:szCs w:val="24"/>
        </w:rPr>
        <w:t> :</w:t>
      </w:r>
      <w:r w:rsidRPr="00EB5449">
        <w:rPr>
          <w:rFonts w:cs="Times New Roman"/>
          <w:szCs w:val="24"/>
        </w:rPr>
        <w:t xml:space="preserve"> </w:t>
      </w:r>
      <w:r w:rsidRPr="00EB5449">
        <w:rPr>
          <w:rFonts w:cs="Times New Roman"/>
          <w:i/>
          <w:iCs/>
          <w:szCs w:val="24"/>
        </w:rPr>
        <w:t>Seifert c. Canada (Attorney General)</w:t>
      </w:r>
      <w:r w:rsidRPr="00EB5449">
        <w:rPr>
          <w:rFonts w:cs="Times New Roman"/>
          <w:iCs/>
          <w:szCs w:val="24"/>
        </w:rPr>
        <w:t>,</w:t>
      </w:r>
      <w:r>
        <w:rPr>
          <w:rFonts w:cs="Times New Roman"/>
          <w:szCs w:val="24"/>
        </w:rPr>
        <w:t xml:space="preserve"> </w:t>
      </w:r>
      <w:r w:rsidRPr="00EB5449">
        <w:rPr>
          <w:rFonts w:cs="Times New Roman"/>
          <w:szCs w:val="24"/>
        </w:rPr>
        <w:t>2002 BCCA 385, 171 B.C.A.C. 203</w:t>
      </w:r>
      <w:r w:rsidR="00A036EA">
        <w:rPr>
          <w:rFonts w:cs="Times New Roman"/>
          <w:szCs w:val="24"/>
        </w:rPr>
        <w:t>,</w:t>
      </w:r>
      <w:r w:rsidRPr="00EB5449">
        <w:rPr>
          <w:rFonts w:cs="Times New Roman"/>
          <w:szCs w:val="24"/>
        </w:rPr>
        <w:t xml:space="preserve"> par. 6;</w:t>
      </w:r>
      <w:r w:rsidRPr="00EB5449">
        <w:rPr>
          <w:rStyle w:val="reflex3-reflex"/>
          <w:rFonts w:cs="Times New Roman"/>
        </w:rPr>
        <w:t xml:space="preserve"> </w:t>
      </w:r>
      <w:r w:rsidRPr="00EB5449">
        <w:rPr>
          <w:rFonts w:cs="Times New Roman"/>
          <w:i/>
          <w:iCs/>
          <w:szCs w:val="24"/>
        </w:rPr>
        <w:t>United States of America c. Graham</w:t>
      </w:r>
      <w:r w:rsidRPr="00EB5449">
        <w:rPr>
          <w:rFonts w:cs="Times New Roman"/>
          <w:szCs w:val="24"/>
        </w:rPr>
        <w:t>, 2004 BCCA 162, 195 B.C.A.C. 245</w:t>
      </w:r>
      <w:r w:rsidR="00A036EA">
        <w:rPr>
          <w:rFonts w:cs="Times New Roman"/>
          <w:szCs w:val="24"/>
        </w:rPr>
        <w:t>,</w:t>
      </w:r>
      <w:r w:rsidRPr="00EB5449">
        <w:rPr>
          <w:rFonts w:cs="Times New Roman"/>
          <w:szCs w:val="24"/>
        </w:rPr>
        <w:t xml:space="preserve"> par. 8</w:t>
      </w:r>
      <w:r w:rsidR="00A036EA">
        <w:rPr>
          <w:rFonts w:cs="Times New Roman"/>
          <w:szCs w:val="24"/>
        </w:rPr>
        <w:t>-</w:t>
      </w:r>
      <w:r w:rsidRPr="00EB5449">
        <w:rPr>
          <w:rFonts w:cs="Times New Roman"/>
          <w:szCs w:val="24"/>
        </w:rPr>
        <w:t xml:space="preserve">10. Paradoxalement, alors que la Cour d’appel de la Colombie-Britannique et celle de Terre-Neuve-et-Labrador fondent toutes deux leur décision sur une analogie avec la procédure de révision prévue à l’art. 680 </w:t>
      </w:r>
      <w:r w:rsidR="004364EE">
        <w:rPr>
          <w:rFonts w:cs="Times New Roman"/>
          <w:i/>
          <w:iCs/>
          <w:szCs w:val="24"/>
        </w:rPr>
        <w:t>C. cr.</w:t>
      </w:r>
      <w:r w:rsidRPr="00EB5449">
        <w:rPr>
          <w:rFonts w:cs="Times New Roman"/>
          <w:szCs w:val="24"/>
        </w:rPr>
        <w:t xml:space="preserve">, elles arrivent à des résultats différents. Cela n’est guère surprenant, étant donné que les tribunaux ne s’entendent pas sur la nature de la procédure de révision à l’art. 680 </w:t>
      </w:r>
      <w:r w:rsidR="004364EE">
        <w:rPr>
          <w:rFonts w:cs="Times New Roman"/>
          <w:i/>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t xml:space="preserve">Pour les besoins du présent pourvoi, je n’ai pas à me prononcer sur la validité de la position des tribunaux d’appel sur les par. 680(1) </w:t>
      </w:r>
      <w:r w:rsidR="004364EE">
        <w:rPr>
          <w:rFonts w:cs="Times New Roman"/>
          <w:i/>
          <w:iCs/>
          <w:szCs w:val="24"/>
        </w:rPr>
        <w:t>C. cr.</w:t>
      </w:r>
      <w:r w:rsidRPr="00EB5449">
        <w:rPr>
          <w:rFonts w:cs="Times New Roman"/>
          <w:szCs w:val="24"/>
        </w:rPr>
        <w:t xml:space="preserve"> et 18(2) de la </w:t>
      </w:r>
      <w:r w:rsidRPr="00EB5449">
        <w:rPr>
          <w:rFonts w:cs="Times New Roman"/>
          <w:i/>
          <w:iCs/>
          <w:szCs w:val="24"/>
        </w:rPr>
        <w:t>Loi sur l’extradition</w:t>
      </w:r>
      <w:r w:rsidRPr="00EB5449">
        <w:rPr>
          <w:rFonts w:cs="Times New Roman"/>
          <w:szCs w:val="24"/>
        </w:rPr>
        <w:t xml:space="preserve">. La comparaison entre ces dispositions et les art. 520 et 521 </w:t>
      </w:r>
      <w:r w:rsidR="004364EE">
        <w:rPr>
          <w:rFonts w:cs="Times New Roman"/>
          <w:i/>
          <w:iCs/>
          <w:szCs w:val="24"/>
        </w:rPr>
        <w:t>C. cr.</w:t>
      </w:r>
      <w:r w:rsidRPr="00EB5449">
        <w:rPr>
          <w:rFonts w:cs="Times New Roman"/>
          <w:szCs w:val="24"/>
        </w:rPr>
        <w:t xml:space="preserve"> n’est pas pour autant dénuée d’intérêt. Le fait que — contrairement aux art. 520 et 521 </w:t>
      </w:r>
      <w:r w:rsidR="004364EE">
        <w:rPr>
          <w:rFonts w:cs="Times New Roman"/>
          <w:i/>
          <w:iCs/>
          <w:szCs w:val="24"/>
        </w:rPr>
        <w:t>C. cr.</w:t>
      </w:r>
      <w:r w:rsidRPr="00EB5449">
        <w:rPr>
          <w:rFonts w:cs="Times New Roman"/>
          <w:szCs w:val="24"/>
        </w:rPr>
        <w:t xml:space="preserve"> — les par. 680(1) </w:t>
      </w:r>
      <w:r w:rsidR="004364EE">
        <w:rPr>
          <w:rFonts w:cs="Times New Roman"/>
          <w:i/>
          <w:iCs/>
          <w:szCs w:val="24"/>
        </w:rPr>
        <w:t>C. cr.</w:t>
      </w:r>
      <w:r w:rsidRPr="00EB5449">
        <w:rPr>
          <w:rFonts w:cs="Times New Roman"/>
          <w:szCs w:val="24"/>
        </w:rPr>
        <w:t xml:space="preserve"> et 18(2) de la </w:t>
      </w:r>
      <w:r w:rsidRPr="00EB5449">
        <w:rPr>
          <w:rFonts w:cs="Times New Roman"/>
          <w:i/>
          <w:iCs/>
          <w:szCs w:val="24"/>
        </w:rPr>
        <w:t>Loi sur l’extradition</w:t>
      </w:r>
      <w:r w:rsidRPr="00EB5449">
        <w:rPr>
          <w:rFonts w:cs="Times New Roman"/>
          <w:szCs w:val="24"/>
        </w:rPr>
        <w:t xml:space="preserve"> ne soumettent pas l’exercice du pouvoir de révision de la cour d’appel à la démonstration de motifs justificatifs tend à indiquer que le législateur a voulu, aux art. 520 et 521 </w:t>
      </w:r>
      <w:r w:rsidR="004364EE">
        <w:rPr>
          <w:rFonts w:cs="Times New Roman"/>
          <w:i/>
          <w:szCs w:val="24"/>
        </w:rPr>
        <w:t>C. cr.</w:t>
      </w:r>
      <w:r w:rsidRPr="00EB5449">
        <w:rPr>
          <w:rFonts w:cs="Times New Roman"/>
          <w:szCs w:val="24"/>
        </w:rPr>
        <w:t xml:space="preserve">, limiter la discrétion du juge réviseur. </w:t>
      </w:r>
    </w:p>
    <w:p w:rsidR="00CE3216" w:rsidRPr="00EB5449" w:rsidRDefault="00CE3216" w:rsidP="00CE3216">
      <w:pPr>
        <w:pStyle w:val="Title3LevelTitre3Niveau"/>
        <w:widowControl w:val="0"/>
        <w:rPr>
          <w:rFonts w:cs="Times New Roman"/>
          <w:szCs w:val="24"/>
        </w:rPr>
      </w:pPr>
      <w:r w:rsidRPr="00EB5449">
        <w:rPr>
          <w:rFonts w:cs="Times New Roman"/>
          <w:szCs w:val="24"/>
        </w:rPr>
        <w:lastRenderedPageBreak/>
        <w:t xml:space="preserve">Comparaison entre l’appel de la peine et la procédure de révision prévue aux art. 520 et 521 </w:t>
      </w:r>
      <w:r w:rsidR="004364EE">
        <w:rPr>
          <w:rFonts w:cs="Times New Roman"/>
          <w:i/>
          <w:iCs/>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L’appelante relève des similitudes entre la décision sur la mise en liberté provisoire et celle sur la peine. Elle est donc d’avis que la décision sur la mise en liberté devrait être révisée au regard des mêmes principes que ceux guidant l’appel de la peine prévu à l’art. 687 </w:t>
      </w:r>
      <w:r w:rsidR="004364EE">
        <w:rPr>
          <w:rFonts w:cs="Times New Roman"/>
          <w:i/>
          <w:iCs/>
          <w:szCs w:val="24"/>
        </w:rPr>
        <w:t>C. cr.</w:t>
      </w:r>
      <w:r w:rsidRPr="00EB5449">
        <w:rPr>
          <w:rFonts w:cs="Times New Roman"/>
          <w:szCs w:val="24"/>
        </w:rPr>
        <w:t xml:space="preserve"> Se fondant sur les décisions </w:t>
      </w:r>
      <w:r w:rsidRPr="00EB5449">
        <w:rPr>
          <w:rFonts w:cs="Times New Roman"/>
          <w:i/>
          <w:iCs/>
          <w:szCs w:val="24"/>
        </w:rPr>
        <w:t>R. c. Shropshire</w:t>
      </w:r>
      <w:r w:rsidRPr="00EB5449">
        <w:rPr>
          <w:rFonts w:cs="Times New Roman"/>
          <w:szCs w:val="24"/>
        </w:rPr>
        <w:t xml:space="preserve">, [1995] 4 R.C.S. 227; </w:t>
      </w:r>
      <w:r w:rsidRPr="00EB5449">
        <w:rPr>
          <w:rFonts w:cs="Times New Roman"/>
          <w:i/>
          <w:iCs/>
          <w:szCs w:val="24"/>
        </w:rPr>
        <w:t>R. c. M. (C.A.)</w:t>
      </w:r>
      <w:r w:rsidRPr="00EB5449">
        <w:rPr>
          <w:rFonts w:cs="Times New Roman"/>
          <w:szCs w:val="24"/>
        </w:rPr>
        <w:t xml:space="preserve">, [1996] 1 R.C.S. 500; </w:t>
      </w:r>
      <w:r w:rsidRPr="00EB5449">
        <w:rPr>
          <w:rFonts w:cs="Times New Roman"/>
          <w:i/>
          <w:iCs/>
          <w:szCs w:val="24"/>
        </w:rPr>
        <w:t>R. c. McDonnell</w:t>
      </w:r>
      <w:r w:rsidRPr="00EB5449">
        <w:rPr>
          <w:rFonts w:cs="Times New Roman"/>
          <w:szCs w:val="24"/>
        </w:rPr>
        <w:t xml:space="preserve">, [1997] 1 R.C.S. 948; </w:t>
      </w:r>
      <w:r w:rsidRPr="00EB5449">
        <w:rPr>
          <w:rFonts w:cs="Times New Roman"/>
          <w:i/>
          <w:iCs/>
          <w:szCs w:val="24"/>
        </w:rPr>
        <w:t>R. c. L.M</w:t>
      </w:r>
      <w:r w:rsidRPr="00EB5449">
        <w:rPr>
          <w:rFonts w:cs="Times New Roman"/>
          <w:i/>
          <w:szCs w:val="24"/>
        </w:rPr>
        <w:t>.</w:t>
      </w:r>
      <w:r w:rsidRPr="00EB5449">
        <w:rPr>
          <w:rFonts w:cs="Times New Roman"/>
          <w:szCs w:val="24"/>
        </w:rPr>
        <w:t>, 2008 CSC 31, [2008] 2 R.C.S. 163</w:t>
      </w:r>
      <w:r w:rsidR="00A036EA">
        <w:rPr>
          <w:rFonts w:cs="Times New Roman"/>
          <w:szCs w:val="24"/>
        </w:rPr>
        <w:t xml:space="preserve">, et </w:t>
      </w:r>
      <w:r w:rsidRPr="00EB5449">
        <w:rPr>
          <w:rFonts w:cs="Times New Roman"/>
          <w:i/>
          <w:iCs/>
          <w:szCs w:val="24"/>
        </w:rPr>
        <w:t>R. c. Nasogaluak</w:t>
      </w:r>
      <w:r w:rsidRPr="00EB5449">
        <w:rPr>
          <w:rFonts w:cs="Times New Roman"/>
          <w:szCs w:val="24"/>
        </w:rPr>
        <w:t>, 2010 CSC 6, [2010] 1 R.C.S. 206, l’appelante affirme que les cours supérieures agissant en révision en vertu des art. 520 et 521 ne devraient infirmer la décision initiale et la remplacer que si celle-ci est entachée d’une erreur de principe affectant le résultat ou si elle est manifestement non indiquée ou nettement déraisonnable.</w:t>
      </w:r>
    </w:p>
    <w:p w:rsidR="00CE3216" w:rsidRPr="00EB5449" w:rsidRDefault="00CE3216" w:rsidP="00CE3216">
      <w:pPr>
        <w:pStyle w:val="ParaNoNdepar-AltN"/>
        <w:widowControl w:val="0"/>
        <w:rPr>
          <w:rFonts w:cs="Times New Roman"/>
          <w:szCs w:val="24"/>
        </w:rPr>
      </w:pPr>
      <w:r w:rsidRPr="00EB5449">
        <w:rPr>
          <w:rFonts w:cs="Times New Roman"/>
          <w:szCs w:val="24"/>
        </w:rPr>
        <w:t xml:space="preserve">De l’avis de l’intimé, les distinctions entre la décision sur la peine et celle sur la mise en liberté provisoire sont à ce point énormes qu’aucune similitude ne permet d’assimiler les règles de l’une à celles de l’autre. En effet, selon l’intimé, le droit à la mise en liberté provisoire est un droit constitutionnel alors que le principe de détermination de la peine demandant </w:t>
      </w:r>
      <w:r>
        <w:rPr>
          <w:rFonts w:cs="Times New Roman"/>
          <w:szCs w:val="24"/>
        </w:rPr>
        <w:t>« </w:t>
      </w:r>
      <w:r w:rsidRPr="00EB5449">
        <w:rPr>
          <w:rFonts w:cs="Times New Roman"/>
          <w:szCs w:val="24"/>
        </w:rPr>
        <w:t>d’examiner la possibilité de sanctions moins contraignantes lorsque les circonstances le justifient</w:t>
      </w:r>
      <w:r>
        <w:rPr>
          <w:rFonts w:cs="Times New Roman"/>
          <w:szCs w:val="24"/>
        </w:rPr>
        <w:t> »</w:t>
      </w:r>
      <w:r w:rsidRPr="00EB5449">
        <w:rPr>
          <w:rFonts w:cs="Times New Roman"/>
          <w:szCs w:val="24"/>
        </w:rPr>
        <w:t xml:space="preserve"> (al. 718.2</w:t>
      </w:r>
      <w:r w:rsidRPr="00EB5449">
        <w:rPr>
          <w:rFonts w:cs="Times New Roman"/>
          <w:i/>
          <w:szCs w:val="24"/>
        </w:rPr>
        <w:t>d</w:t>
      </w:r>
      <w:r w:rsidRPr="00EB5449">
        <w:rPr>
          <w:rFonts w:cs="Times New Roman"/>
          <w:szCs w:val="24"/>
        </w:rPr>
        <w:t xml:space="preserve">) </w:t>
      </w:r>
      <w:r w:rsidR="004364EE">
        <w:rPr>
          <w:rFonts w:cs="Times New Roman"/>
          <w:i/>
          <w:szCs w:val="24"/>
        </w:rPr>
        <w:t>C. cr.</w:t>
      </w:r>
      <w:r w:rsidRPr="00EB5449">
        <w:rPr>
          <w:rFonts w:cs="Times New Roman"/>
          <w:szCs w:val="24"/>
        </w:rPr>
        <w:t>)</w:t>
      </w:r>
      <w:r w:rsidRPr="00EB5449">
        <w:rPr>
          <w:rFonts w:cs="Times New Roman"/>
          <w:i/>
          <w:szCs w:val="24"/>
        </w:rPr>
        <w:t xml:space="preserve"> </w:t>
      </w:r>
      <w:r w:rsidRPr="00EB5449">
        <w:rPr>
          <w:rFonts w:cs="Times New Roman"/>
          <w:szCs w:val="24"/>
        </w:rPr>
        <w:t>n’atteint pas le niveau d’importance justifiant cette analogie.</w:t>
      </w:r>
    </w:p>
    <w:p w:rsidR="00CE3216" w:rsidRPr="00EB5449" w:rsidRDefault="00CE3216" w:rsidP="00CE3216">
      <w:pPr>
        <w:pStyle w:val="ParaNoNdepar-AltN"/>
        <w:widowControl w:val="0"/>
        <w:rPr>
          <w:rFonts w:cs="Times New Roman"/>
          <w:szCs w:val="24"/>
        </w:rPr>
      </w:pPr>
      <w:r w:rsidRPr="00EB5449">
        <w:rPr>
          <w:rFonts w:cs="Times New Roman"/>
          <w:szCs w:val="24"/>
        </w:rPr>
        <w:t xml:space="preserve">Il est vrai qu’il existe des similitudes entre la décision sur la mise en liberté provisoire et celle relative à la peine. Bien que de nature discrétionnaire, les </w:t>
      </w:r>
      <w:r w:rsidRPr="00EB5449">
        <w:rPr>
          <w:rFonts w:cs="Times New Roman"/>
          <w:szCs w:val="24"/>
        </w:rPr>
        <w:lastRenderedPageBreak/>
        <w:t>deux décisions sont encadrées par des paramètres législatifs. Dans les deux cas, les règles d’admissibilité de la preuve sont assouplies</w:t>
      </w:r>
      <w:r>
        <w:rPr>
          <w:rFonts w:cs="Times New Roman"/>
          <w:szCs w:val="24"/>
        </w:rPr>
        <w:t> :</w:t>
      </w:r>
      <w:r w:rsidRPr="00EB5449">
        <w:rPr>
          <w:rFonts w:cs="Times New Roman"/>
          <w:szCs w:val="24"/>
        </w:rPr>
        <w:t xml:space="preserve"> art. 518 et 723 </w:t>
      </w:r>
      <w:r w:rsidR="004364EE">
        <w:rPr>
          <w:rFonts w:cs="Times New Roman"/>
          <w:i/>
          <w:iCs/>
          <w:szCs w:val="24"/>
        </w:rPr>
        <w:t>C. cr.</w:t>
      </w:r>
      <w:r w:rsidRPr="00EB5449">
        <w:rPr>
          <w:rFonts w:cs="Times New Roman"/>
          <w:szCs w:val="24"/>
        </w:rPr>
        <w:t xml:space="preserve"> De plus, la mise en liberté de l’accusé doit être ordonnée sauf si la poursuite fait valoir des motifs justifiant sa détention</w:t>
      </w:r>
      <w:r>
        <w:rPr>
          <w:rFonts w:cs="Times New Roman"/>
          <w:szCs w:val="24"/>
        </w:rPr>
        <w:t> :</w:t>
      </w:r>
      <w:r w:rsidRPr="00EB5449">
        <w:rPr>
          <w:rFonts w:cs="Times New Roman"/>
          <w:szCs w:val="24"/>
        </w:rPr>
        <w:t xml:space="preserve"> par. 515(2) et (10) </w:t>
      </w:r>
      <w:r w:rsidR="004364EE">
        <w:rPr>
          <w:rFonts w:cs="Times New Roman"/>
          <w:i/>
          <w:iCs/>
          <w:szCs w:val="24"/>
        </w:rPr>
        <w:t>C. cr.</w:t>
      </w:r>
      <w:r w:rsidRPr="00EB5449">
        <w:rPr>
          <w:rFonts w:cs="Times New Roman"/>
          <w:szCs w:val="24"/>
        </w:rPr>
        <w:t xml:space="preserve"> Similairement, le juge qui statue sur la peine doit opter pour la sanction la moins contraignante compte tenu des circonstances</w:t>
      </w:r>
      <w:r>
        <w:rPr>
          <w:rFonts w:cs="Times New Roman"/>
          <w:szCs w:val="24"/>
        </w:rPr>
        <w:t> :</w:t>
      </w:r>
      <w:r w:rsidRPr="00EB5449">
        <w:rPr>
          <w:rFonts w:cs="Times New Roman"/>
          <w:szCs w:val="24"/>
        </w:rPr>
        <w:t xml:space="preserve"> al. 718.2</w:t>
      </w:r>
      <w:r w:rsidRPr="00EB5449">
        <w:rPr>
          <w:rFonts w:cs="Times New Roman"/>
          <w:i/>
          <w:iCs/>
          <w:szCs w:val="24"/>
        </w:rPr>
        <w:t>d</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Enfin, les diverses possibilités dont dispose le juge sont semblables. Dans le cas de la mise en liberté provisoire, le juge peut libérer l’accusé sans condition, l’assujettir à des conditions de mise en liberté provisoire prévues par la loi (avec ou sans caution), exiger le versement d’un dépôt, ou ordonner sa détention</w:t>
      </w:r>
      <w:r>
        <w:rPr>
          <w:rFonts w:cs="Times New Roman"/>
          <w:szCs w:val="24"/>
        </w:rPr>
        <w:t> :</w:t>
      </w:r>
      <w:r w:rsidRPr="00EB5449">
        <w:rPr>
          <w:rFonts w:cs="Times New Roman"/>
          <w:szCs w:val="24"/>
        </w:rPr>
        <w:t xml:space="preserve"> par. 515(1), al. 515(2)</w:t>
      </w:r>
      <w:r w:rsidRPr="00EB5449">
        <w:rPr>
          <w:rFonts w:cs="Times New Roman"/>
          <w:i/>
          <w:iCs/>
          <w:szCs w:val="24"/>
        </w:rPr>
        <w:t>a</w:t>
      </w:r>
      <w:r w:rsidRPr="00EB5449">
        <w:rPr>
          <w:rFonts w:cs="Times New Roman"/>
          <w:szCs w:val="24"/>
        </w:rPr>
        <w:t xml:space="preserve">) à </w:t>
      </w:r>
      <w:r w:rsidRPr="00EB5449">
        <w:rPr>
          <w:rFonts w:cs="Times New Roman"/>
          <w:i/>
          <w:iCs/>
          <w:szCs w:val="24"/>
        </w:rPr>
        <w:t>d</w:t>
      </w:r>
      <w:r w:rsidRPr="00EB5449">
        <w:rPr>
          <w:rFonts w:cs="Times New Roman"/>
          <w:szCs w:val="24"/>
        </w:rPr>
        <w:t xml:space="preserve">), par. 515(4) à (4.3), par. 515(5) et par. 515(8) </w:t>
      </w:r>
      <w:r w:rsidR="004364EE">
        <w:rPr>
          <w:rFonts w:cs="Times New Roman"/>
          <w:i/>
          <w:iCs/>
          <w:szCs w:val="24"/>
        </w:rPr>
        <w:t>C. cr.</w:t>
      </w:r>
      <w:r w:rsidRPr="00EB5449">
        <w:rPr>
          <w:rFonts w:cs="Times New Roman"/>
          <w:szCs w:val="24"/>
        </w:rPr>
        <w:t xml:space="preserve"> Dans le cas de la peine, le juge peut absoudre l’accusé, l’assujettir à des conditions de probation prévues par la loi, le condamner à une amende ou lui infliger une peine d’emprisonnement</w:t>
      </w:r>
      <w:r>
        <w:rPr>
          <w:rFonts w:cs="Times New Roman"/>
          <w:szCs w:val="24"/>
        </w:rPr>
        <w:t> :</w:t>
      </w:r>
      <w:r w:rsidRPr="00EB5449">
        <w:rPr>
          <w:rFonts w:cs="Times New Roman"/>
          <w:szCs w:val="24"/>
        </w:rPr>
        <w:t xml:space="preserve"> art. 730, 731 et 734 et par. 732.1(3) </w:t>
      </w:r>
      <w:r w:rsidR="004364EE">
        <w:rPr>
          <w:rFonts w:cs="Times New Roman"/>
          <w:i/>
          <w:iCs/>
          <w:szCs w:val="24"/>
        </w:rPr>
        <w:t>C. cr.</w:t>
      </w:r>
      <w:r w:rsidRPr="00EB5449">
        <w:rPr>
          <w:rFonts w:cs="Times New Roman"/>
          <w:szCs w:val="24"/>
        </w:rPr>
        <w:t xml:space="preserv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Cela dit, il existe aussi des différences notables entre la décision sur la mise en liberté provisoire et celle relative à la peine. Dans l’arrêt </w:t>
      </w:r>
      <w:r w:rsidRPr="00EB5449">
        <w:rPr>
          <w:rFonts w:cs="Times New Roman"/>
          <w:i/>
          <w:iCs/>
          <w:szCs w:val="24"/>
        </w:rPr>
        <w:t>Toronto Star Newspapers Ltd</w:t>
      </w:r>
      <w:r w:rsidRPr="00EB5449">
        <w:rPr>
          <w:rFonts w:cs="Times New Roman"/>
          <w:szCs w:val="24"/>
        </w:rPr>
        <w:t xml:space="preserve">. </w:t>
      </w:r>
      <w:r w:rsidRPr="00EB5449">
        <w:rPr>
          <w:rFonts w:cs="Times New Roman"/>
          <w:i/>
          <w:iCs/>
          <w:szCs w:val="24"/>
        </w:rPr>
        <w:t>c. Canada</w:t>
      </w:r>
      <w:r w:rsidRPr="00EB5449">
        <w:rPr>
          <w:rFonts w:cs="Times New Roman"/>
          <w:szCs w:val="24"/>
        </w:rPr>
        <w:t>, 2010 CSC 21, [2010] 1 R.C.S. 721, notre Cour a rappelé la nature expéditive de notre système de remise en liberté provisoire et ses implications</w:t>
      </w:r>
      <w:r>
        <w:rPr>
          <w:rFonts w:cs="Times New Roman"/>
          <w:szCs w:val="24"/>
        </w:rPr>
        <w:t> :</w:t>
      </w:r>
    </w:p>
    <w:p w:rsidR="00CE3216" w:rsidRPr="00EB5449" w:rsidRDefault="00CE3216" w:rsidP="00CE3216">
      <w:pPr>
        <w:pStyle w:val="Citation-AltC"/>
        <w:widowControl w:val="0"/>
        <w:rPr>
          <w:szCs w:val="24"/>
          <w:lang w:val="fr-FR"/>
        </w:rPr>
      </w:pPr>
      <w:r>
        <w:rPr>
          <w:szCs w:val="24"/>
          <w:lang w:val="fr-FR"/>
        </w:rPr>
        <w:t>. . .</w:t>
      </w:r>
      <w:r w:rsidRPr="00EB5449">
        <w:rPr>
          <w:szCs w:val="24"/>
          <w:lang w:val="fr-FR"/>
        </w:rPr>
        <w:t xml:space="preserve"> l’al. 503(1)</w:t>
      </w:r>
      <w:r w:rsidRPr="00EB5449">
        <w:rPr>
          <w:i/>
          <w:szCs w:val="24"/>
          <w:lang w:val="fr-FR"/>
        </w:rPr>
        <w:t>a</w:t>
      </w:r>
      <w:r w:rsidRPr="00EB5449">
        <w:rPr>
          <w:szCs w:val="24"/>
          <w:lang w:val="fr-FR"/>
        </w:rPr>
        <w:t xml:space="preserve">) </w:t>
      </w:r>
      <w:r w:rsidRPr="00EB5449">
        <w:rPr>
          <w:i/>
          <w:iCs/>
          <w:szCs w:val="24"/>
          <w:lang w:val="fr-FR"/>
        </w:rPr>
        <w:t>C</w:t>
      </w:r>
      <w:r w:rsidRPr="00EB5449">
        <w:rPr>
          <w:szCs w:val="24"/>
          <w:lang w:val="fr-FR"/>
        </w:rPr>
        <w:t xml:space="preserve">. </w:t>
      </w:r>
      <w:r w:rsidRPr="00EB5449">
        <w:rPr>
          <w:i/>
          <w:iCs/>
          <w:szCs w:val="24"/>
          <w:lang w:val="fr-FR"/>
        </w:rPr>
        <w:t xml:space="preserve">cr. </w:t>
      </w:r>
      <w:r w:rsidRPr="00EB5449">
        <w:rPr>
          <w:szCs w:val="24"/>
          <w:lang w:val="fr-FR"/>
        </w:rPr>
        <w:t xml:space="preserve">prévoit qu’une personne qui est arrêtée puis mise sous garde doit être conduite devant un juge de paix </w:t>
      </w:r>
      <w:r>
        <w:rPr>
          <w:szCs w:val="24"/>
          <w:lang w:val="fr-FR"/>
        </w:rPr>
        <w:t>« </w:t>
      </w:r>
      <w:r w:rsidRPr="00EB5449">
        <w:rPr>
          <w:szCs w:val="24"/>
          <w:lang w:val="fr-FR"/>
        </w:rPr>
        <w:t>sans retard injustifié</w:t>
      </w:r>
      <w:r>
        <w:rPr>
          <w:szCs w:val="24"/>
          <w:lang w:val="fr-FR"/>
        </w:rPr>
        <w:t> »</w:t>
      </w:r>
      <w:r w:rsidRPr="00EB5449">
        <w:rPr>
          <w:szCs w:val="24"/>
          <w:lang w:val="fr-FR"/>
        </w:rPr>
        <w:t xml:space="preserve"> et, dans tous les cas, dans un délai de 24 heures suivant son arrestation.</w:t>
      </w:r>
      <w:r>
        <w:rPr>
          <w:szCs w:val="24"/>
          <w:lang w:val="fr-FR"/>
        </w:rPr>
        <w:t xml:space="preserve"> </w:t>
      </w:r>
      <w:r w:rsidRPr="00EB5449">
        <w:rPr>
          <w:szCs w:val="24"/>
          <w:lang w:val="fr-FR"/>
        </w:rPr>
        <w:t xml:space="preserve"> Selon l’art. 515 </w:t>
      </w:r>
      <w:r w:rsidRPr="00EB5449">
        <w:rPr>
          <w:i/>
          <w:iCs/>
          <w:szCs w:val="24"/>
          <w:lang w:val="fr-FR"/>
        </w:rPr>
        <w:t>C. cr.</w:t>
      </w:r>
      <w:r w:rsidRPr="00EB5449">
        <w:rPr>
          <w:szCs w:val="24"/>
          <w:lang w:val="fr-FR"/>
        </w:rPr>
        <w:t xml:space="preserve">, le juge de paix </w:t>
      </w:r>
      <w:r w:rsidRPr="00EB5449">
        <w:rPr>
          <w:i/>
          <w:iCs/>
          <w:szCs w:val="24"/>
          <w:lang w:val="fr-FR"/>
        </w:rPr>
        <w:t>doit</w:t>
      </w:r>
      <w:r w:rsidRPr="00EB5449">
        <w:rPr>
          <w:szCs w:val="24"/>
          <w:lang w:val="fr-FR"/>
        </w:rPr>
        <w:t xml:space="preserve"> mettre la personne en liberté, à moins que le poursuivant ne fasse valoir des motifs justifiant sa détention continue.</w:t>
      </w:r>
      <w:r>
        <w:rPr>
          <w:szCs w:val="24"/>
          <w:lang w:val="fr-FR"/>
        </w:rPr>
        <w:t xml:space="preserve"> </w:t>
      </w:r>
      <w:r w:rsidRPr="00EB5449">
        <w:rPr>
          <w:szCs w:val="24"/>
          <w:lang w:val="fr-FR"/>
        </w:rPr>
        <w:t xml:space="preserve"> Seuls des motifs restreints peuvent être invoqués </w:t>
      </w:r>
      <w:r w:rsidRPr="00EB5449">
        <w:rPr>
          <w:szCs w:val="24"/>
          <w:lang w:val="fr-FR"/>
        </w:rPr>
        <w:lastRenderedPageBreak/>
        <w:t>pour refuser la mise en liberté.</w:t>
      </w:r>
      <w:r>
        <w:rPr>
          <w:szCs w:val="24"/>
          <w:lang w:val="fr-FR"/>
        </w:rPr>
        <w:t xml:space="preserve"> </w:t>
      </w:r>
      <w:r w:rsidRPr="00EB5449">
        <w:rPr>
          <w:szCs w:val="24"/>
          <w:lang w:val="fr-FR"/>
        </w:rPr>
        <w:t xml:space="preserve"> </w:t>
      </w:r>
      <w:r w:rsidRPr="00EB5449">
        <w:rPr>
          <w:szCs w:val="24"/>
          <w:u w:val="single"/>
          <w:lang w:val="fr-FR"/>
        </w:rPr>
        <w:t>Dans le court délai accordé pour justifier la détention</w:t>
      </w:r>
      <w:r w:rsidRPr="00EB5449">
        <w:rPr>
          <w:szCs w:val="24"/>
          <w:lang w:val="fr-FR"/>
        </w:rPr>
        <w:t xml:space="preserve">, la poursuite doit réunir les éléments de preuve qu’elle entend utiliser à l’enquête sur remise en liberté provisoire, ce qui signifie qu’elle pourrait ne pas avoir le temps de rencontrer les témoins et de mener une enquête plus poussée sur les questions pertinentes pour le cautionnement; le par. 516(1) </w:t>
      </w:r>
      <w:r w:rsidRPr="00EB5449">
        <w:rPr>
          <w:i/>
          <w:iCs/>
          <w:szCs w:val="24"/>
          <w:lang w:val="fr-FR"/>
        </w:rPr>
        <w:t>C. cr.</w:t>
      </w:r>
      <w:r w:rsidRPr="00EB5449">
        <w:rPr>
          <w:szCs w:val="24"/>
          <w:lang w:val="fr-FR"/>
        </w:rPr>
        <w:t xml:space="preserve"> prévoit que l’ajournement d’une enquête sur remise en liberté provisoire ne peut dépasser trois jours, sauf avec le consentement du prévenu; l’ordonnance peut être révisée à la demande de l’accusé après que celui</w:t>
      </w:r>
      <w:r>
        <w:rPr>
          <w:szCs w:val="24"/>
          <w:lang w:val="fr-FR"/>
        </w:rPr>
        <w:t>-</w:t>
      </w:r>
      <w:r w:rsidRPr="00EB5449">
        <w:rPr>
          <w:szCs w:val="24"/>
          <w:lang w:val="fr-FR"/>
        </w:rPr>
        <w:t xml:space="preserve">ci a donné un préavis de deux jours au poursuivant (par. 520(1) et (2) </w:t>
      </w:r>
      <w:r w:rsidRPr="00EB5449">
        <w:rPr>
          <w:i/>
          <w:iCs/>
          <w:szCs w:val="24"/>
          <w:lang w:val="fr-FR"/>
        </w:rPr>
        <w:t>C. cr.</w:t>
      </w:r>
      <w:r w:rsidRPr="00EB5449">
        <w:rPr>
          <w:szCs w:val="24"/>
          <w:lang w:val="fr-FR"/>
        </w:rPr>
        <w:t xml:space="preserve">).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ind w:firstLine="274"/>
        <w:rPr>
          <w:szCs w:val="24"/>
        </w:rPr>
      </w:pPr>
      <w:r w:rsidRPr="00EB5449">
        <w:rPr>
          <w:szCs w:val="24"/>
          <w:lang w:val="fr-FR"/>
        </w:rPr>
        <w:t xml:space="preserve">Afin d’éviter tout retard qui serait préjudiciable à un accusé devant être mis en liberté tout en s’assurant que ceux qui ne satisfont pas aux conditions demeurent en détention, </w:t>
      </w:r>
      <w:r w:rsidRPr="00EB5449">
        <w:rPr>
          <w:szCs w:val="24"/>
          <w:u w:val="single"/>
          <w:lang w:val="fr-FR"/>
        </w:rPr>
        <w:t>il a fallu trouver des compromis quant à la nature de la preuve produite lors de l’enquête sur remise en liberté provisoire</w:t>
      </w:r>
      <w:r w:rsidRPr="00EB5449">
        <w:rPr>
          <w:szCs w:val="24"/>
          <w:lang w:val="fr-FR"/>
        </w:rPr>
        <w:t>.</w:t>
      </w:r>
      <w:r>
        <w:rPr>
          <w:szCs w:val="24"/>
          <w:lang w:val="fr-FR"/>
        </w:rPr>
        <w:t xml:space="preserve"> </w:t>
      </w:r>
      <w:r w:rsidRPr="00EB5449">
        <w:rPr>
          <w:szCs w:val="24"/>
          <w:lang w:val="fr-FR"/>
        </w:rPr>
        <w:t xml:space="preserve"> Il n’y a pratiquement aucune interdiction quant à ce que le poursuivant peut produire en preuve afin de démontrer que l’accusé doit être placé en détention.</w:t>
      </w:r>
      <w:r>
        <w:rPr>
          <w:szCs w:val="24"/>
          <w:lang w:val="fr-FR"/>
        </w:rPr>
        <w:t xml:space="preserve"> </w:t>
      </w:r>
      <w:r w:rsidRPr="00EB5449">
        <w:rPr>
          <w:szCs w:val="24"/>
          <w:lang w:val="fr-FR"/>
        </w:rPr>
        <w:t xml:space="preserve"> Selon l’al.</w:t>
      </w:r>
      <w:r>
        <w:rPr>
          <w:szCs w:val="24"/>
          <w:lang w:val="fr-FR"/>
        </w:rPr>
        <w:t xml:space="preserve"> </w:t>
      </w:r>
      <w:r w:rsidRPr="00EB5449">
        <w:rPr>
          <w:szCs w:val="24"/>
          <w:lang w:val="fr-FR"/>
        </w:rPr>
        <w:t>518(1)</w:t>
      </w:r>
      <w:r w:rsidRPr="00EB5449">
        <w:rPr>
          <w:i/>
          <w:iCs/>
          <w:szCs w:val="24"/>
          <w:lang w:val="fr-FR"/>
        </w:rPr>
        <w:t>e</w:t>
      </w:r>
      <w:r w:rsidRPr="00EB5449">
        <w:rPr>
          <w:szCs w:val="24"/>
          <w:lang w:val="fr-FR"/>
        </w:rPr>
        <w:t xml:space="preserve">) </w:t>
      </w:r>
      <w:r w:rsidRPr="00EB5449">
        <w:rPr>
          <w:i/>
          <w:iCs/>
          <w:szCs w:val="24"/>
          <w:lang w:val="fr-FR"/>
        </w:rPr>
        <w:t>C. cr.</w:t>
      </w:r>
      <w:r w:rsidRPr="00EB5449">
        <w:rPr>
          <w:szCs w:val="24"/>
          <w:lang w:val="fr-FR"/>
        </w:rPr>
        <w:t xml:space="preserve">, le poursuivant peut présenter toute preuve </w:t>
      </w:r>
      <w:r>
        <w:rPr>
          <w:szCs w:val="24"/>
          <w:lang w:val="fr-FR"/>
        </w:rPr>
        <w:t>« </w:t>
      </w:r>
      <w:r w:rsidRPr="00EB5449">
        <w:rPr>
          <w:szCs w:val="24"/>
          <w:lang w:val="fr-FR"/>
        </w:rPr>
        <w:t>plausible ou digne de foi</w:t>
      </w:r>
      <w:r>
        <w:rPr>
          <w:szCs w:val="24"/>
          <w:lang w:val="fr-FR"/>
        </w:rPr>
        <w:t> »</w:t>
      </w:r>
      <w:r w:rsidRPr="00EB5449">
        <w:rPr>
          <w:szCs w:val="24"/>
          <w:lang w:val="fr-FR"/>
        </w:rPr>
        <w:t xml:space="preserve">, soit notamment les confessions dont on n’a pas vérifié le caractère volontaire ou la conformité à la </w:t>
      </w:r>
      <w:r w:rsidRPr="00EB5449">
        <w:rPr>
          <w:i/>
          <w:iCs/>
          <w:szCs w:val="24"/>
          <w:lang w:val="fr-FR"/>
        </w:rPr>
        <w:t>Charte</w:t>
      </w:r>
      <w:r w:rsidRPr="00EB5449">
        <w:rPr>
          <w:szCs w:val="24"/>
          <w:lang w:val="fr-FR"/>
        </w:rPr>
        <w:t>, la preuve de mauvaise moralité, la preuve obtenue par écoute électronique ou la preuve par ouï</w:t>
      </w:r>
      <w:r>
        <w:rPr>
          <w:szCs w:val="24"/>
          <w:lang w:val="fr-FR"/>
        </w:rPr>
        <w:t>-</w:t>
      </w:r>
      <w:r w:rsidRPr="00EB5449">
        <w:rPr>
          <w:szCs w:val="24"/>
          <w:lang w:val="fr-FR"/>
        </w:rPr>
        <w:t>dire, tout comportement ambigu postérieur à l’infraction, la preuve de faits similaires qui n’a été soumise à aucun examen, les déclarations de culpabilité antérieures, les accusations en instance n’ayant fait l’objet d’aucun procès, ainsi que les renseignements personnels concernant le mode de vie et les habitudes sociales.</w:t>
      </w:r>
      <w:r>
        <w:rPr>
          <w:szCs w:val="24"/>
          <w:lang w:val="fr-FR"/>
        </w:rPr>
        <w:t xml:space="preserve"> </w:t>
      </w:r>
      <w:r w:rsidRPr="00EB5449">
        <w:rPr>
          <w:szCs w:val="24"/>
          <w:lang w:val="fr-FR"/>
        </w:rPr>
        <w:t xml:space="preserve"> Le juge de paix dispose d’un vaste pouvoir discrétionnaire qui lui permet de </w:t>
      </w:r>
      <w:r>
        <w:rPr>
          <w:szCs w:val="24"/>
          <w:lang w:val="fr-FR"/>
        </w:rPr>
        <w:t>« </w:t>
      </w:r>
      <w:r w:rsidRPr="00EB5449">
        <w:rPr>
          <w:szCs w:val="24"/>
          <w:lang w:val="fr-FR"/>
        </w:rPr>
        <w:t>faire, auprès du prévenu ou à son sujet, sous serment ou autrement, les enquêtes qu’il estime opportunes</w:t>
      </w:r>
      <w:r>
        <w:rPr>
          <w:szCs w:val="24"/>
          <w:lang w:val="fr-FR"/>
        </w:rPr>
        <w:t> »</w:t>
      </w:r>
      <w:r w:rsidRPr="00EB5449">
        <w:rPr>
          <w:szCs w:val="24"/>
          <w:lang w:val="fr-FR"/>
        </w:rPr>
        <w:t xml:space="preserve"> (al. 518(1)</w:t>
      </w:r>
      <w:r w:rsidRPr="00EB5449">
        <w:rPr>
          <w:i/>
          <w:iCs/>
          <w:szCs w:val="24"/>
          <w:lang w:val="fr-FR"/>
        </w:rPr>
        <w:t>a</w:t>
      </w:r>
      <w:r w:rsidRPr="00EB5449">
        <w:rPr>
          <w:szCs w:val="24"/>
          <w:lang w:val="fr-FR"/>
        </w:rPr>
        <w:t>)).</w:t>
      </w:r>
      <w:r>
        <w:rPr>
          <w:szCs w:val="24"/>
          <w:lang w:val="fr-FR"/>
        </w:rPr>
        <w:t xml:space="preserve"> </w:t>
      </w:r>
      <w:r w:rsidRPr="00EB5449">
        <w:rPr>
          <w:szCs w:val="24"/>
          <w:lang w:val="fr-FR"/>
        </w:rPr>
        <w:t xml:space="preserve"> </w:t>
      </w:r>
      <w:r w:rsidRPr="00EB5449">
        <w:rPr>
          <w:szCs w:val="24"/>
          <w:u w:val="single"/>
          <w:lang w:val="fr-FR"/>
        </w:rPr>
        <w:t>Le processus est informel et l’enquête sur remise en liberté provisoire peut même avoir lieu par téléphone</w:t>
      </w:r>
      <w:r w:rsidRPr="00EB5449">
        <w:rPr>
          <w:szCs w:val="24"/>
          <w:lang w:val="fr-FR"/>
        </w:rPr>
        <w:t xml:space="preserve"> (par. 515(2.2)). [Je souligne; par. 27-28.]</w:t>
      </w:r>
    </w:p>
    <w:p w:rsidR="00CE3216" w:rsidRPr="00EB5449" w:rsidRDefault="00CE3216" w:rsidP="00CE3216">
      <w:pPr>
        <w:pStyle w:val="ParaNoNdepar-AltN"/>
        <w:widowControl w:val="0"/>
        <w:rPr>
          <w:rFonts w:cs="Times New Roman"/>
          <w:szCs w:val="24"/>
        </w:rPr>
      </w:pPr>
      <w:r w:rsidRPr="00EB5449">
        <w:rPr>
          <w:rFonts w:cs="Times New Roman"/>
          <w:szCs w:val="24"/>
        </w:rPr>
        <w:t xml:space="preserve">Ce choix conscient de tenir rapidement une enquête sur la mise en liberté repose sur l’importance que notre société accorde à la présomption d’innocence et au droit à la liberté des individus, même lorsqu’ils sont accusés d’une infraction criminelle sérieuse. Mais ce traitement rapide n’est pas sans conséquence pour l’accusé. Ce dernier a généralement très peu de temps pour choisir un avocat, et il peut arriver que celui-ci ne soit même pas représenté par avocat lors de l’enquête sur </w:t>
      </w:r>
      <w:r w:rsidRPr="00EB5449">
        <w:rPr>
          <w:rFonts w:cs="Times New Roman"/>
          <w:szCs w:val="24"/>
        </w:rPr>
        <w:lastRenderedPageBreak/>
        <w:t xml:space="preserve">sa mise en liberté. De plus, l’accusé ou son avocat ont très peu de temps pour, entre autres, examiner la preuve du poursuivant, l’analyser, établir une stratégie de défense, et prendre les meilleures décisions possibles sur la conduite à adopter.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Par ailleurs, le juge qui détermine la peine est souvent celui qui a présidé le procès de l’accusé. Ainsi, même si l’appelante fait valoir que les règles d’admissibilité de la preuve sont assouplies, la décision sur la peine est rendue à la fin d’un long processus, au cours duquel le juge a généralement analysé une preuve abondante et possède une meilleure connaissance de l’accusé devant lui. Le juge qui décide de la peine n’est donc pas dans la même position que celui qui doit décider de la mise en liberté provisoire de l’accusé.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Enfin, il importe de rappeler que, lors de la détermination de la peine, l’accusé a déjà été reconnu coupable et il ne bénéficie donc plus de la présomption d’innocence. Toutefois, la peine peut avoir des répercussions à plus long terme sur sa vie que celles inhérentes à sa détention provisoire.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En conséquence, la comparaison entre la décision sur la mise en liberté provisoire et celle relative à la peine est intéressante, mais elle ne peut à elle seule être déterminante, vu les différences entre ces deux types de décision.  </w:t>
      </w:r>
    </w:p>
    <w:p w:rsidR="00CE3216" w:rsidRPr="00EB5449" w:rsidRDefault="00CE3216" w:rsidP="00CE3216">
      <w:pPr>
        <w:pStyle w:val="Title3LevelTitre3Niveau"/>
        <w:widowControl w:val="0"/>
        <w:rPr>
          <w:rFonts w:cs="Times New Roman"/>
          <w:szCs w:val="24"/>
        </w:rPr>
      </w:pPr>
      <w:r w:rsidRPr="00EB5449">
        <w:rPr>
          <w:rFonts w:cs="Times New Roman"/>
          <w:szCs w:val="24"/>
        </w:rPr>
        <w:t xml:space="preserve">La nature de la décision qui fait l’objet de la révision en vertu des art. 520 et 521 </w:t>
      </w:r>
      <w:r w:rsidR="004364EE">
        <w:rPr>
          <w:rFonts w:cs="Times New Roman"/>
          <w:i/>
          <w:iCs/>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lastRenderedPageBreak/>
        <w:t xml:space="preserve">La décision relative à la mise en liberté provisoire de l’accusé est souvent qualifiée de </w:t>
      </w:r>
      <w:r>
        <w:rPr>
          <w:rFonts w:cs="Times New Roman"/>
          <w:szCs w:val="24"/>
        </w:rPr>
        <w:t>« </w:t>
      </w:r>
      <w:r w:rsidRPr="00EB5449">
        <w:rPr>
          <w:rFonts w:cs="Times New Roman"/>
          <w:szCs w:val="24"/>
        </w:rPr>
        <w:t>discrétionnaire</w:t>
      </w:r>
      <w:r>
        <w:rPr>
          <w:rFonts w:cs="Times New Roman"/>
          <w:szCs w:val="24"/>
        </w:rPr>
        <w:t> »</w:t>
      </w:r>
      <w:r w:rsidRPr="00EB5449">
        <w:rPr>
          <w:rFonts w:cs="Times New Roman"/>
          <w:szCs w:val="24"/>
        </w:rPr>
        <w:t xml:space="preserve">. Il faut être prudent avec ce qualificatif dans le contexte de cette disposition du </w:t>
      </w:r>
      <w:r w:rsidRPr="00EB5449">
        <w:rPr>
          <w:rFonts w:cs="Times New Roman"/>
          <w:i/>
          <w:iCs/>
          <w:szCs w:val="24"/>
        </w:rPr>
        <w:t>Code criminel</w:t>
      </w:r>
      <w:r w:rsidRPr="00EB5449">
        <w:rPr>
          <w:rFonts w:cs="Times New Roman"/>
          <w:szCs w:val="24"/>
        </w:rPr>
        <w:t xml:space="preserve">, car la mise en liberté de l’accusé demeure la règle, à moins que sa détention ne soit justifiée pour l’un des motifs énumérés au par. 515(10) </w:t>
      </w:r>
      <w:r w:rsidR="004364EE">
        <w:rPr>
          <w:rFonts w:cs="Times New Roman"/>
          <w:i/>
          <w:iCs/>
          <w:szCs w:val="24"/>
        </w:rPr>
        <w:t>C. cr.</w:t>
      </w:r>
      <w:r w:rsidRPr="00EB5449">
        <w:rPr>
          <w:rFonts w:cs="Times New Roman"/>
          <w:szCs w:val="24"/>
        </w:rPr>
        <w:t xml:space="preserve"> </w:t>
      </w:r>
    </w:p>
    <w:p w:rsidR="00CE3216" w:rsidRPr="00EB5449" w:rsidRDefault="00CE3216" w:rsidP="00CE3216">
      <w:pPr>
        <w:pStyle w:val="ParaNoNdepar-AltN"/>
        <w:widowControl w:val="0"/>
        <w:rPr>
          <w:rFonts w:cs="Times New Roman"/>
          <w:szCs w:val="24"/>
        </w:rPr>
      </w:pPr>
      <w:r w:rsidRPr="00EB5449">
        <w:rPr>
          <w:rFonts w:cs="Times New Roman"/>
          <w:szCs w:val="24"/>
        </w:rPr>
        <w:t>Il n’en reste pas moins que l’al. 515(10)</w:t>
      </w:r>
      <w:r w:rsidRPr="00EB5449">
        <w:rPr>
          <w:rFonts w:cs="Times New Roman"/>
          <w:i/>
          <w:iCs/>
          <w:szCs w:val="24"/>
        </w:rPr>
        <w:t>c</w:t>
      </w:r>
      <w:r w:rsidRPr="00EB5449">
        <w:rPr>
          <w:rFonts w:cs="Times New Roman"/>
          <w:szCs w:val="24"/>
        </w:rPr>
        <w:t xml:space="preserve">) appelle le juge à effectuer un exercice de pondération entre divers facteurs, notamment ceux énumérés à cette disposition. Dans le cadre de cet exercice, le juge doit principalement tirer des conclusions de fait et en apprécier la valeur afin de déterminer si la détention est justifiée. En conséquence, cette disposition oblige le juge à apprécier l’opportunité d’une décision et, en ce sens, celle-ci peut être qualifiée de </w:t>
      </w:r>
      <w:r>
        <w:rPr>
          <w:rFonts w:cs="Times New Roman"/>
          <w:szCs w:val="24"/>
        </w:rPr>
        <w:t>« </w:t>
      </w:r>
      <w:r w:rsidRPr="00EB5449">
        <w:rPr>
          <w:rFonts w:cs="Times New Roman"/>
          <w:szCs w:val="24"/>
        </w:rPr>
        <w:t>discrétionnaire</w:t>
      </w:r>
      <w:r>
        <w:rPr>
          <w:rFonts w:cs="Times New Roman"/>
          <w:szCs w:val="24"/>
        </w:rPr>
        <w:t> »</w:t>
      </w:r>
      <w:r w:rsidRPr="00EB5449">
        <w:rPr>
          <w:rFonts w:cs="Times New Roman"/>
          <w:szCs w:val="24"/>
        </w:rPr>
        <w:t>.</w:t>
      </w:r>
    </w:p>
    <w:p w:rsidR="00CE3216" w:rsidRPr="00EB5449" w:rsidRDefault="00CE3216" w:rsidP="00CE3216">
      <w:pPr>
        <w:pStyle w:val="ParaNoNdepar-AltN"/>
        <w:widowControl w:val="0"/>
        <w:rPr>
          <w:rFonts w:cs="Times New Roman"/>
          <w:szCs w:val="24"/>
        </w:rPr>
      </w:pPr>
      <w:r w:rsidRPr="00EB5449">
        <w:rPr>
          <w:rFonts w:cs="Times New Roman"/>
          <w:szCs w:val="24"/>
        </w:rPr>
        <w:t xml:space="preserve">J’ai déjà traité de l’argument relatif à la similitude entre la décision sur mise en liberté et celle relative à la peine. Il est utile de revenir sur le caractère discrétionnaire de cette décision. Dans </w:t>
      </w:r>
      <w:r w:rsidRPr="00EB5449">
        <w:rPr>
          <w:rFonts w:cs="Times New Roman"/>
          <w:i/>
          <w:iCs/>
          <w:spacing w:val="-3"/>
          <w:szCs w:val="24"/>
        </w:rPr>
        <w:t>Shropshire</w:t>
      </w:r>
      <w:r w:rsidRPr="00EB5449">
        <w:rPr>
          <w:rFonts w:cs="Times New Roman"/>
          <w:spacing w:val="-3"/>
          <w:szCs w:val="24"/>
        </w:rPr>
        <w:t xml:space="preserve">, notre Cour a repris les propos de la Cour d’appel de la Nouvelle-Écosse, citant </w:t>
      </w:r>
      <w:r w:rsidRPr="00EB5449">
        <w:rPr>
          <w:rFonts w:cs="Times New Roman"/>
          <w:i/>
          <w:spacing w:val="-3"/>
          <w:szCs w:val="24"/>
        </w:rPr>
        <w:t>R. c. Muise</w:t>
      </w:r>
      <w:r w:rsidRPr="00EB5449">
        <w:rPr>
          <w:rFonts w:cs="Times New Roman"/>
          <w:spacing w:val="-3"/>
          <w:szCs w:val="24"/>
        </w:rPr>
        <w:t xml:space="preserve"> (</w:t>
      </w:r>
      <w:r w:rsidR="006F3D3A">
        <w:rPr>
          <w:rFonts w:cs="Times New Roman"/>
          <w:spacing w:val="-3"/>
          <w:szCs w:val="24"/>
        </w:rPr>
        <w:t>1994), 94 C.C.C. (3d) 119</w:t>
      </w:r>
      <w:r w:rsidRPr="00EB5449">
        <w:rPr>
          <w:rFonts w:cs="Times New Roman"/>
          <w:spacing w:val="-3"/>
          <w:szCs w:val="24"/>
        </w:rPr>
        <w:t>, p. 123-124</w:t>
      </w:r>
      <w:r>
        <w:rPr>
          <w:rFonts w:cs="Times New Roman"/>
          <w:spacing w:val="-3"/>
          <w:szCs w:val="24"/>
        </w:rPr>
        <w:t> :</w:t>
      </w:r>
      <w:r w:rsidRPr="00EB5449">
        <w:rPr>
          <w:rFonts w:cs="Times New Roman"/>
          <w:spacing w:val="-3"/>
          <w:szCs w:val="24"/>
        </w:rPr>
        <w:t xml:space="preserve">  </w:t>
      </w:r>
    </w:p>
    <w:p w:rsidR="00CE3216" w:rsidRPr="00EB5449" w:rsidRDefault="00CE3216" w:rsidP="00CE3216">
      <w:pPr>
        <w:pStyle w:val="Citation-AltC"/>
        <w:widowControl w:val="0"/>
        <w:ind w:firstLine="274"/>
        <w:rPr>
          <w:szCs w:val="24"/>
          <w:lang w:val="fr-FR"/>
        </w:rPr>
      </w:pPr>
      <w:r w:rsidRPr="00EB5449">
        <w:rPr>
          <w:szCs w:val="24"/>
        </w:rPr>
        <w:t>[</w:t>
      </w:r>
      <w:r w:rsidRPr="00EB5449">
        <w:rPr>
          <w:smallCaps/>
          <w:szCs w:val="24"/>
        </w:rPr>
        <w:t>traduction</w:t>
      </w:r>
      <w:r w:rsidRPr="00EB5449">
        <w:rPr>
          <w:szCs w:val="24"/>
        </w:rPr>
        <w:t>] Chaque fois que notre cour a été appelée à examiner la justesse d’une peine infligée par un juge du procès, elle a constamment décidé de ne pas intervenir, sauf si la peine était nettement excessive ou inadéquate</w:t>
      </w:r>
      <w:r>
        <w:rPr>
          <w:szCs w:val="24"/>
        </w:rPr>
        <w:t>. .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jc w:val="center"/>
        <w:rPr>
          <w:szCs w:val="24"/>
        </w:rPr>
      </w:pPr>
      <w:r>
        <w:rPr>
          <w:szCs w:val="24"/>
        </w:rPr>
        <w:t>. .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ind w:firstLine="274"/>
        <w:rPr>
          <w:szCs w:val="24"/>
        </w:rPr>
      </w:pPr>
      <w:r w:rsidRPr="00EB5449">
        <w:rPr>
          <w:szCs w:val="24"/>
        </w:rPr>
        <w:t>La règle de droit applicable aux appels interjetés contre une peine n’est pas complexe.</w:t>
      </w:r>
      <w:r>
        <w:rPr>
          <w:szCs w:val="24"/>
        </w:rPr>
        <w:t xml:space="preserve"> </w:t>
      </w:r>
      <w:r w:rsidRPr="00EB5449">
        <w:rPr>
          <w:szCs w:val="24"/>
        </w:rPr>
        <w:t xml:space="preserve"> Si la peine infligée n’est pas clairement excessive ou </w:t>
      </w:r>
      <w:r w:rsidRPr="00EB5449">
        <w:rPr>
          <w:szCs w:val="24"/>
        </w:rPr>
        <w:lastRenderedPageBreak/>
        <w:t>inadéquate, elle est indiquée à supposer que le juge du procès ait appliqué les bons principes et tenu compte de tous les faits pertinents. [</w:t>
      </w:r>
      <w:r>
        <w:rPr>
          <w:szCs w:val="24"/>
        </w:rPr>
        <w:t>. . .</w:t>
      </w:r>
      <w:r w:rsidRPr="00EB5449">
        <w:rPr>
          <w:szCs w:val="24"/>
        </w:rPr>
        <w:t>]</w:t>
      </w:r>
      <w:r>
        <w:rPr>
          <w:szCs w:val="24"/>
        </w:rPr>
        <w:t xml:space="preserve"> </w:t>
      </w:r>
      <w:r w:rsidRPr="00EB5449">
        <w:rPr>
          <w:szCs w:val="24"/>
        </w:rPr>
        <w:t xml:space="preserve"> Mon point de vue repose sur le fait que </w:t>
      </w:r>
      <w:r w:rsidRPr="00EB5449">
        <w:rPr>
          <w:szCs w:val="24"/>
          <w:u w:val="single"/>
        </w:rPr>
        <w:t>la détermination de la peine n’est pas une science exacte, tout au contraire</w:t>
      </w:r>
      <w:r w:rsidRPr="00EB5449">
        <w:rPr>
          <w:szCs w:val="24"/>
        </w:rPr>
        <w:t>.</w:t>
      </w:r>
      <w:r>
        <w:rPr>
          <w:szCs w:val="24"/>
        </w:rPr>
        <w:t xml:space="preserve"> </w:t>
      </w:r>
      <w:r w:rsidRPr="00EB5449">
        <w:rPr>
          <w:szCs w:val="24"/>
        </w:rPr>
        <w:t xml:space="preserve"> </w:t>
      </w:r>
      <w:r w:rsidRPr="00EB5449">
        <w:rPr>
          <w:szCs w:val="24"/>
          <w:u w:val="single"/>
        </w:rPr>
        <w:t>C’est un exercice de jugement</w:t>
      </w:r>
      <w:r w:rsidRPr="00EB5449">
        <w:rPr>
          <w:szCs w:val="24"/>
        </w:rPr>
        <w:t xml:space="preserve"> qui tient compte des principes juridiques pertinents, des circonstances de l’infraction et du contrevenant.</w:t>
      </w:r>
      <w:r>
        <w:rPr>
          <w:szCs w:val="24"/>
        </w:rPr>
        <w:t xml:space="preserve"> </w:t>
      </w:r>
      <w:r w:rsidRPr="00EB5449">
        <w:rPr>
          <w:szCs w:val="24"/>
        </w:rPr>
        <w:t xml:space="preserve"> Tout au plus peut</w:t>
      </w:r>
      <w:r>
        <w:rPr>
          <w:szCs w:val="24"/>
        </w:rPr>
        <w:t>-</w:t>
      </w:r>
      <w:r w:rsidRPr="00EB5449">
        <w:rPr>
          <w:szCs w:val="24"/>
        </w:rPr>
        <w:t>on s’attendre à ce que le juge qui prononce la peine en arrivera à une peine qui respectera des limites acceptables.</w:t>
      </w:r>
      <w:r>
        <w:rPr>
          <w:szCs w:val="24"/>
        </w:rPr>
        <w:t xml:space="preserve"> </w:t>
      </w:r>
      <w:r w:rsidRPr="00EB5449">
        <w:rPr>
          <w:szCs w:val="24"/>
        </w:rPr>
        <w:t xml:space="preserve"> À mon sens, c’est la vraie raison pour laquelle des cours d’appel examinent des peines quand il s’agit seulement de savoir si la peine est inadéquate ou excessive.</w:t>
      </w:r>
      <w:r w:rsidR="006F3D3A">
        <w:rPr>
          <w:szCs w:val="24"/>
        </w:rPr>
        <w:t xml:space="preserve"> [par. 48]</w:t>
      </w:r>
    </w:p>
    <w:p w:rsidR="00CE3216" w:rsidRPr="00EB5449" w:rsidRDefault="00CE3216" w:rsidP="00CE3216">
      <w:pPr>
        <w:pStyle w:val="Citation-AltC"/>
        <w:widowControl w:val="0"/>
        <w:rPr>
          <w:szCs w:val="24"/>
          <w:lang w:val="fr-FR"/>
        </w:rPr>
      </w:pPr>
    </w:p>
    <w:p w:rsidR="00CE3216" w:rsidRPr="00EB5449" w:rsidRDefault="00CE3216" w:rsidP="006F3D3A">
      <w:pPr>
        <w:pStyle w:val="Citation-AltC"/>
        <w:widowControl w:val="0"/>
        <w:contextualSpacing w:val="0"/>
        <w:jc w:val="center"/>
        <w:rPr>
          <w:szCs w:val="24"/>
          <w:lang w:val="fr-FR"/>
        </w:rPr>
      </w:pPr>
      <w:r>
        <w:rPr>
          <w:szCs w:val="24"/>
        </w:rPr>
        <w:t>. . .</w:t>
      </w:r>
    </w:p>
    <w:p w:rsidR="006F3D3A" w:rsidRDefault="006F3D3A" w:rsidP="006F3D3A">
      <w:pPr>
        <w:pStyle w:val="Citation-AltC"/>
        <w:widowControl w:val="0"/>
        <w:spacing w:after="480" w:line="480" w:lineRule="auto"/>
        <w:ind w:left="0"/>
        <w:contextualSpacing w:val="0"/>
        <w:rPr>
          <w:szCs w:val="24"/>
        </w:rPr>
      </w:pPr>
      <w:r>
        <w:rPr>
          <w:szCs w:val="24"/>
        </w:rPr>
        <w:t>Elle a ajouté :</w:t>
      </w:r>
    </w:p>
    <w:p w:rsidR="00CE3216" w:rsidRPr="00EB5449" w:rsidRDefault="00CE3216" w:rsidP="00CE3216">
      <w:pPr>
        <w:pStyle w:val="Citation-AltC"/>
        <w:widowControl w:val="0"/>
        <w:ind w:firstLine="274"/>
        <w:rPr>
          <w:szCs w:val="24"/>
          <w:lang w:val="fr-FR"/>
        </w:rPr>
      </w:pPr>
      <w:r w:rsidRPr="00EB5449">
        <w:rPr>
          <w:szCs w:val="24"/>
          <w:u w:val="single"/>
        </w:rPr>
        <w:t xml:space="preserve">Pour être considérée comme déraisonnable, l’ordonnance relative à la détermination de la peine doit tomber en dehors des </w:t>
      </w:r>
      <w:r>
        <w:rPr>
          <w:szCs w:val="24"/>
          <w:u w:val="single"/>
        </w:rPr>
        <w:t>« </w:t>
      </w:r>
      <w:r w:rsidRPr="00EB5449">
        <w:rPr>
          <w:szCs w:val="24"/>
          <w:u w:val="single"/>
        </w:rPr>
        <w:t>limites acceptables</w:t>
      </w:r>
      <w:r>
        <w:rPr>
          <w:szCs w:val="24"/>
          <w:u w:val="single"/>
        </w:rPr>
        <w:t> »</w:t>
      </w:r>
      <w:r w:rsidRPr="00EB5449">
        <w:rPr>
          <w:szCs w:val="24"/>
        </w:rPr>
        <w:t>, ce qui n’est clairement pas le cas en l’espèce. [Je souligne</w:t>
      </w:r>
      <w:r w:rsidR="006F3D3A">
        <w:rPr>
          <w:szCs w:val="24"/>
        </w:rPr>
        <w:t>; par. 50</w:t>
      </w:r>
      <w:r w:rsidRPr="00EB5449">
        <w:rPr>
          <w:spacing w:val="-3"/>
          <w:szCs w:val="24"/>
        </w:rPr>
        <w:t>.]</w:t>
      </w:r>
    </w:p>
    <w:p w:rsidR="00CE3216" w:rsidRPr="00EB5449" w:rsidRDefault="00CE3216" w:rsidP="00CE3216">
      <w:pPr>
        <w:pStyle w:val="ParaNoNdepar-AltN"/>
        <w:widowControl w:val="0"/>
        <w:rPr>
          <w:rFonts w:cs="Times New Roman"/>
          <w:szCs w:val="24"/>
        </w:rPr>
      </w:pPr>
      <w:r w:rsidRPr="00EB5449">
        <w:rPr>
          <w:rFonts w:cs="Times New Roman"/>
          <w:szCs w:val="24"/>
        </w:rPr>
        <w:t xml:space="preserve">Dans </w:t>
      </w:r>
      <w:r w:rsidRPr="00EB5449">
        <w:rPr>
          <w:rFonts w:cs="Times New Roman"/>
          <w:i/>
          <w:iCs/>
          <w:szCs w:val="24"/>
        </w:rPr>
        <w:t>Nasogaluak</w:t>
      </w:r>
      <w:r w:rsidRPr="00EB5449">
        <w:rPr>
          <w:rFonts w:cs="Times New Roman"/>
          <w:szCs w:val="24"/>
        </w:rPr>
        <w:t xml:space="preserve">, la Cour a rappelé que les tribunaux d’appel ne peuvent pas modifier une peine simplement parce qu’ils auraient accordé un poids différent aux facteurs pertinents (par. 46, citant </w:t>
      </w:r>
      <w:r w:rsidRPr="00EB5449">
        <w:rPr>
          <w:rFonts w:cs="Times New Roman"/>
          <w:i/>
          <w:iCs/>
          <w:szCs w:val="24"/>
        </w:rPr>
        <w:t xml:space="preserve">R. c. McKnight </w:t>
      </w:r>
      <w:r w:rsidRPr="00EB5449">
        <w:rPr>
          <w:rFonts w:cs="Times New Roman"/>
          <w:szCs w:val="24"/>
        </w:rPr>
        <w:t>(1999), 135 C.C.C. (3d) 41 (C.A. Ont.), par. 35)</w:t>
      </w:r>
      <w:r>
        <w:rPr>
          <w:rFonts w:cs="Times New Roman"/>
          <w:szCs w:val="24"/>
        </w:rPr>
        <w:t> :</w:t>
      </w:r>
    </w:p>
    <w:p w:rsidR="00CE3216" w:rsidRPr="00EB5449" w:rsidRDefault="00CE3216" w:rsidP="00CE3216">
      <w:pPr>
        <w:pStyle w:val="Citation-AltC"/>
        <w:widowControl w:val="0"/>
        <w:rPr>
          <w:szCs w:val="24"/>
          <w:lang w:val="fr-FR"/>
        </w:rPr>
      </w:pPr>
      <w:r w:rsidRPr="00EB5449">
        <w:rPr>
          <w:szCs w:val="24"/>
        </w:rPr>
        <w:t>[</w:t>
      </w:r>
      <w:r w:rsidRPr="00EB5449">
        <w:rPr>
          <w:smallCaps/>
          <w:szCs w:val="24"/>
        </w:rPr>
        <w:t>traduction</w:t>
      </w:r>
      <w:r w:rsidRPr="00EB5449">
        <w:rPr>
          <w:szCs w:val="24"/>
        </w:rPr>
        <w:t>]</w:t>
      </w:r>
      <w:r>
        <w:rPr>
          <w:szCs w:val="24"/>
        </w:rPr>
        <w:t xml:space="preserve"> . . .</w:t>
      </w:r>
      <w:r w:rsidRPr="00EB5449">
        <w:rPr>
          <w:szCs w:val="24"/>
        </w:rPr>
        <w:t xml:space="preserve"> La pondération des facteurs pertinents, le processus de mise en balance, voilà l’objet de l’exercice du pouvoir discrétionnaire. [</w:t>
      </w:r>
      <w:r>
        <w:rPr>
          <w:szCs w:val="24"/>
        </w:rPr>
        <w:t>. . .</w:t>
      </w:r>
      <w:r w:rsidRPr="00EB5449">
        <w:rPr>
          <w:szCs w:val="24"/>
        </w:rPr>
        <w:t xml:space="preserve">] </w:t>
      </w:r>
      <w:r w:rsidRPr="00EB5449">
        <w:rPr>
          <w:szCs w:val="24"/>
          <w:u w:val="single"/>
        </w:rPr>
        <w:t>Ce n’est que si le juge du procès a exercé son pouvoir discrétionnaire de façon déraisonnable, en insistant trop sur un facteur ou en omettant d’accorder suffisamment d’importance à un autre</w:t>
      </w:r>
      <w:r w:rsidRPr="00EB5449">
        <w:rPr>
          <w:szCs w:val="24"/>
        </w:rPr>
        <w:t>, que le tribunal d’appel pourra modifier la peine au motif que le juge a commis une erreur de principe. [Je souligne.]</w:t>
      </w:r>
    </w:p>
    <w:p w:rsidR="00CE3216" w:rsidRPr="00EB5449" w:rsidRDefault="00CE3216" w:rsidP="00CE3216">
      <w:pPr>
        <w:pStyle w:val="ParaNoNdepar-AltN"/>
        <w:widowControl w:val="0"/>
        <w:rPr>
          <w:rFonts w:cs="Times New Roman"/>
          <w:szCs w:val="24"/>
        </w:rPr>
      </w:pPr>
      <w:r w:rsidRPr="00EB5449">
        <w:rPr>
          <w:rFonts w:cs="Times New Roman"/>
          <w:szCs w:val="24"/>
        </w:rPr>
        <w:t xml:space="preserve">J’insiste à nouveau sur le fait que, lors de l’audience sur la mise en </w:t>
      </w:r>
      <w:r w:rsidRPr="00EB5449">
        <w:rPr>
          <w:rFonts w:cs="Times New Roman"/>
          <w:szCs w:val="24"/>
        </w:rPr>
        <w:lastRenderedPageBreak/>
        <w:t>liberté, l’accusé jouit de la présomption d’innocence, ce qui n’est plus le cas lors de la détermination de sa peine. Cependant, les extraits cités plus haut expriment avec justesse les implications d’une décision discrétionnaire qui incorpore plusieurs facteurs devant être pondérés. Comme je l’ai expliqué précédemment, la décision relative à la mise en liberté prise en vertu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requiert l’examen de plusieurs facteurs qui peuvent s’avérer difficiles à pondérer. Il s’agit d’un exercice délicat. Accorder au juge un pouvoir discrétionnaire illimité de réviser la décision initiale sur la mise en liberté trahirait l’essence de l’exercice.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Comme je l’ai mentionné, je suis d’avis que les art. 520 et 521 </w:t>
      </w:r>
      <w:r w:rsidR="004364EE">
        <w:rPr>
          <w:rFonts w:cs="Times New Roman"/>
          <w:i/>
          <w:iCs/>
          <w:szCs w:val="24"/>
        </w:rPr>
        <w:t>C. cr.</w:t>
      </w:r>
      <w:r w:rsidRPr="00EB5449">
        <w:rPr>
          <w:rFonts w:cs="Times New Roman"/>
          <w:szCs w:val="24"/>
        </w:rPr>
        <w:t xml:space="preserve"> ne prévoient pas la tenue d’une audience </w:t>
      </w:r>
      <w:r w:rsidRPr="00EB5449">
        <w:rPr>
          <w:rFonts w:cs="Times New Roman"/>
          <w:i/>
          <w:iCs/>
          <w:szCs w:val="24"/>
        </w:rPr>
        <w:t>de novo</w:t>
      </w:r>
      <w:r w:rsidRPr="00EB5449">
        <w:rPr>
          <w:rFonts w:cs="Times New Roman"/>
          <w:szCs w:val="24"/>
        </w:rPr>
        <w:t>. Ainsi, à moins de preuve nouvelle —</w:t>
      </w:r>
      <w:r>
        <w:rPr>
          <w:rFonts w:cs="Times New Roman"/>
          <w:szCs w:val="24"/>
        </w:rPr>
        <w:t xml:space="preserve"> </w:t>
      </w:r>
      <w:r w:rsidRPr="00EB5449">
        <w:rPr>
          <w:rFonts w:cs="Times New Roman"/>
          <w:szCs w:val="24"/>
        </w:rPr>
        <w:t>un sujet dont je traiterai plus loin — le juge réviseur n’est pas en</w:t>
      </w:r>
      <w:r>
        <w:rPr>
          <w:rFonts w:cs="Times New Roman"/>
          <w:szCs w:val="24"/>
        </w:rPr>
        <w:t xml:space="preserve"> </w:t>
      </w:r>
      <w:r w:rsidRPr="00EB5449">
        <w:rPr>
          <w:rFonts w:cs="Times New Roman"/>
          <w:szCs w:val="24"/>
        </w:rPr>
        <w:t xml:space="preserve">meilleure position que le juge de paix pour évaluer si la détention de l’accusé est nécessaire. De plus, le juge réviseur ne détient pas, par rapport au juge de paix, une expertise particulière en matière de mise en liberté. </w:t>
      </w:r>
    </w:p>
    <w:p w:rsidR="00CE3216" w:rsidRPr="00EB5449" w:rsidRDefault="00CE3216" w:rsidP="00CE3216">
      <w:pPr>
        <w:pStyle w:val="ParaNoNdepar-AltN"/>
        <w:widowControl w:val="0"/>
        <w:rPr>
          <w:rFonts w:cs="Times New Roman"/>
          <w:szCs w:val="24"/>
        </w:rPr>
      </w:pPr>
      <w:r w:rsidRPr="00EB5449">
        <w:rPr>
          <w:rFonts w:cs="Times New Roman"/>
          <w:szCs w:val="24"/>
        </w:rPr>
        <w:t>Dans ce contexte, je vois difficilement comment on pourrait justifier de permettre au juge réviseur de substituer en tout temps son appréciation des différentes circonstances à celle du juge de paix.</w:t>
      </w:r>
    </w:p>
    <w:p w:rsidR="00CE3216" w:rsidRPr="00EB5449" w:rsidRDefault="00CE3216" w:rsidP="00CE3216">
      <w:pPr>
        <w:pStyle w:val="Title3LevelTitre3Niveau"/>
        <w:widowControl w:val="0"/>
        <w:jc w:val="both"/>
        <w:rPr>
          <w:rFonts w:cs="Times New Roman"/>
          <w:szCs w:val="24"/>
        </w:rPr>
      </w:pPr>
      <w:r w:rsidRPr="00EB5449">
        <w:rPr>
          <w:rFonts w:cs="Times New Roman"/>
          <w:szCs w:val="24"/>
        </w:rPr>
        <w:t>Conclusion</w:t>
      </w:r>
      <w:r>
        <w:rPr>
          <w:rFonts w:cs="Times New Roman"/>
          <w:szCs w:val="24"/>
        </w:rPr>
        <w:t> :</w:t>
      </w:r>
      <w:r w:rsidRPr="00EB5449">
        <w:rPr>
          <w:rFonts w:cs="Times New Roman"/>
          <w:szCs w:val="24"/>
        </w:rPr>
        <w:t xml:space="preserve"> la révision prévue aux art. 520 et 521 </w:t>
      </w:r>
      <w:r w:rsidR="004364EE">
        <w:rPr>
          <w:rFonts w:cs="Times New Roman"/>
          <w:i/>
          <w:iCs/>
          <w:szCs w:val="24"/>
        </w:rPr>
        <w:t>C. cr.</w:t>
      </w:r>
      <w:r w:rsidRPr="00EB5449">
        <w:rPr>
          <w:rFonts w:cs="Times New Roman"/>
          <w:szCs w:val="24"/>
        </w:rPr>
        <w:t xml:space="preserve"> constitue un recours de nature hybride</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L’examen du libellé des art. 520 et 521 </w:t>
      </w:r>
      <w:r w:rsidR="004364EE">
        <w:rPr>
          <w:rFonts w:cs="Times New Roman"/>
          <w:i/>
          <w:iCs/>
          <w:szCs w:val="24"/>
        </w:rPr>
        <w:t>C. cr.</w:t>
      </w:r>
      <w:r w:rsidRPr="00EB5449">
        <w:rPr>
          <w:rFonts w:cs="Times New Roman"/>
          <w:szCs w:val="24"/>
        </w:rPr>
        <w:t xml:space="preserve">, la comparaison avec </w:t>
      </w:r>
      <w:r w:rsidRPr="00EB5449">
        <w:rPr>
          <w:rFonts w:cs="Times New Roman"/>
          <w:szCs w:val="24"/>
        </w:rPr>
        <w:lastRenderedPageBreak/>
        <w:t xml:space="preserve">d’autres dispositions en matière de révision et avec l’appel en matière de peine, ainsi que la nature de la décision qui fait l’objet de la révision, m’amènent à conclure que ces dispositions ne confèrent pas au juge réviseur un pouvoir illimité pour réviser l’ordonnance initiale relative à la détention ou à la mise en liberté de l’accusé. Le juge doit donc se demander s’il est opportun qu’il exerce ce pouvoir de révision. </w:t>
      </w:r>
    </w:p>
    <w:p w:rsidR="00CE3216" w:rsidRPr="00EB5449" w:rsidRDefault="00CE3216" w:rsidP="00CE3216">
      <w:pPr>
        <w:pStyle w:val="ParaNoNdepar-AltN"/>
        <w:widowControl w:val="0"/>
        <w:rPr>
          <w:rFonts w:cs="Times New Roman"/>
          <w:szCs w:val="24"/>
        </w:rPr>
      </w:pPr>
      <w:r w:rsidRPr="00EB5449">
        <w:rPr>
          <w:rFonts w:cs="Times New Roman"/>
          <w:szCs w:val="24"/>
        </w:rPr>
        <w:t>L’opportunité d’intervenir existera lorsqu’une erreur de droit a été commise par le premier juge. Il est aussi opportun pour le juge réviseur d’exercer son pouvoir lorsque la décision contestée est manifestement inappropriée, c’est-à-dire lorsque le juge ayant rendu la décision contestée a accordé trop d’importance à un facteur pertinent ou pas suffisamment à un autre. Il ne s’agit donc pas d’accorder aux juges réviseurs le pouvoir d’intervenir à l’égard de la décision initiale simplement parce qu’ils auraient accordé un poids différent aux facteurs pertinents. Je rappelle que les facteurs pertinents ne sont pas limités à ceux énoncés expressément à l’al. 515(10)</w:t>
      </w:r>
      <w:r w:rsidRPr="00EB5449">
        <w:rPr>
          <w:rFonts w:cs="Times New Roman"/>
          <w:i/>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Finalement, si l’accusé ou le poursuivant soumet une nouvelle preuve, comme le permettent les art. 520 et 521 </w:t>
      </w:r>
      <w:r w:rsidR="004364EE">
        <w:rPr>
          <w:rFonts w:cs="Times New Roman"/>
          <w:i/>
          <w:iCs/>
          <w:szCs w:val="24"/>
        </w:rPr>
        <w:t>C. cr.</w:t>
      </w:r>
      <w:r w:rsidRPr="00EB5449">
        <w:rPr>
          <w:rFonts w:cs="Times New Roman"/>
          <w:szCs w:val="24"/>
        </w:rPr>
        <w:t>, le juge réviseur peut modifier la décision initiale si cette nouvelle preuve démontre un changement important et pertinent dans les circonstances de l’affaire.</w:t>
      </w:r>
    </w:p>
    <w:p w:rsidR="00CE3216" w:rsidRPr="00EB5449" w:rsidRDefault="00CE3216" w:rsidP="00CE3216">
      <w:pPr>
        <w:pStyle w:val="Title3LevelTitre3Niveau"/>
        <w:widowControl w:val="0"/>
        <w:rPr>
          <w:rFonts w:cs="Times New Roman"/>
          <w:szCs w:val="24"/>
        </w:rPr>
      </w:pPr>
      <w:r w:rsidRPr="00EB5449">
        <w:rPr>
          <w:rFonts w:cs="Times New Roman"/>
          <w:szCs w:val="24"/>
        </w:rPr>
        <w:t>Le changement important de circonstances</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La présentation de </w:t>
      </w:r>
      <w:r>
        <w:rPr>
          <w:rFonts w:cs="Times New Roman"/>
          <w:szCs w:val="24"/>
        </w:rPr>
        <w:t>« </w:t>
      </w:r>
      <w:r w:rsidRPr="00EB5449">
        <w:rPr>
          <w:rFonts w:cs="Times New Roman"/>
          <w:szCs w:val="24"/>
        </w:rPr>
        <w:t>preuves ou pièces</w:t>
      </w:r>
      <w:r>
        <w:rPr>
          <w:rFonts w:cs="Times New Roman"/>
          <w:szCs w:val="24"/>
        </w:rPr>
        <w:t> »</w:t>
      </w:r>
      <w:r w:rsidRPr="00EB5449">
        <w:rPr>
          <w:rFonts w:cs="Times New Roman"/>
          <w:szCs w:val="24"/>
        </w:rPr>
        <w:t xml:space="preserve"> nouvelles est autorisée par les par. 520(7) et 521(8) </w:t>
      </w:r>
      <w:r w:rsidR="004364EE">
        <w:rPr>
          <w:rFonts w:cs="Times New Roman"/>
          <w:i/>
          <w:iCs/>
          <w:szCs w:val="24"/>
        </w:rPr>
        <w:t>C. cr.</w:t>
      </w:r>
      <w:r w:rsidRPr="00EB5449">
        <w:rPr>
          <w:rFonts w:cs="Times New Roman"/>
          <w:szCs w:val="24"/>
        </w:rPr>
        <w:t xml:space="preserve"> Le paragraphe 520(7) stipule ce qui suit</w:t>
      </w:r>
      <w:r>
        <w:rPr>
          <w:rFonts w:cs="Times New Roman"/>
          <w:i/>
          <w:iCs/>
          <w:szCs w:val="24"/>
        </w:rPr>
        <w:t> </w:t>
      </w:r>
      <w:r w:rsidRPr="0095719C">
        <w:rPr>
          <w:rFonts w:cs="Times New Roman"/>
          <w:iCs/>
          <w:szCs w:val="24"/>
        </w:rPr>
        <w:t>:</w:t>
      </w:r>
    </w:p>
    <w:p w:rsidR="00CE3216" w:rsidRPr="00EB5449" w:rsidRDefault="00CE3216" w:rsidP="00CE3216">
      <w:pPr>
        <w:pStyle w:val="Citation-AltC"/>
        <w:widowControl w:val="0"/>
        <w:ind w:firstLine="274"/>
        <w:rPr>
          <w:szCs w:val="24"/>
          <w:lang w:val="fr-FR"/>
        </w:rPr>
      </w:pPr>
      <w:r w:rsidRPr="0095719C">
        <w:rPr>
          <w:b/>
          <w:szCs w:val="24"/>
          <w:lang w:val="fr-FR"/>
        </w:rPr>
        <w:lastRenderedPageBreak/>
        <w:t>520.</w:t>
      </w:r>
      <w:r w:rsidR="0095719C">
        <w:rPr>
          <w:szCs w:val="24"/>
          <w:lang w:val="fr-FR"/>
        </w:rPr>
        <w:t xml:space="preserve"> </w:t>
      </w:r>
      <w:r w:rsidRPr="00EB5449">
        <w:rPr>
          <w:szCs w:val="24"/>
          <w:lang w:val="fr-FR"/>
        </w:rPr>
        <w:t>(7) Lors de l’audition d’une demande en vertu du présent article, le juge peut examiner</w:t>
      </w:r>
      <w:r>
        <w:rPr>
          <w:szCs w:val="24"/>
          <w:lang w:val="fr-FR"/>
        </w:rPr>
        <w:t>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ind w:left="1440"/>
        <w:rPr>
          <w:szCs w:val="24"/>
        </w:rPr>
      </w:pPr>
      <w:r w:rsidRPr="00EB5449">
        <w:rPr>
          <w:rStyle w:val="Emphasis"/>
          <w:szCs w:val="24"/>
        </w:rPr>
        <w:t>a</w:t>
      </w:r>
      <w:r w:rsidRPr="00EB5449">
        <w:rPr>
          <w:szCs w:val="24"/>
        </w:rPr>
        <w:t>)</w:t>
      </w:r>
      <w:r>
        <w:rPr>
          <w:szCs w:val="24"/>
        </w:rPr>
        <w:t xml:space="preserve"> </w:t>
      </w:r>
      <w:r w:rsidRPr="00EB5449">
        <w:rPr>
          <w:szCs w:val="24"/>
        </w:rPr>
        <w:t>la transcription, s’il en est, des procédures entendues par le juge de paix et par un juge qui a déjà révisé l’ordonnance rendue par le juge de paix;</w:t>
      </w:r>
    </w:p>
    <w:p w:rsidR="00CE3216" w:rsidRPr="00EB5449" w:rsidRDefault="00CE3216" w:rsidP="00CE3216">
      <w:pPr>
        <w:pStyle w:val="Citation-AltC"/>
        <w:widowControl w:val="0"/>
        <w:rPr>
          <w:szCs w:val="24"/>
        </w:rPr>
      </w:pPr>
    </w:p>
    <w:p w:rsidR="00CE3216" w:rsidRPr="00EB5449" w:rsidRDefault="00CE3216" w:rsidP="00CE3216">
      <w:pPr>
        <w:pStyle w:val="Citation-AltC"/>
        <w:widowControl w:val="0"/>
        <w:ind w:left="1440"/>
        <w:rPr>
          <w:szCs w:val="24"/>
        </w:rPr>
      </w:pPr>
      <w:r w:rsidRPr="00EB5449">
        <w:rPr>
          <w:rStyle w:val="Emphasis"/>
          <w:szCs w:val="24"/>
        </w:rPr>
        <w:t>b</w:t>
      </w:r>
      <w:r w:rsidRPr="00EB5449">
        <w:rPr>
          <w:szCs w:val="24"/>
        </w:rPr>
        <w:t>)</w:t>
      </w:r>
      <w:r>
        <w:rPr>
          <w:szCs w:val="24"/>
        </w:rPr>
        <w:t xml:space="preserve"> </w:t>
      </w:r>
      <w:r w:rsidRPr="00EB5449">
        <w:rPr>
          <w:szCs w:val="24"/>
        </w:rPr>
        <w:t>les pièces, s’il en est, déposées au cours des procédures devant le juge de paix;</w:t>
      </w:r>
    </w:p>
    <w:p w:rsidR="00CE3216" w:rsidRPr="00EB5449" w:rsidRDefault="00CE3216" w:rsidP="00CE3216">
      <w:pPr>
        <w:pStyle w:val="Citation-AltC"/>
        <w:widowControl w:val="0"/>
        <w:rPr>
          <w:szCs w:val="24"/>
        </w:rPr>
      </w:pPr>
    </w:p>
    <w:p w:rsidR="00CE3216" w:rsidRPr="00EB5449" w:rsidRDefault="00CE3216" w:rsidP="0095719C">
      <w:pPr>
        <w:pStyle w:val="Citation-AltC"/>
        <w:widowControl w:val="0"/>
        <w:ind w:left="1440"/>
      </w:pPr>
      <w:r w:rsidRPr="00EB5449">
        <w:rPr>
          <w:rStyle w:val="Emphasis"/>
          <w:szCs w:val="24"/>
        </w:rPr>
        <w:t>c</w:t>
      </w:r>
      <w:r w:rsidRPr="00EB5449">
        <w:t>)</w:t>
      </w:r>
      <w:r>
        <w:t xml:space="preserve"> </w:t>
      </w:r>
      <w:r w:rsidRPr="00EB5449">
        <w:t xml:space="preserve">les autres </w:t>
      </w:r>
      <w:r w:rsidRPr="0095719C">
        <w:rPr>
          <w:szCs w:val="24"/>
        </w:rPr>
        <w:t>preuves</w:t>
      </w:r>
      <w:r w:rsidRPr="00EB5449">
        <w:t xml:space="preserve"> ou pièces que le prévenu ou le poursuivant peuvent présenter,</w:t>
      </w:r>
    </w:p>
    <w:p w:rsidR="00CE3216" w:rsidRPr="00EB5449" w:rsidRDefault="00CE3216" w:rsidP="00CE3216">
      <w:pPr>
        <w:pStyle w:val="ContinueParaSuitedupar-AltP"/>
        <w:widowControl w:val="0"/>
        <w:rPr>
          <w:rFonts w:cs="Times New Roman"/>
        </w:rPr>
      </w:pPr>
      <w:r w:rsidRPr="00EB5449">
        <w:rPr>
          <w:rFonts w:cs="Times New Roman"/>
        </w:rPr>
        <w:t>Le paragraphe 521(8) est essentiellement identique.</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La question est de savoir ce qui est admissible à titre de preuve nouvelle.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Selon l’appelante, une telle preuve ne peut porter que sur des faits véritablement nouveaux, soit des faits qui sont survenus depuis la décision initiale. Cela exclut donc des faits qui auraient pu être allégués lors de l’audience initiale ou d’une révision antérieure. À défaut, le système risque d’encourager </w:t>
      </w:r>
      <w:r>
        <w:rPr>
          <w:rFonts w:cs="Times New Roman"/>
          <w:szCs w:val="24"/>
        </w:rPr>
        <w:t>« </w:t>
      </w:r>
      <w:r w:rsidRPr="00EB5449">
        <w:rPr>
          <w:rFonts w:cs="Times New Roman"/>
          <w:szCs w:val="24"/>
        </w:rPr>
        <w:t>la recherche d’un juge plus accommodant</w:t>
      </w:r>
      <w:r>
        <w:rPr>
          <w:rFonts w:cs="Times New Roman"/>
          <w:szCs w:val="24"/>
        </w:rPr>
        <w:t> »</w:t>
      </w:r>
      <w:r w:rsidRPr="00EB5449">
        <w:rPr>
          <w:rFonts w:cs="Times New Roman"/>
          <w:szCs w:val="24"/>
        </w:rPr>
        <w:t xml:space="preserve"> (ce qu’on appelle en anglais le </w:t>
      </w:r>
      <w:r>
        <w:rPr>
          <w:rFonts w:cs="Times New Roman"/>
          <w:szCs w:val="24"/>
        </w:rPr>
        <w:t>« </w:t>
      </w:r>
      <w:r w:rsidRPr="00EB5449">
        <w:rPr>
          <w:rFonts w:cs="Times New Roman"/>
          <w:i/>
          <w:iCs/>
          <w:szCs w:val="24"/>
        </w:rPr>
        <w:t>judge shopping</w:t>
      </w:r>
      <w:r>
        <w:rPr>
          <w:rFonts w:cs="Times New Roman"/>
          <w:szCs w:val="24"/>
        </w:rPr>
        <w:t> »</w:t>
      </w:r>
      <w:r w:rsidRPr="00EB5449">
        <w:rPr>
          <w:rFonts w:cs="Times New Roman"/>
          <w:szCs w:val="24"/>
        </w:rPr>
        <w:t xml:space="preserv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Il est vrai que le principe de la finalité des jugements et celui de la nécessité d’éviter la multiplication des recours judiciaires non justifiés sont importants, et les tribunaux ne doivent pas faciliter </w:t>
      </w:r>
      <w:r>
        <w:rPr>
          <w:rFonts w:cs="Times New Roman"/>
          <w:szCs w:val="24"/>
        </w:rPr>
        <w:t>« </w:t>
      </w:r>
      <w:r w:rsidRPr="00EB5449">
        <w:rPr>
          <w:rFonts w:cs="Times New Roman"/>
          <w:szCs w:val="24"/>
        </w:rPr>
        <w:t>la recherche d’un juge plus accommodant</w:t>
      </w:r>
      <w:r>
        <w:rPr>
          <w:rFonts w:cs="Times New Roman"/>
          <w:szCs w:val="24"/>
        </w:rPr>
        <w:t> »</w:t>
      </w:r>
      <w:r w:rsidRPr="00EB5449">
        <w:rPr>
          <w:rFonts w:cs="Times New Roman"/>
          <w:szCs w:val="24"/>
        </w:rPr>
        <w:t xml:space="preserve">. Il est toutefois exagéré de prétendre, comme le fait l’appelante, qu’une personne arrêtée pourrait avoir intérêt à présenter le minimum de preuve lors de l’audience initiale sur la mise en liberté et, si cela s’avère insuffisant, à invoquer </w:t>
      </w:r>
      <w:r w:rsidRPr="00EB5449">
        <w:rPr>
          <w:rFonts w:cs="Times New Roman"/>
          <w:szCs w:val="24"/>
        </w:rPr>
        <w:lastRenderedPageBreak/>
        <w:t>en cas de révision des éléments de preuve qui existaient déjà au moment de cette audience mais qu’elle n’a pas utilisés. Normalement, une personne détenue fait généralement tout en son pouvoir pour être remise en liberté le plus rapidement possible. La prétention de l’appelante témoigne d’une incompréhension de l’impact de la détention sur un individu, en particulier lorsque celle-ci peut s’avérer non justifiée</w:t>
      </w:r>
      <w:r>
        <w:rPr>
          <w:rFonts w:cs="Times New Roman"/>
          <w:szCs w:val="24"/>
        </w:rPr>
        <w:t> :</w:t>
      </w:r>
      <w:r w:rsidRPr="00EB5449">
        <w:rPr>
          <w:rFonts w:cs="Times New Roman"/>
          <w:szCs w:val="24"/>
        </w:rPr>
        <w:t xml:space="preserve"> voir, p. ex., </w:t>
      </w:r>
      <w:r w:rsidRPr="00EB5449">
        <w:rPr>
          <w:rFonts w:cs="Times New Roman"/>
          <w:i/>
          <w:szCs w:val="24"/>
        </w:rPr>
        <w:t>Toronto Star Newspapers Ltd.</w:t>
      </w:r>
      <w:r w:rsidRPr="00EB5449">
        <w:rPr>
          <w:rFonts w:cs="Times New Roman"/>
          <w:szCs w:val="24"/>
        </w:rPr>
        <w:t>, par. 51, citant</w:t>
      </w:r>
      <w:r>
        <w:rPr>
          <w:rFonts w:cs="Times New Roman"/>
          <w:szCs w:val="24"/>
        </w:rPr>
        <w:t xml:space="preserve"> </w:t>
      </w:r>
      <w:r w:rsidRPr="00EB5449">
        <w:rPr>
          <w:rFonts w:cs="Times New Roman"/>
          <w:i/>
          <w:szCs w:val="24"/>
        </w:rPr>
        <w:t>Hall</w:t>
      </w:r>
      <w:r w:rsidRPr="00EB5449">
        <w:rPr>
          <w:rFonts w:cs="Times New Roman"/>
          <w:szCs w:val="24"/>
        </w:rPr>
        <w:t xml:space="preserve">, par. 47; </w:t>
      </w:r>
      <w:r w:rsidRPr="00EB5449">
        <w:rPr>
          <w:rFonts w:cs="Times New Roman"/>
          <w:i/>
          <w:szCs w:val="24"/>
        </w:rPr>
        <w:t>Ell c. Alberta</w:t>
      </w:r>
      <w:r w:rsidRPr="00EB5449">
        <w:rPr>
          <w:rFonts w:cs="Times New Roman"/>
          <w:szCs w:val="24"/>
        </w:rPr>
        <w:t xml:space="preserve">, 2003 CSC 35, [2003] 1 R.C.S. 857, par. 24.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La crainte de l’appelante m’apparaît d’autant plus démesurée qu’après une première demande de révision en vertu de l’art. 520 et 521 </w:t>
      </w:r>
      <w:r w:rsidR="004364EE">
        <w:rPr>
          <w:rFonts w:cs="Times New Roman"/>
          <w:i/>
          <w:iCs/>
          <w:szCs w:val="24"/>
        </w:rPr>
        <w:t>C. cr.</w:t>
      </w:r>
      <w:r w:rsidRPr="00EB5449">
        <w:rPr>
          <w:rFonts w:cs="Times New Roman"/>
          <w:szCs w:val="24"/>
        </w:rPr>
        <w:t>, une nouvelle demande ne peut être présentée avant l’expiration d’un délai de 30 jours, sauf avec l’autorisation d’un juge</w:t>
      </w:r>
      <w:r>
        <w:rPr>
          <w:rFonts w:cs="Times New Roman"/>
          <w:szCs w:val="24"/>
        </w:rPr>
        <w:t> :</w:t>
      </w:r>
      <w:r w:rsidRPr="00EB5449">
        <w:rPr>
          <w:rFonts w:cs="Times New Roman"/>
          <w:szCs w:val="24"/>
        </w:rPr>
        <w:t xml:space="preserve"> par. 520(8) et 521(9) </w:t>
      </w:r>
      <w:r w:rsidR="004364EE">
        <w:rPr>
          <w:rFonts w:cs="Times New Roman"/>
          <w:i/>
          <w:iCs/>
          <w:szCs w:val="24"/>
        </w:rPr>
        <w:t>C. cr.</w:t>
      </w:r>
      <w:r w:rsidRPr="00EB5449">
        <w:rPr>
          <w:rFonts w:cs="Times New Roman"/>
          <w:szCs w:val="24"/>
        </w:rPr>
        <w:t xml:space="preserve"> </w:t>
      </w:r>
    </w:p>
    <w:p w:rsidR="00CE3216" w:rsidRPr="00EB5449" w:rsidRDefault="00CE3216" w:rsidP="00CE3216">
      <w:pPr>
        <w:pStyle w:val="ParaNoNdepar-AltN"/>
        <w:widowControl w:val="0"/>
        <w:rPr>
          <w:rFonts w:cs="Times New Roman"/>
          <w:szCs w:val="24"/>
        </w:rPr>
      </w:pPr>
      <w:r w:rsidRPr="00EB5449">
        <w:rPr>
          <w:rFonts w:cs="Times New Roman"/>
          <w:szCs w:val="24"/>
        </w:rPr>
        <w:t>Je suis plutôt d’avis que la nature généralement expéditive du processus de mise en liberté et ses conséquences — rapidité entre l’arrestation et l’audience, non-représentation des accusés, preuve incomplète à cette étape</w:t>
      </w:r>
      <w:r w:rsidRPr="00EB5449">
        <w:rPr>
          <w:rFonts w:cs="Times New Roman"/>
          <w:szCs w:val="24"/>
        </w:rPr>
        <w:softHyphen/>
        <w:t xml:space="preserve"> — expliquent qu’une personne détenue ne puisse pas toujours présenter tous les éléments de preuve possibles lors de sa première audience. L’intérêt de la justice serait donc compromis si les tribunaux agissant en vertu des art. 520 et 521 </w:t>
      </w:r>
      <w:r w:rsidR="004364EE">
        <w:rPr>
          <w:rFonts w:cs="Times New Roman"/>
          <w:i/>
          <w:iCs/>
          <w:szCs w:val="24"/>
        </w:rPr>
        <w:t>C. cr.</w:t>
      </w:r>
      <w:r w:rsidRPr="00EB5449">
        <w:rPr>
          <w:rFonts w:cs="Times New Roman"/>
          <w:szCs w:val="24"/>
        </w:rPr>
        <w:t xml:space="preserve"> devaient appliquer une conception restrictive de la </w:t>
      </w:r>
      <w:r>
        <w:rPr>
          <w:rFonts w:cs="Times New Roman"/>
          <w:szCs w:val="24"/>
        </w:rPr>
        <w:t>« </w:t>
      </w:r>
      <w:r w:rsidRPr="00EB5449">
        <w:rPr>
          <w:rFonts w:cs="Times New Roman"/>
          <w:szCs w:val="24"/>
        </w:rPr>
        <w:t>preuve nouvelle</w:t>
      </w:r>
      <w:r>
        <w:rPr>
          <w:rFonts w:cs="Times New Roman"/>
          <w:szCs w:val="24"/>
        </w:rPr>
        <w:t> »</w:t>
      </w:r>
      <w:r w:rsidRPr="00EB5449">
        <w:rPr>
          <w:rFonts w:cs="Times New Roman"/>
          <w:szCs w:val="24"/>
        </w:rPr>
        <w:t xml:space="preserve"> admissible au sens de ces articles.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Dans </w:t>
      </w:r>
      <w:r w:rsidRPr="00EB5449">
        <w:rPr>
          <w:rFonts w:cs="Times New Roman"/>
          <w:i/>
          <w:iCs/>
          <w:szCs w:val="24"/>
        </w:rPr>
        <w:t>Palmer c. La Reine</w:t>
      </w:r>
      <w:r w:rsidRPr="00EB5449">
        <w:rPr>
          <w:rFonts w:cs="Times New Roman"/>
          <w:szCs w:val="24"/>
        </w:rPr>
        <w:t xml:space="preserve">, [1980] 1 R.C.S. 759, p. 775, notre Cour a établi les critères suivants pour qu’une preuve satisfasse à la notion de </w:t>
      </w:r>
      <w:r>
        <w:rPr>
          <w:rFonts w:cs="Times New Roman"/>
          <w:szCs w:val="24"/>
        </w:rPr>
        <w:t>« </w:t>
      </w:r>
      <w:r w:rsidRPr="00EB5449">
        <w:rPr>
          <w:rFonts w:cs="Times New Roman"/>
          <w:szCs w:val="24"/>
        </w:rPr>
        <w:t>preuve nouvelle</w:t>
      </w:r>
      <w:r>
        <w:rPr>
          <w:rFonts w:cs="Times New Roman"/>
          <w:szCs w:val="24"/>
        </w:rPr>
        <w:t> »</w:t>
      </w:r>
      <w:r w:rsidRPr="00EB5449">
        <w:rPr>
          <w:rFonts w:cs="Times New Roman"/>
          <w:szCs w:val="24"/>
        </w:rPr>
        <w:t xml:space="preserve"> lors d’un appel</w:t>
      </w:r>
      <w:r>
        <w:rPr>
          <w:rFonts w:cs="Times New Roman"/>
          <w:szCs w:val="24"/>
        </w:rPr>
        <w:t> :</w:t>
      </w:r>
    </w:p>
    <w:p w:rsidR="00CE3216" w:rsidRPr="00EB5449" w:rsidRDefault="00895585" w:rsidP="00895585">
      <w:pPr>
        <w:pStyle w:val="Citation-AltC"/>
        <w:widowControl w:val="0"/>
        <w:ind w:left="1710" w:hanging="540"/>
        <w:rPr>
          <w:szCs w:val="24"/>
        </w:rPr>
      </w:pPr>
      <w:r>
        <w:rPr>
          <w:szCs w:val="24"/>
        </w:rPr>
        <w:lastRenderedPageBreak/>
        <w:t xml:space="preserve">(1) </w:t>
      </w:r>
      <w:r>
        <w:rPr>
          <w:szCs w:val="24"/>
        </w:rPr>
        <w:tab/>
      </w:r>
      <w:r w:rsidR="00CE3216" w:rsidRPr="00EB5449">
        <w:rPr>
          <w:szCs w:val="24"/>
        </w:rPr>
        <w:t xml:space="preserve">On ne devrait généralement pas admettre une [preuve] qui, avec diligence raisonnable, aurait pu être produite au procès </w:t>
      </w:r>
      <w:r w:rsidR="00CE3216">
        <w:rPr>
          <w:szCs w:val="24"/>
        </w:rPr>
        <w:t>. . .</w:t>
      </w:r>
      <w:r>
        <w:rPr>
          <w:szCs w:val="24"/>
        </w:rPr>
        <w:t xml:space="preserve"> </w:t>
      </w:r>
    </w:p>
    <w:p w:rsidR="00CE3216" w:rsidRPr="00EB5449" w:rsidRDefault="00CE3216" w:rsidP="00CE3216">
      <w:pPr>
        <w:pStyle w:val="Citation-AltC"/>
        <w:widowControl w:val="0"/>
        <w:ind w:left="1526"/>
        <w:rPr>
          <w:szCs w:val="24"/>
        </w:rPr>
      </w:pPr>
    </w:p>
    <w:p w:rsidR="00CE3216" w:rsidRPr="00EB5449" w:rsidRDefault="00895585" w:rsidP="00895585">
      <w:pPr>
        <w:pStyle w:val="Citation-AltC"/>
        <w:widowControl w:val="0"/>
        <w:ind w:left="1710" w:hanging="540"/>
        <w:rPr>
          <w:szCs w:val="24"/>
        </w:rPr>
      </w:pPr>
      <w:r>
        <w:rPr>
          <w:szCs w:val="24"/>
        </w:rPr>
        <w:t xml:space="preserve">(2) </w:t>
      </w:r>
      <w:r>
        <w:rPr>
          <w:szCs w:val="24"/>
        </w:rPr>
        <w:tab/>
      </w:r>
      <w:r w:rsidR="00CE3216" w:rsidRPr="00EB5449">
        <w:rPr>
          <w:szCs w:val="24"/>
        </w:rPr>
        <w:t>La [preuve] doit être pertinente, en ce sens qu’elle doit porter sur une question décisive ou potentiellement décisive quant au procès.</w:t>
      </w:r>
    </w:p>
    <w:p w:rsidR="00CE3216" w:rsidRPr="00EB5449" w:rsidRDefault="00CE3216" w:rsidP="00CE3216">
      <w:pPr>
        <w:pStyle w:val="Citation-AltC"/>
        <w:widowControl w:val="0"/>
        <w:ind w:left="0"/>
        <w:rPr>
          <w:szCs w:val="24"/>
        </w:rPr>
      </w:pPr>
    </w:p>
    <w:p w:rsidR="00CE3216" w:rsidRPr="00EB5449" w:rsidRDefault="00895585" w:rsidP="00895585">
      <w:pPr>
        <w:pStyle w:val="Citation-AltC"/>
        <w:widowControl w:val="0"/>
        <w:ind w:left="1710" w:hanging="540"/>
        <w:rPr>
          <w:szCs w:val="24"/>
        </w:rPr>
      </w:pPr>
      <w:r>
        <w:rPr>
          <w:szCs w:val="24"/>
        </w:rPr>
        <w:t xml:space="preserve">(3) </w:t>
      </w:r>
      <w:r>
        <w:rPr>
          <w:szCs w:val="24"/>
        </w:rPr>
        <w:tab/>
      </w:r>
      <w:r w:rsidR="00CE3216" w:rsidRPr="00EB5449">
        <w:rPr>
          <w:szCs w:val="24"/>
        </w:rPr>
        <w:t>La [preuve] doit être plausible, en ce sens qu’on puisse raisonnablement y ajouter foi, et</w:t>
      </w:r>
    </w:p>
    <w:p w:rsidR="00CE3216" w:rsidRPr="00EB5449" w:rsidRDefault="00CE3216" w:rsidP="00CE3216">
      <w:pPr>
        <w:pStyle w:val="Citation-AltC"/>
        <w:widowControl w:val="0"/>
        <w:rPr>
          <w:szCs w:val="24"/>
        </w:rPr>
      </w:pPr>
    </w:p>
    <w:p w:rsidR="00CE3216" w:rsidRPr="00EB5449" w:rsidRDefault="00895585" w:rsidP="00895585">
      <w:pPr>
        <w:pStyle w:val="Citation-AltC"/>
        <w:widowControl w:val="0"/>
        <w:ind w:left="1713" w:hanging="547"/>
        <w:contextualSpacing w:val="0"/>
        <w:rPr>
          <w:szCs w:val="24"/>
        </w:rPr>
      </w:pPr>
      <w:r>
        <w:rPr>
          <w:szCs w:val="24"/>
        </w:rPr>
        <w:t xml:space="preserve">(4) </w:t>
      </w:r>
      <w:r>
        <w:rPr>
          <w:szCs w:val="24"/>
        </w:rPr>
        <w:tab/>
      </w:r>
      <w:r w:rsidR="00CE3216" w:rsidRPr="00EB5449">
        <w:rPr>
          <w:szCs w:val="24"/>
        </w:rPr>
        <w:t xml:space="preserve">Elle doit être telle que si l’on y ajoute foi, on puisse raisonnablement penser qu’avec les autres éléments de preuve produits au procès, elle aurait influé sur le résultat. </w:t>
      </w:r>
    </w:p>
    <w:p w:rsidR="00CE3216" w:rsidRPr="00EB5449" w:rsidRDefault="00CE3216" w:rsidP="00895585">
      <w:pPr>
        <w:pStyle w:val="Citation-AltC"/>
        <w:widowControl w:val="0"/>
        <w:ind w:left="0"/>
        <w:rPr>
          <w:szCs w:val="24"/>
        </w:rPr>
      </w:pPr>
      <w:r w:rsidRPr="00EB5449">
        <w:rPr>
          <w:szCs w:val="24"/>
        </w:rPr>
        <w:t xml:space="preserve">(Réitéré dans </w:t>
      </w:r>
      <w:r w:rsidRPr="00EB5449">
        <w:rPr>
          <w:i/>
          <w:iCs/>
          <w:szCs w:val="24"/>
        </w:rPr>
        <w:t>R. c. Warsing</w:t>
      </w:r>
      <w:r w:rsidRPr="00EB5449">
        <w:rPr>
          <w:szCs w:val="24"/>
        </w:rPr>
        <w:t xml:space="preserve">, </w:t>
      </w:r>
      <w:r w:rsidRPr="00EB5449">
        <w:rPr>
          <w:rStyle w:val="reflex3-block"/>
          <w:rFonts w:eastAsiaTheme="majorEastAsia"/>
        </w:rPr>
        <w:t>[1998] 3 R.C.S. 579</w:t>
      </w:r>
      <w:r w:rsidRPr="00EB5449">
        <w:rPr>
          <w:szCs w:val="24"/>
        </w:rPr>
        <w:t xml:space="preserve">, par. 50.)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Je suis d’avis que les quatre critères de l’arrêt </w:t>
      </w:r>
      <w:r w:rsidRPr="00EB5449">
        <w:rPr>
          <w:rFonts w:cs="Times New Roman"/>
          <w:i/>
          <w:iCs/>
          <w:szCs w:val="24"/>
        </w:rPr>
        <w:t>Palmer</w:t>
      </w:r>
      <w:r w:rsidRPr="00EB5449">
        <w:rPr>
          <w:rFonts w:cs="Times New Roman"/>
          <w:szCs w:val="24"/>
        </w:rPr>
        <w:t xml:space="preserve"> sont pertinents, avec les adaptations nécessaires, pour déterminer en quoi consiste une preuve nouvelle pour les besoins de la révision prévue aux art. 520 et 521 </w:t>
      </w:r>
      <w:r w:rsidR="004364EE">
        <w:rPr>
          <w:rFonts w:cs="Times New Roman"/>
          <w:i/>
          <w:iCs/>
          <w:szCs w:val="24"/>
        </w:rPr>
        <w:t>C. cr.</w:t>
      </w:r>
      <w:r w:rsidRPr="00EB5449">
        <w:rPr>
          <w:rFonts w:cs="Times New Roman"/>
          <w:szCs w:val="24"/>
        </w:rPr>
        <w:t xml:space="preserve"> Étant donné la nature généralement expéditive du processus de mise en liberté provisoire et les risques d’atteinte aux droits de l’accusé, et puisque l’audience sur la mise en liberté survient au tout début des procédures criminelles et non à la fin comme l’appel de la peine, les juges réviseurs doivent faire preuve de souplesse dans l’application de ces quatre critères. D’entrée de jeu, je rappelle que les règles de preuve sont assouplies dans le cadre de l’enquête sur la mise en liberté</w:t>
      </w:r>
      <w:r>
        <w:rPr>
          <w:rFonts w:cs="Times New Roman"/>
          <w:szCs w:val="24"/>
        </w:rPr>
        <w:t> :</w:t>
      </w:r>
      <w:r w:rsidRPr="00EB5449">
        <w:rPr>
          <w:rFonts w:cs="Times New Roman"/>
          <w:szCs w:val="24"/>
        </w:rPr>
        <w:t xml:space="preserve"> art. 518 </w:t>
      </w:r>
      <w:r w:rsidR="004364EE">
        <w:rPr>
          <w:rFonts w:cs="Times New Roman"/>
          <w:i/>
          <w:iCs/>
          <w:szCs w:val="24"/>
        </w:rPr>
        <w:t>C. cr.</w:t>
      </w:r>
    </w:p>
    <w:p w:rsidR="00CE3216" w:rsidRPr="00EB5449" w:rsidRDefault="00CE3216" w:rsidP="00CE3216">
      <w:pPr>
        <w:pStyle w:val="ParaNoNdepar-AltN"/>
        <w:widowControl w:val="0"/>
        <w:rPr>
          <w:rFonts w:cs="Times New Roman"/>
          <w:szCs w:val="24"/>
        </w:rPr>
      </w:pPr>
      <w:r w:rsidRPr="00EB5449">
        <w:rPr>
          <w:rFonts w:cs="Times New Roman"/>
          <w:szCs w:val="24"/>
        </w:rPr>
        <w:t xml:space="preserve">Le premier critère — la diligence raisonnable — existe pour assurer le caractère définitif et le déroulement ordonné des procédures judiciaires, des valeurs qui sont essentielles à l’intégrité du processus pénal: </w:t>
      </w:r>
      <w:r w:rsidRPr="00EB5449">
        <w:rPr>
          <w:rFonts w:cs="Times New Roman"/>
          <w:i/>
          <w:iCs/>
          <w:szCs w:val="24"/>
        </w:rPr>
        <w:t>R. c. G.D.B</w:t>
      </w:r>
      <w:r w:rsidRPr="00EB5449">
        <w:rPr>
          <w:rFonts w:cs="Times New Roman"/>
          <w:i/>
          <w:szCs w:val="24"/>
        </w:rPr>
        <w:t>.</w:t>
      </w:r>
      <w:r w:rsidRPr="00EB5449">
        <w:rPr>
          <w:rFonts w:cs="Times New Roman"/>
          <w:szCs w:val="24"/>
        </w:rPr>
        <w:t xml:space="preserve">, 2000 CSC 22, [2000] 1 R.C.S. 520, par. 19, citant </w:t>
      </w:r>
      <w:r w:rsidRPr="00EB5449">
        <w:rPr>
          <w:rFonts w:cs="Times New Roman"/>
          <w:i/>
          <w:iCs/>
          <w:szCs w:val="24"/>
        </w:rPr>
        <w:t xml:space="preserve">R. c. M. (P.S.) </w:t>
      </w:r>
      <w:r w:rsidRPr="00EB5449">
        <w:rPr>
          <w:rStyle w:val="reflex3-block"/>
          <w:rFonts w:cs="Times New Roman"/>
        </w:rPr>
        <w:t xml:space="preserve">(1992), 77 C.C.C. (3d) 402 (C.A. </w:t>
      </w:r>
      <w:r w:rsidRPr="00EB5449">
        <w:rPr>
          <w:rStyle w:val="reflex3-block"/>
          <w:rFonts w:cs="Times New Roman"/>
        </w:rPr>
        <w:lastRenderedPageBreak/>
        <w:t>Ont.)</w:t>
      </w:r>
      <w:r w:rsidRPr="00EB5449">
        <w:rPr>
          <w:rFonts w:cs="Times New Roman"/>
          <w:szCs w:val="24"/>
        </w:rPr>
        <w:t>, p.</w:t>
      </w:r>
      <w:r>
        <w:rPr>
          <w:rFonts w:cs="Times New Roman"/>
          <w:szCs w:val="24"/>
        </w:rPr>
        <w:t xml:space="preserve"> </w:t>
      </w:r>
      <w:r w:rsidRPr="00EB5449">
        <w:rPr>
          <w:rFonts w:cs="Times New Roman"/>
          <w:szCs w:val="24"/>
        </w:rPr>
        <w:t xml:space="preserve">411. L’appelante fait d’ailleurs valoir ces mêmes valeurs pour restreindre la notion de preuve nouvelle en l’espèce. Cependant, la détention de l’accusé avant le procès — tout comme sa mise en liberté — est de par sa nature même très souvent </w:t>
      </w:r>
      <w:r>
        <w:rPr>
          <w:rFonts w:cs="Times New Roman"/>
          <w:szCs w:val="24"/>
        </w:rPr>
        <w:t>« </w:t>
      </w:r>
      <w:r w:rsidRPr="00EB5449">
        <w:rPr>
          <w:rFonts w:cs="Times New Roman"/>
          <w:szCs w:val="24"/>
        </w:rPr>
        <w:t>provisoire</w:t>
      </w:r>
      <w:r>
        <w:rPr>
          <w:rFonts w:cs="Times New Roman"/>
          <w:szCs w:val="24"/>
        </w:rPr>
        <w:t> »</w:t>
      </w:r>
      <w:r w:rsidRPr="00EB5449">
        <w:rPr>
          <w:rFonts w:cs="Times New Roman"/>
          <w:szCs w:val="24"/>
        </w:rPr>
        <w:t xml:space="preserve"> et non pas définitive. </w:t>
      </w:r>
    </w:p>
    <w:p w:rsidR="00CE3216" w:rsidRPr="00EB5449" w:rsidRDefault="00CE3216" w:rsidP="00CE3216">
      <w:pPr>
        <w:pStyle w:val="ParaNoNdepar-AltN"/>
        <w:widowControl w:val="0"/>
        <w:rPr>
          <w:rFonts w:cs="Times New Roman"/>
          <w:szCs w:val="24"/>
        </w:rPr>
      </w:pPr>
      <w:r w:rsidRPr="00EB5449">
        <w:rPr>
          <w:rFonts w:cs="Times New Roman"/>
          <w:szCs w:val="24"/>
        </w:rPr>
        <w:t>De plus, malgré l’importance de ces valeurs, notre Cour a également précisé que le critère de la diligence raisonnable ne devait pas être appliqué de manière aussi stricte dans les affaires criminelles que dans les affaires civiles</w:t>
      </w:r>
      <w:r>
        <w:rPr>
          <w:rFonts w:cs="Times New Roman"/>
          <w:szCs w:val="24"/>
        </w:rPr>
        <w:t> :</w:t>
      </w:r>
      <w:r w:rsidRPr="00EB5449">
        <w:rPr>
          <w:rFonts w:cs="Times New Roman"/>
          <w:szCs w:val="24"/>
        </w:rPr>
        <w:t xml:space="preserve"> </w:t>
      </w:r>
      <w:r w:rsidRPr="00EB5449">
        <w:rPr>
          <w:rFonts w:cs="Times New Roman"/>
          <w:i/>
          <w:iCs/>
          <w:szCs w:val="24"/>
        </w:rPr>
        <w:t>Palmer</w:t>
      </w:r>
      <w:r w:rsidRPr="00EB5449">
        <w:rPr>
          <w:rFonts w:cs="Times New Roman"/>
          <w:szCs w:val="24"/>
        </w:rPr>
        <w:t xml:space="preserve">, p. 775, citant </w:t>
      </w:r>
      <w:r w:rsidRPr="00EB5449">
        <w:rPr>
          <w:rFonts w:cs="Times New Roman"/>
          <w:i/>
          <w:iCs/>
          <w:szCs w:val="24"/>
        </w:rPr>
        <w:t>McMartin c. The Queen</w:t>
      </w:r>
      <w:r w:rsidRPr="00EB5449">
        <w:rPr>
          <w:rFonts w:cs="Times New Roman"/>
          <w:szCs w:val="24"/>
        </w:rPr>
        <w:t>, [1964] R.C.S. 484</w:t>
      </w:r>
      <w:r w:rsidR="00895585">
        <w:rPr>
          <w:rFonts w:cs="Times New Roman"/>
          <w:szCs w:val="24"/>
        </w:rPr>
        <w:t xml:space="preserve">, </w:t>
      </w:r>
      <w:r w:rsidRPr="00EB5449">
        <w:rPr>
          <w:rFonts w:cs="Times New Roman"/>
          <w:szCs w:val="24"/>
        </w:rPr>
        <w:t>p. 493. Le poids qu’il faut accorder à ce critère dépend de la force des autres ou, en d’autres termes, de l’ensemble des circonstances</w:t>
      </w:r>
      <w:r>
        <w:rPr>
          <w:rFonts w:cs="Times New Roman"/>
          <w:szCs w:val="24"/>
        </w:rPr>
        <w:t> :</w:t>
      </w:r>
      <w:r w:rsidRPr="00EB5449">
        <w:rPr>
          <w:rFonts w:cs="Times New Roman"/>
          <w:szCs w:val="24"/>
        </w:rPr>
        <w:t xml:space="preserve"> </w:t>
      </w:r>
      <w:r w:rsidRPr="00EB5449">
        <w:rPr>
          <w:rFonts w:cs="Times New Roman"/>
          <w:i/>
          <w:iCs/>
          <w:szCs w:val="24"/>
        </w:rPr>
        <w:t>R. c.</w:t>
      </w:r>
      <w:r w:rsidRPr="00EB5449">
        <w:rPr>
          <w:rFonts w:cs="Times New Roman"/>
          <w:szCs w:val="24"/>
        </w:rPr>
        <w:t xml:space="preserve"> </w:t>
      </w:r>
      <w:r w:rsidRPr="00EB5449">
        <w:rPr>
          <w:rFonts w:cs="Times New Roman"/>
          <w:i/>
          <w:iCs/>
          <w:szCs w:val="24"/>
        </w:rPr>
        <w:t>Price</w:t>
      </w:r>
      <w:r w:rsidRPr="00EB5449">
        <w:rPr>
          <w:rFonts w:cs="Times New Roman"/>
          <w:szCs w:val="24"/>
        </w:rPr>
        <w:t xml:space="preserve">, </w:t>
      </w:r>
      <w:r w:rsidRPr="00EB5449">
        <w:rPr>
          <w:rStyle w:val="reflex3-block"/>
          <w:rFonts w:cs="Times New Roman"/>
        </w:rPr>
        <w:t xml:space="preserve">[1993] 3 R.C.S. 633, p. 634; voir aussi </w:t>
      </w:r>
      <w:r w:rsidRPr="00EB5449">
        <w:rPr>
          <w:rFonts w:cs="Times New Roman"/>
          <w:i/>
          <w:iCs/>
          <w:szCs w:val="24"/>
        </w:rPr>
        <w:t>Warsing</w:t>
      </w:r>
      <w:r w:rsidRPr="00EB5449">
        <w:rPr>
          <w:rFonts w:cs="Times New Roman"/>
          <w:szCs w:val="24"/>
        </w:rPr>
        <w:t>, par. 51</w:t>
      </w:r>
      <w:r w:rsidRPr="00EB5449">
        <w:rPr>
          <w:rStyle w:val="reflex3-block"/>
          <w:rFonts w:cs="Times New Roman"/>
        </w:rPr>
        <w:t xml:space="preserve">. </w:t>
      </w:r>
      <w:r w:rsidRPr="00EB5449">
        <w:rPr>
          <w:rFonts w:cs="Times New Roman"/>
          <w:szCs w:val="24"/>
        </w:rPr>
        <w:t xml:space="preserve"> Dans </w:t>
      </w:r>
      <w:r w:rsidRPr="00EB5449">
        <w:rPr>
          <w:rFonts w:cs="Times New Roman"/>
          <w:i/>
          <w:iCs/>
          <w:szCs w:val="24"/>
        </w:rPr>
        <w:t>G.D.B</w:t>
      </w:r>
      <w:r w:rsidRPr="00EB5449">
        <w:rPr>
          <w:rFonts w:cs="Times New Roman"/>
          <w:i/>
          <w:szCs w:val="24"/>
        </w:rPr>
        <w:t>.</w:t>
      </w:r>
      <w:r w:rsidRPr="00EB5449">
        <w:rPr>
          <w:rFonts w:cs="Times New Roman"/>
          <w:szCs w:val="24"/>
        </w:rPr>
        <w:t xml:space="preserve">, notre Cour a précisé que </w:t>
      </w:r>
      <w:r>
        <w:rPr>
          <w:rFonts w:cs="Times New Roman"/>
          <w:szCs w:val="24"/>
        </w:rPr>
        <w:t>« </w:t>
      </w:r>
      <w:r w:rsidRPr="00EB5449">
        <w:rPr>
          <w:rFonts w:cs="Times New Roman"/>
          <w:szCs w:val="24"/>
        </w:rPr>
        <w:t>la cour d’appel doit déterminer la raison pour laquelle l’élément de preuve n’était pas disponible au procès</w:t>
      </w:r>
      <w:r>
        <w:rPr>
          <w:rFonts w:cs="Times New Roman"/>
          <w:szCs w:val="24"/>
        </w:rPr>
        <w:t> » :</w:t>
      </w:r>
      <w:r w:rsidRPr="00EB5449">
        <w:rPr>
          <w:rFonts w:cs="Times New Roman"/>
          <w:szCs w:val="24"/>
        </w:rPr>
        <w:t xml:space="preserve"> par. 20. Ainsi, le fait de permettre une approche généreuse et libérale de la notion de </w:t>
      </w:r>
      <w:r>
        <w:rPr>
          <w:rFonts w:cs="Times New Roman"/>
          <w:szCs w:val="24"/>
        </w:rPr>
        <w:t>« </w:t>
      </w:r>
      <w:r w:rsidRPr="00EB5449">
        <w:rPr>
          <w:rFonts w:cs="Times New Roman"/>
          <w:szCs w:val="24"/>
        </w:rPr>
        <w:t>preuve nouvelle</w:t>
      </w:r>
      <w:r>
        <w:rPr>
          <w:rFonts w:cs="Times New Roman"/>
          <w:szCs w:val="24"/>
        </w:rPr>
        <w:t> »</w:t>
      </w:r>
      <w:r w:rsidRPr="00EB5449">
        <w:rPr>
          <w:rFonts w:cs="Times New Roman"/>
          <w:szCs w:val="24"/>
        </w:rPr>
        <w:t xml:space="preserve"> pour l’application des art. 520 et 521 </w:t>
      </w:r>
      <w:r w:rsidR="004364EE">
        <w:rPr>
          <w:rFonts w:cs="Times New Roman"/>
          <w:i/>
          <w:iCs/>
          <w:szCs w:val="24"/>
        </w:rPr>
        <w:t>C. cr.</w:t>
      </w:r>
      <w:r w:rsidRPr="00EB5449">
        <w:rPr>
          <w:rFonts w:cs="Times New Roman"/>
          <w:szCs w:val="24"/>
        </w:rPr>
        <w:t xml:space="preserve"> s’inscrit fort bien dans la jurisprudence de notre Cour.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J’estime donc que le juge réviseur peut tenir compte d’éléments de preuve véritablement nouveaux ou d’éléments qui existaient au moment de l’audience initiale sur la mise en liberté de l’accusé, mais qui n’ont pas été présentés pour une raison légitime et raisonnable. C’est en ce sens qu’il faut comprendre le critère de la </w:t>
      </w:r>
      <w:r>
        <w:rPr>
          <w:rFonts w:cs="Times New Roman"/>
          <w:szCs w:val="24"/>
        </w:rPr>
        <w:t>« </w:t>
      </w:r>
      <w:r w:rsidRPr="00EB5449">
        <w:rPr>
          <w:rFonts w:cs="Times New Roman"/>
          <w:szCs w:val="24"/>
        </w:rPr>
        <w:t>diligence raisonnable</w:t>
      </w:r>
      <w:r>
        <w:rPr>
          <w:rFonts w:cs="Times New Roman"/>
          <w:szCs w:val="24"/>
        </w:rPr>
        <w:t> »</w:t>
      </w:r>
      <w:r w:rsidRPr="00EB5449">
        <w:rPr>
          <w:rFonts w:cs="Times New Roman"/>
          <w:szCs w:val="24"/>
        </w:rPr>
        <w:t xml:space="preserve"> établi dans l’arrêt </w:t>
      </w:r>
      <w:r w:rsidRPr="00EB5449">
        <w:rPr>
          <w:rFonts w:cs="Times New Roman"/>
          <w:i/>
          <w:iCs/>
          <w:szCs w:val="24"/>
        </w:rPr>
        <w:t>Palmer</w:t>
      </w:r>
      <w:r w:rsidRPr="00EB5449">
        <w:rPr>
          <w:rFonts w:cs="Times New Roman"/>
          <w:szCs w:val="24"/>
        </w:rPr>
        <w:t xml:space="preserve"> pour la révision prévue aux art. 520 et 521 </w:t>
      </w:r>
      <w:r w:rsidR="004364EE">
        <w:rPr>
          <w:rFonts w:cs="Times New Roman"/>
          <w:i/>
          <w:iCs/>
          <w:szCs w:val="24"/>
        </w:rPr>
        <w:t>C. cr.</w:t>
      </w:r>
      <w:r w:rsidRPr="00EB5449">
        <w:rPr>
          <w:rFonts w:cs="Times New Roman"/>
          <w:szCs w:val="24"/>
        </w:rPr>
        <w:t xml:space="preserve"> La nature du système de mise en liberté et les risques y afférents </w:t>
      </w:r>
      <w:r w:rsidRPr="00EB5449">
        <w:rPr>
          <w:rFonts w:cs="Times New Roman"/>
          <w:szCs w:val="24"/>
        </w:rPr>
        <w:lastRenderedPageBreak/>
        <w:t xml:space="preserve">n’exigent pas moins.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Je précise que cette preuve nouvelle ne se limite pas à des éléments auxquels l’accusé n’a pas eu accès avant l’audience initiale, du fait que, par exemple, le poursuivant ne les lui avait pas communiqués. Il est possible que ce dernier ne remette des éléments de preuve à l’accusé qu’au tout dernier moment avant l’audience initiale ou très peu de temps avant. Compte tenu des circonstances propres à chaque affaire, il pourrait être déraisonnable et injuste d’exiger de l’accusé qu’il utilise une telle preuve dès l’audience initiale, faute de quoi il ne pourrait plus l’invoquer dans une demande de révision subséquente, soit une fois que son avocat aurait eu le temps nécessaire pour l’analyser et mesurer les avantages et désavantages de son utilisation. Il appartiendra aux juges réviseurs de déterminer, dans chaque cas, si la raison pour laquelle l’accusé n’a pas présenté plus tôt ces éléments de preuve préexistants était légitime et raisonnable. </w:t>
      </w:r>
    </w:p>
    <w:p w:rsidR="00CE3216" w:rsidRPr="00EB5449" w:rsidRDefault="00CE3216" w:rsidP="00CE3216">
      <w:pPr>
        <w:pStyle w:val="ParaNoNdepar-AltN"/>
        <w:widowControl w:val="0"/>
        <w:rPr>
          <w:rFonts w:cs="Times New Roman"/>
          <w:szCs w:val="24"/>
        </w:rPr>
      </w:pPr>
      <w:r w:rsidRPr="00EB5449">
        <w:rPr>
          <w:rFonts w:cs="Times New Roman"/>
          <w:szCs w:val="24"/>
        </w:rPr>
        <w:t xml:space="preserve">Cette exigence relative à la démonstration d’une raison légitime et raisonnable fait en sorte que, dans les cas où un accusé aurait véritablement intérêt à faire traîner sa demande de mise en liberté ou tenterait de profiter de la révision pour choisir un juge plus accommodant, le juge réviseur pourra refuser la preuve nouvelle. De cette façon, la conception de preuve nouvelle pour l’application des art. 520 et 521 </w:t>
      </w:r>
      <w:r w:rsidR="004364EE">
        <w:rPr>
          <w:rFonts w:cs="Times New Roman"/>
          <w:i/>
          <w:iCs/>
          <w:szCs w:val="24"/>
        </w:rPr>
        <w:t>C. cr.</w:t>
      </w:r>
      <w:r w:rsidRPr="00EB5449">
        <w:rPr>
          <w:rFonts w:cs="Times New Roman"/>
          <w:szCs w:val="24"/>
        </w:rPr>
        <w:t xml:space="preserve"> répond à la fois au besoin de respecter l’intégrité de notre système de justice criminelle et à celui d’assurer la protection des droits de l’accusé dans le cadre de procédures généralement expéditives. </w:t>
      </w:r>
    </w:p>
    <w:p w:rsidR="00CE3216" w:rsidRPr="00EB5449" w:rsidRDefault="00CE3216" w:rsidP="00CE3216">
      <w:pPr>
        <w:pStyle w:val="ParaNoNdepar-AltN"/>
        <w:widowControl w:val="0"/>
        <w:rPr>
          <w:rFonts w:cs="Times New Roman"/>
          <w:szCs w:val="24"/>
        </w:rPr>
      </w:pPr>
      <w:r w:rsidRPr="00EB5449">
        <w:rPr>
          <w:rFonts w:cs="Times New Roman"/>
          <w:szCs w:val="24"/>
        </w:rPr>
        <w:lastRenderedPageBreak/>
        <w:t xml:space="preserve">Quant au deuxième critère de l’arrêt </w:t>
      </w:r>
      <w:r w:rsidRPr="00EB5449">
        <w:rPr>
          <w:rFonts w:cs="Times New Roman"/>
          <w:i/>
          <w:iCs/>
          <w:szCs w:val="24"/>
        </w:rPr>
        <w:t>Palmer</w:t>
      </w:r>
      <w:r w:rsidRPr="00EB5449">
        <w:rPr>
          <w:rFonts w:cs="Times New Roman"/>
          <w:szCs w:val="24"/>
        </w:rPr>
        <w:t xml:space="preserve">, il va de soi que la preuve n’a pas à </w:t>
      </w:r>
      <w:r>
        <w:rPr>
          <w:rFonts w:cs="Times New Roman"/>
          <w:szCs w:val="24"/>
        </w:rPr>
        <w:t>« </w:t>
      </w:r>
      <w:r w:rsidRPr="00EB5449">
        <w:rPr>
          <w:rFonts w:cs="Times New Roman"/>
          <w:szCs w:val="24"/>
        </w:rPr>
        <w:t>porter sur une question décisive ou potentiellement décisive quant au procès</w:t>
      </w:r>
      <w:r>
        <w:rPr>
          <w:rFonts w:cs="Times New Roman"/>
          <w:szCs w:val="24"/>
        </w:rPr>
        <w:t> » :</w:t>
      </w:r>
      <w:r w:rsidRPr="00EB5449">
        <w:rPr>
          <w:rFonts w:cs="Times New Roman"/>
          <w:szCs w:val="24"/>
        </w:rPr>
        <w:t xml:space="preserve"> p. 775. Il suffit que la preuve soit pertinente pour les besoins du par. 515(10) </w:t>
      </w:r>
      <w:r w:rsidR="004364EE">
        <w:rPr>
          <w:rFonts w:cs="Times New Roman"/>
          <w:i/>
          <w:iCs/>
          <w:szCs w:val="24"/>
        </w:rPr>
        <w:t>C. cr.</w:t>
      </w:r>
      <w:r w:rsidRPr="00EB5449">
        <w:rPr>
          <w:rFonts w:cs="Times New Roman"/>
          <w:szCs w:val="24"/>
        </w:rPr>
        <w:t xml:space="preserve"> En ce qui a trait spécifiquement au troisième motif de détention sous </w:t>
      </w:r>
      <w:r w:rsidR="002B606E">
        <w:rPr>
          <w:rFonts w:cs="Times New Roman"/>
          <w:szCs w:val="24"/>
        </w:rPr>
        <w:t xml:space="preserve">l’al. </w:t>
      </w:r>
      <w:r w:rsidRPr="00EB5449">
        <w:rPr>
          <w:rFonts w:cs="Times New Roman"/>
          <w:szCs w:val="24"/>
        </w:rPr>
        <w:t>515(10)</w:t>
      </w:r>
      <w:r w:rsidRPr="00EB5449">
        <w:rPr>
          <w:rFonts w:cs="Times New Roman"/>
          <w:i/>
          <w:szCs w:val="24"/>
        </w:rPr>
        <w:t>c</w:t>
      </w:r>
      <w:r w:rsidRPr="00EB5449">
        <w:rPr>
          <w:rFonts w:cs="Times New Roman"/>
          <w:szCs w:val="24"/>
        </w:rPr>
        <w:t xml:space="preserve">), celui en cause ici, je souligne que le juge doit tenir compte de </w:t>
      </w:r>
      <w:r>
        <w:rPr>
          <w:rFonts w:cs="Times New Roman"/>
          <w:szCs w:val="24"/>
        </w:rPr>
        <w:t>« </w:t>
      </w:r>
      <w:r w:rsidRPr="00EB5449">
        <w:rPr>
          <w:rFonts w:cs="Times New Roman"/>
          <w:szCs w:val="24"/>
        </w:rPr>
        <w:t>toutes les circonstances</w:t>
      </w:r>
      <w:r>
        <w:rPr>
          <w:rFonts w:cs="Times New Roman"/>
          <w:szCs w:val="24"/>
        </w:rPr>
        <w:t> »</w:t>
      </w:r>
      <w:r w:rsidRPr="00EB5449">
        <w:rPr>
          <w:rFonts w:cs="Times New Roman"/>
          <w:szCs w:val="24"/>
        </w:rPr>
        <w:t xml:space="preserve">. Le deuxième critère de l’arrêt </w:t>
      </w:r>
      <w:r w:rsidRPr="00EB5449">
        <w:rPr>
          <w:rFonts w:cs="Times New Roman"/>
          <w:i/>
          <w:iCs/>
          <w:szCs w:val="24"/>
        </w:rPr>
        <w:t>Palmer</w:t>
      </w:r>
      <w:r w:rsidRPr="00EB5449">
        <w:rPr>
          <w:rFonts w:cs="Times New Roman"/>
          <w:szCs w:val="24"/>
        </w:rPr>
        <w:t xml:space="preserve"> sera donc rarement décisif lors d’une demande de révision en vertu des art. 520 et 521 </w:t>
      </w:r>
      <w:r w:rsidR="004364EE">
        <w:rPr>
          <w:rFonts w:cs="Times New Roman"/>
          <w:i/>
          <w:iCs/>
          <w:szCs w:val="24"/>
        </w:rPr>
        <w:t>C. cr.</w:t>
      </w:r>
      <w:r w:rsidRPr="00EB5449">
        <w:rPr>
          <w:rFonts w:cs="Times New Roman"/>
          <w:szCs w:val="24"/>
        </w:rPr>
        <w:t xml:space="preserve">, puisque l’éventail de preuves </w:t>
      </w:r>
      <w:r>
        <w:rPr>
          <w:rFonts w:cs="Times New Roman"/>
          <w:szCs w:val="24"/>
        </w:rPr>
        <w:t>« </w:t>
      </w:r>
      <w:r w:rsidRPr="00EB5449">
        <w:rPr>
          <w:rFonts w:cs="Times New Roman"/>
          <w:szCs w:val="24"/>
        </w:rPr>
        <w:t>pertinentes</w:t>
      </w:r>
      <w:r>
        <w:rPr>
          <w:rFonts w:cs="Times New Roman"/>
          <w:szCs w:val="24"/>
        </w:rPr>
        <w:t> »</w:t>
      </w:r>
      <w:r w:rsidRPr="00EB5449">
        <w:rPr>
          <w:rFonts w:cs="Times New Roman"/>
          <w:szCs w:val="24"/>
        </w:rPr>
        <w:t xml:space="preserve"> sera généralement assez large.</w:t>
      </w:r>
    </w:p>
    <w:p w:rsidR="00CE3216" w:rsidRPr="00EB5449" w:rsidRDefault="00CE3216" w:rsidP="00CE3216">
      <w:pPr>
        <w:pStyle w:val="ParaNoNdepar-AltN"/>
        <w:widowControl w:val="0"/>
        <w:rPr>
          <w:rFonts w:cs="Times New Roman"/>
        </w:rPr>
      </w:pPr>
      <w:r w:rsidRPr="00EB5449">
        <w:rPr>
          <w:rFonts w:cs="Times New Roman"/>
        </w:rPr>
        <w:t xml:space="preserve">En ce qui concerne le troisième critère — soit que la preuve </w:t>
      </w:r>
      <w:r>
        <w:rPr>
          <w:rFonts w:cs="Times New Roman"/>
        </w:rPr>
        <w:t>« </w:t>
      </w:r>
      <w:r w:rsidRPr="00EB5449">
        <w:rPr>
          <w:rFonts w:cs="Times New Roman"/>
        </w:rPr>
        <w:t xml:space="preserve">doit être plausible, en ce sens qu’on </w:t>
      </w:r>
      <w:r w:rsidRPr="00EB5449">
        <w:rPr>
          <w:rFonts w:cs="Times New Roman"/>
          <w:szCs w:val="24"/>
        </w:rPr>
        <w:t>puisse raisonnablement y ajouter foi</w:t>
      </w:r>
      <w:r>
        <w:rPr>
          <w:rFonts w:cs="Times New Roman"/>
          <w:szCs w:val="24"/>
        </w:rPr>
        <w:t> »</w:t>
      </w:r>
      <w:r w:rsidRPr="00EB5449">
        <w:rPr>
          <w:rFonts w:cs="Times New Roman"/>
          <w:szCs w:val="24"/>
        </w:rPr>
        <w:t xml:space="preserve"> (</w:t>
      </w:r>
      <w:r w:rsidRPr="00EB5449">
        <w:rPr>
          <w:rFonts w:cs="Times New Roman"/>
          <w:i/>
          <w:szCs w:val="24"/>
        </w:rPr>
        <w:t>Palmer</w:t>
      </w:r>
      <w:r w:rsidRPr="00EB5449">
        <w:rPr>
          <w:rFonts w:cs="Times New Roman"/>
          <w:szCs w:val="24"/>
        </w:rPr>
        <w:t>, p. 775) —</w:t>
      </w:r>
      <w:r w:rsidR="008D508A">
        <w:rPr>
          <w:rFonts w:cs="Times New Roman"/>
          <w:szCs w:val="24"/>
        </w:rPr>
        <w:t>,</w:t>
      </w:r>
      <w:r w:rsidRPr="00EB5449">
        <w:rPr>
          <w:rFonts w:cs="Times New Roman"/>
          <w:szCs w:val="24"/>
        </w:rPr>
        <w:t xml:space="preserve"> il doit être interprété à la lumière de l’assouplissement des règles de preuve à l’étape de la mise en liberté sous caution, en particulier de l’al. 518(1)</w:t>
      </w:r>
      <w:r w:rsidRPr="00EB5449">
        <w:rPr>
          <w:rFonts w:cs="Times New Roman"/>
          <w:i/>
          <w:iCs/>
          <w:szCs w:val="24"/>
        </w:rPr>
        <w:t>e</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lequel prévoit que </w:t>
      </w:r>
      <w:r>
        <w:rPr>
          <w:rFonts w:cs="Times New Roman"/>
          <w:szCs w:val="24"/>
        </w:rPr>
        <w:t>« </w:t>
      </w:r>
      <w:r w:rsidRPr="00EB5449">
        <w:rPr>
          <w:rFonts w:cs="Times New Roman"/>
          <w:szCs w:val="24"/>
          <w:lang w:val="fr-FR"/>
        </w:rPr>
        <w:t>le juge de paix peut recevoir toute preuve qu’il considère plausible ou digne de foi dans les circonstances de l’espèce et fonder sa décision sur cette preuve</w:t>
      </w:r>
      <w:r>
        <w:rPr>
          <w:rFonts w:cs="Times New Roman"/>
          <w:szCs w:val="24"/>
          <w:lang w:val="fr-FR"/>
        </w:rPr>
        <w:t> »</w:t>
      </w:r>
      <w:r w:rsidRPr="00EB5449">
        <w:rPr>
          <w:rFonts w:cs="Times New Roman"/>
          <w:szCs w:val="24"/>
          <w:lang w:val="fr-FR"/>
        </w:rPr>
        <w:t>.</w:t>
      </w:r>
    </w:p>
    <w:p w:rsidR="00CE3216" w:rsidRPr="00EB5449" w:rsidRDefault="00CE3216" w:rsidP="00CE3216">
      <w:pPr>
        <w:pStyle w:val="ParaNoNdepar-AltN"/>
        <w:widowControl w:val="0"/>
        <w:rPr>
          <w:rFonts w:cs="Times New Roman"/>
          <w:szCs w:val="24"/>
        </w:rPr>
      </w:pPr>
      <w:r w:rsidRPr="00EB5449">
        <w:rPr>
          <w:rFonts w:cs="Times New Roman"/>
          <w:szCs w:val="24"/>
        </w:rPr>
        <w:t>Enfin, il convient de modifier ainsi le quatrième critère de</w:t>
      </w:r>
      <w:r w:rsidRPr="00EB5449">
        <w:rPr>
          <w:rFonts w:cs="Times New Roman"/>
          <w:i/>
          <w:iCs/>
          <w:szCs w:val="24"/>
        </w:rPr>
        <w:t xml:space="preserve"> </w:t>
      </w:r>
      <w:r w:rsidRPr="00EB5449">
        <w:rPr>
          <w:rFonts w:cs="Times New Roman"/>
          <w:iCs/>
          <w:szCs w:val="24"/>
        </w:rPr>
        <w:t xml:space="preserve">l’arrêt </w:t>
      </w:r>
      <w:r w:rsidRPr="00EB5449">
        <w:rPr>
          <w:rFonts w:cs="Times New Roman"/>
          <w:i/>
          <w:iCs/>
          <w:szCs w:val="24"/>
        </w:rPr>
        <w:t>Palmer</w:t>
      </w:r>
      <w:r>
        <w:rPr>
          <w:rFonts w:cs="Times New Roman"/>
          <w:szCs w:val="24"/>
        </w:rPr>
        <w:t> :</w:t>
      </w:r>
      <w:r w:rsidRPr="00EB5449">
        <w:rPr>
          <w:rFonts w:cs="Times New Roman"/>
          <w:szCs w:val="24"/>
        </w:rPr>
        <w:t xml:space="preserve"> la preuve nouvelle doit être telle qu’il est raisonnable de penser que, compte tenu de toutes les circonstances pertinentes, elle aurait été susceptible d’influencer l’exercice de pondération auquel s’est livré le premier juge pour l’application de l’al. 515(10</w:t>
      </w:r>
      <w:r w:rsidRPr="00EB5449">
        <w:rPr>
          <w:rFonts w:cs="Times New Roman"/>
          <w:iCs/>
          <w:szCs w:val="24"/>
        </w:rPr>
        <w:t>)</w:t>
      </w:r>
      <w:r w:rsidRPr="00EB5449">
        <w:rPr>
          <w:rFonts w:cs="Times New Roman"/>
          <w:i/>
          <w:iCs/>
          <w:szCs w:val="24"/>
        </w:rPr>
        <w:t>c</w:t>
      </w:r>
      <w:r w:rsidRPr="00EB5449">
        <w:rPr>
          <w:rFonts w:cs="Times New Roman"/>
          <w:szCs w:val="24"/>
        </w:rPr>
        <w:t>)</w:t>
      </w:r>
      <w:r w:rsidRPr="00EB5449">
        <w:rPr>
          <w:rFonts w:cs="Times New Roman"/>
          <w:i/>
          <w:iCs/>
          <w:szCs w:val="24"/>
        </w:rPr>
        <w:t xml:space="preserve"> </w:t>
      </w:r>
      <w:r w:rsidR="004364EE">
        <w:rPr>
          <w:rFonts w:cs="Times New Roman"/>
          <w:i/>
          <w:iCs/>
          <w:szCs w:val="24"/>
        </w:rPr>
        <w:t>C. cr.</w:t>
      </w:r>
      <w:r w:rsidRPr="00EB5449">
        <w:rPr>
          <w:rFonts w:cs="Times New Roman"/>
          <w:szCs w:val="24"/>
        </w:rPr>
        <w:t xml:space="preserve"> Cette nouvelle preuve doit donc être significative.</w:t>
      </w:r>
    </w:p>
    <w:p w:rsidR="00CE3216" w:rsidRPr="00EB5449" w:rsidRDefault="00CE3216" w:rsidP="00CE3216">
      <w:pPr>
        <w:pStyle w:val="ParaNoNdepar-AltN"/>
        <w:widowControl w:val="0"/>
        <w:rPr>
          <w:rFonts w:cs="Times New Roman"/>
          <w:szCs w:val="24"/>
        </w:rPr>
      </w:pPr>
      <w:r w:rsidRPr="00EB5449">
        <w:rPr>
          <w:rFonts w:cs="Times New Roman"/>
          <w:szCs w:val="24"/>
        </w:rPr>
        <w:t>Si la preuve nouvelle satisfait aux quatre critères d’admissibilité, le juge réviseur est autorisé à reprendre l’analyse fondée sur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comme s’il </w:t>
      </w:r>
      <w:r w:rsidRPr="00EB5449">
        <w:rPr>
          <w:rFonts w:cs="Times New Roman"/>
          <w:szCs w:val="24"/>
        </w:rPr>
        <w:lastRenderedPageBreak/>
        <w:t xml:space="preserve">était le premier décideur. Il doit donc analyser toutes les circonstances de l’affaire, en prêtant une attention particulière à celles énoncées à cet alinéa. Il doit ensuite se livrer à un exercice de pondération et déterminer, à travers l’œil du public, si la détention de l’accusé est toujours justifiée. Les critères de l’arrêt </w:t>
      </w:r>
      <w:r w:rsidRPr="00EB5449">
        <w:rPr>
          <w:rFonts w:cs="Times New Roman"/>
          <w:i/>
          <w:iCs/>
          <w:szCs w:val="24"/>
        </w:rPr>
        <w:t>Palmer</w:t>
      </w:r>
      <w:r w:rsidRPr="00EB5449">
        <w:rPr>
          <w:rFonts w:cs="Times New Roman"/>
          <w:iCs/>
          <w:szCs w:val="24"/>
        </w:rPr>
        <w:t>,</w:t>
      </w:r>
      <w:r w:rsidRPr="00EB5449">
        <w:rPr>
          <w:rFonts w:cs="Times New Roman"/>
          <w:szCs w:val="24"/>
        </w:rPr>
        <w:t xml:space="preserve"> tels que je viens de les modifier, ne doivent pas être appliqués pour ralentir ou compliquer inutilement le processus de mise en liberté. Encore une fois, de par sa nature, ce processus suppose généralement une procédure rapide et flexible. Ces critères servent donc de guides au juge réviseur, mais ils ne doivent pas avoir effet de créer des carcans procéduraux qui nuiraient à l’administration de la justice.   </w:t>
      </w:r>
    </w:p>
    <w:p w:rsidR="00CE3216" w:rsidRPr="00EB5449" w:rsidRDefault="00CE3216" w:rsidP="00CE3216">
      <w:pPr>
        <w:pStyle w:val="ParaNoNdepar-AltN"/>
        <w:widowControl w:val="0"/>
        <w:rPr>
          <w:rFonts w:cs="Times New Roman"/>
          <w:szCs w:val="24"/>
        </w:rPr>
      </w:pPr>
      <w:r w:rsidRPr="00EB5449">
        <w:rPr>
          <w:rFonts w:cs="Times New Roman"/>
          <w:szCs w:val="24"/>
        </w:rPr>
        <w:t>En conclusion, le juge réviseur pourra intervenir en cas de présentation d’une preuve nouvelle pertinente, en présence d’une erreur de droit ou, finalement, lorsque la décision est manifestement inappropriée.</w:t>
      </w:r>
    </w:p>
    <w:p w:rsidR="00CE3216" w:rsidRPr="00EB5449" w:rsidRDefault="00CE3216" w:rsidP="00CE3216">
      <w:pPr>
        <w:pStyle w:val="Title2LevelTitre2Niveau"/>
        <w:widowControl w:val="0"/>
        <w:rPr>
          <w:rFonts w:cs="Times New Roman"/>
          <w:szCs w:val="24"/>
        </w:rPr>
      </w:pPr>
      <w:r w:rsidRPr="00EB5449">
        <w:rPr>
          <w:rFonts w:cs="Times New Roman"/>
          <w:szCs w:val="24"/>
        </w:rPr>
        <w:t>Application aux faits de la présente affaire</w:t>
      </w:r>
    </w:p>
    <w:p w:rsidR="00CE3216" w:rsidRPr="00EB5449" w:rsidRDefault="00CE3216" w:rsidP="00CE3216">
      <w:pPr>
        <w:pStyle w:val="Title3LevelTitre3Niveau"/>
        <w:widowControl w:val="0"/>
        <w:rPr>
          <w:rFonts w:cs="Times New Roman"/>
          <w:szCs w:val="24"/>
        </w:rPr>
      </w:pPr>
      <w:r w:rsidRPr="00EB5449">
        <w:rPr>
          <w:rFonts w:cs="Times New Roman"/>
          <w:szCs w:val="24"/>
        </w:rPr>
        <w:t>Absence de faits nouveaux</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 xml:space="preserve">Lors de la décision initiale sur la mise en liberté de l’intimé, le juge Lavergne a considéré que, au dire des témoins, l’intimé et ses coaccusés auraient invectivé et injurié le chauffeur tout au long du trajet; on aurait cherché à le provoquer et on aurait menacé de lui donner une raclée. Le juge Lavergne a aussi relevé que la vidéo démontrait qu’à leur sortie de l’autobus, les jeunes hommes ont craché en direction du chauffeur. Cela aurait provoqué une réaction du chauffeur, qui </w:t>
      </w:r>
      <w:r w:rsidRPr="00EB5449">
        <w:rPr>
          <w:rFonts w:cs="Times New Roman"/>
          <w:szCs w:val="24"/>
          <w:lang w:val="fr-FR"/>
        </w:rPr>
        <w:lastRenderedPageBreak/>
        <w:t xml:space="preserve">s’est alors levé et s’est rendu au seuil de la porte de l’autobus. Le juge Lavergne a écrit que, selon toute vraisemblance, le chauffeur se serait adressé aux jeunes hommes, qui seraient alors revenus précipitamment dans l’autobus. C’est alors que l’agression a débuté.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Lors de la révision, le juge Martin de la Cour supérieure a estimé que tous les éléments de l’incident n’étaient pas en preuve devant le juge Lavergne. Selon le juge Martin, le point de départ des événements qu’a pris en compte le juge Lavergne semble être le moment où les trois jeunes hommes se sont levés à</w:t>
      </w:r>
      <w:r>
        <w:rPr>
          <w:rFonts w:cs="Times New Roman"/>
          <w:szCs w:val="24"/>
          <w:lang w:val="fr-FR"/>
        </w:rPr>
        <w:t xml:space="preserve"> </w:t>
      </w:r>
      <w:r w:rsidRPr="00EB5449">
        <w:rPr>
          <w:rFonts w:cs="Times New Roman"/>
          <w:szCs w:val="24"/>
          <w:lang w:val="fr-FR"/>
        </w:rPr>
        <w:t xml:space="preserve">l’arrière de l’autobus pour se rendre à l’avant. Or, de l’avis du juge Martin, les événements ont plutôt débuté lorsque le chauffeur a refusé d’ouvrir les portes de l’autobus aux jeunes hommes pour les laisser monter à un arrêt précédent. Le juge Martin a également souligné qu’une fois les trois jeunes hommes sortis de l’autobus, le chauffeur a bondi de son siège et s’est dirigé vers la porte. Après un échange de propos, le chauffeur est retourné s’asseoir, suivi des jeunes hommes qui sont remontés dans l’autobus. À ce moment, le chauffeur s’est tourné vers eux et a exécuté un </w:t>
      </w:r>
      <w:r>
        <w:rPr>
          <w:rFonts w:cs="Times New Roman"/>
          <w:szCs w:val="24"/>
          <w:lang w:val="fr-FR"/>
        </w:rPr>
        <w:t>« </w:t>
      </w:r>
      <w:r w:rsidRPr="00EB5449">
        <w:rPr>
          <w:rFonts w:cs="Times New Roman"/>
          <w:szCs w:val="24"/>
          <w:lang w:val="fr-FR"/>
        </w:rPr>
        <w:t>certain geste physique envers un des individus</w:t>
      </w:r>
      <w:r>
        <w:rPr>
          <w:rFonts w:cs="Times New Roman"/>
          <w:szCs w:val="24"/>
          <w:lang w:val="fr-FR"/>
        </w:rPr>
        <w:t> » :</w:t>
      </w:r>
      <w:r w:rsidRPr="00EB5449">
        <w:rPr>
          <w:rFonts w:cs="Times New Roman"/>
          <w:szCs w:val="24"/>
          <w:lang w:val="fr-FR"/>
        </w:rPr>
        <w:t xml:space="preserve"> par. 11. C’est à compter de ce moment-là, de dire le juge Martin, que la situation a dégénéré.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 xml:space="preserve">Il est vrai que, dans sa décision, le juge Lavergne n’a pas indiqué que le chauffeur avait refusé de prendre les trois jeunes hommes à un arrêt précédent. Les transcriptions de l’audience initiale semblent indiquer que cet élément n’a pas été discuté par les avocats au dossier. Le juge Lavergne n’a pas non plus fait état de geste </w:t>
      </w:r>
      <w:r w:rsidRPr="00EB5449">
        <w:rPr>
          <w:rFonts w:cs="Times New Roman"/>
          <w:szCs w:val="24"/>
          <w:lang w:val="fr-FR"/>
        </w:rPr>
        <w:lastRenderedPageBreak/>
        <w:t xml:space="preserve">physique posé par le chauffeur à l’endroit des jeunes hommes avant que ceux-ci ne l’agressent. C’est la </w:t>
      </w:r>
      <w:r w:rsidRPr="00EB5449">
        <w:rPr>
          <w:rFonts w:cs="Times New Roman"/>
          <w:szCs w:val="24"/>
        </w:rPr>
        <w:t xml:space="preserve">déclaration d’un passager qui a fourni ces détails et celle-ci n’a été remise au procureur de l’intimé que le matin même de l’audience devant le juge Lavergne. La policière qui menait l’enquête, qui a témoigné pour la poursuite, s’est référée à la déclaration du passager, mais ce point précis n’a pas été mentionné. Lors du contre-interrogatoire de la policière, l’avocat de l’intimé n’a pas abordé la déclaration du passager. Compte tenu de mes conclusions antérieures sur la notion de </w:t>
      </w:r>
      <w:r>
        <w:rPr>
          <w:rFonts w:cs="Times New Roman"/>
          <w:szCs w:val="24"/>
        </w:rPr>
        <w:t>« </w:t>
      </w:r>
      <w:r w:rsidRPr="00EB5449">
        <w:rPr>
          <w:rFonts w:cs="Times New Roman"/>
          <w:szCs w:val="24"/>
        </w:rPr>
        <w:t>preuve nouvelle</w:t>
      </w:r>
      <w:r>
        <w:rPr>
          <w:rFonts w:cs="Times New Roman"/>
          <w:szCs w:val="24"/>
        </w:rPr>
        <w:t> »</w:t>
      </w:r>
      <w:r w:rsidRPr="00EB5449">
        <w:rPr>
          <w:rFonts w:cs="Times New Roman"/>
          <w:szCs w:val="24"/>
        </w:rPr>
        <w:t xml:space="preserve"> et du fait que l’avocat n’avait reçu cette déclaration que le matin même de l’audience initiale, ce fait pouvait constituer une raison légitime et raisonnable de ne pas l’avoir utilisée lors de la première audience mais de l’avoir fait à une audience subséquente. </w:t>
      </w:r>
    </w:p>
    <w:p w:rsidR="00CE3216" w:rsidRPr="00EB5449" w:rsidRDefault="00CE3216" w:rsidP="00CE3216">
      <w:pPr>
        <w:pStyle w:val="ParaNoNdepar-AltN"/>
        <w:widowControl w:val="0"/>
        <w:rPr>
          <w:rFonts w:cs="Times New Roman"/>
          <w:szCs w:val="24"/>
          <w:lang w:val="fr-FR"/>
        </w:rPr>
      </w:pPr>
      <w:r w:rsidRPr="00EB5449">
        <w:rPr>
          <w:rFonts w:cs="Times New Roman"/>
          <w:szCs w:val="24"/>
        </w:rPr>
        <w:t xml:space="preserve">Or, la transcription de la seconde audience relative à la mise en liberté, tenue à la fin de l’enquête préliminaire, démontre que l’avocat de l’intimé a plaidé que le chauffeur d’autobus ne s’était pas arrêté à un arrêt précédent. L’avocat a en outre souligné que, à la suite des crachats, le chauffeur était allé parler aux trois jeunes hommes sur un ton agressif et qu’il aurait repoussé le premier des jeunes hommes qui a remonté dans l’autobus. La déclaration du passager a alors été déposée en preuve par l’avocat de l’intimé.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 xml:space="preserve">Dans la décision qu’il a rendue au terme de l’enquête préliminaire, le juge Legault a noté que les jeunes reprochaient au chauffeur de ne pas les avoir attendus à un arrêt précédent. Il a aussi fait observer que, lorsque les jeunes sont sortis en lui </w:t>
      </w:r>
      <w:r w:rsidRPr="00EB5449">
        <w:rPr>
          <w:rFonts w:cs="Times New Roman"/>
          <w:szCs w:val="24"/>
          <w:lang w:val="fr-FR"/>
        </w:rPr>
        <w:lastRenderedPageBreak/>
        <w:t>lançant les restants de pizza ou en crachant sur lui, le chauffeur est alors allé à la porte de l’autobus pour leur reprocher leur comportement.</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Le juge Legault a néanmoins conclu que la détention de l’intimé était toujours justifiée en vertu de l’al. 515(10</w:t>
      </w:r>
      <w:r w:rsidRPr="00EB5449">
        <w:rPr>
          <w:rFonts w:cs="Times New Roman"/>
          <w:iCs/>
          <w:szCs w:val="24"/>
          <w:lang w:val="fr-FR"/>
        </w:rPr>
        <w:t>)</w:t>
      </w:r>
      <w:r w:rsidRPr="00EB5449">
        <w:rPr>
          <w:rFonts w:cs="Times New Roman"/>
          <w:i/>
          <w:iCs/>
          <w:szCs w:val="24"/>
          <w:lang w:val="fr-FR"/>
        </w:rPr>
        <w:t>c</w:t>
      </w:r>
      <w:r w:rsidRPr="00EB5449">
        <w:rPr>
          <w:rFonts w:cs="Times New Roman"/>
          <w:szCs w:val="24"/>
          <w:lang w:val="fr-FR"/>
        </w:rPr>
        <w:t>)</w:t>
      </w:r>
      <w:r w:rsidRPr="00EB5449">
        <w:rPr>
          <w:rFonts w:cs="Times New Roman"/>
          <w:i/>
          <w:iCs/>
          <w:szCs w:val="24"/>
          <w:lang w:val="fr-FR"/>
        </w:rPr>
        <w:t xml:space="preserve"> </w:t>
      </w:r>
      <w:r w:rsidR="004364EE">
        <w:rPr>
          <w:rFonts w:cs="Times New Roman"/>
          <w:i/>
          <w:iCs/>
          <w:szCs w:val="24"/>
          <w:lang w:val="fr-FR"/>
        </w:rPr>
        <w:t>C. cr.</w:t>
      </w:r>
      <w:r>
        <w:rPr>
          <w:rFonts w:cs="Times New Roman"/>
          <w:i/>
          <w:iCs/>
          <w:szCs w:val="24"/>
          <w:lang w:val="fr-FR"/>
        </w:rPr>
        <w:t> </w:t>
      </w:r>
      <w:r w:rsidRPr="008D508A">
        <w:rPr>
          <w:rFonts w:cs="Times New Roman"/>
          <w:iCs/>
          <w:szCs w:val="24"/>
          <w:lang w:val="fr-FR"/>
        </w:rPr>
        <w:t>:</w:t>
      </w:r>
      <w:r w:rsidRPr="008D508A">
        <w:rPr>
          <w:rFonts w:cs="Times New Roman"/>
          <w:szCs w:val="24"/>
          <w:lang w:val="fr-FR"/>
        </w:rPr>
        <w:t xml:space="preserve"> </w:t>
      </w:r>
    </w:p>
    <w:p w:rsidR="00CE3216" w:rsidRPr="00EB5449" w:rsidRDefault="00CE3216" w:rsidP="00CE3216">
      <w:pPr>
        <w:pStyle w:val="Citation-AltC"/>
        <w:widowControl w:val="0"/>
        <w:ind w:firstLine="274"/>
        <w:rPr>
          <w:szCs w:val="24"/>
          <w:lang w:val="fr-FR"/>
        </w:rPr>
      </w:pPr>
      <w:r w:rsidRPr="00EB5449">
        <w:rPr>
          <w:szCs w:val="24"/>
          <w:lang w:val="fr-FR"/>
        </w:rPr>
        <w:t xml:space="preserve">Le tribunal ne trouve aucune raison d’intervenir avec les observations du juge Lavergne sur le troisième motif qui touche à la confiance du public dans l’administration de la justice en tenant compte de tous ces facteurs que sont la probabilité de condamnation, les circonstances entourant la perpétration de l’infraction, la gravité encore plus élevée en raison des conséquences lourdes dans la vie personnelle et le travail de l’accusé, l’absence de perspectives d’autonomie dorénavant et enfin le fait que l’accusé encoure une peine longue d’emprisonnement.  </w:t>
      </w:r>
    </w:p>
    <w:p w:rsidR="00CE3216" w:rsidRPr="00EB5449" w:rsidRDefault="00CE3216" w:rsidP="00CE3216">
      <w:pPr>
        <w:pStyle w:val="Citation-AltC"/>
        <w:widowControl w:val="0"/>
        <w:ind w:left="0"/>
        <w:rPr>
          <w:szCs w:val="24"/>
          <w:lang w:val="fr-FR"/>
        </w:rPr>
      </w:pPr>
    </w:p>
    <w:p w:rsidR="00CE3216" w:rsidRPr="00EB5449" w:rsidRDefault="00CE3216" w:rsidP="00CE3216">
      <w:pPr>
        <w:pStyle w:val="Citation-AltC"/>
        <w:widowControl w:val="0"/>
        <w:jc w:val="center"/>
        <w:rPr>
          <w:szCs w:val="24"/>
          <w:lang w:val="fr-FR"/>
        </w:rPr>
      </w:pPr>
      <w:r>
        <w:rPr>
          <w:szCs w:val="24"/>
          <w:lang w:val="fr-FR"/>
        </w:rPr>
        <w:t>. . .</w:t>
      </w:r>
    </w:p>
    <w:p w:rsidR="00CE3216" w:rsidRPr="00EB5449" w:rsidRDefault="00CE3216" w:rsidP="00CE3216">
      <w:pPr>
        <w:pStyle w:val="Citation-AltC"/>
        <w:widowControl w:val="0"/>
        <w:jc w:val="center"/>
        <w:rPr>
          <w:szCs w:val="24"/>
          <w:lang w:val="fr-FR"/>
        </w:rPr>
      </w:pPr>
    </w:p>
    <w:p w:rsidR="00CE3216" w:rsidRPr="00EB5449" w:rsidRDefault="00CE3216" w:rsidP="00CE3216">
      <w:pPr>
        <w:pStyle w:val="Citation-AltC"/>
        <w:widowControl w:val="0"/>
        <w:ind w:firstLine="274"/>
        <w:rPr>
          <w:szCs w:val="24"/>
          <w:lang w:val="fr-FR"/>
        </w:rPr>
      </w:pPr>
      <w:r w:rsidRPr="00EB5449">
        <w:rPr>
          <w:szCs w:val="24"/>
          <w:lang w:val="fr-FR"/>
        </w:rPr>
        <w:t xml:space="preserve">Le tribunal ne considère pas qu’il a en sa possession des preuves qui lui permettent de nuancer ou d’adoucir les constats du juge sur les facteurs aggravants de la participation importante de l’accusé à l’infraction commise. [par. 26 et 30]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En conséquence, aucun fait nouveau n’a été présenté au juge Martin à l’occasion de la demande de révision. Si le juge Lavergne n’avait pas tous les éléments de l’incident devant lui lors de l’audience initiale, le juge Legault, lui, les avait à la fin de l’enquête préliminaire. Il a conclu que ces détails de la chronologie des événements ne changeaient pas la conclusion initiale du juge Lavergne.</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 xml:space="preserve">Il est vrai que, dans sa décision, le juge Legault n’a pas mentionné le </w:t>
      </w:r>
      <w:r>
        <w:rPr>
          <w:rFonts w:cs="Times New Roman"/>
          <w:szCs w:val="24"/>
          <w:lang w:val="fr-FR"/>
        </w:rPr>
        <w:t>« </w:t>
      </w:r>
      <w:r w:rsidRPr="00EB5449">
        <w:rPr>
          <w:rFonts w:cs="Times New Roman"/>
          <w:szCs w:val="24"/>
          <w:lang w:val="fr-FR"/>
        </w:rPr>
        <w:t>geste physique</w:t>
      </w:r>
      <w:r>
        <w:rPr>
          <w:rFonts w:cs="Times New Roman"/>
          <w:szCs w:val="24"/>
          <w:lang w:val="fr-FR"/>
        </w:rPr>
        <w:t> »</w:t>
      </w:r>
      <w:r w:rsidRPr="00EB5449">
        <w:rPr>
          <w:rFonts w:cs="Times New Roman"/>
          <w:szCs w:val="24"/>
          <w:lang w:val="fr-FR"/>
        </w:rPr>
        <w:t xml:space="preserve"> qu’a posé le chauffeur et dont fait état le juge de la Cour supérieure. La preuve démontre toutefois que le juge Legault a eu connaissance de cet </w:t>
      </w:r>
      <w:r w:rsidRPr="00EB5449">
        <w:rPr>
          <w:rFonts w:cs="Times New Roman"/>
          <w:szCs w:val="24"/>
          <w:lang w:val="fr-FR"/>
        </w:rPr>
        <w:lastRenderedPageBreak/>
        <w:t xml:space="preserve">élément. Il faut supposer qu’il en a tenu compte dans sa décision. </w:t>
      </w:r>
      <w:r w:rsidR="008D508A">
        <w:rPr>
          <w:rFonts w:cs="Times New Roman"/>
          <w:spacing w:val="-3"/>
          <w:szCs w:val="24"/>
        </w:rPr>
        <w:t>« </w:t>
      </w:r>
      <w:r w:rsidRPr="00EB5449">
        <w:rPr>
          <w:rFonts w:cs="Times New Roman"/>
          <w:spacing w:val="-3"/>
          <w:szCs w:val="24"/>
        </w:rPr>
        <w:t>Le juge n’est pas tenu de démontrer qu’il connaît le droit [ou] qu’il a tenu compte de tous les aspects de la preuve</w:t>
      </w:r>
      <w:r>
        <w:rPr>
          <w:rFonts w:cs="Times New Roman"/>
          <w:spacing w:val="-3"/>
          <w:szCs w:val="24"/>
        </w:rPr>
        <w:t> » :</w:t>
      </w:r>
      <w:r w:rsidRPr="00EB5449">
        <w:rPr>
          <w:rFonts w:cs="Times New Roman"/>
          <w:spacing w:val="-3"/>
          <w:szCs w:val="24"/>
        </w:rPr>
        <w:t xml:space="preserve"> </w:t>
      </w:r>
      <w:r w:rsidRPr="00EB5449">
        <w:rPr>
          <w:rFonts w:cs="Times New Roman"/>
          <w:i/>
          <w:iCs/>
          <w:spacing w:val="-3"/>
          <w:szCs w:val="24"/>
        </w:rPr>
        <w:t>R. c. Burns</w:t>
      </w:r>
      <w:r w:rsidRPr="00EB5449">
        <w:rPr>
          <w:rFonts w:cs="Times New Roman"/>
          <w:spacing w:val="-3"/>
          <w:szCs w:val="24"/>
        </w:rPr>
        <w:t>, [1994] 1 R.C.S. 656, p. 664.</w:t>
      </w:r>
      <w:r>
        <w:rPr>
          <w:rFonts w:cs="Times New Roman"/>
          <w:spacing w:val="-3"/>
          <w:szCs w:val="24"/>
        </w:rPr>
        <w:t xml:space="preserve"> </w:t>
      </w:r>
      <w:r w:rsidRPr="00EB5449">
        <w:rPr>
          <w:rFonts w:cs="Times New Roman"/>
          <w:szCs w:val="24"/>
          <w:lang w:val="fr-FR"/>
        </w:rPr>
        <w:t xml:space="preserve"> Je ne crois pas que l’on soit en présence d’une </w:t>
      </w:r>
      <w:r w:rsidRPr="00EB5449">
        <w:rPr>
          <w:rFonts w:cs="Times New Roman"/>
          <w:szCs w:val="24"/>
        </w:rPr>
        <w:t>omission d’apprécier des éléments de preuve pertinents ou d’un cas où le juge en a fait entièrement abstraction</w:t>
      </w:r>
      <w:r>
        <w:rPr>
          <w:rFonts w:cs="Times New Roman"/>
          <w:szCs w:val="24"/>
        </w:rPr>
        <w:t> :</w:t>
      </w:r>
      <w:r w:rsidRPr="00EB5449">
        <w:rPr>
          <w:rFonts w:cs="Times New Roman"/>
          <w:szCs w:val="24"/>
        </w:rPr>
        <w:t xml:space="preserve"> </w:t>
      </w:r>
      <w:r w:rsidRPr="00EB5449">
        <w:rPr>
          <w:rFonts w:cs="Times New Roman"/>
          <w:i/>
          <w:iCs/>
          <w:szCs w:val="24"/>
          <w:lang w:val="fr-FR"/>
        </w:rPr>
        <w:t>Harper c. La Reine</w:t>
      </w:r>
      <w:r w:rsidRPr="00EB5449">
        <w:rPr>
          <w:rFonts w:cs="Times New Roman"/>
          <w:szCs w:val="24"/>
          <w:lang w:val="fr-FR"/>
        </w:rPr>
        <w:t>, [1982] 1 R.C.S. 2, p. 14. Compte tenu de toutes les circonstances pertinentes, le geste physique du chauffeur, à lui seul, ne pouvait faire pencher la balance en faveur de l’intimé.</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 xml:space="preserve">En conséquence, le juge Martin ne pouvait réviser l’ordonnance initiale de détention sur la base de faits nouveaux.  </w:t>
      </w:r>
    </w:p>
    <w:p w:rsidR="00CE3216" w:rsidRPr="00EB5449" w:rsidRDefault="00CE3216" w:rsidP="00CE3216">
      <w:pPr>
        <w:pStyle w:val="Title3LevelTitre3Niveau"/>
        <w:widowControl w:val="0"/>
        <w:rPr>
          <w:rFonts w:cs="Times New Roman"/>
          <w:lang w:val="fr-FR"/>
        </w:rPr>
      </w:pPr>
      <w:r w:rsidRPr="00EB5449">
        <w:rPr>
          <w:rFonts w:cs="Times New Roman"/>
          <w:lang w:val="fr-FR"/>
        </w:rPr>
        <w:t xml:space="preserve">Le caractère </w:t>
      </w:r>
      <w:r>
        <w:rPr>
          <w:rFonts w:cs="Times New Roman"/>
          <w:lang w:val="fr-FR"/>
        </w:rPr>
        <w:t>« </w:t>
      </w:r>
      <w:r w:rsidRPr="00EB5449">
        <w:rPr>
          <w:rFonts w:cs="Times New Roman"/>
          <w:lang w:val="fr-FR"/>
        </w:rPr>
        <w:t>inexplicable</w:t>
      </w:r>
      <w:r>
        <w:rPr>
          <w:rFonts w:cs="Times New Roman"/>
          <w:lang w:val="fr-FR"/>
        </w:rPr>
        <w:t> »</w:t>
      </w:r>
      <w:r w:rsidRPr="00EB5449">
        <w:rPr>
          <w:rFonts w:cs="Times New Roman"/>
          <w:lang w:val="fr-FR"/>
        </w:rPr>
        <w:t xml:space="preserve"> du crime reproché </w:t>
      </w:r>
    </w:p>
    <w:p w:rsidR="00CE3216" w:rsidRPr="00EB5449" w:rsidRDefault="00CE3216" w:rsidP="00CE3216">
      <w:pPr>
        <w:pStyle w:val="ParaNoNdepar-AltN"/>
        <w:widowControl w:val="0"/>
        <w:rPr>
          <w:rFonts w:cs="Times New Roman"/>
          <w:szCs w:val="24"/>
        </w:rPr>
      </w:pPr>
      <w:r w:rsidRPr="00EB5449">
        <w:rPr>
          <w:rFonts w:cs="Times New Roman"/>
          <w:szCs w:val="24"/>
        </w:rPr>
        <w:t>Le juge Lavergne a d’abord bien cerné le test édicté à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iCs/>
          <w:szCs w:val="24"/>
        </w:rPr>
        <w:t>, comme en témoignent les propos suivants</w:t>
      </w:r>
      <w:r>
        <w:rPr>
          <w:rFonts w:cs="Times New Roman"/>
          <w:iCs/>
          <w:szCs w:val="24"/>
        </w:rPr>
        <w:t> :</w:t>
      </w:r>
      <w:r w:rsidRPr="00EB5449">
        <w:rPr>
          <w:rFonts w:cs="Times New Roman"/>
          <w:szCs w:val="24"/>
        </w:rPr>
        <w:t xml:space="preserve"> </w:t>
      </w:r>
    </w:p>
    <w:p w:rsidR="00CE3216" w:rsidRPr="00EB5449" w:rsidRDefault="00CE3216" w:rsidP="00CE3216">
      <w:pPr>
        <w:pStyle w:val="Citation-AltC"/>
        <w:widowControl w:val="0"/>
        <w:rPr>
          <w:szCs w:val="24"/>
        </w:rPr>
      </w:pPr>
      <w:r w:rsidRPr="00EB5449">
        <w:rPr>
          <w:szCs w:val="24"/>
        </w:rPr>
        <w:t xml:space="preserve">Mais surtout, surtout, essentiellement, cette disposition de l’article 515.10c) du Code criminel induit à analyser </w:t>
      </w:r>
      <w:r w:rsidRPr="00EB5449">
        <w:rPr>
          <w:szCs w:val="24"/>
          <w:u w:val="single"/>
        </w:rPr>
        <w:t xml:space="preserve">si, au bout du compte, après considération de toutes les circonstances, dont les quatre </w:t>
      </w:r>
      <w:r w:rsidR="008D508A">
        <w:rPr>
          <w:szCs w:val="24"/>
          <w:u w:val="single"/>
        </w:rPr>
        <w:t xml:space="preserve">(4) </w:t>
      </w:r>
      <w:r w:rsidRPr="00EB5449">
        <w:rPr>
          <w:szCs w:val="24"/>
          <w:u w:val="single"/>
        </w:rPr>
        <w:t>facteurs</w:t>
      </w:r>
      <w:r w:rsidRPr="00EB5449">
        <w:rPr>
          <w:szCs w:val="24"/>
        </w:rPr>
        <w:t xml:space="preserve"> que j’ai mentionnés précédemment, </w:t>
      </w:r>
      <w:r w:rsidRPr="00EB5449">
        <w:rPr>
          <w:szCs w:val="24"/>
          <w:u w:val="single"/>
        </w:rPr>
        <w:t>il existe une expectative collective raisonnable de la nécessité</w:t>
      </w:r>
      <w:r w:rsidRPr="00EB5449">
        <w:rPr>
          <w:szCs w:val="24"/>
        </w:rPr>
        <w:t xml:space="preserve"> de refuser la mise en liberté provisoire pour maintenir la confiance du public dans l’administration de la justice. [Je souligne; p.</w:t>
      </w:r>
      <w:r>
        <w:rPr>
          <w:szCs w:val="24"/>
        </w:rPr>
        <w:t xml:space="preserve"> </w:t>
      </w:r>
      <w:r w:rsidRPr="00EB5449">
        <w:rPr>
          <w:szCs w:val="24"/>
        </w:rPr>
        <w:t xml:space="preserve">18-19.]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 xml:space="preserve">Le juge Lavergne a aussi précisé que </w:t>
      </w:r>
      <w:r>
        <w:rPr>
          <w:rFonts w:cs="Times New Roman"/>
          <w:szCs w:val="24"/>
          <w:lang w:val="fr-FR"/>
        </w:rPr>
        <w:t>« </w:t>
      </w:r>
      <w:r w:rsidRPr="00EB5449">
        <w:rPr>
          <w:rFonts w:cs="Times New Roman"/>
          <w:szCs w:val="24"/>
          <w:lang w:val="fr-FR"/>
        </w:rPr>
        <w:t>[l]e public réfère à la personne raisonnable, objective, bien informée des valeurs véhiculées par les lois, notamment la présomption d’innocence [</w:t>
      </w:r>
      <w:r>
        <w:rPr>
          <w:rFonts w:cs="Times New Roman"/>
          <w:szCs w:val="24"/>
          <w:lang w:val="fr-FR"/>
        </w:rPr>
        <w:t>. . .</w:t>
      </w:r>
      <w:r w:rsidRPr="00EB5449">
        <w:rPr>
          <w:rFonts w:cs="Times New Roman"/>
          <w:szCs w:val="24"/>
          <w:lang w:val="fr-FR"/>
        </w:rPr>
        <w:t xml:space="preserve">] mais informée aussi de toutes les circonstances qui </w:t>
      </w:r>
      <w:r w:rsidRPr="00EB5449">
        <w:rPr>
          <w:rFonts w:cs="Times New Roman"/>
          <w:szCs w:val="24"/>
          <w:lang w:val="fr-FR"/>
        </w:rPr>
        <w:lastRenderedPageBreak/>
        <w:t>marquent la perpétration d’un crime</w:t>
      </w:r>
      <w:r>
        <w:rPr>
          <w:rFonts w:cs="Times New Roman"/>
          <w:szCs w:val="24"/>
          <w:lang w:val="fr-FR"/>
        </w:rPr>
        <w:t> » :</w:t>
      </w:r>
      <w:r w:rsidRPr="00EB5449">
        <w:rPr>
          <w:rFonts w:cs="Times New Roman"/>
          <w:szCs w:val="24"/>
          <w:lang w:val="fr-FR"/>
        </w:rPr>
        <w:t xml:space="preserve"> p. 19. Cet énoncé est tout à fait conforme à l’arrêt </w:t>
      </w:r>
      <w:r w:rsidRPr="00EB5449">
        <w:rPr>
          <w:rFonts w:cs="Times New Roman"/>
          <w:i/>
          <w:szCs w:val="24"/>
          <w:lang w:val="fr-FR"/>
        </w:rPr>
        <w:t>Hall</w:t>
      </w:r>
      <w:r w:rsidRPr="00EB5449">
        <w:rPr>
          <w:rFonts w:cs="Times New Roman"/>
          <w:szCs w:val="24"/>
          <w:lang w:val="fr-FR"/>
        </w:rPr>
        <w:t xml:space="preserve"> de notre Cour. Le juge Lavergne a ajouté qu’il incombait au poursuivant </w:t>
      </w:r>
      <w:r w:rsidRPr="00EB5449">
        <w:rPr>
          <w:rFonts w:cs="Times New Roman"/>
          <w:szCs w:val="24"/>
        </w:rPr>
        <w:t>de démontrer que la détention de l’accusé était justifiée.</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Certes, le juge Lavergne n’a pas développé sa conclusion selon laquelle, en l’espèce, la poursuite s’était acquittée de son fardeau de preuve en vertu de l’al. 515(10)</w:t>
      </w:r>
      <w:r w:rsidRPr="00EB5449">
        <w:rPr>
          <w:rFonts w:cs="Times New Roman"/>
          <w:i/>
          <w:iCs/>
          <w:szCs w:val="24"/>
          <w:lang w:val="fr-FR"/>
        </w:rPr>
        <w:t>c</w:t>
      </w:r>
      <w:r w:rsidRPr="00EB5449">
        <w:rPr>
          <w:rFonts w:cs="Times New Roman"/>
          <w:szCs w:val="24"/>
          <w:lang w:val="fr-FR"/>
        </w:rPr>
        <w:t>). Mais, considérée dans son ensemble, sa décision est suffisamment détaillée pour qu’un juge agissant en révision puisse dégager les motifs sur lesquels il a fondé son ordonnance de détention. Il s’est référé aux trois premiers facteurs, qu’il avait déjà examinés lors de son analyse sous l’al. 515(10)</w:t>
      </w:r>
      <w:r w:rsidRPr="00EB5449">
        <w:rPr>
          <w:rFonts w:cs="Times New Roman"/>
          <w:i/>
          <w:iCs/>
          <w:szCs w:val="24"/>
          <w:lang w:val="fr-FR"/>
        </w:rPr>
        <w:t>b</w:t>
      </w:r>
      <w:r w:rsidRPr="00EB5449">
        <w:rPr>
          <w:rFonts w:cs="Times New Roman"/>
          <w:szCs w:val="24"/>
          <w:lang w:val="fr-FR"/>
        </w:rPr>
        <w:t xml:space="preserve">), et, relativement au quatrième facteur, il a affirmé que l’accusé encourait une peine </w:t>
      </w:r>
      <w:r>
        <w:rPr>
          <w:rFonts w:cs="Times New Roman"/>
          <w:szCs w:val="24"/>
          <w:lang w:val="fr-FR"/>
        </w:rPr>
        <w:t>« </w:t>
      </w:r>
      <w:r w:rsidRPr="00EB5449">
        <w:rPr>
          <w:rFonts w:cs="Times New Roman"/>
          <w:szCs w:val="24"/>
          <w:lang w:val="fr-FR"/>
        </w:rPr>
        <w:t>significative</w:t>
      </w:r>
      <w:r>
        <w:rPr>
          <w:rFonts w:cs="Times New Roman"/>
          <w:szCs w:val="24"/>
          <w:lang w:val="fr-FR"/>
        </w:rPr>
        <w:t> »</w:t>
      </w:r>
      <w:r w:rsidRPr="00EB5449">
        <w:rPr>
          <w:rFonts w:cs="Times New Roman"/>
          <w:szCs w:val="24"/>
          <w:lang w:val="fr-FR"/>
        </w:rPr>
        <w:t xml:space="preserve">. Dans son analyse fondée sur l’al. </w:t>
      </w:r>
      <w:r w:rsidRPr="00EB5449">
        <w:rPr>
          <w:rFonts w:cs="Times New Roman"/>
          <w:i/>
          <w:iCs/>
          <w:szCs w:val="24"/>
          <w:lang w:val="fr-FR"/>
        </w:rPr>
        <w:t>b</w:t>
      </w:r>
      <w:r w:rsidRPr="00EB5449">
        <w:rPr>
          <w:rFonts w:cs="Times New Roman"/>
          <w:szCs w:val="24"/>
          <w:lang w:val="fr-FR"/>
        </w:rPr>
        <w:t>), le juge Lavergne a tenu compte des circonstances suivantes entourant l’infraction</w:t>
      </w:r>
      <w:r>
        <w:rPr>
          <w:rFonts w:cs="Times New Roman"/>
          <w:szCs w:val="24"/>
          <w:lang w:val="fr-FR"/>
        </w:rPr>
        <w:t> :</w:t>
      </w:r>
      <w:r w:rsidRPr="00EB5449">
        <w:rPr>
          <w:rFonts w:cs="Times New Roman"/>
          <w:szCs w:val="24"/>
          <w:lang w:val="fr-FR"/>
        </w:rPr>
        <w:t xml:space="preserve"> </w:t>
      </w:r>
      <w:r w:rsidR="008D508A">
        <w:rPr>
          <w:rFonts w:cs="Times New Roman"/>
          <w:szCs w:val="24"/>
          <w:lang w:val="fr-FR"/>
        </w:rPr>
        <w:t>(</w:t>
      </w:r>
      <w:r w:rsidRPr="00EB5449">
        <w:rPr>
          <w:rFonts w:cs="Times New Roman"/>
          <w:szCs w:val="24"/>
          <w:lang w:val="fr-FR"/>
        </w:rPr>
        <w:t xml:space="preserve">1) durant le trajet d’autobus, les trois jeunes hommes auraient invectivé et injurié le chauffeur; </w:t>
      </w:r>
      <w:r w:rsidR="008D508A">
        <w:rPr>
          <w:rFonts w:cs="Times New Roman"/>
          <w:szCs w:val="24"/>
          <w:lang w:val="fr-FR"/>
        </w:rPr>
        <w:t>(</w:t>
      </w:r>
      <w:r w:rsidRPr="00EB5449">
        <w:rPr>
          <w:rFonts w:cs="Times New Roman"/>
          <w:szCs w:val="24"/>
          <w:lang w:val="fr-FR"/>
        </w:rPr>
        <w:t xml:space="preserve">2) lorsqu’ils sont sortis de l’autobus, ils ont craché dans sa direction; </w:t>
      </w:r>
      <w:r w:rsidR="008D508A">
        <w:rPr>
          <w:rFonts w:cs="Times New Roman"/>
          <w:szCs w:val="24"/>
          <w:lang w:val="fr-FR"/>
        </w:rPr>
        <w:t>(</w:t>
      </w:r>
      <w:r w:rsidRPr="00EB5449">
        <w:rPr>
          <w:rFonts w:cs="Times New Roman"/>
          <w:szCs w:val="24"/>
          <w:lang w:val="fr-FR"/>
        </w:rPr>
        <w:t xml:space="preserve">3) le chauffeur s’est alors levé, s’est rendu au seuil de la porte et, selon toute vraisemblance, il se serait adressé aux jeunes hommes; </w:t>
      </w:r>
      <w:r w:rsidR="008D508A">
        <w:rPr>
          <w:rFonts w:cs="Times New Roman"/>
          <w:szCs w:val="24"/>
          <w:lang w:val="fr-FR"/>
        </w:rPr>
        <w:t>(</w:t>
      </w:r>
      <w:r w:rsidRPr="00EB5449">
        <w:rPr>
          <w:rFonts w:cs="Times New Roman"/>
          <w:szCs w:val="24"/>
          <w:lang w:val="fr-FR"/>
        </w:rPr>
        <w:t xml:space="preserve">4) ceux-ci sont revenus dans l’autobus, se sont rués sur le chauffeur et l’ont battu violemment. Le juge a aussi noté la participation active de l’intimé et la probabilité élevée d’une déclaration de culpabilité en raison de l’existence de la bande vidéo.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À plusieurs reprises, le juge Lavergne a souligné la brutalité et la gratuité de l’agression, ainsi que son caractère inexplicable et inexpliqué</w:t>
      </w:r>
      <w:r>
        <w:rPr>
          <w:rFonts w:cs="Times New Roman"/>
          <w:szCs w:val="24"/>
          <w:lang w:val="fr-FR"/>
        </w:rPr>
        <w:t> :</w:t>
      </w:r>
      <w:r w:rsidRPr="00EB5449">
        <w:rPr>
          <w:rFonts w:cs="Times New Roman"/>
          <w:szCs w:val="24"/>
        </w:rPr>
        <w:t xml:space="preserve"> </w:t>
      </w:r>
    </w:p>
    <w:p w:rsidR="00CE3216" w:rsidRPr="00EB5449" w:rsidRDefault="00CE3216" w:rsidP="00CE3216">
      <w:pPr>
        <w:pStyle w:val="Citation-AltC"/>
        <w:widowControl w:val="0"/>
        <w:rPr>
          <w:szCs w:val="24"/>
          <w:lang w:val="fr-FR"/>
        </w:rPr>
      </w:pPr>
      <w:r w:rsidRPr="00EB5449">
        <w:rPr>
          <w:szCs w:val="24"/>
          <w:lang w:val="fr-FR"/>
        </w:rPr>
        <w:lastRenderedPageBreak/>
        <w:t xml:space="preserve">[Les images du système vidéo] illustrent la brutalité de l’agression qui n’a d’égale que sa gratuité.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jc w:val="center"/>
        <w:rPr>
          <w:szCs w:val="24"/>
          <w:lang w:val="fr-FR"/>
        </w:rPr>
      </w:pPr>
      <w:r>
        <w:rPr>
          <w:szCs w:val="24"/>
          <w:lang w:val="fr-FR"/>
        </w:rPr>
        <w:t>. .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rPr>
          <w:szCs w:val="24"/>
          <w:lang w:val="fr-FR"/>
        </w:rPr>
      </w:pPr>
      <w:r w:rsidRPr="00EB5449">
        <w:rPr>
          <w:szCs w:val="24"/>
          <w:lang w:val="fr-FR"/>
        </w:rPr>
        <w:t xml:space="preserve">Le Tribunal [s’abstiendra de qualifier une pareille conduite], si ce n’est que de souligner de nouveau la brutalité inexplicable et inexpliquée d’un tel comportement.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jc w:val="center"/>
        <w:rPr>
          <w:szCs w:val="24"/>
          <w:lang w:val="fr-FR"/>
        </w:rPr>
      </w:pPr>
      <w:r>
        <w:rPr>
          <w:szCs w:val="24"/>
          <w:lang w:val="fr-FR"/>
        </w:rPr>
        <w:t>. .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rPr>
          <w:szCs w:val="24"/>
          <w:lang w:val="fr-FR"/>
        </w:rPr>
      </w:pPr>
      <w:r w:rsidRPr="00EB5449">
        <w:rPr>
          <w:szCs w:val="24"/>
          <w:lang w:val="fr-FR"/>
        </w:rPr>
        <w:t xml:space="preserve">Le défendeur et le chauffeur ne se connaissent pas; ce qui ajoute à l’incompréhensible. Rien ne prédisposait à ce que le défendeur s’en prenne aussi violemment au chauffeur; ce qui ajoute à la déraison comme à l’odieux de l’agression.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jc w:val="center"/>
        <w:rPr>
          <w:szCs w:val="24"/>
          <w:lang w:val="fr-FR"/>
        </w:rPr>
      </w:pPr>
      <w:r>
        <w:rPr>
          <w:szCs w:val="24"/>
          <w:lang w:val="fr-FR"/>
        </w:rPr>
        <w:t>. . .</w:t>
      </w:r>
    </w:p>
    <w:p w:rsidR="00CE3216" w:rsidRPr="00EB5449" w:rsidRDefault="00CE3216" w:rsidP="00CE3216">
      <w:pPr>
        <w:pStyle w:val="Citation-AltC"/>
        <w:widowControl w:val="0"/>
        <w:rPr>
          <w:szCs w:val="24"/>
          <w:lang w:val="fr-FR"/>
        </w:rPr>
      </w:pPr>
    </w:p>
    <w:p w:rsidR="00CE3216" w:rsidRPr="00EB5449" w:rsidRDefault="00CE3216" w:rsidP="00CE3216">
      <w:pPr>
        <w:pStyle w:val="Citation-AltC"/>
        <w:widowControl w:val="0"/>
        <w:rPr>
          <w:szCs w:val="24"/>
          <w:lang w:val="fr-FR"/>
        </w:rPr>
      </w:pPr>
      <w:r w:rsidRPr="00EB5449">
        <w:rPr>
          <w:szCs w:val="24"/>
          <w:lang w:val="fr-FR"/>
        </w:rPr>
        <w:t>Une conduite aussi imprévisible et inquiétante ne milite pas en faveur d’une remise en liberté. [</w:t>
      </w:r>
      <w:r w:rsidRPr="00EB5449">
        <w:rPr>
          <w:szCs w:val="24"/>
        </w:rPr>
        <w:t>p. 2, 9-10 et 14-15]</w:t>
      </w:r>
      <w:r w:rsidRPr="00EB5449">
        <w:rPr>
          <w:szCs w:val="24"/>
          <w:lang w:val="fr-FR"/>
        </w:rPr>
        <w:t xml:space="preserve">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Les motifs du juge Lavergne peuvent laisser croire que le caractère gratuit ou inexplicable de l’agression a joué un rôle de premier plan dans sa conclusion que la détention de l’intimé était nécessaire en vertu de l’al. 515(10)</w:t>
      </w:r>
      <w:r w:rsidRPr="00EB5449">
        <w:rPr>
          <w:rFonts w:cs="Times New Roman"/>
          <w:i/>
          <w:iCs/>
          <w:szCs w:val="24"/>
          <w:lang w:val="fr-FR"/>
        </w:rPr>
        <w:t>c</w:t>
      </w:r>
      <w:r w:rsidRPr="00EB5449">
        <w:rPr>
          <w:rFonts w:cs="Times New Roman"/>
          <w:szCs w:val="24"/>
          <w:lang w:val="fr-FR"/>
        </w:rPr>
        <w:t xml:space="preserve">) </w:t>
      </w:r>
      <w:r w:rsidR="004364EE">
        <w:rPr>
          <w:rFonts w:cs="Times New Roman"/>
          <w:i/>
          <w:iCs/>
          <w:szCs w:val="24"/>
          <w:lang w:val="fr-FR"/>
        </w:rPr>
        <w:t>C. cr.</w:t>
      </w:r>
      <w:r w:rsidRPr="00EB5449">
        <w:rPr>
          <w:rFonts w:cs="Times New Roman"/>
          <w:iCs/>
          <w:szCs w:val="24"/>
          <w:lang w:val="fr-FR"/>
        </w:rPr>
        <w:t>, et non seulement en vertu de l’al. 515(10)</w:t>
      </w:r>
      <w:r w:rsidRPr="00EB5449">
        <w:rPr>
          <w:rFonts w:cs="Times New Roman"/>
          <w:i/>
          <w:szCs w:val="24"/>
          <w:lang w:val="fr-FR"/>
        </w:rPr>
        <w:t>b</w:t>
      </w:r>
      <w:r w:rsidRPr="00EB5449">
        <w:rPr>
          <w:rFonts w:cs="Times New Roman"/>
          <w:iCs/>
          <w:szCs w:val="24"/>
          <w:lang w:val="fr-FR"/>
        </w:rPr>
        <w:t xml:space="preserve">). </w:t>
      </w:r>
      <w:r w:rsidRPr="00EB5449">
        <w:rPr>
          <w:rFonts w:cs="Times New Roman"/>
          <w:szCs w:val="24"/>
          <w:lang w:val="fr-FR"/>
        </w:rPr>
        <w:t>Or, comme je l’ai mentionné précédemment, le caractère inexplicable ou inexpliqué d’une infraction n’est pas un critère qui devrait guider le juge dans son analyse en vertu de l’al. 515(10)</w:t>
      </w:r>
      <w:r w:rsidRPr="00EB5449">
        <w:rPr>
          <w:rFonts w:cs="Times New Roman"/>
          <w:i/>
          <w:iCs/>
          <w:szCs w:val="24"/>
          <w:lang w:val="fr-FR"/>
        </w:rPr>
        <w:t>c</w:t>
      </w:r>
      <w:r w:rsidRPr="00EB5449">
        <w:rPr>
          <w:rFonts w:cs="Times New Roman"/>
          <w:szCs w:val="24"/>
          <w:lang w:val="fr-FR"/>
        </w:rPr>
        <w:t xml:space="preserve">) </w:t>
      </w:r>
      <w:r w:rsidR="004364EE">
        <w:rPr>
          <w:rFonts w:cs="Times New Roman"/>
          <w:i/>
          <w:iCs/>
          <w:szCs w:val="24"/>
          <w:lang w:val="fr-FR"/>
        </w:rPr>
        <w:t>C. cr.</w:t>
      </w:r>
      <w:r w:rsidRPr="00EB5449">
        <w:rPr>
          <w:rFonts w:cs="Times New Roman"/>
          <w:szCs w:val="24"/>
          <w:lang w:val="fr-FR"/>
        </w:rPr>
        <w:t xml:space="preserve">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 xml:space="preserve">En tout état de cause, pour sa part, le juge Martin a sans aucun doute fait du caractère </w:t>
      </w:r>
      <w:r>
        <w:rPr>
          <w:rFonts w:cs="Times New Roman"/>
          <w:szCs w:val="24"/>
          <w:lang w:val="fr-FR"/>
        </w:rPr>
        <w:t>« </w:t>
      </w:r>
      <w:r w:rsidRPr="00EB5449">
        <w:rPr>
          <w:rFonts w:cs="Times New Roman"/>
          <w:szCs w:val="24"/>
          <w:lang w:val="fr-FR"/>
        </w:rPr>
        <w:t>explicable</w:t>
      </w:r>
      <w:r>
        <w:rPr>
          <w:rFonts w:cs="Times New Roman"/>
          <w:szCs w:val="24"/>
          <w:lang w:val="fr-FR"/>
        </w:rPr>
        <w:t> »</w:t>
      </w:r>
      <w:r w:rsidRPr="00EB5449">
        <w:rPr>
          <w:rFonts w:cs="Times New Roman"/>
          <w:szCs w:val="24"/>
          <w:lang w:val="fr-FR"/>
        </w:rPr>
        <w:t xml:space="preserve"> du crime un critère d’analyse, en plus d’avoir restreint indûment la portée de l’al. 515(10)</w:t>
      </w:r>
      <w:r w:rsidRPr="00EB5449">
        <w:rPr>
          <w:rFonts w:cs="Times New Roman"/>
          <w:i/>
          <w:iCs/>
          <w:szCs w:val="24"/>
          <w:lang w:val="fr-FR"/>
        </w:rPr>
        <w:t>c</w:t>
      </w:r>
      <w:r w:rsidRPr="00EB5449">
        <w:rPr>
          <w:rFonts w:cs="Times New Roman"/>
          <w:szCs w:val="24"/>
          <w:lang w:val="fr-FR"/>
        </w:rPr>
        <w:t xml:space="preserve">) </w:t>
      </w:r>
      <w:r w:rsidR="004364EE">
        <w:rPr>
          <w:rFonts w:cs="Times New Roman"/>
          <w:i/>
          <w:iCs/>
          <w:szCs w:val="24"/>
          <w:lang w:val="fr-FR"/>
        </w:rPr>
        <w:t>C. cr.</w:t>
      </w:r>
      <w:r w:rsidRPr="00EB5449">
        <w:rPr>
          <w:rFonts w:cs="Times New Roman"/>
          <w:szCs w:val="24"/>
          <w:lang w:val="fr-FR"/>
        </w:rPr>
        <w:t xml:space="preserve"> Après avoir conclu que le juge Lavergne n’avait pas toutes les circonstances devant lui lors de l’audience initiale, le juge Martin a écrit qu’il ne s’agissait pas d’un incident tout à fait gratuit et inexpliqué ou </w:t>
      </w:r>
      <w:r w:rsidRPr="00EB5449">
        <w:rPr>
          <w:rFonts w:cs="Times New Roman"/>
          <w:szCs w:val="24"/>
          <w:lang w:val="fr-FR"/>
        </w:rPr>
        <w:lastRenderedPageBreak/>
        <w:t xml:space="preserve">inexplicable. Le juge Martin a ensuite analysé l’historique du par. 515(10) </w:t>
      </w:r>
      <w:r w:rsidR="004364EE">
        <w:rPr>
          <w:rFonts w:cs="Times New Roman"/>
          <w:i/>
          <w:iCs/>
          <w:szCs w:val="24"/>
          <w:lang w:val="fr-FR"/>
        </w:rPr>
        <w:t>C. cr.</w:t>
      </w:r>
      <w:r w:rsidRPr="00EB5449">
        <w:rPr>
          <w:rFonts w:cs="Times New Roman"/>
          <w:szCs w:val="24"/>
          <w:lang w:val="fr-FR"/>
        </w:rPr>
        <w:t xml:space="preserve"> et la jurisprudence portant sur l’al. </w:t>
      </w:r>
      <w:r w:rsidRPr="00EB5449">
        <w:rPr>
          <w:rFonts w:cs="Times New Roman"/>
          <w:i/>
          <w:iCs/>
          <w:szCs w:val="24"/>
          <w:lang w:val="fr-FR"/>
        </w:rPr>
        <w:t>c</w:t>
      </w:r>
      <w:r w:rsidRPr="00EB5449">
        <w:rPr>
          <w:rFonts w:cs="Times New Roman"/>
          <w:szCs w:val="24"/>
          <w:lang w:val="fr-FR"/>
        </w:rPr>
        <w:t xml:space="preserve">), et il a conclu que cette disposition devait être appliquée </w:t>
      </w:r>
      <w:r>
        <w:rPr>
          <w:rFonts w:cs="Times New Roman"/>
          <w:szCs w:val="24"/>
          <w:lang w:val="fr-FR"/>
        </w:rPr>
        <w:t>« </w:t>
      </w:r>
      <w:r w:rsidRPr="00EB5449">
        <w:rPr>
          <w:rFonts w:cs="Times New Roman"/>
          <w:szCs w:val="24"/>
          <w:lang w:val="fr-FR"/>
        </w:rPr>
        <w:t>avec parcimonie</w:t>
      </w:r>
      <w:r>
        <w:rPr>
          <w:rFonts w:cs="Times New Roman"/>
          <w:szCs w:val="24"/>
          <w:lang w:val="fr-FR"/>
        </w:rPr>
        <w:t> » :</w:t>
      </w:r>
      <w:r w:rsidRPr="00EB5449">
        <w:rPr>
          <w:rFonts w:cs="Times New Roman"/>
          <w:szCs w:val="24"/>
          <w:lang w:val="fr-FR"/>
        </w:rPr>
        <w:t xml:space="preserve"> par. 22.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Puis, le juge Martin a déclaré qu’il n’était pas d’accord que l’incident soit inexplicable. Il a ajouté</w:t>
      </w:r>
      <w:r>
        <w:rPr>
          <w:rFonts w:cs="Times New Roman"/>
          <w:szCs w:val="24"/>
          <w:lang w:val="fr-FR"/>
        </w:rPr>
        <w:t> :</w:t>
      </w:r>
      <w:r w:rsidRPr="00EB5449">
        <w:rPr>
          <w:rFonts w:cs="Times New Roman"/>
          <w:szCs w:val="24"/>
          <w:lang w:val="fr-FR"/>
        </w:rPr>
        <w:t xml:space="preserve"> </w:t>
      </w:r>
    </w:p>
    <w:p w:rsidR="00CE3216" w:rsidRPr="00EB5449" w:rsidRDefault="00CE3216" w:rsidP="008D508A">
      <w:pPr>
        <w:pStyle w:val="Citation-AltC"/>
        <w:widowControl w:val="0"/>
        <w:ind w:firstLine="4"/>
        <w:rPr>
          <w:szCs w:val="24"/>
          <w:lang w:val="fr-FR"/>
        </w:rPr>
      </w:pPr>
      <w:r w:rsidRPr="00EB5449">
        <w:rPr>
          <w:szCs w:val="24"/>
          <w:lang w:val="fr-FR"/>
        </w:rPr>
        <w:t>Je ne dois pas être mal compris. Un tel comportement est odieux et ne peut être justifié. Il n’est cependant pas inexplicable. [par. 27]</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 xml:space="preserve">Je signale également que le juge Martin a cité avec approbation l’arrêt </w:t>
      </w:r>
      <w:r w:rsidRPr="00EB5449">
        <w:rPr>
          <w:rFonts w:cs="Times New Roman"/>
          <w:i/>
          <w:iCs/>
          <w:szCs w:val="24"/>
          <w:lang w:val="fr-FR"/>
        </w:rPr>
        <w:t>Trout</w:t>
      </w:r>
      <w:r w:rsidRPr="00EB5449">
        <w:rPr>
          <w:rFonts w:cs="Times New Roman"/>
          <w:szCs w:val="24"/>
          <w:lang w:val="fr-FR"/>
        </w:rPr>
        <w:t xml:space="preserve"> dans lequel la Cour d’appel du Manitoba a conclu que, bien que brutaux, les faits de l’affaire dont elle était saisie [</w:t>
      </w:r>
      <w:r w:rsidRPr="00EB5449">
        <w:rPr>
          <w:rFonts w:cs="Times New Roman"/>
          <w:smallCaps/>
          <w:szCs w:val="24"/>
          <w:lang w:val="fr-FR"/>
        </w:rPr>
        <w:t>traduction</w:t>
      </w:r>
      <w:r w:rsidRPr="00EB5449">
        <w:rPr>
          <w:rFonts w:cs="Times New Roman"/>
          <w:szCs w:val="24"/>
          <w:lang w:val="fr-FR"/>
        </w:rPr>
        <w:t xml:space="preserve">] </w:t>
      </w:r>
      <w:r>
        <w:rPr>
          <w:rFonts w:cs="Times New Roman"/>
          <w:szCs w:val="24"/>
          <w:lang w:val="fr-FR"/>
        </w:rPr>
        <w:t>« </w:t>
      </w:r>
      <w:r w:rsidRPr="00EB5449">
        <w:rPr>
          <w:rFonts w:cs="Times New Roman"/>
          <w:szCs w:val="24"/>
          <w:lang w:val="fr-FR"/>
        </w:rPr>
        <w:t xml:space="preserve">faisaient pâle figure face à la mutilation violente de la victime dans </w:t>
      </w:r>
      <w:r w:rsidRPr="00EB5449">
        <w:rPr>
          <w:rFonts w:cs="Times New Roman"/>
          <w:i/>
          <w:iCs/>
          <w:szCs w:val="24"/>
          <w:lang w:val="fr-FR"/>
        </w:rPr>
        <w:t>Hall</w:t>
      </w:r>
      <w:r w:rsidRPr="00CE3216">
        <w:rPr>
          <w:rFonts w:cs="Times New Roman"/>
          <w:iCs/>
          <w:szCs w:val="24"/>
          <w:lang w:val="fr-FR"/>
        </w:rPr>
        <w:t> »</w:t>
      </w:r>
      <w:r>
        <w:rPr>
          <w:rFonts w:cs="Times New Roman"/>
          <w:szCs w:val="24"/>
          <w:lang w:val="fr-FR"/>
        </w:rPr>
        <w:t> :</w:t>
      </w:r>
      <w:r w:rsidRPr="00EB5449">
        <w:rPr>
          <w:rFonts w:cs="Times New Roman"/>
          <w:szCs w:val="24"/>
          <w:lang w:val="fr-FR"/>
        </w:rPr>
        <w:t xml:space="preserve"> par. 26, citant </w:t>
      </w:r>
      <w:r w:rsidRPr="00EB5449">
        <w:rPr>
          <w:rFonts w:cs="Times New Roman"/>
          <w:i/>
          <w:iCs/>
          <w:szCs w:val="24"/>
          <w:lang w:val="fr-FR"/>
        </w:rPr>
        <w:t>Trout</w:t>
      </w:r>
      <w:r w:rsidRPr="00EB5449">
        <w:rPr>
          <w:rFonts w:cs="Times New Roman"/>
          <w:szCs w:val="24"/>
          <w:lang w:val="fr-FR"/>
        </w:rPr>
        <w:t xml:space="preserve">, par. 12.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Avec égards pour l’opinion exprimée par le juge réviseur, je suis d’avis que ce dernier a fait erreur en déclarant que l’al. 515(10)</w:t>
      </w:r>
      <w:r w:rsidRPr="00EB5449">
        <w:rPr>
          <w:rFonts w:cs="Times New Roman"/>
          <w:i/>
          <w:iCs/>
          <w:szCs w:val="24"/>
          <w:lang w:val="fr-FR"/>
        </w:rPr>
        <w:t>c</w:t>
      </w:r>
      <w:r w:rsidRPr="00EB5449">
        <w:rPr>
          <w:rFonts w:cs="Times New Roman"/>
          <w:szCs w:val="24"/>
          <w:lang w:val="fr-FR"/>
        </w:rPr>
        <w:t xml:space="preserve">) </w:t>
      </w:r>
      <w:r w:rsidR="004364EE">
        <w:rPr>
          <w:rFonts w:cs="Times New Roman"/>
          <w:i/>
          <w:iCs/>
          <w:szCs w:val="24"/>
          <w:lang w:val="fr-FR"/>
        </w:rPr>
        <w:t>C. cr.</w:t>
      </w:r>
      <w:r w:rsidRPr="00EB5449">
        <w:rPr>
          <w:rFonts w:cs="Times New Roman"/>
          <w:szCs w:val="24"/>
          <w:lang w:val="fr-FR"/>
        </w:rPr>
        <w:t xml:space="preserve"> devait être interprété restrictivement et n’être appliqué qu’en de rares occasions. De plus, le caractère </w:t>
      </w:r>
      <w:r>
        <w:rPr>
          <w:rFonts w:cs="Times New Roman"/>
          <w:szCs w:val="24"/>
          <w:lang w:val="fr-FR"/>
        </w:rPr>
        <w:t>« </w:t>
      </w:r>
      <w:r w:rsidRPr="00EB5449">
        <w:rPr>
          <w:rFonts w:cs="Times New Roman"/>
          <w:szCs w:val="24"/>
          <w:lang w:val="fr-FR"/>
        </w:rPr>
        <w:t>explicable</w:t>
      </w:r>
      <w:r>
        <w:rPr>
          <w:rFonts w:cs="Times New Roman"/>
          <w:szCs w:val="24"/>
          <w:lang w:val="fr-FR"/>
        </w:rPr>
        <w:t> »</w:t>
      </w:r>
      <w:r w:rsidRPr="00EB5449">
        <w:rPr>
          <w:rFonts w:cs="Times New Roman"/>
          <w:szCs w:val="24"/>
          <w:lang w:val="fr-FR"/>
        </w:rPr>
        <w:t xml:space="preserve"> de l’infraction s’est révélé être un critère déterminant dans la décision du juge Martin, ce dernier ayant par ailleurs valablement reconnu le sérieux de l’infraction ainsi que son caractère </w:t>
      </w:r>
      <w:r>
        <w:rPr>
          <w:rFonts w:cs="Times New Roman"/>
          <w:szCs w:val="24"/>
          <w:lang w:val="fr-FR"/>
        </w:rPr>
        <w:t>« </w:t>
      </w:r>
      <w:r w:rsidRPr="00EB5449">
        <w:rPr>
          <w:rFonts w:cs="Times New Roman"/>
          <w:szCs w:val="24"/>
          <w:lang w:val="fr-FR"/>
        </w:rPr>
        <w:t>odieux</w:t>
      </w:r>
      <w:r>
        <w:rPr>
          <w:rFonts w:cs="Times New Roman"/>
          <w:szCs w:val="24"/>
          <w:lang w:val="fr-FR"/>
        </w:rPr>
        <w:t> »</w:t>
      </w:r>
      <w:r w:rsidRPr="00EB5449">
        <w:rPr>
          <w:rFonts w:cs="Times New Roman"/>
          <w:szCs w:val="24"/>
          <w:lang w:val="fr-FR"/>
        </w:rPr>
        <w:t xml:space="preserve"> et </w:t>
      </w:r>
      <w:r>
        <w:rPr>
          <w:rFonts w:cs="Times New Roman"/>
          <w:szCs w:val="24"/>
          <w:lang w:val="fr-FR"/>
        </w:rPr>
        <w:t>« </w:t>
      </w:r>
      <w:r w:rsidRPr="00EB5449">
        <w:rPr>
          <w:rFonts w:cs="Times New Roman"/>
          <w:szCs w:val="24"/>
          <w:lang w:val="fr-FR"/>
        </w:rPr>
        <w:t>répugnant</w:t>
      </w:r>
      <w:r>
        <w:rPr>
          <w:rFonts w:cs="Times New Roman"/>
          <w:szCs w:val="24"/>
          <w:lang w:val="fr-FR"/>
        </w:rPr>
        <w:t> »</w:t>
      </w:r>
      <w:r w:rsidRPr="00EB5449">
        <w:rPr>
          <w:rFonts w:cs="Times New Roman"/>
          <w:szCs w:val="24"/>
          <w:lang w:val="fr-FR"/>
        </w:rPr>
        <w:t>. De surcroît, le juge a infirmé les décisions des juges Lavergne et Legault sans même analyser les quatre facteurs énoncés à l’al. 515(10)</w:t>
      </w:r>
      <w:r w:rsidRPr="00EB5449">
        <w:rPr>
          <w:rFonts w:cs="Times New Roman"/>
          <w:i/>
          <w:iCs/>
          <w:szCs w:val="24"/>
          <w:lang w:val="fr-FR"/>
        </w:rPr>
        <w:t>c</w:t>
      </w:r>
      <w:r w:rsidRPr="00EB5449">
        <w:rPr>
          <w:rFonts w:cs="Times New Roman"/>
          <w:szCs w:val="24"/>
          <w:lang w:val="fr-FR"/>
        </w:rPr>
        <w:t xml:space="preserve">) </w:t>
      </w:r>
      <w:r w:rsidR="004364EE">
        <w:rPr>
          <w:rFonts w:cs="Times New Roman"/>
          <w:i/>
          <w:iCs/>
          <w:szCs w:val="24"/>
          <w:lang w:val="fr-FR"/>
        </w:rPr>
        <w:t>C. cr.</w:t>
      </w:r>
      <w:r w:rsidRPr="00EB5449">
        <w:rPr>
          <w:rFonts w:cs="Times New Roman"/>
          <w:szCs w:val="24"/>
          <w:lang w:val="fr-FR"/>
        </w:rPr>
        <w:t xml:space="preserve"> Le juge Martin a donc commis plusieurs erreurs qui justifient de réviser l’ensemble de sa décision.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lastRenderedPageBreak/>
        <w:t>Enfin, le juge est intervenu alors qu’il n’y avait pas matière à révision, vu l’absence de changement important de circonstances et d’erreur de droit, et le fait que la décision initiale n’était pas manifestement inappropriée. En effet, la détention de l’intimé était à mon avis justifiée au regard de l’al. 515(10</w:t>
      </w:r>
      <w:r w:rsidRPr="00EB5449">
        <w:rPr>
          <w:rFonts w:cs="Times New Roman"/>
          <w:iCs/>
          <w:szCs w:val="24"/>
          <w:lang w:val="fr-FR"/>
        </w:rPr>
        <w:t>)</w:t>
      </w:r>
      <w:r w:rsidRPr="00EB5449">
        <w:rPr>
          <w:rFonts w:cs="Times New Roman"/>
          <w:i/>
          <w:iCs/>
          <w:szCs w:val="24"/>
          <w:lang w:val="fr-FR"/>
        </w:rPr>
        <w:t>c</w:t>
      </w:r>
      <w:r w:rsidRPr="00EB5449">
        <w:rPr>
          <w:rFonts w:cs="Times New Roman"/>
          <w:szCs w:val="24"/>
          <w:lang w:val="fr-FR"/>
        </w:rPr>
        <w:t>)</w:t>
      </w:r>
      <w:r w:rsidRPr="00EB5449">
        <w:rPr>
          <w:rFonts w:cs="Times New Roman"/>
          <w:i/>
          <w:iCs/>
          <w:szCs w:val="24"/>
          <w:lang w:val="fr-FR"/>
        </w:rPr>
        <w:t xml:space="preserve"> </w:t>
      </w:r>
      <w:r w:rsidR="004364EE">
        <w:rPr>
          <w:rFonts w:cs="Times New Roman"/>
          <w:i/>
          <w:iCs/>
          <w:szCs w:val="24"/>
          <w:lang w:val="fr-FR"/>
        </w:rPr>
        <w:t>C. cr.</w:t>
      </w:r>
      <w:r w:rsidRPr="00EB5449">
        <w:rPr>
          <w:rFonts w:cs="Times New Roman"/>
          <w:szCs w:val="24"/>
          <w:lang w:val="fr-FR"/>
        </w:rPr>
        <w:t xml:space="preserve"> </w:t>
      </w:r>
    </w:p>
    <w:p w:rsidR="00CE3216" w:rsidRPr="00EB5449" w:rsidRDefault="00CE3216" w:rsidP="00CE3216">
      <w:pPr>
        <w:pStyle w:val="Title3LevelTitre3Niveau"/>
        <w:widowControl w:val="0"/>
        <w:rPr>
          <w:rFonts w:cs="Times New Roman"/>
          <w:szCs w:val="24"/>
        </w:rPr>
      </w:pPr>
      <w:r w:rsidRPr="00EB5449">
        <w:rPr>
          <w:rFonts w:cs="Times New Roman"/>
          <w:szCs w:val="24"/>
        </w:rPr>
        <w:t>La nécessité de la détention de l’intimé</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 xml:space="preserve">Il faut analyser tous les éléments pertinents en l’espèce afin de déterminer si la pondération de ceux-ci, telle qu’elle aurait dû être effectuée n’eût été des erreurs, rend la détention de l’intimé nécessaire afin de ne pas miner la confiance du public envers l’administration de la justice.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 xml:space="preserve">D’abord, l’accusation paraît fondée, puisque la scène a été captée sur bande vidéo et que des témoins oculaires ont déposé. Un élément matériel de preuve telle une bande vidéo présente une fiabilité supérieure à celle de la preuve circonstancielle ou testimoniale. Ensuite, l’intimé ne semble pas à première vue avoir un moyen de défense valable à faire valoir, et ce, même si l’on tenait compte du </w:t>
      </w:r>
      <w:r>
        <w:rPr>
          <w:rFonts w:cs="Times New Roman"/>
          <w:szCs w:val="24"/>
          <w:lang w:val="fr-FR"/>
        </w:rPr>
        <w:t>« </w:t>
      </w:r>
      <w:r w:rsidRPr="00EB5449">
        <w:rPr>
          <w:rFonts w:cs="Times New Roman"/>
          <w:szCs w:val="24"/>
          <w:lang w:val="fr-FR"/>
        </w:rPr>
        <w:t>geste physique</w:t>
      </w:r>
      <w:r>
        <w:rPr>
          <w:rFonts w:cs="Times New Roman"/>
          <w:szCs w:val="24"/>
          <w:lang w:val="fr-FR"/>
        </w:rPr>
        <w:t> »</w:t>
      </w:r>
      <w:r w:rsidRPr="00EB5449">
        <w:rPr>
          <w:rFonts w:cs="Times New Roman"/>
          <w:szCs w:val="24"/>
          <w:lang w:val="fr-FR"/>
        </w:rPr>
        <w:t xml:space="preserve"> du chauffeur</w:t>
      </w:r>
      <w:r>
        <w:rPr>
          <w:rFonts w:cs="Times New Roman"/>
          <w:szCs w:val="24"/>
          <w:lang w:val="fr-FR"/>
        </w:rPr>
        <w:t xml:space="preserve"> </w:t>
      </w:r>
      <w:r w:rsidRPr="00EB5449">
        <w:rPr>
          <w:rFonts w:cs="Times New Roman"/>
          <w:szCs w:val="24"/>
          <w:lang w:val="fr-FR"/>
        </w:rPr>
        <w:t xml:space="preserve">envers l’intimé et ses coaccusés. Il n’a d’ailleurs pas plaidé devant notre Cour qu’il disposait d’une défense valable de nature à mitiger l’apparence de fondement de l’accusation. Bien que ce ne soit pas mon rôle — ni celui du juge qui préside l’enquête sur la mise en liberté sous caution d’un accusé — d’analyser en détail les issues possibles d’un éventuel procès, il est difficile d’imaginer de prime abord comment l’intimé pourrait invoquer la légitime défense. À ce stade-ci des procédures, la preuve ne permet pas en toute logique à l’intimé de </w:t>
      </w:r>
      <w:r w:rsidRPr="00EB5449">
        <w:rPr>
          <w:rFonts w:cs="Times New Roman"/>
          <w:szCs w:val="24"/>
          <w:lang w:val="fr-FR"/>
        </w:rPr>
        <w:lastRenderedPageBreak/>
        <w:t>plaider qu’il a utilisé la force raisonnable pour se défendre ou pour se protéger ou protéger une autre personne, ni qu’il a agi raisonnablement</w:t>
      </w:r>
      <w:r>
        <w:rPr>
          <w:rFonts w:cs="Times New Roman"/>
          <w:szCs w:val="24"/>
          <w:lang w:val="fr-FR"/>
        </w:rPr>
        <w:t xml:space="preserve"> </w:t>
      </w:r>
      <w:r w:rsidRPr="00EB5449">
        <w:rPr>
          <w:rFonts w:cs="Times New Roman"/>
          <w:szCs w:val="24"/>
          <w:lang w:val="fr-FR"/>
        </w:rPr>
        <w:t>dans les circonstances</w:t>
      </w:r>
      <w:r>
        <w:rPr>
          <w:rFonts w:cs="Times New Roman"/>
          <w:szCs w:val="24"/>
          <w:lang w:val="fr-FR"/>
        </w:rPr>
        <w:t> :</w:t>
      </w:r>
      <w:r w:rsidRPr="00EB5449">
        <w:rPr>
          <w:rFonts w:cs="Times New Roman"/>
          <w:szCs w:val="24"/>
          <w:lang w:val="fr-FR"/>
        </w:rPr>
        <w:t xml:space="preserve"> art. 34 </w:t>
      </w:r>
      <w:r w:rsidR="004364EE">
        <w:rPr>
          <w:rFonts w:cs="Times New Roman"/>
          <w:i/>
          <w:iCs/>
          <w:szCs w:val="24"/>
          <w:lang w:val="fr-FR"/>
        </w:rPr>
        <w:t>C. cr.</w:t>
      </w:r>
      <w:r w:rsidRPr="00EB5449">
        <w:rPr>
          <w:rFonts w:cs="Times New Roman"/>
          <w:szCs w:val="24"/>
          <w:lang w:val="fr-FR"/>
        </w:rPr>
        <w:t xml:space="preserve"> Rappelons aussi que la défense de provocation ne peut être invoquée, étant donné qu’elle est admise seulement pour réduire une accusation de meurtre</w:t>
      </w:r>
      <w:r>
        <w:rPr>
          <w:rFonts w:cs="Times New Roman"/>
          <w:szCs w:val="24"/>
          <w:lang w:val="fr-FR"/>
        </w:rPr>
        <w:t> :</w:t>
      </w:r>
      <w:r w:rsidRPr="00EB5449">
        <w:rPr>
          <w:rFonts w:cs="Times New Roman"/>
          <w:szCs w:val="24"/>
          <w:lang w:val="fr-FR"/>
        </w:rPr>
        <w:t xml:space="preserve"> art. 232 </w:t>
      </w:r>
      <w:r w:rsidR="004364EE">
        <w:rPr>
          <w:rFonts w:cs="Times New Roman"/>
          <w:i/>
          <w:iCs/>
          <w:szCs w:val="24"/>
          <w:lang w:val="fr-FR"/>
        </w:rPr>
        <w:t>C. cr.</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L’infraction est objectivement très sérieuse, car il s’agit de voies de fait graves et que la peine maximale de 14 ans qui est prévue est parmi les plus sévères du</w:t>
      </w:r>
      <w:r w:rsidRPr="00EB5449">
        <w:rPr>
          <w:rFonts w:cs="Times New Roman"/>
          <w:i/>
          <w:szCs w:val="24"/>
          <w:lang w:val="fr-FR"/>
        </w:rPr>
        <w:t xml:space="preserve"> Code criminel</w:t>
      </w:r>
      <w:r w:rsidRPr="00EB5449">
        <w:rPr>
          <w:rFonts w:cs="Times New Roman"/>
          <w:szCs w:val="24"/>
          <w:lang w:val="fr-FR"/>
        </w:rPr>
        <w:t>, après l’emprisonnement à perpétuité</w:t>
      </w:r>
      <w:r>
        <w:rPr>
          <w:rFonts w:cs="Times New Roman"/>
          <w:szCs w:val="24"/>
          <w:lang w:val="fr-FR"/>
        </w:rPr>
        <w:t> :</w:t>
      </w:r>
      <w:r w:rsidRPr="00EB5449">
        <w:rPr>
          <w:rFonts w:cs="Times New Roman"/>
          <w:szCs w:val="24"/>
          <w:lang w:val="fr-FR"/>
        </w:rPr>
        <w:t xml:space="preserve"> par. 268(2). </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En ce qui concerne les circonstances entourant la perpétration de l’infraction, je prends en considération que l’intimé a participé activement à l’agression et que celle-ci a été des plus brutales</w:t>
      </w:r>
      <w:r>
        <w:rPr>
          <w:rFonts w:cs="Times New Roman"/>
          <w:szCs w:val="24"/>
          <w:lang w:val="fr-FR"/>
        </w:rPr>
        <w:t> :</w:t>
      </w:r>
      <w:r w:rsidRPr="00EB5449">
        <w:rPr>
          <w:rFonts w:cs="Times New Roman"/>
          <w:szCs w:val="24"/>
          <w:lang w:val="fr-FR"/>
        </w:rPr>
        <w:t xml:space="preserve"> même l’intervention de passagers n’a pas réussi à y mettre fin rapidement. Le caractère violent, brutal ou odieux d’une infraction est sans aucun doute un critère important dont le juge peut tenir compte. D’une part, le fait que le chauffeur ait refusé d’attendre les jeunes hommes à un arrêt précédent n’a aucune pertinence dans l’analyse entreprise. D’autre part, je vois difficilement comment le geste physique que le chauffeur aurait posé — soit de repousser un ami de l’intimé — devrait être considéré en faveur de l’intimé, à la lumière des injures et menaces dirigées à son endroit lors du trajet. </w:t>
      </w:r>
    </w:p>
    <w:p w:rsidR="00CE3216" w:rsidRPr="00EB5449" w:rsidRDefault="00CE3216" w:rsidP="00CE3216">
      <w:pPr>
        <w:pStyle w:val="ParaNoNdepar-AltN"/>
        <w:widowControl w:val="0"/>
        <w:rPr>
          <w:rFonts w:cs="Times New Roman"/>
          <w:iCs/>
          <w:szCs w:val="24"/>
          <w:lang w:val="fr-FR"/>
        </w:rPr>
      </w:pPr>
      <w:r w:rsidRPr="00EB5449">
        <w:rPr>
          <w:rFonts w:cs="Times New Roman"/>
          <w:szCs w:val="24"/>
          <w:lang w:val="fr-FR"/>
        </w:rPr>
        <w:t>Enfin, la peine maximale pour voies de fait graves est de 14 ans. Si l’intimé était plutôt reconnu coupable de voies de fait avec lésions, la peine maximale serait alors de 10 ans</w:t>
      </w:r>
      <w:r>
        <w:rPr>
          <w:rFonts w:cs="Times New Roman"/>
          <w:szCs w:val="24"/>
          <w:lang w:val="fr-FR"/>
        </w:rPr>
        <w:t> :</w:t>
      </w:r>
      <w:r w:rsidRPr="00EB5449">
        <w:rPr>
          <w:rFonts w:cs="Times New Roman"/>
          <w:szCs w:val="24"/>
          <w:lang w:val="fr-FR"/>
        </w:rPr>
        <w:t xml:space="preserve"> al. 267</w:t>
      </w:r>
      <w:r w:rsidRPr="00EB5449">
        <w:rPr>
          <w:rFonts w:cs="Times New Roman"/>
          <w:i/>
          <w:iCs/>
          <w:szCs w:val="24"/>
          <w:lang w:val="fr-FR"/>
        </w:rPr>
        <w:t>b</w:t>
      </w:r>
      <w:r w:rsidRPr="00EB5449">
        <w:rPr>
          <w:rFonts w:cs="Times New Roman"/>
          <w:szCs w:val="24"/>
          <w:lang w:val="fr-FR"/>
        </w:rPr>
        <w:t xml:space="preserve">) </w:t>
      </w:r>
      <w:r w:rsidR="004364EE">
        <w:rPr>
          <w:rFonts w:cs="Times New Roman"/>
          <w:i/>
          <w:iCs/>
          <w:szCs w:val="24"/>
          <w:lang w:val="fr-FR"/>
        </w:rPr>
        <w:t>C. cr.</w:t>
      </w:r>
      <w:r w:rsidRPr="00EB5449">
        <w:rPr>
          <w:rFonts w:cs="Times New Roman"/>
          <w:szCs w:val="24"/>
          <w:lang w:val="fr-FR"/>
        </w:rPr>
        <w:t xml:space="preserve"> Les deux infractions ne comportent pas de </w:t>
      </w:r>
      <w:r w:rsidRPr="00EB5449">
        <w:rPr>
          <w:rFonts w:cs="Times New Roman"/>
          <w:szCs w:val="24"/>
          <w:lang w:val="fr-FR"/>
        </w:rPr>
        <w:lastRenderedPageBreak/>
        <w:t xml:space="preserve">peine minimale.  Des tribunaux ont déjà jugé que </w:t>
      </w:r>
      <w:r>
        <w:rPr>
          <w:rFonts w:cs="Times New Roman"/>
          <w:szCs w:val="24"/>
          <w:lang w:val="fr-FR"/>
        </w:rPr>
        <w:t>« </w:t>
      </w:r>
      <w:r w:rsidRPr="00EB5449">
        <w:rPr>
          <w:rFonts w:cs="Times New Roman"/>
          <w:szCs w:val="24"/>
        </w:rPr>
        <w:t>ce genre de crime, voies de fait graves, commande généralement une peine d’emprisonnement ferme pour bien démontrer la réprobation de la société à l’égard des crimes violents contre la personne et pour envoyer un message clair de dissuasion</w:t>
      </w:r>
      <w:r>
        <w:rPr>
          <w:rFonts w:cs="Times New Roman"/>
          <w:szCs w:val="24"/>
        </w:rPr>
        <w:t> » :</w:t>
      </w:r>
      <w:r w:rsidRPr="00EB5449">
        <w:rPr>
          <w:rFonts w:cs="Times New Roman"/>
          <w:szCs w:val="24"/>
        </w:rPr>
        <w:t xml:space="preserve"> </w:t>
      </w:r>
      <w:r w:rsidRPr="00EB5449">
        <w:rPr>
          <w:rFonts w:cs="Times New Roman"/>
          <w:i/>
          <w:iCs/>
          <w:szCs w:val="24"/>
        </w:rPr>
        <w:t>R. c. Dagenais</w:t>
      </w:r>
      <w:r w:rsidRPr="00EB5449">
        <w:rPr>
          <w:rFonts w:cs="Times New Roman"/>
          <w:szCs w:val="24"/>
        </w:rPr>
        <w:t xml:space="preserve">, 2012 QCCA 244, par. 18 (CanLII); </w:t>
      </w:r>
      <w:r w:rsidRPr="00EB5449">
        <w:rPr>
          <w:rFonts w:cs="Times New Roman"/>
          <w:i/>
          <w:iCs/>
          <w:szCs w:val="24"/>
        </w:rPr>
        <w:t>R. c. Riendeau</w:t>
      </w:r>
      <w:r w:rsidRPr="00EB5449">
        <w:rPr>
          <w:rFonts w:cs="Times New Roman"/>
          <w:szCs w:val="24"/>
        </w:rPr>
        <w:t xml:space="preserve">, 2012 QCCA 1155, par. 32; voir aussi C. C. Ruby, G. J. Chan et N. R. Hasan, </w:t>
      </w:r>
      <w:r w:rsidRPr="00EB5449">
        <w:rPr>
          <w:rFonts w:cs="Times New Roman"/>
          <w:i/>
          <w:iCs/>
          <w:szCs w:val="24"/>
        </w:rPr>
        <w:t>Sentencing</w:t>
      </w:r>
      <w:r w:rsidRPr="00EB5449">
        <w:rPr>
          <w:rFonts w:cs="Times New Roman"/>
          <w:szCs w:val="24"/>
        </w:rPr>
        <w:t xml:space="preserve"> (8</w:t>
      </w:r>
      <w:r w:rsidRPr="00EB5449">
        <w:rPr>
          <w:rFonts w:cs="Times New Roman"/>
          <w:szCs w:val="24"/>
          <w:vertAlign w:val="superscript"/>
        </w:rPr>
        <w:t>e</w:t>
      </w:r>
      <w:r w:rsidRPr="00EB5449">
        <w:rPr>
          <w:rFonts w:cs="Times New Roman"/>
          <w:szCs w:val="24"/>
        </w:rPr>
        <w:t xml:space="preserve"> éd. 2012), § 23.230. Même si l’intimé n’avait aucun antécédent criminel et n’était âgé que de 20 ans au moment des faits, il est vraisemblable qu’il recevra une lourde peine d’emprisonnement s’il est reconnu coupable compte tenu des circonstances de l’infraction, en particulier sa participation active à l’agression et le caractère violent de celle-ci.</w:t>
      </w:r>
      <w:r w:rsidRPr="00EB5449">
        <w:rPr>
          <w:rFonts w:cs="Times New Roman"/>
          <w:szCs w:val="24"/>
          <w:lang w:val="fr-FR"/>
        </w:rPr>
        <w:t xml:space="preserve">  Ainsi, dans son cas, il ne fait pas de doute qu’il encourt une  </w:t>
      </w:r>
      <w:r>
        <w:rPr>
          <w:rFonts w:cs="Times New Roman"/>
          <w:szCs w:val="24"/>
          <w:lang w:val="fr-FR"/>
        </w:rPr>
        <w:t>« </w:t>
      </w:r>
      <w:r w:rsidRPr="00EB5449">
        <w:rPr>
          <w:rFonts w:cs="Times New Roman"/>
          <w:szCs w:val="24"/>
          <w:lang w:val="fr-FR"/>
        </w:rPr>
        <w:t>longue peine d’emprisonnement</w:t>
      </w:r>
      <w:r>
        <w:rPr>
          <w:rFonts w:cs="Times New Roman"/>
          <w:szCs w:val="24"/>
          <w:lang w:val="fr-FR"/>
        </w:rPr>
        <w:t> »</w:t>
      </w:r>
      <w:r w:rsidRPr="00EB5449">
        <w:rPr>
          <w:rFonts w:cs="Times New Roman"/>
          <w:szCs w:val="24"/>
          <w:lang w:val="fr-FR"/>
        </w:rPr>
        <w:t xml:space="preserve"> au sens de l’al. 515(10)</w:t>
      </w:r>
      <w:r w:rsidRPr="00EB5449">
        <w:rPr>
          <w:rFonts w:cs="Times New Roman"/>
          <w:i/>
          <w:iCs/>
          <w:szCs w:val="24"/>
          <w:lang w:val="fr-FR"/>
        </w:rPr>
        <w:t>c</w:t>
      </w:r>
      <w:r w:rsidRPr="00EB5449">
        <w:rPr>
          <w:rFonts w:cs="Times New Roman"/>
          <w:szCs w:val="24"/>
          <w:lang w:val="fr-FR"/>
        </w:rPr>
        <w:t xml:space="preserve">) </w:t>
      </w:r>
      <w:r w:rsidR="004364EE">
        <w:rPr>
          <w:rFonts w:cs="Times New Roman"/>
          <w:i/>
          <w:iCs/>
          <w:szCs w:val="24"/>
          <w:lang w:val="fr-FR"/>
        </w:rPr>
        <w:t>C. cr.</w:t>
      </w:r>
      <w:r w:rsidRPr="00EB5449">
        <w:rPr>
          <w:rFonts w:cs="Times New Roman"/>
          <w:szCs w:val="24"/>
          <w:lang w:val="fr-FR"/>
        </w:rPr>
        <w:t>,</w:t>
      </w:r>
      <w:r w:rsidRPr="00EB5449">
        <w:rPr>
          <w:rFonts w:cs="Times New Roman"/>
          <w:i/>
          <w:szCs w:val="24"/>
          <w:lang w:val="fr-FR"/>
        </w:rPr>
        <w:t xml:space="preserve"> </w:t>
      </w:r>
      <w:r w:rsidRPr="00EB5449">
        <w:rPr>
          <w:rFonts w:cs="Times New Roman"/>
          <w:iCs/>
          <w:szCs w:val="24"/>
          <w:lang w:val="fr-FR"/>
        </w:rPr>
        <w:t>qu’il soit déclaré coupable de l’infraction de voies de fait graves ou de celle de voies de fait avec lésions.</w:t>
      </w:r>
    </w:p>
    <w:p w:rsidR="00CE3216" w:rsidRPr="00EB5449" w:rsidRDefault="00CE3216" w:rsidP="00CE3216">
      <w:pPr>
        <w:pStyle w:val="ParaNoNdepar-AltN"/>
        <w:widowControl w:val="0"/>
        <w:rPr>
          <w:rFonts w:cs="Times New Roman"/>
          <w:szCs w:val="24"/>
          <w:lang w:val="fr-FR"/>
        </w:rPr>
      </w:pPr>
      <w:r w:rsidRPr="00EB5449">
        <w:rPr>
          <w:rFonts w:cs="Times New Roman"/>
          <w:szCs w:val="24"/>
          <w:lang w:val="fr-FR"/>
        </w:rPr>
        <w:t>Les quatre circonstances énoncées à l’al. 515(10)</w:t>
      </w:r>
      <w:r w:rsidRPr="00EB5449">
        <w:rPr>
          <w:rFonts w:cs="Times New Roman"/>
          <w:i/>
          <w:iCs/>
          <w:szCs w:val="24"/>
          <w:lang w:val="fr-FR"/>
        </w:rPr>
        <w:t>c</w:t>
      </w:r>
      <w:r w:rsidRPr="00EB5449">
        <w:rPr>
          <w:rFonts w:cs="Times New Roman"/>
          <w:szCs w:val="24"/>
          <w:lang w:val="fr-FR"/>
        </w:rPr>
        <w:t xml:space="preserve">) </w:t>
      </w:r>
      <w:r w:rsidR="004364EE">
        <w:rPr>
          <w:rFonts w:cs="Times New Roman"/>
          <w:i/>
          <w:iCs/>
          <w:szCs w:val="24"/>
          <w:lang w:val="fr-FR"/>
        </w:rPr>
        <w:t>C. cr.</w:t>
      </w:r>
      <w:r w:rsidRPr="00EB5449">
        <w:rPr>
          <w:rFonts w:cs="Times New Roman"/>
          <w:szCs w:val="24"/>
          <w:lang w:val="fr-FR"/>
        </w:rPr>
        <w:t xml:space="preserve"> militent donc fortement en faveur de la détention de l’intimé.</w:t>
      </w:r>
    </w:p>
    <w:p w:rsidR="00CE3216" w:rsidRPr="00EB5449" w:rsidRDefault="00CE3216" w:rsidP="00CE3216">
      <w:pPr>
        <w:pStyle w:val="ParaNoNdepar-AltN"/>
        <w:widowControl w:val="0"/>
        <w:rPr>
          <w:rFonts w:cs="Times New Roman"/>
          <w:szCs w:val="24"/>
        </w:rPr>
      </w:pPr>
      <w:r w:rsidRPr="00EB5449">
        <w:rPr>
          <w:rFonts w:cs="Times New Roman"/>
          <w:szCs w:val="24"/>
          <w:lang w:val="fr-FR"/>
        </w:rPr>
        <w:t xml:space="preserve">Je considère également que le fait d’agresser un chauffeur d’autobus, un représentant des services publics qui travaille directement au bien-être de la population au sein de celle-ci, ajoute à l’odieux de l’infraction. La nature et la gravité des blessures qu’il a subies sont également pertinentes, particulièrement les séquelles à long terme, ainsi que les répercussions sur sa carrière et sa vie personnelle. </w:t>
      </w:r>
    </w:p>
    <w:p w:rsidR="00CE3216" w:rsidRPr="00EB5449" w:rsidRDefault="00CE3216" w:rsidP="00CE3216">
      <w:pPr>
        <w:pStyle w:val="ParaNoNdepar-AltN"/>
        <w:widowControl w:val="0"/>
        <w:rPr>
          <w:rFonts w:cs="Times New Roman"/>
          <w:szCs w:val="24"/>
        </w:rPr>
      </w:pPr>
      <w:r w:rsidRPr="00EB5449">
        <w:rPr>
          <w:rFonts w:cs="Times New Roman"/>
          <w:szCs w:val="24"/>
          <w:lang w:val="fr-FR"/>
        </w:rPr>
        <w:t xml:space="preserve">En somme, je conclus que la pondération de toutes les circonstances </w:t>
      </w:r>
      <w:r w:rsidRPr="00EB5449">
        <w:rPr>
          <w:rFonts w:cs="Times New Roman"/>
          <w:szCs w:val="24"/>
          <w:lang w:val="fr-FR"/>
        </w:rPr>
        <w:lastRenderedPageBreak/>
        <w:t>pertinentes, comme le requiert l’al. 515(10)</w:t>
      </w:r>
      <w:r w:rsidRPr="00EB5449">
        <w:rPr>
          <w:rFonts w:cs="Times New Roman"/>
          <w:i/>
          <w:iCs/>
          <w:szCs w:val="24"/>
          <w:lang w:val="fr-FR"/>
        </w:rPr>
        <w:t>c</w:t>
      </w:r>
      <w:r w:rsidRPr="00EB5449">
        <w:rPr>
          <w:rFonts w:cs="Times New Roman"/>
          <w:szCs w:val="24"/>
          <w:lang w:val="fr-FR"/>
        </w:rPr>
        <w:t xml:space="preserve">) </w:t>
      </w:r>
      <w:r w:rsidR="004364EE">
        <w:rPr>
          <w:rFonts w:cs="Times New Roman"/>
          <w:i/>
          <w:iCs/>
          <w:szCs w:val="24"/>
          <w:lang w:val="fr-FR"/>
        </w:rPr>
        <w:t>C. cr.</w:t>
      </w:r>
      <w:r w:rsidRPr="00EB5449">
        <w:rPr>
          <w:rFonts w:cs="Times New Roman"/>
          <w:szCs w:val="24"/>
          <w:lang w:val="fr-FR"/>
        </w:rPr>
        <w:t xml:space="preserve">, rendait nécessaire la détention de l’intimé afin de ne pas miner la confiance du public envers l’administration de la justice. </w:t>
      </w:r>
    </w:p>
    <w:p w:rsidR="00CE3216" w:rsidRPr="00EB5449" w:rsidRDefault="00CE3216" w:rsidP="00CE3216">
      <w:pPr>
        <w:pStyle w:val="ParaNoNdepar-AltN"/>
        <w:widowControl w:val="0"/>
        <w:rPr>
          <w:rFonts w:cs="Times New Roman"/>
          <w:szCs w:val="24"/>
        </w:rPr>
      </w:pPr>
      <w:r w:rsidRPr="00EB5449">
        <w:rPr>
          <w:rFonts w:cs="Times New Roman"/>
          <w:szCs w:val="24"/>
          <w:lang w:val="fr-FR"/>
        </w:rPr>
        <w:t xml:space="preserve">À mon avis, un membre raisonnable du public qui, sans être juriste, est néanmoins bien informé de la philosophie des dispositions législatives, des valeurs consacrées par la </w:t>
      </w:r>
      <w:r w:rsidRPr="00EB5449">
        <w:rPr>
          <w:rFonts w:cs="Times New Roman"/>
          <w:i/>
          <w:iCs/>
          <w:szCs w:val="24"/>
          <w:lang w:val="fr-FR"/>
        </w:rPr>
        <w:t>Charte</w:t>
      </w:r>
      <w:r w:rsidRPr="00EB5449">
        <w:rPr>
          <w:rFonts w:cs="Times New Roman"/>
          <w:szCs w:val="24"/>
          <w:lang w:val="fr-FR"/>
        </w:rPr>
        <w:t xml:space="preserve"> et des circonstances réelles de l’affaire, ne comprendrait pas pourquoi l’intimé ne doit pas demeurer incarcéré en attendant son procès. Ce membre du public n’est pas une personne qui se laisse guider par ses émotions et qui se laisserait influencer par un mouvement de vindicte populaire ou par des informations incomplètes ou déformées. Devant une attaque aussi brutale commise en pleine nuit par plusieurs personnes contre un chauffeur d’autobus, une personne au service de la communauté, qui a entraîné de lourdes conséquences sur la santé et l’intégrité de la victime et qui a été captée sur une bande vidéo montrant indubitablement la participation active de l’intimé à l’agression, j’estime que la confiance d’un membre raisonnable de notre société envers notre système de justice serait minée si la détention provisoire de l’intimé n’était pas ordonnée. </w:t>
      </w:r>
    </w:p>
    <w:p w:rsidR="00CE3216" w:rsidRPr="00EB5449" w:rsidRDefault="00CE3216" w:rsidP="00CE3216">
      <w:pPr>
        <w:pStyle w:val="Title1LevelTitre1Niveau-AltL"/>
        <w:widowControl w:val="0"/>
        <w:rPr>
          <w:rFonts w:cs="Times New Roman"/>
          <w:szCs w:val="24"/>
        </w:rPr>
      </w:pPr>
      <w:r w:rsidRPr="00EB5449">
        <w:rPr>
          <w:rFonts w:cs="Times New Roman"/>
          <w:szCs w:val="24"/>
        </w:rPr>
        <w:t>Dispositif</w:t>
      </w:r>
    </w:p>
    <w:p w:rsidR="00CE3216" w:rsidRPr="00EB5449" w:rsidRDefault="00CE3216" w:rsidP="00CE3216">
      <w:pPr>
        <w:pStyle w:val="ParaNoNdepar-AltN"/>
        <w:widowControl w:val="0"/>
        <w:rPr>
          <w:rFonts w:cs="Times New Roman"/>
          <w:i/>
          <w:szCs w:val="24"/>
        </w:rPr>
      </w:pPr>
      <w:r w:rsidRPr="00EB5449">
        <w:rPr>
          <w:rFonts w:cs="Times New Roman"/>
          <w:szCs w:val="24"/>
        </w:rPr>
        <w:t>Je suis d’avis d’accueillir le pourvoi. Le juge de la Cour supérieure ne pouvait intervenir à l’égard de la décision initiale sur la mise en liberté, et il a indûment restreint la portée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et a erronément fondé sa décision sur le caractère </w:t>
      </w:r>
      <w:r>
        <w:rPr>
          <w:rFonts w:cs="Times New Roman"/>
          <w:szCs w:val="24"/>
        </w:rPr>
        <w:t>« </w:t>
      </w:r>
      <w:r w:rsidRPr="00EB5449">
        <w:rPr>
          <w:rFonts w:cs="Times New Roman"/>
          <w:szCs w:val="24"/>
        </w:rPr>
        <w:t>explicable</w:t>
      </w:r>
      <w:r>
        <w:rPr>
          <w:rFonts w:cs="Times New Roman"/>
          <w:szCs w:val="24"/>
        </w:rPr>
        <w:t> »</w:t>
      </w:r>
      <w:r w:rsidRPr="00EB5449">
        <w:rPr>
          <w:rFonts w:cs="Times New Roman"/>
          <w:szCs w:val="24"/>
        </w:rPr>
        <w:t xml:space="preserve"> de l’infraction. La détention de l’intimé est justifiée au </w:t>
      </w:r>
      <w:r w:rsidRPr="00EB5449">
        <w:rPr>
          <w:rFonts w:cs="Times New Roman"/>
          <w:szCs w:val="24"/>
        </w:rPr>
        <w:lastRenderedPageBreak/>
        <w:t>regard de l’al. 515(10)</w:t>
      </w:r>
      <w:r w:rsidRPr="00EB5449">
        <w:rPr>
          <w:rFonts w:cs="Times New Roman"/>
          <w:i/>
          <w:iCs/>
          <w:szCs w:val="24"/>
        </w:rPr>
        <w:t>c</w:t>
      </w:r>
      <w:r w:rsidRPr="00EB5449">
        <w:rPr>
          <w:rFonts w:cs="Times New Roman"/>
          <w:szCs w:val="24"/>
        </w:rPr>
        <w:t xml:space="preserve">) </w:t>
      </w:r>
      <w:r w:rsidR="004364EE">
        <w:rPr>
          <w:rFonts w:cs="Times New Roman"/>
          <w:i/>
          <w:iCs/>
          <w:szCs w:val="24"/>
        </w:rPr>
        <w:t>C. cr.</w:t>
      </w:r>
      <w:r w:rsidRPr="00EB5449">
        <w:rPr>
          <w:rFonts w:cs="Times New Roman"/>
          <w:szCs w:val="24"/>
        </w:rPr>
        <w:t xml:space="preserve"> L’ordonnance de détention est donc rétablie.</w:t>
      </w:r>
    </w:p>
    <w:p w:rsidR="00CE3216" w:rsidRPr="00EB5449" w:rsidRDefault="00CE3216" w:rsidP="00CE3216">
      <w:pPr>
        <w:pStyle w:val="ContinueParaSuitedupar-AltP"/>
        <w:widowControl w:val="0"/>
        <w:spacing w:before="0" w:after="0"/>
        <w:jc w:val="center"/>
        <w:rPr>
          <w:rFonts w:cs="Times New Roman"/>
          <w:b/>
        </w:rPr>
      </w:pPr>
      <w:r w:rsidRPr="00EB5449">
        <w:rPr>
          <w:rFonts w:cs="Times New Roman"/>
          <w:b/>
        </w:rPr>
        <w:t>ANNEXE</w:t>
      </w:r>
    </w:p>
    <w:p w:rsidR="00CE3216" w:rsidRPr="00EB5449" w:rsidRDefault="00CE3216" w:rsidP="008D508A">
      <w:pPr>
        <w:pStyle w:val="ContinueParaSuitedupar-AltP"/>
        <w:widowControl w:val="0"/>
        <w:spacing w:before="0" w:after="720" w:line="240" w:lineRule="auto"/>
        <w:rPr>
          <w:rFonts w:cs="Times New Roman"/>
          <w:szCs w:val="24"/>
        </w:rPr>
      </w:pPr>
      <w:r w:rsidRPr="00EB5449">
        <w:rPr>
          <w:rFonts w:cs="Times New Roman"/>
          <w:i/>
          <w:szCs w:val="24"/>
        </w:rPr>
        <w:t>Code criminel</w:t>
      </w:r>
      <w:r w:rsidRPr="00EB5449">
        <w:rPr>
          <w:rFonts w:cs="Times New Roman"/>
          <w:szCs w:val="24"/>
        </w:rPr>
        <w:t>, L.R.C. 1985, c. C-46</w:t>
      </w:r>
    </w:p>
    <w:p w:rsidR="00CE3216" w:rsidRPr="00C535A2" w:rsidRDefault="00CE3216" w:rsidP="003A7173">
      <w:pPr>
        <w:widowControl w:val="0"/>
        <w:spacing w:after="240"/>
        <w:ind w:left="1170" w:firstLine="630"/>
        <w:jc w:val="both"/>
        <w:rPr>
          <w:szCs w:val="24"/>
          <w:lang w:val="fr-CA"/>
        </w:rPr>
      </w:pPr>
      <w:r w:rsidRPr="00C535A2">
        <w:rPr>
          <w:b/>
          <w:szCs w:val="24"/>
          <w:lang w:val="fr-CA"/>
        </w:rPr>
        <w:t>515.</w:t>
      </w:r>
      <w:r w:rsidRPr="0099253A">
        <w:rPr>
          <w:szCs w:val="24"/>
          <w:lang w:val="fr-CA"/>
        </w:rPr>
        <w:t> . .</w:t>
      </w:r>
      <w:r w:rsidR="0099253A">
        <w:rPr>
          <w:szCs w:val="24"/>
          <w:lang w:val="fr-CA"/>
        </w:rPr>
        <w:t> </w:t>
      </w:r>
      <w:r w:rsidRPr="00C535A2">
        <w:rPr>
          <w:szCs w:val="24"/>
          <w:lang w:val="fr-CA"/>
        </w:rPr>
        <w:t>.</w:t>
      </w:r>
    </w:p>
    <w:p w:rsidR="00CE3216" w:rsidRPr="00EB5449" w:rsidRDefault="00CE3216" w:rsidP="003A7173">
      <w:pPr>
        <w:widowControl w:val="0"/>
        <w:spacing w:after="240"/>
        <w:ind w:left="1170" w:firstLine="630"/>
        <w:jc w:val="both"/>
        <w:rPr>
          <w:szCs w:val="24"/>
          <w:lang w:val="fr-FR"/>
        </w:rPr>
      </w:pPr>
      <w:r w:rsidRPr="00EB5449">
        <w:rPr>
          <w:szCs w:val="24"/>
          <w:lang w:val="fr-FR"/>
        </w:rPr>
        <w:t>(10) Pour l’application du présent article, la détention d’un prévenu sous garde n’est justifiée que dans l’un des cas suivants</w:t>
      </w:r>
      <w:r>
        <w:rPr>
          <w:szCs w:val="24"/>
          <w:lang w:val="fr-FR"/>
        </w:rPr>
        <w:t> :</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a</w:t>
      </w:r>
      <w:r w:rsidRPr="00EB5449">
        <w:rPr>
          <w:szCs w:val="24"/>
          <w:lang w:val="fr-FR"/>
        </w:rPr>
        <w:t xml:space="preserve">) sa </w:t>
      </w:r>
      <w:r w:rsidRPr="00C535A2">
        <w:rPr>
          <w:szCs w:val="24"/>
          <w:lang w:val="fr-CA"/>
        </w:rPr>
        <w:t>détention</w:t>
      </w:r>
      <w:r w:rsidRPr="00EB5449">
        <w:rPr>
          <w:szCs w:val="24"/>
          <w:lang w:val="fr-FR"/>
        </w:rPr>
        <w:t xml:space="preserve"> est nécessaire pour assurer sa présence au tribunal afin qu’il soit traité selon la loi;</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b</w:t>
      </w:r>
      <w:r w:rsidRPr="00EB5449">
        <w:rPr>
          <w:szCs w:val="24"/>
          <w:lang w:val="fr-FR"/>
        </w:rPr>
        <w:t xml:space="preserve">) sa </w:t>
      </w:r>
      <w:r w:rsidRPr="00C535A2">
        <w:rPr>
          <w:szCs w:val="24"/>
          <w:lang w:val="fr-CA"/>
        </w:rPr>
        <w:t>détention</w:t>
      </w:r>
      <w:r w:rsidRPr="00EB5449">
        <w:rPr>
          <w:szCs w:val="24"/>
          <w:lang w:val="fr-FR"/>
        </w:rPr>
        <w:t xml:space="preserve"> est nécessaire pour la protection ou la sécurité du public, notamment celle des victimes et des témoins de l’infraction ou celle des personnes âgées de moins de dix-huit ans, eu égard aux circonstances, y compris toute probabilité marquée que le prévenu, s’il est mis en liberté, commettra une infraction criminelle ou nuira à l’administration de la justice;</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c</w:t>
      </w:r>
      <w:r w:rsidRPr="00EB5449">
        <w:rPr>
          <w:szCs w:val="24"/>
          <w:lang w:val="fr-FR"/>
        </w:rPr>
        <w:t xml:space="preserve">) sa </w:t>
      </w:r>
      <w:r w:rsidRPr="00C535A2">
        <w:rPr>
          <w:szCs w:val="24"/>
          <w:lang w:val="fr-CA"/>
        </w:rPr>
        <w:t>détention</w:t>
      </w:r>
      <w:r w:rsidRPr="00EB5449">
        <w:rPr>
          <w:szCs w:val="24"/>
          <w:lang w:val="fr-FR"/>
        </w:rPr>
        <w:t xml:space="preserve"> est nécessaire pour ne pas miner la confiance du public envers l’administration de la justice, compte tenu de toutes les circonstances, notamment les suivantes</w:t>
      </w:r>
      <w:r>
        <w:rPr>
          <w:szCs w:val="24"/>
          <w:lang w:val="fr-FR"/>
        </w:rPr>
        <w:t> :</w:t>
      </w:r>
    </w:p>
    <w:p w:rsidR="00CE3216" w:rsidRPr="00EB5449" w:rsidRDefault="00CE3216" w:rsidP="003A7173">
      <w:pPr>
        <w:widowControl w:val="0"/>
        <w:spacing w:before="240" w:after="240"/>
        <w:ind w:left="2160"/>
        <w:jc w:val="both"/>
        <w:rPr>
          <w:szCs w:val="24"/>
          <w:lang w:val="fr-FR"/>
        </w:rPr>
      </w:pPr>
      <w:r w:rsidRPr="00EB5449">
        <w:rPr>
          <w:szCs w:val="24"/>
          <w:lang w:val="fr-FR"/>
        </w:rPr>
        <w:t xml:space="preserve">(i) le fait que </w:t>
      </w:r>
      <w:r w:rsidRPr="00C535A2">
        <w:rPr>
          <w:szCs w:val="24"/>
          <w:lang w:val="fr-CA"/>
        </w:rPr>
        <w:t>l’accusation</w:t>
      </w:r>
      <w:r w:rsidRPr="00EB5449">
        <w:rPr>
          <w:szCs w:val="24"/>
          <w:lang w:val="fr-FR"/>
        </w:rPr>
        <w:t xml:space="preserve"> paraît fondée,</w:t>
      </w:r>
    </w:p>
    <w:p w:rsidR="00CE3216" w:rsidRPr="00EB5449" w:rsidRDefault="00CE3216" w:rsidP="003A7173">
      <w:pPr>
        <w:widowControl w:val="0"/>
        <w:spacing w:before="240" w:after="240"/>
        <w:ind w:left="2160"/>
        <w:jc w:val="both"/>
        <w:rPr>
          <w:szCs w:val="24"/>
          <w:lang w:val="fr-FR"/>
        </w:rPr>
      </w:pPr>
      <w:r w:rsidRPr="00EB5449">
        <w:rPr>
          <w:szCs w:val="24"/>
          <w:lang w:val="fr-FR"/>
        </w:rPr>
        <w:t xml:space="preserve">(ii) la gravité de </w:t>
      </w:r>
      <w:r w:rsidRPr="00C535A2">
        <w:rPr>
          <w:szCs w:val="24"/>
          <w:lang w:val="fr-CA"/>
        </w:rPr>
        <w:t>l’infraction</w:t>
      </w:r>
      <w:r w:rsidRPr="00EB5449">
        <w:rPr>
          <w:szCs w:val="24"/>
          <w:lang w:val="fr-FR"/>
        </w:rPr>
        <w:t>,</w:t>
      </w:r>
    </w:p>
    <w:p w:rsidR="00CE3216" w:rsidRPr="00EB5449" w:rsidRDefault="00CE3216" w:rsidP="003A7173">
      <w:pPr>
        <w:widowControl w:val="0"/>
        <w:spacing w:before="240" w:after="240"/>
        <w:ind w:left="2160"/>
        <w:jc w:val="both"/>
        <w:rPr>
          <w:szCs w:val="24"/>
          <w:lang w:val="fr-FR"/>
        </w:rPr>
      </w:pPr>
      <w:r w:rsidRPr="00EB5449">
        <w:rPr>
          <w:szCs w:val="24"/>
          <w:lang w:val="fr-FR"/>
        </w:rPr>
        <w:t xml:space="preserve">(iii) les </w:t>
      </w:r>
      <w:r w:rsidRPr="00C535A2">
        <w:rPr>
          <w:szCs w:val="24"/>
          <w:lang w:val="fr-CA"/>
        </w:rPr>
        <w:t>circonstances</w:t>
      </w:r>
      <w:r w:rsidRPr="00EB5449">
        <w:rPr>
          <w:szCs w:val="24"/>
          <w:lang w:val="fr-FR"/>
        </w:rPr>
        <w:t xml:space="preserve"> entourant sa perpétration, y compris l’usage d’une arme à feu,</w:t>
      </w:r>
    </w:p>
    <w:p w:rsidR="00CE3216" w:rsidRPr="00EB5449" w:rsidRDefault="00CE3216" w:rsidP="007D5562">
      <w:pPr>
        <w:widowControl w:val="0"/>
        <w:spacing w:before="240" w:after="240"/>
        <w:ind w:left="2160"/>
        <w:jc w:val="both"/>
        <w:rPr>
          <w:szCs w:val="24"/>
          <w:lang w:val="fr-FR"/>
        </w:rPr>
      </w:pPr>
      <w:r w:rsidRPr="00EB5449">
        <w:rPr>
          <w:szCs w:val="24"/>
          <w:lang w:val="fr-FR"/>
        </w:rPr>
        <w:t>(iv) le fait que le prévenu encourt, en cas de condamnation, une longue peine d’emprisonnement ou, s’agissant d’une infraction mettant en jeu une arme à feu, une peine minimale d’emprisonnement d’au moins trois ans.</w:t>
      </w:r>
    </w:p>
    <w:p w:rsidR="00CE3216" w:rsidRPr="00EB5449" w:rsidRDefault="00CE3216" w:rsidP="003A7173">
      <w:pPr>
        <w:widowControl w:val="0"/>
        <w:tabs>
          <w:tab w:val="left" w:pos="1620"/>
        </w:tabs>
        <w:spacing w:after="240"/>
        <w:ind w:left="1170" w:firstLine="630"/>
        <w:jc w:val="both"/>
        <w:rPr>
          <w:szCs w:val="24"/>
          <w:lang w:val="fr-FR"/>
        </w:rPr>
      </w:pPr>
      <w:r w:rsidRPr="00EB5449">
        <w:rPr>
          <w:b/>
          <w:szCs w:val="24"/>
          <w:lang w:val="fr-FR"/>
        </w:rPr>
        <w:t>517.</w:t>
      </w:r>
      <w:r w:rsidRPr="00EB5449">
        <w:rPr>
          <w:szCs w:val="24"/>
          <w:lang w:val="fr-FR"/>
        </w:rPr>
        <w:t xml:space="preserve"> (1) Si </w:t>
      </w:r>
      <w:r w:rsidRPr="00C535A2">
        <w:rPr>
          <w:szCs w:val="24"/>
          <w:lang w:val="fr-CA"/>
        </w:rPr>
        <w:t>le</w:t>
      </w:r>
      <w:r w:rsidRPr="00EB5449">
        <w:rPr>
          <w:szCs w:val="24"/>
          <w:lang w:val="fr-FR"/>
        </w:rPr>
        <w:t xml:space="preserve"> poursuivant ou le prévenu déclare son intention de faire valoir des motifs justificatifs aux termes de l’article 515 au juge de paix, celui-ci peut et doit, sur demande du prévenu, avant le début des procédures engagées en vertu de cet article ou à tout moment au cours de celles-ci, rendre une ordonnance enjoignant que la preuve recueillie, les renseignements fournis ou les observations faites et, le cas échéant, les raisons données ou devant être données par le juge de paix, ne soient ni </w:t>
      </w:r>
      <w:r w:rsidRPr="00EB5449">
        <w:rPr>
          <w:szCs w:val="24"/>
          <w:lang w:val="fr-FR"/>
        </w:rPr>
        <w:lastRenderedPageBreak/>
        <w:t>publiés ni diffusés de quelque façon que ce soit</w:t>
      </w:r>
      <w:r>
        <w:rPr>
          <w:szCs w:val="24"/>
          <w:lang w:val="fr-FR"/>
        </w:rPr>
        <w:t> :</w:t>
      </w:r>
    </w:p>
    <w:p w:rsidR="00CE3216" w:rsidRPr="00EB5449" w:rsidRDefault="00CE3216" w:rsidP="003A7173">
      <w:pPr>
        <w:widowControl w:val="0"/>
        <w:spacing w:after="240"/>
        <w:ind w:left="1170" w:firstLine="630"/>
        <w:jc w:val="center"/>
        <w:rPr>
          <w:szCs w:val="24"/>
          <w:lang w:val="fr-FR"/>
        </w:rPr>
      </w:pPr>
      <w:r>
        <w:rPr>
          <w:szCs w:val="24"/>
          <w:lang w:val="fr-FR"/>
        </w:rPr>
        <w:t>. . .</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b</w:t>
      </w:r>
      <w:r w:rsidRPr="00EB5449">
        <w:rPr>
          <w:szCs w:val="24"/>
          <w:lang w:val="fr-FR"/>
        </w:rPr>
        <w:t>) si le prévenu auquel se rapportent les procédures subit son procès ou est renvoyé pour subir son procès, tant que le procès n’aura pas pris fin.</w:t>
      </w:r>
    </w:p>
    <w:p w:rsidR="00CE3216" w:rsidRPr="00EB5449" w:rsidRDefault="00CE3216" w:rsidP="003A7173">
      <w:pPr>
        <w:widowControl w:val="0"/>
        <w:spacing w:after="240"/>
        <w:ind w:left="1170" w:firstLine="630"/>
        <w:jc w:val="both"/>
        <w:rPr>
          <w:szCs w:val="24"/>
          <w:lang w:val="fr-FR"/>
        </w:rPr>
      </w:pPr>
      <w:r w:rsidRPr="00EB5449">
        <w:rPr>
          <w:b/>
          <w:szCs w:val="24"/>
          <w:lang w:val="fr-FR"/>
        </w:rPr>
        <w:t>520.</w:t>
      </w:r>
      <w:r w:rsidRPr="00EB5449">
        <w:rPr>
          <w:szCs w:val="24"/>
          <w:lang w:val="fr-FR"/>
        </w:rPr>
        <w:t xml:space="preserve"> (1) Le prévenu peut, en tout temps avant son procès sur l’inculpation, demander à un juge de réviser l’ordonnance rendue par un juge de paix ou un juge de la Cour de justice du Nunavut conformément aux paragraphes 515(2), (5), (6), (7), (8) ou (12), ou rendue ou annulée en vertu de l’alinéa 523(2)</w:t>
      </w:r>
      <w:r w:rsidRPr="00EB5449">
        <w:rPr>
          <w:i/>
          <w:szCs w:val="24"/>
          <w:lang w:val="fr-FR"/>
        </w:rPr>
        <w:t>b</w:t>
      </w:r>
      <w:r w:rsidRPr="00EB5449">
        <w:rPr>
          <w:szCs w:val="24"/>
          <w:lang w:val="fr-FR"/>
        </w:rPr>
        <w:t>).</w:t>
      </w:r>
    </w:p>
    <w:p w:rsidR="00CE3216" w:rsidRPr="00EB5449" w:rsidRDefault="00CE3216" w:rsidP="003A7173">
      <w:pPr>
        <w:widowControl w:val="0"/>
        <w:spacing w:after="240"/>
        <w:ind w:left="1170" w:firstLine="630"/>
        <w:jc w:val="both"/>
        <w:rPr>
          <w:szCs w:val="24"/>
          <w:lang w:val="fr-FR"/>
        </w:rPr>
      </w:pPr>
      <w:r w:rsidRPr="00EB5449">
        <w:rPr>
          <w:szCs w:val="24"/>
          <w:lang w:val="fr-FR"/>
        </w:rPr>
        <w:t>(2) Une demande en vertu du présent article ne peut, sauf si le poursuivant y consent, être entendue par un juge, à moins que le prévenu n’ait donné par écrit au poursuivant un préavis de la demande de deux jours francs au moins.</w:t>
      </w:r>
    </w:p>
    <w:p w:rsidR="00CE3216" w:rsidRPr="00EB5449" w:rsidRDefault="00CE3216" w:rsidP="003A7173">
      <w:pPr>
        <w:widowControl w:val="0"/>
        <w:spacing w:after="240"/>
        <w:ind w:left="1170" w:firstLine="630"/>
        <w:jc w:val="both"/>
        <w:rPr>
          <w:szCs w:val="24"/>
          <w:lang w:val="fr-FR"/>
        </w:rPr>
      </w:pPr>
      <w:r w:rsidRPr="00EB5449">
        <w:rPr>
          <w:szCs w:val="24"/>
          <w:lang w:val="fr-FR"/>
        </w:rPr>
        <w:t>(3) Si le juge l’ordonne ou si le poursuivant, le prévenu ou son avocat le demande, le prévenu doit être présent à l’audition d’une demande en vertu du présent article et, lorsque le prévenu est sous garde, le juge peut ordonner, par écrit, à la personne ayant la garde du prévenu, de l’amener devant le tribunal.</w:t>
      </w:r>
    </w:p>
    <w:p w:rsidR="00CE3216" w:rsidRPr="00EB5449" w:rsidRDefault="00CE3216" w:rsidP="003A7173">
      <w:pPr>
        <w:widowControl w:val="0"/>
        <w:spacing w:after="240"/>
        <w:ind w:left="1170" w:firstLine="630"/>
        <w:jc w:val="both"/>
        <w:rPr>
          <w:szCs w:val="24"/>
          <w:lang w:val="fr-FR"/>
        </w:rPr>
      </w:pPr>
      <w:r w:rsidRPr="00EB5449">
        <w:rPr>
          <w:szCs w:val="24"/>
          <w:lang w:val="fr-FR"/>
        </w:rPr>
        <w:t>(4) Un juge peut, avant le début de l’audition d’une demande en vertu du présent article ou à tout moment au cours de cette audition, ajourner les procédures sur demande du poursuivant ou du prévenu, mais si le prévenu est sous garde, un tel ajournement ne peut jamais être de plus de trois jours francs sauf avec le consentement du prévenu.</w:t>
      </w:r>
    </w:p>
    <w:p w:rsidR="00CE3216" w:rsidRPr="00EB5449" w:rsidRDefault="00CE3216" w:rsidP="003A7173">
      <w:pPr>
        <w:widowControl w:val="0"/>
        <w:spacing w:after="240"/>
        <w:ind w:left="1170" w:firstLine="630"/>
        <w:jc w:val="both"/>
        <w:rPr>
          <w:szCs w:val="24"/>
          <w:lang w:val="fr-FR"/>
        </w:rPr>
      </w:pPr>
      <w:r w:rsidRPr="00EB5449">
        <w:rPr>
          <w:szCs w:val="24"/>
          <w:lang w:val="fr-FR"/>
        </w:rPr>
        <w:t>(5) Lorsqu’un prévenu, autre qu’un prévenu qui est sous garde, a reçu d’un juge l’ordre d’être présent à l’audition d’une demande en vertu du présent article et n’est pas présent à l’audition, le juge peut décerner un mandat pour l’arrestation du prévenu.</w:t>
      </w:r>
    </w:p>
    <w:p w:rsidR="00CE3216" w:rsidRPr="00EB5449" w:rsidRDefault="00CE3216" w:rsidP="003A7173">
      <w:pPr>
        <w:widowControl w:val="0"/>
        <w:spacing w:after="240"/>
        <w:ind w:left="1170" w:firstLine="630"/>
        <w:jc w:val="both"/>
        <w:rPr>
          <w:szCs w:val="24"/>
          <w:lang w:val="fr-FR"/>
        </w:rPr>
      </w:pPr>
      <w:r w:rsidRPr="00EB5449">
        <w:rPr>
          <w:szCs w:val="24"/>
          <w:lang w:val="fr-FR"/>
        </w:rPr>
        <w:t>(6) Un mandat décerné en vertu du paragraphe (5) peut être exécuté n’importe où au Canada.</w:t>
      </w:r>
    </w:p>
    <w:p w:rsidR="00CE3216" w:rsidRPr="00EB5449" w:rsidRDefault="00CE3216" w:rsidP="003A7173">
      <w:pPr>
        <w:widowControl w:val="0"/>
        <w:spacing w:after="240"/>
        <w:ind w:left="1170" w:firstLine="630"/>
        <w:jc w:val="both"/>
        <w:rPr>
          <w:szCs w:val="24"/>
          <w:lang w:val="fr-FR"/>
        </w:rPr>
      </w:pPr>
      <w:r w:rsidRPr="00EB5449">
        <w:rPr>
          <w:szCs w:val="24"/>
          <w:lang w:val="fr-FR"/>
        </w:rPr>
        <w:t>(7) Lors de l’audition d’une demande en vertu du présent article, le juge peut examiner</w:t>
      </w:r>
      <w:r>
        <w:rPr>
          <w:szCs w:val="24"/>
          <w:lang w:val="fr-FR"/>
        </w:rPr>
        <w:t> :</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a</w:t>
      </w:r>
      <w:r w:rsidRPr="00EB5449">
        <w:rPr>
          <w:szCs w:val="24"/>
          <w:lang w:val="fr-FR"/>
        </w:rPr>
        <w:t>) la transcription, s’il en est, des procédures entendues par le juge de paix et par un juge qui a déjà révisé l’ordonnance rendue par le juge de paix;</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b</w:t>
      </w:r>
      <w:r w:rsidRPr="00EB5449">
        <w:rPr>
          <w:szCs w:val="24"/>
          <w:lang w:val="fr-FR"/>
        </w:rPr>
        <w:t xml:space="preserve">) les pièces, s’il en est, déposées au cours des procédures devant </w:t>
      </w:r>
      <w:r w:rsidRPr="00EB5449">
        <w:rPr>
          <w:szCs w:val="24"/>
          <w:lang w:val="fr-FR"/>
        </w:rPr>
        <w:lastRenderedPageBreak/>
        <w:t>le juge de paix;</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c</w:t>
      </w:r>
      <w:r w:rsidRPr="00EB5449">
        <w:rPr>
          <w:szCs w:val="24"/>
          <w:lang w:val="fr-FR"/>
        </w:rPr>
        <w:t>) les autres preuves ou pièces que le prévenu ou le poursuivant peuvent présenter,</w:t>
      </w:r>
    </w:p>
    <w:p w:rsidR="00CE3216" w:rsidRPr="00EB5449" w:rsidRDefault="00CE3216" w:rsidP="003A7173">
      <w:pPr>
        <w:widowControl w:val="0"/>
        <w:spacing w:after="240"/>
        <w:ind w:left="1170"/>
        <w:jc w:val="both"/>
        <w:rPr>
          <w:szCs w:val="24"/>
          <w:lang w:val="fr-FR"/>
        </w:rPr>
      </w:pPr>
      <w:r w:rsidRPr="00EB5449">
        <w:rPr>
          <w:szCs w:val="24"/>
          <w:lang w:val="fr-FR"/>
        </w:rPr>
        <w:t>et il doit</w:t>
      </w:r>
      <w:r>
        <w:rPr>
          <w:szCs w:val="24"/>
          <w:lang w:val="fr-FR"/>
        </w:rPr>
        <w:t> :</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d</w:t>
      </w:r>
      <w:r w:rsidRPr="00EB5449">
        <w:rPr>
          <w:szCs w:val="24"/>
          <w:lang w:val="fr-FR"/>
        </w:rPr>
        <w:t>) soit rejeter la demande;</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e</w:t>
      </w:r>
      <w:r w:rsidRPr="00EB5449">
        <w:rPr>
          <w:szCs w:val="24"/>
          <w:lang w:val="fr-FR"/>
        </w:rPr>
        <w:t>) soit, si le prévenu fait valoir des motifs justifiant de le faire, accueillir la demande, annuler l’ordonnance antérieurement rendue par le juge de paix et rendre toute autre ordonnance prévue à l’article 515, qu’il estime justifiée.</w:t>
      </w:r>
    </w:p>
    <w:p w:rsidR="00CE3216" w:rsidRPr="00EB5449" w:rsidRDefault="00CE3216" w:rsidP="003A7173">
      <w:pPr>
        <w:widowControl w:val="0"/>
        <w:spacing w:after="240"/>
        <w:ind w:left="1170" w:firstLine="630"/>
        <w:jc w:val="both"/>
        <w:rPr>
          <w:szCs w:val="24"/>
          <w:lang w:val="fr-FR"/>
        </w:rPr>
      </w:pPr>
      <w:r w:rsidRPr="00EB5449">
        <w:rPr>
          <w:szCs w:val="24"/>
          <w:lang w:val="fr-FR"/>
        </w:rPr>
        <w:t>(8) Lorsqu’une demande en vertu du présent article ou de l’article 521 a été entendue, il ne peut être fait de nouvelle demande ou d’autre demande en vertu du présent article ou de l’article 521 relativement au même prévenu, sauf avec l’autorisation d’un juge, avant l’expiration d’un délai de trente jours à partir de la date de la décision du juge qui a entendu la demande précédente.</w:t>
      </w:r>
    </w:p>
    <w:p w:rsidR="00CE3216" w:rsidRPr="00EB5449" w:rsidRDefault="00CE3216" w:rsidP="003A7173">
      <w:pPr>
        <w:pStyle w:val="ContinueParaSuitedupar-AltP"/>
        <w:widowControl w:val="0"/>
        <w:spacing w:before="0" w:after="240" w:line="240" w:lineRule="auto"/>
        <w:ind w:left="1170" w:firstLine="630"/>
        <w:rPr>
          <w:rFonts w:cs="Times New Roman"/>
        </w:rPr>
      </w:pPr>
      <w:r w:rsidRPr="00EB5449">
        <w:rPr>
          <w:rFonts w:cs="Times New Roman"/>
          <w:szCs w:val="24"/>
          <w:lang w:val="fr-FR"/>
        </w:rPr>
        <w:t>(9) Les articles 517, 518 et 519 s’appliquent, compte tenu des adaptations de circonstance, à l’égard d’une demande en vertu du présent article.</w:t>
      </w:r>
    </w:p>
    <w:p w:rsidR="00CE3216" w:rsidRPr="00EB5449" w:rsidRDefault="00CE3216" w:rsidP="003A7173">
      <w:pPr>
        <w:widowControl w:val="0"/>
        <w:tabs>
          <w:tab w:val="left" w:pos="1620"/>
        </w:tabs>
        <w:spacing w:after="240"/>
        <w:ind w:left="1170" w:firstLine="630"/>
        <w:jc w:val="both"/>
        <w:rPr>
          <w:szCs w:val="24"/>
          <w:lang w:val="fr-FR"/>
        </w:rPr>
      </w:pPr>
      <w:r w:rsidRPr="00EB5449">
        <w:rPr>
          <w:b/>
          <w:szCs w:val="24"/>
          <w:lang w:val="fr-FR"/>
        </w:rPr>
        <w:t>521.</w:t>
      </w:r>
      <w:r w:rsidRPr="00EB5449">
        <w:rPr>
          <w:szCs w:val="24"/>
          <w:lang w:val="fr-FR"/>
        </w:rPr>
        <w:t xml:space="preserve"> (1) Le poursuivant peut, en tout temps avant le procès sur l’inculpation, demander à un juge de réviser l’ordonnance rendue par un juge de paix ou un juge de la Cour de justice du Nunavut conformément aux paragraphes 515(1), (2), (7), (8) ou (12), ou rendue ou annulée en vertu de l’alinéa 523(2)</w:t>
      </w:r>
      <w:r w:rsidRPr="00EB5449">
        <w:rPr>
          <w:i/>
          <w:szCs w:val="24"/>
          <w:lang w:val="fr-FR"/>
        </w:rPr>
        <w:t>b</w:t>
      </w:r>
      <w:r w:rsidRPr="00EB5449">
        <w:rPr>
          <w:szCs w:val="24"/>
          <w:lang w:val="fr-FR"/>
        </w:rPr>
        <w:t>).</w:t>
      </w:r>
    </w:p>
    <w:p w:rsidR="00CE3216" w:rsidRPr="00EB5449" w:rsidRDefault="00CE3216" w:rsidP="003A7173">
      <w:pPr>
        <w:widowControl w:val="0"/>
        <w:tabs>
          <w:tab w:val="left" w:pos="1620"/>
        </w:tabs>
        <w:spacing w:after="240"/>
        <w:ind w:left="1170" w:firstLine="630"/>
        <w:jc w:val="both"/>
        <w:rPr>
          <w:szCs w:val="24"/>
          <w:lang w:val="fr-FR"/>
        </w:rPr>
      </w:pPr>
      <w:r w:rsidRPr="00EB5449">
        <w:rPr>
          <w:szCs w:val="24"/>
          <w:lang w:val="fr-FR"/>
        </w:rPr>
        <w:t>(2) Une demande en vertu du présent article ne peut être entendue par un juge à moins que le poursuivant n’ait donné par écrit au prévenu un préavis de la demande de deux jours francs au moins.</w:t>
      </w:r>
    </w:p>
    <w:p w:rsidR="00CE3216" w:rsidRPr="00EB5449" w:rsidRDefault="00CE3216" w:rsidP="003A7173">
      <w:pPr>
        <w:widowControl w:val="0"/>
        <w:tabs>
          <w:tab w:val="left" w:pos="1620"/>
        </w:tabs>
        <w:spacing w:after="240"/>
        <w:ind w:left="1170" w:firstLine="630"/>
        <w:jc w:val="both"/>
        <w:rPr>
          <w:szCs w:val="24"/>
          <w:lang w:val="fr-FR"/>
        </w:rPr>
      </w:pPr>
      <w:r w:rsidRPr="00EB5449">
        <w:rPr>
          <w:szCs w:val="24"/>
          <w:lang w:val="fr-FR"/>
        </w:rPr>
        <w:t>(3) Si le juge l’ordonne ou si le poursuivant, le prévenu ou son avocat le demande, le prévenu doit être présent à l’audition d’une demande en vertu du présent article et, lorsque le prévenu est sous garde, le juge peut ordonner, par écrit, à la personne ayant la garde du prévenu, de l’amener devant le tribunal.</w:t>
      </w:r>
    </w:p>
    <w:p w:rsidR="00CE3216" w:rsidRPr="00EB5449" w:rsidRDefault="00CE3216" w:rsidP="003A7173">
      <w:pPr>
        <w:widowControl w:val="0"/>
        <w:tabs>
          <w:tab w:val="left" w:pos="1620"/>
        </w:tabs>
        <w:spacing w:after="240"/>
        <w:ind w:left="1170" w:firstLine="630"/>
        <w:jc w:val="both"/>
        <w:rPr>
          <w:szCs w:val="24"/>
          <w:lang w:val="fr-FR"/>
        </w:rPr>
      </w:pPr>
      <w:r w:rsidRPr="00EB5449">
        <w:rPr>
          <w:szCs w:val="24"/>
          <w:lang w:val="fr-FR"/>
        </w:rPr>
        <w:t>(4) Un juge peut, avant le début de l’audition d’une demande en vertu du présent article ou à tout moment au cours de cette audition, ajourner les procédures sur demande du poursuivant ou du prévenu, mais si le prévenu est sous garde, un tel ajournement ne peut jamais être de plus de trois jours francs sauf avec le consentement du prévenu.</w:t>
      </w:r>
    </w:p>
    <w:p w:rsidR="00CE3216" w:rsidRPr="00EB5449" w:rsidRDefault="00CE3216" w:rsidP="003A7173">
      <w:pPr>
        <w:widowControl w:val="0"/>
        <w:tabs>
          <w:tab w:val="left" w:pos="1620"/>
        </w:tabs>
        <w:spacing w:after="240"/>
        <w:ind w:left="1170" w:firstLine="630"/>
        <w:jc w:val="both"/>
        <w:rPr>
          <w:szCs w:val="24"/>
          <w:lang w:val="fr-FR"/>
        </w:rPr>
      </w:pPr>
      <w:r w:rsidRPr="00EB5449">
        <w:rPr>
          <w:szCs w:val="24"/>
          <w:lang w:val="fr-FR"/>
        </w:rPr>
        <w:lastRenderedPageBreak/>
        <w:t>(5) Lorsqu’un prévenu, autre qu’un prévenu qui est sous garde, a reçu d’un juge l’ordre d’être présent à l’audition d’une demande en vertu du présent article et n’est pas présent à l’audition, le juge peut décerner un mandat pour l’arrestation du prévenu.</w:t>
      </w:r>
    </w:p>
    <w:p w:rsidR="00CE3216" w:rsidRPr="00EB5449" w:rsidRDefault="00CE3216" w:rsidP="003A7173">
      <w:pPr>
        <w:widowControl w:val="0"/>
        <w:tabs>
          <w:tab w:val="left" w:pos="1620"/>
        </w:tabs>
        <w:spacing w:after="240"/>
        <w:ind w:left="1170" w:firstLine="630"/>
        <w:jc w:val="both"/>
        <w:rPr>
          <w:szCs w:val="24"/>
          <w:lang w:val="fr-FR"/>
        </w:rPr>
      </w:pPr>
      <w:r w:rsidRPr="00EB5449">
        <w:rPr>
          <w:szCs w:val="24"/>
          <w:lang w:val="fr-FR"/>
        </w:rPr>
        <w:t>(6) Lorsque, en application de l’alinéa (8)</w:t>
      </w:r>
      <w:r w:rsidRPr="00EB5449">
        <w:rPr>
          <w:i/>
          <w:szCs w:val="24"/>
          <w:lang w:val="fr-FR"/>
        </w:rPr>
        <w:t>e</w:t>
      </w:r>
      <w:r w:rsidRPr="00EB5449">
        <w:rPr>
          <w:szCs w:val="24"/>
          <w:lang w:val="fr-FR"/>
        </w:rPr>
        <w:t>), le juge rend une ordonnance enjoignant que le prévenu soit détenu sous garde jusqu’à ce qu’il soit traité selon la loi, il décerne, si le prévenu n’est pas sous garde, un mandat de dépôt pour l’internement du prévenu.</w:t>
      </w:r>
    </w:p>
    <w:p w:rsidR="00CE3216" w:rsidRPr="00EB5449" w:rsidRDefault="00CE3216" w:rsidP="003A7173">
      <w:pPr>
        <w:widowControl w:val="0"/>
        <w:tabs>
          <w:tab w:val="left" w:pos="1620"/>
        </w:tabs>
        <w:spacing w:after="240"/>
        <w:ind w:left="1170" w:firstLine="630"/>
        <w:jc w:val="both"/>
        <w:rPr>
          <w:szCs w:val="24"/>
          <w:lang w:val="fr-FR"/>
        </w:rPr>
      </w:pPr>
      <w:r w:rsidRPr="00EB5449">
        <w:rPr>
          <w:szCs w:val="24"/>
          <w:lang w:val="fr-FR"/>
        </w:rPr>
        <w:t>(7) Un mandat décerné en vertu du paragraphe (5) ou (6) peut être exécuté n’importe où au Canada.</w:t>
      </w:r>
    </w:p>
    <w:p w:rsidR="00CE3216" w:rsidRPr="00EB5449" w:rsidRDefault="00CE3216" w:rsidP="003A7173">
      <w:pPr>
        <w:widowControl w:val="0"/>
        <w:tabs>
          <w:tab w:val="left" w:pos="1620"/>
        </w:tabs>
        <w:spacing w:after="240"/>
        <w:ind w:left="1170" w:firstLine="630"/>
        <w:jc w:val="both"/>
        <w:rPr>
          <w:szCs w:val="24"/>
          <w:lang w:val="fr-FR"/>
        </w:rPr>
      </w:pPr>
      <w:r w:rsidRPr="00EB5449">
        <w:rPr>
          <w:szCs w:val="24"/>
          <w:lang w:val="fr-FR"/>
        </w:rPr>
        <w:t>(8) Lors de l’audition d’une demande en vertu du présent article, le juge peut examiner</w:t>
      </w:r>
      <w:r>
        <w:rPr>
          <w:szCs w:val="24"/>
          <w:lang w:val="fr-FR"/>
        </w:rPr>
        <w:t> :</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a</w:t>
      </w:r>
      <w:r w:rsidRPr="00EB5449">
        <w:rPr>
          <w:szCs w:val="24"/>
          <w:lang w:val="fr-FR"/>
        </w:rPr>
        <w:t>) la transcription, s’il en est, des procédures entendues par le juge de paix et par un juge qui a déjà révisé l’ordonnance rendue par le juge de paix;</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b</w:t>
      </w:r>
      <w:r w:rsidRPr="00EB5449">
        <w:rPr>
          <w:szCs w:val="24"/>
          <w:lang w:val="fr-FR"/>
        </w:rPr>
        <w:t>) les pièces, s’il en est, déposées au cours des procédures devant le juge de paix;</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c</w:t>
      </w:r>
      <w:r w:rsidRPr="00EB5449">
        <w:rPr>
          <w:szCs w:val="24"/>
          <w:lang w:val="fr-FR"/>
        </w:rPr>
        <w:t>) les autres preuves ou pièces que le poursuivant ou le prévenu peuvent présenter,</w:t>
      </w:r>
    </w:p>
    <w:p w:rsidR="00CE3216" w:rsidRPr="00EB5449" w:rsidRDefault="00CE3216" w:rsidP="003A7173">
      <w:pPr>
        <w:widowControl w:val="0"/>
        <w:tabs>
          <w:tab w:val="left" w:pos="1620"/>
        </w:tabs>
        <w:spacing w:after="240"/>
        <w:ind w:left="1170"/>
        <w:jc w:val="both"/>
        <w:rPr>
          <w:szCs w:val="24"/>
          <w:lang w:val="fr-FR"/>
        </w:rPr>
      </w:pPr>
      <w:r w:rsidRPr="00EB5449">
        <w:rPr>
          <w:szCs w:val="24"/>
          <w:lang w:val="fr-FR"/>
        </w:rPr>
        <w:t>et il doit</w:t>
      </w:r>
      <w:r>
        <w:rPr>
          <w:szCs w:val="24"/>
          <w:lang w:val="fr-FR"/>
        </w:rPr>
        <w:t> :</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d</w:t>
      </w:r>
      <w:r w:rsidRPr="00EB5449">
        <w:rPr>
          <w:szCs w:val="24"/>
          <w:lang w:val="fr-FR"/>
        </w:rPr>
        <w:t>) soit rejeter la demande;</w:t>
      </w:r>
    </w:p>
    <w:p w:rsidR="00CE3216" w:rsidRPr="00EB5449" w:rsidRDefault="00CE3216" w:rsidP="003A7173">
      <w:pPr>
        <w:widowControl w:val="0"/>
        <w:tabs>
          <w:tab w:val="left" w:pos="1800"/>
        </w:tabs>
        <w:spacing w:before="240" w:after="240"/>
        <w:ind w:left="1800"/>
        <w:jc w:val="both"/>
        <w:rPr>
          <w:szCs w:val="24"/>
          <w:lang w:val="fr-FR"/>
        </w:rPr>
      </w:pPr>
      <w:r w:rsidRPr="00EB5449">
        <w:rPr>
          <w:i/>
          <w:szCs w:val="24"/>
          <w:lang w:val="fr-FR"/>
        </w:rPr>
        <w:t>e</w:t>
      </w:r>
      <w:r w:rsidRPr="00EB5449">
        <w:rPr>
          <w:szCs w:val="24"/>
          <w:lang w:val="fr-FR"/>
        </w:rPr>
        <w:t>) soit, si le poursuivant fait valoir des motifs justifiant de le faire, accueillir la demande, annuler l’ordonnance antérieurement rendue par le juge de paix et rendre toute autre ordonnance prévue à l’article 515, qu’il estime justifiée.</w:t>
      </w:r>
    </w:p>
    <w:p w:rsidR="00CE3216" w:rsidRPr="00EB5449" w:rsidRDefault="00CE3216" w:rsidP="003A7173">
      <w:pPr>
        <w:widowControl w:val="0"/>
        <w:tabs>
          <w:tab w:val="left" w:pos="1620"/>
        </w:tabs>
        <w:spacing w:after="240"/>
        <w:ind w:left="1170" w:firstLine="630"/>
        <w:jc w:val="both"/>
        <w:rPr>
          <w:szCs w:val="24"/>
          <w:lang w:val="fr-FR"/>
        </w:rPr>
      </w:pPr>
      <w:r w:rsidRPr="00EB5449">
        <w:rPr>
          <w:szCs w:val="24"/>
          <w:lang w:val="fr-FR"/>
        </w:rPr>
        <w:t>(9) Lorsqu’une demande en vertu du présent article ou de l’article 520 a été entendue, il ne peut être fait de nouvelle demande ou d’autre demande en vertu du présent article ou de l’article 520 relativement au même prévenu, sauf avec l’autorisation d’un juge, avant l’expiration d’un délai de trente jours à partir de la date de la décision du juge qui a entendu la demande précédente.</w:t>
      </w:r>
    </w:p>
    <w:p w:rsidR="00CE3216" w:rsidRPr="00EB5449" w:rsidRDefault="00CE3216" w:rsidP="003A7173">
      <w:pPr>
        <w:widowControl w:val="0"/>
        <w:tabs>
          <w:tab w:val="left" w:pos="1620"/>
        </w:tabs>
        <w:spacing w:after="240"/>
        <w:ind w:left="1170" w:firstLine="630"/>
        <w:jc w:val="both"/>
        <w:rPr>
          <w:szCs w:val="24"/>
          <w:lang w:val="fr-FR"/>
        </w:rPr>
      </w:pPr>
    </w:p>
    <w:p w:rsidR="00CE3216" w:rsidRPr="00EB5449" w:rsidRDefault="00CE3216" w:rsidP="003A7173">
      <w:pPr>
        <w:widowControl w:val="0"/>
        <w:tabs>
          <w:tab w:val="left" w:pos="1620"/>
        </w:tabs>
        <w:spacing w:after="240"/>
        <w:ind w:left="1170" w:firstLine="630"/>
        <w:jc w:val="both"/>
        <w:rPr>
          <w:szCs w:val="24"/>
          <w:lang w:val="fr-FR"/>
        </w:rPr>
      </w:pPr>
      <w:r w:rsidRPr="00EB5449">
        <w:rPr>
          <w:szCs w:val="24"/>
          <w:lang w:val="fr-FR"/>
        </w:rPr>
        <w:t>(10) Les articles 517, 518 et 519 s’appliquent, compte tenu des adaptations de circonstance, à l’égard d’une demande en vertu du présent article.</w:t>
      </w:r>
    </w:p>
    <w:p w:rsidR="004D7D95" w:rsidRPr="00CF55F6" w:rsidRDefault="004D7D95" w:rsidP="00CE3216">
      <w:pPr>
        <w:pStyle w:val="SCCNormalDoubleSpacing"/>
        <w:widowControl w:val="0"/>
        <w:spacing w:before="480" w:after="480"/>
        <w:rPr>
          <w:lang w:val="fr-CA"/>
        </w:rPr>
      </w:pPr>
      <w:r w:rsidRPr="00CF55F6">
        <w:rPr>
          <w:lang w:val="fr-CA"/>
        </w:rPr>
        <w:lastRenderedPageBreak/>
        <w:tab/>
      </w:r>
      <w:r w:rsidR="00115479">
        <w:rPr>
          <w:i/>
          <w:lang w:val="fr-CA"/>
        </w:rPr>
        <w:t>Pourvoi accueilli</w:t>
      </w:r>
      <w:r w:rsidR="008F6B14" w:rsidRPr="00CF55F6">
        <w:rPr>
          <w:i/>
          <w:lang w:val="fr-CA"/>
        </w:rPr>
        <w:t>.</w:t>
      </w:r>
    </w:p>
    <w:p w:rsidR="008F6B14" w:rsidRPr="00CF55F6" w:rsidRDefault="008F6B14" w:rsidP="00CE3216">
      <w:pPr>
        <w:pStyle w:val="SCCLawFirm"/>
        <w:widowControl w:val="0"/>
        <w:spacing w:before="480" w:after="480"/>
        <w:rPr>
          <w:lang w:val="fr-CA"/>
        </w:rPr>
      </w:pPr>
      <w:r w:rsidRPr="00CF55F6">
        <w:rPr>
          <w:lang w:val="fr-CA"/>
        </w:rPr>
        <w:tab/>
        <w:t>Procureur de l’appelante</w:t>
      </w:r>
      <w:r w:rsidR="00CE3216">
        <w:rPr>
          <w:lang w:val="fr-CA"/>
        </w:rPr>
        <w:t xml:space="preserve"> : </w:t>
      </w:r>
      <w:r w:rsidRPr="00CF55F6">
        <w:rPr>
          <w:lang w:val="fr-CA"/>
        </w:rPr>
        <w:t>Poursuites criminelles et pénales du Québec, Montréal.</w:t>
      </w:r>
    </w:p>
    <w:p w:rsidR="008F6B14" w:rsidRPr="00CF55F6" w:rsidRDefault="008F6B14" w:rsidP="00CE3216">
      <w:pPr>
        <w:pStyle w:val="SCCLawFirm"/>
        <w:widowControl w:val="0"/>
        <w:spacing w:before="480" w:after="480"/>
        <w:rPr>
          <w:lang w:val="fr-CA"/>
        </w:rPr>
      </w:pPr>
      <w:r w:rsidRPr="00CF55F6">
        <w:rPr>
          <w:lang w:val="fr-CA"/>
        </w:rPr>
        <w:tab/>
        <w:t>Procureurs de l’intimé</w:t>
      </w:r>
      <w:r w:rsidR="00CE3216">
        <w:rPr>
          <w:lang w:val="fr-CA"/>
        </w:rPr>
        <w:t xml:space="preserve"> : </w:t>
      </w:r>
      <w:r w:rsidRPr="00CF55F6">
        <w:rPr>
          <w:lang w:val="fr-CA"/>
        </w:rPr>
        <w:t>André Lapointe, Montréal; Guylaine Tardif, Montréal.</w:t>
      </w:r>
    </w:p>
    <w:p w:rsidR="008F6B14" w:rsidRPr="00CF55F6" w:rsidRDefault="008F6B14" w:rsidP="00CE3216">
      <w:pPr>
        <w:pStyle w:val="SCCLawFirm"/>
        <w:widowControl w:val="0"/>
        <w:spacing w:before="480" w:after="480"/>
        <w:rPr>
          <w:lang w:val="fr-CA"/>
        </w:rPr>
      </w:pPr>
      <w:r w:rsidRPr="00CF55F6">
        <w:rPr>
          <w:lang w:val="fr-CA"/>
        </w:rPr>
        <w:tab/>
        <w:t>Procureur de l’intervenant le procureur général de l’Ontario</w:t>
      </w:r>
      <w:r w:rsidR="00CE3216">
        <w:rPr>
          <w:lang w:val="fr-CA"/>
        </w:rPr>
        <w:t xml:space="preserve"> : </w:t>
      </w:r>
      <w:r w:rsidRPr="00CF55F6">
        <w:rPr>
          <w:lang w:val="fr-CA"/>
        </w:rPr>
        <w:t>Procureur général de l’Ontario, Toronto.</w:t>
      </w:r>
    </w:p>
    <w:p w:rsidR="008F6B14" w:rsidRPr="00CF55F6" w:rsidRDefault="008F6B14" w:rsidP="00CE3216">
      <w:pPr>
        <w:pStyle w:val="SCCLawFirm"/>
        <w:widowControl w:val="0"/>
        <w:spacing w:before="480" w:after="480"/>
        <w:rPr>
          <w:lang w:val="fr-CA"/>
        </w:rPr>
      </w:pPr>
      <w:r w:rsidRPr="00CF55F6">
        <w:rPr>
          <w:lang w:val="fr-CA"/>
        </w:rPr>
        <w:tab/>
        <w:t>Procureurs de l’intervenante Criminal Lawyers’ Association (Ontario)</w:t>
      </w:r>
      <w:r w:rsidR="00CE3216">
        <w:rPr>
          <w:lang w:val="fr-CA"/>
        </w:rPr>
        <w:t xml:space="preserve"> : </w:t>
      </w:r>
      <w:r w:rsidRPr="00CF55F6">
        <w:rPr>
          <w:lang w:val="fr-CA"/>
        </w:rPr>
        <w:t>John Norris, Toronto; Henein Hutchison, Toronto.</w:t>
      </w:r>
    </w:p>
    <w:p w:rsidR="009B57B3" w:rsidRDefault="008F6B14" w:rsidP="00CE3216">
      <w:pPr>
        <w:pStyle w:val="SCCItalic"/>
        <w:widowControl w:val="0"/>
        <w:rPr>
          <w:b/>
          <w:i w:val="0"/>
          <w:lang w:val="fr-CA"/>
        </w:rPr>
      </w:pPr>
      <w:r w:rsidRPr="00CF55F6">
        <w:rPr>
          <w:lang w:val="fr-CA"/>
        </w:rPr>
        <w:tab/>
        <w:t xml:space="preserve">Procureurs de l’intervenante </w:t>
      </w:r>
      <w:r w:rsidRPr="00CF55F6">
        <w:rPr>
          <w:rStyle w:val="SCCCounselPartyRoleChar"/>
          <w:lang w:val="fr-CA"/>
        </w:rPr>
        <w:t>l’</w:t>
      </w:r>
      <w:r w:rsidRPr="00C45EB1">
        <w:rPr>
          <w:lang w:val="fr-CA"/>
        </w:rPr>
        <w:t>Association canadienne des libertés civiles</w:t>
      </w:r>
      <w:r w:rsidR="00CE3216">
        <w:rPr>
          <w:lang w:val="fr-CA"/>
        </w:rPr>
        <w:t xml:space="preserve"> : </w:t>
      </w:r>
      <w:r w:rsidRPr="00CF55F6">
        <w:rPr>
          <w:lang w:val="fr-CA"/>
        </w:rPr>
        <w:t>Kapoor Barristers, Toronto.</w:t>
      </w:r>
    </w:p>
    <w:p w:rsidR="00CE3216" w:rsidRPr="00CE3216" w:rsidRDefault="00CE3216" w:rsidP="00CE3216">
      <w:pPr>
        <w:pStyle w:val="SCCNormalDoubleSpacing"/>
        <w:widowControl w:val="0"/>
        <w:rPr>
          <w:lang w:val="fr-CA"/>
        </w:rPr>
      </w:pPr>
    </w:p>
    <w:sectPr w:rsidR="00CE3216" w:rsidRPr="00CE3216"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E1" w:rsidRDefault="00382CE1">
      <w:r>
        <w:separator/>
      </w:r>
    </w:p>
  </w:endnote>
  <w:endnote w:type="continuationSeparator" w:id="0">
    <w:p w:rsidR="00382CE1" w:rsidRDefault="0038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BC" w:rsidRDefault="00DC0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BC" w:rsidRDefault="00DC0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BC" w:rsidRDefault="00DC0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E1" w:rsidRDefault="00382CE1">
      <w:r>
        <w:separator/>
      </w:r>
    </w:p>
  </w:footnote>
  <w:footnote w:type="continuationSeparator" w:id="0">
    <w:p w:rsidR="00382CE1" w:rsidRDefault="00382CE1">
      <w:r>
        <w:continuationSeparator/>
      </w:r>
    </w:p>
  </w:footnote>
  <w:footnote w:id="1">
    <w:p w:rsidR="00382CE1" w:rsidRPr="00082A51" w:rsidRDefault="00382CE1" w:rsidP="00EF6864">
      <w:pPr>
        <w:pStyle w:val="FootnoteText"/>
        <w:ind w:left="270" w:hanging="270"/>
        <w:jc w:val="both"/>
        <w:rPr>
          <w:lang w:val="fr-CA"/>
        </w:rPr>
      </w:pPr>
      <w:r>
        <w:rPr>
          <w:rStyle w:val="FootnoteReference"/>
        </w:rPr>
        <w:footnoteRef/>
      </w:r>
      <w:r w:rsidRPr="00082A51">
        <w:rPr>
          <w:lang w:val="fr-CA"/>
        </w:rPr>
        <w:t xml:space="preserve"> </w:t>
      </w:r>
      <w:r>
        <w:rPr>
          <w:lang w:val="fr-CA"/>
        </w:rPr>
        <w:tab/>
        <w:t>Le juge Lavergne a prononcé une interdiction de publication en vertu de l’al. 517(1</w:t>
      </w:r>
      <w:r w:rsidR="004364EE">
        <w:rPr>
          <w:lang w:val="fr-CA"/>
        </w:rPr>
        <w:t>)</w:t>
      </w:r>
      <w:r w:rsidRPr="00382CE1">
        <w:rPr>
          <w:i/>
          <w:lang w:val="fr-CA"/>
        </w:rPr>
        <w:t>b</w:t>
      </w:r>
      <w:r>
        <w:rPr>
          <w:lang w:val="fr-CA"/>
        </w:rPr>
        <w:t xml:space="preserve">) du </w:t>
      </w:r>
      <w:r w:rsidRPr="00382CE1">
        <w:rPr>
          <w:i/>
          <w:lang w:val="fr-CA"/>
        </w:rPr>
        <w:t>Code criminel</w:t>
      </w:r>
      <w:r>
        <w:rPr>
          <w:lang w:val="fr-CA"/>
        </w:rPr>
        <w:t xml:space="preserve"> (voir </w:t>
      </w:r>
      <w:r w:rsidR="004364EE">
        <w:rPr>
          <w:lang w:val="fr-CA"/>
        </w:rPr>
        <w:t>l’</w:t>
      </w:r>
      <w:r>
        <w:rPr>
          <w:lang w:val="fr-CA"/>
        </w:rPr>
        <w:t xml:space="preserve">annexe) le 26 avril 2013. </w:t>
      </w:r>
      <w:r w:rsidRPr="00082A51">
        <w:rPr>
          <w:lang w:val="fr-CA"/>
        </w:rPr>
        <w:t xml:space="preserve">Je note que personne n’a soulevé la question de </w:t>
      </w:r>
      <w:r>
        <w:rPr>
          <w:lang w:val="fr-CA"/>
        </w:rPr>
        <w:t xml:space="preserve">cette </w:t>
      </w:r>
      <w:r w:rsidRPr="00082A51">
        <w:rPr>
          <w:lang w:val="fr-CA"/>
        </w:rPr>
        <w:t>interdiction de publication dans le cadre du pourvoi, et je ne considère pas que l’al. 517(1)</w:t>
      </w:r>
      <w:r w:rsidRPr="00082A51">
        <w:rPr>
          <w:i/>
          <w:lang w:val="fr-CA"/>
        </w:rPr>
        <w:t>b</w:t>
      </w:r>
      <w:r w:rsidRPr="00082A51">
        <w:rPr>
          <w:lang w:val="fr-CA"/>
        </w:rPr>
        <w:t>) a pour effet d’empêcher la Cour de publier les présents motifs dans le Recueil des arrêts de la Cour suprême et de les mettre en ligne conformément à sa pratique habituelle.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BC" w:rsidRDefault="00DC0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E1" w:rsidRPr="00450352" w:rsidRDefault="00382CE1"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BC" w:rsidRDefault="00DC0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abstractNum w:abstractNumId="0" w15:restartNumberingAfterBreak="0">
    <w:nsid w:val="08112381"/>
    <w:multiLevelType w:val="hybridMultilevel"/>
    <w:tmpl w:val="A52E7F5A"/>
    <w:lvl w:ilvl="0" w:tplc="FFFFFFFF">
      <w:start w:val="1"/>
      <w:numFmt w:val="bullet"/>
      <w:lvlText w:val=""/>
      <w:lvlJc w:val="left"/>
      <w:pPr>
        <w:ind w:left="3052" w:hanging="360"/>
      </w:pPr>
      <w:rPr>
        <w:rFonts w:ascii="Symbol" w:hAnsi="Symbol" w:hint="default"/>
      </w:rPr>
    </w:lvl>
    <w:lvl w:ilvl="1" w:tplc="04090001">
      <w:start w:val="1"/>
      <w:numFmt w:val="bullet"/>
      <w:lvlText w:val=""/>
      <w:lvlJc w:val="left"/>
      <w:pPr>
        <w:ind w:left="2606" w:hanging="360"/>
      </w:pPr>
      <w:rPr>
        <w:rFonts w:ascii="Symbol" w:hAnsi="Symbol"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085B31CD"/>
    <w:multiLevelType w:val="hybridMultilevel"/>
    <w:tmpl w:val="CE48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C2D"/>
    <w:multiLevelType w:val="multilevel"/>
    <w:tmpl w:val="9A9824B6"/>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BD05AA"/>
    <w:multiLevelType w:val="hybridMultilevel"/>
    <w:tmpl w:val="D2FA658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5" w15:restartNumberingAfterBreak="0">
    <w:nsid w:val="1FAF31A9"/>
    <w:multiLevelType w:val="hybridMultilevel"/>
    <w:tmpl w:val="9F5C0154"/>
    <w:lvl w:ilvl="0" w:tplc="A3A22EDE">
      <w:start w:val="1"/>
      <w:numFmt w:val="decimal"/>
      <w:lvlText w:val="%1."/>
      <w:lvlJc w:val="left"/>
      <w:pPr>
        <w:ind w:left="720" w:hanging="360"/>
      </w:pPr>
    </w:lvl>
    <w:lvl w:ilvl="1" w:tplc="617C4612" w:tentative="1">
      <w:start w:val="1"/>
      <w:numFmt w:val="lowerLetter"/>
      <w:lvlText w:val="%2."/>
      <w:lvlJc w:val="left"/>
      <w:pPr>
        <w:ind w:left="1440" w:hanging="360"/>
      </w:pPr>
    </w:lvl>
    <w:lvl w:ilvl="2" w:tplc="A05EACB8" w:tentative="1">
      <w:start w:val="1"/>
      <w:numFmt w:val="lowerRoman"/>
      <w:lvlText w:val="%3."/>
      <w:lvlJc w:val="right"/>
      <w:pPr>
        <w:ind w:left="2160" w:hanging="180"/>
      </w:pPr>
    </w:lvl>
    <w:lvl w:ilvl="3" w:tplc="A098915E" w:tentative="1">
      <w:start w:val="1"/>
      <w:numFmt w:val="decimal"/>
      <w:lvlText w:val="%4."/>
      <w:lvlJc w:val="left"/>
      <w:pPr>
        <w:ind w:left="2880" w:hanging="360"/>
      </w:pPr>
    </w:lvl>
    <w:lvl w:ilvl="4" w:tplc="60E824EC" w:tentative="1">
      <w:start w:val="1"/>
      <w:numFmt w:val="lowerLetter"/>
      <w:lvlText w:val="%5."/>
      <w:lvlJc w:val="left"/>
      <w:pPr>
        <w:ind w:left="3600" w:hanging="360"/>
      </w:pPr>
    </w:lvl>
    <w:lvl w:ilvl="5" w:tplc="B5A86D70" w:tentative="1">
      <w:start w:val="1"/>
      <w:numFmt w:val="lowerRoman"/>
      <w:lvlText w:val="%6."/>
      <w:lvlJc w:val="right"/>
      <w:pPr>
        <w:ind w:left="4320" w:hanging="180"/>
      </w:pPr>
    </w:lvl>
    <w:lvl w:ilvl="6" w:tplc="F228A058" w:tentative="1">
      <w:start w:val="1"/>
      <w:numFmt w:val="decimal"/>
      <w:lvlText w:val="%7."/>
      <w:lvlJc w:val="left"/>
      <w:pPr>
        <w:ind w:left="5040" w:hanging="360"/>
      </w:pPr>
    </w:lvl>
    <w:lvl w:ilvl="7" w:tplc="EE2CB2FE" w:tentative="1">
      <w:start w:val="1"/>
      <w:numFmt w:val="lowerLetter"/>
      <w:lvlText w:val="%8."/>
      <w:lvlJc w:val="left"/>
      <w:pPr>
        <w:ind w:left="5760" w:hanging="360"/>
      </w:pPr>
    </w:lvl>
    <w:lvl w:ilvl="8" w:tplc="4EC2E284" w:tentative="1">
      <w:start w:val="1"/>
      <w:numFmt w:val="lowerRoman"/>
      <w:lvlText w:val="%9."/>
      <w:lvlJc w:val="right"/>
      <w:pPr>
        <w:ind w:left="6480" w:hanging="180"/>
      </w:pPr>
    </w:lvl>
  </w:abstractNum>
  <w:abstractNum w:abstractNumId="6" w15:restartNumberingAfterBreak="0">
    <w:nsid w:val="207600DB"/>
    <w:multiLevelType w:val="hybridMultilevel"/>
    <w:tmpl w:val="0018173A"/>
    <w:lvl w:ilvl="0" w:tplc="36EA3046">
      <w:start w:val="1"/>
      <w:numFmt w:val="bullet"/>
      <w:lvlText w:val=""/>
      <w:lvlJc w:val="left"/>
      <w:pPr>
        <w:ind w:left="1886" w:hanging="360"/>
      </w:pPr>
      <w:rPr>
        <w:rFonts w:ascii="Symbol" w:hAnsi="Symbol" w:hint="default"/>
      </w:rPr>
    </w:lvl>
    <w:lvl w:ilvl="1" w:tplc="54E68DD0" w:tentative="1">
      <w:start w:val="1"/>
      <w:numFmt w:val="bullet"/>
      <w:lvlText w:val="o"/>
      <w:lvlJc w:val="left"/>
      <w:pPr>
        <w:ind w:left="2606" w:hanging="360"/>
      </w:pPr>
      <w:rPr>
        <w:rFonts w:ascii="Courier New" w:hAnsi="Courier New" w:cs="Courier New" w:hint="default"/>
      </w:rPr>
    </w:lvl>
    <w:lvl w:ilvl="2" w:tplc="EF1211D0" w:tentative="1">
      <w:start w:val="1"/>
      <w:numFmt w:val="bullet"/>
      <w:lvlText w:val=""/>
      <w:lvlJc w:val="left"/>
      <w:pPr>
        <w:ind w:left="3326" w:hanging="360"/>
      </w:pPr>
      <w:rPr>
        <w:rFonts w:ascii="Wingdings" w:hAnsi="Wingdings" w:hint="default"/>
      </w:rPr>
    </w:lvl>
    <w:lvl w:ilvl="3" w:tplc="D3644020" w:tentative="1">
      <w:start w:val="1"/>
      <w:numFmt w:val="bullet"/>
      <w:lvlText w:val=""/>
      <w:lvlJc w:val="left"/>
      <w:pPr>
        <w:ind w:left="4046" w:hanging="360"/>
      </w:pPr>
      <w:rPr>
        <w:rFonts w:ascii="Symbol" w:hAnsi="Symbol" w:hint="default"/>
      </w:rPr>
    </w:lvl>
    <w:lvl w:ilvl="4" w:tplc="9F74C83E" w:tentative="1">
      <w:start w:val="1"/>
      <w:numFmt w:val="bullet"/>
      <w:lvlText w:val="o"/>
      <w:lvlJc w:val="left"/>
      <w:pPr>
        <w:ind w:left="4766" w:hanging="360"/>
      </w:pPr>
      <w:rPr>
        <w:rFonts w:ascii="Courier New" w:hAnsi="Courier New" w:cs="Courier New" w:hint="default"/>
      </w:rPr>
    </w:lvl>
    <w:lvl w:ilvl="5" w:tplc="A6D02788" w:tentative="1">
      <w:start w:val="1"/>
      <w:numFmt w:val="bullet"/>
      <w:lvlText w:val=""/>
      <w:lvlJc w:val="left"/>
      <w:pPr>
        <w:ind w:left="5486" w:hanging="360"/>
      </w:pPr>
      <w:rPr>
        <w:rFonts w:ascii="Wingdings" w:hAnsi="Wingdings" w:hint="default"/>
      </w:rPr>
    </w:lvl>
    <w:lvl w:ilvl="6" w:tplc="F39AEC20" w:tentative="1">
      <w:start w:val="1"/>
      <w:numFmt w:val="bullet"/>
      <w:lvlText w:val=""/>
      <w:lvlJc w:val="left"/>
      <w:pPr>
        <w:ind w:left="6206" w:hanging="360"/>
      </w:pPr>
      <w:rPr>
        <w:rFonts w:ascii="Symbol" w:hAnsi="Symbol" w:hint="default"/>
      </w:rPr>
    </w:lvl>
    <w:lvl w:ilvl="7" w:tplc="16AC142E" w:tentative="1">
      <w:start w:val="1"/>
      <w:numFmt w:val="bullet"/>
      <w:lvlText w:val="o"/>
      <w:lvlJc w:val="left"/>
      <w:pPr>
        <w:ind w:left="6926" w:hanging="360"/>
      </w:pPr>
      <w:rPr>
        <w:rFonts w:ascii="Courier New" w:hAnsi="Courier New" w:cs="Courier New" w:hint="default"/>
      </w:rPr>
    </w:lvl>
    <w:lvl w:ilvl="8" w:tplc="65003C7C" w:tentative="1">
      <w:start w:val="1"/>
      <w:numFmt w:val="bullet"/>
      <w:lvlText w:val=""/>
      <w:lvlJc w:val="left"/>
      <w:pPr>
        <w:ind w:left="7646" w:hanging="360"/>
      </w:pPr>
      <w:rPr>
        <w:rFonts w:ascii="Wingdings" w:hAnsi="Wingdings" w:hint="default"/>
      </w:rPr>
    </w:lvl>
  </w:abstractNum>
  <w:abstractNum w:abstractNumId="7" w15:restartNumberingAfterBreak="0">
    <w:nsid w:val="23813D98"/>
    <w:multiLevelType w:val="hybridMultilevel"/>
    <w:tmpl w:val="818C5B66"/>
    <w:lvl w:ilvl="0" w:tplc="1009000F">
      <w:start w:val="1"/>
      <w:numFmt w:val="bullet"/>
      <w:lvlText w:val=""/>
      <w:lvlJc w:val="left"/>
      <w:pPr>
        <w:ind w:left="720" w:hanging="360"/>
      </w:pPr>
      <w:rPr>
        <w:rFonts w:ascii="Symbol" w:hAnsi="Symbol" w:hint="default"/>
      </w:rPr>
    </w:lvl>
    <w:lvl w:ilvl="1" w:tplc="10090019">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8" w15:restartNumberingAfterBreak="0">
    <w:nsid w:val="2B4C3F71"/>
    <w:multiLevelType w:val="hybridMultilevel"/>
    <w:tmpl w:val="377CD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CD4B02"/>
    <w:multiLevelType w:val="hybridMultilevel"/>
    <w:tmpl w:val="1C565CE0"/>
    <w:lvl w:ilvl="0" w:tplc="0409000F">
      <w:start w:val="1"/>
      <w:numFmt w:val="decimal"/>
      <w:lvlText w:val="%1."/>
      <w:lvlJc w:val="left"/>
      <w:pPr>
        <w:ind w:left="1526" w:hanging="360"/>
      </w:pPr>
      <w:rPr>
        <w:rFonts w:hint="default"/>
      </w:rPr>
    </w:lvl>
    <w:lvl w:ilvl="1" w:tplc="04090003" w:tentative="1">
      <w:start w:val="1"/>
      <w:numFmt w:val="lowerLetter"/>
      <w:lvlText w:val="%2."/>
      <w:lvlJc w:val="left"/>
      <w:pPr>
        <w:ind w:left="2246" w:hanging="360"/>
      </w:pPr>
    </w:lvl>
    <w:lvl w:ilvl="2" w:tplc="04090005" w:tentative="1">
      <w:start w:val="1"/>
      <w:numFmt w:val="lowerRoman"/>
      <w:lvlText w:val="%3."/>
      <w:lvlJc w:val="right"/>
      <w:pPr>
        <w:ind w:left="2966" w:hanging="180"/>
      </w:pPr>
    </w:lvl>
    <w:lvl w:ilvl="3" w:tplc="04090001" w:tentative="1">
      <w:start w:val="1"/>
      <w:numFmt w:val="decimal"/>
      <w:lvlText w:val="%4."/>
      <w:lvlJc w:val="left"/>
      <w:pPr>
        <w:ind w:left="3686" w:hanging="360"/>
      </w:pPr>
    </w:lvl>
    <w:lvl w:ilvl="4" w:tplc="04090003" w:tentative="1">
      <w:start w:val="1"/>
      <w:numFmt w:val="lowerLetter"/>
      <w:lvlText w:val="%5."/>
      <w:lvlJc w:val="left"/>
      <w:pPr>
        <w:ind w:left="4406" w:hanging="360"/>
      </w:pPr>
    </w:lvl>
    <w:lvl w:ilvl="5" w:tplc="04090005" w:tentative="1">
      <w:start w:val="1"/>
      <w:numFmt w:val="lowerRoman"/>
      <w:lvlText w:val="%6."/>
      <w:lvlJc w:val="right"/>
      <w:pPr>
        <w:ind w:left="5126" w:hanging="180"/>
      </w:pPr>
    </w:lvl>
    <w:lvl w:ilvl="6" w:tplc="04090001" w:tentative="1">
      <w:start w:val="1"/>
      <w:numFmt w:val="decimal"/>
      <w:lvlText w:val="%7."/>
      <w:lvlJc w:val="left"/>
      <w:pPr>
        <w:ind w:left="5846" w:hanging="360"/>
      </w:pPr>
    </w:lvl>
    <w:lvl w:ilvl="7" w:tplc="04090003" w:tentative="1">
      <w:start w:val="1"/>
      <w:numFmt w:val="lowerLetter"/>
      <w:lvlText w:val="%8."/>
      <w:lvlJc w:val="left"/>
      <w:pPr>
        <w:ind w:left="6566" w:hanging="360"/>
      </w:pPr>
    </w:lvl>
    <w:lvl w:ilvl="8" w:tplc="04090005" w:tentative="1">
      <w:start w:val="1"/>
      <w:numFmt w:val="lowerRoman"/>
      <w:lvlText w:val="%9."/>
      <w:lvlJc w:val="right"/>
      <w:pPr>
        <w:ind w:left="7286" w:hanging="180"/>
      </w:pPr>
    </w:lvl>
  </w:abstractNum>
  <w:abstractNum w:abstractNumId="10" w15:restartNumberingAfterBreak="0">
    <w:nsid w:val="32355A33"/>
    <w:multiLevelType w:val="multilevel"/>
    <w:tmpl w:val="405A0D4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D2210"/>
    <w:multiLevelType w:val="hybridMultilevel"/>
    <w:tmpl w:val="D4B248EA"/>
    <w:lvl w:ilvl="0" w:tplc="5BEA83D0">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2" w15:restartNumberingAfterBreak="0">
    <w:nsid w:val="32D66918"/>
    <w:multiLevelType w:val="hybridMultilevel"/>
    <w:tmpl w:val="323A66BA"/>
    <w:lvl w:ilvl="0" w:tplc="2C46F898">
      <w:start w:val="1"/>
      <w:numFmt w:val="bullet"/>
      <w:lvlText w:val=""/>
      <w:lvlJc w:val="left"/>
      <w:pPr>
        <w:ind w:left="720" w:hanging="360"/>
      </w:pPr>
      <w:rPr>
        <w:rFonts w:ascii="Symbol" w:hAnsi="Symbol" w:hint="default"/>
      </w:rPr>
    </w:lvl>
    <w:lvl w:ilvl="1" w:tplc="A8DC8578" w:tentative="1">
      <w:start w:val="1"/>
      <w:numFmt w:val="bullet"/>
      <w:lvlText w:val="o"/>
      <w:lvlJc w:val="left"/>
      <w:pPr>
        <w:ind w:left="1440" w:hanging="360"/>
      </w:pPr>
      <w:rPr>
        <w:rFonts w:ascii="Courier New" w:hAnsi="Courier New" w:cs="Courier New" w:hint="default"/>
      </w:rPr>
    </w:lvl>
    <w:lvl w:ilvl="2" w:tplc="E4D0BC9E" w:tentative="1">
      <w:start w:val="1"/>
      <w:numFmt w:val="bullet"/>
      <w:lvlText w:val=""/>
      <w:lvlJc w:val="left"/>
      <w:pPr>
        <w:ind w:left="2160" w:hanging="360"/>
      </w:pPr>
      <w:rPr>
        <w:rFonts w:ascii="Wingdings" w:hAnsi="Wingdings" w:hint="default"/>
      </w:rPr>
    </w:lvl>
    <w:lvl w:ilvl="3" w:tplc="9CF4C3E4" w:tentative="1">
      <w:start w:val="1"/>
      <w:numFmt w:val="bullet"/>
      <w:lvlText w:val=""/>
      <w:lvlJc w:val="left"/>
      <w:pPr>
        <w:ind w:left="2880" w:hanging="360"/>
      </w:pPr>
      <w:rPr>
        <w:rFonts w:ascii="Symbol" w:hAnsi="Symbol" w:hint="default"/>
      </w:rPr>
    </w:lvl>
    <w:lvl w:ilvl="4" w:tplc="7898EB38" w:tentative="1">
      <w:start w:val="1"/>
      <w:numFmt w:val="bullet"/>
      <w:lvlText w:val="o"/>
      <w:lvlJc w:val="left"/>
      <w:pPr>
        <w:ind w:left="3600" w:hanging="360"/>
      </w:pPr>
      <w:rPr>
        <w:rFonts w:ascii="Courier New" w:hAnsi="Courier New" w:cs="Courier New" w:hint="default"/>
      </w:rPr>
    </w:lvl>
    <w:lvl w:ilvl="5" w:tplc="758288E6" w:tentative="1">
      <w:start w:val="1"/>
      <w:numFmt w:val="bullet"/>
      <w:lvlText w:val=""/>
      <w:lvlJc w:val="left"/>
      <w:pPr>
        <w:ind w:left="4320" w:hanging="360"/>
      </w:pPr>
      <w:rPr>
        <w:rFonts w:ascii="Wingdings" w:hAnsi="Wingdings" w:hint="default"/>
      </w:rPr>
    </w:lvl>
    <w:lvl w:ilvl="6" w:tplc="44749D40" w:tentative="1">
      <w:start w:val="1"/>
      <w:numFmt w:val="bullet"/>
      <w:lvlText w:val=""/>
      <w:lvlJc w:val="left"/>
      <w:pPr>
        <w:ind w:left="5040" w:hanging="360"/>
      </w:pPr>
      <w:rPr>
        <w:rFonts w:ascii="Symbol" w:hAnsi="Symbol" w:hint="default"/>
      </w:rPr>
    </w:lvl>
    <w:lvl w:ilvl="7" w:tplc="1F80FDA8" w:tentative="1">
      <w:start w:val="1"/>
      <w:numFmt w:val="bullet"/>
      <w:lvlText w:val="o"/>
      <w:lvlJc w:val="left"/>
      <w:pPr>
        <w:ind w:left="5760" w:hanging="360"/>
      </w:pPr>
      <w:rPr>
        <w:rFonts w:ascii="Courier New" w:hAnsi="Courier New" w:cs="Courier New" w:hint="default"/>
      </w:rPr>
    </w:lvl>
    <w:lvl w:ilvl="8" w:tplc="D6D08B6C" w:tentative="1">
      <w:start w:val="1"/>
      <w:numFmt w:val="bullet"/>
      <w:lvlText w:val=""/>
      <w:lvlJc w:val="left"/>
      <w:pPr>
        <w:ind w:left="6480" w:hanging="360"/>
      </w:pPr>
      <w:rPr>
        <w:rFonts w:ascii="Wingdings" w:hAnsi="Wingdings" w:hint="default"/>
      </w:rPr>
    </w:lvl>
  </w:abstractNum>
  <w:abstractNum w:abstractNumId="13" w15:restartNumberingAfterBreak="0">
    <w:nsid w:val="337725FC"/>
    <w:multiLevelType w:val="hybridMultilevel"/>
    <w:tmpl w:val="D3F260DA"/>
    <w:lvl w:ilvl="0" w:tplc="04090001">
      <w:start w:val="1"/>
      <w:numFmt w:val="decimal"/>
      <w:lvlText w:val="%1-"/>
      <w:lvlJc w:val="left"/>
      <w:pPr>
        <w:ind w:left="1526" w:hanging="360"/>
      </w:pPr>
      <w:rPr>
        <w:rFonts w:hint="default"/>
      </w:rPr>
    </w:lvl>
    <w:lvl w:ilvl="1" w:tplc="04090003" w:tentative="1">
      <w:start w:val="1"/>
      <w:numFmt w:val="lowerLetter"/>
      <w:lvlText w:val="%2."/>
      <w:lvlJc w:val="left"/>
      <w:pPr>
        <w:ind w:left="2246" w:hanging="360"/>
      </w:pPr>
    </w:lvl>
    <w:lvl w:ilvl="2" w:tplc="04090005" w:tentative="1">
      <w:start w:val="1"/>
      <w:numFmt w:val="lowerRoman"/>
      <w:lvlText w:val="%3."/>
      <w:lvlJc w:val="right"/>
      <w:pPr>
        <w:ind w:left="2966" w:hanging="180"/>
      </w:pPr>
    </w:lvl>
    <w:lvl w:ilvl="3" w:tplc="04090001" w:tentative="1">
      <w:start w:val="1"/>
      <w:numFmt w:val="decimal"/>
      <w:lvlText w:val="%4."/>
      <w:lvlJc w:val="left"/>
      <w:pPr>
        <w:ind w:left="3686" w:hanging="360"/>
      </w:pPr>
    </w:lvl>
    <w:lvl w:ilvl="4" w:tplc="04090003" w:tentative="1">
      <w:start w:val="1"/>
      <w:numFmt w:val="lowerLetter"/>
      <w:lvlText w:val="%5."/>
      <w:lvlJc w:val="left"/>
      <w:pPr>
        <w:ind w:left="4406" w:hanging="360"/>
      </w:pPr>
    </w:lvl>
    <w:lvl w:ilvl="5" w:tplc="04090005" w:tentative="1">
      <w:start w:val="1"/>
      <w:numFmt w:val="lowerRoman"/>
      <w:lvlText w:val="%6."/>
      <w:lvlJc w:val="right"/>
      <w:pPr>
        <w:ind w:left="5126" w:hanging="180"/>
      </w:pPr>
    </w:lvl>
    <w:lvl w:ilvl="6" w:tplc="04090001" w:tentative="1">
      <w:start w:val="1"/>
      <w:numFmt w:val="decimal"/>
      <w:lvlText w:val="%7."/>
      <w:lvlJc w:val="left"/>
      <w:pPr>
        <w:ind w:left="5846" w:hanging="360"/>
      </w:pPr>
    </w:lvl>
    <w:lvl w:ilvl="7" w:tplc="04090003" w:tentative="1">
      <w:start w:val="1"/>
      <w:numFmt w:val="lowerLetter"/>
      <w:lvlText w:val="%8."/>
      <w:lvlJc w:val="left"/>
      <w:pPr>
        <w:ind w:left="6566" w:hanging="360"/>
      </w:pPr>
    </w:lvl>
    <w:lvl w:ilvl="8" w:tplc="04090005" w:tentative="1">
      <w:start w:val="1"/>
      <w:numFmt w:val="lowerRoman"/>
      <w:lvlText w:val="%9."/>
      <w:lvlJc w:val="right"/>
      <w:pPr>
        <w:ind w:left="7286" w:hanging="180"/>
      </w:pPr>
    </w:lvl>
  </w:abstractNum>
  <w:abstractNum w:abstractNumId="14" w15:restartNumberingAfterBreak="0">
    <w:nsid w:val="35FA759A"/>
    <w:multiLevelType w:val="multilevel"/>
    <w:tmpl w:val="E19A79F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35B4C"/>
    <w:multiLevelType w:val="hybridMultilevel"/>
    <w:tmpl w:val="0A50D9F4"/>
    <w:lvl w:ilvl="0" w:tplc="9B547D8C">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E5220D6"/>
    <w:multiLevelType w:val="hybridMultilevel"/>
    <w:tmpl w:val="B972BB3E"/>
    <w:lvl w:ilvl="0" w:tplc="62A8265C">
      <w:start w:val="1"/>
      <w:numFmt w:val="bullet"/>
      <w:lvlText w:val=""/>
      <w:lvlJc w:val="left"/>
      <w:pPr>
        <w:ind w:left="720" w:hanging="360"/>
      </w:pPr>
      <w:rPr>
        <w:rFonts w:ascii="Symbol" w:hAnsi="Symbol" w:hint="default"/>
      </w:rPr>
    </w:lvl>
    <w:lvl w:ilvl="1" w:tplc="FD2E7414">
      <w:start w:val="1"/>
      <w:numFmt w:val="bullet"/>
      <w:lvlText w:val=""/>
      <w:lvlJc w:val="left"/>
      <w:pPr>
        <w:ind w:left="1440" w:hanging="360"/>
      </w:pPr>
      <w:rPr>
        <w:rFonts w:ascii="Symbol" w:hAnsi="Symbol" w:hint="default"/>
      </w:rPr>
    </w:lvl>
    <w:lvl w:ilvl="2" w:tplc="B0E4917C" w:tentative="1">
      <w:start w:val="1"/>
      <w:numFmt w:val="bullet"/>
      <w:lvlText w:val=""/>
      <w:lvlJc w:val="left"/>
      <w:pPr>
        <w:ind w:left="2160" w:hanging="360"/>
      </w:pPr>
      <w:rPr>
        <w:rFonts w:ascii="Wingdings" w:hAnsi="Wingdings" w:hint="default"/>
      </w:rPr>
    </w:lvl>
    <w:lvl w:ilvl="3" w:tplc="CB62285A" w:tentative="1">
      <w:start w:val="1"/>
      <w:numFmt w:val="bullet"/>
      <w:lvlText w:val=""/>
      <w:lvlJc w:val="left"/>
      <w:pPr>
        <w:ind w:left="2880" w:hanging="360"/>
      </w:pPr>
      <w:rPr>
        <w:rFonts w:ascii="Symbol" w:hAnsi="Symbol" w:hint="default"/>
      </w:rPr>
    </w:lvl>
    <w:lvl w:ilvl="4" w:tplc="7FA09B86" w:tentative="1">
      <w:start w:val="1"/>
      <w:numFmt w:val="bullet"/>
      <w:lvlText w:val="o"/>
      <w:lvlJc w:val="left"/>
      <w:pPr>
        <w:ind w:left="3600" w:hanging="360"/>
      </w:pPr>
      <w:rPr>
        <w:rFonts w:ascii="Courier New" w:hAnsi="Courier New" w:cs="Courier New" w:hint="default"/>
      </w:rPr>
    </w:lvl>
    <w:lvl w:ilvl="5" w:tplc="D0D64260" w:tentative="1">
      <w:start w:val="1"/>
      <w:numFmt w:val="bullet"/>
      <w:lvlText w:val=""/>
      <w:lvlJc w:val="left"/>
      <w:pPr>
        <w:ind w:left="4320" w:hanging="360"/>
      </w:pPr>
      <w:rPr>
        <w:rFonts w:ascii="Wingdings" w:hAnsi="Wingdings" w:hint="default"/>
      </w:rPr>
    </w:lvl>
    <w:lvl w:ilvl="6" w:tplc="C31A3DF6" w:tentative="1">
      <w:start w:val="1"/>
      <w:numFmt w:val="bullet"/>
      <w:lvlText w:val=""/>
      <w:lvlJc w:val="left"/>
      <w:pPr>
        <w:ind w:left="5040" w:hanging="360"/>
      </w:pPr>
      <w:rPr>
        <w:rFonts w:ascii="Symbol" w:hAnsi="Symbol" w:hint="default"/>
      </w:rPr>
    </w:lvl>
    <w:lvl w:ilvl="7" w:tplc="8BE2C67C" w:tentative="1">
      <w:start w:val="1"/>
      <w:numFmt w:val="bullet"/>
      <w:lvlText w:val="o"/>
      <w:lvlJc w:val="left"/>
      <w:pPr>
        <w:ind w:left="5760" w:hanging="360"/>
      </w:pPr>
      <w:rPr>
        <w:rFonts w:ascii="Courier New" w:hAnsi="Courier New" w:cs="Courier New" w:hint="default"/>
      </w:rPr>
    </w:lvl>
    <w:lvl w:ilvl="8" w:tplc="3CDAEDE0" w:tentative="1">
      <w:start w:val="1"/>
      <w:numFmt w:val="bullet"/>
      <w:lvlText w:val=""/>
      <w:lvlJc w:val="left"/>
      <w:pPr>
        <w:ind w:left="6480" w:hanging="360"/>
      </w:pPr>
      <w:rPr>
        <w:rFonts w:ascii="Wingdings" w:hAnsi="Wingdings" w:hint="default"/>
      </w:rPr>
    </w:lvl>
  </w:abstractNum>
  <w:abstractNum w:abstractNumId="17" w15:restartNumberingAfterBreak="0">
    <w:nsid w:val="3F44646D"/>
    <w:multiLevelType w:val="hybridMultilevel"/>
    <w:tmpl w:val="3BB05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03130A"/>
    <w:multiLevelType w:val="multilevel"/>
    <w:tmpl w:val="38FC6D0A"/>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9" w15:restartNumberingAfterBreak="0">
    <w:nsid w:val="47DD3BB9"/>
    <w:multiLevelType w:val="hybridMultilevel"/>
    <w:tmpl w:val="BC188F6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0" w15:restartNumberingAfterBreak="0">
    <w:nsid w:val="4C035C40"/>
    <w:multiLevelType w:val="hybridMultilevel"/>
    <w:tmpl w:val="02E69B28"/>
    <w:lvl w:ilvl="0" w:tplc="05AACAAA">
      <w:numFmt w:val="bullet"/>
      <w:lvlText w:val="-"/>
      <w:lvlJc w:val="left"/>
      <w:pPr>
        <w:ind w:left="2868" w:hanging="360"/>
      </w:pPr>
      <w:rPr>
        <w:rFonts w:ascii="Times New Roman" w:eastAsia="Times New Roman" w:hAnsi="Times New Roman" w:cs="Times New Roman" w:hint="default"/>
      </w:rPr>
    </w:lvl>
    <w:lvl w:ilvl="1" w:tplc="80D04C3A" w:tentative="1">
      <w:start w:val="1"/>
      <w:numFmt w:val="bullet"/>
      <w:lvlText w:val="o"/>
      <w:lvlJc w:val="left"/>
      <w:pPr>
        <w:ind w:left="3588" w:hanging="360"/>
      </w:pPr>
      <w:rPr>
        <w:rFonts w:ascii="Courier New" w:hAnsi="Courier New" w:cs="Courier New" w:hint="default"/>
      </w:rPr>
    </w:lvl>
    <w:lvl w:ilvl="2" w:tplc="D72C4AAC" w:tentative="1">
      <w:start w:val="1"/>
      <w:numFmt w:val="bullet"/>
      <w:lvlText w:val=""/>
      <w:lvlJc w:val="left"/>
      <w:pPr>
        <w:ind w:left="4308" w:hanging="360"/>
      </w:pPr>
      <w:rPr>
        <w:rFonts w:ascii="Wingdings" w:hAnsi="Wingdings" w:hint="default"/>
      </w:rPr>
    </w:lvl>
    <w:lvl w:ilvl="3" w:tplc="1958B542" w:tentative="1">
      <w:start w:val="1"/>
      <w:numFmt w:val="bullet"/>
      <w:lvlText w:val=""/>
      <w:lvlJc w:val="left"/>
      <w:pPr>
        <w:ind w:left="5028" w:hanging="360"/>
      </w:pPr>
      <w:rPr>
        <w:rFonts w:ascii="Symbol" w:hAnsi="Symbol" w:hint="default"/>
      </w:rPr>
    </w:lvl>
    <w:lvl w:ilvl="4" w:tplc="2EEEEDE4" w:tentative="1">
      <w:start w:val="1"/>
      <w:numFmt w:val="bullet"/>
      <w:lvlText w:val="o"/>
      <w:lvlJc w:val="left"/>
      <w:pPr>
        <w:ind w:left="5748" w:hanging="360"/>
      </w:pPr>
      <w:rPr>
        <w:rFonts w:ascii="Courier New" w:hAnsi="Courier New" w:cs="Courier New" w:hint="default"/>
      </w:rPr>
    </w:lvl>
    <w:lvl w:ilvl="5" w:tplc="DCEE462A" w:tentative="1">
      <w:start w:val="1"/>
      <w:numFmt w:val="bullet"/>
      <w:lvlText w:val=""/>
      <w:lvlJc w:val="left"/>
      <w:pPr>
        <w:ind w:left="6468" w:hanging="360"/>
      </w:pPr>
      <w:rPr>
        <w:rFonts w:ascii="Wingdings" w:hAnsi="Wingdings" w:hint="default"/>
      </w:rPr>
    </w:lvl>
    <w:lvl w:ilvl="6" w:tplc="1AB4C974" w:tentative="1">
      <w:start w:val="1"/>
      <w:numFmt w:val="bullet"/>
      <w:lvlText w:val=""/>
      <w:lvlJc w:val="left"/>
      <w:pPr>
        <w:ind w:left="7188" w:hanging="360"/>
      </w:pPr>
      <w:rPr>
        <w:rFonts w:ascii="Symbol" w:hAnsi="Symbol" w:hint="default"/>
      </w:rPr>
    </w:lvl>
    <w:lvl w:ilvl="7" w:tplc="0804FA48" w:tentative="1">
      <w:start w:val="1"/>
      <w:numFmt w:val="bullet"/>
      <w:lvlText w:val="o"/>
      <w:lvlJc w:val="left"/>
      <w:pPr>
        <w:ind w:left="7908" w:hanging="360"/>
      </w:pPr>
      <w:rPr>
        <w:rFonts w:ascii="Courier New" w:hAnsi="Courier New" w:cs="Courier New" w:hint="default"/>
      </w:rPr>
    </w:lvl>
    <w:lvl w:ilvl="8" w:tplc="2D1278CA"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4D9631A2"/>
    <w:multiLevelType w:val="hybridMultilevel"/>
    <w:tmpl w:val="0B566364"/>
    <w:lvl w:ilvl="0" w:tplc="8FDA0F8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413229"/>
    <w:multiLevelType w:val="multilevel"/>
    <w:tmpl w:val="3AF666E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83EE8"/>
    <w:multiLevelType w:val="multilevel"/>
    <w:tmpl w:val="D980ACAC"/>
    <w:lvl w:ilvl="0">
      <w:start w:val="1"/>
      <w:numFmt w:val="decimal"/>
      <w:pStyle w:val="ParaNoNdepar-AltN"/>
      <w:lvlText w:val="[%1]"/>
      <w:lvlJc w:val="left"/>
      <w:pPr>
        <w:tabs>
          <w:tab w:val="num" w:pos="1152"/>
        </w:tabs>
        <w:ind w:left="0" w:firstLine="0"/>
      </w:pPr>
      <w:rPr>
        <w:rFonts w:ascii="Times New Roman" w:hAnsi="Times New Roman" w:hint="default"/>
        <w:b w:val="0"/>
        <w:i w:val="0"/>
        <w:iCs/>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04074"/>
    <w:multiLevelType w:val="hybridMultilevel"/>
    <w:tmpl w:val="FE26967E"/>
    <w:lvl w:ilvl="0" w:tplc="4D6479E4">
      <w:start w:val="1"/>
      <w:numFmt w:val="bullet"/>
      <w:lvlText w:val=""/>
      <w:lvlJc w:val="left"/>
      <w:pPr>
        <w:ind w:left="2160" w:hanging="360"/>
      </w:pPr>
      <w:rPr>
        <w:rFonts w:ascii="Symbol" w:hAnsi="Symbol" w:hint="default"/>
      </w:rPr>
    </w:lvl>
    <w:lvl w:ilvl="1" w:tplc="7E88B5FE" w:tentative="1">
      <w:start w:val="1"/>
      <w:numFmt w:val="bullet"/>
      <w:lvlText w:val="o"/>
      <w:lvlJc w:val="left"/>
      <w:pPr>
        <w:ind w:left="2880" w:hanging="360"/>
      </w:pPr>
      <w:rPr>
        <w:rFonts w:ascii="Courier New" w:hAnsi="Courier New" w:cs="Courier New" w:hint="default"/>
      </w:rPr>
    </w:lvl>
    <w:lvl w:ilvl="2" w:tplc="70D4F742" w:tentative="1">
      <w:start w:val="1"/>
      <w:numFmt w:val="bullet"/>
      <w:lvlText w:val=""/>
      <w:lvlJc w:val="left"/>
      <w:pPr>
        <w:ind w:left="3600" w:hanging="360"/>
      </w:pPr>
      <w:rPr>
        <w:rFonts w:ascii="Wingdings" w:hAnsi="Wingdings" w:hint="default"/>
      </w:rPr>
    </w:lvl>
    <w:lvl w:ilvl="3" w:tplc="680041CC" w:tentative="1">
      <w:start w:val="1"/>
      <w:numFmt w:val="bullet"/>
      <w:lvlText w:val=""/>
      <w:lvlJc w:val="left"/>
      <w:pPr>
        <w:ind w:left="4320" w:hanging="360"/>
      </w:pPr>
      <w:rPr>
        <w:rFonts w:ascii="Symbol" w:hAnsi="Symbol" w:hint="default"/>
      </w:rPr>
    </w:lvl>
    <w:lvl w:ilvl="4" w:tplc="7A1AC542" w:tentative="1">
      <w:start w:val="1"/>
      <w:numFmt w:val="bullet"/>
      <w:lvlText w:val="o"/>
      <w:lvlJc w:val="left"/>
      <w:pPr>
        <w:ind w:left="5040" w:hanging="360"/>
      </w:pPr>
      <w:rPr>
        <w:rFonts w:ascii="Courier New" w:hAnsi="Courier New" w:cs="Courier New" w:hint="default"/>
      </w:rPr>
    </w:lvl>
    <w:lvl w:ilvl="5" w:tplc="2DBE28A8" w:tentative="1">
      <w:start w:val="1"/>
      <w:numFmt w:val="bullet"/>
      <w:lvlText w:val=""/>
      <w:lvlJc w:val="left"/>
      <w:pPr>
        <w:ind w:left="5760" w:hanging="360"/>
      </w:pPr>
      <w:rPr>
        <w:rFonts w:ascii="Wingdings" w:hAnsi="Wingdings" w:hint="default"/>
      </w:rPr>
    </w:lvl>
    <w:lvl w:ilvl="6" w:tplc="237812F8" w:tentative="1">
      <w:start w:val="1"/>
      <w:numFmt w:val="bullet"/>
      <w:lvlText w:val=""/>
      <w:lvlJc w:val="left"/>
      <w:pPr>
        <w:ind w:left="6480" w:hanging="360"/>
      </w:pPr>
      <w:rPr>
        <w:rFonts w:ascii="Symbol" w:hAnsi="Symbol" w:hint="default"/>
      </w:rPr>
    </w:lvl>
    <w:lvl w:ilvl="7" w:tplc="07B4E7A0" w:tentative="1">
      <w:start w:val="1"/>
      <w:numFmt w:val="bullet"/>
      <w:lvlText w:val="o"/>
      <w:lvlJc w:val="left"/>
      <w:pPr>
        <w:ind w:left="7200" w:hanging="360"/>
      </w:pPr>
      <w:rPr>
        <w:rFonts w:ascii="Courier New" w:hAnsi="Courier New" w:cs="Courier New" w:hint="default"/>
      </w:rPr>
    </w:lvl>
    <w:lvl w:ilvl="8" w:tplc="728AB3C8" w:tentative="1">
      <w:start w:val="1"/>
      <w:numFmt w:val="bullet"/>
      <w:lvlText w:val=""/>
      <w:lvlJc w:val="left"/>
      <w:pPr>
        <w:ind w:left="7920" w:hanging="360"/>
      </w:pPr>
      <w:rPr>
        <w:rFonts w:ascii="Wingdings" w:hAnsi="Wingdings" w:hint="default"/>
      </w:rPr>
    </w:lvl>
  </w:abstractNum>
  <w:abstractNum w:abstractNumId="26" w15:restartNumberingAfterBreak="0">
    <w:nsid w:val="60236B69"/>
    <w:multiLevelType w:val="multilevel"/>
    <w:tmpl w:val="DB34EBB4"/>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31020C"/>
    <w:multiLevelType w:val="hybridMultilevel"/>
    <w:tmpl w:val="52F27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5A3A37"/>
    <w:multiLevelType w:val="hybridMultilevel"/>
    <w:tmpl w:val="F9CE0852"/>
    <w:lvl w:ilvl="0" w:tplc="F1E812FC">
      <w:start w:val="1"/>
      <w:numFmt w:val="bullet"/>
      <w:lvlText w:val=""/>
      <w:lvlJc w:val="left"/>
      <w:pPr>
        <w:ind w:left="2160" w:hanging="360"/>
      </w:pPr>
      <w:rPr>
        <w:rFonts w:ascii="Symbol" w:hAnsi="Symbol" w:hint="default"/>
      </w:rPr>
    </w:lvl>
    <w:lvl w:ilvl="1" w:tplc="C742C76A" w:tentative="1">
      <w:start w:val="1"/>
      <w:numFmt w:val="bullet"/>
      <w:lvlText w:val="o"/>
      <w:lvlJc w:val="left"/>
      <w:pPr>
        <w:ind w:left="2880" w:hanging="360"/>
      </w:pPr>
      <w:rPr>
        <w:rFonts w:ascii="Courier New" w:hAnsi="Courier New" w:cs="Courier New" w:hint="default"/>
      </w:rPr>
    </w:lvl>
    <w:lvl w:ilvl="2" w:tplc="BAD8A6DC" w:tentative="1">
      <w:start w:val="1"/>
      <w:numFmt w:val="bullet"/>
      <w:lvlText w:val=""/>
      <w:lvlJc w:val="left"/>
      <w:pPr>
        <w:ind w:left="3600" w:hanging="360"/>
      </w:pPr>
      <w:rPr>
        <w:rFonts w:ascii="Wingdings" w:hAnsi="Wingdings" w:hint="default"/>
      </w:rPr>
    </w:lvl>
    <w:lvl w:ilvl="3" w:tplc="F01AAFD8" w:tentative="1">
      <w:start w:val="1"/>
      <w:numFmt w:val="bullet"/>
      <w:lvlText w:val=""/>
      <w:lvlJc w:val="left"/>
      <w:pPr>
        <w:ind w:left="4320" w:hanging="360"/>
      </w:pPr>
      <w:rPr>
        <w:rFonts w:ascii="Symbol" w:hAnsi="Symbol" w:hint="default"/>
      </w:rPr>
    </w:lvl>
    <w:lvl w:ilvl="4" w:tplc="9C087806" w:tentative="1">
      <w:start w:val="1"/>
      <w:numFmt w:val="bullet"/>
      <w:lvlText w:val="o"/>
      <w:lvlJc w:val="left"/>
      <w:pPr>
        <w:ind w:left="5040" w:hanging="360"/>
      </w:pPr>
      <w:rPr>
        <w:rFonts w:ascii="Courier New" w:hAnsi="Courier New" w:cs="Courier New" w:hint="default"/>
      </w:rPr>
    </w:lvl>
    <w:lvl w:ilvl="5" w:tplc="D8945AF4" w:tentative="1">
      <w:start w:val="1"/>
      <w:numFmt w:val="bullet"/>
      <w:lvlText w:val=""/>
      <w:lvlJc w:val="left"/>
      <w:pPr>
        <w:ind w:left="5760" w:hanging="360"/>
      </w:pPr>
      <w:rPr>
        <w:rFonts w:ascii="Wingdings" w:hAnsi="Wingdings" w:hint="default"/>
      </w:rPr>
    </w:lvl>
    <w:lvl w:ilvl="6" w:tplc="C7BCF5E4" w:tentative="1">
      <w:start w:val="1"/>
      <w:numFmt w:val="bullet"/>
      <w:lvlText w:val=""/>
      <w:lvlJc w:val="left"/>
      <w:pPr>
        <w:ind w:left="6480" w:hanging="360"/>
      </w:pPr>
      <w:rPr>
        <w:rFonts w:ascii="Symbol" w:hAnsi="Symbol" w:hint="default"/>
      </w:rPr>
    </w:lvl>
    <w:lvl w:ilvl="7" w:tplc="D0A851FC" w:tentative="1">
      <w:start w:val="1"/>
      <w:numFmt w:val="bullet"/>
      <w:lvlText w:val="o"/>
      <w:lvlJc w:val="left"/>
      <w:pPr>
        <w:ind w:left="7200" w:hanging="360"/>
      </w:pPr>
      <w:rPr>
        <w:rFonts w:ascii="Courier New" w:hAnsi="Courier New" w:cs="Courier New" w:hint="default"/>
      </w:rPr>
    </w:lvl>
    <w:lvl w:ilvl="8" w:tplc="9C2CE19E" w:tentative="1">
      <w:start w:val="1"/>
      <w:numFmt w:val="bullet"/>
      <w:lvlText w:val=""/>
      <w:lvlJc w:val="left"/>
      <w:pPr>
        <w:ind w:left="7920" w:hanging="360"/>
      </w:pPr>
      <w:rPr>
        <w:rFonts w:ascii="Wingdings" w:hAnsi="Wingdings" w:hint="default"/>
      </w:rPr>
    </w:lvl>
  </w:abstractNum>
  <w:abstractNum w:abstractNumId="29" w15:restartNumberingAfterBreak="0">
    <w:nsid w:val="60A0253F"/>
    <w:multiLevelType w:val="hybridMultilevel"/>
    <w:tmpl w:val="46F6AA28"/>
    <w:lvl w:ilvl="0" w:tplc="FFFFFFFF">
      <w:start w:val="1"/>
      <w:numFmt w:val="bullet"/>
      <w:lvlText w:val=""/>
      <w:lvlJc w:val="left"/>
      <w:pPr>
        <w:ind w:left="3052"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15:restartNumberingAfterBreak="0">
    <w:nsid w:val="655E1740"/>
    <w:multiLevelType w:val="hybridMultilevel"/>
    <w:tmpl w:val="535EC1AC"/>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660A483E"/>
    <w:multiLevelType w:val="hybridMultilevel"/>
    <w:tmpl w:val="F8A229A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7334DC3"/>
    <w:multiLevelType w:val="hybridMultilevel"/>
    <w:tmpl w:val="FD8ECC9A"/>
    <w:lvl w:ilvl="0" w:tplc="1009000F">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33" w15:restartNumberingAfterBreak="0">
    <w:nsid w:val="697A3A6E"/>
    <w:multiLevelType w:val="hybridMultilevel"/>
    <w:tmpl w:val="8FB0D380"/>
    <w:lvl w:ilvl="0" w:tplc="A31610C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710F240F"/>
    <w:multiLevelType w:val="hybridMultilevel"/>
    <w:tmpl w:val="A65A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
  </w:num>
  <w:num w:numId="4">
    <w:abstractNumId w:val="20"/>
  </w:num>
  <w:num w:numId="5">
    <w:abstractNumId w:val="21"/>
  </w:num>
  <w:num w:numId="6">
    <w:abstractNumId w:val="24"/>
  </w:num>
  <w:num w:numId="7">
    <w:abstractNumId w:val="18"/>
  </w:num>
  <w:num w:numId="8">
    <w:abstractNumId w:val="15"/>
  </w:num>
  <w:num w:numId="9">
    <w:abstractNumId w:val="33"/>
  </w:num>
  <w:num w:numId="10">
    <w:abstractNumId w:val="8"/>
  </w:num>
  <w:num w:numId="11">
    <w:abstractNumId w:val="28"/>
  </w:num>
  <w:num w:numId="12">
    <w:abstractNumId w:val="11"/>
  </w:num>
  <w:num w:numId="13">
    <w:abstractNumId w:val="27"/>
  </w:num>
  <w:num w:numId="14">
    <w:abstractNumId w:val="25"/>
  </w:num>
  <w:num w:numId="15">
    <w:abstractNumId w:val="17"/>
  </w:num>
  <w:num w:numId="16">
    <w:abstractNumId w:val="7"/>
  </w:num>
  <w:num w:numId="17">
    <w:abstractNumId w:val="12"/>
  </w:num>
  <w:num w:numId="18">
    <w:abstractNumId w:val="16"/>
  </w:num>
  <w:num w:numId="19">
    <w:abstractNumId w:val="22"/>
  </w:num>
  <w:num w:numId="20">
    <w:abstractNumId w:val="31"/>
  </w:num>
  <w:num w:numId="21">
    <w:abstractNumId w:val="34"/>
  </w:num>
  <w:num w:numId="22">
    <w:abstractNumId w:val="32"/>
  </w:num>
  <w:num w:numId="23">
    <w:abstractNumId w:val="23"/>
  </w:num>
  <w:num w:numId="24">
    <w:abstractNumId w:val="10"/>
  </w:num>
  <w:num w:numId="25">
    <w:abstractNumId w:val="1"/>
  </w:num>
  <w:num w:numId="26">
    <w:abstractNumId w:val="4"/>
  </w:num>
  <w:num w:numId="27">
    <w:abstractNumId w:val="2"/>
  </w:num>
  <w:num w:numId="28">
    <w:abstractNumId w:val="14"/>
  </w:num>
  <w:num w:numId="29">
    <w:abstractNumId w:val="26"/>
  </w:num>
  <w:num w:numId="30">
    <w:abstractNumId w:val="19"/>
  </w:num>
  <w:num w:numId="31">
    <w:abstractNumId w:val="6"/>
  </w:num>
  <w:num w:numId="32">
    <w:abstractNumId w:val="13"/>
  </w:num>
  <w:num w:numId="33">
    <w:abstractNumId w:val="9"/>
  </w:num>
  <w:num w:numId="34">
    <w:abstractNumId w:val="29"/>
  </w:num>
  <w:num w:numId="35">
    <w:abstractNumId w:val="0"/>
  </w:num>
  <w:num w:numId="36">
    <w:abstractNumId w:val="18"/>
  </w:num>
  <w:num w:numId="37">
    <w:abstractNumId w:val="18"/>
  </w:num>
  <w:num w:numId="38">
    <w:abstractNumId w:val="1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167B"/>
    <w:rsid w:val="0000384B"/>
    <w:rsid w:val="00023FC7"/>
    <w:rsid w:val="00025198"/>
    <w:rsid w:val="000578A3"/>
    <w:rsid w:val="000648CC"/>
    <w:rsid w:val="00092BD6"/>
    <w:rsid w:val="000A16C8"/>
    <w:rsid w:val="000A5A1C"/>
    <w:rsid w:val="000B321E"/>
    <w:rsid w:val="000C3140"/>
    <w:rsid w:val="000C59B8"/>
    <w:rsid w:val="000C6AF0"/>
    <w:rsid w:val="000D0A77"/>
    <w:rsid w:val="000F7993"/>
    <w:rsid w:val="00102E39"/>
    <w:rsid w:val="00104F33"/>
    <w:rsid w:val="00111DE2"/>
    <w:rsid w:val="00115479"/>
    <w:rsid w:val="00116B38"/>
    <w:rsid w:val="0012089F"/>
    <w:rsid w:val="00135406"/>
    <w:rsid w:val="00135972"/>
    <w:rsid w:val="001426A9"/>
    <w:rsid w:val="00154D7C"/>
    <w:rsid w:val="001570B0"/>
    <w:rsid w:val="0015752C"/>
    <w:rsid w:val="00157737"/>
    <w:rsid w:val="00165277"/>
    <w:rsid w:val="00170592"/>
    <w:rsid w:val="001720F7"/>
    <w:rsid w:val="00177A99"/>
    <w:rsid w:val="001812D4"/>
    <w:rsid w:val="00181C9E"/>
    <w:rsid w:val="00195D83"/>
    <w:rsid w:val="00196E44"/>
    <w:rsid w:val="001A00C1"/>
    <w:rsid w:val="001B33E0"/>
    <w:rsid w:val="001B4573"/>
    <w:rsid w:val="001B5FC8"/>
    <w:rsid w:val="001C779F"/>
    <w:rsid w:val="001D2AC1"/>
    <w:rsid w:val="001D4E88"/>
    <w:rsid w:val="00200EB7"/>
    <w:rsid w:val="00202879"/>
    <w:rsid w:val="00220FC2"/>
    <w:rsid w:val="002222F4"/>
    <w:rsid w:val="00224FC0"/>
    <w:rsid w:val="00225EA4"/>
    <w:rsid w:val="00226EAF"/>
    <w:rsid w:val="00231F3A"/>
    <w:rsid w:val="002406EE"/>
    <w:rsid w:val="00243EC8"/>
    <w:rsid w:val="00270D93"/>
    <w:rsid w:val="002745CC"/>
    <w:rsid w:val="002A2925"/>
    <w:rsid w:val="002B606E"/>
    <w:rsid w:val="002B6FBE"/>
    <w:rsid w:val="002B7924"/>
    <w:rsid w:val="002C10A6"/>
    <w:rsid w:val="002D28C3"/>
    <w:rsid w:val="002D39A4"/>
    <w:rsid w:val="002E6705"/>
    <w:rsid w:val="002F0BAA"/>
    <w:rsid w:val="00302FAF"/>
    <w:rsid w:val="0030329A"/>
    <w:rsid w:val="003036DE"/>
    <w:rsid w:val="00306F8E"/>
    <w:rsid w:val="0031086F"/>
    <w:rsid w:val="0031414C"/>
    <w:rsid w:val="00314E01"/>
    <w:rsid w:val="00315EE1"/>
    <w:rsid w:val="0032089D"/>
    <w:rsid w:val="00324449"/>
    <w:rsid w:val="003310DE"/>
    <w:rsid w:val="003323B0"/>
    <w:rsid w:val="00337F0F"/>
    <w:rsid w:val="003407F8"/>
    <w:rsid w:val="00340A49"/>
    <w:rsid w:val="003434FD"/>
    <w:rsid w:val="003465B6"/>
    <w:rsid w:val="0035169A"/>
    <w:rsid w:val="0035259D"/>
    <w:rsid w:val="00364B18"/>
    <w:rsid w:val="00376827"/>
    <w:rsid w:val="00382CE1"/>
    <w:rsid w:val="00393735"/>
    <w:rsid w:val="003A125D"/>
    <w:rsid w:val="003A3B4E"/>
    <w:rsid w:val="003A4C70"/>
    <w:rsid w:val="003A7173"/>
    <w:rsid w:val="003B215F"/>
    <w:rsid w:val="003C015A"/>
    <w:rsid w:val="003C799C"/>
    <w:rsid w:val="003D0399"/>
    <w:rsid w:val="003E1C71"/>
    <w:rsid w:val="003E7626"/>
    <w:rsid w:val="003F1876"/>
    <w:rsid w:val="003F327B"/>
    <w:rsid w:val="00400B2B"/>
    <w:rsid w:val="00406166"/>
    <w:rsid w:val="0040704B"/>
    <w:rsid w:val="0040772B"/>
    <w:rsid w:val="00410A55"/>
    <w:rsid w:val="00411300"/>
    <w:rsid w:val="00413F17"/>
    <w:rsid w:val="00415417"/>
    <w:rsid w:val="00426381"/>
    <w:rsid w:val="00426659"/>
    <w:rsid w:val="004364EE"/>
    <w:rsid w:val="00450352"/>
    <w:rsid w:val="00454BDB"/>
    <w:rsid w:val="00461712"/>
    <w:rsid w:val="00464C91"/>
    <w:rsid w:val="00465132"/>
    <w:rsid w:val="0046657D"/>
    <w:rsid w:val="00480C90"/>
    <w:rsid w:val="00481021"/>
    <w:rsid w:val="0048396F"/>
    <w:rsid w:val="00493C18"/>
    <w:rsid w:val="004A600C"/>
    <w:rsid w:val="004A6118"/>
    <w:rsid w:val="004C478D"/>
    <w:rsid w:val="004D7D95"/>
    <w:rsid w:val="004E06C1"/>
    <w:rsid w:val="004E2C26"/>
    <w:rsid w:val="005125A8"/>
    <w:rsid w:val="00517549"/>
    <w:rsid w:val="00520ABC"/>
    <w:rsid w:val="00521AE8"/>
    <w:rsid w:val="00527180"/>
    <w:rsid w:val="005441A1"/>
    <w:rsid w:val="00555291"/>
    <w:rsid w:val="00566AD1"/>
    <w:rsid w:val="00572CA0"/>
    <w:rsid w:val="00583EDE"/>
    <w:rsid w:val="0058650B"/>
    <w:rsid w:val="005A6079"/>
    <w:rsid w:val="005A6872"/>
    <w:rsid w:val="005C7471"/>
    <w:rsid w:val="005E4698"/>
    <w:rsid w:val="00603924"/>
    <w:rsid w:val="00605B11"/>
    <w:rsid w:val="00610539"/>
    <w:rsid w:val="00613969"/>
    <w:rsid w:val="00625C35"/>
    <w:rsid w:val="00634AB5"/>
    <w:rsid w:val="00647E49"/>
    <w:rsid w:val="00647FD6"/>
    <w:rsid w:val="006515B3"/>
    <w:rsid w:val="00654FF2"/>
    <w:rsid w:val="00656313"/>
    <w:rsid w:val="006565F4"/>
    <w:rsid w:val="00665566"/>
    <w:rsid w:val="00684EEA"/>
    <w:rsid w:val="00694067"/>
    <w:rsid w:val="0069689B"/>
    <w:rsid w:val="006B5FF5"/>
    <w:rsid w:val="006C0A7F"/>
    <w:rsid w:val="006D7272"/>
    <w:rsid w:val="006F30AF"/>
    <w:rsid w:val="006F3D3A"/>
    <w:rsid w:val="00701759"/>
    <w:rsid w:val="00705C15"/>
    <w:rsid w:val="00707786"/>
    <w:rsid w:val="007110F6"/>
    <w:rsid w:val="007208D1"/>
    <w:rsid w:val="00744518"/>
    <w:rsid w:val="00747288"/>
    <w:rsid w:val="00747DD3"/>
    <w:rsid w:val="007549C8"/>
    <w:rsid w:val="007559CA"/>
    <w:rsid w:val="00766D14"/>
    <w:rsid w:val="00767A0F"/>
    <w:rsid w:val="00791272"/>
    <w:rsid w:val="007A05F6"/>
    <w:rsid w:val="007B6F4A"/>
    <w:rsid w:val="007D2BB1"/>
    <w:rsid w:val="007D5562"/>
    <w:rsid w:val="007E1C47"/>
    <w:rsid w:val="007E337A"/>
    <w:rsid w:val="007E5C70"/>
    <w:rsid w:val="007F2FF5"/>
    <w:rsid w:val="007F3F08"/>
    <w:rsid w:val="00804CC6"/>
    <w:rsid w:val="00811877"/>
    <w:rsid w:val="00817190"/>
    <w:rsid w:val="008260E2"/>
    <w:rsid w:val="008322BD"/>
    <w:rsid w:val="00834F73"/>
    <w:rsid w:val="0084164C"/>
    <w:rsid w:val="00864C8A"/>
    <w:rsid w:val="00864CF8"/>
    <w:rsid w:val="00871818"/>
    <w:rsid w:val="0087352E"/>
    <w:rsid w:val="00874914"/>
    <w:rsid w:val="00891422"/>
    <w:rsid w:val="00891DCB"/>
    <w:rsid w:val="00892E1A"/>
    <w:rsid w:val="00895585"/>
    <w:rsid w:val="00895F51"/>
    <w:rsid w:val="008B660A"/>
    <w:rsid w:val="008C01DA"/>
    <w:rsid w:val="008D508A"/>
    <w:rsid w:val="008E130A"/>
    <w:rsid w:val="008E2B6D"/>
    <w:rsid w:val="008E350A"/>
    <w:rsid w:val="008F0105"/>
    <w:rsid w:val="008F1803"/>
    <w:rsid w:val="008F2674"/>
    <w:rsid w:val="008F6A3C"/>
    <w:rsid w:val="008F6B14"/>
    <w:rsid w:val="008F78E9"/>
    <w:rsid w:val="009179F9"/>
    <w:rsid w:val="00917C7A"/>
    <w:rsid w:val="00933E5E"/>
    <w:rsid w:val="00935218"/>
    <w:rsid w:val="00937C52"/>
    <w:rsid w:val="009403F3"/>
    <w:rsid w:val="009555B7"/>
    <w:rsid w:val="009567AA"/>
    <w:rsid w:val="0095719C"/>
    <w:rsid w:val="009602C9"/>
    <w:rsid w:val="00963FC3"/>
    <w:rsid w:val="00967374"/>
    <w:rsid w:val="0099253A"/>
    <w:rsid w:val="0099712D"/>
    <w:rsid w:val="009A343A"/>
    <w:rsid w:val="009B2F23"/>
    <w:rsid w:val="009B57B3"/>
    <w:rsid w:val="009D2920"/>
    <w:rsid w:val="009D5AEB"/>
    <w:rsid w:val="009F0E33"/>
    <w:rsid w:val="00A00811"/>
    <w:rsid w:val="00A036EA"/>
    <w:rsid w:val="00A10C35"/>
    <w:rsid w:val="00A149DF"/>
    <w:rsid w:val="00A1755C"/>
    <w:rsid w:val="00A21B90"/>
    <w:rsid w:val="00A22AAC"/>
    <w:rsid w:val="00A41805"/>
    <w:rsid w:val="00A51882"/>
    <w:rsid w:val="00A52AFB"/>
    <w:rsid w:val="00A548CB"/>
    <w:rsid w:val="00A5521C"/>
    <w:rsid w:val="00A57C1F"/>
    <w:rsid w:val="00A643E7"/>
    <w:rsid w:val="00A65B18"/>
    <w:rsid w:val="00A73AD8"/>
    <w:rsid w:val="00A73C38"/>
    <w:rsid w:val="00A955A2"/>
    <w:rsid w:val="00A9757F"/>
    <w:rsid w:val="00AB09FF"/>
    <w:rsid w:val="00AB190C"/>
    <w:rsid w:val="00AB670D"/>
    <w:rsid w:val="00AD2DB4"/>
    <w:rsid w:val="00AD7628"/>
    <w:rsid w:val="00AF03C5"/>
    <w:rsid w:val="00AF269C"/>
    <w:rsid w:val="00B000D8"/>
    <w:rsid w:val="00B00F75"/>
    <w:rsid w:val="00B03314"/>
    <w:rsid w:val="00B145B6"/>
    <w:rsid w:val="00B279EB"/>
    <w:rsid w:val="00B50C81"/>
    <w:rsid w:val="00B557F8"/>
    <w:rsid w:val="00B63E87"/>
    <w:rsid w:val="00B753F2"/>
    <w:rsid w:val="00B815FC"/>
    <w:rsid w:val="00B91336"/>
    <w:rsid w:val="00B93FBC"/>
    <w:rsid w:val="00BA7DA0"/>
    <w:rsid w:val="00BB2EE4"/>
    <w:rsid w:val="00BB4C92"/>
    <w:rsid w:val="00BC2108"/>
    <w:rsid w:val="00BD0523"/>
    <w:rsid w:val="00BD0E9E"/>
    <w:rsid w:val="00BD1BEC"/>
    <w:rsid w:val="00BD32FF"/>
    <w:rsid w:val="00BF6FE9"/>
    <w:rsid w:val="00C02092"/>
    <w:rsid w:val="00C16120"/>
    <w:rsid w:val="00C24D91"/>
    <w:rsid w:val="00C26DB2"/>
    <w:rsid w:val="00C31CE2"/>
    <w:rsid w:val="00C535A2"/>
    <w:rsid w:val="00C53F14"/>
    <w:rsid w:val="00C600CF"/>
    <w:rsid w:val="00C6084F"/>
    <w:rsid w:val="00C62A66"/>
    <w:rsid w:val="00C66359"/>
    <w:rsid w:val="00C71458"/>
    <w:rsid w:val="00C77613"/>
    <w:rsid w:val="00C82498"/>
    <w:rsid w:val="00C828E7"/>
    <w:rsid w:val="00C86719"/>
    <w:rsid w:val="00C921DD"/>
    <w:rsid w:val="00C96D64"/>
    <w:rsid w:val="00CA6391"/>
    <w:rsid w:val="00CD2DC4"/>
    <w:rsid w:val="00CE036E"/>
    <w:rsid w:val="00CE3171"/>
    <w:rsid w:val="00CE3216"/>
    <w:rsid w:val="00CE3221"/>
    <w:rsid w:val="00CF1601"/>
    <w:rsid w:val="00CF378D"/>
    <w:rsid w:val="00CF55F6"/>
    <w:rsid w:val="00D0172F"/>
    <w:rsid w:val="00D01E33"/>
    <w:rsid w:val="00D068A7"/>
    <w:rsid w:val="00D1715F"/>
    <w:rsid w:val="00D17476"/>
    <w:rsid w:val="00D2334A"/>
    <w:rsid w:val="00D32086"/>
    <w:rsid w:val="00D37A3F"/>
    <w:rsid w:val="00D4431D"/>
    <w:rsid w:val="00D4667A"/>
    <w:rsid w:val="00D63A1C"/>
    <w:rsid w:val="00D7516F"/>
    <w:rsid w:val="00D763AA"/>
    <w:rsid w:val="00D91B14"/>
    <w:rsid w:val="00D95F8E"/>
    <w:rsid w:val="00DA0590"/>
    <w:rsid w:val="00DA3A0F"/>
    <w:rsid w:val="00DC0ABC"/>
    <w:rsid w:val="00DC1739"/>
    <w:rsid w:val="00DC1788"/>
    <w:rsid w:val="00DE319C"/>
    <w:rsid w:val="00DF0CA8"/>
    <w:rsid w:val="00DF2B48"/>
    <w:rsid w:val="00DF49A7"/>
    <w:rsid w:val="00E027C4"/>
    <w:rsid w:val="00E07EE2"/>
    <w:rsid w:val="00E07FD1"/>
    <w:rsid w:val="00E24573"/>
    <w:rsid w:val="00E25E1E"/>
    <w:rsid w:val="00E27EE7"/>
    <w:rsid w:val="00E35404"/>
    <w:rsid w:val="00E45109"/>
    <w:rsid w:val="00E47B7A"/>
    <w:rsid w:val="00E56A44"/>
    <w:rsid w:val="00E60269"/>
    <w:rsid w:val="00E97830"/>
    <w:rsid w:val="00EE0830"/>
    <w:rsid w:val="00EE6CB8"/>
    <w:rsid w:val="00EE7AAB"/>
    <w:rsid w:val="00EF0683"/>
    <w:rsid w:val="00EF6864"/>
    <w:rsid w:val="00F0070C"/>
    <w:rsid w:val="00F00EB7"/>
    <w:rsid w:val="00F32A20"/>
    <w:rsid w:val="00F36AB6"/>
    <w:rsid w:val="00F37A09"/>
    <w:rsid w:val="00F409CE"/>
    <w:rsid w:val="00F4379D"/>
    <w:rsid w:val="00F443F9"/>
    <w:rsid w:val="00F50D2D"/>
    <w:rsid w:val="00F56C8B"/>
    <w:rsid w:val="00F62639"/>
    <w:rsid w:val="00F66810"/>
    <w:rsid w:val="00F84DF4"/>
    <w:rsid w:val="00F85C97"/>
    <w:rsid w:val="00F923AD"/>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CE3216"/>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rsid w:val="00CE3216"/>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rsid w:val="00CE3216"/>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CE3216"/>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CE3216"/>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CE3216"/>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CE3216"/>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3216"/>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CE3216"/>
    <w:rPr>
      <w:rFonts w:asciiTheme="majorHAnsi" w:eastAsiaTheme="majorEastAsia" w:hAnsiTheme="majorHAnsi" w:cstheme="majorBidi"/>
      <w:b/>
      <w:bCs/>
      <w:i/>
      <w:iCs/>
      <w:sz w:val="24"/>
      <w:szCs w:val="24"/>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CE3216"/>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character" w:customStyle="1" w:styleId="Heading5Char">
    <w:name w:val="Heading 5 Char"/>
    <w:basedOn w:val="DefaultParagraphFont"/>
    <w:link w:val="Heading5"/>
    <w:uiPriority w:val="9"/>
    <w:semiHidden/>
    <w:rsid w:val="00CE3216"/>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CE3216"/>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CE3216"/>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CE321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E3216"/>
    <w:rPr>
      <w:rFonts w:asciiTheme="majorHAnsi" w:eastAsiaTheme="majorEastAsia" w:hAnsiTheme="majorHAnsi" w:cstheme="majorBidi"/>
      <w:i/>
      <w:iCs/>
      <w:spacing w:val="5"/>
    </w:rPr>
  </w:style>
  <w:style w:type="paragraph" w:styleId="NoSpacing">
    <w:name w:val="No Spacing"/>
    <w:uiPriority w:val="1"/>
    <w:rsid w:val="00CE3216"/>
    <w:rPr>
      <w:sz w:val="24"/>
    </w:rPr>
  </w:style>
  <w:style w:type="paragraph" w:customStyle="1" w:styleId="SCCLsocOtherPartyRoleSeparator">
    <w:name w:val="SCC.Lsoc.OtherPartyRoleSeparator"/>
    <w:basedOn w:val="Normal"/>
    <w:next w:val="Normal"/>
    <w:link w:val="SCCLsocOtherPartyRoleSeparatorChar"/>
    <w:rsid w:val="00CE3216"/>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CE3216"/>
    <w:rPr>
      <w:rFonts w:eastAsiaTheme="minorHAnsi" w:cstheme="minorBidi"/>
      <w:sz w:val="24"/>
      <w:szCs w:val="22"/>
      <w:lang w:val="fr-CA" w:eastAsia="en-US"/>
    </w:rPr>
  </w:style>
  <w:style w:type="paragraph" w:customStyle="1" w:styleId="SCCCoram">
    <w:name w:val="SCC.Coram"/>
    <w:basedOn w:val="Normal"/>
    <w:next w:val="Normal"/>
    <w:link w:val="SCCCoramChar"/>
    <w:rsid w:val="00CE3216"/>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CE3216"/>
    <w:rPr>
      <w:rFonts w:eastAsiaTheme="minorHAnsi" w:cstheme="minorBidi"/>
      <w:sz w:val="24"/>
      <w:szCs w:val="22"/>
      <w:lang w:val="fr-CA" w:eastAsia="en-US"/>
    </w:rPr>
  </w:style>
  <w:style w:type="table" w:styleId="TableGrid">
    <w:name w:val="Table Grid"/>
    <w:basedOn w:val="TableNormal"/>
    <w:uiPriority w:val="59"/>
    <w:rsid w:val="00CE32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E3216"/>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CE3216"/>
    <w:pPr>
      <w:spacing w:before="480" w:after="480" w:line="480" w:lineRule="auto"/>
      <w:jc w:val="both"/>
    </w:pPr>
    <w:rPr>
      <w:rFonts w:eastAsiaTheme="minorHAnsi" w:cstheme="minorBidi"/>
      <w:sz w:val="24"/>
      <w:szCs w:val="22"/>
      <w:lang w:val="fr-CA" w:eastAsia="en-US"/>
    </w:rPr>
  </w:style>
  <w:style w:type="paragraph" w:customStyle="1" w:styleId="ParaNoNdepar-AltN">
    <w:name w:val="Para. No. / Nº de par. - Alt N"/>
    <w:qFormat/>
    <w:rsid w:val="00CE3216"/>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JudgeJuge">
    <w:name w:val="Judge / Juge"/>
    <w:uiPriority w:val="3"/>
    <w:rsid w:val="00CE3216"/>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CE3216"/>
    <w:pPr>
      <w:numPr>
        <w:numId w:val="7"/>
      </w:numPr>
      <w:spacing w:before="480" w:after="72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CE321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E3216"/>
    <w:pPr>
      <w:numPr>
        <w:ilvl w:val="2"/>
      </w:numPr>
    </w:pPr>
  </w:style>
  <w:style w:type="paragraph" w:customStyle="1" w:styleId="Title4LevelTitre4Niveau">
    <w:name w:val="Title 4 Level / Titre 4 Niveau"/>
    <w:basedOn w:val="Title3LevelTitre3Niveau"/>
    <w:next w:val="ParaNoNdepar-AltN"/>
    <w:uiPriority w:val="4"/>
    <w:qFormat/>
    <w:rsid w:val="00CE321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CE3216"/>
    <w:pPr>
      <w:numPr>
        <w:ilvl w:val="4"/>
      </w:numPr>
    </w:pPr>
  </w:style>
  <w:style w:type="paragraph" w:customStyle="1" w:styleId="TitleTitre-AltT">
    <w:name w:val="Title / Titre - Alt T"/>
    <w:next w:val="ParaNoNdepar-AltN"/>
    <w:uiPriority w:val="3"/>
    <w:qFormat/>
    <w:rsid w:val="00CE3216"/>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qFormat/>
    <w:rsid w:val="00CE3216"/>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semiHidden/>
    <w:unhideWhenUsed/>
    <w:rsid w:val="00CE3216"/>
    <w:rPr>
      <w:sz w:val="20"/>
    </w:rPr>
  </w:style>
  <w:style w:type="character" w:customStyle="1" w:styleId="FootnoteTextChar">
    <w:name w:val="Footnote Text Char"/>
    <w:basedOn w:val="DefaultParagraphFont"/>
    <w:link w:val="FootnoteText"/>
    <w:semiHidden/>
    <w:rsid w:val="00CE3216"/>
  </w:style>
  <w:style w:type="character" w:styleId="FootnoteReference">
    <w:name w:val="footnote reference"/>
    <w:basedOn w:val="DefaultParagraphFont"/>
    <w:semiHidden/>
    <w:unhideWhenUsed/>
    <w:rsid w:val="00CE3216"/>
    <w:rPr>
      <w:vertAlign w:val="superscript"/>
    </w:rPr>
  </w:style>
  <w:style w:type="character" w:styleId="IntenseEmphasis">
    <w:name w:val="Intense Emphasis"/>
    <w:uiPriority w:val="21"/>
    <w:rsid w:val="00CE3216"/>
    <w:rPr>
      <w:b/>
      <w:bCs/>
    </w:rPr>
  </w:style>
  <w:style w:type="character" w:styleId="Hyperlink">
    <w:name w:val="Hyperlink"/>
    <w:basedOn w:val="DefaultParagraphFont"/>
    <w:uiPriority w:val="99"/>
    <w:unhideWhenUsed/>
    <w:rsid w:val="00CE3216"/>
    <w:rPr>
      <w:color w:val="0000FF"/>
      <w:u w:val="single"/>
    </w:rPr>
  </w:style>
  <w:style w:type="character" w:customStyle="1" w:styleId="decisia-reflex2-icon">
    <w:name w:val="decisia-reflex2-icon"/>
    <w:basedOn w:val="DefaultParagraphFont"/>
    <w:rsid w:val="00CE3216"/>
    <w:rPr>
      <w:strike w:val="0"/>
      <w:dstrike w:val="0"/>
      <w:sz w:val="19"/>
      <w:szCs w:val="19"/>
      <w:u w:val="none"/>
      <w:effect w:val="none"/>
    </w:rPr>
  </w:style>
  <w:style w:type="paragraph" w:customStyle="1" w:styleId="11">
    <w:name w:val="11"/>
    <w:basedOn w:val="Normal"/>
    <w:rsid w:val="00CE3216"/>
    <w:pPr>
      <w:autoSpaceDE w:val="0"/>
      <w:autoSpaceDN w:val="0"/>
      <w:ind w:hanging="720"/>
    </w:pPr>
    <w:rPr>
      <w:szCs w:val="24"/>
      <w:lang w:val="en-US" w:eastAsia="en-US"/>
    </w:rPr>
  </w:style>
  <w:style w:type="paragraph" w:customStyle="1" w:styleId="paragraph">
    <w:name w:val="paragraph"/>
    <w:basedOn w:val="Normal"/>
    <w:rsid w:val="00CE3216"/>
    <w:pPr>
      <w:spacing w:before="168" w:after="120"/>
      <w:ind w:left="360"/>
    </w:pPr>
    <w:rPr>
      <w:szCs w:val="24"/>
      <w:lang w:val="en-US" w:eastAsia="en-US"/>
    </w:rPr>
  </w:style>
  <w:style w:type="character" w:styleId="Emphasis">
    <w:name w:val="Emphasis"/>
    <w:basedOn w:val="DefaultParagraphFont"/>
    <w:uiPriority w:val="20"/>
    <w:qFormat/>
    <w:rsid w:val="00CE3216"/>
    <w:rPr>
      <w:i/>
      <w:iCs/>
    </w:rPr>
  </w:style>
  <w:style w:type="paragraph" w:customStyle="1" w:styleId="subparagraph">
    <w:name w:val="subparagraph"/>
    <w:basedOn w:val="Normal"/>
    <w:rsid w:val="00CE3216"/>
    <w:pPr>
      <w:spacing w:before="168" w:after="120"/>
      <w:ind w:left="720"/>
    </w:pPr>
    <w:rPr>
      <w:szCs w:val="24"/>
      <w:lang w:val="en-US" w:eastAsia="en-US"/>
    </w:rPr>
  </w:style>
  <w:style w:type="character" w:customStyle="1" w:styleId="bold1">
    <w:name w:val="bold1"/>
    <w:basedOn w:val="DefaultParagraphFont"/>
    <w:rsid w:val="00CE3216"/>
    <w:rPr>
      <w:b/>
      <w:bCs/>
    </w:rPr>
  </w:style>
  <w:style w:type="paragraph" w:customStyle="1" w:styleId="paranondepar-altn1">
    <w:name w:val="paranondepar-altn1"/>
    <w:basedOn w:val="Normal"/>
    <w:rsid w:val="00CE3216"/>
    <w:pPr>
      <w:spacing w:before="480" w:after="480" w:line="480" w:lineRule="auto"/>
      <w:jc w:val="both"/>
    </w:pPr>
    <w:rPr>
      <w:szCs w:val="24"/>
      <w:lang w:val="en-US" w:eastAsia="en-US"/>
    </w:rPr>
  </w:style>
  <w:style w:type="paragraph" w:customStyle="1" w:styleId="paragraphe1">
    <w:name w:val="paragraphe1"/>
    <w:basedOn w:val="Normal"/>
    <w:rsid w:val="00CE3216"/>
    <w:pPr>
      <w:spacing w:before="120" w:after="120"/>
      <w:jc w:val="both"/>
    </w:pPr>
    <w:rPr>
      <w:rFonts w:ascii="Arial" w:hAnsi="Arial" w:cs="Arial"/>
      <w:szCs w:val="24"/>
      <w:lang w:val="en-US" w:eastAsia="en-US"/>
    </w:rPr>
  </w:style>
  <w:style w:type="paragraph" w:styleId="TOC1">
    <w:name w:val="toc 1"/>
    <w:basedOn w:val="Normal"/>
    <w:next w:val="Normal"/>
    <w:autoRedefine/>
    <w:uiPriority w:val="39"/>
    <w:unhideWhenUsed/>
    <w:rsid w:val="00CE3216"/>
    <w:pPr>
      <w:spacing w:after="100"/>
    </w:pPr>
    <w:rPr>
      <w:lang w:val="fr-CA"/>
    </w:rPr>
  </w:style>
  <w:style w:type="paragraph" w:customStyle="1" w:styleId="subsection">
    <w:name w:val="subsection"/>
    <w:basedOn w:val="Normal"/>
    <w:rsid w:val="00CE3216"/>
    <w:pPr>
      <w:spacing w:before="168" w:after="120"/>
      <w:ind w:firstLine="360"/>
    </w:pPr>
    <w:rPr>
      <w:szCs w:val="24"/>
      <w:lang w:val="en-US" w:eastAsia="en-US"/>
    </w:rPr>
  </w:style>
  <w:style w:type="paragraph" w:customStyle="1" w:styleId="continuedsectionsubsection">
    <w:name w:val="continuedsectionsubsection"/>
    <w:basedOn w:val="Normal"/>
    <w:rsid w:val="00CE3216"/>
    <w:pPr>
      <w:spacing w:before="168" w:after="120"/>
    </w:pPr>
    <w:rPr>
      <w:szCs w:val="24"/>
      <w:lang w:val="en-US" w:eastAsia="en-US"/>
    </w:rPr>
  </w:style>
  <w:style w:type="character" w:customStyle="1" w:styleId="nowrap">
    <w:name w:val="nowrap"/>
    <w:basedOn w:val="DefaultParagraphFont"/>
    <w:rsid w:val="00CE3216"/>
  </w:style>
  <w:style w:type="character" w:customStyle="1" w:styleId="reflex3-block">
    <w:name w:val="reflex3-block"/>
    <w:basedOn w:val="DefaultParagraphFont"/>
    <w:rsid w:val="00CE3216"/>
  </w:style>
  <w:style w:type="character" w:customStyle="1" w:styleId="reflex3-reflex">
    <w:name w:val="reflex3-reflex"/>
    <w:basedOn w:val="DefaultParagraphFont"/>
    <w:rsid w:val="00CE3216"/>
  </w:style>
  <w:style w:type="character" w:customStyle="1" w:styleId="term01">
    <w:name w:val="term01"/>
    <w:basedOn w:val="DefaultParagraphFont"/>
    <w:rsid w:val="00CE3216"/>
    <w:rPr>
      <w:shd w:val="clear" w:color="auto" w:fill="BFE8FD"/>
    </w:rPr>
  </w:style>
  <w:style w:type="character" w:customStyle="1" w:styleId="term110">
    <w:name w:val="term110"/>
    <w:basedOn w:val="DefaultParagraphFont"/>
    <w:rsid w:val="00CE3216"/>
    <w:rPr>
      <w:shd w:val="clear" w:color="auto" w:fill="F3BFFD"/>
    </w:rPr>
  </w:style>
  <w:style w:type="character" w:customStyle="1" w:styleId="term210">
    <w:name w:val="term210"/>
    <w:basedOn w:val="DefaultParagraphFont"/>
    <w:rsid w:val="00CE3216"/>
    <w:rPr>
      <w:shd w:val="clear" w:color="auto" w:fill="FDD3BF"/>
    </w:rPr>
  </w:style>
  <w:style w:type="character" w:customStyle="1" w:styleId="term310">
    <w:name w:val="term310"/>
    <w:basedOn w:val="DefaultParagraphFont"/>
    <w:rsid w:val="00CE3216"/>
    <w:rPr>
      <w:shd w:val="clear" w:color="auto" w:fill="C9FDBF"/>
    </w:rPr>
  </w:style>
  <w:style w:type="character" w:customStyle="1" w:styleId="CommentTextChar">
    <w:name w:val="Comment Text Char"/>
    <w:basedOn w:val="DefaultParagraphFont"/>
    <w:link w:val="CommentText"/>
    <w:uiPriority w:val="99"/>
    <w:semiHidden/>
    <w:rsid w:val="00CE3216"/>
    <w:rPr>
      <w:lang w:val="fr-CA"/>
    </w:rPr>
  </w:style>
  <w:style w:type="paragraph" w:styleId="CommentText">
    <w:name w:val="annotation text"/>
    <w:basedOn w:val="Normal"/>
    <w:link w:val="CommentTextChar"/>
    <w:uiPriority w:val="99"/>
    <w:semiHidden/>
    <w:unhideWhenUsed/>
    <w:rsid w:val="00CE3216"/>
    <w:rPr>
      <w:sz w:val="20"/>
      <w:lang w:val="fr-CA"/>
    </w:rPr>
  </w:style>
  <w:style w:type="character" w:customStyle="1" w:styleId="CommentSubjectChar">
    <w:name w:val="Comment Subject Char"/>
    <w:basedOn w:val="CommentTextChar"/>
    <w:link w:val="CommentSubject"/>
    <w:uiPriority w:val="99"/>
    <w:semiHidden/>
    <w:rsid w:val="00CE3216"/>
    <w:rPr>
      <w:b/>
      <w:bCs/>
      <w:lang w:val="fr-CA"/>
    </w:rPr>
  </w:style>
  <w:style w:type="paragraph" w:styleId="CommentSubject">
    <w:name w:val="annotation subject"/>
    <w:basedOn w:val="CommentText"/>
    <w:next w:val="CommentText"/>
    <w:link w:val="CommentSubjectChar"/>
    <w:uiPriority w:val="99"/>
    <w:semiHidden/>
    <w:unhideWhenUsed/>
    <w:rsid w:val="00CE3216"/>
    <w:rPr>
      <w:b/>
      <w:bCs/>
    </w:rPr>
  </w:style>
  <w:style w:type="character" w:customStyle="1" w:styleId="SCCLsocPartyRoleChar">
    <w:name w:val="SCC.Lsoc.PartyRole Char"/>
    <w:basedOn w:val="DefaultParagraphFont"/>
    <w:rsid w:val="00605B11"/>
    <w:rPr>
      <w:lang w:val="fr-CA"/>
    </w:rPr>
  </w:style>
  <w:style w:type="paragraph" w:customStyle="1" w:styleId="SCCLsocPrefix">
    <w:name w:val="SCC.Lsoc.Prefix"/>
    <w:basedOn w:val="Normal"/>
    <w:next w:val="Normal"/>
    <w:link w:val="SCCLsocPrefixChar"/>
    <w:rsid w:val="00605B1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05B1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6510A-FFAB-4E3C-B840-12E85B55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21998</Words>
  <Characters>125392</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2015-05-15T18:05:00Z</dcterms:created>
  <dcterms:modified xsi:type="dcterms:W3CDTF">2015-11-10T16:14:00Z</dcterms:modified>
</cp:coreProperties>
</file>