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33" w:rsidRDefault="00EF3C33" w:rsidP="00EF3C33">
      <w:pPr>
        <w:pStyle w:val="Header"/>
      </w:pPr>
      <w:r>
        <w:ptab w:relativeTo="margin" w:alignment="center" w:leader="none"/>
      </w:r>
      <w:r w:rsidRPr="00F72014">
        <w:t xml:space="preserve"> </w:t>
      </w:r>
      <w:r>
        <w:object w:dxaOrig="1365" w:dyaOrig="1440">
          <v:shape id="_x0000_i1027" type="#_x0000_t75" style="width:61.2pt;height:64.8pt" o:ole="">
            <v:imagedata r:id="rId7" o:title=""/>
          </v:shape>
          <o:OLEObject Type="Embed" ProgID="Presentations.Drawing.13" ShapeID="_x0000_i1027" DrawAspect="Content" ObjectID="_1508666708" r:id="rId8"/>
        </w:object>
      </w:r>
      <w:r>
        <w:t xml:space="preserve"> </w:t>
      </w:r>
      <w:r>
        <w:ptab w:relativeTo="margin" w:alignment="right" w:leader="none"/>
      </w:r>
    </w:p>
    <w:p w:rsidR="00EF3C33" w:rsidRDefault="00EF3C33" w:rsidP="00EF3C33">
      <w:pPr>
        <w:pStyle w:val="Header"/>
      </w:pPr>
    </w:p>
    <w:p w:rsidR="00EF3C33" w:rsidRPr="001E12E2" w:rsidRDefault="00EF3C33" w:rsidP="00EF3C33">
      <w:pPr>
        <w:jc w:val="center"/>
        <w:rPr>
          <w:b/>
        </w:rPr>
      </w:pPr>
      <w:r w:rsidRPr="001E12E2">
        <w:rPr>
          <w:b/>
        </w:rPr>
        <w:t>COUR SUPRÊME DU CANADA</w:t>
      </w:r>
    </w:p>
    <w:p w:rsidR="00EF3C33" w:rsidRDefault="00EF3C33" w:rsidP="00EF3C3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F3C33" w:rsidRPr="001E12E2" w:rsidTr="0027391C">
        <w:trPr>
          <w:cantSplit/>
        </w:trPr>
        <w:tc>
          <w:tcPr>
            <w:tcW w:w="6768" w:type="dxa"/>
          </w:tcPr>
          <w:p w:rsidR="00EF3C33" w:rsidRPr="00EF3C33" w:rsidRDefault="00EF3C33" w:rsidP="0027391C">
            <w:pPr>
              <w:rPr>
                <w:lang w:val="fr-CA"/>
              </w:rPr>
            </w:pPr>
            <w:r w:rsidRPr="00EF3C33">
              <w:rPr>
                <w:b/>
                <w:smallCaps/>
                <w:lang w:val="fr-CA"/>
              </w:rPr>
              <w:t>Référence :</w:t>
            </w:r>
            <w:r w:rsidRPr="00EF3C33">
              <w:rPr>
                <w:lang w:val="fr-CA"/>
              </w:rPr>
              <w:t xml:space="preserve"> R. </w:t>
            </w:r>
            <w:r w:rsidRPr="00EF3C33">
              <w:rPr>
                <w:i/>
                <w:lang w:val="fr-CA"/>
              </w:rPr>
              <w:t>c.</w:t>
            </w:r>
            <w:r w:rsidRPr="00EF3C33">
              <w:rPr>
                <w:lang w:val="fr-CA"/>
              </w:rPr>
              <w:t xml:space="preserve"> Barabash, 2015 CSC 29</w:t>
            </w:r>
            <w:r w:rsidRPr="00EF3C33">
              <w:rPr>
                <w:smallCaps/>
                <w:lang w:val="fr-CA"/>
              </w:rPr>
              <w:t>, [2015] 2 R.C.S. 522</w:t>
            </w:r>
          </w:p>
        </w:tc>
        <w:tc>
          <w:tcPr>
            <w:tcW w:w="2808" w:type="dxa"/>
          </w:tcPr>
          <w:p w:rsidR="00EF3C33" w:rsidRPr="001E12E2" w:rsidRDefault="00EF3C33" w:rsidP="0027391C">
            <w:r w:rsidRPr="001E12E2">
              <w:rPr>
                <w:b/>
                <w:smallCaps/>
              </w:rPr>
              <w:t>Date</w:t>
            </w:r>
            <w:r>
              <w:rPr>
                <w:b/>
                <w:smallCaps/>
              </w:rPr>
              <w:t> :</w:t>
            </w:r>
            <w:r w:rsidRPr="001E12E2">
              <w:t xml:space="preserve"> </w:t>
            </w:r>
            <w:r>
              <w:t>20150522</w:t>
            </w:r>
          </w:p>
          <w:p w:rsidR="00EF3C33" w:rsidRPr="001E12E2" w:rsidRDefault="00EF3C33" w:rsidP="0027391C">
            <w:r w:rsidRPr="001E12E2">
              <w:rPr>
                <w:b/>
                <w:smallCaps/>
              </w:rPr>
              <w:t>Do</w:t>
            </w:r>
            <w:r>
              <w:rPr>
                <w:b/>
                <w:smallCaps/>
              </w:rPr>
              <w:t>ssier :</w:t>
            </w:r>
            <w:r w:rsidRPr="001E12E2">
              <w:t xml:space="preserve"> </w:t>
            </w:r>
            <w:r>
              <w:t>35977, 36064</w:t>
            </w:r>
          </w:p>
        </w:tc>
      </w:tr>
    </w:tbl>
    <w:p w:rsidR="00EF3C33" w:rsidRPr="001E12E2" w:rsidRDefault="00EF3C33" w:rsidP="00EF3C33"/>
    <w:p w:rsidR="00EF3C33" w:rsidRDefault="00EF3C33" w:rsidP="00EF3C33">
      <w:pPr>
        <w:pStyle w:val="SCCLsocPrefix"/>
      </w:pPr>
      <w:r>
        <w:t>Entre :</w:t>
      </w:r>
    </w:p>
    <w:p w:rsidR="00EF3C33" w:rsidRDefault="00EF3C33" w:rsidP="00EF3C33">
      <w:pPr>
        <w:pStyle w:val="SCCLsocParty"/>
        <w:jc w:val="center"/>
      </w:pPr>
      <w:r>
        <w:t>Donald Jerry Barabash</w:t>
      </w:r>
    </w:p>
    <w:p w:rsidR="00EF3C33" w:rsidRDefault="00EF3C33" w:rsidP="00EF3C33">
      <w:pPr>
        <w:jc w:val="center"/>
      </w:pPr>
      <w:r>
        <w:t>Appelant</w:t>
      </w:r>
    </w:p>
    <w:p w:rsidR="00EF3C33" w:rsidRPr="00EF3C33" w:rsidRDefault="00EF3C33" w:rsidP="00EF3C33">
      <w:pPr>
        <w:pStyle w:val="SCCLsocVersus"/>
        <w:spacing w:after="0"/>
        <w:jc w:val="center"/>
        <w:rPr>
          <w:i w:val="0"/>
        </w:rPr>
      </w:pPr>
      <w:r w:rsidRPr="00EF3C33">
        <w:rPr>
          <w:i w:val="0"/>
        </w:rPr>
        <w:t>et</w:t>
      </w:r>
    </w:p>
    <w:p w:rsidR="00EF3C33" w:rsidRDefault="00EF3C33" w:rsidP="00EF3C33">
      <w:pPr>
        <w:pStyle w:val="SCCLsocParty"/>
        <w:jc w:val="center"/>
      </w:pPr>
      <w:r>
        <w:t>Sa Majesté la Reine</w:t>
      </w:r>
    </w:p>
    <w:p w:rsidR="00EF3C33" w:rsidRDefault="00EF3C33" w:rsidP="00EF3C33">
      <w:pPr>
        <w:jc w:val="center"/>
      </w:pPr>
      <w:r>
        <w:t>Intimée</w:t>
      </w:r>
    </w:p>
    <w:p w:rsidR="00EF3C33" w:rsidRDefault="00EF3C33" w:rsidP="00EF3C33">
      <w:pPr>
        <w:jc w:val="center"/>
      </w:pPr>
    </w:p>
    <w:p w:rsidR="00EF3C33" w:rsidRDefault="00EF3C33" w:rsidP="00EF3C33">
      <w:pPr>
        <w:pStyle w:val="SCCLsocPrefix"/>
        <w:jc w:val="both"/>
      </w:pPr>
      <w:bookmarkStart w:id="0" w:name="_GoBack"/>
      <w:bookmarkEnd w:id="0"/>
      <w:r>
        <w:t>Et entre :</w:t>
      </w:r>
    </w:p>
    <w:p w:rsidR="00EF3C33" w:rsidRDefault="00EF3C33" w:rsidP="00EF3C33">
      <w:pPr>
        <w:pStyle w:val="SCCLsocParty"/>
        <w:jc w:val="center"/>
      </w:pPr>
      <w:r>
        <w:t>Shane Gordon Rollison</w:t>
      </w:r>
    </w:p>
    <w:p w:rsidR="00EF3C33" w:rsidRDefault="00EF3C33" w:rsidP="00EF3C33">
      <w:pPr>
        <w:jc w:val="center"/>
      </w:pPr>
      <w:r>
        <w:t>Appelant</w:t>
      </w:r>
    </w:p>
    <w:p w:rsidR="00EF3C33" w:rsidRPr="00EF3C33" w:rsidRDefault="00EF3C33" w:rsidP="00EF3C33">
      <w:pPr>
        <w:pStyle w:val="SCCLsocVersus"/>
        <w:spacing w:after="0"/>
        <w:jc w:val="center"/>
        <w:rPr>
          <w:i w:val="0"/>
        </w:rPr>
      </w:pPr>
      <w:r w:rsidRPr="00EF3C33">
        <w:rPr>
          <w:i w:val="0"/>
        </w:rPr>
        <w:t>et</w:t>
      </w:r>
    </w:p>
    <w:p w:rsidR="00EF3C33" w:rsidRDefault="00EF3C33" w:rsidP="00EF3C33">
      <w:pPr>
        <w:pStyle w:val="SCCLsocParty"/>
        <w:jc w:val="center"/>
      </w:pPr>
      <w:r>
        <w:t>Sa Majesté la Reine</w:t>
      </w:r>
    </w:p>
    <w:p w:rsidR="00EF3C33" w:rsidRDefault="00EF3C33" w:rsidP="00EF3C33">
      <w:pPr>
        <w:jc w:val="center"/>
      </w:pPr>
      <w:r>
        <w:t>Intimée</w:t>
      </w:r>
    </w:p>
    <w:p w:rsidR="00EF3C33" w:rsidRDefault="00EF3C33" w:rsidP="00EF3C33">
      <w:pPr>
        <w:pStyle w:val="SCCLsocOtherPartySeparator"/>
        <w:spacing w:after="0"/>
        <w:jc w:val="center"/>
      </w:pPr>
      <w:r>
        <w:t>- et -</w:t>
      </w:r>
    </w:p>
    <w:p w:rsidR="00EF3C33" w:rsidRPr="00EF3C33" w:rsidRDefault="00EF3C33" w:rsidP="00EF3C33">
      <w:pPr>
        <w:pStyle w:val="SCCLsocParty"/>
        <w:jc w:val="center"/>
        <w:rPr>
          <w:lang w:val="fr-CA"/>
        </w:rPr>
      </w:pPr>
      <w:r w:rsidRPr="00EF3C33">
        <w:rPr>
          <w:lang w:val="fr-CA"/>
        </w:rPr>
        <w:t>Procureur général du Canada, procureur général de l’Ontario, Association canadienne des libertés civiles, Au-delà des frontières et Centre canadien de protection de l’enfance inc.</w:t>
      </w:r>
    </w:p>
    <w:p w:rsidR="00EF3C33" w:rsidRDefault="00EF3C33" w:rsidP="00EF3C33">
      <w:pPr>
        <w:jc w:val="center"/>
      </w:pPr>
      <w:r>
        <w:t>Intervenants</w:t>
      </w:r>
    </w:p>
    <w:p w:rsidR="00EF3C33" w:rsidRDefault="00EF3C33" w:rsidP="00EF3C33">
      <w:pPr>
        <w:jc w:val="center"/>
      </w:pPr>
    </w:p>
    <w:p w:rsidR="00EF3C33" w:rsidRPr="00EF3C33" w:rsidRDefault="00EF3C33" w:rsidP="00EF3C33">
      <w:pPr>
        <w:jc w:val="center"/>
        <w:rPr>
          <w:b/>
          <w:smallCaps/>
          <w:lang w:val="fr-CA"/>
        </w:rPr>
      </w:pPr>
      <w:r w:rsidRPr="00EF3C33">
        <w:rPr>
          <w:b/>
          <w:smallCaps/>
          <w:lang w:val="fr-CA"/>
        </w:rPr>
        <w:t>Traduction française officielle</w:t>
      </w:r>
    </w:p>
    <w:p w:rsidR="00EF3C33" w:rsidRPr="00EF3C33" w:rsidRDefault="00EF3C33" w:rsidP="00EF3C33">
      <w:pPr>
        <w:rPr>
          <w:lang w:val="fr-CA"/>
        </w:rPr>
      </w:pPr>
    </w:p>
    <w:p w:rsidR="00EF3C33" w:rsidRPr="00EF3C33" w:rsidRDefault="00EF3C33" w:rsidP="00EF3C33">
      <w:pPr>
        <w:rPr>
          <w:lang w:val="fr-CA"/>
        </w:rPr>
      </w:pPr>
      <w:r w:rsidRPr="00EF3C33">
        <w:rPr>
          <w:b/>
          <w:smallCaps/>
          <w:lang w:val="fr-CA"/>
        </w:rPr>
        <w:t>Coram :</w:t>
      </w:r>
      <w:r w:rsidRPr="00EF3C33">
        <w:rPr>
          <w:lang w:val="fr-CA"/>
        </w:rPr>
        <w:t xml:space="preserve"> La juge en chef McLachlin et les juges Abella, Rothstein, Cromwell, Moldaver, Karakatsanis, Wagner, Gascon et Côté</w:t>
      </w:r>
    </w:p>
    <w:p w:rsidR="00EF3C33" w:rsidRPr="00EF3C33" w:rsidRDefault="00EF3C33" w:rsidP="00EF3C3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F3C33" w:rsidRPr="00EF3C33" w:rsidTr="0027391C">
        <w:trPr>
          <w:cantSplit/>
        </w:trPr>
        <w:tc>
          <w:tcPr>
            <w:tcW w:w="3618" w:type="dxa"/>
          </w:tcPr>
          <w:p w:rsidR="00EF3C33" w:rsidRPr="00EF3C33" w:rsidRDefault="00EF3C33" w:rsidP="0027391C">
            <w:pPr>
              <w:rPr>
                <w:b/>
                <w:smallCaps/>
                <w:lang w:val="fr-CA"/>
              </w:rPr>
            </w:pPr>
            <w:r w:rsidRPr="00EF3C33">
              <w:rPr>
                <w:b/>
                <w:smallCaps/>
                <w:lang w:val="fr-CA"/>
              </w:rPr>
              <w:t>Motifs de jugement :</w:t>
            </w:r>
          </w:p>
          <w:p w:rsidR="00EF3C33" w:rsidRPr="00EF3C33" w:rsidRDefault="00EF3C33" w:rsidP="0027391C">
            <w:pPr>
              <w:rPr>
                <w:lang w:val="fr-CA"/>
              </w:rPr>
            </w:pPr>
            <w:r w:rsidRPr="00EF3C33">
              <w:rPr>
                <w:lang w:val="fr-CA"/>
              </w:rPr>
              <w:t>(par. 1 à 63)</w:t>
            </w:r>
          </w:p>
        </w:tc>
        <w:tc>
          <w:tcPr>
            <w:tcW w:w="5958" w:type="dxa"/>
          </w:tcPr>
          <w:p w:rsidR="00EF3C33" w:rsidRPr="00EF3C33" w:rsidRDefault="00EF3C33" w:rsidP="0027391C">
            <w:pPr>
              <w:rPr>
                <w:lang w:val="fr-CA"/>
              </w:rPr>
            </w:pPr>
            <w:r w:rsidRPr="00EF3C33">
              <w:rPr>
                <w:lang w:val="fr-CA"/>
              </w:rPr>
              <w:t>La juge Karakatsanis (avec l’accord de la juge en chef McLachlin et des juges Abella, Rothstein, Cromwell, Moldaver, Wagner, Gascon et Côté)</w:t>
            </w:r>
          </w:p>
        </w:tc>
      </w:tr>
    </w:tbl>
    <w:p w:rsidR="00EF3C33" w:rsidRPr="00EF3C33" w:rsidRDefault="00EF3C33" w:rsidP="00EF3C33">
      <w:pPr>
        <w:rPr>
          <w:lang w:val="fr-CA"/>
        </w:rPr>
      </w:pPr>
      <w:r>
        <w:rPr>
          <w:noProof/>
          <w:lang w:val="fr-CA"/>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9264;mso-position-horizontal-relative:text;mso-position-vertical-relative:text" o:connectortype="straight"/>
        </w:pict>
      </w:r>
    </w:p>
    <w:p w:rsidR="00EF3C33" w:rsidRPr="00EF3C33" w:rsidRDefault="00EF3C33" w:rsidP="00693B4D">
      <w:pPr>
        <w:pStyle w:val="SCCSystemYear"/>
        <w:widowControl w:val="0"/>
        <w:spacing w:after="720"/>
        <w:jc w:val="both"/>
        <w:rPr>
          <w:rStyle w:val="SCCAppellantForRunningHeadChar"/>
          <w:b w:val="0"/>
          <w:smallCaps w:val="0"/>
          <w:lang w:val="fr-CA"/>
        </w:rPr>
      </w:pPr>
    </w:p>
    <w:p w:rsidR="00693B4D" w:rsidRPr="00693B4D" w:rsidRDefault="00693B4D" w:rsidP="00693B4D">
      <w:pPr>
        <w:pStyle w:val="SCCSystemYear"/>
        <w:widowControl w:val="0"/>
        <w:spacing w:after="720"/>
        <w:jc w:val="both"/>
        <w:rPr>
          <w:b w:val="0"/>
          <w:lang w:val="en-US"/>
        </w:rPr>
      </w:pPr>
      <w:r w:rsidRPr="00693B4D">
        <w:rPr>
          <w:rStyle w:val="SCCAppellantForRunningHeadChar"/>
          <w:b w:val="0"/>
          <w:smallCaps w:val="0"/>
        </w:rPr>
        <w:t>R</w:t>
      </w:r>
      <w:r w:rsidR="00886B8D" w:rsidRPr="00693B4D">
        <w:rPr>
          <w:rStyle w:val="SCCAppellantForRunningHeadChar"/>
          <w:b w:val="0"/>
          <w:smallCaps w:val="0"/>
        </w:rPr>
        <w:t xml:space="preserve">. </w:t>
      </w:r>
      <w:r w:rsidR="00886B8D" w:rsidRPr="00693B4D">
        <w:rPr>
          <w:b w:val="0"/>
          <w:i/>
          <w:lang w:val="en-US"/>
        </w:rPr>
        <w:t>c</w:t>
      </w:r>
      <w:r w:rsidR="00886B8D" w:rsidRPr="00693B4D">
        <w:rPr>
          <w:b w:val="0"/>
          <w:i/>
          <w:smallCaps/>
          <w:lang w:val="en-US"/>
        </w:rPr>
        <w:t>.</w:t>
      </w:r>
      <w:r w:rsidR="00886B8D" w:rsidRPr="00693B4D">
        <w:rPr>
          <w:b w:val="0"/>
          <w:smallCaps/>
          <w:lang w:val="en-US"/>
        </w:rPr>
        <w:t xml:space="preserve"> </w:t>
      </w:r>
      <w:r w:rsidRPr="00693B4D">
        <w:rPr>
          <w:rStyle w:val="SCCAppellantForRunningHeadChar"/>
          <w:b w:val="0"/>
          <w:smallCaps w:val="0"/>
        </w:rPr>
        <w:t>B</w:t>
      </w:r>
      <w:r w:rsidR="004D7D95" w:rsidRPr="00693B4D">
        <w:rPr>
          <w:rStyle w:val="SCCAppellantForRunningHeadChar"/>
          <w:b w:val="0"/>
          <w:smallCaps w:val="0"/>
        </w:rPr>
        <w:t>arabash</w:t>
      </w:r>
      <w:r w:rsidRPr="00693B4D">
        <w:rPr>
          <w:rStyle w:val="SCCAppellantForRunningHeadChar"/>
          <w:b w:val="0"/>
          <w:smallCaps w:val="0"/>
        </w:rPr>
        <w:t xml:space="preserve">, </w:t>
      </w:r>
      <w:r w:rsidRPr="00693B4D">
        <w:rPr>
          <w:b w:val="0"/>
          <w:lang w:val="en-US"/>
        </w:rPr>
        <w:t>2015 CSC 29</w:t>
      </w:r>
      <w:r w:rsidRPr="00693B4D">
        <w:rPr>
          <w:b w:val="0"/>
          <w:smallCaps/>
          <w:lang w:val="en-US"/>
        </w:rPr>
        <w:t>, [2015] 2 R.C.S. 522</w:t>
      </w:r>
    </w:p>
    <w:p w:rsidR="004D7D95" w:rsidRPr="00693B4D" w:rsidRDefault="004D7D95" w:rsidP="00BC42A6">
      <w:pPr>
        <w:widowControl w:val="0"/>
        <w:spacing w:after="720"/>
        <w:jc w:val="both"/>
        <w:rPr>
          <w:smallCaps/>
          <w:lang w:val="en-US"/>
        </w:rPr>
      </w:pPr>
    </w:p>
    <w:p w:rsidR="002A3EE3" w:rsidRPr="000F1355" w:rsidRDefault="00541C43" w:rsidP="00BC42A6">
      <w:pPr>
        <w:pStyle w:val="SCCLsocLastPartyInRole"/>
        <w:widowControl w:val="0"/>
      </w:pPr>
      <w:r w:rsidRPr="000F1355">
        <w:t>Donald Jerry Barabash</w:t>
      </w:r>
      <w:r w:rsidRPr="000F1355">
        <w:rPr>
          <w:rStyle w:val="SCCLsocPartyRole"/>
        </w:rPr>
        <w:tab/>
        <w:t>Appelant</w:t>
      </w:r>
    </w:p>
    <w:p w:rsidR="002A3EE3" w:rsidRPr="00EF3C33" w:rsidRDefault="00541C43" w:rsidP="00BC42A6">
      <w:pPr>
        <w:pStyle w:val="SCCLsocVersus"/>
        <w:widowControl w:val="0"/>
        <w:rPr>
          <w:lang w:val="en-US"/>
        </w:rPr>
      </w:pPr>
      <w:r w:rsidRPr="00EF3C33">
        <w:rPr>
          <w:lang w:val="en-US"/>
        </w:rPr>
        <w:t>c.</w:t>
      </w:r>
    </w:p>
    <w:p w:rsidR="002A3EE3" w:rsidRPr="000F1355" w:rsidRDefault="00541C43" w:rsidP="00BC42A6">
      <w:pPr>
        <w:pStyle w:val="SCCLsocLastPartyInRole"/>
        <w:widowControl w:val="0"/>
        <w:rPr>
          <w:lang w:val="fr-CA"/>
        </w:rPr>
      </w:pPr>
      <w:r w:rsidRPr="000F1355">
        <w:rPr>
          <w:lang w:val="fr-CA"/>
        </w:rPr>
        <w:t>Sa Majesté la Reine</w:t>
      </w:r>
      <w:r w:rsidRPr="000F1355">
        <w:rPr>
          <w:rStyle w:val="SCCLsocPartyRole"/>
          <w:lang w:val="fr-CA"/>
        </w:rPr>
        <w:tab/>
        <w:t>Intimée</w:t>
      </w:r>
    </w:p>
    <w:p w:rsidR="002A3EE3" w:rsidRPr="000F1355" w:rsidRDefault="00BC42A6" w:rsidP="00BC42A6">
      <w:pPr>
        <w:pStyle w:val="SCCLsocOtherPartySeparator"/>
        <w:widowControl w:val="0"/>
        <w:rPr>
          <w:lang w:val="fr-CA"/>
        </w:rPr>
      </w:pPr>
      <w:r>
        <w:rPr>
          <w:lang w:val="fr-CA"/>
        </w:rPr>
        <w:t>-</w:t>
      </w:r>
      <w:r w:rsidR="00886B8D" w:rsidRPr="000F1355">
        <w:rPr>
          <w:lang w:val="fr-CA"/>
        </w:rPr>
        <w:t xml:space="preserve"> </w:t>
      </w:r>
      <w:r w:rsidR="00541C43" w:rsidRPr="000F1355">
        <w:rPr>
          <w:lang w:val="fr-CA"/>
        </w:rPr>
        <w:t>et</w:t>
      </w:r>
      <w:r w:rsidR="00886B8D" w:rsidRPr="000F1355">
        <w:rPr>
          <w:lang w:val="fr-CA"/>
        </w:rPr>
        <w:t xml:space="preserve"> </w:t>
      </w:r>
      <w:r>
        <w:rPr>
          <w:lang w:val="fr-CA"/>
        </w:rPr>
        <w:t>-</w:t>
      </w:r>
    </w:p>
    <w:p w:rsidR="00886B8D" w:rsidRPr="000F1355" w:rsidRDefault="00886B8D" w:rsidP="00BC42A6">
      <w:pPr>
        <w:pStyle w:val="SCCLsocLastPartyInRole"/>
        <w:widowControl w:val="0"/>
        <w:rPr>
          <w:lang w:val="fr-CA"/>
        </w:rPr>
      </w:pPr>
      <w:r w:rsidRPr="000F1355">
        <w:rPr>
          <w:lang w:val="fr-CA"/>
        </w:rPr>
        <w:t>Shane Gordon Rollison</w:t>
      </w:r>
      <w:r w:rsidRPr="000F1355">
        <w:rPr>
          <w:rStyle w:val="SCCLsocPartyRole"/>
          <w:lang w:val="fr-CA"/>
        </w:rPr>
        <w:tab/>
        <w:t>Appelant</w:t>
      </w:r>
    </w:p>
    <w:p w:rsidR="00886B8D" w:rsidRPr="000F1355" w:rsidRDefault="00886B8D" w:rsidP="00BC42A6">
      <w:pPr>
        <w:pStyle w:val="SCCLsocVersus"/>
        <w:widowControl w:val="0"/>
        <w:rPr>
          <w:lang w:val="fr-CA"/>
        </w:rPr>
      </w:pPr>
      <w:r w:rsidRPr="000F1355">
        <w:rPr>
          <w:lang w:val="fr-CA"/>
        </w:rPr>
        <w:t>c.</w:t>
      </w:r>
    </w:p>
    <w:p w:rsidR="00886B8D" w:rsidRPr="000F1355" w:rsidRDefault="00886B8D" w:rsidP="00BC42A6">
      <w:pPr>
        <w:pStyle w:val="SCCLsocLastPartyInRole"/>
        <w:widowControl w:val="0"/>
        <w:rPr>
          <w:lang w:val="fr-CA"/>
        </w:rPr>
      </w:pPr>
      <w:r w:rsidRPr="000F1355">
        <w:rPr>
          <w:lang w:val="fr-CA"/>
        </w:rPr>
        <w:t>Sa Majesté la Reine</w:t>
      </w:r>
      <w:r w:rsidRPr="000F1355">
        <w:rPr>
          <w:rStyle w:val="SCCLsocPartyRole"/>
          <w:lang w:val="fr-CA"/>
        </w:rPr>
        <w:tab/>
        <w:t>Intimée</w:t>
      </w:r>
    </w:p>
    <w:p w:rsidR="00886B8D" w:rsidRPr="000F1355" w:rsidRDefault="00886B8D" w:rsidP="00BC42A6">
      <w:pPr>
        <w:pStyle w:val="SCCLsocOtherPartySeparator"/>
        <w:widowControl w:val="0"/>
        <w:rPr>
          <w:lang w:val="fr-CA"/>
        </w:rPr>
      </w:pPr>
      <w:r w:rsidRPr="000F1355">
        <w:rPr>
          <w:lang w:val="fr-CA"/>
        </w:rPr>
        <w:t>et</w:t>
      </w:r>
    </w:p>
    <w:p w:rsidR="002A3EE3" w:rsidRPr="000F1355" w:rsidRDefault="00541C43" w:rsidP="00BC42A6">
      <w:pPr>
        <w:pStyle w:val="SCCLsocParty"/>
        <w:widowControl w:val="0"/>
        <w:rPr>
          <w:lang w:val="fr-CA"/>
        </w:rPr>
      </w:pPr>
      <w:r w:rsidRPr="000F1355">
        <w:rPr>
          <w:lang w:val="fr-CA"/>
        </w:rPr>
        <w:t>Procureur général du Canada,</w:t>
      </w:r>
    </w:p>
    <w:p w:rsidR="002A3EE3" w:rsidRPr="000F1355" w:rsidRDefault="00886B8D" w:rsidP="00BC42A6">
      <w:pPr>
        <w:pStyle w:val="SCCLsocParty"/>
        <w:widowControl w:val="0"/>
        <w:rPr>
          <w:lang w:val="fr-CA"/>
        </w:rPr>
      </w:pPr>
      <w:r w:rsidRPr="000F1355">
        <w:rPr>
          <w:lang w:val="fr-CA"/>
        </w:rPr>
        <w:t>p</w:t>
      </w:r>
      <w:r w:rsidR="00541C43" w:rsidRPr="000F1355">
        <w:rPr>
          <w:lang w:val="fr-CA"/>
        </w:rPr>
        <w:t>rocureur général de l</w:t>
      </w:r>
      <w:r w:rsidRPr="000F1355">
        <w:rPr>
          <w:lang w:val="fr-CA"/>
        </w:rPr>
        <w:t>’</w:t>
      </w:r>
      <w:r w:rsidR="00541C43" w:rsidRPr="000F1355">
        <w:rPr>
          <w:lang w:val="fr-CA"/>
        </w:rPr>
        <w:t>Ontario,</w:t>
      </w:r>
    </w:p>
    <w:p w:rsidR="002A3EE3" w:rsidRPr="000F1355" w:rsidRDefault="00886B8D" w:rsidP="00BC42A6">
      <w:pPr>
        <w:pStyle w:val="SCCLsocParty"/>
        <w:widowControl w:val="0"/>
        <w:rPr>
          <w:lang w:val="fr-CA"/>
        </w:rPr>
      </w:pPr>
      <w:r w:rsidRPr="000F1355">
        <w:rPr>
          <w:lang w:val="fr-CA"/>
        </w:rPr>
        <w:t>Association c</w:t>
      </w:r>
      <w:r w:rsidR="00541C43" w:rsidRPr="000F1355">
        <w:rPr>
          <w:lang w:val="fr-CA"/>
        </w:rPr>
        <w:t>anadienne des libertés civiles,</w:t>
      </w:r>
    </w:p>
    <w:p w:rsidR="00ED5D02" w:rsidRPr="000F1355" w:rsidRDefault="00ED5D02" w:rsidP="00BC42A6">
      <w:pPr>
        <w:pStyle w:val="SCCLsocParty"/>
        <w:widowControl w:val="0"/>
        <w:rPr>
          <w:lang w:val="fr-CA"/>
        </w:rPr>
      </w:pPr>
      <w:r w:rsidRPr="000F1355">
        <w:rPr>
          <w:lang w:val="fr-CA"/>
        </w:rPr>
        <w:t>Au</w:t>
      </w:r>
      <w:r w:rsidR="00BC42A6">
        <w:rPr>
          <w:lang w:val="fr-CA"/>
        </w:rPr>
        <w:t>-</w:t>
      </w:r>
      <w:r w:rsidRPr="000F1355">
        <w:rPr>
          <w:lang w:val="fr-CA"/>
        </w:rPr>
        <w:t>delà des frontières et</w:t>
      </w:r>
      <w:r w:rsidR="00541C43" w:rsidRPr="000F1355">
        <w:rPr>
          <w:lang w:val="fr-CA"/>
        </w:rPr>
        <w:t xml:space="preserve"> </w:t>
      </w:r>
    </w:p>
    <w:p w:rsidR="002A3EE3" w:rsidRPr="000F1355" w:rsidRDefault="00ED5D02" w:rsidP="00BC42A6">
      <w:pPr>
        <w:pStyle w:val="SCCLsocLastPartyInRole"/>
        <w:widowControl w:val="0"/>
        <w:rPr>
          <w:lang w:val="fr-CA"/>
        </w:rPr>
      </w:pPr>
      <w:r w:rsidRPr="000F1355">
        <w:rPr>
          <w:lang w:val="fr-CA"/>
        </w:rPr>
        <w:t>Centre canadien de protection de l’enfance inc.</w:t>
      </w:r>
      <w:r w:rsidR="00541C43" w:rsidRPr="000F1355">
        <w:rPr>
          <w:rStyle w:val="SCCLsocPartyRole"/>
          <w:lang w:val="fr-CA"/>
        </w:rPr>
        <w:tab/>
        <w:t>Intervenants</w:t>
      </w:r>
    </w:p>
    <w:p w:rsidR="004D7D95" w:rsidRPr="000F1355" w:rsidRDefault="004D7D95" w:rsidP="00BC42A6">
      <w:pPr>
        <w:widowControl w:val="0"/>
        <w:spacing w:after="720"/>
        <w:jc w:val="both"/>
        <w:rPr>
          <w:b/>
          <w:lang w:val="fr-CA"/>
        </w:rPr>
      </w:pPr>
      <w:r w:rsidRPr="000F1355">
        <w:rPr>
          <w:b/>
          <w:lang w:val="fr-CA"/>
        </w:rPr>
        <w:t>Répertorié</w:t>
      </w:r>
      <w:r w:rsidR="00BC42A6">
        <w:rPr>
          <w:b/>
          <w:lang w:val="fr-CA"/>
        </w:rPr>
        <w:t xml:space="preserve"> : </w:t>
      </w:r>
      <w:r w:rsidR="00ED5D02" w:rsidRPr="000F1355">
        <w:rPr>
          <w:b/>
          <w:lang w:val="fr-CA"/>
        </w:rPr>
        <w:t xml:space="preserve">R. </w:t>
      </w:r>
      <w:r w:rsidR="00ED5D02" w:rsidRPr="000F1355">
        <w:rPr>
          <w:b/>
          <w:i/>
          <w:lang w:val="fr-CA"/>
        </w:rPr>
        <w:t>c.</w:t>
      </w:r>
      <w:r w:rsidR="00ED5D02" w:rsidRPr="000F1355">
        <w:rPr>
          <w:b/>
          <w:lang w:val="fr-CA"/>
        </w:rPr>
        <w:t xml:space="preserve"> </w:t>
      </w:r>
      <w:r w:rsidRPr="000F1355">
        <w:rPr>
          <w:rStyle w:val="SCCAppellantForIndexChar"/>
          <w:lang w:val="fr-CA"/>
        </w:rPr>
        <w:t>Barabash</w:t>
      </w:r>
    </w:p>
    <w:p w:rsidR="004D7D95" w:rsidRPr="000F1355" w:rsidRDefault="00F62639" w:rsidP="00BC42A6">
      <w:pPr>
        <w:pStyle w:val="SCCSystemYear"/>
        <w:widowControl w:val="0"/>
        <w:spacing w:after="720"/>
        <w:jc w:val="both"/>
        <w:rPr>
          <w:lang w:val="fr-CA"/>
        </w:rPr>
      </w:pPr>
      <w:r w:rsidRPr="000F1355">
        <w:rPr>
          <w:lang w:val="fr-CA"/>
        </w:rPr>
        <w:t>2015</w:t>
      </w:r>
      <w:r w:rsidR="004D7D95" w:rsidRPr="000F1355">
        <w:rPr>
          <w:lang w:val="fr-CA"/>
        </w:rPr>
        <w:t xml:space="preserve"> CSC</w:t>
      </w:r>
      <w:r w:rsidR="00BC42A6">
        <w:rPr>
          <w:lang w:val="fr-CA"/>
        </w:rPr>
        <w:t xml:space="preserve"> </w:t>
      </w:r>
      <w:r w:rsidR="008004CF" w:rsidRPr="000F1355">
        <w:rPr>
          <w:lang w:val="fr-CA"/>
        </w:rPr>
        <w:t>29</w:t>
      </w:r>
    </w:p>
    <w:p w:rsidR="004D7D95" w:rsidRPr="000F1355" w:rsidRDefault="004D7D95" w:rsidP="00BC42A6">
      <w:pPr>
        <w:widowControl w:val="0"/>
        <w:spacing w:after="720"/>
        <w:jc w:val="both"/>
        <w:rPr>
          <w:lang w:val="fr-CA"/>
        </w:rPr>
      </w:pPr>
      <w:r w:rsidRPr="000F1355">
        <w:rPr>
          <w:lang w:val="fr-CA"/>
        </w:rPr>
        <w:lastRenderedPageBreak/>
        <w:t>N</w:t>
      </w:r>
      <w:r w:rsidRPr="000F1355">
        <w:rPr>
          <w:vertAlign w:val="superscript"/>
          <w:lang w:val="fr-CA"/>
        </w:rPr>
        <w:t>o</w:t>
      </w:r>
      <w:r w:rsidR="00886B8D" w:rsidRPr="000F1355">
        <w:rPr>
          <w:vertAlign w:val="superscript"/>
          <w:lang w:val="fr-CA"/>
        </w:rPr>
        <w:t>s</w:t>
      </w:r>
      <w:r w:rsidRPr="000F1355">
        <w:rPr>
          <w:lang w:val="fr-CA"/>
        </w:rPr>
        <w:t xml:space="preserve"> du greffe</w:t>
      </w:r>
      <w:r w:rsidR="00BC42A6">
        <w:rPr>
          <w:lang w:val="fr-CA"/>
        </w:rPr>
        <w:t xml:space="preserve"> : </w:t>
      </w:r>
      <w:r w:rsidRPr="000F1355">
        <w:rPr>
          <w:lang w:val="fr-CA"/>
        </w:rPr>
        <w:t>35977</w:t>
      </w:r>
      <w:r w:rsidR="00886B8D" w:rsidRPr="000F1355">
        <w:rPr>
          <w:lang w:val="fr-CA"/>
        </w:rPr>
        <w:t>, 36064</w:t>
      </w:r>
      <w:r w:rsidRPr="000F1355">
        <w:rPr>
          <w:lang w:val="fr-CA"/>
        </w:rPr>
        <w:t>.</w:t>
      </w:r>
    </w:p>
    <w:p w:rsidR="004D7D95" w:rsidRPr="000F1355" w:rsidRDefault="00F62639" w:rsidP="00BC42A6">
      <w:pPr>
        <w:widowControl w:val="0"/>
        <w:spacing w:after="720"/>
        <w:jc w:val="both"/>
        <w:rPr>
          <w:lang w:val="fr-CA"/>
        </w:rPr>
      </w:pPr>
      <w:r w:rsidRPr="000F1355">
        <w:rPr>
          <w:lang w:val="fr-CA"/>
        </w:rPr>
        <w:t>2015</w:t>
      </w:r>
      <w:r w:rsidR="00BC42A6">
        <w:rPr>
          <w:lang w:val="fr-CA"/>
        </w:rPr>
        <w:t xml:space="preserve"> : </w:t>
      </w:r>
      <w:r w:rsidRPr="000F1355">
        <w:rPr>
          <w:lang w:val="fr-CA"/>
        </w:rPr>
        <w:t>16</w:t>
      </w:r>
      <w:r w:rsidR="00BC42A6">
        <w:rPr>
          <w:lang w:val="fr-CA"/>
        </w:rPr>
        <w:t xml:space="preserve"> </w:t>
      </w:r>
      <w:r w:rsidRPr="000F1355">
        <w:rPr>
          <w:lang w:val="fr-CA"/>
        </w:rPr>
        <w:t>janvier</w:t>
      </w:r>
      <w:r w:rsidR="004D7D95" w:rsidRPr="000F1355">
        <w:rPr>
          <w:lang w:val="fr-CA"/>
        </w:rPr>
        <w:t xml:space="preserve">; </w:t>
      </w:r>
      <w:r w:rsidR="00886B8D" w:rsidRPr="000F1355">
        <w:rPr>
          <w:lang w:val="fr-CA"/>
        </w:rPr>
        <w:t>2015</w:t>
      </w:r>
      <w:r w:rsidR="00BC42A6">
        <w:rPr>
          <w:lang w:val="fr-CA"/>
        </w:rPr>
        <w:t xml:space="preserve"> : </w:t>
      </w:r>
      <w:r w:rsidR="00A74971" w:rsidRPr="000F1355">
        <w:rPr>
          <w:lang w:val="fr-CA"/>
        </w:rPr>
        <w:t>22</w:t>
      </w:r>
      <w:r w:rsidR="00BC42A6">
        <w:rPr>
          <w:lang w:val="fr-CA"/>
        </w:rPr>
        <w:t xml:space="preserve"> </w:t>
      </w:r>
      <w:r w:rsidR="00DA777A" w:rsidRPr="000F1355">
        <w:rPr>
          <w:lang w:val="fr-CA"/>
        </w:rPr>
        <w:t>mai</w:t>
      </w:r>
      <w:r w:rsidR="004D7D95" w:rsidRPr="000F1355">
        <w:rPr>
          <w:lang w:val="fr-CA"/>
        </w:rPr>
        <w:t>.</w:t>
      </w:r>
    </w:p>
    <w:p w:rsidR="004D7D95" w:rsidRPr="000F1355" w:rsidRDefault="004D7D95" w:rsidP="00BC42A6">
      <w:pPr>
        <w:widowControl w:val="0"/>
        <w:spacing w:after="720"/>
        <w:jc w:val="both"/>
        <w:rPr>
          <w:lang w:val="fr-CA"/>
        </w:rPr>
      </w:pPr>
      <w:r w:rsidRPr="000F1355">
        <w:rPr>
          <w:lang w:val="fr-CA"/>
        </w:rPr>
        <w:t>Présents</w:t>
      </w:r>
      <w:r w:rsidR="00BC42A6">
        <w:rPr>
          <w:lang w:val="fr-CA"/>
        </w:rPr>
        <w:t xml:space="preserve"> : </w:t>
      </w:r>
      <w:r w:rsidRPr="000F1355">
        <w:rPr>
          <w:lang w:val="fr-CA"/>
        </w:rPr>
        <w:t>La juge en chef McLachlin et les juges Abella, Rothstein, Cromwell, Moldaver, Karakatsanis, Wagner, Gascon et Côté.</w:t>
      </w:r>
    </w:p>
    <w:p w:rsidR="004D7D95" w:rsidRPr="000F1355" w:rsidRDefault="004D7D95" w:rsidP="00BC42A6">
      <w:pPr>
        <w:widowControl w:val="0"/>
        <w:spacing w:before="480" w:after="480" w:line="480" w:lineRule="auto"/>
        <w:jc w:val="both"/>
        <w:rPr>
          <w:smallCaps/>
          <w:lang w:val="fr-CA"/>
        </w:rPr>
      </w:pPr>
      <w:r w:rsidRPr="000F1355">
        <w:rPr>
          <w:smallCaps/>
          <w:lang w:val="fr-CA"/>
        </w:rPr>
        <w:t>en appel de la cour d</w:t>
      </w:r>
      <w:r w:rsidR="00886B8D" w:rsidRPr="000F1355">
        <w:rPr>
          <w:smallCaps/>
          <w:lang w:val="fr-CA"/>
        </w:rPr>
        <w:t>’</w:t>
      </w:r>
      <w:r w:rsidRPr="000F1355">
        <w:rPr>
          <w:smallCaps/>
          <w:lang w:val="fr-CA"/>
        </w:rPr>
        <w:t>appel de l</w:t>
      </w:r>
      <w:r w:rsidR="00886B8D" w:rsidRPr="000F1355">
        <w:rPr>
          <w:smallCaps/>
          <w:lang w:val="fr-CA"/>
        </w:rPr>
        <w:t>’</w:t>
      </w:r>
      <w:r w:rsidRPr="000F1355">
        <w:rPr>
          <w:smallCaps/>
          <w:lang w:val="fr-CA"/>
        </w:rPr>
        <w:t>alberta</w:t>
      </w:r>
    </w:p>
    <w:p w:rsidR="004D7D95" w:rsidRPr="000F1355" w:rsidRDefault="004D7D95" w:rsidP="00BC42A6">
      <w:pPr>
        <w:pStyle w:val="SCCNormalDoubleSpacing"/>
        <w:widowControl w:val="0"/>
        <w:spacing w:before="480" w:after="480"/>
        <w:rPr>
          <w:i/>
          <w:lang w:val="fr-CA"/>
        </w:rPr>
      </w:pPr>
      <w:r w:rsidRPr="000F1355">
        <w:rPr>
          <w:lang w:val="fr-CA"/>
        </w:rPr>
        <w:tab/>
      </w:r>
      <w:r w:rsidR="009E5760" w:rsidRPr="000F1355">
        <w:rPr>
          <w:i/>
          <w:lang w:val="fr-CA"/>
        </w:rPr>
        <w:t>Droit criminel — Pornographie juvénile — Moyens de défense — Excepti</w:t>
      </w:r>
      <w:r w:rsidR="00BC238D" w:rsidRPr="000F1355">
        <w:rPr>
          <w:i/>
          <w:lang w:val="fr-CA"/>
        </w:rPr>
        <w:t xml:space="preserve">on relative à l’usage personnel </w:t>
      </w:r>
      <w:r w:rsidR="009E5760" w:rsidRPr="000F1355">
        <w:rPr>
          <w:i/>
          <w:lang w:val="fr-CA"/>
        </w:rPr>
        <w:t>— Accusations de pornographie juvénile —</w:t>
      </w:r>
      <w:r w:rsidR="009923F3">
        <w:rPr>
          <w:i/>
          <w:lang w:val="fr-CA"/>
        </w:rPr>
        <w:t xml:space="preserve"> </w:t>
      </w:r>
      <w:r w:rsidR="00DF094C" w:rsidRPr="000F1355">
        <w:rPr>
          <w:i/>
          <w:lang w:val="fr-CA"/>
        </w:rPr>
        <w:t>Accusés invoquant en défense que</w:t>
      </w:r>
      <w:r w:rsidR="009E5760" w:rsidRPr="000F1355">
        <w:rPr>
          <w:i/>
          <w:lang w:val="fr-CA"/>
        </w:rPr>
        <w:t xml:space="preserve"> l’activité sexuelle était légale et </w:t>
      </w:r>
      <w:r w:rsidR="00C85D56" w:rsidRPr="000F1355">
        <w:rPr>
          <w:i/>
          <w:lang w:val="fr-CA"/>
        </w:rPr>
        <w:t>consensuelle</w:t>
      </w:r>
      <w:r w:rsidR="009E5760" w:rsidRPr="000F1355">
        <w:rPr>
          <w:i/>
          <w:lang w:val="fr-CA"/>
        </w:rPr>
        <w:t xml:space="preserve"> et l</w:t>
      </w:r>
      <w:r w:rsidR="00DF28CB" w:rsidRPr="000F1355">
        <w:rPr>
          <w:i/>
          <w:lang w:val="fr-CA"/>
        </w:rPr>
        <w:t xml:space="preserve">es </w:t>
      </w:r>
      <w:r w:rsidR="009E5760" w:rsidRPr="000F1355">
        <w:rPr>
          <w:i/>
          <w:lang w:val="fr-CA"/>
        </w:rPr>
        <w:t>enregistrement</w:t>
      </w:r>
      <w:r w:rsidR="00DF28CB" w:rsidRPr="000F1355">
        <w:rPr>
          <w:i/>
          <w:lang w:val="fr-CA"/>
        </w:rPr>
        <w:t>s</w:t>
      </w:r>
      <w:r w:rsidR="009E5760" w:rsidRPr="000F1355">
        <w:rPr>
          <w:i/>
          <w:lang w:val="fr-CA"/>
        </w:rPr>
        <w:t xml:space="preserve"> étai</w:t>
      </w:r>
      <w:r w:rsidR="00DF28CB" w:rsidRPr="000F1355">
        <w:rPr>
          <w:i/>
          <w:lang w:val="fr-CA"/>
        </w:rPr>
        <w:t>en</w:t>
      </w:r>
      <w:r w:rsidR="009E5760" w:rsidRPr="000F1355">
        <w:rPr>
          <w:i/>
          <w:lang w:val="fr-CA"/>
        </w:rPr>
        <w:t>t conservé</w:t>
      </w:r>
      <w:r w:rsidR="00DF28CB" w:rsidRPr="000F1355">
        <w:rPr>
          <w:i/>
          <w:lang w:val="fr-CA"/>
        </w:rPr>
        <w:t>s</w:t>
      </w:r>
      <w:r w:rsidR="009E5760" w:rsidRPr="000F1355">
        <w:rPr>
          <w:i/>
          <w:lang w:val="fr-CA"/>
        </w:rPr>
        <w:t xml:space="preserve"> pour l’usage personnel</w:t>
      </w:r>
      <w:r w:rsidR="004752BB" w:rsidRPr="000F1355">
        <w:rPr>
          <w:i/>
          <w:lang w:val="fr-CA"/>
        </w:rPr>
        <w:t xml:space="preserve"> — Légalité de l’activité sexuelle contestée par le ministère public</w:t>
      </w:r>
      <w:r w:rsidR="00C85D56" w:rsidRPr="000F1355">
        <w:rPr>
          <w:i/>
          <w:lang w:val="fr-CA"/>
        </w:rPr>
        <w:t xml:space="preserve"> </w:t>
      </w:r>
      <w:r w:rsidR="005073B6" w:rsidRPr="000F1355">
        <w:rPr>
          <w:i/>
          <w:lang w:val="fr-CA"/>
        </w:rPr>
        <w:t>sur le fondement de l’exploitation d</w:t>
      </w:r>
      <w:r w:rsidR="004752BB" w:rsidRPr="000F1355">
        <w:rPr>
          <w:i/>
          <w:lang w:val="fr-CA"/>
        </w:rPr>
        <w:t>es adolescentes</w:t>
      </w:r>
      <w:r w:rsidR="003B2182" w:rsidRPr="000F1355">
        <w:rPr>
          <w:i/>
          <w:lang w:val="fr-CA"/>
        </w:rPr>
        <w:t xml:space="preserve"> </w:t>
      </w:r>
      <w:r w:rsidR="004752BB" w:rsidRPr="000F1355">
        <w:rPr>
          <w:i/>
          <w:lang w:val="fr-CA"/>
        </w:rPr>
        <w:t>— L’exception relative à l’usage personnel</w:t>
      </w:r>
      <w:r w:rsidR="003D240C">
        <w:rPr>
          <w:i/>
          <w:lang w:val="fr-CA"/>
        </w:rPr>
        <w:t xml:space="preserve"> </w:t>
      </w:r>
      <w:r w:rsidR="0023087C" w:rsidRPr="000F1355">
        <w:rPr>
          <w:i/>
          <w:lang w:val="fr-CA"/>
        </w:rPr>
        <w:t>command</w:t>
      </w:r>
      <w:r w:rsidR="004752BB" w:rsidRPr="000F1355">
        <w:rPr>
          <w:i/>
          <w:lang w:val="fr-CA"/>
        </w:rPr>
        <w:t>e</w:t>
      </w:r>
      <w:r w:rsidR="00BC42A6">
        <w:rPr>
          <w:i/>
          <w:lang w:val="fr-CA"/>
        </w:rPr>
        <w:t>-</w:t>
      </w:r>
      <w:r w:rsidR="004752BB" w:rsidRPr="000F1355">
        <w:rPr>
          <w:i/>
          <w:lang w:val="fr-CA"/>
        </w:rPr>
        <w:t>t</w:t>
      </w:r>
      <w:r w:rsidR="00BC42A6">
        <w:rPr>
          <w:i/>
          <w:lang w:val="fr-CA"/>
        </w:rPr>
        <w:t>-</w:t>
      </w:r>
      <w:r w:rsidR="004752BB" w:rsidRPr="000F1355">
        <w:rPr>
          <w:i/>
          <w:lang w:val="fr-CA"/>
        </w:rPr>
        <w:t xml:space="preserve">elle </w:t>
      </w:r>
      <w:r w:rsidR="00C85D56" w:rsidRPr="000F1355">
        <w:rPr>
          <w:i/>
          <w:lang w:val="fr-CA"/>
        </w:rPr>
        <w:t>un examen</w:t>
      </w:r>
      <w:r w:rsidR="004752BB" w:rsidRPr="000F1355">
        <w:rPr>
          <w:i/>
          <w:lang w:val="fr-CA"/>
        </w:rPr>
        <w:t xml:space="preserve"> supplémentaire distinct de </w:t>
      </w:r>
      <w:r w:rsidR="00C85D56" w:rsidRPr="000F1355">
        <w:rPr>
          <w:i/>
          <w:lang w:val="fr-CA"/>
        </w:rPr>
        <w:t xml:space="preserve">la question de </w:t>
      </w:r>
      <w:r w:rsidR="004752BB" w:rsidRPr="000F1355">
        <w:rPr>
          <w:i/>
          <w:lang w:val="fr-CA"/>
        </w:rPr>
        <w:t>l’exploitation</w:t>
      </w:r>
      <w:r w:rsidR="003915A7" w:rsidRPr="000F1355">
        <w:rPr>
          <w:i/>
          <w:lang w:val="fr-CA"/>
        </w:rPr>
        <w:t>,</w:t>
      </w:r>
      <w:r w:rsidR="004752BB" w:rsidRPr="000F1355">
        <w:rPr>
          <w:i/>
          <w:lang w:val="fr-CA"/>
        </w:rPr>
        <w:t xml:space="preserve"> ou ce</w:t>
      </w:r>
      <w:r w:rsidR="00C85D56" w:rsidRPr="000F1355">
        <w:rPr>
          <w:i/>
          <w:lang w:val="fr-CA"/>
        </w:rPr>
        <w:t>tte question</w:t>
      </w:r>
      <w:r w:rsidR="004752BB" w:rsidRPr="000F1355">
        <w:rPr>
          <w:i/>
          <w:lang w:val="fr-CA"/>
        </w:rPr>
        <w:t xml:space="preserve"> est</w:t>
      </w:r>
      <w:r w:rsidR="00BC42A6">
        <w:rPr>
          <w:i/>
          <w:lang w:val="fr-CA"/>
        </w:rPr>
        <w:t>-</w:t>
      </w:r>
      <w:r w:rsidR="004752BB" w:rsidRPr="000F1355">
        <w:rPr>
          <w:i/>
          <w:lang w:val="fr-CA"/>
        </w:rPr>
        <w:t xml:space="preserve">elle </w:t>
      </w:r>
      <w:r w:rsidR="00C85D56" w:rsidRPr="000F1355">
        <w:rPr>
          <w:i/>
          <w:lang w:val="fr-CA"/>
        </w:rPr>
        <w:t>pris</w:t>
      </w:r>
      <w:r w:rsidR="004752BB" w:rsidRPr="000F1355">
        <w:rPr>
          <w:i/>
          <w:lang w:val="fr-CA"/>
        </w:rPr>
        <w:t xml:space="preserve">e </w:t>
      </w:r>
      <w:r w:rsidR="0023087C" w:rsidRPr="000F1355">
        <w:rPr>
          <w:i/>
          <w:lang w:val="fr-CA"/>
        </w:rPr>
        <w:t xml:space="preserve">en compte dans </w:t>
      </w:r>
      <w:r w:rsidR="00C85D56" w:rsidRPr="000F1355">
        <w:rPr>
          <w:i/>
          <w:lang w:val="fr-CA"/>
        </w:rPr>
        <w:t>l’analys</w:t>
      </w:r>
      <w:r w:rsidR="004752BB" w:rsidRPr="000F1355">
        <w:rPr>
          <w:i/>
          <w:lang w:val="fr-CA"/>
        </w:rPr>
        <w:t xml:space="preserve">e de la légalité? — </w:t>
      </w:r>
      <w:r w:rsidR="00C85D56" w:rsidRPr="000F1355">
        <w:rPr>
          <w:i/>
          <w:lang w:val="fr-CA"/>
        </w:rPr>
        <w:t>Pour</w:t>
      </w:r>
      <w:r w:rsidR="004752BB" w:rsidRPr="000F1355">
        <w:rPr>
          <w:i/>
          <w:lang w:val="fr-CA"/>
        </w:rPr>
        <w:t xml:space="preserve"> déci</w:t>
      </w:r>
      <w:r w:rsidR="00C85D56" w:rsidRPr="000F1355">
        <w:rPr>
          <w:i/>
          <w:lang w:val="fr-CA"/>
        </w:rPr>
        <w:t>der</w:t>
      </w:r>
      <w:r w:rsidR="004752BB" w:rsidRPr="000F1355">
        <w:rPr>
          <w:i/>
          <w:lang w:val="fr-CA"/>
        </w:rPr>
        <w:t xml:space="preserve"> d’acquitter les accusés, le juge du procès a</w:t>
      </w:r>
      <w:r w:rsidR="00BC42A6">
        <w:rPr>
          <w:i/>
          <w:lang w:val="fr-CA"/>
        </w:rPr>
        <w:t>-</w:t>
      </w:r>
      <w:r w:rsidR="004752BB" w:rsidRPr="000F1355">
        <w:rPr>
          <w:i/>
          <w:lang w:val="fr-CA"/>
        </w:rPr>
        <w:t>t</w:t>
      </w:r>
      <w:r w:rsidR="00BC42A6">
        <w:rPr>
          <w:i/>
          <w:lang w:val="fr-CA"/>
        </w:rPr>
        <w:t>-</w:t>
      </w:r>
      <w:r w:rsidR="004752BB" w:rsidRPr="000F1355">
        <w:rPr>
          <w:i/>
          <w:lang w:val="fr-CA"/>
        </w:rPr>
        <w:t>il bien interprété l’exception?</w:t>
      </w:r>
      <w:r w:rsidR="00D23456" w:rsidRPr="000F1355">
        <w:rPr>
          <w:i/>
          <w:lang w:val="fr-CA"/>
        </w:rPr>
        <w:t xml:space="preserve"> — </w:t>
      </w:r>
      <w:r w:rsidR="00BD401A" w:rsidRPr="000F1355">
        <w:rPr>
          <w:i/>
          <w:lang w:val="fr-CA"/>
        </w:rPr>
        <w:t xml:space="preserve">Code criminel, L.R.C. </w:t>
      </w:r>
      <w:r w:rsidR="00BC15E4" w:rsidRPr="000F1355">
        <w:rPr>
          <w:i/>
          <w:lang w:val="fr-CA"/>
        </w:rPr>
        <w:t>1985, c.</w:t>
      </w:r>
      <w:r w:rsidR="00BC42A6">
        <w:rPr>
          <w:i/>
          <w:lang w:val="fr-CA"/>
        </w:rPr>
        <w:t xml:space="preserve"> </w:t>
      </w:r>
      <w:r w:rsidR="004752BB" w:rsidRPr="000F1355">
        <w:rPr>
          <w:i/>
          <w:lang w:val="fr-CA"/>
        </w:rPr>
        <w:t>C</w:t>
      </w:r>
      <w:r w:rsidR="00BC42A6">
        <w:rPr>
          <w:i/>
          <w:lang w:val="fr-CA"/>
        </w:rPr>
        <w:t>-</w:t>
      </w:r>
      <w:r w:rsidR="004752BB" w:rsidRPr="000F1355">
        <w:rPr>
          <w:i/>
          <w:lang w:val="fr-CA"/>
        </w:rPr>
        <w:t>46</w:t>
      </w:r>
      <w:r w:rsidR="00D1694C" w:rsidRPr="000F1355">
        <w:rPr>
          <w:i/>
          <w:lang w:val="fr-CA"/>
        </w:rPr>
        <w:t xml:space="preserve">, </w:t>
      </w:r>
      <w:r w:rsidR="00BC238D" w:rsidRPr="000F1355">
        <w:rPr>
          <w:i/>
          <w:lang w:val="fr-CA"/>
        </w:rPr>
        <w:t>art.</w:t>
      </w:r>
      <w:r w:rsidR="00BC42A6">
        <w:rPr>
          <w:i/>
          <w:lang w:val="fr-CA"/>
        </w:rPr>
        <w:t xml:space="preserve"> </w:t>
      </w:r>
      <w:r w:rsidR="00D1694C" w:rsidRPr="000F1355">
        <w:rPr>
          <w:i/>
          <w:lang w:val="fr-CA"/>
        </w:rPr>
        <w:t>163.1.</w:t>
      </w:r>
    </w:p>
    <w:p w:rsidR="003A36D1" w:rsidRPr="000F1355" w:rsidRDefault="004D7D95" w:rsidP="00BC42A6">
      <w:pPr>
        <w:pStyle w:val="SCCNormalDoubleSpacing"/>
        <w:widowControl w:val="0"/>
        <w:spacing w:before="480" w:after="480"/>
        <w:rPr>
          <w:lang w:val="fr-CA"/>
        </w:rPr>
      </w:pPr>
      <w:r w:rsidRPr="000F1355">
        <w:rPr>
          <w:lang w:val="fr-CA"/>
        </w:rPr>
        <w:tab/>
      </w:r>
      <w:r w:rsidR="00BC238D" w:rsidRPr="000F1355">
        <w:rPr>
          <w:lang w:val="fr-CA"/>
        </w:rPr>
        <w:t>Deux adolescentes de 14</w:t>
      </w:r>
      <w:r w:rsidR="00BC42A6">
        <w:rPr>
          <w:lang w:val="fr-CA"/>
        </w:rPr>
        <w:t xml:space="preserve"> </w:t>
      </w:r>
      <w:r w:rsidR="00D1694C" w:rsidRPr="000F1355">
        <w:rPr>
          <w:lang w:val="fr-CA"/>
        </w:rPr>
        <w:t>ans se sont enfuies d’un centre de traitement. Elles sont allées hab</w:t>
      </w:r>
      <w:r w:rsidR="00BC238D" w:rsidRPr="000F1355">
        <w:rPr>
          <w:lang w:val="fr-CA"/>
        </w:rPr>
        <w:t>iter chez l’accusé B, âgé de 60</w:t>
      </w:r>
      <w:r w:rsidR="00BC42A6">
        <w:rPr>
          <w:lang w:val="fr-CA"/>
        </w:rPr>
        <w:t xml:space="preserve"> </w:t>
      </w:r>
      <w:r w:rsidR="00D1694C" w:rsidRPr="000F1355">
        <w:rPr>
          <w:lang w:val="fr-CA"/>
        </w:rPr>
        <w:t>ans</w:t>
      </w:r>
      <w:r w:rsidR="0023087C" w:rsidRPr="000F1355">
        <w:rPr>
          <w:lang w:val="fr-CA"/>
        </w:rPr>
        <w:t>.</w:t>
      </w:r>
      <w:r w:rsidR="00D1694C" w:rsidRPr="000F1355">
        <w:rPr>
          <w:lang w:val="fr-CA"/>
        </w:rPr>
        <w:t xml:space="preserve"> </w:t>
      </w:r>
      <w:r w:rsidR="0023087C" w:rsidRPr="000F1355">
        <w:rPr>
          <w:lang w:val="fr-CA"/>
        </w:rPr>
        <w:t>L</w:t>
      </w:r>
      <w:r w:rsidR="00D1694C" w:rsidRPr="000F1355">
        <w:rPr>
          <w:lang w:val="fr-CA"/>
        </w:rPr>
        <w:t>’autre accusé, R, âgé de 41</w:t>
      </w:r>
      <w:r w:rsidR="00BC42A6">
        <w:rPr>
          <w:lang w:val="fr-CA"/>
        </w:rPr>
        <w:t xml:space="preserve"> </w:t>
      </w:r>
      <w:r w:rsidR="00D1694C" w:rsidRPr="000F1355">
        <w:rPr>
          <w:lang w:val="fr-CA"/>
        </w:rPr>
        <w:t xml:space="preserve">ans, </w:t>
      </w:r>
      <w:r w:rsidR="00276496" w:rsidRPr="000F1355">
        <w:rPr>
          <w:lang w:val="fr-CA"/>
        </w:rPr>
        <w:t>se trouv</w:t>
      </w:r>
      <w:r w:rsidR="00D1694C" w:rsidRPr="000F1355">
        <w:rPr>
          <w:lang w:val="fr-CA"/>
        </w:rPr>
        <w:t>ait régulièrement</w:t>
      </w:r>
      <w:r w:rsidR="0023087C" w:rsidRPr="000F1355">
        <w:rPr>
          <w:lang w:val="fr-CA"/>
        </w:rPr>
        <w:t xml:space="preserve"> chez B</w:t>
      </w:r>
      <w:r w:rsidR="00D1694C" w:rsidRPr="000F1355">
        <w:rPr>
          <w:lang w:val="fr-CA"/>
        </w:rPr>
        <w:t xml:space="preserve">. Les adolescentes ont pris part </w:t>
      </w:r>
      <w:r w:rsidR="003915A7" w:rsidRPr="000F1355">
        <w:rPr>
          <w:lang w:val="fr-CA"/>
        </w:rPr>
        <w:t xml:space="preserve">— l’une avec l’autre et avec R — </w:t>
      </w:r>
      <w:r w:rsidR="00D1694C" w:rsidRPr="000F1355">
        <w:rPr>
          <w:lang w:val="fr-CA"/>
        </w:rPr>
        <w:t xml:space="preserve">à des actes sexuels </w:t>
      </w:r>
      <w:r w:rsidR="00276496" w:rsidRPr="000F1355">
        <w:rPr>
          <w:lang w:val="fr-CA"/>
        </w:rPr>
        <w:t xml:space="preserve">qui ont été </w:t>
      </w:r>
      <w:r w:rsidR="00DF28CB" w:rsidRPr="000F1355">
        <w:rPr>
          <w:lang w:val="fr-CA"/>
        </w:rPr>
        <w:t>enregis</w:t>
      </w:r>
      <w:r w:rsidR="00D1694C" w:rsidRPr="000F1355">
        <w:rPr>
          <w:lang w:val="fr-CA"/>
        </w:rPr>
        <w:t>t</w:t>
      </w:r>
      <w:r w:rsidR="00DF28CB" w:rsidRPr="000F1355">
        <w:rPr>
          <w:lang w:val="fr-CA"/>
        </w:rPr>
        <w:t>r</w:t>
      </w:r>
      <w:r w:rsidR="00D1694C" w:rsidRPr="000F1355">
        <w:rPr>
          <w:lang w:val="fr-CA"/>
        </w:rPr>
        <w:t xml:space="preserve">és sur bandes vidéo et photographiés. </w:t>
      </w:r>
      <w:r w:rsidR="00C85D56" w:rsidRPr="000F1355">
        <w:rPr>
          <w:lang w:val="fr-CA"/>
        </w:rPr>
        <w:t xml:space="preserve">Au moment de la création des bandes vidéo et </w:t>
      </w:r>
      <w:r w:rsidR="00BC238D" w:rsidRPr="000F1355">
        <w:rPr>
          <w:lang w:val="fr-CA"/>
        </w:rPr>
        <w:t xml:space="preserve">des photos, un </w:t>
      </w:r>
      <w:r w:rsidR="00BC238D" w:rsidRPr="000F1355">
        <w:rPr>
          <w:lang w:val="fr-CA"/>
        </w:rPr>
        <w:lastRenderedPageBreak/>
        <w:t>adolescent de 14</w:t>
      </w:r>
      <w:r w:rsidR="00BC42A6">
        <w:rPr>
          <w:lang w:val="fr-CA"/>
        </w:rPr>
        <w:t xml:space="preserve"> </w:t>
      </w:r>
      <w:r w:rsidR="00C85D56" w:rsidRPr="000F1355">
        <w:rPr>
          <w:lang w:val="fr-CA"/>
        </w:rPr>
        <w:t xml:space="preserve">ans pouvait légalement consentir à un acte sexuel avec un adulte. </w:t>
      </w:r>
      <w:r w:rsidR="00D1694C" w:rsidRPr="000F1355">
        <w:rPr>
          <w:lang w:val="fr-CA"/>
        </w:rPr>
        <w:t xml:space="preserve">B et R ont tous deux été accusés de production de pornographie juvénile, une infraction prévue au </w:t>
      </w:r>
      <w:r w:rsidR="00BC238D" w:rsidRPr="000F1355">
        <w:rPr>
          <w:lang w:val="fr-CA"/>
        </w:rPr>
        <w:t>par.</w:t>
      </w:r>
      <w:r w:rsidR="00BC42A6">
        <w:rPr>
          <w:lang w:val="fr-CA"/>
        </w:rPr>
        <w:t xml:space="preserve"> </w:t>
      </w:r>
      <w:r w:rsidR="00D1694C" w:rsidRPr="000F1355">
        <w:rPr>
          <w:lang w:val="fr-CA"/>
        </w:rPr>
        <w:t xml:space="preserve">163.1(2) du </w:t>
      </w:r>
      <w:r w:rsidR="00D1694C" w:rsidRPr="000F1355">
        <w:rPr>
          <w:i/>
          <w:lang w:val="fr-CA"/>
        </w:rPr>
        <w:t>Code criminel</w:t>
      </w:r>
      <w:r w:rsidR="00D1694C" w:rsidRPr="000F1355">
        <w:rPr>
          <w:lang w:val="fr-CA"/>
        </w:rPr>
        <w:t xml:space="preserve">. B a </w:t>
      </w:r>
      <w:r w:rsidR="00DF28CB" w:rsidRPr="000F1355">
        <w:rPr>
          <w:lang w:val="fr-CA"/>
        </w:rPr>
        <w:t xml:space="preserve">en outre </w:t>
      </w:r>
      <w:r w:rsidR="00D1694C" w:rsidRPr="000F1355">
        <w:rPr>
          <w:lang w:val="fr-CA"/>
        </w:rPr>
        <w:t>fait l’objet</w:t>
      </w:r>
      <w:r w:rsidR="005073B6" w:rsidRPr="000F1355">
        <w:rPr>
          <w:lang w:val="fr-CA"/>
        </w:rPr>
        <w:t xml:space="preserve"> d’un chef d’accusation de possession de pornographie juvénile</w:t>
      </w:r>
      <w:r w:rsidR="00D1694C" w:rsidRPr="000F1355">
        <w:rPr>
          <w:lang w:val="fr-CA"/>
        </w:rPr>
        <w:t xml:space="preserve"> </w:t>
      </w:r>
      <w:r w:rsidR="005073B6" w:rsidRPr="000F1355">
        <w:rPr>
          <w:lang w:val="fr-CA"/>
        </w:rPr>
        <w:t xml:space="preserve">en application </w:t>
      </w:r>
      <w:r w:rsidR="00D1694C" w:rsidRPr="000F1355">
        <w:rPr>
          <w:lang w:val="fr-CA"/>
        </w:rPr>
        <w:t xml:space="preserve">du </w:t>
      </w:r>
      <w:r w:rsidR="00BC238D" w:rsidRPr="000F1355">
        <w:rPr>
          <w:lang w:val="fr-CA"/>
        </w:rPr>
        <w:t>par.</w:t>
      </w:r>
      <w:r w:rsidR="00BC42A6">
        <w:rPr>
          <w:lang w:val="fr-CA"/>
        </w:rPr>
        <w:t xml:space="preserve"> </w:t>
      </w:r>
      <w:r w:rsidR="00D1694C" w:rsidRPr="000F1355">
        <w:rPr>
          <w:lang w:val="fr-CA"/>
        </w:rPr>
        <w:t xml:space="preserve">163.1(4). Les deux </w:t>
      </w:r>
      <w:r w:rsidR="00C85D56" w:rsidRPr="000F1355">
        <w:rPr>
          <w:lang w:val="fr-CA"/>
        </w:rPr>
        <w:t xml:space="preserve">accusés </w:t>
      </w:r>
      <w:r w:rsidR="00D1694C" w:rsidRPr="000F1355">
        <w:rPr>
          <w:lang w:val="fr-CA"/>
        </w:rPr>
        <w:t xml:space="preserve">ont </w:t>
      </w:r>
      <w:r w:rsidR="005073B6" w:rsidRPr="000F1355">
        <w:rPr>
          <w:lang w:val="fr-CA"/>
        </w:rPr>
        <w:t>été jugés dans le cadre d’</w:t>
      </w:r>
      <w:r w:rsidR="00D1694C" w:rsidRPr="000F1355">
        <w:rPr>
          <w:lang w:val="fr-CA"/>
        </w:rPr>
        <w:t xml:space="preserve">un procès commun. </w:t>
      </w:r>
      <w:r w:rsidR="00472112" w:rsidRPr="000F1355">
        <w:rPr>
          <w:lang w:val="fr-CA"/>
        </w:rPr>
        <w:t xml:space="preserve">Le juge du procès a estimé que </w:t>
      </w:r>
      <w:r w:rsidR="00DF28CB" w:rsidRPr="000F1355">
        <w:rPr>
          <w:lang w:val="fr-CA"/>
        </w:rPr>
        <w:t xml:space="preserve">tous les éléments des infractions </w:t>
      </w:r>
      <w:r w:rsidR="00472112" w:rsidRPr="000F1355">
        <w:rPr>
          <w:lang w:val="fr-CA"/>
        </w:rPr>
        <w:t>avai</w:t>
      </w:r>
      <w:r w:rsidR="00DF28CB" w:rsidRPr="000F1355">
        <w:rPr>
          <w:lang w:val="fr-CA"/>
        </w:rPr>
        <w:t>en</w:t>
      </w:r>
      <w:r w:rsidR="00472112" w:rsidRPr="000F1355">
        <w:rPr>
          <w:lang w:val="fr-CA"/>
        </w:rPr>
        <w:t xml:space="preserve">t </w:t>
      </w:r>
      <w:r w:rsidR="00C85D56" w:rsidRPr="000F1355">
        <w:rPr>
          <w:lang w:val="fr-CA"/>
        </w:rPr>
        <w:t xml:space="preserve">été </w:t>
      </w:r>
      <w:r w:rsidR="00472112" w:rsidRPr="000F1355">
        <w:rPr>
          <w:lang w:val="fr-CA"/>
        </w:rPr>
        <w:t>établi</w:t>
      </w:r>
      <w:r w:rsidR="00DF28CB" w:rsidRPr="000F1355">
        <w:rPr>
          <w:lang w:val="fr-CA"/>
        </w:rPr>
        <w:t>s</w:t>
      </w:r>
      <w:r w:rsidR="00472112" w:rsidRPr="000F1355">
        <w:rPr>
          <w:lang w:val="fr-CA"/>
        </w:rPr>
        <w:t xml:space="preserve">. </w:t>
      </w:r>
      <w:r w:rsidR="00DF28CB" w:rsidRPr="000F1355">
        <w:rPr>
          <w:lang w:val="fr-CA"/>
        </w:rPr>
        <w:t>L</w:t>
      </w:r>
      <w:r w:rsidR="00472112" w:rsidRPr="000F1355">
        <w:rPr>
          <w:lang w:val="fr-CA"/>
        </w:rPr>
        <w:t xml:space="preserve">es accusés ont </w:t>
      </w:r>
      <w:r w:rsidR="00DF28CB" w:rsidRPr="000F1355">
        <w:rPr>
          <w:lang w:val="fr-CA"/>
        </w:rPr>
        <w:t xml:space="preserve">toutefois </w:t>
      </w:r>
      <w:r w:rsidR="00472112" w:rsidRPr="000F1355">
        <w:rPr>
          <w:lang w:val="fr-CA"/>
        </w:rPr>
        <w:t xml:space="preserve">invoqué en défense l’exception relative à l’usage personnel reconnue dans l’arrêt </w:t>
      </w:r>
      <w:r w:rsidR="00472112" w:rsidRPr="000F1355">
        <w:rPr>
          <w:i/>
          <w:lang w:val="fr-CA"/>
        </w:rPr>
        <w:t>R. c. Sharpe</w:t>
      </w:r>
      <w:r w:rsidR="00472112" w:rsidRPr="000F1355">
        <w:rPr>
          <w:lang w:val="fr-CA"/>
        </w:rPr>
        <w:t xml:space="preserve">, 2001 CSC 2, [2001] 1 R.C.S. 45. Le juge a conclu à l’omission du ministère public de prouver hors de tout doute raisonnable que l’exception ne s’appliquait pas. La Cour d’appel a accueilli les appels, </w:t>
      </w:r>
      <w:r w:rsidR="00276496" w:rsidRPr="000F1355">
        <w:rPr>
          <w:lang w:val="fr-CA"/>
        </w:rPr>
        <w:t>inscrit des déclarations de culpabilité</w:t>
      </w:r>
      <w:r w:rsidR="00472112" w:rsidRPr="000F1355">
        <w:rPr>
          <w:lang w:val="fr-CA"/>
        </w:rPr>
        <w:t xml:space="preserve"> et renvoyé les dossiers pour détermination de la peine.</w:t>
      </w:r>
    </w:p>
    <w:p w:rsidR="004D7D95" w:rsidRPr="000F1355" w:rsidRDefault="003A36D1" w:rsidP="00BC42A6">
      <w:pPr>
        <w:pStyle w:val="SCCNormalDoubleSpacing"/>
        <w:widowControl w:val="0"/>
        <w:spacing w:before="480" w:after="480"/>
        <w:rPr>
          <w:lang w:val="fr-CA"/>
        </w:rPr>
      </w:pPr>
      <w:r w:rsidRPr="000F1355">
        <w:rPr>
          <w:lang w:val="fr-CA"/>
        </w:rPr>
        <w:tab/>
      </w:r>
      <w:r w:rsidR="004D7D95" w:rsidRPr="000F1355">
        <w:rPr>
          <w:i/>
          <w:lang w:val="fr-CA"/>
        </w:rPr>
        <w:t>Arrêt</w:t>
      </w:r>
      <w:r w:rsidR="00BC42A6">
        <w:rPr>
          <w:lang w:val="fr-CA"/>
        </w:rPr>
        <w:t> :</w:t>
      </w:r>
      <w:r w:rsidR="004D7D95" w:rsidRPr="000F1355">
        <w:rPr>
          <w:lang w:val="fr-CA"/>
        </w:rPr>
        <w:t xml:space="preserve"> Le</w:t>
      </w:r>
      <w:r w:rsidR="00CB298B" w:rsidRPr="000F1355">
        <w:rPr>
          <w:lang w:val="fr-CA"/>
        </w:rPr>
        <w:t>s</w:t>
      </w:r>
      <w:r w:rsidR="004D7D95" w:rsidRPr="000F1355">
        <w:rPr>
          <w:lang w:val="fr-CA"/>
        </w:rPr>
        <w:t xml:space="preserve"> pourvoi</w:t>
      </w:r>
      <w:r w:rsidR="00CB298B" w:rsidRPr="000F1355">
        <w:rPr>
          <w:lang w:val="fr-CA"/>
        </w:rPr>
        <w:t xml:space="preserve">s </w:t>
      </w:r>
      <w:r w:rsidR="004D7D95" w:rsidRPr="000F1355">
        <w:rPr>
          <w:lang w:val="fr-CA"/>
        </w:rPr>
        <w:t>s</w:t>
      </w:r>
      <w:r w:rsidR="00CB298B" w:rsidRPr="000F1355">
        <w:rPr>
          <w:lang w:val="fr-CA"/>
        </w:rPr>
        <w:t>on</w:t>
      </w:r>
      <w:r w:rsidR="004D7D95" w:rsidRPr="000F1355">
        <w:rPr>
          <w:lang w:val="fr-CA"/>
        </w:rPr>
        <w:t>t</w:t>
      </w:r>
      <w:r w:rsidRPr="000F1355">
        <w:rPr>
          <w:lang w:val="fr-CA"/>
        </w:rPr>
        <w:t xml:space="preserve"> accueilli</w:t>
      </w:r>
      <w:r w:rsidR="00CB298B" w:rsidRPr="000F1355">
        <w:rPr>
          <w:lang w:val="fr-CA"/>
        </w:rPr>
        <w:t>s</w:t>
      </w:r>
      <w:r w:rsidRPr="000F1355">
        <w:rPr>
          <w:lang w:val="fr-CA"/>
        </w:rPr>
        <w:t xml:space="preserve"> et un nouveau procès est ordonné.</w:t>
      </w:r>
    </w:p>
    <w:p w:rsidR="005E3A75" w:rsidRPr="000F1355" w:rsidRDefault="004D7D95" w:rsidP="00BC42A6">
      <w:pPr>
        <w:pStyle w:val="SCCNormalDoubleSpacing"/>
        <w:widowControl w:val="0"/>
        <w:spacing w:before="480" w:after="480"/>
        <w:rPr>
          <w:lang w:val="fr-CA"/>
        </w:rPr>
      </w:pPr>
      <w:r w:rsidRPr="000F1355">
        <w:rPr>
          <w:lang w:val="fr-CA"/>
        </w:rPr>
        <w:tab/>
      </w:r>
      <w:r w:rsidR="003A36D1" w:rsidRPr="000F1355">
        <w:rPr>
          <w:lang w:val="fr-CA"/>
        </w:rPr>
        <w:t xml:space="preserve">L’exception relative à l’usage personnel reconnue dans l’arrêt </w:t>
      </w:r>
      <w:r w:rsidR="003A36D1" w:rsidRPr="000F1355">
        <w:rPr>
          <w:i/>
          <w:lang w:val="fr-CA"/>
        </w:rPr>
        <w:t>Sharpe</w:t>
      </w:r>
      <w:r w:rsidR="003A36D1" w:rsidRPr="000F1355">
        <w:rPr>
          <w:lang w:val="fr-CA"/>
        </w:rPr>
        <w:t xml:space="preserve"> offre un moyen de défense</w:t>
      </w:r>
      <w:r w:rsidR="00C85D56" w:rsidRPr="000F1355">
        <w:rPr>
          <w:lang w:val="fr-CA"/>
        </w:rPr>
        <w:t xml:space="preserve"> opposable</w:t>
      </w:r>
      <w:r w:rsidR="003A36D1" w:rsidRPr="000F1355">
        <w:rPr>
          <w:lang w:val="fr-CA"/>
        </w:rPr>
        <w:t xml:space="preserve"> à une accusation de production ou de possession de pornographie juvénile fondée sur l’</w:t>
      </w:r>
      <w:r w:rsidR="00BC238D" w:rsidRPr="000F1355">
        <w:rPr>
          <w:lang w:val="fr-CA"/>
        </w:rPr>
        <w:t>art.</w:t>
      </w:r>
      <w:r w:rsidR="00BC42A6">
        <w:rPr>
          <w:lang w:val="fr-CA"/>
        </w:rPr>
        <w:t xml:space="preserve"> </w:t>
      </w:r>
      <w:r w:rsidR="003A36D1" w:rsidRPr="000F1355">
        <w:rPr>
          <w:lang w:val="fr-CA"/>
        </w:rPr>
        <w:t xml:space="preserve">163.1 du </w:t>
      </w:r>
      <w:r w:rsidR="003A36D1" w:rsidRPr="000F1355">
        <w:rPr>
          <w:i/>
          <w:lang w:val="fr-CA"/>
        </w:rPr>
        <w:t>Code criminel</w:t>
      </w:r>
      <w:r w:rsidR="003A36D1" w:rsidRPr="000F1355">
        <w:rPr>
          <w:lang w:val="fr-CA"/>
        </w:rPr>
        <w:t xml:space="preserve">. </w:t>
      </w:r>
      <w:r w:rsidR="00DF28CB" w:rsidRPr="000F1355">
        <w:rPr>
          <w:lang w:val="fr-CA"/>
        </w:rPr>
        <w:t>Pour que</w:t>
      </w:r>
      <w:r w:rsidR="00276496" w:rsidRPr="000F1355">
        <w:rPr>
          <w:lang w:val="fr-CA"/>
        </w:rPr>
        <w:t xml:space="preserve"> l’exception</w:t>
      </w:r>
      <w:r w:rsidR="00DF28CB" w:rsidRPr="000F1355">
        <w:rPr>
          <w:lang w:val="fr-CA"/>
        </w:rPr>
        <w:t xml:space="preserve"> s’applique, le</w:t>
      </w:r>
      <w:r w:rsidR="003A36D1" w:rsidRPr="000F1355">
        <w:rPr>
          <w:lang w:val="fr-CA"/>
        </w:rPr>
        <w:t xml:space="preserve"> tribunal </w:t>
      </w:r>
      <w:r w:rsidR="00DF28CB" w:rsidRPr="000F1355">
        <w:rPr>
          <w:lang w:val="fr-CA"/>
        </w:rPr>
        <w:t>doit</w:t>
      </w:r>
      <w:r w:rsidR="003A36D1" w:rsidRPr="000F1355">
        <w:rPr>
          <w:lang w:val="fr-CA"/>
        </w:rPr>
        <w:t xml:space="preserve"> détermine</w:t>
      </w:r>
      <w:r w:rsidR="00DF28CB" w:rsidRPr="000F1355">
        <w:rPr>
          <w:lang w:val="fr-CA"/>
        </w:rPr>
        <w:t>r</w:t>
      </w:r>
      <w:r w:rsidR="003A36D1" w:rsidRPr="000F1355">
        <w:rPr>
          <w:lang w:val="fr-CA"/>
        </w:rPr>
        <w:t xml:space="preserve"> que l’activité sexuelle </w:t>
      </w:r>
      <w:r w:rsidR="00C85D56" w:rsidRPr="000F1355">
        <w:rPr>
          <w:lang w:val="fr-CA"/>
        </w:rPr>
        <w:t xml:space="preserve">représentée dans les enregistrements </w:t>
      </w:r>
      <w:r w:rsidR="003A36D1" w:rsidRPr="000F1355">
        <w:rPr>
          <w:lang w:val="fr-CA"/>
        </w:rPr>
        <w:t>est légale, qu</w:t>
      </w:r>
      <w:r w:rsidR="00106BC6">
        <w:rPr>
          <w:lang w:val="fr-CA"/>
        </w:rPr>
        <w:t>e son enregistrement</w:t>
      </w:r>
      <w:r w:rsidR="003A36D1" w:rsidRPr="000F1355">
        <w:rPr>
          <w:lang w:val="fr-CA"/>
        </w:rPr>
        <w:t xml:space="preserve"> est </w:t>
      </w:r>
      <w:r w:rsidR="005073B6" w:rsidRPr="000F1355">
        <w:rPr>
          <w:lang w:val="fr-CA"/>
        </w:rPr>
        <w:t xml:space="preserve">aussi </w:t>
      </w:r>
      <w:r w:rsidR="00106BC6">
        <w:rPr>
          <w:lang w:val="fr-CA"/>
        </w:rPr>
        <w:t>consensuel</w:t>
      </w:r>
      <w:r w:rsidR="003A36D1" w:rsidRPr="000F1355">
        <w:rPr>
          <w:lang w:val="fr-CA"/>
        </w:rPr>
        <w:t xml:space="preserve"> et que </w:t>
      </w:r>
      <w:r w:rsidR="00C85D56" w:rsidRPr="000F1355">
        <w:rPr>
          <w:lang w:val="fr-CA"/>
        </w:rPr>
        <w:t>les</w:t>
      </w:r>
      <w:r w:rsidR="00DF28CB" w:rsidRPr="000F1355">
        <w:rPr>
          <w:lang w:val="fr-CA"/>
        </w:rPr>
        <w:t xml:space="preserve"> </w:t>
      </w:r>
      <w:r w:rsidR="003A36D1" w:rsidRPr="000F1355">
        <w:rPr>
          <w:lang w:val="fr-CA"/>
        </w:rPr>
        <w:t>enregistrement</w:t>
      </w:r>
      <w:r w:rsidR="00C85D56" w:rsidRPr="000F1355">
        <w:rPr>
          <w:lang w:val="fr-CA"/>
        </w:rPr>
        <w:t>s</w:t>
      </w:r>
      <w:r w:rsidR="003A36D1" w:rsidRPr="000F1355">
        <w:rPr>
          <w:lang w:val="fr-CA"/>
        </w:rPr>
        <w:t xml:space="preserve"> </w:t>
      </w:r>
      <w:r w:rsidR="00C85D56" w:rsidRPr="000F1355">
        <w:rPr>
          <w:lang w:val="fr-CA"/>
        </w:rPr>
        <w:t>son</w:t>
      </w:r>
      <w:r w:rsidR="003A36D1" w:rsidRPr="000F1355">
        <w:rPr>
          <w:lang w:val="fr-CA"/>
        </w:rPr>
        <w:t>t conservé</w:t>
      </w:r>
      <w:r w:rsidR="00C85D56" w:rsidRPr="000F1355">
        <w:rPr>
          <w:lang w:val="fr-CA"/>
        </w:rPr>
        <w:t>s</w:t>
      </w:r>
      <w:r w:rsidR="003A36D1" w:rsidRPr="000F1355">
        <w:rPr>
          <w:lang w:val="fr-CA"/>
        </w:rPr>
        <w:t xml:space="preserve"> exclusivement pour l’usage personnel. Dans l’arrêt </w:t>
      </w:r>
      <w:r w:rsidR="003A36D1" w:rsidRPr="000F1355">
        <w:rPr>
          <w:i/>
          <w:lang w:val="fr-CA"/>
        </w:rPr>
        <w:t>Sharpe</w:t>
      </w:r>
      <w:r w:rsidR="003A36D1" w:rsidRPr="000F1355">
        <w:rPr>
          <w:lang w:val="fr-CA"/>
        </w:rPr>
        <w:t xml:space="preserve">, la Cour ne prescrit pas un </w:t>
      </w:r>
      <w:r w:rsidR="005E3A75" w:rsidRPr="000F1355">
        <w:rPr>
          <w:lang w:val="fr-CA"/>
        </w:rPr>
        <w:t>supplément d’analyse</w:t>
      </w:r>
      <w:r w:rsidR="003A36D1" w:rsidRPr="000F1355">
        <w:rPr>
          <w:lang w:val="fr-CA"/>
        </w:rPr>
        <w:t xml:space="preserve"> distinct</w:t>
      </w:r>
      <w:r w:rsidR="005E3A75" w:rsidRPr="000F1355">
        <w:rPr>
          <w:lang w:val="fr-CA"/>
        </w:rPr>
        <w:t xml:space="preserve"> au chapitre de l’exploitation</w:t>
      </w:r>
      <w:r w:rsidR="00C85D56" w:rsidRPr="000F1355">
        <w:rPr>
          <w:lang w:val="fr-CA"/>
        </w:rPr>
        <w:t xml:space="preserve">. L’ajout d’une </w:t>
      </w:r>
      <w:r w:rsidR="00276496" w:rsidRPr="000F1355">
        <w:rPr>
          <w:lang w:val="fr-CA"/>
        </w:rPr>
        <w:t xml:space="preserve">telle </w:t>
      </w:r>
      <w:r w:rsidR="00106BC6">
        <w:rPr>
          <w:lang w:val="fr-CA"/>
        </w:rPr>
        <w:t>étape</w:t>
      </w:r>
      <w:r w:rsidR="00C85D56" w:rsidRPr="000F1355">
        <w:rPr>
          <w:lang w:val="fr-CA"/>
        </w:rPr>
        <w:t xml:space="preserve"> </w:t>
      </w:r>
      <w:r w:rsidR="003915A7" w:rsidRPr="000F1355">
        <w:rPr>
          <w:lang w:val="fr-CA"/>
        </w:rPr>
        <w:t>serai</w:t>
      </w:r>
      <w:r w:rsidR="00C85D56" w:rsidRPr="000F1355">
        <w:rPr>
          <w:lang w:val="fr-CA"/>
        </w:rPr>
        <w:t>t superflu</w:t>
      </w:r>
      <w:r w:rsidR="005E3A75" w:rsidRPr="000F1355">
        <w:rPr>
          <w:lang w:val="fr-CA"/>
        </w:rPr>
        <w:t xml:space="preserve">, car </w:t>
      </w:r>
      <w:r w:rsidR="0023087C" w:rsidRPr="000F1355">
        <w:rPr>
          <w:lang w:val="fr-CA"/>
        </w:rPr>
        <w:t xml:space="preserve">l’exploitation </w:t>
      </w:r>
      <w:r w:rsidR="005E3A75" w:rsidRPr="000F1355">
        <w:rPr>
          <w:lang w:val="fr-CA"/>
        </w:rPr>
        <w:t>est déjà pris</w:t>
      </w:r>
      <w:r w:rsidR="0023087C" w:rsidRPr="000F1355">
        <w:rPr>
          <w:lang w:val="fr-CA"/>
        </w:rPr>
        <w:t>e</w:t>
      </w:r>
      <w:r w:rsidR="005E3A75" w:rsidRPr="000F1355">
        <w:rPr>
          <w:lang w:val="fr-CA"/>
        </w:rPr>
        <w:t xml:space="preserve"> en compte </w:t>
      </w:r>
      <w:r w:rsidR="00DF28CB" w:rsidRPr="000F1355">
        <w:rPr>
          <w:lang w:val="fr-CA"/>
        </w:rPr>
        <w:t>dans</w:t>
      </w:r>
      <w:r w:rsidR="005E3A75" w:rsidRPr="000F1355">
        <w:rPr>
          <w:lang w:val="fr-CA"/>
        </w:rPr>
        <w:t xml:space="preserve"> l’analyse de la légalité. </w:t>
      </w:r>
      <w:r w:rsidR="002719F6" w:rsidRPr="000F1355">
        <w:rPr>
          <w:lang w:val="fr-CA"/>
        </w:rPr>
        <w:t>L’article</w:t>
      </w:r>
      <w:r w:rsidR="00BC42A6">
        <w:rPr>
          <w:lang w:val="fr-CA"/>
        </w:rPr>
        <w:t xml:space="preserve"> </w:t>
      </w:r>
      <w:r w:rsidR="002719F6" w:rsidRPr="000F1355">
        <w:rPr>
          <w:lang w:val="fr-CA"/>
        </w:rPr>
        <w:t xml:space="preserve">153 du </w:t>
      </w:r>
      <w:r w:rsidR="002719F6" w:rsidRPr="000F1355">
        <w:rPr>
          <w:i/>
          <w:lang w:val="fr-CA"/>
        </w:rPr>
        <w:t>Code criminel</w:t>
      </w:r>
      <w:r w:rsidR="002719F6" w:rsidRPr="000F1355">
        <w:rPr>
          <w:lang w:val="fr-CA"/>
        </w:rPr>
        <w:t xml:space="preserve"> fait de l’exploitation sexuelle d’</w:t>
      </w:r>
      <w:r w:rsidR="00276496" w:rsidRPr="000F1355">
        <w:rPr>
          <w:lang w:val="fr-CA"/>
        </w:rPr>
        <w:t xml:space="preserve">un </w:t>
      </w:r>
      <w:r w:rsidR="002719F6" w:rsidRPr="000F1355">
        <w:rPr>
          <w:lang w:val="fr-CA"/>
        </w:rPr>
        <w:t xml:space="preserve">adolescent un acte criminel. Ainsi, </w:t>
      </w:r>
      <w:r w:rsidR="002719F6" w:rsidRPr="000F1355">
        <w:rPr>
          <w:lang w:val="fr-CA"/>
        </w:rPr>
        <w:lastRenderedPageBreak/>
        <w:t xml:space="preserve">lorsque le ministère public invoque </w:t>
      </w:r>
      <w:r w:rsidR="00276496" w:rsidRPr="000F1355">
        <w:rPr>
          <w:lang w:val="fr-CA"/>
        </w:rPr>
        <w:t xml:space="preserve">cet article </w:t>
      </w:r>
      <w:r w:rsidR="002719F6" w:rsidRPr="000F1355">
        <w:rPr>
          <w:lang w:val="fr-CA"/>
        </w:rPr>
        <w:t>pour contester la légalité de l’activité sexuelle représentée, l</w:t>
      </w:r>
      <w:r w:rsidR="005E3A75" w:rsidRPr="000F1355">
        <w:rPr>
          <w:lang w:val="fr-CA"/>
        </w:rPr>
        <w:t>e tribunal doit se demander si ce</w:t>
      </w:r>
      <w:r w:rsidR="0023087C" w:rsidRPr="000F1355">
        <w:rPr>
          <w:lang w:val="fr-CA"/>
        </w:rPr>
        <w:t>tte activité</w:t>
      </w:r>
      <w:r w:rsidR="005E3A75" w:rsidRPr="000F1355">
        <w:rPr>
          <w:lang w:val="fr-CA"/>
        </w:rPr>
        <w:t xml:space="preserve"> a eu lieu dans le contexte d’une relation d’exploitation. Dans l’affirmative, l’activité sexuelle n’est pas légale et l’exception relative à l’usage personnel ne s’applique pas.</w:t>
      </w:r>
    </w:p>
    <w:p w:rsidR="00D07CC7" w:rsidRPr="000F1355" w:rsidRDefault="00BC238D" w:rsidP="00BC42A6">
      <w:pPr>
        <w:pStyle w:val="SCCNormalDoubleSpacing"/>
        <w:widowControl w:val="0"/>
        <w:spacing w:before="480" w:after="480"/>
        <w:rPr>
          <w:lang w:val="fr-CA"/>
        </w:rPr>
      </w:pPr>
      <w:r w:rsidRPr="000F1355">
        <w:rPr>
          <w:lang w:val="fr-CA"/>
        </w:rPr>
        <w:tab/>
      </w:r>
      <w:r w:rsidR="00D07CC7" w:rsidRPr="000F1355">
        <w:rPr>
          <w:lang w:val="fr-CA"/>
        </w:rPr>
        <w:t>Lorsque les conditions d’application de l’</w:t>
      </w:r>
      <w:r w:rsidRPr="000F1355">
        <w:rPr>
          <w:lang w:val="fr-CA"/>
        </w:rPr>
        <w:t>art.</w:t>
      </w:r>
      <w:r w:rsidR="00BC42A6">
        <w:rPr>
          <w:lang w:val="fr-CA"/>
        </w:rPr>
        <w:t xml:space="preserve"> </w:t>
      </w:r>
      <w:r w:rsidR="00D07CC7" w:rsidRPr="000F1355">
        <w:rPr>
          <w:lang w:val="fr-CA"/>
        </w:rPr>
        <w:t xml:space="preserve">153 sont réunies, le consentement de l’adolescent ne peut rendre l’activité sexuelle légale. </w:t>
      </w:r>
      <w:r w:rsidR="002719F6" w:rsidRPr="000F1355">
        <w:rPr>
          <w:lang w:val="fr-CA"/>
        </w:rPr>
        <w:t>Par conséquent, l</w:t>
      </w:r>
      <w:r w:rsidR="00D07CC7" w:rsidRPr="000F1355">
        <w:rPr>
          <w:lang w:val="fr-CA"/>
        </w:rPr>
        <w:t>orsque l’accusé invoque l’exception relative à l’usage personnel et que le ministère public cherche à contester la légalité de l’activité sexuelle en alléguant l’exploitation, le juge du procès doit s’attacher non seulement au consentement, mais aussi, de manière globale, à la nature de la relation entre l’adolescent et l’accusé, ainsi qu’aux circonstances qui l’entourent. Le paragraphe</w:t>
      </w:r>
      <w:r w:rsidR="00BC42A6">
        <w:rPr>
          <w:lang w:val="fr-CA"/>
        </w:rPr>
        <w:t xml:space="preserve"> </w:t>
      </w:r>
      <w:r w:rsidR="00D07CC7" w:rsidRPr="000F1355">
        <w:rPr>
          <w:lang w:val="fr-CA"/>
        </w:rPr>
        <w:t>153(1.2) fait état de manière non exhaustive d’éléments à partir desquels le juge peut déduire l’existence d’une relation où l’accusé exploite l’adolescent</w:t>
      </w:r>
      <w:r w:rsidR="00106BC6">
        <w:rPr>
          <w:lang w:val="fr-CA"/>
        </w:rPr>
        <w:t> </w:t>
      </w:r>
      <w:r w:rsidR="00D07CC7" w:rsidRPr="000F1355">
        <w:rPr>
          <w:lang w:val="fr-CA"/>
        </w:rPr>
        <w:t xml:space="preserve">: </w:t>
      </w:r>
      <w:r w:rsidR="009923F3">
        <w:rPr>
          <w:lang w:val="fr-CA"/>
        </w:rPr>
        <w:t>« </w:t>
      </w:r>
      <w:r w:rsidR="00D07CC7" w:rsidRPr="000F1355">
        <w:rPr>
          <w:rFonts w:eastAsiaTheme="minorEastAsia"/>
          <w:i/>
          <w:iCs/>
          <w:lang w:val="fr-CA"/>
        </w:rPr>
        <w:t>a</w:t>
      </w:r>
      <w:r w:rsidR="00D07CC7" w:rsidRPr="000F1355">
        <w:rPr>
          <w:rFonts w:eastAsiaTheme="minorEastAsia"/>
          <w:lang w:val="fr-CA"/>
        </w:rPr>
        <w:t>)</w:t>
      </w:r>
      <w:r w:rsidR="00BC42A6">
        <w:rPr>
          <w:rFonts w:eastAsiaTheme="minorEastAsia"/>
          <w:lang w:val="fr-CA"/>
        </w:rPr>
        <w:t xml:space="preserve"> </w:t>
      </w:r>
      <w:r w:rsidR="00D07CC7" w:rsidRPr="000F1355">
        <w:rPr>
          <w:rFonts w:eastAsiaTheme="minorEastAsia"/>
          <w:lang w:val="fr-CA"/>
        </w:rPr>
        <w:t>l’âge</w:t>
      </w:r>
      <w:r w:rsidR="00D07CC7" w:rsidRPr="000F1355">
        <w:rPr>
          <w:lang w:val="fr-CA"/>
        </w:rPr>
        <w:t xml:space="preserve"> </w:t>
      </w:r>
      <w:r w:rsidR="00D07CC7" w:rsidRPr="000F1355">
        <w:rPr>
          <w:rFonts w:eastAsiaTheme="minorEastAsia"/>
          <w:lang w:val="fr-CA"/>
        </w:rPr>
        <w:t>de</w:t>
      </w:r>
      <w:r w:rsidR="00D07CC7" w:rsidRPr="000F1355">
        <w:rPr>
          <w:lang w:val="fr-CA"/>
        </w:rPr>
        <w:t xml:space="preserve"> </w:t>
      </w:r>
      <w:r w:rsidR="00D07CC7" w:rsidRPr="000F1355">
        <w:rPr>
          <w:rFonts w:eastAsiaTheme="minorEastAsia"/>
          <w:lang w:val="fr-CA"/>
        </w:rPr>
        <w:t>l’adolescent</w:t>
      </w:r>
      <w:r w:rsidR="009923F3">
        <w:rPr>
          <w:rFonts w:eastAsiaTheme="minorEastAsia"/>
          <w:lang w:val="fr-CA"/>
        </w:rPr>
        <w:t>;</w:t>
      </w:r>
      <w:r w:rsidR="00D07CC7" w:rsidRPr="000F1355">
        <w:rPr>
          <w:lang w:val="fr-CA"/>
        </w:rPr>
        <w:t xml:space="preserve"> </w:t>
      </w:r>
      <w:r w:rsidR="00D07CC7" w:rsidRPr="000F1355">
        <w:rPr>
          <w:rFonts w:eastAsiaTheme="minorEastAsia"/>
          <w:i/>
          <w:iCs/>
          <w:lang w:val="fr-CA"/>
        </w:rPr>
        <w:t>b</w:t>
      </w:r>
      <w:r w:rsidR="00D07CC7" w:rsidRPr="000F1355">
        <w:rPr>
          <w:rFonts w:eastAsiaTheme="minorEastAsia"/>
          <w:lang w:val="fr-CA"/>
        </w:rPr>
        <w:t>)</w:t>
      </w:r>
      <w:r w:rsidR="00BC42A6">
        <w:rPr>
          <w:lang w:val="fr-CA"/>
        </w:rPr>
        <w:t xml:space="preserve"> </w:t>
      </w:r>
      <w:r w:rsidR="00D07CC7" w:rsidRPr="000F1355">
        <w:rPr>
          <w:rFonts w:eastAsiaTheme="minorEastAsia"/>
          <w:lang w:val="fr-CA"/>
        </w:rPr>
        <w:t>la différence d’âge entre la personne et l’adolescent</w:t>
      </w:r>
      <w:r w:rsidR="009923F3">
        <w:rPr>
          <w:rFonts w:eastAsiaTheme="minorEastAsia"/>
          <w:lang w:val="fr-CA"/>
        </w:rPr>
        <w:t>;</w:t>
      </w:r>
      <w:r w:rsidR="00D07CC7" w:rsidRPr="000F1355">
        <w:rPr>
          <w:lang w:val="fr-CA"/>
        </w:rPr>
        <w:t xml:space="preserve"> </w:t>
      </w:r>
      <w:r w:rsidR="00D07CC7" w:rsidRPr="000F1355">
        <w:rPr>
          <w:rFonts w:eastAsiaTheme="minorEastAsia"/>
          <w:i/>
          <w:iCs/>
          <w:lang w:val="fr-CA"/>
        </w:rPr>
        <w:t>c</w:t>
      </w:r>
      <w:r w:rsidR="00D07CC7" w:rsidRPr="000F1355">
        <w:rPr>
          <w:rFonts w:eastAsiaTheme="minorEastAsia"/>
          <w:lang w:val="fr-CA"/>
        </w:rPr>
        <w:t>)</w:t>
      </w:r>
      <w:r w:rsidR="00BC42A6">
        <w:rPr>
          <w:rFonts w:eastAsiaTheme="minorEastAsia"/>
          <w:lang w:val="fr-CA"/>
        </w:rPr>
        <w:t xml:space="preserve"> </w:t>
      </w:r>
      <w:r w:rsidR="00D07CC7" w:rsidRPr="000F1355">
        <w:rPr>
          <w:rFonts w:eastAsiaTheme="minorEastAsia"/>
          <w:iCs/>
          <w:lang w:val="fr-CA"/>
        </w:rPr>
        <w:t>l’évolution</w:t>
      </w:r>
      <w:r w:rsidR="00D07CC7" w:rsidRPr="000F1355">
        <w:rPr>
          <w:rFonts w:eastAsiaTheme="minorEastAsia"/>
          <w:lang w:val="fr-CA"/>
        </w:rPr>
        <w:t xml:space="preserve"> de leur relation</w:t>
      </w:r>
      <w:r w:rsidR="009923F3">
        <w:rPr>
          <w:rFonts w:eastAsiaTheme="minorEastAsia"/>
          <w:lang w:val="fr-CA"/>
        </w:rPr>
        <w:t>;</w:t>
      </w:r>
      <w:r w:rsidR="00D07CC7" w:rsidRPr="000F1355">
        <w:rPr>
          <w:lang w:val="fr-CA"/>
        </w:rPr>
        <w:t xml:space="preserve"> </w:t>
      </w:r>
      <w:r w:rsidR="009923F3">
        <w:rPr>
          <w:lang w:val="fr-CA"/>
        </w:rPr>
        <w:t>[</w:t>
      </w:r>
      <w:r w:rsidR="00D07CC7" w:rsidRPr="000F1355">
        <w:rPr>
          <w:lang w:val="fr-CA"/>
        </w:rPr>
        <w:t>et</w:t>
      </w:r>
      <w:r w:rsidR="009923F3">
        <w:rPr>
          <w:lang w:val="fr-CA"/>
        </w:rPr>
        <w:t>]</w:t>
      </w:r>
      <w:r w:rsidR="00D07CC7" w:rsidRPr="000F1355">
        <w:rPr>
          <w:lang w:val="fr-CA"/>
        </w:rPr>
        <w:t xml:space="preserve"> </w:t>
      </w:r>
      <w:r w:rsidR="00D07CC7" w:rsidRPr="000F1355">
        <w:rPr>
          <w:rFonts w:eastAsiaTheme="minorEastAsia"/>
          <w:i/>
          <w:iCs/>
          <w:lang w:val="fr-CA"/>
        </w:rPr>
        <w:t>d</w:t>
      </w:r>
      <w:r w:rsidR="00D07CC7" w:rsidRPr="000F1355">
        <w:rPr>
          <w:rFonts w:eastAsiaTheme="minorEastAsia"/>
          <w:lang w:val="fr-CA"/>
        </w:rPr>
        <w:t>)</w:t>
      </w:r>
      <w:r w:rsidR="00BC42A6">
        <w:rPr>
          <w:rFonts w:eastAsiaTheme="minorEastAsia"/>
          <w:lang w:val="fr-CA"/>
        </w:rPr>
        <w:t xml:space="preserve"> </w:t>
      </w:r>
      <w:r w:rsidR="00D07CC7" w:rsidRPr="000F1355">
        <w:rPr>
          <w:rFonts w:eastAsiaTheme="minorEastAsia"/>
          <w:iCs/>
          <w:lang w:val="fr-CA"/>
        </w:rPr>
        <w:t>l’emprise</w:t>
      </w:r>
      <w:r w:rsidR="00D07CC7" w:rsidRPr="000F1355">
        <w:rPr>
          <w:rFonts w:eastAsiaTheme="minorEastAsia"/>
          <w:lang w:val="fr-CA"/>
        </w:rPr>
        <w:t xml:space="preserve"> ou l’influence de la personne sur l’adolescent</w:t>
      </w:r>
      <w:r w:rsidR="009923F3">
        <w:rPr>
          <w:rFonts w:eastAsiaTheme="minorEastAsia"/>
          <w:lang w:val="fr-CA"/>
        </w:rPr>
        <w:t> »</w:t>
      </w:r>
      <w:r w:rsidR="00D07CC7" w:rsidRPr="000F1355">
        <w:rPr>
          <w:rFonts w:eastAsiaTheme="minorEastAsia"/>
          <w:lang w:val="fr-CA"/>
        </w:rPr>
        <w:t>.</w:t>
      </w:r>
      <w:r w:rsidR="00D07CC7" w:rsidRPr="000F1355">
        <w:rPr>
          <w:lang w:val="fr-CA"/>
        </w:rPr>
        <w:t xml:space="preserve"> Point n’est besoin que la personne accusée de production ou de possession de pornographie juvénile fasse l’ob</w:t>
      </w:r>
      <w:r w:rsidR="00DF28CB" w:rsidRPr="000F1355">
        <w:rPr>
          <w:lang w:val="fr-CA"/>
        </w:rPr>
        <w:t xml:space="preserve">jet d’une accusation distincte </w:t>
      </w:r>
      <w:r w:rsidR="00D07CC7" w:rsidRPr="000F1355">
        <w:rPr>
          <w:lang w:val="fr-CA"/>
        </w:rPr>
        <w:t>fond</w:t>
      </w:r>
      <w:r w:rsidR="00DF28CB" w:rsidRPr="000F1355">
        <w:rPr>
          <w:lang w:val="fr-CA"/>
        </w:rPr>
        <w:t>ée sur le</w:t>
      </w:r>
      <w:r w:rsidR="00D07CC7" w:rsidRPr="000F1355">
        <w:rPr>
          <w:lang w:val="fr-CA"/>
        </w:rPr>
        <w:t xml:space="preserve"> </w:t>
      </w:r>
      <w:r w:rsidRPr="000F1355">
        <w:rPr>
          <w:lang w:val="fr-CA"/>
        </w:rPr>
        <w:t>par.</w:t>
      </w:r>
      <w:r w:rsidR="00BC42A6">
        <w:rPr>
          <w:lang w:val="fr-CA"/>
        </w:rPr>
        <w:t xml:space="preserve"> </w:t>
      </w:r>
      <w:r w:rsidR="00D07CC7" w:rsidRPr="000F1355">
        <w:rPr>
          <w:lang w:val="fr-CA"/>
        </w:rPr>
        <w:t>153(1) pour que le juge se livre à pareil examen. La légalité de l’activité sexuelle est appréciée de façon indépendante dans le cadre de l’examen des moyens de défense.</w:t>
      </w:r>
    </w:p>
    <w:p w:rsidR="00387B48" w:rsidRPr="000F1355" w:rsidRDefault="00BC238D" w:rsidP="00BC42A6">
      <w:pPr>
        <w:pStyle w:val="SCCNormalDoubleSpacing"/>
        <w:widowControl w:val="0"/>
        <w:spacing w:before="480" w:after="480"/>
        <w:rPr>
          <w:lang w:val="fr-CA"/>
        </w:rPr>
      </w:pPr>
      <w:r w:rsidRPr="000F1355">
        <w:rPr>
          <w:lang w:val="fr-CA"/>
        </w:rPr>
        <w:tab/>
      </w:r>
      <w:r w:rsidR="00387B48" w:rsidRPr="000F1355">
        <w:rPr>
          <w:lang w:val="fr-CA"/>
        </w:rPr>
        <w:t xml:space="preserve">Dans la présente affaire, le juge du procès ne s’est pas demandé si la relation </w:t>
      </w:r>
      <w:r w:rsidR="002719F6" w:rsidRPr="000F1355">
        <w:rPr>
          <w:lang w:val="fr-CA"/>
        </w:rPr>
        <w:t xml:space="preserve">entre </w:t>
      </w:r>
      <w:r w:rsidR="00DF28CB" w:rsidRPr="000F1355">
        <w:rPr>
          <w:lang w:val="fr-CA"/>
        </w:rPr>
        <w:t>les adolescentes et les accusés</w:t>
      </w:r>
      <w:r w:rsidR="00387B48" w:rsidRPr="000F1355">
        <w:rPr>
          <w:lang w:val="fr-CA"/>
        </w:rPr>
        <w:t xml:space="preserve"> en était une d’exploitation au sens de l’</w:t>
      </w:r>
      <w:r w:rsidRPr="000F1355">
        <w:rPr>
          <w:lang w:val="fr-CA"/>
        </w:rPr>
        <w:t>art.</w:t>
      </w:r>
      <w:r w:rsidR="00BC42A6">
        <w:rPr>
          <w:lang w:val="fr-CA"/>
        </w:rPr>
        <w:t xml:space="preserve"> </w:t>
      </w:r>
      <w:r w:rsidR="00387B48" w:rsidRPr="000F1355">
        <w:rPr>
          <w:lang w:val="fr-CA"/>
        </w:rPr>
        <w:t>153</w:t>
      </w:r>
      <w:r w:rsidR="002719F6" w:rsidRPr="000F1355">
        <w:rPr>
          <w:lang w:val="fr-CA"/>
        </w:rPr>
        <w:t xml:space="preserve"> même si cette disposition s’appliquait </w:t>
      </w:r>
      <w:r w:rsidR="00276496" w:rsidRPr="000F1355">
        <w:rPr>
          <w:lang w:val="fr-CA"/>
        </w:rPr>
        <w:t xml:space="preserve">alors </w:t>
      </w:r>
      <w:r w:rsidR="0081620E" w:rsidRPr="000F1355">
        <w:rPr>
          <w:lang w:val="fr-CA"/>
        </w:rPr>
        <w:t>aux adolescents âgés de 14 à 17</w:t>
      </w:r>
      <w:r w:rsidR="00BC42A6">
        <w:rPr>
          <w:lang w:val="fr-CA"/>
        </w:rPr>
        <w:t xml:space="preserve"> </w:t>
      </w:r>
      <w:r w:rsidR="002719F6" w:rsidRPr="000F1355">
        <w:rPr>
          <w:lang w:val="fr-CA"/>
        </w:rPr>
        <w:lastRenderedPageBreak/>
        <w:t>ans</w:t>
      </w:r>
      <w:r w:rsidR="00387B48" w:rsidRPr="000F1355">
        <w:rPr>
          <w:lang w:val="fr-CA"/>
        </w:rPr>
        <w:t xml:space="preserve">. Lorsqu’il s’est penché sur des éléments de preuve pertinents pour statuer sur l’exploitation, il l’a fait en vase clos, les examinant un à la fois. À titre d’exemple, il a relevé l’âge des </w:t>
      </w:r>
      <w:r w:rsidR="00DF28CB" w:rsidRPr="000F1355">
        <w:rPr>
          <w:lang w:val="fr-CA"/>
        </w:rPr>
        <w:t>adolescen</w:t>
      </w:r>
      <w:r w:rsidR="00387B48" w:rsidRPr="000F1355">
        <w:rPr>
          <w:lang w:val="fr-CA"/>
        </w:rPr>
        <w:t>tes et la grande différence d’âge entre elles et les a</w:t>
      </w:r>
      <w:r w:rsidR="00DF28CB" w:rsidRPr="000F1355">
        <w:rPr>
          <w:lang w:val="fr-CA"/>
        </w:rPr>
        <w:t>ccusé</w:t>
      </w:r>
      <w:r w:rsidR="00387B48" w:rsidRPr="000F1355">
        <w:rPr>
          <w:lang w:val="fr-CA"/>
        </w:rPr>
        <w:t xml:space="preserve">s, mais il a </w:t>
      </w:r>
      <w:r w:rsidR="0023087C" w:rsidRPr="000F1355">
        <w:rPr>
          <w:lang w:val="fr-CA"/>
        </w:rPr>
        <w:t>estimé qu’on ne pouvait y voir d’</w:t>
      </w:r>
      <w:r w:rsidR="00387B48" w:rsidRPr="000F1355">
        <w:rPr>
          <w:lang w:val="fr-CA"/>
        </w:rPr>
        <w:t>exploitation. Cependant, il n’a pas considéré l</w:t>
      </w:r>
      <w:r w:rsidR="00DF28CB" w:rsidRPr="000F1355">
        <w:rPr>
          <w:lang w:val="fr-CA"/>
        </w:rPr>
        <w:t>a différence d’âge</w:t>
      </w:r>
      <w:r w:rsidR="00387B48" w:rsidRPr="000F1355">
        <w:rPr>
          <w:lang w:val="fr-CA"/>
        </w:rPr>
        <w:t xml:space="preserve"> à la lumière d’autres aspects de la relation, tels l’impact des dépendances des </w:t>
      </w:r>
      <w:r w:rsidR="00DF28CB" w:rsidRPr="000F1355">
        <w:rPr>
          <w:lang w:val="fr-CA"/>
        </w:rPr>
        <w:t>adolescen</w:t>
      </w:r>
      <w:r w:rsidR="00387B48" w:rsidRPr="000F1355">
        <w:rPr>
          <w:lang w:val="fr-CA"/>
        </w:rPr>
        <w:t>tes, leur besoin d’un toit ou leurs expériences passées et actuelles de vagabondage et de prostitution. En bref, il a omis d’examiner les éléments en cause à la lumière du contexte global ou de la question de savoir si, cumulativement, ces éléments donnaient lieu à une relation d’exploitation.</w:t>
      </w:r>
    </w:p>
    <w:p w:rsidR="00387B48" w:rsidRPr="000F1355" w:rsidRDefault="00BC238D" w:rsidP="00BC42A6">
      <w:pPr>
        <w:pStyle w:val="SCCNormalDoubleSpacing"/>
        <w:widowControl w:val="0"/>
        <w:spacing w:before="480" w:after="480"/>
        <w:rPr>
          <w:lang w:val="fr-CA"/>
        </w:rPr>
      </w:pPr>
      <w:r w:rsidRPr="000F1355">
        <w:rPr>
          <w:lang w:val="fr-CA"/>
        </w:rPr>
        <w:tab/>
      </w:r>
      <w:r w:rsidR="00387B48" w:rsidRPr="000F1355">
        <w:rPr>
          <w:lang w:val="fr-CA"/>
        </w:rPr>
        <w:t xml:space="preserve">En d’autres termes, l’analyse du juge du procès s’est attachée surtout au caractère volontaire de </w:t>
      </w:r>
      <w:r w:rsidR="005073B6" w:rsidRPr="000F1355">
        <w:rPr>
          <w:lang w:val="fr-CA"/>
        </w:rPr>
        <w:t>l’</w:t>
      </w:r>
      <w:r w:rsidR="00387B48" w:rsidRPr="000F1355">
        <w:rPr>
          <w:lang w:val="fr-CA"/>
        </w:rPr>
        <w:t>activité sexuelle, plutôt qu’à la nature de la relation entre les parties. Bien que le caractère volontaire d’une activité sexuelle compte pour beaucoup dans sa légalité, il ne suffit pas. Le juge devait aussi examiner globalement la nature de la relation et les circonstances qui l’entouraient pour déterminer si l’activité sexuelle était légale ou non au regard de l’</w:t>
      </w:r>
      <w:r w:rsidRPr="000F1355">
        <w:rPr>
          <w:lang w:val="fr-CA"/>
        </w:rPr>
        <w:t>art.</w:t>
      </w:r>
      <w:r w:rsidR="00BC42A6">
        <w:rPr>
          <w:lang w:val="fr-CA"/>
        </w:rPr>
        <w:t xml:space="preserve"> </w:t>
      </w:r>
      <w:r w:rsidR="00387B48" w:rsidRPr="000F1355">
        <w:rPr>
          <w:lang w:val="fr-CA"/>
        </w:rPr>
        <w:t>153. Son omission de se demander si la relation sous</w:t>
      </w:r>
      <w:r w:rsidR="00BC42A6">
        <w:rPr>
          <w:lang w:val="fr-CA"/>
        </w:rPr>
        <w:t>-</w:t>
      </w:r>
      <w:r w:rsidR="00387B48" w:rsidRPr="000F1355">
        <w:rPr>
          <w:lang w:val="fr-CA"/>
        </w:rPr>
        <w:t xml:space="preserve">jacente entre les adolescentes et les accusés en </w:t>
      </w:r>
      <w:r w:rsidR="00DF28CB" w:rsidRPr="000F1355">
        <w:rPr>
          <w:lang w:val="fr-CA"/>
        </w:rPr>
        <w:t>étai</w:t>
      </w:r>
      <w:r w:rsidR="00387B48" w:rsidRPr="000F1355">
        <w:rPr>
          <w:lang w:val="fr-CA"/>
        </w:rPr>
        <w:t xml:space="preserve">t une d’exploitation constitue une erreur de droit. </w:t>
      </w:r>
      <w:r w:rsidR="00AE6B78" w:rsidRPr="000F1355">
        <w:rPr>
          <w:lang w:val="fr-CA"/>
        </w:rPr>
        <w:t>C</w:t>
      </w:r>
      <w:r w:rsidR="00387B48" w:rsidRPr="000F1355">
        <w:rPr>
          <w:lang w:val="fr-CA"/>
        </w:rPr>
        <w:t>ette erreur a eu une incidence significative sur l</w:t>
      </w:r>
      <w:r w:rsidR="00DF28CB" w:rsidRPr="000F1355">
        <w:rPr>
          <w:lang w:val="fr-CA"/>
        </w:rPr>
        <w:t>’</w:t>
      </w:r>
      <w:r w:rsidR="00387B48" w:rsidRPr="000F1355">
        <w:rPr>
          <w:lang w:val="fr-CA"/>
        </w:rPr>
        <w:t>acquittement</w:t>
      </w:r>
      <w:r w:rsidR="00DF28CB" w:rsidRPr="000F1355">
        <w:rPr>
          <w:lang w:val="fr-CA"/>
        </w:rPr>
        <w:t xml:space="preserve"> des </w:t>
      </w:r>
      <w:r w:rsidR="00DF094C" w:rsidRPr="000F1355">
        <w:rPr>
          <w:lang w:val="fr-CA"/>
        </w:rPr>
        <w:t>accusés</w:t>
      </w:r>
      <w:r w:rsidR="00DF28CB" w:rsidRPr="000F1355">
        <w:rPr>
          <w:lang w:val="fr-CA"/>
        </w:rPr>
        <w:t xml:space="preserve"> et commande la tenue d’un nouveau procès</w:t>
      </w:r>
      <w:r w:rsidR="00387B48" w:rsidRPr="000F1355">
        <w:rPr>
          <w:lang w:val="fr-CA"/>
        </w:rPr>
        <w:t>.</w:t>
      </w:r>
    </w:p>
    <w:p w:rsidR="004D7D95" w:rsidRPr="000F1355" w:rsidRDefault="004D7D95" w:rsidP="00BC42A6">
      <w:pPr>
        <w:pStyle w:val="SCCNormalDoubleSpacing"/>
        <w:widowControl w:val="0"/>
        <w:spacing w:after="720" w:line="240" w:lineRule="auto"/>
        <w:rPr>
          <w:b/>
          <w:lang w:val="fr-CA"/>
        </w:rPr>
      </w:pPr>
      <w:r w:rsidRPr="000F1355">
        <w:rPr>
          <w:b/>
          <w:lang w:val="fr-CA"/>
        </w:rPr>
        <w:t>Jurisprudence</w:t>
      </w:r>
    </w:p>
    <w:p w:rsidR="004D7D95" w:rsidRPr="000F1355" w:rsidRDefault="004D7D95" w:rsidP="00BC42A6">
      <w:pPr>
        <w:pStyle w:val="SCCNormalDoubleSpacing"/>
        <w:widowControl w:val="0"/>
        <w:spacing w:before="480" w:after="480"/>
        <w:rPr>
          <w:lang w:val="fr-CA"/>
        </w:rPr>
      </w:pPr>
      <w:r w:rsidRPr="000F1355">
        <w:rPr>
          <w:lang w:val="fr-CA"/>
        </w:rPr>
        <w:tab/>
      </w:r>
      <w:r w:rsidR="00FA7A95" w:rsidRPr="000F1355">
        <w:rPr>
          <w:b/>
          <w:lang w:val="fr-CA"/>
        </w:rPr>
        <w:t>Arrêt appliqué</w:t>
      </w:r>
      <w:r w:rsidR="00BC42A6">
        <w:rPr>
          <w:b/>
          <w:lang w:val="fr-CA"/>
        </w:rPr>
        <w:t> :</w:t>
      </w:r>
      <w:r w:rsidRPr="000F1355">
        <w:rPr>
          <w:lang w:val="fr-CA"/>
        </w:rPr>
        <w:t xml:space="preserve"> </w:t>
      </w:r>
      <w:r w:rsidR="0030513C" w:rsidRPr="000F1355">
        <w:rPr>
          <w:i/>
          <w:lang w:val="fr-CA"/>
        </w:rPr>
        <w:t>R. c. Sharpe</w:t>
      </w:r>
      <w:r w:rsidR="0030513C" w:rsidRPr="000F1355">
        <w:rPr>
          <w:lang w:val="fr-CA"/>
        </w:rPr>
        <w:t xml:space="preserve">, 2001 CSC 2, [2001] 1 R.C.S. 45; </w:t>
      </w:r>
      <w:r w:rsidR="00FA7A95" w:rsidRPr="000F1355">
        <w:rPr>
          <w:b/>
          <w:lang w:val="fr-CA"/>
        </w:rPr>
        <w:t>arrêts mentionnés</w:t>
      </w:r>
      <w:r w:rsidR="00BC42A6">
        <w:rPr>
          <w:b/>
          <w:lang w:val="fr-CA"/>
        </w:rPr>
        <w:t> :</w:t>
      </w:r>
      <w:r w:rsidR="00FA7A95" w:rsidRPr="000F1355">
        <w:rPr>
          <w:lang w:val="fr-CA"/>
        </w:rPr>
        <w:t xml:space="preserve"> </w:t>
      </w:r>
      <w:r w:rsidR="0030513C" w:rsidRPr="000F1355">
        <w:rPr>
          <w:i/>
          <w:lang w:val="fr-CA"/>
        </w:rPr>
        <w:t>R. c.</w:t>
      </w:r>
      <w:r w:rsidR="0030513C" w:rsidRPr="000F1355">
        <w:rPr>
          <w:lang w:val="fr-CA"/>
        </w:rPr>
        <w:t xml:space="preserve"> </w:t>
      </w:r>
      <w:r w:rsidR="0030513C" w:rsidRPr="000F1355">
        <w:rPr>
          <w:i/>
          <w:lang w:val="fr-CA"/>
        </w:rPr>
        <w:t>Cockell</w:t>
      </w:r>
      <w:r w:rsidR="0030513C" w:rsidRPr="000F1355">
        <w:rPr>
          <w:lang w:val="fr-CA"/>
        </w:rPr>
        <w:t xml:space="preserve">, 2013 ABCA 112, 553 A.R. 91, </w:t>
      </w:r>
      <w:r w:rsidR="00FC2737" w:rsidRPr="000F1355">
        <w:rPr>
          <w:lang w:val="fr-CA"/>
        </w:rPr>
        <w:t xml:space="preserve">autorisation d’appel </w:t>
      </w:r>
      <w:r w:rsidR="00FC2737" w:rsidRPr="000F1355">
        <w:rPr>
          <w:lang w:val="fr-CA"/>
        </w:rPr>
        <w:lastRenderedPageBreak/>
        <w:t>refusée</w:t>
      </w:r>
      <w:r w:rsidR="0030513C" w:rsidRPr="000F1355">
        <w:rPr>
          <w:lang w:val="fr-CA"/>
        </w:rPr>
        <w:t xml:space="preserve">, [2013] 3 </w:t>
      </w:r>
      <w:r w:rsidR="003B2182" w:rsidRPr="000F1355">
        <w:rPr>
          <w:lang w:val="fr-CA"/>
        </w:rPr>
        <w:t>R</w:t>
      </w:r>
      <w:r w:rsidR="0030513C" w:rsidRPr="000F1355">
        <w:rPr>
          <w:lang w:val="fr-CA"/>
        </w:rPr>
        <w:t>.C.</w:t>
      </w:r>
      <w:r w:rsidR="003B2182" w:rsidRPr="000F1355">
        <w:rPr>
          <w:lang w:val="fr-CA"/>
        </w:rPr>
        <w:t>S</w:t>
      </w:r>
      <w:r w:rsidR="0030513C" w:rsidRPr="000F1355">
        <w:rPr>
          <w:lang w:val="fr-CA"/>
        </w:rPr>
        <w:t xml:space="preserve">. x; </w:t>
      </w:r>
      <w:r w:rsidR="0030513C" w:rsidRPr="000F1355">
        <w:rPr>
          <w:i/>
          <w:lang w:val="fr-CA"/>
        </w:rPr>
        <w:t xml:space="preserve">R. </w:t>
      </w:r>
      <w:r w:rsidR="00FC2737" w:rsidRPr="000F1355">
        <w:rPr>
          <w:i/>
          <w:lang w:val="fr-CA"/>
        </w:rPr>
        <w:t>c</w:t>
      </w:r>
      <w:r w:rsidR="0030513C" w:rsidRPr="000F1355">
        <w:rPr>
          <w:i/>
          <w:lang w:val="fr-CA"/>
        </w:rPr>
        <w:t xml:space="preserve">. L.W. </w:t>
      </w:r>
      <w:r w:rsidR="0030513C" w:rsidRPr="000F1355">
        <w:rPr>
          <w:lang w:val="fr-CA"/>
        </w:rPr>
        <w:t xml:space="preserve">(2006), 208 O.A.C. 42; </w:t>
      </w:r>
      <w:r w:rsidR="0050147A" w:rsidRPr="000F1355">
        <w:rPr>
          <w:i/>
          <w:lang w:val="fr-CA"/>
        </w:rPr>
        <w:t>R. c. Pickton</w:t>
      </w:r>
      <w:r w:rsidR="0050147A" w:rsidRPr="000F1355">
        <w:rPr>
          <w:lang w:val="fr-CA"/>
        </w:rPr>
        <w:t xml:space="preserve">, 2010 CSC 32, [2010] 2 R.C.S. 198; </w:t>
      </w:r>
      <w:r w:rsidR="00FC2737" w:rsidRPr="000F1355">
        <w:rPr>
          <w:i/>
          <w:lang w:val="fr-CA"/>
        </w:rPr>
        <w:t>R. c</w:t>
      </w:r>
      <w:r w:rsidR="0030513C" w:rsidRPr="000F1355">
        <w:rPr>
          <w:i/>
          <w:lang w:val="fr-CA"/>
        </w:rPr>
        <w:t>. Sappier</w:t>
      </w:r>
      <w:r w:rsidR="0030513C" w:rsidRPr="000F1355">
        <w:rPr>
          <w:lang w:val="fr-CA"/>
        </w:rPr>
        <w:t xml:space="preserve">, 2006 </w:t>
      </w:r>
      <w:r w:rsidR="00FC2737" w:rsidRPr="000F1355">
        <w:rPr>
          <w:lang w:val="fr-CA"/>
        </w:rPr>
        <w:t>CSC</w:t>
      </w:r>
      <w:r w:rsidR="0030513C" w:rsidRPr="000F1355">
        <w:rPr>
          <w:lang w:val="fr-CA"/>
        </w:rPr>
        <w:t xml:space="preserve"> 54, [2006] 2 </w:t>
      </w:r>
      <w:r w:rsidR="00FC2737" w:rsidRPr="000F1355">
        <w:rPr>
          <w:lang w:val="fr-CA"/>
        </w:rPr>
        <w:t>R.C.S</w:t>
      </w:r>
      <w:r w:rsidR="0030513C" w:rsidRPr="000F1355">
        <w:rPr>
          <w:lang w:val="fr-CA"/>
        </w:rPr>
        <w:t xml:space="preserve">. 686; </w:t>
      </w:r>
      <w:r w:rsidR="00FC2737" w:rsidRPr="000F1355">
        <w:rPr>
          <w:i/>
          <w:lang w:val="fr-CA"/>
        </w:rPr>
        <w:t>M. c</w:t>
      </w:r>
      <w:r w:rsidR="0030513C" w:rsidRPr="000F1355">
        <w:rPr>
          <w:i/>
          <w:lang w:val="fr-CA"/>
        </w:rPr>
        <w:t>. H.</w:t>
      </w:r>
      <w:r w:rsidR="0030513C" w:rsidRPr="000F1355">
        <w:rPr>
          <w:lang w:val="fr-CA"/>
        </w:rPr>
        <w:t xml:space="preserve">, [1999] 2 </w:t>
      </w:r>
      <w:r w:rsidR="00FC2737" w:rsidRPr="000F1355">
        <w:rPr>
          <w:lang w:val="fr-CA"/>
        </w:rPr>
        <w:t>R.C.S</w:t>
      </w:r>
      <w:r w:rsidR="0030513C" w:rsidRPr="000F1355">
        <w:rPr>
          <w:lang w:val="fr-CA"/>
        </w:rPr>
        <w:t xml:space="preserve">. 3; </w:t>
      </w:r>
      <w:r w:rsidR="00FC2737" w:rsidRPr="000F1355">
        <w:rPr>
          <w:i/>
          <w:lang w:val="fr-CA"/>
        </w:rPr>
        <w:t>R. c</w:t>
      </w:r>
      <w:r w:rsidR="0030513C" w:rsidRPr="000F1355">
        <w:rPr>
          <w:i/>
          <w:lang w:val="fr-CA"/>
        </w:rPr>
        <w:t>. Graveline</w:t>
      </w:r>
      <w:r w:rsidR="0030513C" w:rsidRPr="000F1355">
        <w:rPr>
          <w:lang w:val="fr-CA"/>
        </w:rPr>
        <w:t xml:space="preserve">, 2006 </w:t>
      </w:r>
      <w:r w:rsidR="00FC2737" w:rsidRPr="000F1355">
        <w:rPr>
          <w:lang w:val="fr-CA"/>
        </w:rPr>
        <w:t xml:space="preserve">CSC </w:t>
      </w:r>
      <w:r w:rsidR="0030513C" w:rsidRPr="000F1355">
        <w:rPr>
          <w:lang w:val="fr-CA"/>
        </w:rPr>
        <w:t xml:space="preserve">16, [2006] 1 </w:t>
      </w:r>
      <w:r w:rsidR="00FC2737" w:rsidRPr="000F1355">
        <w:rPr>
          <w:lang w:val="fr-CA"/>
        </w:rPr>
        <w:t xml:space="preserve">R.C.S. </w:t>
      </w:r>
      <w:r w:rsidR="0030513C" w:rsidRPr="000F1355">
        <w:rPr>
          <w:lang w:val="fr-CA"/>
        </w:rPr>
        <w:t xml:space="preserve">609; </w:t>
      </w:r>
      <w:r w:rsidR="00EA430C" w:rsidRPr="000F1355">
        <w:rPr>
          <w:i/>
          <w:lang w:val="fr-CA"/>
        </w:rPr>
        <w:t>R. c</w:t>
      </w:r>
      <w:r w:rsidR="0030513C" w:rsidRPr="000F1355">
        <w:rPr>
          <w:i/>
          <w:lang w:val="fr-CA"/>
        </w:rPr>
        <w:t>. Morin</w:t>
      </w:r>
      <w:r w:rsidR="0030513C" w:rsidRPr="000F1355">
        <w:rPr>
          <w:lang w:val="fr-CA"/>
        </w:rPr>
        <w:t>, [1988]</w:t>
      </w:r>
      <w:r w:rsidR="0030513C" w:rsidRPr="000F1355">
        <w:rPr>
          <w:i/>
          <w:lang w:val="fr-CA"/>
        </w:rPr>
        <w:t xml:space="preserve"> </w:t>
      </w:r>
      <w:r w:rsidR="0030513C" w:rsidRPr="000F1355">
        <w:rPr>
          <w:lang w:val="fr-CA"/>
        </w:rPr>
        <w:t xml:space="preserve">2 </w:t>
      </w:r>
      <w:r w:rsidR="00EA430C" w:rsidRPr="000F1355">
        <w:rPr>
          <w:lang w:val="fr-CA"/>
        </w:rPr>
        <w:t xml:space="preserve">R.C.S. </w:t>
      </w:r>
      <w:r w:rsidR="0030513C" w:rsidRPr="000F1355">
        <w:rPr>
          <w:lang w:val="fr-CA"/>
        </w:rPr>
        <w:t>345.</w:t>
      </w:r>
    </w:p>
    <w:p w:rsidR="004D7D95" w:rsidRPr="000F1355" w:rsidRDefault="004D7D95" w:rsidP="00BC42A6">
      <w:pPr>
        <w:pStyle w:val="SCCNormalDoubleSpacing"/>
        <w:widowControl w:val="0"/>
        <w:spacing w:after="720" w:line="240" w:lineRule="auto"/>
        <w:rPr>
          <w:b/>
          <w:lang w:val="fr-CA"/>
        </w:rPr>
      </w:pPr>
      <w:r w:rsidRPr="000F1355">
        <w:rPr>
          <w:b/>
          <w:lang w:val="fr-CA"/>
        </w:rPr>
        <w:t>Lois et règlements cités</w:t>
      </w:r>
    </w:p>
    <w:p w:rsidR="00370114" w:rsidRPr="000F1355" w:rsidRDefault="00370114" w:rsidP="00BC42A6">
      <w:pPr>
        <w:pStyle w:val="SCCNormalDoubleSpacing"/>
        <w:widowControl w:val="0"/>
        <w:spacing w:after="240" w:line="240" w:lineRule="auto"/>
        <w:ind w:left="1138" w:hanging="1138"/>
        <w:rPr>
          <w:lang w:val="fr-CA"/>
        </w:rPr>
      </w:pPr>
      <w:r w:rsidRPr="000F1355">
        <w:rPr>
          <w:i/>
          <w:lang w:val="fr-CA"/>
        </w:rPr>
        <w:t>Charte canadienne des droits et libertés</w:t>
      </w:r>
      <w:r w:rsidRPr="000F1355">
        <w:rPr>
          <w:lang w:val="fr-CA"/>
        </w:rPr>
        <w:t xml:space="preserve">, </w:t>
      </w:r>
      <w:r w:rsidR="00BC238D" w:rsidRPr="000F1355">
        <w:rPr>
          <w:lang w:val="fr-CA"/>
        </w:rPr>
        <w:t>art.</w:t>
      </w:r>
      <w:r w:rsidR="00BC42A6">
        <w:rPr>
          <w:lang w:val="fr-CA"/>
        </w:rPr>
        <w:t xml:space="preserve"> </w:t>
      </w:r>
      <w:r w:rsidR="00D42C98" w:rsidRPr="000F1355">
        <w:rPr>
          <w:lang w:val="fr-CA"/>
        </w:rPr>
        <w:t>1, 2</w:t>
      </w:r>
      <w:r w:rsidR="00D42C98" w:rsidRPr="000F1355">
        <w:rPr>
          <w:i/>
          <w:lang w:val="fr-CA"/>
        </w:rPr>
        <w:t>b</w:t>
      </w:r>
      <w:r w:rsidR="00D42C98" w:rsidRPr="000F1355">
        <w:rPr>
          <w:lang w:val="fr-CA"/>
        </w:rPr>
        <w:t>).</w:t>
      </w:r>
    </w:p>
    <w:p w:rsidR="004D7D95" w:rsidRDefault="00B57688" w:rsidP="009923F3">
      <w:pPr>
        <w:pStyle w:val="SCCNormalDoubleSpacing"/>
        <w:widowControl w:val="0"/>
        <w:spacing w:after="240" w:line="240" w:lineRule="auto"/>
        <w:ind w:left="1138" w:hanging="1138"/>
        <w:rPr>
          <w:lang w:val="fr-CA"/>
        </w:rPr>
      </w:pPr>
      <w:r w:rsidRPr="000F1355">
        <w:rPr>
          <w:i/>
          <w:lang w:val="fr-CA"/>
        </w:rPr>
        <w:t>Code criminel</w:t>
      </w:r>
      <w:r w:rsidR="00637792" w:rsidRPr="000F1355">
        <w:rPr>
          <w:lang w:val="fr-CA"/>
        </w:rPr>
        <w:t>, L.R.C. 1985, c.</w:t>
      </w:r>
      <w:r w:rsidR="00BC42A6">
        <w:rPr>
          <w:lang w:val="fr-CA"/>
        </w:rPr>
        <w:t xml:space="preserve"> </w:t>
      </w:r>
      <w:r w:rsidRPr="000F1355">
        <w:rPr>
          <w:lang w:val="fr-CA"/>
        </w:rPr>
        <w:t>C</w:t>
      </w:r>
      <w:r w:rsidR="00BC42A6">
        <w:rPr>
          <w:lang w:val="fr-CA"/>
        </w:rPr>
        <w:t>-</w:t>
      </w:r>
      <w:r w:rsidRPr="000F1355">
        <w:rPr>
          <w:lang w:val="fr-CA"/>
        </w:rPr>
        <w:t xml:space="preserve">46, </w:t>
      </w:r>
      <w:r w:rsidR="00BC238D" w:rsidRPr="000F1355">
        <w:rPr>
          <w:lang w:val="fr-CA"/>
        </w:rPr>
        <w:t>art.</w:t>
      </w:r>
      <w:r w:rsidR="00BC42A6">
        <w:rPr>
          <w:lang w:val="fr-CA"/>
        </w:rPr>
        <w:t xml:space="preserve"> </w:t>
      </w:r>
      <w:r w:rsidR="00D42C98" w:rsidRPr="000F1355">
        <w:rPr>
          <w:lang w:val="fr-CA"/>
        </w:rPr>
        <w:t>150.1, 151, 152, 153, 155, 160(3), 163.1, 173(2), 26</w:t>
      </w:r>
      <w:r w:rsidR="00A5791C" w:rsidRPr="000F1355">
        <w:rPr>
          <w:lang w:val="fr-CA"/>
        </w:rPr>
        <w:t xml:space="preserve">5(3), 271 </w:t>
      </w:r>
      <w:r w:rsidR="007C5BE8" w:rsidRPr="000F1355">
        <w:rPr>
          <w:lang w:val="fr-CA"/>
        </w:rPr>
        <w:t>à</w:t>
      </w:r>
      <w:r w:rsidR="00A5791C" w:rsidRPr="000F1355">
        <w:rPr>
          <w:lang w:val="fr-CA"/>
        </w:rPr>
        <w:t xml:space="preserve"> 273, 273.1, 686(4)</w:t>
      </w:r>
      <w:r w:rsidR="00D42C98" w:rsidRPr="000F1355">
        <w:rPr>
          <w:i/>
          <w:lang w:val="fr-CA"/>
        </w:rPr>
        <w:t>b</w:t>
      </w:r>
      <w:r w:rsidR="00D42C98" w:rsidRPr="000F1355">
        <w:rPr>
          <w:lang w:val="fr-CA"/>
        </w:rPr>
        <w:t>)(ii).</w:t>
      </w:r>
    </w:p>
    <w:p w:rsidR="009923F3" w:rsidRPr="000F1355" w:rsidRDefault="009923F3" w:rsidP="00BC42A6">
      <w:pPr>
        <w:pStyle w:val="SCCNormalDoubleSpacing"/>
        <w:widowControl w:val="0"/>
        <w:spacing w:after="720" w:line="240" w:lineRule="auto"/>
        <w:ind w:left="1138" w:hanging="1138"/>
        <w:rPr>
          <w:lang w:val="fr-CA"/>
        </w:rPr>
      </w:pPr>
      <w:r w:rsidRPr="009923F3">
        <w:rPr>
          <w:i/>
          <w:lang w:val="fr-CA"/>
        </w:rPr>
        <w:t>Loi sur la lutte contre les crimes violents</w:t>
      </w:r>
      <w:r>
        <w:rPr>
          <w:lang w:val="fr-CA"/>
        </w:rPr>
        <w:t>, L.C. 2008, c. 6.</w:t>
      </w:r>
    </w:p>
    <w:p w:rsidR="004D7D95" w:rsidRPr="000F1355" w:rsidRDefault="00886B8D" w:rsidP="00BC42A6">
      <w:pPr>
        <w:pStyle w:val="SCCNormalDoubleSpacing"/>
        <w:widowControl w:val="0"/>
        <w:spacing w:before="480" w:after="480"/>
        <w:rPr>
          <w:lang w:val="fr-CA"/>
        </w:rPr>
      </w:pPr>
      <w:r w:rsidRPr="000F1355">
        <w:rPr>
          <w:lang w:val="fr-CA"/>
        </w:rPr>
        <w:tab/>
      </w:r>
      <w:r w:rsidR="004D7D95" w:rsidRPr="000F1355">
        <w:rPr>
          <w:lang w:val="fr-CA"/>
        </w:rPr>
        <w:t>POURVOI</w:t>
      </w:r>
      <w:r w:rsidR="00ED5D02" w:rsidRPr="000F1355">
        <w:rPr>
          <w:lang w:val="fr-CA"/>
        </w:rPr>
        <w:t>S</w:t>
      </w:r>
      <w:r w:rsidR="004D7D95" w:rsidRPr="000F1355">
        <w:rPr>
          <w:lang w:val="fr-CA"/>
        </w:rPr>
        <w:t xml:space="preserve"> contre un arrêt de la Cour d</w:t>
      </w:r>
      <w:r w:rsidRPr="000F1355">
        <w:rPr>
          <w:lang w:val="fr-CA"/>
        </w:rPr>
        <w:t>’</w:t>
      </w:r>
      <w:r w:rsidR="004D7D95" w:rsidRPr="000F1355">
        <w:rPr>
          <w:lang w:val="fr-CA"/>
        </w:rPr>
        <w:t>appel de l</w:t>
      </w:r>
      <w:r w:rsidRPr="000F1355">
        <w:rPr>
          <w:lang w:val="fr-CA"/>
        </w:rPr>
        <w:t>’</w:t>
      </w:r>
      <w:r w:rsidR="004D7D95" w:rsidRPr="000F1355">
        <w:rPr>
          <w:lang w:val="fr-CA"/>
        </w:rPr>
        <w:t>Alberta</w:t>
      </w:r>
      <w:r w:rsidR="00541C43" w:rsidRPr="000F1355">
        <w:rPr>
          <w:lang w:val="fr-CA"/>
        </w:rPr>
        <w:t xml:space="preserve"> (les juges Berger, Watson et Slatter), 2014 ABCA 126, </w:t>
      </w:r>
      <w:r w:rsidR="00161F8B" w:rsidRPr="000F1355">
        <w:rPr>
          <w:lang w:val="fr-CA"/>
        </w:rPr>
        <w:t xml:space="preserve">572 A.R. 289, </w:t>
      </w:r>
      <w:r w:rsidR="00541C43" w:rsidRPr="000F1355">
        <w:rPr>
          <w:lang w:val="fr-CA"/>
        </w:rPr>
        <w:t xml:space="preserve">98 Alta. L.R. (5th) 125, 10 C.R. (7th) 350, [2014] 8 W.W.R. 69, 310 C.C.C. (3d) 360, 306 C.R.R. (2d) 299, </w:t>
      </w:r>
      <w:r w:rsidR="009923F3">
        <w:rPr>
          <w:lang w:val="fr-CA"/>
        </w:rPr>
        <w:t xml:space="preserve">609 W.A.C. 289, </w:t>
      </w:r>
      <w:r w:rsidR="00541C43" w:rsidRPr="000F1355">
        <w:rPr>
          <w:lang w:val="fr-CA"/>
        </w:rPr>
        <w:t xml:space="preserve">[2014] A.J. </w:t>
      </w:r>
      <w:r w:rsidR="00BC238D" w:rsidRPr="000F1355">
        <w:rPr>
          <w:lang w:val="fr-CA"/>
        </w:rPr>
        <w:t>No.</w:t>
      </w:r>
      <w:r w:rsidR="00BC42A6">
        <w:rPr>
          <w:lang w:val="fr-CA"/>
        </w:rPr>
        <w:t xml:space="preserve"> </w:t>
      </w:r>
      <w:r w:rsidR="00541C43" w:rsidRPr="000F1355">
        <w:rPr>
          <w:lang w:val="fr-CA"/>
        </w:rPr>
        <w:t xml:space="preserve">322 (QL), 2014 CarswellAlta 489 (WL Can.), </w:t>
      </w:r>
      <w:r w:rsidR="00F24982" w:rsidRPr="000F1355">
        <w:rPr>
          <w:lang w:val="fr-CA"/>
        </w:rPr>
        <w:t xml:space="preserve">qui a annulé les </w:t>
      </w:r>
      <w:r w:rsidR="00541C43" w:rsidRPr="000F1355">
        <w:rPr>
          <w:lang w:val="fr-CA"/>
        </w:rPr>
        <w:t>acquittement</w:t>
      </w:r>
      <w:r w:rsidR="00F24982" w:rsidRPr="000F1355">
        <w:rPr>
          <w:lang w:val="fr-CA"/>
        </w:rPr>
        <w:t>s</w:t>
      </w:r>
      <w:r w:rsidR="00541C43" w:rsidRPr="000F1355">
        <w:rPr>
          <w:lang w:val="fr-CA"/>
        </w:rPr>
        <w:t xml:space="preserve"> prononcé</w:t>
      </w:r>
      <w:r w:rsidR="00F24982" w:rsidRPr="000F1355">
        <w:rPr>
          <w:lang w:val="fr-CA"/>
        </w:rPr>
        <w:t>s</w:t>
      </w:r>
      <w:r w:rsidR="00541C43" w:rsidRPr="000F1355">
        <w:rPr>
          <w:lang w:val="fr-CA"/>
        </w:rPr>
        <w:t xml:space="preserve"> par le juge Thomas, 2012 ABQB 99, </w:t>
      </w:r>
      <w:r w:rsidR="00CC0E2E" w:rsidRPr="000F1355">
        <w:rPr>
          <w:lang w:val="fr-CA"/>
        </w:rPr>
        <w:t xml:space="preserve">532 A.R. 364, </w:t>
      </w:r>
      <w:r w:rsidR="00541C43" w:rsidRPr="000F1355">
        <w:rPr>
          <w:lang w:val="fr-CA"/>
        </w:rPr>
        <w:t xml:space="preserve">59 Alta. L.R. (5th) 369, 284 C.C.C. (3d) 62, [2012] 10 W.W.R. 104, [2012] A.J. </w:t>
      </w:r>
      <w:r w:rsidR="00BC238D" w:rsidRPr="000F1355">
        <w:rPr>
          <w:lang w:val="fr-CA"/>
        </w:rPr>
        <w:t>No.</w:t>
      </w:r>
      <w:r w:rsidR="00BC42A6">
        <w:rPr>
          <w:lang w:val="fr-CA"/>
        </w:rPr>
        <w:t xml:space="preserve"> </w:t>
      </w:r>
      <w:r w:rsidR="00541C43" w:rsidRPr="000F1355">
        <w:rPr>
          <w:lang w:val="fr-CA"/>
        </w:rPr>
        <w:t>191 (QL), 2012 CarswellAlta 434</w:t>
      </w:r>
      <w:r w:rsidR="0033230E" w:rsidRPr="000F1355">
        <w:rPr>
          <w:lang w:val="fr-CA"/>
        </w:rPr>
        <w:t xml:space="preserve"> (WL Can.)</w:t>
      </w:r>
      <w:r w:rsidR="00ED5D02" w:rsidRPr="000F1355">
        <w:rPr>
          <w:lang w:val="fr-CA"/>
        </w:rPr>
        <w:t xml:space="preserve">. Pourvois </w:t>
      </w:r>
      <w:r w:rsidR="002719F6" w:rsidRPr="000F1355">
        <w:rPr>
          <w:lang w:val="fr-CA"/>
        </w:rPr>
        <w:t>accueilli</w:t>
      </w:r>
      <w:r w:rsidR="006E77FA" w:rsidRPr="000F1355">
        <w:rPr>
          <w:lang w:val="fr-CA"/>
        </w:rPr>
        <w:t>s et nouveau procès ordonné</w:t>
      </w:r>
      <w:r w:rsidR="00ED5D02" w:rsidRPr="000F1355">
        <w:rPr>
          <w:lang w:val="fr-CA"/>
        </w:rPr>
        <w:t>.</w:t>
      </w:r>
    </w:p>
    <w:p w:rsidR="002A3EE3" w:rsidRPr="000F1355" w:rsidRDefault="00541C43" w:rsidP="00BC42A6">
      <w:pPr>
        <w:pStyle w:val="SCCNormalDoubleSpacing"/>
        <w:widowControl w:val="0"/>
        <w:spacing w:before="480" w:after="480"/>
        <w:rPr>
          <w:lang w:val="fr-CA"/>
        </w:rPr>
      </w:pPr>
      <w:r w:rsidRPr="000F1355">
        <w:rPr>
          <w:rStyle w:val="SCCCounselNameChar"/>
          <w:i w:val="0"/>
          <w:lang w:val="fr-CA"/>
        </w:rPr>
        <w:tab/>
      </w:r>
      <w:r w:rsidRPr="000F1355">
        <w:rPr>
          <w:rStyle w:val="SCCCounselNameChar"/>
          <w:lang w:val="fr-CA"/>
        </w:rPr>
        <w:t>Peter</w:t>
      </w:r>
      <w:r w:rsidR="00BC42A6">
        <w:rPr>
          <w:rStyle w:val="SCCCounselNameChar"/>
          <w:lang w:val="fr-CA"/>
        </w:rPr>
        <w:t xml:space="preserve"> </w:t>
      </w:r>
      <w:r w:rsidRPr="000F1355">
        <w:rPr>
          <w:rStyle w:val="SCCCounselNameChar"/>
          <w:lang w:val="fr-CA"/>
        </w:rPr>
        <w:t>J. Royal</w:t>
      </w:r>
      <w:r w:rsidRPr="000F1355">
        <w:rPr>
          <w:rStyle w:val="SCCCounselNameChar"/>
          <w:i w:val="0"/>
          <w:lang w:val="fr-CA"/>
        </w:rPr>
        <w:t xml:space="preserve">, </w:t>
      </w:r>
      <w:r w:rsidR="00ED5D02" w:rsidRPr="000F1355">
        <w:rPr>
          <w:rStyle w:val="SCCCounselNameChar"/>
          <w:lang w:val="fr-CA"/>
        </w:rPr>
        <w:t>c.r.</w:t>
      </w:r>
      <w:r w:rsidRPr="000F1355">
        <w:rPr>
          <w:rStyle w:val="SCCCounselPartyRoleChar"/>
          <w:lang w:val="fr-CA"/>
        </w:rPr>
        <w:t>, pour l</w:t>
      </w:r>
      <w:r w:rsidR="00886B8D" w:rsidRPr="000F1355">
        <w:rPr>
          <w:rStyle w:val="SCCCounselPartyRoleChar"/>
          <w:lang w:val="fr-CA"/>
        </w:rPr>
        <w:t>’</w:t>
      </w:r>
      <w:r w:rsidR="00ED5D02" w:rsidRPr="000F1355">
        <w:rPr>
          <w:rStyle w:val="SCCCounselPartyRoleChar"/>
          <w:lang w:val="fr-CA"/>
        </w:rPr>
        <w:t xml:space="preserve">appelant </w:t>
      </w:r>
      <w:r w:rsidR="00ED5D02" w:rsidRPr="000F1355">
        <w:rPr>
          <w:lang w:val="fr-CA"/>
        </w:rPr>
        <w:t>Donald Jerry Barabash</w:t>
      </w:r>
      <w:r w:rsidRPr="000F1355">
        <w:rPr>
          <w:rStyle w:val="SCCCounselPartyRoleChar"/>
          <w:lang w:val="fr-CA"/>
        </w:rPr>
        <w:t>.</w:t>
      </w:r>
    </w:p>
    <w:p w:rsidR="00ED5D02" w:rsidRPr="000F1355" w:rsidRDefault="00ED5D02" w:rsidP="00BC42A6">
      <w:pPr>
        <w:pStyle w:val="SCCNormalDoubleSpacing"/>
        <w:widowControl w:val="0"/>
        <w:spacing w:before="480" w:after="480"/>
        <w:rPr>
          <w:lang w:val="fr-CA"/>
        </w:rPr>
      </w:pPr>
      <w:r w:rsidRPr="000F1355">
        <w:rPr>
          <w:rStyle w:val="SCCCounselNameChar"/>
          <w:i w:val="0"/>
          <w:lang w:val="fr-CA"/>
        </w:rPr>
        <w:tab/>
      </w:r>
      <w:r w:rsidRPr="000F1355">
        <w:rPr>
          <w:rStyle w:val="SCCCounselNameChar"/>
          <w:lang w:val="fr-CA"/>
        </w:rPr>
        <w:t>Diana</w:t>
      </w:r>
      <w:r w:rsidR="00BC42A6">
        <w:rPr>
          <w:rStyle w:val="SCCCounselNameChar"/>
          <w:lang w:val="fr-CA"/>
        </w:rPr>
        <w:t xml:space="preserve"> </w:t>
      </w:r>
      <w:r w:rsidRPr="000F1355">
        <w:rPr>
          <w:rStyle w:val="SCCCounselNameChar"/>
          <w:lang w:val="fr-CA"/>
        </w:rPr>
        <w:t>C. Goldie</w:t>
      </w:r>
      <w:r w:rsidRPr="000F1355">
        <w:rPr>
          <w:rStyle w:val="SCCCounselSeparatorChar"/>
          <w:lang w:val="fr-CA"/>
        </w:rPr>
        <w:t xml:space="preserve"> et </w:t>
      </w:r>
      <w:r w:rsidRPr="000F1355">
        <w:rPr>
          <w:rStyle w:val="SCCCounselNameChar"/>
          <w:lang w:val="fr-CA"/>
        </w:rPr>
        <w:t>Thomas Slade</w:t>
      </w:r>
      <w:r w:rsidRPr="000F1355">
        <w:rPr>
          <w:rStyle w:val="SCCCounselPartyRoleChar"/>
          <w:lang w:val="fr-CA"/>
        </w:rPr>
        <w:t xml:space="preserve">, pour l’appelant </w:t>
      </w:r>
      <w:r w:rsidRPr="000F1355">
        <w:rPr>
          <w:lang w:val="fr-CA"/>
        </w:rPr>
        <w:t>Shane Gordon Rollison</w:t>
      </w:r>
      <w:r w:rsidRPr="000F1355">
        <w:rPr>
          <w:rStyle w:val="SCCCounselPartyRoleChar"/>
          <w:lang w:val="fr-CA"/>
        </w:rPr>
        <w:t>.</w:t>
      </w:r>
    </w:p>
    <w:p w:rsidR="002A3EE3" w:rsidRPr="000F1355" w:rsidRDefault="00541C43" w:rsidP="00BC42A6">
      <w:pPr>
        <w:pStyle w:val="SCCNormalDoubleSpacing"/>
        <w:widowControl w:val="0"/>
        <w:spacing w:before="480" w:after="480"/>
        <w:rPr>
          <w:lang w:val="fr-CA"/>
        </w:rPr>
      </w:pPr>
      <w:r w:rsidRPr="000F1355">
        <w:rPr>
          <w:rStyle w:val="SCCCounselNameChar"/>
          <w:i w:val="0"/>
          <w:lang w:val="fr-CA"/>
        </w:rPr>
        <w:lastRenderedPageBreak/>
        <w:tab/>
      </w:r>
      <w:r w:rsidRPr="000F1355">
        <w:rPr>
          <w:rStyle w:val="SCCCounselNameChar"/>
          <w:lang w:val="fr-CA"/>
        </w:rPr>
        <w:t>Jolaine Antonio</w:t>
      </w:r>
      <w:r w:rsidRPr="000F1355">
        <w:rPr>
          <w:rStyle w:val="SCCCounselSeparatorChar"/>
          <w:lang w:val="fr-CA"/>
        </w:rPr>
        <w:t xml:space="preserve"> et </w:t>
      </w:r>
      <w:r w:rsidRPr="000F1355">
        <w:rPr>
          <w:rStyle w:val="SCCCounselNameChar"/>
          <w:lang w:val="fr-CA"/>
        </w:rPr>
        <w:t>Julie Morgan</w:t>
      </w:r>
      <w:r w:rsidRPr="000F1355">
        <w:rPr>
          <w:rStyle w:val="SCCCounselPartyRoleChar"/>
          <w:lang w:val="fr-CA"/>
        </w:rPr>
        <w:t>, pour l</w:t>
      </w:r>
      <w:r w:rsidR="00886B8D" w:rsidRPr="000F1355">
        <w:rPr>
          <w:rStyle w:val="SCCCounselPartyRoleChar"/>
          <w:lang w:val="fr-CA"/>
        </w:rPr>
        <w:t>’</w:t>
      </w:r>
      <w:r w:rsidRPr="000F1355">
        <w:rPr>
          <w:rStyle w:val="SCCCounselPartyRoleChar"/>
          <w:lang w:val="fr-CA"/>
        </w:rPr>
        <w:t>intimée.</w:t>
      </w:r>
    </w:p>
    <w:p w:rsidR="00ED5D02" w:rsidRPr="000F1355" w:rsidRDefault="00ED5D02" w:rsidP="00BC42A6">
      <w:pPr>
        <w:pStyle w:val="SCCNormalDoubleSpacing"/>
        <w:widowControl w:val="0"/>
        <w:spacing w:before="480" w:after="480"/>
        <w:rPr>
          <w:lang w:val="fr-CA"/>
        </w:rPr>
      </w:pPr>
      <w:r w:rsidRPr="000F1355">
        <w:rPr>
          <w:rStyle w:val="SCCCounselNameChar"/>
          <w:i w:val="0"/>
          <w:lang w:val="fr-CA"/>
        </w:rPr>
        <w:tab/>
      </w:r>
      <w:r w:rsidRPr="000F1355">
        <w:rPr>
          <w:rStyle w:val="SCCCounselNameChar"/>
          <w:lang w:val="fr-CA"/>
        </w:rPr>
        <w:t>Jeffrey</w:t>
      </w:r>
      <w:r w:rsidR="00BC42A6">
        <w:rPr>
          <w:rStyle w:val="SCCCounselNameChar"/>
          <w:lang w:val="fr-CA"/>
        </w:rPr>
        <w:t xml:space="preserve"> </w:t>
      </w:r>
      <w:r w:rsidRPr="000F1355">
        <w:rPr>
          <w:rStyle w:val="SCCCounselNameChar"/>
          <w:lang w:val="fr-CA"/>
        </w:rPr>
        <w:t>G. Johnston</w:t>
      </w:r>
      <w:r w:rsidRPr="000F1355">
        <w:rPr>
          <w:rStyle w:val="SCCCounselPartyRoleChar"/>
          <w:lang w:val="fr-CA"/>
        </w:rPr>
        <w:t>, pour l’intervenant le procureur général du Canada.</w:t>
      </w:r>
    </w:p>
    <w:p w:rsidR="002A3EE3" w:rsidRPr="000F1355" w:rsidRDefault="00541C43" w:rsidP="00BC42A6">
      <w:pPr>
        <w:pStyle w:val="SCCNormalDoubleSpacing"/>
        <w:widowControl w:val="0"/>
        <w:spacing w:before="480" w:after="480"/>
        <w:rPr>
          <w:lang w:val="fr-CA"/>
        </w:rPr>
      </w:pPr>
      <w:r w:rsidRPr="000F1355">
        <w:rPr>
          <w:rStyle w:val="SCCCounselNameChar"/>
          <w:i w:val="0"/>
          <w:lang w:val="fr-CA"/>
        </w:rPr>
        <w:tab/>
      </w:r>
      <w:r w:rsidRPr="000F1355">
        <w:rPr>
          <w:rStyle w:val="SCCCounselNameChar"/>
          <w:lang w:val="fr-CA"/>
        </w:rPr>
        <w:t>Christine Bartlett</w:t>
      </w:r>
      <w:r w:rsidR="00BC42A6">
        <w:rPr>
          <w:rStyle w:val="SCCCounselNameChar"/>
          <w:lang w:val="fr-CA"/>
        </w:rPr>
        <w:t>-</w:t>
      </w:r>
      <w:r w:rsidRPr="000F1355">
        <w:rPr>
          <w:rStyle w:val="SCCCounselNameChar"/>
          <w:lang w:val="fr-CA"/>
        </w:rPr>
        <w:t>Hughes</w:t>
      </w:r>
      <w:r w:rsidRPr="000F1355">
        <w:rPr>
          <w:rStyle w:val="SCCCounselSeparatorChar"/>
          <w:lang w:val="fr-CA"/>
        </w:rPr>
        <w:t xml:space="preserve"> et </w:t>
      </w:r>
      <w:r w:rsidRPr="000F1355">
        <w:rPr>
          <w:rStyle w:val="SCCCounselNameChar"/>
          <w:lang w:val="fr-CA"/>
        </w:rPr>
        <w:t>Lisa Henderson</w:t>
      </w:r>
      <w:r w:rsidRPr="000F1355">
        <w:rPr>
          <w:rStyle w:val="SCCCounselPartyRoleChar"/>
          <w:lang w:val="fr-CA"/>
        </w:rPr>
        <w:t>, pour l</w:t>
      </w:r>
      <w:r w:rsidR="00886B8D" w:rsidRPr="000F1355">
        <w:rPr>
          <w:rStyle w:val="SCCCounselPartyRoleChar"/>
          <w:lang w:val="fr-CA"/>
        </w:rPr>
        <w:t>’</w:t>
      </w:r>
      <w:r w:rsidRPr="000F1355">
        <w:rPr>
          <w:rStyle w:val="SCCCounselPartyRoleChar"/>
          <w:lang w:val="fr-CA"/>
        </w:rPr>
        <w:t>intervenant</w:t>
      </w:r>
      <w:r w:rsidR="00ED5D02" w:rsidRPr="000F1355">
        <w:rPr>
          <w:rStyle w:val="SCCCounselPartyRoleChar"/>
          <w:lang w:val="fr-CA"/>
        </w:rPr>
        <w:t xml:space="preserve"> le</w:t>
      </w:r>
      <w:r w:rsidRPr="000F1355">
        <w:rPr>
          <w:rStyle w:val="SCCCounselPartyRoleChar"/>
          <w:lang w:val="fr-CA"/>
        </w:rPr>
        <w:t xml:space="preserve"> </w:t>
      </w:r>
      <w:r w:rsidR="00ED5D02" w:rsidRPr="000F1355">
        <w:rPr>
          <w:rStyle w:val="SCCCounselPartyRoleChar"/>
          <w:lang w:val="fr-CA"/>
        </w:rPr>
        <w:t>p</w:t>
      </w:r>
      <w:r w:rsidRPr="000F1355">
        <w:rPr>
          <w:rStyle w:val="SCCCounselPartyRoleChar"/>
          <w:lang w:val="fr-CA"/>
        </w:rPr>
        <w:t>rocureur général de l</w:t>
      </w:r>
      <w:r w:rsidR="00886B8D" w:rsidRPr="000F1355">
        <w:rPr>
          <w:rStyle w:val="SCCCounselPartyRoleChar"/>
          <w:lang w:val="fr-CA"/>
        </w:rPr>
        <w:t>’</w:t>
      </w:r>
      <w:r w:rsidRPr="000F1355">
        <w:rPr>
          <w:rStyle w:val="SCCCounselPartyRoleChar"/>
          <w:lang w:val="fr-CA"/>
        </w:rPr>
        <w:t>Ontario.</w:t>
      </w:r>
    </w:p>
    <w:p w:rsidR="002A3EE3" w:rsidRPr="000F1355" w:rsidRDefault="00541C43" w:rsidP="00BC42A6">
      <w:pPr>
        <w:pStyle w:val="SCCNormalDoubleSpacing"/>
        <w:widowControl w:val="0"/>
        <w:spacing w:before="480" w:after="480"/>
        <w:rPr>
          <w:lang w:val="fr-CA"/>
        </w:rPr>
      </w:pPr>
      <w:r w:rsidRPr="000F1355">
        <w:rPr>
          <w:rStyle w:val="SCCCounselNameChar"/>
          <w:i w:val="0"/>
          <w:lang w:val="fr-CA"/>
        </w:rPr>
        <w:tab/>
      </w:r>
      <w:r w:rsidR="00ED5D02" w:rsidRPr="000F1355">
        <w:rPr>
          <w:rStyle w:val="SCCCounselNameChar"/>
          <w:lang w:val="fr-CA"/>
        </w:rPr>
        <w:t>Alexi</w:t>
      </w:r>
      <w:r w:rsidR="00BC42A6">
        <w:rPr>
          <w:rStyle w:val="SCCCounselNameChar"/>
          <w:lang w:val="fr-CA"/>
        </w:rPr>
        <w:t xml:space="preserve"> </w:t>
      </w:r>
      <w:r w:rsidRPr="000F1355">
        <w:rPr>
          <w:rStyle w:val="SCCCounselNameChar"/>
          <w:lang w:val="fr-CA"/>
        </w:rPr>
        <w:t>N. Wood</w:t>
      </w:r>
      <w:r w:rsidRPr="000F1355">
        <w:rPr>
          <w:rStyle w:val="SCCCounselSeparatorChar"/>
          <w:lang w:val="fr-CA"/>
        </w:rPr>
        <w:t xml:space="preserve"> et </w:t>
      </w:r>
      <w:r w:rsidRPr="000F1355">
        <w:rPr>
          <w:rStyle w:val="SCCCounselNameChar"/>
          <w:lang w:val="fr-CA"/>
        </w:rPr>
        <w:t>Kate Southwell</w:t>
      </w:r>
      <w:r w:rsidRPr="000F1355">
        <w:rPr>
          <w:rStyle w:val="SCCCounselPartyRoleChar"/>
          <w:lang w:val="fr-CA"/>
        </w:rPr>
        <w:t>, pour l</w:t>
      </w:r>
      <w:r w:rsidR="00886B8D" w:rsidRPr="000F1355">
        <w:rPr>
          <w:rStyle w:val="SCCCounselPartyRoleChar"/>
          <w:lang w:val="fr-CA"/>
        </w:rPr>
        <w:t>’</w:t>
      </w:r>
      <w:r w:rsidRPr="000F1355">
        <w:rPr>
          <w:rStyle w:val="SCCCounselPartyRoleChar"/>
          <w:lang w:val="fr-CA"/>
        </w:rPr>
        <w:t xml:space="preserve">intervenante </w:t>
      </w:r>
      <w:r w:rsidR="00ED5D02" w:rsidRPr="000F1355">
        <w:rPr>
          <w:rStyle w:val="SCCCounselPartyRoleChar"/>
          <w:lang w:val="fr-CA"/>
        </w:rPr>
        <w:t>l’</w:t>
      </w:r>
      <w:r w:rsidRPr="000F1355">
        <w:rPr>
          <w:rStyle w:val="SCCCounselPartyRoleChar"/>
          <w:lang w:val="fr-CA"/>
        </w:rPr>
        <w:t xml:space="preserve">Association </w:t>
      </w:r>
      <w:r w:rsidR="00ED5D02" w:rsidRPr="000F1355">
        <w:rPr>
          <w:rStyle w:val="SCCCounselPartyRoleChar"/>
          <w:lang w:val="fr-CA"/>
        </w:rPr>
        <w:t>c</w:t>
      </w:r>
      <w:r w:rsidRPr="000F1355">
        <w:rPr>
          <w:rStyle w:val="SCCCounselPartyRoleChar"/>
          <w:lang w:val="fr-CA"/>
        </w:rPr>
        <w:t>anadienne des libertés civiles.</w:t>
      </w:r>
    </w:p>
    <w:p w:rsidR="002A3EE3" w:rsidRPr="000F1355" w:rsidRDefault="00541C43" w:rsidP="00BC42A6">
      <w:pPr>
        <w:pStyle w:val="SCCNormalDoubleSpacing"/>
        <w:widowControl w:val="0"/>
        <w:spacing w:before="480" w:after="480"/>
        <w:rPr>
          <w:lang w:val="fr-CA"/>
        </w:rPr>
      </w:pPr>
      <w:r w:rsidRPr="000F1355">
        <w:rPr>
          <w:rStyle w:val="SCCCounselNameChar"/>
          <w:i w:val="0"/>
          <w:lang w:val="fr-CA"/>
        </w:rPr>
        <w:tab/>
      </w:r>
      <w:r w:rsidRPr="000F1355">
        <w:rPr>
          <w:rStyle w:val="SCCCounselNameChar"/>
          <w:lang w:val="fr-CA"/>
        </w:rPr>
        <w:t>David Matas</w:t>
      </w:r>
      <w:r w:rsidRPr="000F1355">
        <w:rPr>
          <w:rStyle w:val="SCCCounselPartyRoleChar"/>
          <w:lang w:val="fr-CA"/>
        </w:rPr>
        <w:t xml:space="preserve"> </w:t>
      </w:r>
      <w:r w:rsidR="00CB298B" w:rsidRPr="000F1355">
        <w:rPr>
          <w:rStyle w:val="SCCCounselPartyRoleChar"/>
          <w:lang w:val="fr-CA"/>
        </w:rPr>
        <w:t>et</w:t>
      </w:r>
      <w:r w:rsidR="00ED5D02" w:rsidRPr="000F1355">
        <w:rPr>
          <w:rStyle w:val="SCCCounselPartyRoleChar"/>
          <w:lang w:val="fr-CA"/>
        </w:rPr>
        <w:t xml:space="preserve"> </w:t>
      </w:r>
      <w:r w:rsidR="00ED5D02" w:rsidRPr="000F1355">
        <w:rPr>
          <w:rStyle w:val="SCCCounselPartyRoleChar"/>
          <w:i/>
          <w:lang w:val="fr-CA"/>
        </w:rPr>
        <w:t>Monique St.</w:t>
      </w:r>
      <w:r w:rsidR="00BC42A6">
        <w:rPr>
          <w:rStyle w:val="SCCCounselPartyRoleChar"/>
          <w:i/>
          <w:lang w:val="fr-CA"/>
        </w:rPr>
        <w:t xml:space="preserve"> </w:t>
      </w:r>
      <w:r w:rsidR="00ED5D02" w:rsidRPr="000F1355">
        <w:rPr>
          <w:rStyle w:val="SCCCounselPartyRoleChar"/>
          <w:i/>
          <w:lang w:val="fr-CA"/>
        </w:rPr>
        <w:t>Germain</w:t>
      </w:r>
      <w:r w:rsidR="00ED5D02" w:rsidRPr="000F1355">
        <w:rPr>
          <w:rStyle w:val="SCCCounselPartyRoleChar"/>
          <w:lang w:val="fr-CA"/>
        </w:rPr>
        <w:t xml:space="preserve">, </w:t>
      </w:r>
      <w:r w:rsidRPr="000F1355">
        <w:rPr>
          <w:rStyle w:val="SCCCounselPartyRoleChar"/>
          <w:lang w:val="fr-CA"/>
        </w:rPr>
        <w:t>pour l</w:t>
      </w:r>
      <w:r w:rsidR="00ED5D02" w:rsidRPr="000F1355">
        <w:rPr>
          <w:rStyle w:val="SCCCounselPartyRoleChar"/>
          <w:lang w:val="fr-CA"/>
        </w:rPr>
        <w:t xml:space="preserve">es </w:t>
      </w:r>
      <w:r w:rsidRPr="000F1355">
        <w:rPr>
          <w:rStyle w:val="SCCCounselPartyRoleChar"/>
          <w:lang w:val="fr-CA"/>
        </w:rPr>
        <w:t>intervenant</w:t>
      </w:r>
      <w:r w:rsidR="00ED5D02" w:rsidRPr="000F1355">
        <w:rPr>
          <w:rStyle w:val="SCCCounselPartyRoleChar"/>
          <w:lang w:val="fr-CA"/>
        </w:rPr>
        <w:t>s</w:t>
      </w:r>
      <w:r w:rsidRPr="000F1355">
        <w:rPr>
          <w:rStyle w:val="SCCCounselPartyRoleChar"/>
          <w:lang w:val="fr-CA"/>
        </w:rPr>
        <w:t xml:space="preserve"> </w:t>
      </w:r>
      <w:r w:rsidR="00ED5D02" w:rsidRPr="000F1355">
        <w:rPr>
          <w:rStyle w:val="SCCCounselPartyRoleChar"/>
          <w:lang w:val="fr-CA"/>
        </w:rPr>
        <w:t>Au</w:t>
      </w:r>
      <w:r w:rsidR="00BC42A6">
        <w:rPr>
          <w:rStyle w:val="SCCCounselPartyRoleChar"/>
          <w:lang w:val="fr-CA"/>
        </w:rPr>
        <w:t>-</w:t>
      </w:r>
      <w:r w:rsidR="00CB298B" w:rsidRPr="000F1355">
        <w:rPr>
          <w:rStyle w:val="SCCCounselPartyRoleChar"/>
          <w:lang w:val="fr-CA"/>
        </w:rPr>
        <w:t xml:space="preserve">delà des frontières et </w:t>
      </w:r>
      <w:r w:rsidR="009923F3">
        <w:rPr>
          <w:rStyle w:val="SCCCounselPartyRoleChar"/>
          <w:lang w:val="fr-CA"/>
        </w:rPr>
        <w:t xml:space="preserve">le </w:t>
      </w:r>
      <w:r w:rsidR="00ED5D02" w:rsidRPr="000F1355">
        <w:rPr>
          <w:rStyle w:val="SCCCounselPartyRoleChar"/>
          <w:lang w:val="fr-CA"/>
        </w:rPr>
        <w:t>Centre canadien de protection de l’enfance inc.</w:t>
      </w:r>
    </w:p>
    <w:p w:rsidR="00BC42A6" w:rsidRPr="009923F3" w:rsidRDefault="009923F3" w:rsidP="00BC42A6">
      <w:pPr>
        <w:pStyle w:val="JudgeJuge"/>
        <w:widowControl w:val="0"/>
        <w:spacing w:before="480"/>
        <w:rPr>
          <w:smallCaps w:val="0"/>
          <w:lang w:val="fr-CA"/>
        </w:rPr>
      </w:pPr>
      <w:r>
        <w:rPr>
          <w:smallCaps w:val="0"/>
          <w:lang w:val="fr-CA"/>
        </w:rPr>
        <w:tab/>
        <w:t>Version française du jugement de la Cour rendu par</w:t>
      </w:r>
    </w:p>
    <w:p w:rsidR="00BC42A6" w:rsidRPr="00F73BA9" w:rsidRDefault="009923F3" w:rsidP="00BC42A6">
      <w:pPr>
        <w:pStyle w:val="ParaNoNdepar-AltN"/>
        <w:widowControl w:val="0"/>
        <w:rPr>
          <w:rFonts w:cs="Times New Roman"/>
          <w:lang w:val="fr-CA"/>
        </w:rPr>
      </w:pPr>
      <w:r w:rsidRPr="009923F3">
        <w:rPr>
          <w:smallCaps/>
          <w:lang w:val="fr-CA"/>
        </w:rPr>
        <w:t>La juge Karakatsanis</w:t>
      </w:r>
      <w:r w:rsidRPr="00F73BA9">
        <w:rPr>
          <w:lang w:val="fr-CA"/>
        </w:rPr>
        <w:t xml:space="preserve"> — </w:t>
      </w:r>
      <w:r w:rsidR="00BC42A6" w:rsidRPr="00F73BA9">
        <w:rPr>
          <w:rFonts w:cs="Times New Roman"/>
          <w:lang w:val="fr-CA"/>
        </w:rPr>
        <w:t>Le</w:t>
      </w:r>
      <w:r w:rsidR="00BC42A6">
        <w:rPr>
          <w:rFonts w:cs="Times New Roman"/>
          <w:lang w:val="fr-CA"/>
        </w:rPr>
        <w:t>s</w:t>
      </w:r>
      <w:r w:rsidR="00BC42A6" w:rsidRPr="00F73BA9">
        <w:rPr>
          <w:rFonts w:cs="Times New Roman"/>
          <w:lang w:val="fr-CA"/>
        </w:rPr>
        <w:t xml:space="preserve"> pourvoi</w:t>
      </w:r>
      <w:r w:rsidR="00BC42A6">
        <w:rPr>
          <w:rFonts w:cs="Times New Roman"/>
          <w:lang w:val="fr-CA"/>
        </w:rPr>
        <w:t>s</w:t>
      </w:r>
      <w:r w:rsidR="00BC42A6" w:rsidRPr="00F73BA9">
        <w:rPr>
          <w:rFonts w:cs="Times New Roman"/>
          <w:lang w:val="fr-CA"/>
        </w:rPr>
        <w:t xml:space="preserve"> s’intéresse</w:t>
      </w:r>
      <w:r w:rsidR="00BC42A6">
        <w:rPr>
          <w:rFonts w:cs="Times New Roman"/>
          <w:lang w:val="fr-CA"/>
        </w:rPr>
        <w:t>nt</w:t>
      </w:r>
      <w:r w:rsidR="00BC42A6" w:rsidRPr="00F73BA9">
        <w:rPr>
          <w:rFonts w:cs="Times New Roman"/>
          <w:lang w:val="fr-CA"/>
        </w:rPr>
        <w:t xml:space="preserve"> à ce qu’il advient lorsque des adolescents prennent part à l’enregistrement d’activités sexuelles dans le cadre d’une relation susceptible d’être empreinte d’exploitation. Il</w:t>
      </w:r>
      <w:r w:rsidR="00BC42A6">
        <w:rPr>
          <w:rFonts w:cs="Times New Roman"/>
          <w:lang w:val="fr-CA"/>
        </w:rPr>
        <w:t>s</w:t>
      </w:r>
      <w:r w:rsidR="00BC42A6" w:rsidRPr="00F73BA9">
        <w:rPr>
          <w:rFonts w:cs="Times New Roman"/>
          <w:lang w:val="fr-CA"/>
        </w:rPr>
        <w:t xml:space="preserve"> porte</w:t>
      </w:r>
      <w:r w:rsidR="00BC42A6">
        <w:rPr>
          <w:rFonts w:cs="Times New Roman"/>
          <w:lang w:val="fr-CA"/>
        </w:rPr>
        <w:t>nt</w:t>
      </w:r>
      <w:r w:rsidR="00BC42A6" w:rsidRPr="00F73BA9">
        <w:rPr>
          <w:rFonts w:cs="Times New Roman"/>
          <w:lang w:val="fr-CA"/>
        </w:rPr>
        <w:t xml:space="preserve"> sur l’</w:t>
      </w:r>
      <w:r w:rsidR="008A3F71">
        <w:rPr>
          <w:rFonts w:cs="Times New Roman"/>
          <w:lang w:val="fr-CA"/>
        </w:rPr>
        <w:t>« </w:t>
      </w:r>
      <w:r w:rsidR="00BC42A6" w:rsidRPr="00F73BA9">
        <w:rPr>
          <w:rFonts w:cs="Times New Roman"/>
          <w:lang w:val="fr-CA"/>
        </w:rPr>
        <w:t>exception relative à l’usage personnel</w:t>
      </w:r>
      <w:r w:rsidR="008A3F71">
        <w:rPr>
          <w:rFonts w:cs="Times New Roman"/>
          <w:lang w:val="fr-CA"/>
        </w:rPr>
        <w:t> »</w:t>
      </w:r>
      <w:r w:rsidR="00BC42A6" w:rsidRPr="00F73BA9">
        <w:rPr>
          <w:rFonts w:cs="Times New Roman"/>
          <w:lang w:val="fr-CA"/>
        </w:rPr>
        <w:t xml:space="preserve"> que la Cour a formulée dans l’arrêt </w:t>
      </w:r>
      <w:r w:rsidR="00BC42A6" w:rsidRPr="00F73BA9">
        <w:rPr>
          <w:rFonts w:cs="Times New Roman"/>
          <w:i/>
          <w:lang w:val="fr-CA"/>
        </w:rPr>
        <w:t>R. c. Sharpe</w:t>
      </w:r>
      <w:r w:rsidR="00BC42A6" w:rsidRPr="00F73BA9">
        <w:rPr>
          <w:rFonts w:cs="Times New Roman"/>
          <w:lang w:val="fr-CA"/>
        </w:rPr>
        <w:t xml:space="preserve">, 2001 CSC 2, [2001] 1 R.C.S. 45, et qui offre un moyen de défense à une accusation de production </w:t>
      </w:r>
      <w:r w:rsidR="00BC42A6">
        <w:rPr>
          <w:rFonts w:cs="Times New Roman"/>
          <w:lang w:val="fr-CA"/>
        </w:rPr>
        <w:t>ou</w:t>
      </w:r>
      <w:r w:rsidR="00BC42A6" w:rsidRPr="00F73BA9">
        <w:rPr>
          <w:rFonts w:cs="Times New Roman"/>
          <w:lang w:val="fr-CA"/>
        </w:rPr>
        <w:t xml:space="preserve"> de possession de pornographie juvénile fondée sur l’art.</w:t>
      </w:r>
      <w:r w:rsidR="00BC42A6">
        <w:rPr>
          <w:rFonts w:cs="Times New Roman"/>
          <w:lang w:val="fr-CA"/>
        </w:rPr>
        <w:t xml:space="preserve"> </w:t>
      </w:r>
      <w:r w:rsidR="00BC42A6" w:rsidRPr="00F73BA9">
        <w:rPr>
          <w:rFonts w:cs="Times New Roman"/>
          <w:lang w:val="fr-CA"/>
        </w:rPr>
        <w:t xml:space="preserve">163.1 du </w:t>
      </w:r>
      <w:r w:rsidR="00BC42A6" w:rsidRPr="00F73BA9">
        <w:rPr>
          <w:rFonts w:cs="Times New Roman"/>
          <w:i/>
          <w:lang w:val="fr-CA"/>
        </w:rPr>
        <w:t>Code criminel</w:t>
      </w:r>
      <w:r w:rsidR="00BC42A6">
        <w:rPr>
          <w:rFonts w:cs="Times New Roman"/>
          <w:lang w:val="fr-CA"/>
        </w:rPr>
        <w:t xml:space="preserve">, L.R.C. </w:t>
      </w:r>
      <w:r w:rsidR="00BC42A6" w:rsidRPr="00F73BA9">
        <w:rPr>
          <w:rFonts w:cs="Times New Roman"/>
          <w:lang w:val="fr-CA"/>
        </w:rPr>
        <w:t>1985, c.</w:t>
      </w:r>
      <w:r w:rsidR="00BC42A6">
        <w:rPr>
          <w:rFonts w:cs="Times New Roman"/>
          <w:lang w:val="fr-CA"/>
        </w:rPr>
        <w:t xml:space="preserve"> </w:t>
      </w:r>
      <w:r w:rsidR="00BC42A6" w:rsidRPr="00F73BA9">
        <w:rPr>
          <w:rFonts w:cs="Times New Roman"/>
          <w:lang w:val="fr-CA"/>
        </w:rPr>
        <w:t>C</w:t>
      </w:r>
      <w:r w:rsidR="00BC42A6">
        <w:rPr>
          <w:rFonts w:cs="Times New Roman"/>
          <w:lang w:val="fr-CA"/>
        </w:rPr>
        <w:t>-</w:t>
      </w:r>
      <w:r w:rsidR="00BC42A6" w:rsidRPr="00F73BA9">
        <w:rPr>
          <w:rFonts w:cs="Times New Roman"/>
          <w:lang w:val="fr-CA"/>
        </w:rPr>
        <w:t xml:space="preserve">46. L’exception s’applique à l’enregistrement visuel qui ne représente pas une activité sexuelle illégale, qui a été créé avec le consentement des personnes qui y figurent et que l’on conserve </w:t>
      </w:r>
      <w:r w:rsidR="00BC42A6" w:rsidRPr="00F73BA9">
        <w:rPr>
          <w:rFonts w:cs="Times New Roman"/>
          <w:lang w:val="fr-CA"/>
        </w:rPr>
        <w:lastRenderedPageBreak/>
        <w:t>exclusivement pour l’usage personnel (</w:t>
      </w:r>
      <w:r w:rsidR="00BC42A6" w:rsidRPr="00F73BA9">
        <w:rPr>
          <w:rFonts w:cs="Times New Roman"/>
          <w:i/>
          <w:lang w:val="fr-CA"/>
        </w:rPr>
        <w:t>Sharpe</w:t>
      </w:r>
      <w:r w:rsidR="00BC42A6" w:rsidRPr="00F73BA9">
        <w:rPr>
          <w:rFonts w:cs="Times New Roman"/>
          <w:lang w:val="fr-CA"/>
        </w:rPr>
        <w:t>, par.</w:t>
      </w:r>
      <w:r w:rsidR="00BC42A6">
        <w:rPr>
          <w:rFonts w:cs="Times New Roman"/>
          <w:lang w:val="fr-CA"/>
        </w:rPr>
        <w:t xml:space="preserve"> </w:t>
      </w:r>
      <w:r w:rsidR="00BC42A6" w:rsidRPr="00F73BA9">
        <w:rPr>
          <w:rFonts w:cs="Times New Roman"/>
          <w:lang w:val="fr-CA"/>
        </w:rPr>
        <w:t>128).</w:t>
      </w:r>
    </w:p>
    <w:p w:rsidR="00BC42A6" w:rsidRPr="00F73BA9" w:rsidRDefault="00BC42A6" w:rsidP="00BC42A6">
      <w:pPr>
        <w:pStyle w:val="ParaNoNdepar-AltN"/>
        <w:widowControl w:val="0"/>
        <w:rPr>
          <w:rFonts w:cs="Times New Roman"/>
          <w:lang w:val="fr-CA"/>
        </w:rPr>
      </w:pPr>
      <w:r w:rsidRPr="00F73BA9">
        <w:rPr>
          <w:rFonts w:cs="Times New Roman"/>
          <w:lang w:val="fr-CA"/>
        </w:rPr>
        <w:t>Dans l</w:t>
      </w:r>
      <w:r w:rsidR="009923F3">
        <w:rPr>
          <w:rFonts w:cs="Times New Roman"/>
          <w:lang w:val="fr-CA"/>
        </w:rPr>
        <w:t>a</w:t>
      </w:r>
      <w:r w:rsidRPr="00F73BA9">
        <w:rPr>
          <w:rFonts w:cs="Times New Roman"/>
          <w:lang w:val="fr-CA"/>
        </w:rPr>
        <w:t xml:space="preserve"> présente affaire, la Cour est appelée à clarifier les conditions d’application de l’exception et, en particulier, les situations où la notion d’exploitation entre en ligne de compte.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J’estime que le critère de l’arrêt </w:t>
      </w:r>
      <w:r w:rsidRPr="00F73BA9">
        <w:rPr>
          <w:rFonts w:cs="Times New Roman"/>
          <w:i/>
          <w:lang w:val="fr-CA"/>
        </w:rPr>
        <w:t>Sharpe</w:t>
      </w:r>
      <w:r w:rsidRPr="00F73BA9">
        <w:rPr>
          <w:rFonts w:cs="Times New Roman"/>
          <w:lang w:val="fr-CA"/>
        </w:rPr>
        <w:t xml:space="preserve"> exige du tribunal qu’il détermine que l’activité sexuelle représentée est légale, de sorte qu’elle n’a pas eu lieu dans le contexte d’une relation d’exploitation. Comme le juge du procès n’a pas examiné cette question précise, je suis d’avis d’accueillir le</w:t>
      </w:r>
      <w:r>
        <w:rPr>
          <w:rFonts w:cs="Times New Roman"/>
          <w:lang w:val="fr-CA"/>
        </w:rPr>
        <w:t>s</w:t>
      </w:r>
      <w:r w:rsidRPr="00F73BA9">
        <w:rPr>
          <w:rFonts w:cs="Times New Roman"/>
          <w:lang w:val="fr-CA"/>
        </w:rPr>
        <w:t xml:space="preserve"> pourvoi</w:t>
      </w:r>
      <w:r>
        <w:rPr>
          <w:rFonts w:cs="Times New Roman"/>
          <w:lang w:val="fr-CA"/>
        </w:rPr>
        <w:t>s</w:t>
      </w:r>
      <w:r w:rsidRPr="00F73BA9">
        <w:rPr>
          <w:rFonts w:cs="Times New Roman"/>
          <w:lang w:val="fr-CA"/>
        </w:rPr>
        <w:t xml:space="preserve"> et d’ordonner un nouveau procès.</w:t>
      </w:r>
    </w:p>
    <w:p w:rsidR="00BC42A6" w:rsidRPr="00F73BA9" w:rsidRDefault="00BC42A6" w:rsidP="00BC42A6">
      <w:pPr>
        <w:pStyle w:val="Title1LevelTitre1Niveau-AltL"/>
        <w:widowControl w:val="0"/>
        <w:rPr>
          <w:rFonts w:cs="Times New Roman"/>
          <w:lang w:val="fr-CA"/>
        </w:rPr>
      </w:pPr>
      <w:r w:rsidRPr="00F73BA9">
        <w:rPr>
          <w:rFonts w:cs="Times New Roman"/>
          <w:lang w:val="fr-CA"/>
        </w:rPr>
        <w:t>Faits</w:t>
      </w:r>
    </w:p>
    <w:p w:rsidR="00BC42A6" w:rsidRPr="00F73BA9" w:rsidRDefault="00BC42A6" w:rsidP="00BC42A6">
      <w:pPr>
        <w:pStyle w:val="ParaNoNdepar-AltN"/>
        <w:widowControl w:val="0"/>
        <w:rPr>
          <w:rFonts w:cs="Times New Roman"/>
          <w:lang w:val="fr-CA"/>
        </w:rPr>
      </w:pPr>
      <w:r w:rsidRPr="00F73BA9">
        <w:rPr>
          <w:rFonts w:cs="Times New Roman"/>
          <w:lang w:val="fr-CA"/>
        </w:rPr>
        <w:t>Au début de 2008, deux adolescentes de 14</w:t>
      </w:r>
      <w:r>
        <w:rPr>
          <w:rFonts w:cs="Times New Roman"/>
          <w:lang w:val="fr-CA"/>
        </w:rPr>
        <w:t xml:space="preserve"> </w:t>
      </w:r>
      <w:r w:rsidRPr="00F73BA9">
        <w:rPr>
          <w:rFonts w:cs="Times New Roman"/>
          <w:lang w:val="fr-CA"/>
        </w:rPr>
        <w:t xml:space="preserve">ans, K et D, se sont enfuies d’un centre de traitement pour adolescents situé à High Prairie, en Alberta. Elles avaient toutes deux connu un parcours difficile — dépendance aux drogues, criminalité, problèmes familiaux et, dans le cas de K, prostitution. K s’est décrite comme une </w:t>
      </w:r>
      <w:r w:rsidR="009923F3" w:rsidRPr="00F73BA9">
        <w:rPr>
          <w:rFonts w:cs="Times New Roman"/>
          <w:lang w:val="fr-CA"/>
        </w:rPr>
        <w:t>[</w:t>
      </w:r>
      <w:r w:rsidR="009923F3" w:rsidRPr="00F73BA9">
        <w:rPr>
          <w:rFonts w:cs="Times New Roman"/>
          <w:smallCaps/>
          <w:lang w:val="fr-CA"/>
        </w:rPr>
        <w:t>traduction</w:t>
      </w:r>
      <w:r w:rsidR="009923F3" w:rsidRPr="00F73BA9">
        <w:rPr>
          <w:rFonts w:cs="Times New Roman"/>
          <w:lang w:val="fr-CA"/>
        </w:rPr>
        <w:t xml:space="preserve">] </w:t>
      </w:r>
      <w:r w:rsidR="008A3F71">
        <w:rPr>
          <w:rFonts w:cs="Times New Roman"/>
          <w:lang w:val="fr-CA"/>
        </w:rPr>
        <w:t>« </w:t>
      </w:r>
      <w:r w:rsidRPr="00F73BA9">
        <w:rPr>
          <w:rFonts w:cs="Times New Roman"/>
          <w:lang w:val="fr-CA"/>
        </w:rPr>
        <w:t>enfant de la rue</w:t>
      </w:r>
      <w:r w:rsidR="008A3F71">
        <w:rPr>
          <w:rFonts w:cs="Times New Roman"/>
          <w:lang w:val="fr-CA"/>
        </w:rPr>
        <w:t> »</w:t>
      </w:r>
      <w:r w:rsidRPr="00F73BA9">
        <w:rPr>
          <w:rFonts w:cs="Times New Roman"/>
          <w:lang w:val="fr-CA"/>
        </w:rPr>
        <w:t xml:space="preserve"> aux prises avec des problèmes récurrents de toxicomanie.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Après avoir quitté le centre de traitement, K et D se sont rendues à Edmonton, où elles se sont installées chez l’appelant Donald Barabash, un trafiquant de drogue et ami du père de D, que cette dernière connaissait depuis environ un an. </w:t>
      </w:r>
      <w:r w:rsidRPr="00F73BA9">
        <w:rPr>
          <w:rFonts w:cs="Times New Roman"/>
          <w:lang w:val="fr-CA"/>
        </w:rPr>
        <w:lastRenderedPageBreak/>
        <w:t>L’autre appelant, Shane Rollison, un ami de M.</w:t>
      </w:r>
      <w:r>
        <w:rPr>
          <w:rFonts w:cs="Times New Roman"/>
          <w:lang w:val="fr-CA"/>
        </w:rPr>
        <w:t xml:space="preserve"> </w:t>
      </w:r>
      <w:r w:rsidRPr="00F73BA9">
        <w:rPr>
          <w:rFonts w:cs="Times New Roman"/>
          <w:lang w:val="fr-CA"/>
        </w:rPr>
        <w:t>Barabash qui s’adonnait également au trafic de la drogue, s’y trouvait régulièrement. Au procès, K a dit de l’endroit qu’il s’agissait d’une [</w:t>
      </w:r>
      <w:r w:rsidRPr="00F73BA9">
        <w:rPr>
          <w:rFonts w:cs="Times New Roman"/>
          <w:smallCaps/>
          <w:lang w:val="fr-CA"/>
        </w:rPr>
        <w:t>traduction</w:t>
      </w:r>
      <w:r w:rsidRPr="00F73BA9">
        <w:rPr>
          <w:rFonts w:cs="Times New Roman"/>
          <w:lang w:val="fr-CA"/>
        </w:rPr>
        <w:t xml:space="preserve">] </w:t>
      </w:r>
      <w:r w:rsidR="008A3F71">
        <w:rPr>
          <w:rFonts w:cs="Times New Roman"/>
          <w:lang w:val="fr-CA"/>
        </w:rPr>
        <w:t>« </w:t>
      </w:r>
      <w:r w:rsidRPr="00F73BA9">
        <w:rPr>
          <w:rFonts w:cs="Times New Roman"/>
          <w:lang w:val="fr-CA"/>
        </w:rPr>
        <w:t>fumerie de crack</w:t>
      </w:r>
      <w:r w:rsidR="008A3F71">
        <w:rPr>
          <w:rFonts w:cs="Times New Roman"/>
          <w:lang w:val="fr-CA"/>
        </w:rPr>
        <w:t> »</w:t>
      </w:r>
      <w:r w:rsidRPr="00F73BA9">
        <w:rPr>
          <w:rFonts w:cs="Times New Roman"/>
          <w:lang w:val="fr-CA"/>
        </w:rPr>
        <w:t xml:space="preserve"> typiqu</w:t>
      </w:r>
      <w:r>
        <w:rPr>
          <w:rFonts w:cs="Times New Roman"/>
          <w:lang w:val="fr-CA"/>
        </w:rPr>
        <w:t xml:space="preserve">e </w:t>
      </w:r>
      <w:r w:rsidRPr="00F73BA9">
        <w:rPr>
          <w:rFonts w:cs="Times New Roman"/>
          <w:lang w:val="fr-CA"/>
        </w:rPr>
        <w:t>que fréquentait une grande diversité de personnes pour vendre, acheter et consommer différentes drogues illégales.</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Pendant le séjour de K et de </w:t>
      </w:r>
      <w:r>
        <w:rPr>
          <w:rFonts w:cs="Times New Roman"/>
          <w:lang w:val="fr-CA"/>
        </w:rPr>
        <w:t xml:space="preserve">D </w:t>
      </w:r>
      <w:r w:rsidRPr="00F73BA9">
        <w:rPr>
          <w:rFonts w:cs="Times New Roman"/>
          <w:lang w:val="fr-CA"/>
        </w:rPr>
        <w:t>chez M.</w:t>
      </w:r>
      <w:r>
        <w:rPr>
          <w:rFonts w:cs="Times New Roman"/>
          <w:lang w:val="fr-CA"/>
        </w:rPr>
        <w:t xml:space="preserve"> </w:t>
      </w:r>
      <w:r w:rsidRPr="00F73BA9">
        <w:rPr>
          <w:rFonts w:cs="Times New Roman"/>
          <w:lang w:val="fr-CA"/>
        </w:rPr>
        <w:t>Barabash (deux à trois semaines pour K, une pour D), elles ont participé, avec les appelants, à la création d’enregistrements et d’images fixes à l’aide d’une webcaméra, au sous</w:t>
      </w:r>
      <w:r>
        <w:rPr>
          <w:rFonts w:cs="Times New Roman"/>
          <w:lang w:val="fr-CA"/>
        </w:rPr>
        <w:t>-</w:t>
      </w:r>
      <w:r w:rsidRPr="00F73BA9">
        <w:rPr>
          <w:rFonts w:cs="Times New Roman"/>
          <w:lang w:val="fr-CA"/>
        </w:rPr>
        <w:t>sol de la résidence. Dans les enregistrements et sur les images, K et D apparaissent nues et se livrent à une activité sexuelle explicite.</w:t>
      </w:r>
    </w:p>
    <w:p w:rsidR="00BC42A6" w:rsidRPr="00F73BA9" w:rsidRDefault="00BC42A6" w:rsidP="00BC42A6">
      <w:pPr>
        <w:pStyle w:val="ParaNoNdepar-AltN"/>
        <w:widowControl w:val="0"/>
        <w:rPr>
          <w:rFonts w:cs="Times New Roman"/>
          <w:lang w:val="fr-CA"/>
        </w:rPr>
      </w:pPr>
      <w:r w:rsidRPr="00F73BA9">
        <w:rPr>
          <w:rFonts w:cs="Times New Roman"/>
          <w:lang w:val="fr-CA"/>
        </w:rPr>
        <w:t>La police a entrepris une enquête sur les appelants après avoir reçu des plaintes au sujet d’une photo affichée sur Nexopia, un site de réseautage soci</w:t>
      </w:r>
      <w:r>
        <w:rPr>
          <w:rFonts w:cs="Times New Roman"/>
          <w:lang w:val="fr-CA"/>
        </w:rPr>
        <w:t xml:space="preserve">al. </w:t>
      </w:r>
      <w:r w:rsidRPr="00F73BA9">
        <w:rPr>
          <w:rFonts w:cs="Times New Roman"/>
          <w:lang w:val="fr-CA"/>
        </w:rPr>
        <w:t>La photographie représentait deux jeunes femmes, dont l’une avait les seins nus. Après qu’il eut été déterminé que K et D étaient les deux femmes représentées sur l’image, les policiers ont fouillé la résidence de M.</w:t>
      </w:r>
      <w:r>
        <w:rPr>
          <w:rFonts w:cs="Times New Roman"/>
          <w:lang w:val="fr-CA"/>
        </w:rPr>
        <w:t xml:space="preserve"> </w:t>
      </w:r>
      <w:r w:rsidRPr="00F73BA9">
        <w:rPr>
          <w:rFonts w:cs="Times New Roman"/>
          <w:lang w:val="fr-CA"/>
        </w:rPr>
        <w:t>Barabash et y ont trouvé un certain nombre d’enregistrements vidéo et d’images fixes qui, selon eux, constituaient de la pornographie juvénile. Les vidéos et les photos représentaient K et D en train de se livrer à diverses activités sexuelles explicites tant entre elles qu’avec M.</w:t>
      </w:r>
      <w:r>
        <w:rPr>
          <w:rFonts w:cs="Times New Roman"/>
          <w:lang w:val="fr-CA"/>
        </w:rPr>
        <w:t xml:space="preserve"> </w:t>
      </w:r>
      <w:r w:rsidRPr="00F73BA9">
        <w:rPr>
          <w:rFonts w:cs="Times New Roman"/>
          <w:lang w:val="fr-CA"/>
        </w:rPr>
        <w:t>Rollison. C’est généralement M.</w:t>
      </w:r>
      <w:r>
        <w:rPr>
          <w:rFonts w:cs="Times New Roman"/>
          <w:lang w:val="fr-CA"/>
        </w:rPr>
        <w:t xml:space="preserve"> </w:t>
      </w:r>
      <w:r w:rsidRPr="00F73BA9">
        <w:rPr>
          <w:rFonts w:cs="Times New Roman"/>
          <w:lang w:val="fr-CA"/>
        </w:rPr>
        <w:t>Barabash qui filmait ou prenait les photos, bien que K et D l’aient fait à l’occasion. Au moment où les enregistrements vidéo ont été réalisés et où les photos ont été prises, une personne de 14</w:t>
      </w:r>
      <w:r>
        <w:rPr>
          <w:rFonts w:cs="Times New Roman"/>
          <w:lang w:val="fr-CA"/>
        </w:rPr>
        <w:t xml:space="preserve"> </w:t>
      </w:r>
      <w:r w:rsidRPr="00F73BA9">
        <w:rPr>
          <w:rFonts w:cs="Times New Roman"/>
          <w:lang w:val="fr-CA"/>
        </w:rPr>
        <w:t xml:space="preserve">ans pouvait consentir à des activités sexuelles avec un adulte. (Depuis, l’âge auquel un tel consentement peut être donné </w:t>
      </w:r>
      <w:r w:rsidRPr="00F73BA9">
        <w:rPr>
          <w:rFonts w:cs="Times New Roman"/>
          <w:lang w:val="fr-CA"/>
        </w:rPr>
        <w:lastRenderedPageBreak/>
        <w:t>est passé à 16</w:t>
      </w:r>
      <w:r>
        <w:rPr>
          <w:rFonts w:cs="Times New Roman"/>
          <w:lang w:val="fr-CA"/>
        </w:rPr>
        <w:t xml:space="preserve"> </w:t>
      </w:r>
      <w:r w:rsidRPr="00F73BA9">
        <w:rPr>
          <w:rFonts w:cs="Times New Roman"/>
          <w:lang w:val="fr-CA"/>
        </w:rPr>
        <w:t>ans.) K et D étaient toutes deux âgées de 14</w:t>
      </w:r>
      <w:r>
        <w:rPr>
          <w:rFonts w:cs="Times New Roman"/>
          <w:lang w:val="fr-CA"/>
        </w:rPr>
        <w:t xml:space="preserve"> </w:t>
      </w:r>
      <w:r w:rsidRPr="00F73BA9">
        <w:rPr>
          <w:rFonts w:cs="Times New Roman"/>
          <w:lang w:val="fr-CA"/>
        </w:rPr>
        <w:t>ans à l’époque, alors que MM.</w:t>
      </w:r>
      <w:r>
        <w:rPr>
          <w:rFonts w:cs="Times New Roman"/>
          <w:lang w:val="fr-CA"/>
        </w:rPr>
        <w:t xml:space="preserve"> </w:t>
      </w:r>
      <w:r w:rsidRPr="00F73BA9">
        <w:rPr>
          <w:rFonts w:cs="Times New Roman"/>
          <w:lang w:val="fr-CA"/>
        </w:rPr>
        <w:t>Barabash et Rollison avaient respectivement 60 et 41</w:t>
      </w:r>
      <w:r>
        <w:rPr>
          <w:rFonts w:cs="Times New Roman"/>
          <w:lang w:val="fr-CA"/>
        </w:rPr>
        <w:t xml:space="preserve"> </w:t>
      </w:r>
      <w:r w:rsidRPr="00F73BA9">
        <w:rPr>
          <w:rFonts w:cs="Times New Roman"/>
          <w:lang w:val="fr-CA"/>
        </w:rPr>
        <w:t>ans.</w:t>
      </w:r>
    </w:p>
    <w:p w:rsidR="00BC42A6" w:rsidRPr="00F73BA9" w:rsidRDefault="00BC42A6" w:rsidP="00BC42A6">
      <w:pPr>
        <w:pStyle w:val="ParaNoNdepar-AltN"/>
        <w:widowControl w:val="0"/>
        <w:rPr>
          <w:rFonts w:cs="Times New Roman"/>
          <w:lang w:val="fr-CA"/>
        </w:rPr>
      </w:pPr>
      <w:r w:rsidRPr="00F73BA9">
        <w:rPr>
          <w:rFonts w:cs="Times New Roman"/>
          <w:lang w:val="fr-CA"/>
        </w:rPr>
        <w:t>Les appelants ont tous deux été accusés de production de pornographie juvénile, une infraction prévue au par.</w:t>
      </w:r>
      <w:r>
        <w:rPr>
          <w:rFonts w:cs="Times New Roman"/>
          <w:lang w:val="fr-CA"/>
        </w:rPr>
        <w:t xml:space="preserve"> </w:t>
      </w:r>
      <w:r w:rsidRPr="00F73BA9">
        <w:rPr>
          <w:rFonts w:cs="Times New Roman"/>
          <w:lang w:val="fr-CA"/>
        </w:rPr>
        <w:t xml:space="preserve">163.1(2) du </w:t>
      </w:r>
      <w:r w:rsidRPr="00F73BA9">
        <w:rPr>
          <w:rFonts w:cs="Times New Roman"/>
          <w:i/>
          <w:lang w:val="fr-CA"/>
        </w:rPr>
        <w:t>Code criminel</w:t>
      </w:r>
      <w:r w:rsidRPr="00F73BA9">
        <w:rPr>
          <w:rFonts w:cs="Times New Roman"/>
          <w:lang w:val="fr-CA"/>
        </w:rPr>
        <w:t>. M.</w:t>
      </w:r>
      <w:r>
        <w:rPr>
          <w:rFonts w:cs="Times New Roman"/>
          <w:lang w:val="fr-CA"/>
        </w:rPr>
        <w:t xml:space="preserve"> </w:t>
      </w:r>
      <w:r w:rsidRPr="00F73BA9">
        <w:rPr>
          <w:rFonts w:cs="Times New Roman"/>
          <w:lang w:val="fr-CA"/>
        </w:rPr>
        <w:t>Barabash a également fait l’objet, sur le fondement du par.</w:t>
      </w:r>
      <w:r>
        <w:rPr>
          <w:rFonts w:cs="Times New Roman"/>
          <w:lang w:val="fr-CA"/>
        </w:rPr>
        <w:t xml:space="preserve"> </w:t>
      </w:r>
      <w:r w:rsidRPr="00F73BA9">
        <w:rPr>
          <w:rFonts w:cs="Times New Roman"/>
          <w:lang w:val="fr-CA"/>
        </w:rPr>
        <w:t>163.1(4), d’un chef d’accusation de possession de pornographie juvénile.</w:t>
      </w:r>
    </w:p>
    <w:p w:rsidR="00BC42A6" w:rsidRPr="00F73BA9" w:rsidRDefault="00BC42A6" w:rsidP="00BC42A6">
      <w:pPr>
        <w:pStyle w:val="Title1LevelTitre1Niveau-AltL"/>
        <w:widowControl w:val="0"/>
        <w:rPr>
          <w:rFonts w:cs="Times New Roman"/>
          <w:lang w:val="fr-CA"/>
        </w:rPr>
      </w:pPr>
      <w:r w:rsidRPr="00F73BA9">
        <w:rPr>
          <w:rFonts w:cs="Times New Roman"/>
          <w:lang w:val="fr-CA"/>
        </w:rPr>
        <w:t>Décisions des juridictions inférieures</w:t>
      </w:r>
    </w:p>
    <w:p w:rsidR="00BC42A6" w:rsidRPr="00F73BA9" w:rsidRDefault="00BC42A6" w:rsidP="00BC42A6">
      <w:pPr>
        <w:pStyle w:val="Title2LevelTitre2Niveau"/>
        <w:widowControl w:val="0"/>
        <w:rPr>
          <w:rFonts w:cs="Times New Roman"/>
          <w:lang w:val="fr-CA"/>
        </w:rPr>
      </w:pPr>
      <w:r w:rsidRPr="00F73BA9">
        <w:rPr>
          <w:rFonts w:cs="Times New Roman"/>
          <w:lang w:val="fr-CA"/>
        </w:rPr>
        <w:t>Cour du Banc de la Reine de l’Alberta, 2012 ABQB 99, 532 A.R. 364</w:t>
      </w:r>
    </w:p>
    <w:p w:rsidR="00BC42A6" w:rsidRPr="00F73BA9" w:rsidRDefault="00BC42A6" w:rsidP="00BC42A6">
      <w:pPr>
        <w:pStyle w:val="ParaNoNdepar-AltN"/>
        <w:widowControl w:val="0"/>
        <w:rPr>
          <w:rFonts w:cs="Times New Roman"/>
          <w:lang w:val="fr-CA"/>
        </w:rPr>
      </w:pPr>
      <w:r w:rsidRPr="00F73BA9">
        <w:rPr>
          <w:rFonts w:cs="Times New Roman"/>
          <w:lang w:val="fr-CA"/>
        </w:rPr>
        <w:t>Les appelants ont subi un procès commun devant juge seul. Le juge Thomas conclut que le ministère public a prouvé hors de tout doute raisonnable que les deux appelants avaient produit de la pornographie juvénile contrairement au par.</w:t>
      </w:r>
      <w:r>
        <w:rPr>
          <w:rFonts w:cs="Times New Roman"/>
          <w:lang w:val="fr-CA"/>
        </w:rPr>
        <w:t xml:space="preserve"> </w:t>
      </w:r>
      <w:r w:rsidRPr="00F73BA9">
        <w:rPr>
          <w:rFonts w:cs="Times New Roman"/>
          <w:lang w:val="fr-CA"/>
        </w:rPr>
        <w:t xml:space="preserve">163.1(2) du </w:t>
      </w:r>
      <w:r w:rsidRPr="00F73BA9">
        <w:rPr>
          <w:rFonts w:cs="Times New Roman"/>
          <w:i/>
          <w:lang w:val="fr-CA"/>
        </w:rPr>
        <w:t>Code criminel</w:t>
      </w:r>
      <w:r w:rsidRPr="009923F3">
        <w:rPr>
          <w:rFonts w:cs="Times New Roman"/>
          <w:lang w:val="fr-CA"/>
        </w:rPr>
        <w:t>.</w:t>
      </w:r>
      <w:r w:rsidRPr="00F73BA9">
        <w:rPr>
          <w:rFonts w:cs="Times New Roman"/>
          <w:i/>
          <w:lang w:val="fr-CA"/>
        </w:rPr>
        <w:t xml:space="preserve"> </w:t>
      </w:r>
      <w:r w:rsidRPr="00F73BA9">
        <w:rPr>
          <w:rFonts w:cs="Times New Roman"/>
          <w:lang w:val="fr-CA"/>
        </w:rPr>
        <w:t>Il estime également que le ministère public a prouvé hors de tout doute raisonnable que M.</w:t>
      </w:r>
      <w:r>
        <w:rPr>
          <w:rFonts w:cs="Times New Roman"/>
          <w:lang w:val="fr-CA"/>
        </w:rPr>
        <w:t xml:space="preserve"> </w:t>
      </w:r>
      <w:r w:rsidRPr="00F73BA9">
        <w:rPr>
          <w:rFonts w:cs="Times New Roman"/>
          <w:lang w:val="fr-CA"/>
        </w:rPr>
        <w:t>Barabash avait été en possession de pornographie juvénile, une infraction prévue au par.</w:t>
      </w:r>
      <w:r>
        <w:rPr>
          <w:rFonts w:cs="Times New Roman"/>
          <w:lang w:val="fr-CA"/>
        </w:rPr>
        <w:t xml:space="preserve"> </w:t>
      </w:r>
      <w:r w:rsidRPr="00F73BA9">
        <w:rPr>
          <w:rFonts w:cs="Times New Roman"/>
          <w:lang w:val="fr-CA"/>
        </w:rPr>
        <w:t>163.1(4)</w:t>
      </w:r>
      <w:r w:rsidRPr="009923F3">
        <w:rPr>
          <w:rFonts w:cs="Times New Roman"/>
          <w:lang w:val="fr-CA"/>
        </w:rPr>
        <w:t>.</w:t>
      </w:r>
      <w:r w:rsidRPr="00F73BA9">
        <w:rPr>
          <w:rFonts w:cs="Times New Roman"/>
          <w:i/>
          <w:lang w:val="fr-CA"/>
        </w:rPr>
        <w:t xml:space="preserve"> </w:t>
      </w:r>
      <w:r w:rsidRPr="00F73BA9">
        <w:rPr>
          <w:rFonts w:cs="Times New Roman"/>
          <w:lang w:val="fr-CA"/>
        </w:rPr>
        <w:t xml:space="preserve">Or, la question essentielle qui se posait était celle de savoir si l’exception relative à l’usage personnel reconnue par la Cour dans l’arrêt </w:t>
      </w:r>
      <w:r w:rsidRPr="00F73BA9">
        <w:rPr>
          <w:rFonts w:cs="Times New Roman"/>
          <w:i/>
          <w:lang w:val="fr-CA"/>
        </w:rPr>
        <w:t>Sharpe</w:t>
      </w:r>
      <w:r w:rsidRPr="00F73BA9">
        <w:rPr>
          <w:rFonts w:cs="Times New Roman"/>
          <w:lang w:val="fr-CA"/>
        </w:rPr>
        <w:t xml:space="preserve"> pouvait ou non être opposée aux accusations.</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Le juge du procès se penche sur l’exception et conclut que, suivant l’arrêt </w:t>
      </w:r>
      <w:r w:rsidRPr="00F73BA9">
        <w:rPr>
          <w:rFonts w:cs="Times New Roman"/>
          <w:i/>
          <w:lang w:val="fr-CA"/>
        </w:rPr>
        <w:t>Sharpe</w:t>
      </w:r>
      <w:r w:rsidRPr="00F73BA9">
        <w:rPr>
          <w:rFonts w:cs="Times New Roman"/>
          <w:lang w:val="fr-CA"/>
        </w:rPr>
        <w:t>, trois conditions doivent être remplies pour qu’elle s’applique</w:t>
      </w:r>
      <w:r>
        <w:rPr>
          <w:rFonts w:cs="Times New Roman"/>
          <w:lang w:val="fr-CA"/>
        </w:rPr>
        <w:t> :</w:t>
      </w:r>
      <w:r w:rsidRPr="00F73BA9">
        <w:rPr>
          <w:rFonts w:cs="Times New Roman"/>
          <w:lang w:val="fr-CA"/>
        </w:rPr>
        <w:t xml:space="preserve"> (1)</w:t>
      </w:r>
      <w:r>
        <w:rPr>
          <w:rFonts w:cs="Times New Roman"/>
          <w:lang w:val="fr-CA"/>
        </w:rPr>
        <w:t xml:space="preserve"> </w:t>
      </w:r>
      <w:r w:rsidRPr="00F73BA9">
        <w:rPr>
          <w:rFonts w:cs="Times New Roman"/>
          <w:lang w:val="fr-CA"/>
        </w:rPr>
        <w:t>l’activité sexuelle doit être légale, (2)</w:t>
      </w:r>
      <w:r>
        <w:rPr>
          <w:rFonts w:cs="Times New Roman"/>
          <w:lang w:val="fr-CA"/>
        </w:rPr>
        <w:t xml:space="preserve"> </w:t>
      </w:r>
      <w:r w:rsidRPr="00F73BA9">
        <w:rPr>
          <w:rFonts w:cs="Times New Roman"/>
          <w:lang w:val="fr-CA"/>
        </w:rPr>
        <w:t xml:space="preserve">l’enregistrement doit avoir été réalisé avec le </w:t>
      </w:r>
      <w:r w:rsidRPr="00F73BA9">
        <w:rPr>
          <w:rFonts w:cs="Times New Roman"/>
          <w:lang w:val="fr-CA"/>
        </w:rPr>
        <w:lastRenderedPageBreak/>
        <w:t>consentement des personnes qui y figurent et (3)</w:t>
      </w:r>
      <w:r>
        <w:rPr>
          <w:rFonts w:cs="Times New Roman"/>
          <w:lang w:val="fr-CA"/>
        </w:rPr>
        <w:t xml:space="preserve"> </w:t>
      </w:r>
      <w:r w:rsidRPr="00F73BA9">
        <w:rPr>
          <w:rFonts w:cs="Times New Roman"/>
          <w:lang w:val="fr-CA"/>
        </w:rPr>
        <w:t xml:space="preserve">l’enregistrement doit être conservé pour l’usage personnel. Il rejette la prétention du ministère public selon laquelle le matériel conservé pour l’usage personnel doit en outre posséder certains attributs liés à </w:t>
      </w:r>
      <w:r w:rsidR="008A3F71">
        <w:rPr>
          <w:rFonts w:cs="Times New Roman"/>
          <w:lang w:val="fr-CA"/>
        </w:rPr>
        <w:t>« </w:t>
      </w:r>
      <w:r w:rsidRPr="00F73BA9">
        <w:rPr>
          <w:rFonts w:cs="Times New Roman"/>
          <w:lang w:val="fr-CA"/>
        </w:rPr>
        <w:t>l’</w:t>
      </w:r>
      <w:r w:rsidR="009923F3">
        <w:rPr>
          <w:rFonts w:cs="Times New Roman"/>
          <w:lang w:val="fr-CA"/>
        </w:rPr>
        <w:t>épanouissement</w:t>
      </w:r>
      <w:r w:rsidRPr="00F73BA9">
        <w:rPr>
          <w:rFonts w:cs="Times New Roman"/>
          <w:lang w:val="fr-CA"/>
        </w:rPr>
        <w:t xml:space="preserve"> personnel et </w:t>
      </w:r>
      <w:r w:rsidR="009923F3">
        <w:rPr>
          <w:rFonts w:cs="Times New Roman"/>
          <w:lang w:val="fr-CA"/>
        </w:rPr>
        <w:t>[</w:t>
      </w:r>
      <w:r w:rsidRPr="00F73BA9">
        <w:rPr>
          <w:rFonts w:cs="Times New Roman"/>
          <w:lang w:val="fr-CA"/>
        </w:rPr>
        <w:t>à</w:t>
      </w:r>
      <w:r w:rsidR="009923F3">
        <w:rPr>
          <w:rFonts w:cs="Times New Roman"/>
          <w:lang w:val="fr-CA"/>
        </w:rPr>
        <w:t>]</w:t>
      </w:r>
      <w:r w:rsidRPr="00F73BA9">
        <w:rPr>
          <w:rFonts w:cs="Times New Roman"/>
          <w:lang w:val="fr-CA"/>
        </w:rPr>
        <w:t xml:space="preserve"> la réalisation de soi</w:t>
      </w:r>
      <w:r w:rsidR="008A3F71">
        <w:rPr>
          <w:rFonts w:cs="Times New Roman"/>
          <w:lang w:val="fr-CA"/>
        </w:rPr>
        <w:t> »</w:t>
      </w:r>
      <w:r w:rsidRPr="00F73BA9">
        <w:rPr>
          <w:rFonts w:cs="Times New Roman"/>
          <w:lang w:val="fr-CA"/>
        </w:rPr>
        <w:t xml:space="preserve"> et ne doit pas </w:t>
      </w:r>
      <w:r w:rsidR="009923F3">
        <w:rPr>
          <w:rFonts w:cs="Times New Roman"/>
          <w:lang w:val="fr-CA"/>
        </w:rPr>
        <w:t xml:space="preserve">faire en sorte que </w:t>
      </w:r>
      <w:r w:rsidR="008A3F71">
        <w:rPr>
          <w:rFonts w:cs="Times New Roman"/>
          <w:lang w:val="fr-CA"/>
        </w:rPr>
        <w:t>« </w:t>
      </w:r>
      <w:r w:rsidR="009923F3">
        <w:rPr>
          <w:rFonts w:cs="Times New Roman"/>
          <w:lang w:val="fr-CA"/>
        </w:rPr>
        <w:t>des enfants soient exploités ou maltraités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163</w:t>
      </w:r>
      <w:r w:rsidR="00BD301F">
        <w:rPr>
          <w:rFonts w:cs="Times New Roman"/>
          <w:lang w:val="fr-CA"/>
        </w:rPr>
        <w:t xml:space="preserve">, citant </w:t>
      </w:r>
      <w:r w:rsidR="00BD301F" w:rsidRPr="00BD301F">
        <w:rPr>
          <w:rFonts w:cs="Times New Roman"/>
          <w:i/>
          <w:lang w:val="fr-CA"/>
        </w:rPr>
        <w:t>Sharpe</w:t>
      </w:r>
      <w:r w:rsidR="00BD301F">
        <w:rPr>
          <w:rFonts w:cs="Times New Roman"/>
          <w:lang w:val="fr-CA"/>
        </w:rPr>
        <w:t>, par. 120 et 116</w:t>
      </w:r>
      <w:r w:rsidRPr="00F73BA9">
        <w:rPr>
          <w:rFonts w:cs="Times New Roman"/>
          <w:lang w:val="fr-CA"/>
        </w:rPr>
        <w:t xml:space="preserve">). Le juge conclut que les trois conditions de l’arrêt </w:t>
      </w:r>
      <w:r w:rsidRPr="00F73BA9">
        <w:rPr>
          <w:rFonts w:cs="Times New Roman"/>
          <w:i/>
          <w:lang w:val="fr-CA"/>
        </w:rPr>
        <w:t xml:space="preserve">Sharpe </w:t>
      </w:r>
      <w:r w:rsidRPr="00F73BA9">
        <w:rPr>
          <w:rFonts w:cs="Times New Roman"/>
          <w:lang w:val="fr-CA"/>
        </w:rPr>
        <w:t>sont respectées eu égard aux faits de l’espèce, et il acquitte les accusés.</w:t>
      </w:r>
    </w:p>
    <w:p w:rsidR="00BC42A6" w:rsidRPr="00F73BA9" w:rsidRDefault="00BC42A6" w:rsidP="00BC42A6">
      <w:pPr>
        <w:pStyle w:val="Title2LevelTitre2Niveau"/>
        <w:widowControl w:val="0"/>
        <w:rPr>
          <w:rFonts w:cs="Times New Roman"/>
          <w:lang w:val="fr-CA"/>
        </w:rPr>
      </w:pPr>
      <w:r w:rsidRPr="00F73BA9">
        <w:rPr>
          <w:rFonts w:cs="Times New Roman"/>
          <w:lang w:val="fr-CA"/>
        </w:rPr>
        <w:t>Cour d’appel de l’Alberta, 2014 ABCA 126, 572 A.R. 289</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Le ministère public a interjeté appel des acquittements au motif que le juge du procès avait mal interprété l’exception relative à l’usage personnel. Se fondant sur l’arrêt </w:t>
      </w:r>
      <w:r w:rsidRPr="00F73BA9">
        <w:rPr>
          <w:rFonts w:cs="Times New Roman"/>
          <w:i/>
          <w:lang w:val="fr-CA"/>
        </w:rPr>
        <w:t>R. c.</w:t>
      </w:r>
      <w:r w:rsidRPr="00F73BA9">
        <w:rPr>
          <w:rFonts w:cs="Times New Roman"/>
          <w:lang w:val="fr-CA"/>
        </w:rPr>
        <w:t xml:space="preserve"> </w:t>
      </w:r>
      <w:r w:rsidRPr="00F73BA9">
        <w:rPr>
          <w:rFonts w:cs="Times New Roman"/>
          <w:i/>
          <w:lang w:val="fr-CA"/>
        </w:rPr>
        <w:t>Cockell</w:t>
      </w:r>
      <w:r w:rsidRPr="00F73BA9">
        <w:rPr>
          <w:rFonts w:cs="Times New Roman"/>
          <w:lang w:val="fr-CA"/>
        </w:rPr>
        <w:t>, 2013 ABCA 112, 553</w:t>
      </w:r>
      <w:r>
        <w:rPr>
          <w:rFonts w:cs="Times New Roman"/>
          <w:lang w:val="fr-CA"/>
        </w:rPr>
        <w:t xml:space="preserve"> A.R. </w:t>
      </w:r>
      <w:r w:rsidRPr="00F73BA9">
        <w:rPr>
          <w:rFonts w:cs="Times New Roman"/>
          <w:lang w:val="fr-CA"/>
        </w:rPr>
        <w:t>91, autorisation d</w:t>
      </w:r>
      <w:r w:rsidR="00BD301F">
        <w:rPr>
          <w:rFonts w:cs="Times New Roman"/>
          <w:lang w:val="fr-CA"/>
        </w:rPr>
        <w:t>’appel</w:t>
      </w:r>
      <w:r w:rsidRPr="00F73BA9">
        <w:rPr>
          <w:rFonts w:cs="Times New Roman"/>
          <w:lang w:val="fr-CA"/>
        </w:rPr>
        <w:t xml:space="preserve"> refusée, [2013] 3 R.C.S. x, les juges majoritaires de la Cour d’appel lui donnent raison et accueillent les appels. Selon l’arrêt </w:t>
      </w:r>
      <w:r w:rsidRPr="00F73BA9">
        <w:rPr>
          <w:rFonts w:cs="Times New Roman"/>
          <w:i/>
          <w:lang w:val="fr-CA"/>
        </w:rPr>
        <w:t>Cockell</w:t>
      </w:r>
      <w:r w:rsidRPr="00F73BA9">
        <w:rPr>
          <w:rFonts w:cs="Times New Roman"/>
          <w:lang w:val="fr-CA"/>
        </w:rPr>
        <w:t>, une autre condition — indépendante — de l’applicabilité de l’exception veut qu’il n’y ait eu ni exploitation ni maltraitance lors de la création de l’enregistrement, et une autre encore, que les parties aient voulu que le matériel pornographique soit réservé à l’usage personnel de toutes les personnes ayant participé à sa création.</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Dans leur application de l’arrêt </w:t>
      </w:r>
      <w:r w:rsidRPr="00F73BA9">
        <w:rPr>
          <w:rFonts w:cs="Times New Roman"/>
          <w:i/>
          <w:lang w:val="fr-CA"/>
        </w:rPr>
        <w:t>Cockell</w:t>
      </w:r>
      <w:r w:rsidRPr="00F73BA9">
        <w:rPr>
          <w:rFonts w:cs="Times New Roman"/>
          <w:lang w:val="fr-CA"/>
        </w:rPr>
        <w:t xml:space="preserve"> aux faits de l’espèce, les juges majoritaires concluent que l’opposabilité de l’exception exige que l’activité sexuelle soit exempte [</w:t>
      </w:r>
      <w:r w:rsidRPr="00F73BA9">
        <w:rPr>
          <w:rFonts w:cs="Times New Roman"/>
          <w:smallCaps/>
          <w:lang w:val="fr-CA"/>
        </w:rPr>
        <w:t>traduction</w:t>
      </w:r>
      <w:r w:rsidRPr="00F73BA9">
        <w:rPr>
          <w:rFonts w:cs="Times New Roman"/>
          <w:lang w:val="fr-CA"/>
        </w:rPr>
        <w:t xml:space="preserve">] </w:t>
      </w:r>
      <w:r w:rsidR="008A3F71">
        <w:rPr>
          <w:rFonts w:cs="Times New Roman"/>
          <w:lang w:val="fr-CA"/>
        </w:rPr>
        <w:t>« </w:t>
      </w:r>
      <w:r w:rsidRPr="00F73BA9">
        <w:rPr>
          <w:rFonts w:cs="Times New Roman"/>
          <w:lang w:val="fr-CA"/>
        </w:rPr>
        <w:t>non seulement de tout crime prévu par</w:t>
      </w:r>
      <w:r w:rsidR="00BD301F">
        <w:rPr>
          <w:rFonts w:cs="Times New Roman"/>
          <w:lang w:val="fr-CA"/>
        </w:rPr>
        <w:t xml:space="preserve"> le</w:t>
      </w:r>
      <w:r w:rsidRPr="00F73BA9">
        <w:rPr>
          <w:rFonts w:cs="Times New Roman"/>
          <w:lang w:val="fr-CA"/>
        </w:rPr>
        <w:t xml:space="preserve"> </w:t>
      </w:r>
      <w:r w:rsidRPr="00F73BA9">
        <w:rPr>
          <w:rFonts w:cs="Times New Roman"/>
          <w:i/>
          <w:lang w:val="fr-CA"/>
        </w:rPr>
        <w:t>Code criminel</w:t>
      </w:r>
      <w:r w:rsidRPr="00F73BA9">
        <w:rPr>
          <w:rFonts w:cs="Times New Roman"/>
          <w:lang w:val="fr-CA"/>
        </w:rPr>
        <w:t xml:space="preserve">, mais aussi d’exploitation ou de maltraitance d’enfants au sens où on </w:t>
      </w:r>
      <w:r w:rsidRPr="00F73BA9">
        <w:rPr>
          <w:rFonts w:cs="Times New Roman"/>
          <w:lang w:val="fr-CA"/>
        </w:rPr>
        <w:lastRenderedPageBreak/>
        <w:t>l’entend généralement en droit</w:t>
      </w:r>
      <w:r w:rsidR="008A3F71">
        <w:rPr>
          <w:rFonts w:cs="Times New Roman"/>
          <w:lang w:val="fr-CA"/>
        </w:rPr>
        <w:t> »</w:t>
      </w:r>
      <w:r w:rsidRPr="00F73BA9">
        <w:rPr>
          <w:rFonts w:cs="Times New Roman"/>
          <w:lang w:val="fr-CA"/>
        </w:rPr>
        <w:t xml:space="preserve">, et que </w:t>
      </w:r>
      <w:r w:rsidR="008A3F71">
        <w:rPr>
          <w:rFonts w:cs="Times New Roman"/>
          <w:lang w:val="fr-CA"/>
        </w:rPr>
        <w:t>« </w:t>
      </w:r>
      <w:r w:rsidRPr="00F73BA9">
        <w:rPr>
          <w:rFonts w:cs="Times New Roman"/>
          <w:lang w:val="fr-CA"/>
        </w:rPr>
        <w:t>la connaissance d’office pouvait permettre de conclure qu’il y avait bien plus qu’un “risque infime de préjudice” pour ces deux enfants aux parcours difficiles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36). Ainsi, selon les juges majoritaires, si l’on applique les bons principes de droit aux conclusions de fait du juge du procès, les appelants devaient forcément être reconnus coupables. Ils substituent donc des déclarations de culpabilité aux acquittements et renvoient l’affaire pour détermination de la peine.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Le juge Berger, dissident, aurait rejeté les appels. Bien qu’il convienne avec les juges majoritaires que le juge du procès a commis une erreur, il diffère d’opinion sur le critère d’application de l’exception relative à l’usage personnel et conclut que l’exploitation est subsumée à bon droit sous l’analyse de la légalité. Autrement dit, il estime que, dans l’arrêt </w:t>
      </w:r>
      <w:r w:rsidRPr="00F73BA9">
        <w:rPr>
          <w:rFonts w:cs="Times New Roman"/>
          <w:i/>
          <w:lang w:val="fr-CA"/>
        </w:rPr>
        <w:t>Sharpe</w:t>
      </w:r>
      <w:r w:rsidRPr="00F73BA9">
        <w:rPr>
          <w:rFonts w:cs="Times New Roman"/>
          <w:lang w:val="fr-CA"/>
        </w:rPr>
        <w:t>, la Cour n’a pas créé une condition, indépendante et distincte, liée à l’exploitation de fait. Il conclut que, au vu des faits constatés en première instance, l’applicabilité de l’exception relative à l’usage personnel est établie.</w:t>
      </w:r>
    </w:p>
    <w:p w:rsidR="00BC42A6" w:rsidRPr="00F73BA9" w:rsidRDefault="00BC42A6" w:rsidP="00BC42A6">
      <w:pPr>
        <w:pStyle w:val="Title1LevelTitre1Niveau-AltL"/>
        <w:widowControl w:val="0"/>
        <w:rPr>
          <w:rFonts w:cs="Times New Roman"/>
          <w:lang w:val="fr-CA"/>
        </w:rPr>
      </w:pPr>
      <w:r w:rsidRPr="00F73BA9">
        <w:rPr>
          <w:rFonts w:cs="Times New Roman"/>
          <w:lang w:val="fr-CA"/>
        </w:rPr>
        <w:t>Analyse</w:t>
      </w:r>
    </w:p>
    <w:p w:rsidR="00BC42A6" w:rsidRPr="00F73BA9" w:rsidRDefault="00BC42A6" w:rsidP="00BC42A6">
      <w:pPr>
        <w:pStyle w:val="Title2LevelTitre2Niveau"/>
        <w:widowControl w:val="0"/>
        <w:rPr>
          <w:rFonts w:cs="Times New Roman"/>
          <w:lang w:val="fr-CA"/>
        </w:rPr>
      </w:pPr>
      <w:r w:rsidRPr="00F73BA9">
        <w:rPr>
          <w:rFonts w:cs="Times New Roman"/>
          <w:lang w:val="fr-CA"/>
        </w:rPr>
        <w:t>L’arrêt</w:t>
      </w:r>
      <w:r w:rsidRPr="00F73BA9">
        <w:rPr>
          <w:rFonts w:cs="Times New Roman"/>
          <w:i w:val="0"/>
          <w:lang w:val="fr-CA"/>
        </w:rPr>
        <w:t xml:space="preserve"> </w:t>
      </w:r>
      <w:r w:rsidRPr="00F73BA9">
        <w:rPr>
          <w:rFonts w:cs="Times New Roman"/>
          <w:lang w:val="fr-CA"/>
        </w:rPr>
        <w:t>R. c. Sharpe et l’interdiction de la pornographie juvénile par le Code criminel</w:t>
      </w:r>
    </w:p>
    <w:p w:rsidR="00BC42A6" w:rsidRPr="00F73BA9" w:rsidRDefault="00BC42A6" w:rsidP="00BC42A6">
      <w:pPr>
        <w:pStyle w:val="ParaNoNdepar-AltN"/>
        <w:widowControl w:val="0"/>
        <w:rPr>
          <w:rFonts w:cs="Times New Roman"/>
          <w:lang w:val="fr-CA"/>
        </w:rPr>
      </w:pPr>
      <w:r w:rsidRPr="00F73BA9">
        <w:rPr>
          <w:rFonts w:cs="Times New Roman"/>
          <w:lang w:val="fr-CA"/>
        </w:rPr>
        <w:t>L’article</w:t>
      </w:r>
      <w:r>
        <w:rPr>
          <w:rFonts w:cs="Times New Roman"/>
          <w:lang w:val="fr-CA"/>
        </w:rPr>
        <w:t xml:space="preserve"> </w:t>
      </w:r>
      <w:r w:rsidRPr="00F73BA9">
        <w:rPr>
          <w:rFonts w:cs="Times New Roman"/>
          <w:lang w:val="fr-CA"/>
        </w:rPr>
        <w:t xml:space="preserve">163.1 du </w:t>
      </w:r>
      <w:r w:rsidRPr="00F73BA9">
        <w:rPr>
          <w:rFonts w:cs="Times New Roman"/>
          <w:i/>
          <w:lang w:val="fr-CA"/>
        </w:rPr>
        <w:t xml:space="preserve">Code criminel </w:t>
      </w:r>
      <w:r w:rsidRPr="00F73BA9">
        <w:rPr>
          <w:rFonts w:cs="Times New Roman"/>
          <w:lang w:val="fr-CA"/>
        </w:rPr>
        <w:t xml:space="preserve">établit un certain nombre d’interdictions relatives à la production, à la possession et à la distribution de pornographie juvénile, ainsi qu’à l’accès à cette dernière. La pornographie juvénile considérée en l’espèce </w:t>
      </w:r>
      <w:r w:rsidRPr="00F73BA9">
        <w:rPr>
          <w:rFonts w:cs="Times New Roman"/>
          <w:lang w:val="fr-CA"/>
        </w:rPr>
        <w:lastRenderedPageBreak/>
        <w:t>est définie à l’al.</w:t>
      </w:r>
      <w:r>
        <w:rPr>
          <w:rFonts w:cs="Times New Roman"/>
          <w:lang w:val="fr-CA"/>
        </w:rPr>
        <w:t xml:space="preserve"> </w:t>
      </w:r>
      <w:r w:rsidRPr="00F73BA9">
        <w:rPr>
          <w:rFonts w:cs="Times New Roman"/>
          <w:lang w:val="fr-CA"/>
        </w:rPr>
        <w:t>163.1(1)</w:t>
      </w:r>
      <w:r w:rsidRPr="00F73BA9">
        <w:rPr>
          <w:rFonts w:cs="Times New Roman"/>
          <w:i/>
          <w:lang w:val="fr-CA"/>
        </w:rPr>
        <w:t>a</w:t>
      </w:r>
      <w:r w:rsidRPr="00F73BA9">
        <w:rPr>
          <w:rFonts w:cs="Times New Roman"/>
          <w:lang w:val="fr-CA"/>
        </w:rPr>
        <w:t>)</w:t>
      </w:r>
      <w:r>
        <w:rPr>
          <w:rFonts w:cs="Times New Roman"/>
          <w:lang w:val="fr-CA"/>
        </w:rPr>
        <w:t> :</w:t>
      </w:r>
    </w:p>
    <w:p w:rsidR="00BC42A6" w:rsidRPr="00F73BA9" w:rsidRDefault="00BC42A6" w:rsidP="00BD301F">
      <w:pPr>
        <w:pStyle w:val="Citation-AltC"/>
        <w:widowControl w:val="0"/>
        <w:tabs>
          <w:tab w:val="left" w:pos="1620"/>
        </w:tabs>
        <w:spacing w:after="240"/>
        <w:ind w:hanging="1166"/>
        <w:contextualSpacing w:val="0"/>
        <w:rPr>
          <w:lang w:val="fr-CA"/>
        </w:rPr>
      </w:pPr>
      <w:r w:rsidRPr="00F73BA9">
        <w:rPr>
          <w:b/>
          <w:lang w:val="fr-CA"/>
        </w:rPr>
        <w:tab/>
      </w:r>
      <w:r w:rsidRPr="00F73BA9">
        <w:rPr>
          <w:b/>
          <w:lang w:val="fr-CA"/>
        </w:rPr>
        <w:tab/>
        <w:t>163.1</w:t>
      </w:r>
      <w:r w:rsidRPr="00F73BA9">
        <w:rPr>
          <w:lang w:val="fr-CA"/>
        </w:rPr>
        <w:t xml:space="preserve"> (1) Au présent article, </w:t>
      </w:r>
      <w:r w:rsidR="008A3F71">
        <w:rPr>
          <w:lang w:val="fr-CA"/>
        </w:rPr>
        <w:t>« </w:t>
      </w:r>
      <w:r w:rsidRPr="00F73BA9">
        <w:rPr>
          <w:lang w:val="fr-CA"/>
        </w:rPr>
        <w:t>pornographie juvénile</w:t>
      </w:r>
      <w:r w:rsidR="008A3F71">
        <w:rPr>
          <w:lang w:val="fr-CA"/>
        </w:rPr>
        <w:t> »</w:t>
      </w:r>
      <w:r w:rsidRPr="00F73BA9">
        <w:rPr>
          <w:lang w:val="fr-CA"/>
        </w:rPr>
        <w:t xml:space="preserve"> s’entend, selon le cas</w:t>
      </w:r>
      <w:r>
        <w:rPr>
          <w:lang w:val="fr-CA"/>
        </w:rPr>
        <w:t> :</w:t>
      </w:r>
      <w:r w:rsidRPr="00F73BA9">
        <w:rPr>
          <w:lang w:val="fr-CA"/>
        </w:rPr>
        <w:t xml:space="preserve"> </w:t>
      </w:r>
    </w:p>
    <w:p w:rsidR="00BC42A6" w:rsidRPr="00F73BA9" w:rsidRDefault="00BC42A6" w:rsidP="00BD301F">
      <w:pPr>
        <w:pStyle w:val="Citation-AltC"/>
        <w:widowControl w:val="0"/>
        <w:spacing w:after="240"/>
        <w:ind w:left="1620"/>
        <w:contextualSpacing w:val="0"/>
        <w:rPr>
          <w:lang w:val="fr-CA"/>
        </w:rPr>
      </w:pPr>
      <w:r w:rsidRPr="00F73BA9">
        <w:rPr>
          <w:i/>
          <w:lang w:val="fr-CA"/>
        </w:rPr>
        <w:t>a</w:t>
      </w:r>
      <w:r w:rsidR="00BD301F">
        <w:rPr>
          <w:lang w:val="fr-CA"/>
        </w:rPr>
        <w:t xml:space="preserve">) </w:t>
      </w:r>
      <w:r w:rsidRPr="00F73BA9">
        <w:rPr>
          <w:lang w:val="fr-CA"/>
        </w:rPr>
        <w:t>de toute représentation photographique, filmée, vidéo ou autre, réalisée ou non par des moyens mécaniques ou électroniques</w:t>
      </w:r>
      <w:r>
        <w:rPr>
          <w:lang w:val="fr-CA"/>
        </w:rPr>
        <w:t> :</w:t>
      </w:r>
    </w:p>
    <w:p w:rsidR="00BC42A6" w:rsidRPr="00F73BA9" w:rsidRDefault="00BD301F" w:rsidP="00BD301F">
      <w:pPr>
        <w:pStyle w:val="Citation-AltC"/>
        <w:widowControl w:val="0"/>
        <w:spacing w:after="240"/>
        <w:ind w:left="2160"/>
        <w:contextualSpacing w:val="0"/>
        <w:rPr>
          <w:lang w:val="fr-CA"/>
        </w:rPr>
      </w:pPr>
      <w:r>
        <w:rPr>
          <w:lang w:val="fr-CA"/>
        </w:rPr>
        <w:t xml:space="preserve">(i) </w:t>
      </w:r>
      <w:r w:rsidR="00BC42A6" w:rsidRPr="00F73BA9">
        <w:rPr>
          <w:lang w:val="fr-CA"/>
        </w:rPr>
        <w:t>soit où figure une personne âgée de moins de dix</w:t>
      </w:r>
      <w:r w:rsidR="00BC42A6">
        <w:rPr>
          <w:lang w:val="fr-CA"/>
        </w:rPr>
        <w:t>-</w:t>
      </w:r>
      <w:r w:rsidR="00BC42A6" w:rsidRPr="00F73BA9">
        <w:rPr>
          <w:lang w:val="fr-CA"/>
        </w:rPr>
        <w:t xml:space="preserve">huit ans ou présentée comme telle et se livrant ou présentée comme se livrant à une activité sexuelle explicite, </w:t>
      </w:r>
    </w:p>
    <w:p w:rsidR="00BC42A6" w:rsidRPr="00F73BA9" w:rsidRDefault="00BD301F" w:rsidP="00BD301F">
      <w:pPr>
        <w:pStyle w:val="Citation-AltC"/>
        <w:widowControl w:val="0"/>
        <w:ind w:left="2160"/>
        <w:contextualSpacing w:val="0"/>
        <w:rPr>
          <w:lang w:val="fr-CA"/>
        </w:rPr>
      </w:pPr>
      <w:r>
        <w:rPr>
          <w:lang w:val="fr-CA"/>
        </w:rPr>
        <w:t xml:space="preserve">(ii) </w:t>
      </w:r>
      <w:r w:rsidR="00BC42A6" w:rsidRPr="00F73BA9">
        <w:rPr>
          <w:lang w:val="fr-CA"/>
        </w:rPr>
        <w:t>soit dont la caractéristique dominante est la représentation, dans un but sexuel, d’organes sexuels ou de la région anale d’une personne âgée de moins de dix</w:t>
      </w:r>
      <w:r w:rsidR="00BC42A6">
        <w:rPr>
          <w:lang w:val="fr-CA"/>
        </w:rPr>
        <w:t>-</w:t>
      </w:r>
      <w:r w:rsidR="00BC42A6" w:rsidRPr="00F73BA9">
        <w:rPr>
          <w:lang w:val="fr-CA"/>
        </w:rPr>
        <w:t>huit ans;</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Dans l’arrêt </w:t>
      </w:r>
      <w:r w:rsidRPr="00F73BA9">
        <w:rPr>
          <w:rFonts w:cs="Times New Roman"/>
          <w:i/>
          <w:lang w:val="fr-CA"/>
        </w:rPr>
        <w:t>Sharpe</w:t>
      </w:r>
      <w:r w:rsidRPr="00F73BA9">
        <w:rPr>
          <w:rFonts w:cs="Times New Roman"/>
          <w:lang w:val="fr-CA"/>
        </w:rPr>
        <w:t>, la juge en chef McLachlin conclut au nom des juges majoritaires que même si l’art.</w:t>
      </w:r>
      <w:r>
        <w:rPr>
          <w:rFonts w:cs="Times New Roman"/>
          <w:lang w:val="fr-CA"/>
        </w:rPr>
        <w:t xml:space="preserve"> </w:t>
      </w:r>
      <w:r w:rsidRPr="00F73BA9">
        <w:rPr>
          <w:rFonts w:cs="Times New Roman"/>
          <w:lang w:val="fr-CA"/>
        </w:rPr>
        <w:t>163.1 viole le droit constitutionnel à la liberté d’expression que garantit l’al.</w:t>
      </w:r>
      <w:r>
        <w:rPr>
          <w:rFonts w:cs="Times New Roman"/>
          <w:lang w:val="fr-CA"/>
        </w:rPr>
        <w:t xml:space="preserve"> </w:t>
      </w:r>
      <w:r w:rsidRPr="00F73BA9">
        <w:rPr>
          <w:rFonts w:cs="Times New Roman"/>
          <w:lang w:val="fr-CA"/>
        </w:rPr>
        <w:t>2</w:t>
      </w:r>
      <w:r w:rsidRPr="00F73BA9">
        <w:rPr>
          <w:rFonts w:cs="Times New Roman"/>
          <w:i/>
          <w:lang w:val="fr-CA"/>
        </w:rPr>
        <w:t>b</w:t>
      </w:r>
      <w:r w:rsidRPr="00F73BA9">
        <w:rPr>
          <w:rFonts w:cs="Times New Roman"/>
          <w:lang w:val="fr-CA"/>
        </w:rPr>
        <w:t xml:space="preserve">) de la </w:t>
      </w:r>
      <w:r w:rsidRPr="00F73BA9">
        <w:rPr>
          <w:rFonts w:cs="Times New Roman"/>
          <w:i/>
          <w:lang w:val="fr-CA"/>
        </w:rPr>
        <w:t>Charte canadienne des droits et libertés</w:t>
      </w:r>
      <w:r w:rsidRPr="00F73BA9">
        <w:rPr>
          <w:rFonts w:cs="Times New Roman"/>
          <w:lang w:val="fr-CA"/>
        </w:rPr>
        <w:t xml:space="preserve">, cette violation est en grande partie justifiée au regard de l’article premier de la </w:t>
      </w:r>
      <w:r w:rsidRPr="00F73BA9">
        <w:rPr>
          <w:rFonts w:cs="Times New Roman"/>
          <w:i/>
          <w:lang w:val="fr-CA"/>
        </w:rPr>
        <w:t>Charte</w:t>
      </w:r>
      <w:r w:rsidRPr="00F73BA9">
        <w:rPr>
          <w:rFonts w:cs="Times New Roman"/>
          <w:lang w:val="fr-CA"/>
        </w:rPr>
        <w:t xml:space="preserve"> par l’objectif gouvernemental important de protéger les enfants contre un préjudice. Toutefois, selon la formation majoritaire, l’interdiction faite par le droit criminel n’établit pas, dans le cas de deux catégories de matériel conservé en privé, un juste équilibre entre la prévention du préjudice causé aux enfants et la protection de la liberté d’expression. Ces deux catégories sont (1)</w:t>
      </w:r>
      <w:r>
        <w:rPr>
          <w:rFonts w:cs="Times New Roman"/>
          <w:lang w:val="fr-CA"/>
        </w:rPr>
        <w:t xml:space="preserve"> </w:t>
      </w:r>
      <w:r w:rsidRPr="00F73BA9">
        <w:rPr>
          <w:rFonts w:cs="Times New Roman"/>
          <w:lang w:val="fr-CA"/>
        </w:rPr>
        <w:t>le matériel expressif créé personnellement et (2)</w:t>
      </w:r>
      <w:r>
        <w:rPr>
          <w:rFonts w:cs="Times New Roman"/>
          <w:lang w:val="fr-CA"/>
        </w:rPr>
        <w:t xml:space="preserve"> </w:t>
      </w:r>
      <w:r w:rsidRPr="00F73BA9">
        <w:rPr>
          <w:rFonts w:cs="Times New Roman"/>
          <w:lang w:val="fr-CA"/>
        </w:rPr>
        <w:t xml:space="preserve">l’enregistrement privé d’une activité sexuelle légale. Ce matériel privé fait intervenir des valeurs liées au développement de la pensée, de la croyance, de l’opinion et de l’expression sans susciter </w:t>
      </w:r>
      <w:r w:rsidR="008A3F71">
        <w:rPr>
          <w:rFonts w:cs="Times New Roman"/>
          <w:lang w:val="fr-CA"/>
        </w:rPr>
        <w:t>« </w:t>
      </w:r>
      <w:r w:rsidRPr="00F73BA9">
        <w:rPr>
          <w:rFonts w:cs="Times New Roman"/>
          <w:lang w:val="fr-CA"/>
        </w:rPr>
        <w:t>aucune crainte raisonnée qu’un préjudice ne soit causé à des enfants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100).</w:t>
      </w:r>
    </w:p>
    <w:p w:rsidR="00BC42A6" w:rsidRPr="00F73BA9" w:rsidRDefault="00BC42A6" w:rsidP="00BC42A6">
      <w:pPr>
        <w:pStyle w:val="ParaNoNdepar-AltN"/>
        <w:widowControl w:val="0"/>
        <w:rPr>
          <w:rFonts w:cs="Times New Roman"/>
          <w:lang w:val="fr-CA"/>
        </w:rPr>
      </w:pPr>
      <w:r w:rsidRPr="00F73BA9">
        <w:rPr>
          <w:rFonts w:cs="Times New Roman"/>
          <w:lang w:val="fr-CA"/>
        </w:rPr>
        <w:lastRenderedPageBreak/>
        <w:t>Pour remédier à ce vice constitutionnel, la Cour reconnaît deux exceptions qui offrent chacune un moyen de défense en cas d’accusation fondée sur le par.</w:t>
      </w:r>
      <w:r>
        <w:rPr>
          <w:rFonts w:cs="Times New Roman"/>
          <w:lang w:val="fr-CA"/>
        </w:rPr>
        <w:t xml:space="preserve"> </w:t>
      </w:r>
      <w:r w:rsidRPr="00F73BA9">
        <w:rPr>
          <w:rFonts w:cs="Times New Roman"/>
          <w:lang w:val="fr-CA"/>
        </w:rPr>
        <w:t>163.1(2) (interdisant la production de pornographie juvénile) ou sur le par.</w:t>
      </w:r>
      <w:r>
        <w:rPr>
          <w:rFonts w:cs="Times New Roman"/>
          <w:lang w:val="fr-CA"/>
        </w:rPr>
        <w:t xml:space="preserve"> </w:t>
      </w:r>
      <w:r w:rsidRPr="00F73BA9">
        <w:rPr>
          <w:rFonts w:cs="Times New Roman"/>
          <w:lang w:val="fr-CA"/>
        </w:rPr>
        <w:t xml:space="preserve">163.1(4) (interdisant sa possession). La première exception vise le matériel expressif créé et conservé par une seule personne, et elle protège </w:t>
      </w:r>
      <w:r w:rsidR="008A3F71">
        <w:rPr>
          <w:rFonts w:cs="Times New Roman"/>
          <w:lang w:val="fr-CA"/>
        </w:rPr>
        <w:t>« </w:t>
      </w:r>
      <w:r w:rsidRPr="00F73BA9">
        <w:rPr>
          <w:rFonts w:cs="Times New Roman"/>
          <w:lang w:val="fr-CA"/>
        </w:rPr>
        <w:t>les formes d’expression profondément personnelle comme les journaux intimes et les dessins destinés à l’usage exclusif de leur auteur</w:t>
      </w:r>
      <w:r w:rsidR="008A3F71">
        <w:rPr>
          <w:rFonts w:cs="Times New Roman"/>
          <w:lang w:val="fr-CA"/>
        </w:rPr>
        <w:t> »</w:t>
      </w:r>
      <w:r w:rsidRPr="00F73BA9">
        <w:rPr>
          <w:rFonts w:cs="Times New Roman"/>
          <w:lang w:val="fr-CA"/>
        </w:rPr>
        <w:t xml:space="preserve"> (</w:t>
      </w:r>
      <w:r w:rsidRPr="00F73BA9">
        <w:rPr>
          <w:rFonts w:cs="Times New Roman"/>
          <w:i/>
          <w:lang w:val="fr-CA"/>
        </w:rPr>
        <w:t>Sharpe</w:t>
      </w:r>
      <w:r w:rsidRPr="00F73BA9">
        <w:rPr>
          <w:rFonts w:cs="Times New Roman"/>
          <w:lang w:val="fr-CA"/>
        </w:rPr>
        <w:t>, par.</w:t>
      </w:r>
      <w:r>
        <w:rPr>
          <w:rFonts w:cs="Times New Roman"/>
          <w:lang w:val="fr-CA"/>
        </w:rPr>
        <w:t xml:space="preserve"> </w:t>
      </w:r>
      <w:r w:rsidRPr="00F73BA9">
        <w:rPr>
          <w:rFonts w:cs="Times New Roman"/>
          <w:lang w:val="fr-CA"/>
        </w:rPr>
        <w:t xml:space="preserve">128). La deuxième, appelée </w:t>
      </w:r>
      <w:r w:rsidR="008A3F71">
        <w:rPr>
          <w:rFonts w:cs="Times New Roman"/>
          <w:lang w:val="fr-CA"/>
        </w:rPr>
        <w:t>« </w:t>
      </w:r>
      <w:r w:rsidRPr="00F73BA9">
        <w:rPr>
          <w:rFonts w:cs="Times New Roman"/>
          <w:lang w:val="fr-CA"/>
        </w:rPr>
        <w:t>exception relative à l’usage personnel</w:t>
      </w:r>
      <w:r w:rsidR="008A3F71">
        <w:rPr>
          <w:rFonts w:cs="Times New Roman"/>
          <w:lang w:val="fr-CA"/>
        </w:rPr>
        <w:t> »</w:t>
      </w:r>
      <w:r w:rsidRPr="00F73BA9">
        <w:rPr>
          <w:rFonts w:cs="Times New Roman"/>
          <w:lang w:val="fr-CA"/>
        </w:rPr>
        <w:t>, protège une catégorie restreinte d’enregistrements</w:t>
      </w:r>
      <w:r>
        <w:rPr>
          <w:rFonts w:cs="Times New Roman"/>
          <w:lang w:val="fr-CA"/>
        </w:rPr>
        <w:t> :</w:t>
      </w:r>
    </w:p>
    <w:p w:rsidR="00BC42A6" w:rsidRPr="00F73BA9" w:rsidRDefault="00D6209A" w:rsidP="00BC42A6">
      <w:pPr>
        <w:pStyle w:val="Citation-AltC"/>
        <w:widowControl w:val="0"/>
        <w:tabs>
          <w:tab w:val="left" w:pos="1440"/>
        </w:tabs>
        <w:ind w:hanging="1166"/>
        <w:contextualSpacing w:val="0"/>
        <w:rPr>
          <w:lang w:val="fr-CA"/>
        </w:rPr>
      </w:pPr>
      <w:r>
        <w:rPr>
          <w:lang w:val="fr-CA"/>
        </w:rPr>
        <w:tab/>
      </w:r>
      <w:r w:rsidR="00BC42A6" w:rsidRPr="00F73BA9">
        <w:rPr>
          <w:lang w:val="fr-CA"/>
        </w:rPr>
        <w:t xml:space="preserve">La seconde exception protège la possession par une personne d’enregistrements qu’elle a créés ou dans lesquels elle figure, mais </w:t>
      </w:r>
      <w:r w:rsidR="00BC42A6" w:rsidRPr="00F73BA9">
        <w:rPr>
          <w:u w:val="single"/>
          <w:lang w:val="fr-CA"/>
        </w:rPr>
        <w:t>seulement</w:t>
      </w:r>
      <w:r w:rsidR="00BC42A6" w:rsidRPr="00F73BA9">
        <w:rPr>
          <w:lang w:val="fr-CA"/>
        </w:rPr>
        <w:t xml:space="preserve"> si ces enregistrements ne représentent pas une activité sexuelle illégale, si elle les conserve exclusivement pour son usage personnel et s’ils ont été créés avec le consentement des personnes qui y figurent. [Souligné dans l’original; </w:t>
      </w:r>
      <w:r w:rsidR="00BC42A6" w:rsidRPr="00F73BA9">
        <w:rPr>
          <w:i/>
          <w:lang w:val="fr-CA"/>
        </w:rPr>
        <w:t>ibid</w:t>
      </w:r>
      <w:r w:rsidR="00BC42A6" w:rsidRPr="00D6209A">
        <w:rPr>
          <w:i/>
          <w:lang w:val="fr-CA"/>
        </w:rPr>
        <w:t>.</w:t>
      </w:r>
      <w:r w:rsidR="00BC42A6" w:rsidRPr="00F73BA9">
        <w:rPr>
          <w:lang w:val="fr-CA"/>
        </w:rPr>
        <w:t>]</w:t>
      </w:r>
    </w:p>
    <w:p w:rsidR="00BC42A6" w:rsidRPr="00F73BA9" w:rsidRDefault="00BC42A6" w:rsidP="00BC42A6">
      <w:pPr>
        <w:pStyle w:val="ContinueParaSuitedupar-AltP"/>
        <w:widowControl w:val="0"/>
        <w:rPr>
          <w:rFonts w:cs="Times New Roman"/>
          <w:lang w:val="fr-CA"/>
        </w:rPr>
      </w:pPr>
      <w:r w:rsidRPr="00F73BA9">
        <w:rPr>
          <w:rFonts w:cs="Times New Roman"/>
          <w:lang w:val="fr-CA"/>
        </w:rPr>
        <w:t>Seule l’applicabilité de cette dernière exception est en cause en l’espèce.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De l’avis des juges majoritaires dans </w:t>
      </w:r>
      <w:r w:rsidRPr="00F73BA9">
        <w:rPr>
          <w:rFonts w:cs="Times New Roman"/>
          <w:i/>
          <w:lang w:val="fr-CA"/>
        </w:rPr>
        <w:t>Sharpe</w:t>
      </w:r>
      <w:r w:rsidRPr="00F73BA9">
        <w:rPr>
          <w:rFonts w:cs="Times New Roman"/>
          <w:lang w:val="fr-CA"/>
        </w:rPr>
        <w:t xml:space="preserve">, les enregistrements privés peuvent contribuer à l’épanouissement personnel, à la réalisation de soi ainsi qu’à l’exploration et à l’identité sexuelles de l’adolescent. Ils signalent que </w:t>
      </w:r>
      <w:r w:rsidR="008A3F71">
        <w:rPr>
          <w:rFonts w:cs="Times New Roman"/>
          <w:lang w:val="fr-CA"/>
        </w:rPr>
        <w:t>« </w:t>
      </w:r>
      <w:r w:rsidRPr="00F73BA9">
        <w:rPr>
          <w:rFonts w:cs="Times New Roman"/>
          <w:lang w:val="fr-CA"/>
        </w:rPr>
        <w:t>deux adolescents pourraient faire grandir une relation d’amour et de respect en se servant de photos érotiques d’eux</w:t>
      </w:r>
      <w:r>
        <w:rPr>
          <w:rFonts w:cs="Times New Roman"/>
          <w:lang w:val="fr-CA"/>
        </w:rPr>
        <w:t>-</w:t>
      </w:r>
      <w:r w:rsidRPr="00F73BA9">
        <w:rPr>
          <w:rFonts w:cs="Times New Roman"/>
          <w:lang w:val="fr-CA"/>
        </w:rPr>
        <w:t>mêmes se livrant à une activité sexuelle</w:t>
      </w:r>
      <w:r w:rsidR="008A3F71">
        <w:rPr>
          <w:rFonts w:cs="Times New Roman"/>
          <w:lang w:val="fr-CA"/>
        </w:rPr>
        <w:t> »</w:t>
      </w:r>
      <w:r w:rsidR="00D6209A">
        <w:rPr>
          <w:rFonts w:cs="Times New Roman"/>
          <w:lang w:val="fr-CA"/>
        </w:rPr>
        <w:t xml:space="preserve"> (par. 109)</w:t>
      </w:r>
      <w:r w:rsidRPr="00F73BA9">
        <w:rPr>
          <w:rFonts w:cs="Times New Roman"/>
          <w:lang w:val="fr-CA"/>
        </w:rPr>
        <w:t>. Ils concluent donc que les effets néfastes de la criminalisation de ce matériel sur le droit à la liberté d’expression l’emportent sur les effets bénéfiques minimes qu’elle pourrait avoir sur la prévention du préjudice causé aux enfants (</w:t>
      </w:r>
      <w:r w:rsidR="00D6209A" w:rsidRPr="00D6209A">
        <w:rPr>
          <w:rFonts w:cs="Times New Roman"/>
          <w:i/>
          <w:lang w:val="fr-CA"/>
        </w:rPr>
        <w:t>ibid.</w:t>
      </w:r>
      <w:r w:rsidRPr="00F73BA9">
        <w:rPr>
          <w:rFonts w:cs="Times New Roman"/>
          <w:lang w:val="fr-CA"/>
        </w:rPr>
        <w:t>).</w:t>
      </w:r>
    </w:p>
    <w:p w:rsidR="00BC42A6" w:rsidRPr="00F73BA9" w:rsidRDefault="00BC42A6" w:rsidP="00BC42A6">
      <w:pPr>
        <w:pStyle w:val="Title2LevelTitre2Niveau"/>
        <w:widowControl w:val="0"/>
        <w:rPr>
          <w:rFonts w:cs="Times New Roman"/>
          <w:lang w:val="fr-CA"/>
        </w:rPr>
      </w:pPr>
      <w:r w:rsidRPr="00F73BA9">
        <w:rPr>
          <w:rFonts w:cs="Times New Roman"/>
          <w:lang w:val="fr-CA"/>
        </w:rPr>
        <w:lastRenderedPageBreak/>
        <w:t>Conditions d’application de l’exception relative à l’usage personnel</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Comme l’explique la Cour dans l’arrêt </w:t>
      </w:r>
      <w:r w:rsidRPr="00F73BA9">
        <w:rPr>
          <w:rFonts w:cs="Times New Roman"/>
          <w:i/>
          <w:lang w:val="fr-CA"/>
        </w:rPr>
        <w:t>Sharpe</w:t>
      </w:r>
      <w:r w:rsidRPr="00F73BA9">
        <w:rPr>
          <w:rFonts w:cs="Times New Roman"/>
          <w:lang w:val="fr-CA"/>
        </w:rPr>
        <w:t>, l’exception relative à l’usage personnel s’applique à trois conditions, et la preuve offerte doit permettre de conclure au respect de chacune d’elles</w:t>
      </w:r>
      <w:r>
        <w:rPr>
          <w:rFonts w:cs="Times New Roman"/>
          <w:lang w:val="fr-CA"/>
        </w:rPr>
        <w:t> :</w:t>
      </w:r>
      <w:r w:rsidRPr="00F73BA9">
        <w:rPr>
          <w:rFonts w:cs="Times New Roman"/>
          <w:lang w:val="fr-CA"/>
        </w:rPr>
        <w:t xml:space="preserve"> (1)</w:t>
      </w:r>
      <w:r>
        <w:rPr>
          <w:rFonts w:cs="Times New Roman"/>
          <w:lang w:val="fr-CA"/>
        </w:rPr>
        <w:t xml:space="preserve"> </w:t>
      </w:r>
      <w:r w:rsidRPr="00F73BA9">
        <w:rPr>
          <w:rFonts w:cs="Times New Roman"/>
          <w:lang w:val="fr-CA"/>
        </w:rPr>
        <w:t>l’enregistrement doit représenter une activité sexuelle légale, (2)</w:t>
      </w:r>
      <w:r>
        <w:rPr>
          <w:rFonts w:cs="Times New Roman"/>
          <w:lang w:val="fr-CA"/>
        </w:rPr>
        <w:t xml:space="preserve"> </w:t>
      </w:r>
      <w:r w:rsidRPr="00F73BA9">
        <w:rPr>
          <w:rFonts w:cs="Times New Roman"/>
          <w:lang w:val="fr-CA"/>
        </w:rPr>
        <w:t>les personnes qui y figurent doivent consentir à l’enregistrement et (3)</w:t>
      </w:r>
      <w:r>
        <w:rPr>
          <w:rFonts w:cs="Times New Roman"/>
          <w:lang w:val="fr-CA"/>
        </w:rPr>
        <w:t xml:space="preserve"> </w:t>
      </w:r>
      <w:r w:rsidRPr="00F73BA9">
        <w:rPr>
          <w:rFonts w:cs="Times New Roman"/>
          <w:lang w:val="fr-CA"/>
        </w:rPr>
        <w:t>l’enregistrement doit être conservé pour l’usage personnel.</w:t>
      </w:r>
    </w:p>
    <w:p w:rsidR="00BC42A6" w:rsidRPr="00F73BA9" w:rsidRDefault="00BC42A6" w:rsidP="00BC42A6">
      <w:pPr>
        <w:pStyle w:val="ParaNoNdepar-AltN"/>
        <w:widowControl w:val="0"/>
        <w:rPr>
          <w:rFonts w:cs="Times New Roman"/>
          <w:lang w:val="fr-CA"/>
        </w:rPr>
      </w:pPr>
      <w:r w:rsidRPr="00F73BA9">
        <w:rPr>
          <w:rFonts w:cs="Times New Roman"/>
          <w:lang w:val="fr-CA"/>
        </w:rPr>
        <w:t>L’accusé doit établir la vraisemblance du respect de ces trois conditions pour que le moyen de défense soit soumis au jury (</w:t>
      </w:r>
      <w:r w:rsidRPr="00F73BA9">
        <w:rPr>
          <w:rFonts w:cs="Times New Roman"/>
          <w:i/>
          <w:lang w:val="fr-CA"/>
        </w:rPr>
        <w:t>Sharpe</w:t>
      </w:r>
      <w:r w:rsidRPr="00F73BA9">
        <w:rPr>
          <w:rFonts w:cs="Times New Roman"/>
          <w:lang w:val="fr-CA"/>
        </w:rPr>
        <w:t>, par.</w:t>
      </w:r>
      <w:r>
        <w:rPr>
          <w:rFonts w:cs="Times New Roman"/>
          <w:lang w:val="fr-CA"/>
        </w:rPr>
        <w:t xml:space="preserve"> </w:t>
      </w:r>
      <w:r w:rsidRPr="00F73BA9">
        <w:rPr>
          <w:rFonts w:cs="Times New Roman"/>
          <w:lang w:val="fr-CA"/>
        </w:rPr>
        <w:t>116). Une fois qu’il s’est acquitté de sa charge de présentation, le ministère public doit s’acquitter de sa charge de persuasion pour réfuter hors de tout doute raisonnable le moyen de défense. Comme le respect des trois conditions est nécessaire à l’application du moyen de défense, le ministère public n’a qu’à réfuter le respect de l’une d’elles hors de tout doute raisonnable.</w:t>
      </w:r>
    </w:p>
    <w:p w:rsidR="00BC42A6" w:rsidRPr="00F73BA9" w:rsidRDefault="00BC42A6" w:rsidP="00BC42A6">
      <w:pPr>
        <w:pStyle w:val="Title3LevelTitre3Niveau"/>
        <w:widowControl w:val="0"/>
        <w:rPr>
          <w:rFonts w:cs="Times New Roman"/>
          <w:lang w:val="fr-CA"/>
        </w:rPr>
      </w:pPr>
      <w:r w:rsidRPr="00F73BA9">
        <w:rPr>
          <w:rFonts w:cs="Times New Roman"/>
          <w:lang w:val="fr-CA"/>
        </w:rPr>
        <w:t>Légalité</w:t>
      </w:r>
    </w:p>
    <w:p w:rsidR="00BC42A6" w:rsidRPr="00F73BA9" w:rsidRDefault="00BC42A6" w:rsidP="00BC42A6">
      <w:pPr>
        <w:pStyle w:val="ParaNoNdepar-AltN"/>
        <w:widowControl w:val="0"/>
        <w:rPr>
          <w:rFonts w:cs="Times New Roman"/>
          <w:lang w:val="fr-CA"/>
        </w:rPr>
      </w:pPr>
      <w:r w:rsidRPr="00F73BA9">
        <w:rPr>
          <w:rFonts w:cs="Times New Roman"/>
          <w:lang w:val="fr-CA"/>
        </w:rPr>
        <w:t>Premièrement, l’activité sexuelle enregistrée doit être légale. En d’autres termes, elle ne peut constituer un crime en soi. Le consentement des intéressés est une condition préalable à sa légalité</w:t>
      </w:r>
      <w:r>
        <w:rPr>
          <w:rFonts w:cs="Times New Roman"/>
          <w:lang w:val="fr-CA"/>
        </w:rPr>
        <w:t xml:space="preserve">. Un enfant de </w:t>
      </w:r>
      <w:r w:rsidR="00D6209A">
        <w:rPr>
          <w:rFonts w:cs="Times New Roman"/>
          <w:lang w:val="fr-CA"/>
        </w:rPr>
        <w:t xml:space="preserve">moins de </w:t>
      </w:r>
      <w:r>
        <w:rPr>
          <w:rFonts w:cs="Times New Roman"/>
          <w:lang w:val="fr-CA"/>
        </w:rPr>
        <w:t xml:space="preserve">12 </w:t>
      </w:r>
      <w:r w:rsidRPr="00F73BA9">
        <w:rPr>
          <w:rFonts w:cs="Times New Roman"/>
          <w:lang w:val="fr-CA"/>
        </w:rPr>
        <w:t xml:space="preserve">ans ne peut valablement consentir à une activité sexuelle. </w:t>
      </w:r>
      <w:r w:rsidR="00D6209A">
        <w:rPr>
          <w:rFonts w:cs="Times New Roman"/>
          <w:lang w:val="fr-CA"/>
        </w:rPr>
        <w:t>Au moment où les infractions auraient été commises en l’espèce</w:t>
      </w:r>
      <w:r w:rsidRPr="00F73BA9">
        <w:rPr>
          <w:rFonts w:cs="Times New Roman"/>
          <w:lang w:val="fr-CA"/>
        </w:rPr>
        <w:t>, les circonstances dans lesquelles un adolescent de moins de 14</w:t>
      </w:r>
      <w:r>
        <w:rPr>
          <w:rFonts w:cs="Times New Roman"/>
          <w:lang w:val="fr-CA"/>
        </w:rPr>
        <w:t xml:space="preserve"> </w:t>
      </w:r>
      <w:r w:rsidRPr="00F73BA9">
        <w:rPr>
          <w:rFonts w:cs="Times New Roman"/>
          <w:lang w:val="fr-CA"/>
        </w:rPr>
        <w:t xml:space="preserve">ans pouvait valablement consentir à une activité sexuelle étaient restreintes et dépendaient </w:t>
      </w:r>
      <w:r w:rsidRPr="00F73BA9">
        <w:rPr>
          <w:rFonts w:cs="Times New Roman"/>
          <w:lang w:val="fr-CA"/>
        </w:rPr>
        <w:lastRenderedPageBreak/>
        <w:t>de l’âge des autres participants (</w:t>
      </w:r>
      <w:r w:rsidRPr="00F73BA9">
        <w:rPr>
          <w:rFonts w:cs="Times New Roman"/>
          <w:i/>
          <w:lang w:val="fr-CA"/>
        </w:rPr>
        <w:t>Code criminel</w:t>
      </w:r>
      <w:r w:rsidRPr="00F73BA9">
        <w:rPr>
          <w:rFonts w:cs="Times New Roman"/>
          <w:lang w:val="fr-CA"/>
        </w:rPr>
        <w:t>, par.</w:t>
      </w:r>
      <w:r>
        <w:rPr>
          <w:rFonts w:cs="Times New Roman"/>
          <w:lang w:val="fr-CA"/>
        </w:rPr>
        <w:t xml:space="preserve"> </w:t>
      </w:r>
      <w:r w:rsidRPr="00F73BA9">
        <w:rPr>
          <w:rFonts w:cs="Times New Roman"/>
          <w:lang w:val="fr-CA"/>
        </w:rPr>
        <w:t>150.1(1) et (2)). Un adolescent de moins de 14</w:t>
      </w:r>
      <w:r>
        <w:rPr>
          <w:rFonts w:cs="Times New Roman"/>
          <w:lang w:val="fr-CA"/>
        </w:rPr>
        <w:t xml:space="preserve"> </w:t>
      </w:r>
      <w:r w:rsidRPr="00F73BA9">
        <w:rPr>
          <w:rFonts w:cs="Times New Roman"/>
          <w:lang w:val="fr-CA"/>
        </w:rPr>
        <w:t>ans ne pouvait consentir à une activité sexuelle que si son partenaire était de moins de deux ans son aîné.</w:t>
      </w:r>
      <w:r w:rsidRPr="00F73BA9" w:rsidDel="003607F9">
        <w:rPr>
          <w:rFonts w:cs="Times New Roman"/>
          <w:lang w:val="fr-CA"/>
        </w:rPr>
        <w:t xml:space="preserve"> </w:t>
      </w:r>
      <w:r w:rsidRPr="00F73BA9">
        <w:rPr>
          <w:rFonts w:cs="Times New Roman"/>
          <w:lang w:val="fr-CA"/>
        </w:rPr>
        <w:t>En outre, il ne pouvait consentir à une activité sexuelle lorsque son partenaire était une personne en situation d’autorité ou de confiance, lorsque la relation était une relation de dépendance ou lorsqu’il s’agissait d’une relation d’exploitation (al.</w:t>
      </w:r>
      <w:r>
        <w:rPr>
          <w:rFonts w:cs="Times New Roman"/>
          <w:lang w:val="fr-CA"/>
        </w:rPr>
        <w:t xml:space="preserve"> </w:t>
      </w:r>
      <w:r w:rsidRPr="00F73BA9">
        <w:rPr>
          <w:rFonts w:cs="Times New Roman"/>
          <w:lang w:val="fr-CA"/>
        </w:rPr>
        <w:t>150.1(2)</w:t>
      </w:r>
      <w:r w:rsidRPr="00F73BA9">
        <w:rPr>
          <w:rFonts w:cs="Times New Roman"/>
          <w:i/>
          <w:lang w:val="fr-CA"/>
        </w:rPr>
        <w:t>c</w:t>
      </w:r>
      <w:r w:rsidRPr="00F73BA9">
        <w:rPr>
          <w:rFonts w:cs="Times New Roman"/>
          <w:lang w:val="fr-CA"/>
        </w:rPr>
        <w:t>) et par.</w:t>
      </w:r>
      <w:r>
        <w:rPr>
          <w:rFonts w:cs="Times New Roman"/>
          <w:lang w:val="fr-CA"/>
        </w:rPr>
        <w:t xml:space="preserve"> </w:t>
      </w:r>
      <w:r w:rsidRPr="00F73BA9">
        <w:rPr>
          <w:rFonts w:cs="Times New Roman"/>
          <w:lang w:val="fr-CA"/>
        </w:rPr>
        <w:t xml:space="preserve">150.1(3)). Ces conditions s’appliquaient — et s’appliquent toujours — de manière générale, y </w:t>
      </w:r>
      <w:r w:rsidR="00A245E7">
        <w:rPr>
          <w:rFonts w:cs="Times New Roman"/>
          <w:lang w:val="fr-CA"/>
        </w:rPr>
        <w:t>compris aux contacts sexuels et</w:t>
      </w:r>
      <w:r w:rsidRPr="00F73BA9">
        <w:rPr>
          <w:rFonts w:cs="Times New Roman"/>
          <w:lang w:val="fr-CA"/>
        </w:rPr>
        <w:t xml:space="preserve"> au fait </w:t>
      </w:r>
      <w:r w:rsidR="00106BC6">
        <w:rPr>
          <w:rFonts w:cs="Times New Roman"/>
          <w:lang w:val="fr-CA"/>
        </w:rPr>
        <w:t xml:space="preserve">d’inviter, </w:t>
      </w:r>
      <w:r w:rsidRPr="00F73BA9">
        <w:rPr>
          <w:rFonts w:cs="Times New Roman"/>
          <w:lang w:val="fr-CA"/>
        </w:rPr>
        <w:t>d’inciter ou d’engager à des contacts sexuels, ainsi qu’à d’autres infractions d’ordre sexuel</w:t>
      </w:r>
      <w:r w:rsidRPr="00F73BA9">
        <w:rPr>
          <w:rStyle w:val="FootnoteReference"/>
          <w:rFonts w:cs="Times New Roman"/>
          <w:lang w:val="fr-CA"/>
        </w:rPr>
        <w:footnoteReference w:id="1"/>
      </w:r>
      <w:r w:rsidRPr="00F73BA9">
        <w:rPr>
          <w:rFonts w:cs="Times New Roman"/>
          <w:lang w:val="fr-CA"/>
        </w:rPr>
        <w:t>.</w:t>
      </w:r>
    </w:p>
    <w:p w:rsidR="00BC42A6" w:rsidRPr="00F73BA9" w:rsidRDefault="00BC42A6" w:rsidP="00BC42A6">
      <w:pPr>
        <w:pStyle w:val="ParaNoNdepar-AltN"/>
        <w:widowControl w:val="0"/>
        <w:rPr>
          <w:rFonts w:cs="Times New Roman"/>
          <w:lang w:val="fr-CA"/>
        </w:rPr>
      </w:pPr>
      <w:r w:rsidRPr="00F73BA9">
        <w:rPr>
          <w:rFonts w:cs="Times New Roman"/>
          <w:lang w:val="fr-CA"/>
        </w:rPr>
        <w:t>L’adolescent âgé de 14 à 17</w:t>
      </w:r>
      <w:r>
        <w:rPr>
          <w:rFonts w:cs="Times New Roman"/>
          <w:lang w:val="fr-CA"/>
        </w:rPr>
        <w:t xml:space="preserve"> </w:t>
      </w:r>
      <w:r w:rsidRPr="00F73BA9">
        <w:rPr>
          <w:rFonts w:cs="Times New Roman"/>
          <w:lang w:val="fr-CA"/>
        </w:rPr>
        <w:t>ans inclusivement pouvait alors consentir valablement à des actes sexuels avec un partenaire de n’importe quel âge. Cependant, comme pour les enfants plus jeunes, l’activité sexuelle était illégale lorsque la relation reposait sur l’exploitation, la dépendance, la confiance ou l’autorité (par.</w:t>
      </w:r>
      <w:r>
        <w:rPr>
          <w:rFonts w:cs="Times New Roman"/>
          <w:lang w:val="fr-CA"/>
        </w:rPr>
        <w:t xml:space="preserve"> </w:t>
      </w:r>
      <w:r w:rsidRPr="00F73BA9">
        <w:rPr>
          <w:rFonts w:cs="Times New Roman"/>
          <w:lang w:val="fr-CA"/>
        </w:rPr>
        <w:t>153(1)). À n’importe quel âge, le consentement demeure non valable lorsqu’il est obtenu notamment par la fraude, la contrainte ou l’abus de pouvoir (</w:t>
      </w:r>
      <w:r w:rsidRPr="00F73BA9">
        <w:rPr>
          <w:rFonts w:cs="Times New Roman"/>
          <w:i/>
          <w:lang w:val="fr-CA"/>
        </w:rPr>
        <w:t>Code criminel</w:t>
      </w:r>
      <w:r w:rsidRPr="00F73BA9">
        <w:rPr>
          <w:rFonts w:cs="Times New Roman"/>
          <w:lang w:val="fr-CA"/>
        </w:rPr>
        <w:t>,</w:t>
      </w:r>
      <w:r w:rsidRPr="00F73BA9">
        <w:rPr>
          <w:rFonts w:cs="Times New Roman"/>
          <w:i/>
          <w:lang w:val="fr-CA"/>
        </w:rPr>
        <w:t xml:space="preserve"> </w:t>
      </w:r>
      <w:r w:rsidRPr="00F73BA9">
        <w:rPr>
          <w:rFonts w:cs="Times New Roman"/>
          <w:lang w:val="fr-CA"/>
        </w:rPr>
        <w:t>par.</w:t>
      </w:r>
      <w:r>
        <w:rPr>
          <w:rFonts w:cs="Times New Roman"/>
          <w:lang w:val="fr-CA"/>
        </w:rPr>
        <w:t xml:space="preserve"> </w:t>
      </w:r>
      <w:r w:rsidRPr="00F73BA9">
        <w:rPr>
          <w:rFonts w:cs="Times New Roman"/>
          <w:lang w:val="fr-CA"/>
        </w:rPr>
        <w:t>265(3) et art.</w:t>
      </w:r>
      <w:r>
        <w:rPr>
          <w:rFonts w:cs="Times New Roman"/>
          <w:lang w:val="fr-CA"/>
        </w:rPr>
        <w:t xml:space="preserve"> </w:t>
      </w:r>
      <w:r w:rsidRPr="00F73BA9">
        <w:rPr>
          <w:rFonts w:cs="Times New Roman"/>
          <w:lang w:val="fr-CA"/>
        </w:rPr>
        <w:t>273.1).</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En 2008, le législateur a modifié le </w:t>
      </w:r>
      <w:r w:rsidRPr="00F73BA9">
        <w:rPr>
          <w:rFonts w:cs="Times New Roman"/>
          <w:i/>
          <w:lang w:val="fr-CA"/>
        </w:rPr>
        <w:t>Code criminel</w:t>
      </w:r>
      <w:r w:rsidRPr="00F73BA9">
        <w:rPr>
          <w:rFonts w:cs="Times New Roman"/>
          <w:lang w:val="fr-CA"/>
        </w:rPr>
        <w:t xml:space="preserve"> pour faire passer l’âge du consentement de 14 à 16</w:t>
      </w:r>
      <w:r>
        <w:rPr>
          <w:rFonts w:cs="Times New Roman"/>
          <w:lang w:val="fr-CA"/>
        </w:rPr>
        <w:t xml:space="preserve"> </w:t>
      </w:r>
      <w:r w:rsidRPr="00F73BA9">
        <w:rPr>
          <w:rFonts w:cs="Times New Roman"/>
          <w:lang w:val="fr-CA"/>
        </w:rPr>
        <w:t>ans</w:t>
      </w:r>
      <w:r w:rsidR="003B6E9A">
        <w:rPr>
          <w:rFonts w:cs="Times New Roman"/>
          <w:lang w:val="fr-CA"/>
        </w:rPr>
        <w:t xml:space="preserve"> (L.C. 2008, c. 6)</w:t>
      </w:r>
      <w:r w:rsidRPr="00F73BA9">
        <w:rPr>
          <w:rFonts w:cs="Times New Roman"/>
          <w:lang w:val="fr-CA"/>
        </w:rPr>
        <w:t>. Désormais, un adolescent âgé de 14 ou 15</w:t>
      </w:r>
      <w:r>
        <w:rPr>
          <w:rFonts w:cs="Times New Roman"/>
          <w:lang w:val="fr-CA"/>
        </w:rPr>
        <w:t xml:space="preserve"> </w:t>
      </w:r>
      <w:r w:rsidRPr="00F73BA9">
        <w:rPr>
          <w:rFonts w:cs="Times New Roman"/>
          <w:lang w:val="fr-CA"/>
        </w:rPr>
        <w:t>ans ne peut consentir à un acte sexuel que si son partenaire a à peu près le même âge que lui ou qu</w:t>
      </w:r>
      <w:r w:rsidR="00106BC6">
        <w:rPr>
          <w:rFonts w:cs="Times New Roman"/>
          <w:lang w:val="fr-CA"/>
        </w:rPr>
        <w:t>e s’</w:t>
      </w:r>
      <w:r w:rsidRPr="00F73BA9">
        <w:rPr>
          <w:rFonts w:cs="Times New Roman"/>
          <w:lang w:val="fr-CA"/>
        </w:rPr>
        <w:t>il est marié avec lui (par.</w:t>
      </w:r>
      <w:r>
        <w:rPr>
          <w:rFonts w:cs="Times New Roman"/>
          <w:lang w:val="fr-CA"/>
        </w:rPr>
        <w:t xml:space="preserve"> </w:t>
      </w:r>
      <w:r w:rsidRPr="00F73BA9">
        <w:rPr>
          <w:rFonts w:cs="Times New Roman"/>
          <w:lang w:val="fr-CA"/>
        </w:rPr>
        <w:t>150.1(2.1)).</w:t>
      </w:r>
    </w:p>
    <w:p w:rsidR="00BC42A6" w:rsidRPr="00F73BA9" w:rsidRDefault="00BC42A6" w:rsidP="00BC42A6">
      <w:pPr>
        <w:pStyle w:val="ParaNoNdepar-AltN"/>
        <w:widowControl w:val="0"/>
        <w:rPr>
          <w:rFonts w:cs="Times New Roman"/>
          <w:lang w:val="fr-CA"/>
        </w:rPr>
      </w:pPr>
      <w:r w:rsidRPr="00F73BA9">
        <w:rPr>
          <w:rFonts w:cs="Times New Roman"/>
          <w:lang w:val="fr-CA"/>
        </w:rPr>
        <w:lastRenderedPageBreak/>
        <w:t>Dans le contexte d’une poursuite pour pornographie juvénile, les conditions d’origine législative applicables au consentement des mineurs délimitent les circonstances dans lesquelles l’activité sexuelle en cause est légale. Elles circonscrivent par le fait même les circonstances dans lesquelles une personne accusée en vertu de l’art.</w:t>
      </w:r>
      <w:r>
        <w:rPr>
          <w:rFonts w:cs="Times New Roman"/>
          <w:lang w:val="fr-CA"/>
        </w:rPr>
        <w:t xml:space="preserve"> </w:t>
      </w:r>
      <w:r w:rsidRPr="00F73BA9">
        <w:rPr>
          <w:rFonts w:cs="Times New Roman"/>
          <w:lang w:val="fr-CA"/>
        </w:rPr>
        <w:t xml:space="preserve">163.1 peut invoquer en défense l’exception relative à l’usage personnel. Par conséquent, sous réserve des exceptions expressément prévues dans le </w:t>
      </w:r>
      <w:r w:rsidRPr="00F73BA9">
        <w:rPr>
          <w:rFonts w:cs="Times New Roman"/>
          <w:i/>
          <w:lang w:val="fr-CA"/>
        </w:rPr>
        <w:t>Code</w:t>
      </w:r>
      <w:r w:rsidRPr="00F73BA9">
        <w:rPr>
          <w:rFonts w:cs="Times New Roman"/>
          <w:lang w:val="fr-CA"/>
        </w:rPr>
        <w:t>, le consentement d’une personne de moins de 14</w:t>
      </w:r>
      <w:r>
        <w:rPr>
          <w:rFonts w:cs="Times New Roman"/>
          <w:lang w:val="fr-CA"/>
        </w:rPr>
        <w:t xml:space="preserve"> </w:t>
      </w:r>
      <w:r w:rsidRPr="00F73BA9">
        <w:rPr>
          <w:rFonts w:cs="Times New Roman"/>
          <w:lang w:val="fr-CA"/>
        </w:rPr>
        <w:t>ans (16</w:t>
      </w:r>
      <w:r>
        <w:rPr>
          <w:rFonts w:cs="Times New Roman"/>
          <w:lang w:val="fr-CA"/>
        </w:rPr>
        <w:t xml:space="preserve"> </w:t>
      </w:r>
      <w:r w:rsidRPr="00F73BA9">
        <w:rPr>
          <w:rFonts w:cs="Times New Roman"/>
          <w:lang w:val="fr-CA"/>
        </w:rPr>
        <w:t>ans, désormais) n’est pas valide, et le moyen de défense ne peut être invoqué. L’exception relative à l’usage personnel n’est pas opposable non plus lorsque le ministère public établit hors de tout doute raisonnable que la relation entre les personnes en cause est empreinte d’exploitation, de dépendance, d’abus de pouvoir ou d’abus de confiance, d’où les infractions prévues au par.</w:t>
      </w:r>
      <w:r>
        <w:rPr>
          <w:rFonts w:cs="Times New Roman"/>
          <w:lang w:val="fr-CA"/>
        </w:rPr>
        <w:t xml:space="preserve"> </w:t>
      </w:r>
      <w:r w:rsidRPr="00F73BA9">
        <w:rPr>
          <w:rFonts w:cs="Times New Roman"/>
          <w:lang w:val="fr-CA"/>
        </w:rPr>
        <w:t>153(1). Bien entendu, l’exception ne s’applique pas à l’acte qui constitue en soi une infraction, qu’il y ait ou non consentement, tel l’inceste (art.</w:t>
      </w:r>
      <w:r>
        <w:rPr>
          <w:rFonts w:cs="Times New Roman"/>
          <w:lang w:val="fr-CA"/>
        </w:rPr>
        <w:t xml:space="preserve"> </w:t>
      </w:r>
      <w:r w:rsidRPr="00F73BA9">
        <w:rPr>
          <w:rFonts w:cs="Times New Roman"/>
          <w:lang w:val="fr-CA"/>
        </w:rPr>
        <w:t>155).</w:t>
      </w:r>
    </w:p>
    <w:p w:rsidR="00BC42A6" w:rsidRPr="00F73BA9" w:rsidRDefault="00BC42A6" w:rsidP="00BC42A6">
      <w:pPr>
        <w:pStyle w:val="ParaNoNdepar-AltN"/>
        <w:widowControl w:val="0"/>
        <w:rPr>
          <w:rFonts w:cs="Times New Roman"/>
          <w:lang w:val="fr-CA"/>
        </w:rPr>
      </w:pPr>
      <w:r w:rsidRPr="00F73BA9">
        <w:rPr>
          <w:rFonts w:cs="Times New Roman"/>
          <w:lang w:val="fr-CA"/>
        </w:rPr>
        <w:t>En résumé, l’exception relative à l’usage personnel ne peut jamais être opposée à une accusation de pornographie juvénile lorsque les victimes sont des enfants âgés de moins de 12</w:t>
      </w:r>
      <w:r>
        <w:rPr>
          <w:rFonts w:cs="Times New Roman"/>
          <w:lang w:val="fr-CA"/>
        </w:rPr>
        <w:t xml:space="preserve"> </w:t>
      </w:r>
      <w:r w:rsidRPr="00F73BA9">
        <w:rPr>
          <w:rFonts w:cs="Times New Roman"/>
          <w:lang w:val="fr-CA"/>
        </w:rPr>
        <w:t>ans. Pour ce qui concerne les adolescents de 12 ou de 13</w:t>
      </w:r>
      <w:r>
        <w:rPr>
          <w:rFonts w:cs="Times New Roman"/>
          <w:lang w:val="fr-CA"/>
        </w:rPr>
        <w:t xml:space="preserve"> </w:t>
      </w:r>
      <w:r w:rsidRPr="00F73BA9">
        <w:rPr>
          <w:rFonts w:cs="Times New Roman"/>
          <w:lang w:val="fr-CA"/>
        </w:rPr>
        <w:t xml:space="preserve">ans, le </w:t>
      </w:r>
      <w:r w:rsidRPr="00F73BA9">
        <w:rPr>
          <w:rFonts w:cs="Times New Roman"/>
          <w:i/>
          <w:lang w:val="fr-CA"/>
        </w:rPr>
        <w:t>Code criminel</w:t>
      </w:r>
      <w:r w:rsidRPr="00F73BA9">
        <w:rPr>
          <w:rFonts w:cs="Times New Roman"/>
          <w:lang w:val="fr-CA"/>
        </w:rPr>
        <w:t xml:space="preserve"> circonscrit étroitement les circonstances dans lesquelles l’exception peut être invoquée. Ainsi, au moment </w:t>
      </w:r>
      <w:r w:rsidR="003B6E9A">
        <w:rPr>
          <w:rFonts w:cs="Times New Roman"/>
          <w:lang w:val="fr-CA"/>
        </w:rPr>
        <w:t>où les infractions auraient été commises</w:t>
      </w:r>
      <w:r w:rsidRPr="00F73BA9">
        <w:rPr>
          <w:rFonts w:cs="Times New Roman"/>
          <w:lang w:val="fr-CA"/>
        </w:rPr>
        <w:t xml:space="preserve"> en l’espèce, l’exception relative à l’usage personnel ne pouvait être soulevée que lorsque l’adolescent qui avait pris part à l’activité sexuelle était âgé de 14 à 17</w:t>
      </w:r>
      <w:r>
        <w:rPr>
          <w:rFonts w:cs="Times New Roman"/>
          <w:lang w:val="fr-CA"/>
        </w:rPr>
        <w:t xml:space="preserve"> </w:t>
      </w:r>
      <w:r w:rsidRPr="00F73BA9">
        <w:rPr>
          <w:rFonts w:cs="Times New Roman"/>
          <w:lang w:val="fr-CA"/>
        </w:rPr>
        <w:t>ans inclusivement; aujourd’hui, il doit s’agir d’un adolescent de 16 ou de 17</w:t>
      </w:r>
      <w:r>
        <w:rPr>
          <w:rFonts w:cs="Times New Roman"/>
          <w:lang w:val="fr-CA"/>
        </w:rPr>
        <w:t xml:space="preserve"> </w:t>
      </w:r>
      <w:r w:rsidRPr="00F73BA9">
        <w:rPr>
          <w:rFonts w:cs="Times New Roman"/>
          <w:lang w:val="fr-CA"/>
        </w:rPr>
        <w:t>ans.</w:t>
      </w:r>
    </w:p>
    <w:p w:rsidR="00BC42A6" w:rsidRPr="00F73BA9" w:rsidRDefault="00BC42A6" w:rsidP="00BC42A6">
      <w:pPr>
        <w:pStyle w:val="Title3LevelTitre3Niveau"/>
        <w:widowControl w:val="0"/>
        <w:rPr>
          <w:rFonts w:cs="Times New Roman"/>
          <w:lang w:val="fr-CA"/>
        </w:rPr>
      </w:pPr>
      <w:r w:rsidRPr="00F73BA9">
        <w:rPr>
          <w:rFonts w:cs="Times New Roman"/>
          <w:lang w:val="fr-CA"/>
        </w:rPr>
        <w:lastRenderedPageBreak/>
        <w:t>Consentement à l’enregistrement</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Deuxièmement, tous les participants doivent consentir à l’enregistrement de l’activité sexuelle légale. L’enregistrement peut en soi, surtout à l’ère numérique, créer un risque de préjudice tout à fait distinct par rapport à l’activité sexuelle représentée. La condition du consentement protège le droit individuel à la vie privée en faisant en sorte que seule l’expression sexuelle consensuelle bénéficie de l’exception à l’interdiction de produire de la pornographie juvénile </w:t>
      </w:r>
      <w:r>
        <w:rPr>
          <w:rFonts w:cs="Times New Roman"/>
          <w:lang w:val="fr-CA"/>
        </w:rPr>
        <w:t>ou</w:t>
      </w:r>
      <w:r w:rsidRPr="00F73BA9">
        <w:rPr>
          <w:rFonts w:cs="Times New Roman"/>
          <w:lang w:val="fr-CA"/>
        </w:rPr>
        <w:t xml:space="preserve"> d’en posséder.</w:t>
      </w:r>
    </w:p>
    <w:p w:rsidR="00BC42A6" w:rsidRPr="00F73BA9" w:rsidRDefault="00BC42A6" w:rsidP="00BC42A6">
      <w:pPr>
        <w:pStyle w:val="Title3LevelTitre3Niveau"/>
        <w:widowControl w:val="0"/>
        <w:rPr>
          <w:rFonts w:cs="Times New Roman"/>
          <w:lang w:val="fr-CA"/>
        </w:rPr>
      </w:pPr>
      <w:r w:rsidRPr="00F73BA9">
        <w:rPr>
          <w:rFonts w:cs="Times New Roman"/>
          <w:lang w:val="fr-CA"/>
        </w:rPr>
        <w:t>Caractère privé</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Troisièmement, dans l’arrêt </w:t>
      </w:r>
      <w:r w:rsidRPr="00F73BA9">
        <w:rPr>
          <w:rFonts w:cs="Times New Roman"/>
          <w:i/>
          <w:lang w:val="fr-CA"/>
        </w:rPr>
        <w:t>Sharpe</w:t>
      </w:r>
      <w:r w:rsidRPr="00F73BA9">
        <w:rPr>
          <w:rFonts w:cs="Times New Roman"/>
          <w:lang w:val="fr-CA"/>
        </w:rPr>
        <w:t xml:space="preserve">, la Cour statue que </w:t>
      </w:r>
      <w:r w:rsidR="008A3F71">
        <w:rPr>
          <w:rFonts w:cs="Times New Roman"/>
          <w:lang w:val="fr-CA"/>
        </w:rPr>
        <w:t>« </w:t>
      </w:r>
      <w:r w:rsidRPr="00F73BA9">
        <w:rPr>
          <w:rFonts w:cs="Times New Roman"/>
          <w:lang w:val="fr-CA"/>
        </w:rPr>
        <w:t>[l]’enregistrement doit être conservé strictement en privé par la personne qui l’a en sa possession et être destiné exclusivement à l’usage personnel de son auteur et des personnes qui y sont représentées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116; voir aussi par.</w:t>
      </w:r>
      <w:r>
        <w:rPr>
          <w:rFonts w:cs="Times New Roman"/>
          <w:lang w:val="fr-CA"/>
        </w:rPr>
        <w:t xml:space="preserve"> </w:t>
      </w:r>
      <w:r w:rsidRPr="00F73BA9">
        <w:rPr>
          <w:rFonts w:cs="Times New Roman"/>
          <w:lang w:val="fr-CA"/>
        </w:rPr>
        <w:t xml:space="preserve">118). Dès qu’il y a atteinte à ce caractère privé, l’enregistrement cesse de bénéficier de l’exception relative à l’usage personnel. Cela fait en sorte que l’exception ne peut être invoquée dans une affaire comme </w:t>
      </w:r>
      <w:r w:rsidRPr="00F73BA9">
        <w:rPr>
          <w:rFonts w:cs="Times New Roman"/>
          <w:i/>
          <w:lang w:val="fr-CA"/>
        </w:rPr>
        <w:t xml:space="preserve">R. c. L.W. </w:t>
      </w:r>
      <w:r w:rsidRPr="00F73BA9">
        <w:rPr>
          <w:rFonts w:cs="Times New Roman"/>
          <w:lang w:val="fr-CA"/>
        </w:rPr>
        <w:t xml:space="preserve">(2006), </w:t>
      </w:r>
      <w:r w:rsidR="003B6E9A">
        <w:rPr>
          <w:rFonts w:cs="Times New Roman"/>
          <w:lang w:val="fr-CA"/>
        </w:rPr>
        <w:t xml:space="preserve">208 </w:t>
      </w:r>
      <w:r w:rsidRPr="00F73BA9">
        <w:rPr>
          <w:rFonts w:cs="Times New Roman"/>
          <w:lang w:val="fr-CA"/>
        </w:rPr>
        <w:t>O.A.C. 42, où l’accusé avait distribué des images — créées de façon consensuelle — de lui</w:t>
      </w:r>
      <w:r>
        <w:rPr>
          <w:rFonts w:cs="Times New Roman"/>
          <w:lang w:val="fr-CA"/>
        </w:rPr>
        <w:t>-</w:t>
      </w:r>
      <w:r w:rsidRPr="00F73BA9">
        <w:rPr>
          <w:rFonts w:cs="Times New Roman"/>
          <w:lang w:val="fr-CA"/>
        </w:rPr>
        <w:t>même et sa petite amie de 15</w:t>
      </w:r>
      <w:r>
        <w:rPr>
          <w:rFonts w:cs="Times New Roman"/>
          <w:lang w:val="fr-CA"/>
        </w:rPr>
        <w:t xml:space="preserve"> </w:t>
      </w:r>
      <w:r w:rsidRPr="00F73BA9">
        <w:rPr>
          <w:rFonts w:cs="Times New Roman"/>
          <w:lang w:val="fr-CA"/>
        </w:rPr>
        <w:t>ans après leur rupture.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Même si la question ne se posait pas en l’espèce, le juge du procès et </w:t>
      </w:r>
      <w:r w:rsidR="003B6E9A">
        <w:rPr>
          <w:rFonts w:cs="Times New Roman"/>
          <w:lang w:val="fr-CA"/>
        </w:rPr>
        <w:t>deux parties intervenantes s</w:t>
      </w:r>
      <w:r w:rsidRPr="00F73BA9">
        <w:rPr>
          <w:rFonts w:cs="Times New Roman"/>
          <w:lang w:val="fr-CA"/>
        </w:rPr>
        <w:t xml:space="preserve">e sont interrogés sur ce qu’il advient lorsqu’une personne exige qu’un enregistrement auquel elle a pris part et qui bénéficie de l’exception lui </w:t>
      </w:r>
      <w:r w:rsidRPr="00F73BA9">
        <w:rPr>
          <w:rFonts w:cs="Times New Roman"/>
          <w:lang w:val="fr-CA"/>
        </w:rPr>
        <w:lastRenderedPageBreak/>
        <w:t>soit rendu ou soit détruit. Le juge conclut qu’une fois l’enregistrement créé, il demeure possible au participant d’exiger sa remise ou sa destruction, étant entendu que le pouvoir de chacun des participants de décider du sort de l’enregistrement constitue un élément dont la preuve est nécessaire pour qu’il s’agisse de matériel conservé en privé. À son avis, ce pouvoir disparaît [</w:t>
      </w:r>
      <w:r w:rsidRPr="00F73BA9">
        <w:rPr>
          <w:rFonts w:cs="Times New Roman"/>
          <w:smallCaps/>
          <w:lang w:val="fr-CA"/>
        </w:rPr>
        <w:t>traduction</w:t>
      </w:r>
      <w:r w:rsidRPr="00F73BA9">
        <w:rPr>
          <w:rFonts w:cs="Times New Roman"/>
          <w:lang w:val="fr-CA"/>
        </w:rPr>
        <w:t xml:space="preserve">] </w:t>
      </w:r>
      <w:r w:rsidR="008A3F71">
        <w:rPr>
          <w:rFonts w:cs="Times New Roman"/>
          <w:lang w:val="fr-CA"/>
        </w:rPr>
        <w:t>« </w:t>
      </w:r>
      <w:r w:rsidRPr="00F73BA9">
        <w:rPr>
          <w:rFonts w:cs="Times New Roman"/>
          <w:lang w:val="fr-CA"/>
        </w:rPr>
        <w:t>lorsque les propriétaires du matériel destiné à l’usage personnel ne peuvent en exiger la remise ou la destruction</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 xml:space="preserve">186; voir </w:t>
      </w:r>
      <w:r w:rsidR="003B6E9A">
        <w:rPr>
          <w:rFonts w:cs="Times New Roman"/>
          <w:lang w:val="fr-CA"/>
        </w:rPr>
        <w:t>aussi</w:t>
      </w:r>
      <w:r w:rsidRPr="00F73BA9">
        <w:rPr>
          <w:rFonts w:cs="Times New Roman"/>
          <w:lang w:val="fr-CA"/>
        </w:rPr>
        <w:t xml:space="preserve"> par.</w:t>
      </w:r>
      <w:r>
        <w:rPr>
          <w:rFonts w:cs="Times New Roman"/>
          <w:lang w:val="fr-CA"/>
        </w:rPr>
        <w:t xml:space="preserve"> </w:t>
      </w:r>
      <w:r w:rsidRPr="00F73BA9">
        <w:rPr>
          <w:rFonts w:cs="Times New Roman"/>
          <w:lang w:val="fr-CA"/>
        </w:rPr>
        <w:t>187</w:t>
      </w:r>
      <w:r w:rsidR="003B6E9A">
        <w:rPr>
          <w:rFonts w:cs="Times New Roman"/>
          <w:lang w:val="fr-CA"/>
        </w:rPr>
        <w:t xml:space="preserve"> et</w:t>
      </w:r>
      <w:r w:rsidRPr="00F73BA9">
        <w:rPr>
          <w:rFonts w:cs="Times New Roman"/>
          <w:lang w:val="fr-CA"/>
        </w:rPr>
        <w:t xml:space="preserve"> 271</w:t>
      </w:r>
      <w:r>
        <w:rPr>
          <w:rFonts w:cs="Times New Roman"/>
          <w:lang w:val="fr-CA"/>
        </w:rPr>
        <w:t>-</w:t>
      </w:r>
      <w:r w:rsidRPr="00F73BA9">
        <w:rPr>
          <w:rFonts w:cs="Times New Roman"/>
          <w:lang w:val="fr-CA"/>
        </w:rPr>
        <w:t>274).</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L’intervenant le procureur général de l’Ontario soutient que l’arrêt </w:t>
      </w:r>
      <w:r w:rsidRPr="00F73BA9">
        <w:rPr>
          <w:rFonts w:cs="Times New Roman"/>
          <w:i/>
          <w:lang w:val="fr-CA"/>
        </w:rPr>
        <w:t>Sharpe</w:t>
      </w:r>
      <w:r w:rsidRPr="00F73BA9">
        <w:rPr>
          <w:rFonts w:cs="Times New Roman"/>
          <w:lang w:val="fr-CA"/>
        </w:rPr>
        <w:t xml:space="preserve"> exige implicitement que l’enfant ait soit un accès continu au matériel, soit un pouvoir de fait sur celui</w:t>
      </w:r>
      <w:r>
        <w:rPr>
          <w:rFonts w:cs="Times New Roman"/>
          <w:lang w:val="fr-CA"/>
        </w:rPr>
        <w:t>-</w:t>
      </w:r>
      <w:r w:rsidRPr="00F73BA9">
        <w:rPr>
          <w:rFonts w:cs="Times New Roman"/>
          <w:lang w:val="fr-CA"/>
        </w:rPr>
        <w:t>ci, de sorte qu’il puisse détruire le matériel ou exiger qu’on le détruise s’il vient à regretter d’avoir pris part à sa création (m</w:t>
      </w:r>
      <w:r w:rsidR="003B6E9A">
        <w:rPr>
          <w:rFonts w:cs="Times New Roman"/>
          <w:lang w:val="fr-CA"/>
        </w:rPr>
        <w:t>émoire</w:t>
      </w:r>
      <w:r w:rsidRPr="00F73BA9">
        <w:rPr>
          <w:rFonts w:cs="Times New Roman"/>
          <w:lang w:val="fr-CA"/>
        </w:rPr>
        <w:t>, par.</w:t>
      </w:r>
      <w:r>
        <w:rPr>
          <w:rFonts w:cs="Times New Roman"/>
          <w:lang w:val="fr-CA"/>
        </w:rPr>
        <w:t xml:space="preserve"> </w:t>
      </w:r>
      <w:r w:rsidRPr="00F73BA9">
        <w:rPr>
          <w:rFonts w:cs="Times New Roman"/>
          <w:lang w:val="fr-CA"/>
        </w:rPr>
        <w:t>20</w:t>
      </w:r>
      <w:r>
        <w:rPr>
          <w:rFonts w:cs="Times New Roman"/>
          <w:lang w:val="fr-CA"/>
        </w:rPr>
        <w:t>-</w:t>
      </w:r>
      <w:r w:rsidRPr="00F73BA9">
        <w:rPr>
          <w:rFonts w:cs="Times New Roman"/>
          <w:lang w:val="fr-CA"/>
        </w:rPr>
        <w:t xml:space="preserve">25). L’intervenante </w:t>
      </w:r>
      <w:r w:rsidR="003B6E9A">
        <w:rPr>
          <w:rFonts w:cs="Times New Roman"/>
          <w:lang w:val="fr-CA"/>
        </w:rPr>
        <w:t>l’</w:t>
      </w:r>
      <w:r w:rsidRPr="00F73BA9">
        <w:rPr>
          <w:rFonts w:cs="Times New Roman"/>
          <w:lang w:val="fr-CA"/>
        </w:rPr>
        <w:t>Association canadienne des libertés civiles fait valoir que la condition de la destination à l’usage personnel [</w:t>
      </w:r>
      <w:r w:rsidRPr="00F73BA9">
        <w:rPr>
          <w:rFonts w:cs="Times New Roman"/>
          <w:smallCaps/>
          <w:lang w:val="fr-CA"/>
        </w:rPr>
        <w:t>traduction</w:t>
      </w:r>
      <w:r w:rsidRPr="00F73BA9">
        <w:rPr>
          <w:rFonts w:cs="Times New Roman"/>
          <w:lang w:val="fr-CA"/>
        </w:rPr>
        <w:t xml:space="preserve">] </w:t>
      </w:r>
      <w:r w:rsidR="008A3F71">
        <w:rPr>
          <w:rFonts w:cs="Times New Roman"/>
          <w:lang w:val="fr-CA"/>
        </w:rPr>
        <w:t>« </w:t>
      </w:r>
      <w:r w:rsidRPr="00F73BA9">
        <w:rPr>
          <w:rFonts w:cs="Times New Roman"/>
          <w:lang w:val="fr-CA"/>
        </w:rPr>
        <w:t>permet implicitement au propriétaire de l’enregistrement d’en exiger la destruction</w:t>
      </w:r>
      <w:r w:rsidR="008A3F71">
        <w:rPr>
          <w:rFonts w:cs="Times New Roman"/>
          <w:lang w:val="fr-CA"/>
        </w:rPr>
        <w:t> »</w:t>
      </w:r>
      <w:r w:rsidRPr="00F73BA9">
        <w:rPr>
          <w:rFonts w:cs="Times New Roman"/>
          <w:lang w:val="fr-CA"/>
        </w:rPr>
        <w:t xml:space="preserve"> (</w:t>
      </w:r>
      <w:r w:rsidR="003B6E9A" w:rsidRPr="00F73BA9">
        <w:rPr>
          <w:rFonts w:cs="Times New Roman"/>
          <w:lang w:val="fr-CA"/>
        </w:rPr>
        <w:t>m</w:t>
      </w:r>
      <w:r w:rsidR="003B6E9A">
        <w:rPr>
          <w:rFonts w:cs="Times New Roman"/>
          <w:lang w:val="fr-CA"/>
        </w:rPr>
        <w:t>émoire</w:t>
      </w:r>
      <w:r w:rsidRPr="00F73BA9">
        <w:rPr>
          <w:rFonts w:cs="Times New Roman"/>
          <w:lang w:val="fr-CA"/>
        </w:rPr>
        <w:t>, par.</w:t>
      </w:r>
      <w:r>
        <w:rPr>
          <w:rFonts w:cs="Times New Roman"/>
          <w:lang w:val="fr-CA"/>
        </w:rPr>
        <w:t xml:space="preserve"> </w:t>
      </w:r>
      <w:r w:rsidRPr="00F73BA9">
        <w:rPr>
          <w:rFonts w:cs="Times New Roman"/>
          <w:lang w:val="fr-CA"/>
        </w:rPr>
        <w:t>18).</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Dans l’arrêt </w:t>
      </w:r>
      <w:r w:rsidRPr="00F73BA9">
        <w:rPr>
          <w:rFonts w:cs="Times New Roman"/>
          <w:i/>
          <w:lang w:val="fr-CA"/>
        </w:rPr>
        <w:t>Sharpe</w:t>
      </w:r>
      <w:r w:rsidRPr="00F73BA9">
        <w:rPr>
          <w:rFonts w:cs="Times New Roman"/>
          <w:lang w:val="fr-CA"/>
        </w:rPr>
        <w:t xml:space="preserve">, la Cour ne fait pas mention d’un accès continu ou d’un droit à la remise ou à la destruction de l’enregistrement lorsqu’elle interprète largement la disposition en cause et formule l’exception de manière à établir un équilibre constitutionnel acceptable. La Cour y reconnaît une exception, mais seulement au bénéfice de l’enregistrement d’activités sexuelles légales qui est </w:t>
      </w:r>
      <w:r w:rsidR="008A3F71">
        <w:rPr>
          <w:rFonts w:cs="Times New Roman"/>
          <w:lang w:val="fr-CA"/>
        </w:rPr>
        <w:t>« </w:t>
      </w:r>
      <w:r w:rsidRPr="00F73BA9">
        <w:rPr>
          <w:rFonts w:cs="Times New Roman"/>
          <w:lang w:val="fr-CA"/>
        </w:rPr>
        <w:t>créé en privé</w:t>
      </w:r>
      <w:r w:rsidR="008A3F71">
        <w:rPr>
          <w:rFonts w:cs="Times New Roman"/>
          <w:lang w:val="fr-CA"/>
        </w:rPr>
        <w:t> »</w:t>
      </w:r>
      <w:r w:rsidRPr="00F73BA9">
        <w:rPr>
          <w:rFonts w:cs="Times New Roman"/>
          <w:lang w:val="fr-CA"/>
        </w:rPr>
        <w:t xml:space="preserve">, </w:t>
      </w:r>
      <w:r w:rsidR="008A3F71">
        <w:rPr>
          <w:rFonts w:cs="Times New Roman"/>
          <w:lang w:val="fr-CA"/>
        </w:rPr>
        <w:t>« </w:t>
      </w:r>
      <w:r w:rsidR="003B6E9A">
        <w:rPr>
          <w:rFonts w:cs="Times New Roman"/>
          <w:lang w:val="fr-CA"/>
        </w:rPr>
        <w:t>conserv</w:t>
      </w:r>
      <w:r w:rsidRPr="00F73BA9">
        <w:rPr>
          <w:rFonts w:cs="Times New Roman"/>
          <w:lang w:val="fr-CA"/>
        </w:rPr>
        <w:t>é strictement en privé</w:t>
      </w:r>
      <w:r w:rsidR="003B6E9A">
        <w:rPr>
          <w:rFonts w:cs="Times New Roman"/>
          <w:lang w:val="fr-CA"/>
        </w:rPr>
        <w:t> »</w:t>
      </w:r>
      <w:r w:rsidRPr="00F73BA9">
        <w:rPr>
          <w:rFonts w:cs="Times New Roman"/>
          <w:lang w:val="fr-CA"/>
        </w:rPr>
        <w:t xml:space="preserve"> et </w:t>
      </w:r>
      <w:r w:rsidR="003B6E9A">
        <w:rPr>
          <w:rFonts w:cs="Times New Roman"/>
          <w:lang w:val="fr-CA"/>
        </w:rPr>
        <w:t>« </w:t>
      </w:r>
      <w:r w:rsidRPr="00F73BA9">
        <w:rPr>
          <w:rFonts w:cs="Times New Roman"/>
          <w:lang w:val="fr-CA"/>
        </w:rPr>
        <w:t xml:space="preserve">destiné </w:t>
      </w:r>
      <w:r w:rsidR="003B6E9A">
        <w:rPr>
          <w:rFonts w:cs="Times New Roman"/>
          <w:lang w:val="fr-CA"/>
        </w:rPr>
        <w:t>[. . .]</w:t>
      </w:r>
      <w:r w:rsidRPr="00F73BA9">
        <w:rPr>
          <w:rFonts w:cs="Times New Roman"/>
          <w:lang w:val="fr-CA"/>
        </w:rPr>
        <w:t xml:space="preserve"> </w:t>
      </w:r>
      <w:r w:rsidR="003B6E9A">
        <w:rPr>
          <w:rFonts w:cs="Times New Roman"/>
          <w:lang w:val="fr-CA"/>
        </w:rPr>
        <w:t>à l’</w:t>
      </w:r>
      <w:r w:rsidRPr="00F73BA9">
        <w:rPr>
          <w:rFonts w:cs="Times New Roman"/>
          <w:lang w:val="fr-CA"/>
        </w:rPr>
        <w:t>usage personnel</w:t>
      </w:r>
      <w:r w:rsidR="003B6E9A">
        <w:rPr>
          <w:rFonts w:cs="Times New Roman"/>
          <w:lang w:val="fr-CA"/>
        </w:rPr>
        <w:t xml:space="preserve"> de son auteur et des personnes qui y sont représentées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 xml:space="preserve">76 et 116). Toutefois, l’exception ne dépend pas seulement du consentement à la création de </w:t>
      </w:r>
      <w:r w:rsidRPr="00F73BA9">
        <w:rPr>
          <w:rFonts w:cs="Times New Roman"/>
          <w:lang w:val="fr-CA"/>
        </w:rPr>
        <w:lastRenderedPageBreak/>
        <w:t>l’enregistrement, mais aussi du caractère continu de sa possession. Dès lors, les notions de caractère privé et de pouvoir valent pour la création de l’enregistrement, son utilisation et sa possession continue.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Le droit de l’adolescent qui a participé à l’enregistrement d’en exiger la remise ou la destruction peut fort bien découler implicitement de la mise en balance, dans l’arrêt </w:t>
      </w:r>
      <w:r w:rsidRPr="00F73BA9">
        <w:rPr>
          <w:rFonts w:cs="Times New Roman"/>
          <w:i/>
          <w:lang w:val="fr-CA"/>
        </w:rPr>
        <w:t>Sharpe</w:t>
      </w:r>
      <w:r w:rsidRPr="00F73BA9">
        <w:rPr>
          <w:rFonts w:cs="Times New Roman"/>
          <w:lang w:val="fr-CA"/>
        </w:rPr>
        <w:t>, du préjudice causé par la pornographie juvénile et des valeurs que sont l’épanouissement personnel et la réalisation de soi (par.</w:t>
      </w:r>
      <w:r>
        <w:rPr>
          <w:rFonts w:cs="Times New Roman"/>
          <w:lang w:val="fr-CA"/>
        </w:rPr>
        <w:t xml:space="preserve"> </w:t>
      </w:r>
      <w:r w:rsidRPr="00F73BA9">
        <w:rPr>
          <w:rFonts w:cs="Times New Roman"/>
          <w:lang w:val="fr-CA"/>
        </w:rPr>
        <w:t>102</w:t>
      </w:r>
      <w:r>
        <w:rPr>
          <w:rFonts w:cs="Times New Roman"/>
          <w:lang w:val="fr-CA"/>
        </w:rPr>
        <w:t>-</w:t>
      </w:r>
      <w:r w:rsidRPr="00F73BA9">
        <w:rPr>
          <w:rFonts w:cs="Times New Roman"/>
          <w:lang w:val="fr-CA"/>
        </w:rPr>
        <w:t xml:space="preserve">110). À mon sens, il appert de l’équilibre établi par la Cour dans cet arrêt entre le droit à la liberté d’expression et la prévention de l’infliction d’un préjudice aux enfants que l’adolescent qui prend part à un enregistrement d’ébats sexuels qui bénéficie de l’exception relative à l’usage personnel conserve le pouvoir d’exiger la remise de l’enregistrement ou sa destruction. Cette interprétation de l’exception est de nature à protéger l’adolescent susceptible de vivre de l’anxiété ou de la détresse en apprenant qu’un tiers est en possession du matériel et pourrait le partager illégalement. Elle permet de remédier aux situations où le risque de préjudice l’emporte sur la valeur expressive de l’enregistrement contrairement aux principes dégagés dans l’arrêt </w:t>
      </w:r>
      <w:r w:rsidRPr="00F73BA9">
        <w:rPr>
          <w:rFonts w:cs="Times New Roman"/>
          <w:i/>
          <w:lang w:val="fr-CA"/>
        </w:rPr>
        <w:t>Sharpe</w:t>
      </w:r>
      <w:r w:rsidRPr="00F73BA9">
        <w:rPr>
          <w:rFonts w:cs="Times New Roman"/>
          <w:lang w:val="fr-CA"/>
        </w:rPr>
        <w:t>. Cependant, puisque la question du droit à l’accès ou à la destruction ne se pose pas en l’espèce, je m’abstiens de me prononcer de manière définitive sur ce point.</w:t>
      </w:r>
    </w:p>
    <w:p w:rsidR="00BC42A6" w:rsidRPr="00F73BA9" w:rsidRDefault="00BC42A6" w:rsidP="00BC42A6">
      <w:pPr>
        <w:pStyle w:val="Title2LevelTitre2Niveau"/>
        <w:widowControl w:val="0"/>
        <w:rPr>
          <w:rFonts w:cs="Times New Roman"/>
          <w:lang w:val="fr-CA"/>
        </w:rPr>
      </w:pPr>
      <w:r w:rsidRPr="00F73BA9">
        <w:rPr>
          <w:rFonts w:cs="Times New Roman"/>
          <w:lang w:val="fr-CA"/>
        </w:rPr>
        <w:t>Quelle est l’incidence de l’exploitation sur l’applicabilité de l’exception relative à l’usage personnel?</w:t>
      </w:r>
    </w:p>
    <w:p w:rsidR="00BC42A6" w:rsidRPr="00F73BA9" w:rsidRDefault="00BC42A6" w:rsidP="00BC42A6">
      <w:pPr>
        <w:pStyle w:val="ParaNoNdepar-AltN"/>
        <w:widowControl w:val="0"/>
        <w:rPr>
          <w:rFonts w:cs="Times New Roman"/>
          <w:lang w:val="fr-CA"/>
        </w:rPr>
      </w:pPr>
      <w:r w:rsidRPr="008A7C77">
        <w:rPr>
          <w:rFonts w:cs="Times New Roman"/>
          <w:lang w:val="fr-CA"/>
        </w:rPr>
        <w:t>Dans l</w:t>
      </w:r>
      <w:r w:rsidR="003B6E9A">
        <w:rPr>
          <w:rFonts w:cs="Times New Roman"/>
          <w:lang w:val="fr-CA"/>
        </w:rPr>
        <w:t>a</w:t>
      </w:r>
      <w:r w:rsidRPr="008A7C77">
        <w:rPr>
          <w:rFonts w:cs="Times New Roman"/>
          <w:lang w:val="fr-CA"/>
        </w:rPr>
        <w:t xml:space="preserve"> présente affaire</w:t>
      </w:r>
      <w:r w:rsidRPr="00F73BA9">
        <w:rPr>
          <w:rFonts w:cs="Times New Roman"/>
          <w:lang w:val="fr-CA"/>
        </w:rPr>
        <w:t xml:space="preserve">, la Cour d’appel conclut que l’arrêt </w:t>
      </w:r>
      <w:r w:rsidRPr="00F73BA9">
        <w:rPr>
          <w:rFonts w:cs="Times New Roman"/>
          <w:i/>
          <w:lang w:val="fr-CA"/>
        </w:rPr>
        <w:t>Sharpe</w:t>
      </w:r>
      <w:r w:rsidRPr="00F73BA9">
        <w:rPr>
          <w:rFonts w:cs="Times New Roman"/>
          <w:lang w:val="fr-CA"/>
        </w:rPr>
        <w:t xml:space="preserve"> </w:t>
      </w:r>
      <w:r w:rsidRPr="00F73BA9">
        <w:rPr>
          <w:rFonts w:cs="Times New Roman"/>
          <w:lang w:val="fr-CA"/>
        </w:rPr>
        <w:lastRenderedPageBreak/>
        <w:t>prescrit une condition supplémentaire pour l’application de l’exception relative à l’usage personnel</w:t>
      </w:r>
      <w:r>
        <w:rPr>
          <w:rFonts w:cs="Times New Roman"/>
          <w:lang w:val="fr-CA"/>
        </w:rPr>
        <w:t> :</w:t>
      </w:r>
      <w:r w:rsidRPr="00F73BA9">
        <w:rPr>
          <w:rFonts w:cs="Times New Roman"/>
          <w:lang w:val="fr-CA"/>
        </w:rPr>
        <w:t xml:space="preserve"> l’absence d’exploitation de fait. Sauf le respect qui lui est dû, son interprétation de l’arrêt </w:t>
      </w:r>
      <w:r w:rsidRPr="00F73BA9">
        <w:rPr>
          <w:rFonts w:cs="Times New Roman"/>
          <w:i/>
          <w:lang w:val="fr-CA"/>
        </w:rPr>
        <w:t>Sharpe</w:t>
      </w:r>
      <w:r w:rsidRPr="00F73BA9">
        <w:rPr>
          <w:rFonts w:cs="Times New Roman"/>
          <w:lang w:val="fr-CA"/>
        </w:rPr>
        <w:t xml:space="preserve"> est erronée. Bien qu’une allégation d’exploitation importe grandement lorsqu’il s’agit de déterminer si l’exception relative à l’usage personnel constitue un moyen de défense opposable à une accusation de pornographie juvénile, l’analyse de la Cour dans l’arrêt </w:t>
      </w:r>
      <w:r w:rsidRPr="00F73BA9">
        <w:rPr>
          <w:rFonts w:cs="Times New Roman"/>
          <w:i/>
          <w:lang w:val="fr-CA"/>
        </w:rPr>
        <w:t xml:space="preserve">Sharpe </w:t>
      </w:r>
      <w:r w:rsidRPr="00F73BA9">
        <w:rPr>
          <w:rFonts w:cs="Times New Roman"/>
          <w:lang w:val="fr-CA"/>
        </w:rPr>
        <w:t>en tient déjà compte. Comme je l’explique ci</w:t>
      </w:r>
      <w:r>
        <w:rPr>
          <w:rFonts w:cs="Times New Roman"/>
          <w:lang w:val="fr-CA"/>
        </w:rPr>
        <w:t>-</w:t>
      </w:r>
      <w:r w:rsidRPr="00F73BA9">
        <w:rPr>
          <w:rFonts w:cs="Times New Roman"/>
          <w:lang w:val="fr-CA"/>
        </w:rPr>
        <w:t>après, il n’est pas nécessaire d’y ajouter une étape supplémentaire liée à l’exploitation.</w:t>
      </w:r>
    </w:p>
    <w:p w:rsidR="00BC42A6" w:rsidRPr="00F73BA9" w:rsidRDefault="00BC42A6" w:rsidP="00BC42A6">
      <w:pPr>
        <w:pStyle w:val="ParaNoNdepar-AltN"/>
        <w:widowControl w:val="0"/>
        <w:rPr>
          <w:rFonts w:cs="Times New Roman"/>
          <w:lang w:val="fr-CA"/>
        </w:rPr>
      </w:pPr>
      <w:r w:rsidRPr="00F73BA9">
        <w:rPr>
          <w:rFonts w:cs="Times New Roman"/>
          <w:lang w:val="fr-CA"/>
        </w:rPr>
        <w:t>Le ministère public a fait valoir une version modifiée de cet argument en plaidoirie devant notre Cour. Ainsi, l’exploitation doit selon lui être examinée directement pour se prononcer sur le consentement à l’enregistrement. Comme je l’explique plus loin, ce pourrait être le cas dans une autre affaire, mais pas en l’espèce, et les règles de common law en matière de consentement n’ont pas été plaidées à fond devant les juridictions inférieures, ni développé</w:t>
      </w:r>
      <w:r>
        <w:rPr>
          <w:rFonts w:cs="Times New Roman"/>
          <w:lang w:val="fr-CA"/>
        </w:rPr>
        <w:t>e</w:t>
      </w:r>
      <w:r w:rsidRPr="00F73BA9">
        <w:rPr>
          <w:rFonts w:cs="Times New Roman"/>
          <w:lang w:val="fr-CA"/>
        </w:rPr>
        <w:t>s dans les observations écrites adressées à la Cour.</w:t>
      </w:r>
    </w:p>
    <w:p w:rsidR="00BC42A6" w:rsidRPr="00F73BA9" w:rsidRDefault="00BC42A6" w:rsidP="00BC42A6">
      <w:pPr>
        <w:pStyle w:val="Title3LevelTitre3Niveau"/>
        <w:widowControl w:val="0"/>
        <w:rPr>
          <w:rFonts w:cs="Times New Roman"/>
          <w:lang w:val="fr-CA"/>
        </w:rPr>
      </w:pPr>
      <w:r w:rsidRPr="00F73BA9">
        <w:rPr>
          <w:rFonts w:cs="Times New Roman"/>
          <w:lang w:val="fr-CA"/>
        </w:rPr>
        <w:t>L’exploitation rendrait illégale l’activité sexuelle consensuelle</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Rappelons que l’absence de consentement rend l’activité sexuelle illégale. Lorsqu’un accusé est poursuivi pour production ou possession de pornographie juvénile, l’absence de consentement l’empêche d’invoquer en défense l’exception relative à l’usage personnel. Cependant, même lorsque l’adolescent y consent, l’activité sexuelle peut quand même être illégale. Comme je l’indique </w:t>
      </w:r>
      <w:r w:rsidRPr="00F73BA9">
        <w:rPr>
          <w:rFonts w:cs="Times New Roman"/>
          <w:lang w:val="fr-CA"/>
        </w:rPr>
        <w:lastRenderedPageBreak/>
        <w:t>précédemment, un enfant de moins de 12</w:t>
      </w:r>
      <w:r>
        <w:rPr>
          <w:rFonts w:cs="Times New Roman"/>
          <w:lang w:val="fr-CA"/>
        </w:rPr>
        <w:t xml:space="preserve"> </w:t>
      </w:r>
      <w:r w:rsidRPr="00F73BA9">
        <w:rPr>
          <w:rFonts w:cs="Times New Roman"/>
          <w:lang w:val="fr-CA"/>
        </w:rPr>
        <w:t>ans ne peut jamais donner un consentement valable, et un adolescent âgé de 12 à 15</w:t>
      </w:r>
      <w:r>
        <w:rPr>
          <w:rFonts w:cs="Times New Roman"/>
          <w:lang w:val="fr-CA"/>
        </w:rPr>
        <w:t xml:space="preserve"> </w:t>
      </w:r>
      <w:r w:rsidRPr="00F73BA9">
        <w:rPr>
          <w:rFonts w:cs="Times New Roman"/>
          <w:lang w:val="fr-CA"/>
        </w:rPr>
        <w:t>ans inclusivement ne peut aujourd’hui donner un tel consentement que si son partenaire a à peu près le même âge ou qu’il est marié avec lui.</w:t>
      </w:r>
    </w:p>
    <w:p w:rsidR="00BC42A6" w:rsidRPr="00F73BA9" w:rsidRDefault="00BC42A6" w:rsidP="00BC42A6">
      <w:pPr>
        <w:pStyle w:val="ParaNoNdepar-AltN"/>
        <w:widowControl w:val="0"/>
        <w:rPr>
          <w:rFonts w:cs="Times New Roman"/>
          <w:lang w:val="fr-CA"/>
        </w:rPr>
      </w:pPr>
      <w:r w:rsidRPr="00F73BA9">
        <w:rPr>
          <w:rFonts w:cs="Times New Roman"/>
          <w:lang w:val="fr-CA"/>
        </w:rPr>
        <w:t>L’article</w:t>
      </w:r>
      <w:r>
        <w:rPr>
          <w:rFonts w:cs="Times New Roman"/>
          <w:lang w:val="fr-CA"/>
        </w:rPr>
        <w:t xml:space="preserve"> </w:t>
      </w:r>
      <w:r w:rsidRPr="00F73BA9">
        <w:rPr>
          <w:rFonts w:cs="Times New Roman"/>
          <w:lang w:val="fr-CA"/>
        </w:rPr>
        <w:t xml:space="preserve">153 du </w:t>
      </w:r>
      <w:r w:rsidRPr="00F73BA9">
        <w:rPr>
          <w:rFonts w:cs="Times New Roman"/>
          <w:i/>
          <w:lang w:val="fr-CA"/>
        </w:rPr>
        <w:t>Code</w:t>
      </w:r>
      <w:r w:rsidRPr="00F73BA9">
        <w:rPr>
          <w:rFonts w:cs="Times New Roman"/>
          <w:lang w:val="fr-CA"/>
        </w:rPr>
        <w:t xml:space="preserve"> porte sur l’exploitation sexuelle d’un adolescent de 16 ou de 17</w:t>
      </w:r>
      <w:r>
        <w:rPr>
          <w:rFonts w:cs="Times New Roman"/>
          <w:lang w:val="fr-CA"/>
        </w:rPr>
        <w:t xml:space="preserve"> </w:t>
      </w:r>
      <w:r w:rsidRPr="00F73BA9">
        <w:rPr>
          <w:rFonts w:cs="Times New Roman"/>
          <w:lang w:val="fr-CA"/>
        </w:rPr>
        <w:t xml:space="preserve">ans. (Aujourd’hui, les adolescents de 14 et 15 </w:t>
      </w:r>
      <w:r w:rsidR="00106BC6">
        <w:rPr>
          <w:rFonts w:cs="Times New Roman"/>
          <w:lang w:val="fr-CA"/>
        </w:rPr>
        <w:t xml:space="preserve">ans </w:t>
      </w:r>
      <w:r w:rsidRPr="00F73BA9">
        <w:rPr>
          <w:rFonts w:cs="Times New Roman"/>
          <w:lang w:val="fr-CA"/>
        </w:rPr>
        <w:t>bénéficient d’une protection semblable à l’al.</w:t>
      </w:r>
      <w:r>
        <w:rPr>
          <w:rFonts w:cs="Times New Roman"/>
          <w:lang w:val="fr-CA"/>
        </w:rPr>
        <w:t xml:space="preserve"> </w:t>
      </w:r>
      <w:r w:rsidRPr="00F73BA9">
        <w:rPr>
          <w:rFonts w:cs="Times New Roman"/>
          <w:lang w:val="fr-CA"/>
        </w:rPr>
        <w:t>150.1(2.1)</w:t>
      </w:r>
      <w:r w:rsidRPr="00F73BA9">
        <w:rPr>
          <w:rFonts w:cs="Times New Roman"/>
          <w:i/>
          <w:lang w:val="fr-CA"/>
        </w:rPr>
        <w:t>a</w:t>
      </w:r>
      <w:r w:rsidRPr="00D92F1A">
        <w:rPr>
          <w:rFonts w:cs="Times New Roman"/>
          <w:lang w:val="fr-CA"/>
        </w:rPr>
        <w:t>)</w:t>
      </w:r>
      <w:r w:rsidR="003B6E9A">
        <w:rPr>
          <w:rFonts w:cs="Times New Roman"/>
          <w:lang w:val="fr-CA"/>
        </w:rPr>
        <w:t>.</w:t>
      </w:r>
      <w:r w:rsidRPr="00F73BA9">
        <w:rPr>
          <w:rFonts w:cs="Times New Roman"/>
          <w:lang w:val="fr-CA"/>
        </w:rPr>
        <w:t xml:space="preserve">) Au moment où les </w:t>
      </w:r>
      <w:r w:rsidR="003B6E9A">
        <w:rPr>
          <w:rFonts w:cs="Times New Roman"/>
          <w:lang w:val="fr-CA"/>
        </w:rPr>
        <w:t>infractions auraient</w:t>
      </w:r>
      <w:r w:rsidRPr="00F73BA9">
        <w:rPr>
          <w:rFonts w:cs="Times New Roman"/>
          <w:lang w:val="fr-CA"/>
        </w:rPr>
        <w:t xml:space="preserve"> été </w:t>
      </w:r>
      <w:r w:rsidR="003B6E9A">
        <w:rPr>
          <w:rFonts w:cs="Times New Roman"/>
          <w:lang w:val="fr-CA"/>
        </w:rPr>
        <w:t>commises</w:t>
      </w:r>
      <w:r w:rsidRPr="00F73BA9">
        <w:rPr>
          <w:rFonts w:cs="Times New Roman"/>
          <w:lang w:val="fr-CA"/>
        </w:rPr>
        <w:t xml:space="preserve"> en l’espèce, l’art.</w:t>
      </w:r>
      <w:r>
        <w:rPr>
          <w:rFonts w:cs="Times New Roman"/>
          <w:lang w:val="fr-CA"/>
        </w:rPr>
        <w:t xml:space="preserve"> </w:t>
      </w:r>
      <w:r w:rsidRPr="00F73BA9">
        <w:rPr>
          <w:rFonts w:cs="Times New Roman"/>
          <w:lang w:val="fr-CA"/>
        </w:rPr>
        <w:t>153 s’appliquait aux personnes âgées de 14 à 17</w:t>
      </w:r>
      <w:r>
        <w:rPr>
          <w:rFonts w:cs="Times New Roman"/>
          <w:lang w:val="fr-CA"/>
        </w:rPr>
        <w:t xml:space="preserve"> </w:t>
      </w:r>
      <w:r w:rsidRPr="00F73BA9">
        <w:rPr>
          <w:rFonts w:cs="Times New Roman"/>
          <w:lang w:val="fr-CA"/>
        </w:rPr>
        <w:t>ans inclusive</w:t>
      </w:r>
      <w:r w:rsidR="00106BC6">
        <w:rPr>
          <w:rFonts w:cs="Times New Roman"/>
          <w:lang w:val="fr-CA"/>
        </w:rPr>
        <w:t>ment et se serait donc appliqué</w:t>
      </w:r>
      <w:r w:rsidRPr="00F73BA9">
        <w:rPr>
          <w:rFonts w:cs="Times New Roman"/>
          <w:lang w:val="fr-CA"/>
        </w:rPr>
        <w:t xml:space="preserve"> à K et à D. Il criminalise un large éventail d’activités et de communications à caractère sexuel auxquelles donnent lieu certaines relations avec un adolescent</w:t>
      </w:r>
      <w:r>
        <w:rPr>
          <w:rFonts w:cs="Times New Roman"/>
          <w:lang w:val="fr-CA"/>
        </w:rPr>
        <w:t> :</w:t>
      </w:r>
    </w:p>
    <w:p w:rsidR="00BC42A6" w:rsidRPr="00F73BA9" w:rsidRDefault="00BC42A6" w:rsidP="003B6E9A">
      <w:pPr>
        <w:pStyle w:val="Citation-AltC"/>
        <w:widowControl w:val="0"/>
        <w:tabs>
          <w:tab w:val="left" w:pos="1620"/>
        </w:tabs>
        <w:spacing w:after="240"/>
        <w:ind w:hanging="1166"/>
        <w:contextualSpacing w:val="0"/>
        <w:rPr>
          <w:lang w:val="fr-CA"/>
        </w:rPr>
      </w:pPr>
      <w:r w:rsidRPr="00F73BA9">
        <w:rPr>
          <w:b/>
          <w:bCs/>
          <w:lang w:val="fr-CA"/>
        </w:rPr>
        <w:tab/>
      </w:r>
      <w:r w:rsidRPr="00F73BA9">
        <w:rPr>
          <w:b/>
          <w:bCs/>
          <w:lang w:val="fr-CA"/>
        </w:rPr>
        <w:tab/>
        <w:t>153.</w:t>
      </w:r>
      <w:r>
        <w:rPr>
          <w:lang w:val="fr-CA"/>
        </w:rPr>
        <w:t xml:space="preserve"> </w:t>
      </w:r>
      <w:r w:rsidRPr="00F73BA9">
        <w:rPr>
          <w:lang w:val="fr-CA"/>
        </w:rPr>
        <w:t>(1)</w:t>
      </w:r>
      <w:r>
        <w:rPr>
          <w:lang w:val="fr-CA"/>
        </w:rPr>
        <w:t xml:space="preserve"> </w:t>
      </w:r>
      <w:r w:rsidRPr="00F73BA9">
        <w:rPr>
          <w:lang w:val="fr-CA"/>
        </w:rPr>
        <w:t>Commet une infraction toute personne qui est en situation d’autorité ou de confiance vis</w:t>
      </w:r>
      <w:r>
        <w:rPr>
          <w:lang w:val="fr-CA"/>
        </w:rPr>
        <w:t>-</w:t>
      </w:r>
      <w:r w:rsidRPr="00F73BA9">
        <w:rPr>
          <w:lang w:val="fr-CA"/>
        </w:rPr>
        <w:t>à</w:t>
      </w:r>
      <w:r>
        <w:rPr>
          <w:lang w:val="fr-CA"/>
        </w:rPr>
        <w:t>-</w:t>
      </w:r>
      <w:r w:rsidRPr="00F73BA9">
        <w:rPr>
          <w:lang w:val="fr-CA"/>
        </w:rPr>
        <w:t>vis d’un adolescent, à l’égard de laquelle l’adolescent est en situation de dépendance ou qui est dans une relation où elle exploite l’adolescent et qui, selon le cas</w:t>
      </w:r>
      <w:r>
        <w:rPr>
          <w:lang w:val="fr-CA"/>
        </w:rPr>
        <w:t> :</w:t>
      </w:r>
      <w:r w:rsidRPr="00F73BA9">
        <w:rPr>
          <w:lang w:val="fr-CA"/>
        </w:rPr>
        <w:t xml:space="preserve"> </w:t>
      </w:r>
    </w:p>
    <w:p w:rsidR="00BC42A6" w:rsidRPr="00F73BA9" w:rsidRDefault="00BC42A6" w:rsidP="003B6E9A">
      <w:pPr>
        <w:pStyle w:val="Citation-AltC"/>
        <w:widowControl w:val="0"/>
        <w:spacing w:after="240"/>
        <w:ind w:left="1620"/>
        <w:contextualSpacing w:val="0"/>
        <w:rPr>
          <w:lang w:val="fr-CA"/>
        </w:rPr>
      </w:pPr>
      <w:r w:rsidRPr="00F73BA9">
        <w:rPr>
          <w:i/>
          <w:lang w:val="fr-CA"/>
        </w:rPr>
        <w:t>a</w:t>
      </w:r>
      <w:r w:rsidR="003B6E9A">
        <w:rPr>
          <w:lang w:val="fr-CA"/>
        </w:rPr>
        <w:t xml:space="preserve">) </w:t>
      </w:r>
      <w:r w:rsidRPr="00F73BA9">
        <w:rPr>
          <w:lang w:val="fr-CA"/>
        </w:rPr>
        <w:t xml:space="preserve">à des fins d’ordre sexuel, touche, directement ou indirectement, avec une partie de son corps ou avec un objet, une partie du corps de l’adolescent; </w:t>
      </w:r>
    </w:p>
    <w:p w:rsidR="00BC42A6" w:rsidRPr="00F73BA9" w:rsidRDefault="00BC42A6" w:rsidP="003B6E9A">
      <w:pPr>
        <w:pStyle w:val="Citation-AltC"/>
        <w:widowControl w:val="0"/>
        <w:ind w:left="1620"/>
        <w:contextualSpacing w:val="0"/>
        <w:rPr>
          <w:lang w:val="fr-CA"/>
        </w:rPr>
      </w:pPr>
      <w:r w:rsidRPr="00F73BA9">
        <w:rPr>
          <w:i/>
          <w:lang w:val="fr-CA"/>
        </w:rPr>
        <w:t>b</w:t>
      </w:r>
      <w:r w:rsidR="003B6E9A">
        <w:rPr>
          <w:lang w:val="fr-CA"/>
        </w:rPr>
        <w:t xml:space="preserve">) </w:t>
      </w:r>
      <w:r w:rsidRPr="00F73BA9">
        <w:rPr>
          <w:lang w:val="fr-CA"/>
        </w:rPr>
        <w:t>à des fins d’ordre sexuel, invite, engage ou incite un adolescent à la toucher, à se toucher ou à toucher un tiers, directement ou indirectement, avec une partie du corps ou avec un objet.</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Dès lors, l’exception relative à l’usage personnel ne peut être invoquée lorsque le ministère public prouve hors de tout doute raisonnable que les actes sexuels représentés (même s’ils sont consensuels) sont survenus dans le cadre de l’une ou l’autre des relations que vise la disposition. Et lorsque les conditions de perpétration </w:t>
      </w:r>
      <w:r w:rsidRPr="00F73BA9">
        <w:rPr>
          <w:rFonts w:cs="Times New Roman"/>
          <w:lang w:val="fr-CA"/>
        </w:rPr>
        <w:lastRenderedPageBreak/>
        <w:t>de l’infraction sont réunies, le consentement de l’adolescent ne peut rendre l’activité sexuelle légale.</w:t>
      </w:r>
    </w:p>
    <w:p w:rsidR="00BC42A6" w:rsidRPr="00F73BA9" w:rsidRDefault="00BC42A6" w:rsidP="00BC42A6">
      <w:pPr>
        <w:pStyle w:val="ParaNoNdepar-AltN"/>
        <w:widowControl w:val="0"/>
        <w:rPr>
          <w:rFonts w:cs="Times New Roman"/>
          <w:lang w:val="fr-CA"/>
        </w:rPr>
      </w:pPr>
      <w:r w:rsidRPr="00F73BA9">
        <w:rPr>
          <w:rFonts w:cs="Times New Roman"/>
          <w:lang w:val="fr-CA"/>
        </w:rPr>
        <w:t>Lorsque l’accusé invoque l’exception relative à l’usage personnel et que le ministère public cherche à contester la légalité de l’activité sexuelle en alléguant l’exploitation, le juge du procès doit s’attacher non seulement au consentement, mais aussi, de manière globale, à la nature de la relation entre l’adolescent et l’accusé, ainsi qu’aux circonstances qui l’entourent. Le paragraphe</w:t>
      </w:r>
      <w:r>
        <w:rPr>
          <w:rFonts w:cs="Times New Roman"/>
          <w:lang w:val="fr-CA"/>
        </w:rPr>
        <w:t xml:space="preserve"> </w:t>
      </w:r>
      <w:r w:rsidRPr="00F73BA9">
        <w:rPr>
          <w:rFonts w:cs="Times New Roman"/>
          <w:lang w:val="fr-CA"/>
        </w:rPr>
        <w:t>153(1.2) fait état de manière non exhaustive d’éléments à partir desquels le juge du procès peut déduire l’existence d’une relation où l’accusé exploite l’adolescent</w:t>
      </w:r>
      <w:r>
        <w:rPr>
          <w:rFonts w:cs="Times New Roman"/>
          <w:lang w:val="fr-CA"/>
        </w:rPr>
        <w:t> :</w:t>
      </w:r>
    </w:p>
    <w:p w:rsidR="00BC42A6" w:rsidRDefault="00BC42A6" w:rsidP="00010E5F">
      <w:pPr>
        <w:pStyle w:val="Citation-AltC"/>
        <w:widowControl w:val="0"/>
        <w:ind w:left="1620"/>
        <w:rPr>
          <w:rFonts w:eastAsiaTheme="minorEastAsia"/>
          <w:lang w:val="fr-CA"/>
        </w:rPr>
      </w:pPr>
      <w:r w:rsidRPr="00F73BA9">
        <w:rPr>
          <w:rFonts w:eastAsiaTheme="minorEastAsia"/>
          <w:i/>
          <w:iCs/>
          <w:lang w:val="fr-CA"/>
        </w:rPr>
        <w:t>a</w:t>
      </w:r>
      <w:r w:rsidR="00010E5F">
        <w:rPr>
          <w:rFonts w:eastAsiaTheme="minorEastAsia"/>
          <w:lang w:val="fr-CA"/>
        </w:rPr>
        <w:t xml:space="preserve">) </w:t>
      </w:r>
      <w:r w:rsidRPr="00F73BA9">
        <w:rPr>
          <w:rFonts w:eastAsiaTheme="minorEastAsia"/>
          <w:lang w:val="fr-CA"/>
        </w:rPr>
        <w:t>l’âge de l’adolescent;</w:t>
      </w:r>
    </w:p>
    <w:p w:rsidR="00010E5F" w:rsidRPr="00F73BA9" w:rsidRDefault="00010E5F" w:rsidP="00010E5F">
      <w:pPr>
        <w:pStyle w:val="Citation-AltC"/>
        <w:widowControl w:val="0"/>
        <w:ind w:left="1620"/>
        <w:rPr>
          <w:rFonts w:eastAsiaTheme="minorEastAsia"/>
          <w:lang w:val="fr-CA"/>
        </w:rPr>
      </w:pPr>
    </w:p>
    <w:p w:rsidR="00BC42A6" w:rsidRDefault="00BC42A6" w:rsidP="00010E5F">
      <w:pPr>
        <w:pStyle w:val="Citation-AltC"/>
        <w:widowControl w:val="0"/>
        <w:ind w:left="1620"/>
        <w:rPr>
          <w:rFonts w:eastAsiaTheme="minorEastAsia"/>
          <w:lang w:val="fr-CA"/>
        </w:rPr>
      </w:pPr>
      <w:r w:rsidRPr="00F73BA9">
        <w:rPr>
          <w:rFonts w:eastAsiaTheme="minorEastAsia"/>
          <w:i/>
          <w:iCs/>
          <w:lang w:val="fr-CA"/>
        </w:rPr>
        <w:t>b</w:t>
      </w:r>
      <w:r w:rsidR="00010E5F">
        <w:rPr>
          <w:rFonts w:eastAsiaTheme="minorEastAsia"/>
          <w:lang w:val="fr-CA"/>
        </w:rPr>
        <w:t xml:space="preserve">) </w:t>
      </w:r>
      <w:r w:rsidRPr="00F73BA9">
        <w:rPr>
          <w:rFonts w:eastAsiaTheme="minorEastAsia"/>
          <w:lang w:val="fr-CA"/>
        </w:rPr>
        <w:t>la différence d’âge entre la personne et l’adolescent;</w:t>
      </w:r>
    </w:p>
    <w:p w:rsidR="00010E5F" w:rsidRPr="00F73BA9" w:rsidRDefault="00010E5F" w:rsidP="00010E5F">
      <w:pPr>
        <w:pStyle w:val="Citation-AltC"/>
        <w:widowControl w:val="0"/>
        <w:ind w:left="1620"/>
        <w:rPr>
          <w:lang w:val="fr-CA"/>
        </w:rPr>
      </w:pPr>
    </w:p>
    <w:p w:rsidR="00BC42A6" w:rsidRDefault="00BC42A6" w:rsidP="00010E5F">
      <w:pPr>
        <w:pStyle w:val="Citation-AltC"/>
        <w:widowControl w:val="0"/>
        <w:ind w:left="1620"/>
        <w:rPr>
          <w:rFonts w:eastAsiaTheme="minorEastAsia"/>
          <w:lang w:val="fr-CA"/>
        </w:rPr>
      </w:pPr>
      <w:r w:rsidRPr="00F73BA9">
        <w:rPr>
          <w:rFonts w:eastAsiaTheme="minorEastAsia"/>
          <w:i/>
          <w:iCs/>
          <w:lang w:val="fr-CA"/>
        </w:rPr>
        <w:t>c</w:t>
      </w:r>
      <w:r w:rsidR="00010E5F">
        <w:rPr>
          <w:rFonts w:eastAsiaTheme="minorEastAsia"/>
          <w:lang w:val="fr-CA"/>
        </w:rPr>
        <w:t xml:space="preserve">) </w:t>
      </w:r>
      <w:r w:rsidRPr="00F73BA9">
        <w:rPr>
          <w:rFonts w:eastAsiaTheme="minorEastAsia"/>
          <w:iCs/>
          <w:lang w:val="fr-CA"/>
        </w:rPr>
        <w:t>l’évolution</w:t>
      </w:r>
      <w:r w:rsidRPr="00F73BA9">
        <w:rPr>
          <w:rFonts w:eastAsiaTheme="minorEastAsia"/>
          <w:lang w:val="fr-CA"/>
        </w:rPr>
        <w:t xml:space="preserve"> de leur relation;</w:t>
      </w:r>
    </w:p>
    <w:p w:rsidR="00010E5F" w:rsidRPr="00F73BA9" w:rsidRDefault="00010E5F" w:rsidP="00010E5F">
      <w:pPr>
        <w:pStyle w:val="Citation-AltC"/>
        <w:widowControl w:val="0"/>
        <w:ind w:left="1620"/>
        <w:rPr>
          <w:lang w:val="fr-CA"/>
        </w:rPr>
      </w:pPr>
    </w:p>
    <w:p w:rsidR="00BC42A6" w:rsidRPr="00F73BA9" w:rsidRDefault="00BC42A6" w:rsidP="00010E5F">
      <w:pPr>
        <w:pStyle w:val="Citation-AltC"/>
        <w:widowControl w:val="0"/>
        <w:ind w:left="1620"/>
        <w:contextualSpacing w:val="0"/>
        <w:rPr>
          <w:lang w:val="fr-CA"/>
        </w:rPr>
      </w:pPr>
      <w:r w:rsidRPr="00F73BA9">
        <w:rPr>
          <w:rFonts w:eastAsiaTheme="minorEastAsia"/>
          <w:i/>
          <w:iCs/>
          <w:lang w:val="fr-CA"/>
        </w:rPr>
        <w:t>d</w:t>
      </w:r>
      <w:r w:rsidR="00010E5F">
        <w:rPr>
          <w:rFonts w:eastAsiaTheme="minorEastAsia"/>
          <w:lang w:val="fr-CA"/>
        </w:rPr>
        <w:t xml:space="preserve">) </w:t>
      </w:r>
      <w:r w:rsidRPr="00F73BA9">
        <w:rPr>
          <w:rFonts w:eastAsiaTheme="minorEastAsia"/>
          <w:iCs/>
          <w:lang w:val="fr-CA"/>
        </w:rPr>
        <w:t>l’emprise</w:t>
      </w:r>
      <w:r w:rsidRPr="00F73BA9">
        <w:rPr>
          <w:rFonts w:eastAsiaTheme="minorEastAsia"/>
          <w:lang w:val="fr-CA"/>
        </w:rPr>
        <w:t xml:space="preserve"> ou l’influence de la personne sur l’adolescent.</w:t>
      </w:r>
    </w:p>
    <w:p w:rsidR="00BC42A6" w:rsidRPr="00F73BA9" w:rsidRDefault="00BC42A6" w:rsidP="00BC42A6">
      <w:pPr>
        <w:pStyle w:val="ContinueParaSuitedupar-AltP"/>
        <w:widowControl w:val="0"/>
        <w:rPr>
          <w:rFonts w:cs="Times New Roman"/>
          <w:lang w:val="fr-CA"/>
        </w:rPr>
      </w:pPr>
      <w:r w:rsidRPr="00F73BA9">
        <w:rPr>
          <w:rFonts w:cs="Times New Roman"/>
          <w:lang w:val="fr-CA"/>
        </w:rPr>
        <w:t>Point n’est besoin que la personne accusée de production ou de possession de pornographie juvénile fasse l’objet d’une accusation distincte fondée sur le par.</w:t>
      </w:r>
      <w:r>
        <w:rPr>
          <w:rFonts w:cs="Times New Roman"/>
          <w:lang w:val="fr-CA"/>
        </w:rPr>
        <w:t xml:space="preserve"> </w:t>
      </w:r>
      <w:r w:rsidRPr="00F73BA9">
        <w:rPr>
          <w:rFonts w:cs="Times New Roman"/>
          <w:lang w:val="fr-CA"/>
        </w:rPr>
        <w:t>153(1) pour que le juge se livre à pareil examen. La légalité de l’activité sexuelle est appréciée de façon indépendante dans le cadre de l’examen des moyens de défense.</w:t>
      </w:r>
    </w:p>
    <w:p w:rsidR="00BC42A6" w:rsidRPr="00F73BA9" w:rsidRDefault="00BC42A6" w:rsidP="00BC42A6">
      <w:pPr>
        <w:pStyle w:val="Title3LevelTitre3Niveau"/>
        <w:widowControl w:val="0"/>
        <w:rPr>
          <w:rFonts w:cs="Times New Roman"/>
          <w:lang w:val="fr-CA"/>
        </w:rPr>
      </w:pPr>
      <w:r w:rsidRPr="00F73BA9">
        <w:rPr>
          <w:rFonts w:cs="Times New Roman"/>
          <w:lang w:val="fr-CA"/>
        </w:rPr>
        <w:t>Une autre condition distincte veut</w:t>
      </w:r>
      <w:r>
        <w:rPr>
          <w:rFonts w:cs="Times New Roman"/>
          <w:lang w:val="fr-CA"/>
        </w:rPr>
        <w:t>-</w:t>
      </w:r>
      <w:r w:rsidRPr="00F73BA9">
        <w:rPr>
          <w:rFonts w:cs="Times New Roman"/>
          <w:lang w:val="fr-CA"/>
        </w:rPr>
        <w:t>elle que le juge conclue à l’absence d’exploitation?</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Les parties conviennent que l’exploitation doit d’abord être exclue pour </w:t>
      </w:r>
      <w:r w:rsidRPr="00F73BA9">
        <w:rPr>
          <w:rFonts w:cs="Times New Roman"/>
          <w:lang w:val="fr-CA"/>
        </w:rPr>
        <w:lastRenderedPageBreak/>
        <w:t xml:space="preserve">que l’activité sexuelle enregistrée soit jugée légale. Cependant, tout au long de l’instance, le ministère public a fait valoir que, selon l’arrêt </w:t>
      </w:r>
      <w:r w:rsidRPr="00F73BA9">
        <w:rPr>
          <w:rFonts w:cs="Times New Roman"/>
          <w:i/>
          <w:lang w:val="fr-CA"/>
        </w:rPr>
        <w:t>Sharpe</w:t>
      </w:r>
      <w:r w:rsidRPr="00F73BA9">
        <w:rPr>
          <w:rFonts w:cs="Times New Roman"/>
          <w:lang w:val="fr-CA"/>
        </w:rPr>
        <w:t xml:space="preserve">, aux trois conditions d’application de l’exception relative à l’usage personnel énoncées précédemment s’ajoute l’obligation de se demander s’il y a eu exploitation de fait. Le juge du procès a rejeté la thèse et </w:t>
      </w:r>
      <w:r w:rsidR="00106BC6">
        <w:rPr>
          <w:rFonts w:cs="Times New Roman"/>
          <w:lang w:val="fr-CA"/>
        </w:rPr>
        <w:t>estimé</w:t>
      </w:r>
      <w:r w:rsidRPr="00F73BA9">
        <w:rPr>
          <w:rFonts w:cs="Times New Roman"/>
          <w:lang w:val="fr-CA"/>
        </w:rPr>
        <w:t xml:space="preserve"> que l’arrêt </w:t>
      </w:r>
      <w:r w:rsidRPr="00F73BA9">
        <w:rPr>
          <w:rFonts w:cs="Times New Roman"/>
          <w:i/>
          <w:lang w:val="fr-CA"/>
        </w:rPr>
        <w:t xml:space="preserve">Sharpe </w:t>
      </w:r>
      <w:r w:rsidRPr="00F73BA9">
        <w:rPr>
          <w:rFonts w:cs="Times New Roman"/>
          <w:lang w:val="fr-CA"/>
        </w:rPr>
        <w:t>ne permet pas de conclure à cette exigence supplémentaire.</w:t>
      </w:r>
    </w:p>
    <w:p w:rsidR="00BC42A6" w:rsidRPr="00F73BA9" w:rsidRDefault="00BC42A6" w:rsidP="00BC42A6">
      <w:pPr>
        <w:pStyle w:val="ParaNoNdepar-AltN"/>
        <w:widowControl w:val="0"/>
        <w:rPr>
          <w:rFonts w:cs="Times New Roman"/>
          <w:lang w:val="fr-CA"/>
        </w:rPr>
      </w:pPr>
      <w:r w:rsidRPr="00F73BA9">
        <w:rPr>
          <w:rFonts w:cs="Times New Roman"/>
          <w:lang w:val="fr-CA"/>
        </w:rPr>
        <w:t>En Cour d’appel, les juges majoritaires et le juge dissident diffèrent d’opinion quant à savoir si ce supplément d’analyse s’impose ou non. Les premiers concluent que l’exception ne peut être invoquée que lorsque l’absence d’exploitation ou de maltraitance est établie, indépendamment de la légalité des actes et du consentement à leur enregistrement. La Cour d’appel fonde sa conclusion sur le par.</w:t>
      </w:r>
      <w:r>
        <w:rPr>
          <w:rFonts w:cs="Times New Roman"/>
          <w:lang w:val="fr-CA"/>
        </w:rPr>
        <w:t xml:space="preserve"> </w:t>
      </w:r>
      <w:r w:rsidRPr="00F73BA9">
        <w:rPr>
          <w:rFonts w:cs="Times New Roman"/>
          <w:lang w:val="fr-CA"/>
        </w:rPr>
        <w:t xml:space="preserve">116 de l’arrêt </w:t>
      </w:r>
      <w:r w:rsidRPr="00F73BA9">
        <w:rPr>
          <w:rFonts w:cs="Times New Roman"/>
          <w:i/>
          <w:lang w:val="fr-CA"/>
        </w:rPr>
        <w:t>Sharpe</w:t>
      </w:r>
      <w:r w:rsidRPr="00F73BA9">
        <w:rPr>
          <w:rFonts w:cs="Times New Roman"/>
          <w:lang w:val="fr-CA"/>
        </w:rPr>
        <w:t xml:space="preserve">, où la Cour dit que l’activité sexuelle </w:t>
      </w:r>
      <w:r w:rsidR="008A3F71">
        <w:rPr>
          <w:rFonts w:cs="Times New Roman"/>
          <w:lang w:val="fr-CA"/>
        </w:rPr>
        <w:t>« </w:t>
      </w:r>
      <w:r w:rsidRPr="00F73BA9">
        <w:rPr>
          <w:rFonts w:cs="Times New Roman"/>
          <w:lang w:val="fr-CA"/>
        </w:rPr>
        <w:t>ne doit pas être illégale, ce qui a pour effet de garantir que toutes les parties ont consenti et d’empêcher que des enfants soient e</w:t>
      </w:r>
      <w:r>
        <w:rPr>
          <w:rFonts w:cs="Times New Roman"/>
          <w:lang w:val="fr-CA"/>
        </w:rPr>
        <w:t>xploités ou maltraités</w:t>
      </w:r>
      <w:r w:rsidR="008A3F71">
        <w:rPr>
          <w:rFonts w:cs="Times New Roman"/>
          <w:lang w:val="fr-CA"/>
        </w:rPr>
        <w:t> »</w:t>
      </w:r>
      <w:r>
        <w:rPr>
          <w:rFonts w:cs="Times New Roman"/>
          <w:lang w:val="fr-CA"/>
        </w:rPr>
        <w:t>.</w:t>
      </w:r>
    </w:p>
    <w:p w:rsidR="00BC42A6" w:rsidRPr="00F73BA9" w:rsidRDefault="00BC42A6" w:rsidP="00BC42A6">
      <w:pPr>
        <w:pStyle w:val="ParaNoNdepar-AltN"/>
        <w:widowControl w:val="0"/>
        <w:rPr>
          <w:rFonts w:cs="Times New Roman"/>
          <w:lang w:val="fr-CA"/>
        </w:rPr>
      </w:pPr>
      <w:r w:rsidRPr="00F73BA9">
        <w:rPr>
          <w:rFonts w:cs="Times New Roman"/>
          <w:lang w:val="fr-CA"/>
        </w:rPr>
        <w:t>Dans la mesure où ils s’appuient sur le par.</w:t>
      </w:r>
      <w:r>
        <w:rPr>
          <w:rFonts w:cs="Times New Roman"/>
          <w:lang w:val="fr-CA"/>
        </w:rPr>
        <w:t xml:space="preserve"> </w:t>
      </w:r>
      <w:r w:rsidRPr="00F73BA9">
        <w:rPr>
          <w:rFonts w:cs="Times New Roman"/>
          <w:lang w:val="fr-CA"/>
        </w:rPr>
        <w:t xml:space="preserve">116 de l’arrêt </w:t>
      </w:r>
      <w:r w:rsidRPr="00F73BA9">
        <w:rPr>
          <w:rFonts w:cs="Times New Roman"/>
          <w:i/>
          <w:lang w:val="fr-CA"/>
        </w:rPr>
        <w:t>Sharpe</w:t>
      </w:r>
      <w:r w:rsidRPr="00F73BA9">
        <w:rPr>
          <w:rFonts w:cs="Times New Roman"/>
          <w:lang w:val="fr-CA"/>
        </w:rPr>
        <w:t xml:space="preserve"> pour prétendre que l’absence d’exploitation de fait constitue une condition supplémentaire de l’applicabilité de l’exception relative à l’usage personnel, les juges majoritaires de la Cour d’appel interprètent mal l’arrêt. Le résumé de la Cour portant sur l’exception et figurant au par.</w:t>
      </w:r>
      <w:r>
        <w:rPr>
          <w:rFonts w:cs="Times New Roman"/>
          <w:lang w:val="fr-CA"/>
        </w:rPr>
        <w:t xml:space="preserve"> </w:t>
      </w:r>
      <w:r w:rsidRPr="00F73BA9">
        <w:rPr>
          <w:rFonts w:cs="Times New Roman"/>
          <w:lang w:val="fr-CA"/>
        </w:rPr>
        <w:t xml:space="preserve">128 de l’arrêt </w:t>
      </w:r>
      <w:r w:rsidRPr="00F73BA9">
        <w:rPr>
          <w:rFonts w:cs="Times New Roman"/>
          <w:i/>
          <w:lang w:val="fr-CA"/>
        </w:rPr>
        <w:t xml:space="preserve">Sharpe </w:t>
      </w:r>
      <w:r w:rsidRPr="00F73BA9">
        <w:rPr>
          <w:rFonts w:cs="Times New Roman"/>
          <w:lang w:val="fr-CA"/>
        </w:rPr>
        <w:t>ne fait pas état d’une telle exigence distincte. Voici l’extrait pertinent du par.</w:t>
      </w:r>
      <w:r>
        <w:rPr>
          <w:rFonts w:cs="Times New Roman"/>
          <w:lang w:val="fr-CA"/>
        </w:rPr>
        <w:t xml:space="preserve"> </w:t>
      </w:r>
      <w:r w:rsidRPr="00F73BA9">
        <w:rPr>
          <w:rFonts w:cs="Times New Roman"/>
          <w:lang w:val="fr-CA"/>
        </w:rPr>
        <w:t>116</w:t>
      </w:r>
      <w:r>
        <w:rPr>
          <w:rFonts w:cs="Times New Roman"/>
          <w:lang w:val="fr-CA"/>
        </w:rPr>
        <w:t> :</w:t>
      </w:r>
    </w:p>
    <w:p w:rsidR="00BC42A6" w:rsidRPr="00F73BA9" w:rsidRDefault="00BC42A6" w:rsidP="00E30269">
      <w:pPr>
        <w:pStyle w:val="Citation-AltC"/>
        <w:widowControl w:val="0"/>
        <w:tabs>
          <w:tab w:val="left" w:pos="1620"/>
        </w:tabs>
        <w:ind w:hanging="1166"/>
        <w:contextualSpacing w:val="0"/>
        <w:rPr>
          <w:lang w:val="fr-CA"/>
        </w:rPr>
      </w:pPr>
      <w:r w:rsidRPr="00F73BA9">
        <w:rPr>
          <w:lang w:val="fr-CA"/>
        </w:rPr>
        <w:tab/>
      </w:r>
      <w:r w:rsidRPr="00F73BA9">
        <w:rPr>
          <w:lang w:val="fr-CA"/>
        </w:rPr>
        <w:tab/>
        <w:t>La seconde catégorie protégerait la représentation d’une personne par elle</w:t>
      </w:r>
      <w:r>
        <w:rPr>
          <w:lang w:val="fr-CA"/>
        </w:rPr>
        <w:t>-</w:t>
      </w:r>
      <w:r w:rsidRPr="00F73BA9">
        <w:rPr>
          <w:lang w:val="fr-CA"/>
        </w:rPr>
        <w:t xml:space="preserve">même, comme la photo qu’un enfant ou un adolescent a prise de </w:t>
      </w:r>
      <w:r w:rsidRPr="00F73BA9">
        <w:rPr>
          <w:lang w:val="fr-CA"/>
        </w:rPr>
        <w:lastRenderedPageBreak/>
        <w:t>lui</w:t>
      </w:r>
      <w:r>
        <w:rPr>
          <w:lang w:val="fr-CA"/>
        </w:rPr>
        <w:t>-</w:t>
      </w:r>
      <w:r w:rsidRPr="00F73BA9">
        <w:rPr>
          <w:lang w:val="fr-CA"/>
        </w:rPr>
        <w:t xml:space="preserve">même seul, qu’il conserve strictement en privé et qui est destinée à son seul usage personnel. Elle irait jusqu’à protéger l’enregistrement d’une activité sexuelle légale, pourvu que certaines conditions soient remplies. La personne qui a en sa possession l’enregistrement doit avoir enregistré personnellement l’activité sexuelle en question ou y avoir participé. </w:t>
      </w:r>
      <w:r w:rsidRPr="00F73BA9">
        <w:rPr>
          <w:u w:val="single"/>
          <w:lang w:val="fr-CA"/>
        </w:rPr>
        <w:t>Cette activité ne doit pas être illégale, ce qui a pour effet de garantir que toutes les parties ont consenti et d’empêcher que des enfants soient exploités ou maltraités.</w:t>
      </w:r>
      <w:r>
        <w:rPr>
          <w:lang w:val="fr-CA"/>
        </w:rPr>
        <w:t xml:space="preserve"> </w:t>
      </w:r>
      <w:r w:rsidRPr="00F73BA9">
        <w:rPr>
          <w:lang w:val="fr-CA"/>
        </w:rPr>
        <w:t>Il faut aussi que toutes les parties aient consenti à la création de l’enregistrement. L’enregistrement doit être conservé strictement en privé par la personne qui l’a en sa possession et être destiné exclusivement à l’usage personnel de son auteur et des personnes qui y sont représentées. [Je souligne.]</w:t>
      </w:r>
    </w:p>
    <w:p w:rsidR="00BC42A6" w:rsidRPr="00F73BA9" w:rsidRDefault="00BC42A6" w:rsidP="00BC42A6">
      <w:pPr>
        <w:pStyle w:val="ParaNoNdepar-AltN"/>
        <w:widowControl w:val="0"/>
        <w:rPr>
          <w:rFonts w:cs="Times New Roman"/>
          <w:lang w:val="fr-CA"/>
        </w:rPr>
      </w:pPr>
      <w:r w:rsidRPr="00F73BA9">
        <w:rPr>
          <w:rFonts w:cs="Times New Roman"/>
          <w:lang w:val="fr-CA"/>
        </w:rPr>
        <w:t>Il appert du par.</w:t>
      </w:r>
      <w:r>
        <w:rPr>
          <w:rFonts w:cs="Times New Roman"/>
          <w:lang w:val="fr-CA"/>
        </w:rPr>
        <w:t xml:space="preserve"> </w:t>
      </w:r>
      <w:r w:rsidRPr="00F73BA9">
        <w:rPr>
          <w:rFonts w:cs="Times New Roman"/>
          <w:lang w:val="fr-CA"/>
        </w:rPr>
        <w:t>116 que l’absence d’exploitation s’inscrit nettement dans l’analyse de la légalité</w:t>
      </w:r>
      <w:r w:rsidR="00106BC6">
        <w:rPr>
          <w:rFonts w:cs="Times New Roman"/>
          <w:lang w:val="fr-CA"/>
        </w:rPr>
        <w:t>, laquelle</w:t>
      </w:r>
      <w:r w:rsidRPr="00F73BA9">
        <w:rPr>
          <w:rFonts w:cs="Times New Roman"/>
          <w:lang w:val="fr-CA"/>
        </w:rPr>
        <w:t xml:space="preserve"> constitue l’une des trois conditions de l’opposabilité du moyen de défense.</w:t>
      </w:r>
    </w:p>
    <w:p w:rsidR="00BC42A6" w:rsidRPr="00F73BA9" w:rsidRDefault="00BC42A6" w:rsidP="00BC42A6">
      <w:pPr>
        <w:pStyle w:val="ParaNoNdepar-AltN"/>
        <w:widowControl w:val="0"/>
        <w:rPr>
          <w:rFonts w:cs="Times New Roman"/>
          <w:lang w:val="fr-CA"/>
        </w:rPr>
      </w:pPr>
      <w:r w:rsidRPr="00F73BA9">
        <w:rPr>
          <w:rFonts w:cs="Times New Roman"/>
          <w:lang w:val="fr-CA"/>
        </w:rPr>
        <w:t>L’absence d’exploitation demeure néanmoins un élément important de l’analyse. En fait, lorsqu’il existe des indices d’exploitation, le ministère public les invoquera vraisemblablement afin de prouver hors de tout doute raisonnable que l’activité était illégale au regard de l’art.</w:t>
      </w:r>
      <w:r>
        <w:rPr>
          <w:rFonts w:cs="Times New Roman"/>
          <w:lang w:val="fr-CA"/>
        </w:rPr>
        <w:t xml:space="preserve"> </w:t>
      </w:r>
      <w:r w:rsidRPr="00F73BA9">
        <w:rPr>
          <w:rFonts w:cs="Times New Roman"/>
          <w:lang w:val="fr-CA"/>
        </w:rPr>
        <w:t>153.</w:t>
      </w:r>
    </w:p>
    <w:p w:rsidR="00BC42A6" w:rsidRPr="00F73BA9" w:rsidRDefault="00BC42A6" w:rsidP="00BC42A6">
      <w:pPr>
        <w:pStyle w:val="ParaNoNdepar-AltN"/>
        <w:widowControl w:val="0"/>
        <w:rPr>
          <w:rFonts w:cs="Times New Roman"/>
          <w:lang w:val="fr-CA"/>
        </w:rPr>
      </w:pPr>
      <w:r w:rsidRPr="00F73BA9">
        <w:rPr>
          <w:rFonts w:cs="Times New Roman"/>
          <w:lang w:val="fr-CA"/>
        </w:rPr>
        <w:t>Saisi d’une telle preuve, le juge du procès doit être conscient de la mise en garde contenue à l’art.</w:t>
      </w:r>
      <w:r>
        <w:rPr>
          <w:rFonts w:cs="Times New Roman"/>
          <w:lang w:val="fr-CA"/>
        </w:rPr>
        <w:t xml:space="preserve"> </w:t>
      </w:r>
      <w:r w:rsidRPr="00F73BA9">
        <w:rPr>
          <w:rFonts w:cs="Times New Roman"/>
          <w:lang w:val="fr-CA"/>
        </w:rPr>
        <w:t>153, à savoir que le consentement d’un adolescent est sujet à caution. Suivant une interprétation et une application correctes de la notion, l’existence ou l’inexistence de quelque exploitation est établie à partir d’un examen de la relation entre le plaignant et l’accusé et du contexte global de leurs interactions.</w:t>
      </w:r>
    </w:p>
    <w:p w:rsidR="00BC42A6" w:rsidRPr="00F73BA9" w:rsidRDefault="00BC42A6" w:rsidP="00BC42A6">
      <w:pPr>
        <w:pStyle w:val="ParaNoNdepar-AltN"/>
        <w:widowControl w:val="0"/>
        <w:rPr>
          <w:rFonts w:cs="Times New Roman"/>
          <w:lang w:val="fr-CA"/>
        </w:rPr>
      </w:pPr>
      <w:r w:rsidRPr="00F73BA9">
        <w:rPr>
          <w:rFonts w:cs="Times New Roman"/>
          <w:lang w:val="fr-CA"/>
        </w:rPr>
        <w:t>Pour autant, l’absence d’</w:t>
      </w:r>
      <w:r w:rsidR="008A3F71">
        <w:rPr>
          <w:rFonts w:cs="Times New Roman"/>
          <w:lang w:val="fr-CA"/>
        </w:rPr>
        <w:t>« </w:t>
      </w:r>
      <w:r w:rsidRPr="00F73BA9">
        <w:rPr>
          <w:rFonts w:cs="Times New Roman"/>
          <w:lang w:val="fr-CA"/>
        </w:rPr>
        <w:t>exploitation de fait</w:t>
      </w:r>
      <w:r w:rsidR="008A3F71">
        <w:rPr>
          <w:rFonts w:cs="Times New Roman"/>
          <w:lang w:val="fr-CA"/>
        </w:rPr>
        <w:t> »</w:t>
      </w:r>
      <w:r w:rsidRPr="00F73BA9">
        <w:rPr>
          <w:rFonts w:cs="Times New Roman"/>
          <w:lang w:val="fr-CA"/>
        </w:rPr>
        <w:t xml:space="preserve">, indépendamment de l’une ou l’autre des trois conditions énoncées dans </w:t>
      </w:r>
      <w:r w:rsidRPr="00F73BA9">
        <w:rPr>
          <w:rFonts w:cs="Times New Roman"/>
          <w:i/>
          <w:lang w:val="fr-CA"/>
        </w:rPr>
        <w:t>Sharpe</w:t>
      </w:r>
      <w:r w:rsidRPr="00F73BA9">
        <w:rPr>
          <w:rFonts w:cs="Times New Roman"/>
          <w:lang w:val="fr-CA"/>
        </w:rPr>
        <w:t xml:space="preserve">, ne constitue pas une </w:t>
      </w:r>
      <w:r w:rsidRPr="00F73BA9">
        <w:rPr>
          <w:rFonts w:cs="Times New Roman"/>
          <w:lang w:val="fr-CA"/>
        </w:rPr>
        <w:lastRenderedPageBreak/>
        <w:t xml:space="preserve">condition distincte de l’applicabilité de l’exception relative à l’usage personnel. Je conviens avec les appelants de la redondance de l’étape supplémentaire proposée. La Cour ne l’exige pas dans l’arrêt </w:t>
      </w:r>
      <w:r w:rsidRPr="00F73BA9">
        <w:rPr>
          <w:rFonts w:cs="Times New Roman"/>
          <w:i/>
          <w:lang w:val="fr-CA"/>
        </w:rPr>
        <w:t>Sharpe</w:t>
      </w:r>
      <w:r w:rsidRPr="00F73BA9">
        <w:rPr>
          <w:rFonts w:cs="Times New Roman"/>
          <w:lang w:val="fr-CA"/>
        </w:rPr>
        <w:t xml:space="preserve"> et elle ne s’impose pas non plus pour mettre l’exception hors de portée de ceux qui exploitent des adolescents. L’examen de la légalité de l’activité sexuelle représentée permet déjà de se pencher sérieusement sur la présence ou l’absence d’exploitation.</w:t>
      </w:r>
    </w:p>
    <w:p w:rsidR="00BC42A6" w:rsidRPr="00F73BA9" w:rsidRDefault="00BC42A6" w:rsidP="00BC42A6">
      <w:pPr>
        <w:pStyle w:val="Title3LevelTitre3Niveau"/>
        <w:widowControl w:val="0"/>
        <w:rPr>
          <w:rFonts w:cs="Times New Roman"/>
          <w:lang w:val="fr-CA"/>
        </w:rPr>
      </w:pPr>
      <w:r w:rsidRPr="00F73BA9">
        <w:rPr>
          <w:rFonts w:cs="Times New Roman"/>
          <w:lang w:val="fr-CA"/>
        </w:rPr>
        <w:t>Faut</w:t>
      </w:r>
      <w:r>
        <w:rPr>
          <w:rFonts w:cs="Times New Roman"/>
          <w:lang w:val="fr-CA"/>
        </w:rPr>
        <w:t>-</w:t>
      </w:r>
      <w:r w:rsidRPr="00F73BA9">
        <w:rPr>
          <w:rFonts w:cs="Times New Roman"/>
          <w:lang w:val="fr-CA"/>
        </w:rPr>
        <w:t>il considérer l’exploitation en liaison avec le consentement à l’enregistrement?</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Dans sa plaidoirie devant la Cour, le ministère public a modifié la thèse qu’il avait défendue devant les tribunaux inférieurs. Selon lui, il faut en outre aborder la question de l’exploitation au moment de déterminer si le plaignant a consenti ou non à l’enregistrement. Autrement dit, le tribunal devrait se demander si l’exploitation a pu influencer de quelque manière le consentement de l’adolescent à l’enregistrement, et ce, indépendamment du consentement à l’activité sexuelle représentée. Le </w:t>
      </w:r>
      <w:r w:rsidRPr="00F73BA9">
        <w:rPr>
          <w:rFonts w:cs="Times New Roman"/>
          <w:i/>
          <w:lang w:val="fr-CA"/>
        </w:rPr>
        <w:t>Code criminel</w:t>
      </w:r>
      <w:r w:rsidRPr="00F73BA9">
        <w:rPr>
          <w:rFonts w:cs="Times New Roman"/>
          <w:lang w:val="fr-CA"/>
        </w:rPr>
        <w:t xml:space="preserve"> tient pour nul le consentement à une activité sexuelle en cas, par exemple, d’incapacité, de contrainte ou d’abus de pouvoir, mais cette protection ne vaut pas à l’égard du consentement à l’enregistrement.</w:t>
      </w:r>
    </w:p>
    <w:p w:rsidR="00BC42A6" w:rsidRPr="00F73BA9" w:rsidRDefault="00BC42A6" w:rsidP="00BC42A6">
      <w:pPr>
        <w:pStyle w:val="ParaNoNdepar-AltN"/>
        <w:widowControl w:val="0"/>
        <w:rPr>
          <w:rFonts w:cs="Times New Roman"/>
          <w:lang w:val="fr-CA"/>
        </w:rPr>
      </w:pPr>
      <w:r w:rsidRPr="00F73BA9">
        <w:rPr>
          <w:rFonts w:cs="Times New Roman"/>
          <w:lang w:val="fr-CA"/>
        </w:rPr>
        <w:t>Le ministère public fonde sa prétention sur la portée limitée qu’il prête à l’art.</w:t>
      </w:r>
      <w:r>
        <w:rPr>
          <w:rFonts w:cs="Times New Roman"/>
          <w:lang w:val="fr-CA"/>
        </w:rPr>
        <w:t xml:space="preserve"> </w:t>
      </w:r>
      <w:r w:rsidRPr="00F73BA9">
        <w:rPr>
          <w:rFonts w:cs="Times New Roman"/>
          <w:lang w:val="fr-CA"/>
        </w:rPr>
        <w:t>153, lequel pourrait ne pas s’appliquer lorsqu’il n’y a aucun contact sexuel ou que personne n’invite, n’engage ou n’incite un adolescent à des contacts sexuels. Le seul exemple qu’il a pu donner est le cas d’un adolescent de 16 ou de 17</w:t>
      </w:r>
      <w:r>
        <w:rPr>
          <w:rFonts w:cs="Times New Roman"/>
          <w:lang w:val="fr-CA"/>
        </w:rPr>
        <w:t xml:space="preserve"> </w:t>
      </w:r>
      <w:r w:rsidRPr="00F73BA9">
        <w:rPr>
          <w:rFonts w:cs="Times New Roman"/>
          <w:lang w:val="fr-CA"/>
        </w:rPr>
        <w:t xml:space="preserve">ans qui poserait nu dans le cadre d’une relation d’exploitation, une situation susceptible </w:t>
      </w:r>
      <w:r w:rsidRPr="00F73BA9">
        <w:rPr>
          <w:rFonts w:cs="Times New Roman"/>
          <w:lang w:val="fr-CA"/>
        </w:rPr>
        <w:lastRenderedPageBreak/>
        <w:t>d’échapper à l’application de l’art.</w:t>
      </w:r>
      <w:r>
        <w:rPr>
          <w:rFonts w:cs="Times New Roman"/>
          <w:lang w:val="fr-CA"/>
        </w:rPr>
        <w:t xml:space="preserve"> </w:t>
      </w:r>
      <w:r w:rsidRPr="00F73BA9">
        <w:rPr>
          <w:rFonts w:cs="Times New Roman"/>
          <w:lang w:val="fr-CA"/>
        </w:rPr>
        <w:t>153</w:t>
      </w:r>
      <w:r w:rsidRPr="00F73BA9">
        <w:rPr>
          <w:rStyle w:val="FootnoteReference"/>
          <w:rFonts w:cs="Times New Roman"/>
          <w:lang w:val="fr-CA"/>
        </w:rPr>
        <w:footnoteReference w:id="2"/>
      </w:r>
      <w:r w:rsidRPr="00F73BA9">
        <w:rPr>
          <w:rFonts w:cs="Times New Roman"/>
          <w:lang w:val="fr-CA"/>
        </w:rPr>
        <w:t>. Selon le ministère public, seul un supplément d’analyse du consentement à l’enregistrement, axé sur l’exploitation, pourrait faire en sorte que l’enregistrement qui déborde le cadre de l’art.</w:t>
      </w:r>
      <w:r>
        <w:rPr>
          <w:rFonts w:cs="Times New Roman"/>
          <w:lang w:val="fr-CA"/>
        </w:rPr>
        <w:t xml:space="preserve"> </w:t>
      </w:r>
      <w:r w:rsidRPr="00F73BA9">
        <w:rPr>
          <w:rFonts w:cs="Times New Roman"/>
          <w:lang w:val="fr-CA"/>
        </w:rPr>
        <w:t>153 tombe néanmoins sous le coup de la loi.</w:t>
      </w:r>
    </w:p>
    <w:p w:rsidR="00BC42A6" w:rsidRPr="00F73BA9" w:rsidRDefault="00BC42A6" w:rsidP="00BC42A6">
      <w:pPr>
        <w:pStyle w:val="ParaNoNdepar-AltN"/>
        <w:widowControl w:val="0"/>
        <w:rPr>
          <w:rFonts w:cs="Times New Roman"/>
          <w:lang w:val="fr-CA"/>
        </w:rPr>
      </w:pPr>
      <w:r w:rsidRPr="00F73BA9">
        <w:rPr>
          <w:rFonts w:cs="Times New Roman"/>
          <w:lang w:val="fr-CA"/>
        </w:rPr>
        <w:t>Or, l’exemple n’étaye le point de vue du ministère public que lorsque l’objet de l’enregistrement ne comporte pas de contacts sexuels ou d’incitation à des contacts sexuels qui tomberaient sous le coup de l’art.</w:t>
      </w:r>
      <w:r>
        <w:rPr>
          <w:rFonts w:cs="Times New Roman"/>
          <w:lang w:val="fr-CA"/>
        </w:rPr>
        <w:t xml:space="preserve"> </w:t>
      </w:r>
      <w:r w:rsidRPr="00F73BA9">
        <w:rPr>
          <w:rFonts w:cs="Times New Roman"/>
          <w:lang w:val="fr-CA"/>
        </w:rPr>
        <w:t>153. Comme le procureur général de l’Ontario le fait valoir en l’espèce, il est fort possible que l’art.</w:t>
      </w:r>
      <w:r>
        <w:rPr>
          <w:rFonts w:cs="Times New Roman"/>
          <w:lang w:val="fr-CA"/>
        </w:rPr>
        <w:t xml:space="preserve"> </w:t>
      </w:r>
      <w:r w:rsidRPr="00F73BA9">
        <w:rPr>
          <w:rFonts w:cs="Times New Roman"/>
          <w:lang w:val="fr-CA"/>
        </w:rPr>
        <w:t>153 s’applique au cas d’un adolescent qui pose nu comme dans l’exemple avancé. Le libellé de cette disposition est général et vise toute personne qui incite un adolescent à des contacts sexuels, que l’adolescent soit appelé à toucher l’accusé ou un tiers, ou à se toucher lui</w:t>
      </w:r>
      <w:r>
        <w:rPr>
          <w:rFonts w:cs="Times New Roman"/>
          <w:lang w:val="fr-CA"/>
        </w:rPr>
        <w:t>-</w:t>
      </w:r>
      <w:r w:rsidRPr="00F73BA9">
        <w:rPr>
          <w:rFonts w:cs="Times New Roman"/>
          <w:lang w:val="fr-CA"/>
        </w:rPr>
        <w:t>même. Il est difficile de dire si la situation où la personne dominante prend une photo de la personne dominée dans le contexte d’une relation d’exploitation sans qu’il n’y ait incitation à des contacts sexuels est susceptible de se présenter souvent. Dans un tel cas, le consentement à l’activité sexuelle et le consentement à l’enregistrement s’entremêlent souvent, de sorte que l’art.</w:t>
      </w:r>
      <w:r>
        <w:rPr>
          <w:rFonts w:cs="Times New Roman"/>
          <w:lang w:val="fr-CA"/>
        </w:rPr>
        <w:t xml:space="preserve"> </w:t>
      </w:r>
      <w:r w:rsidRPr="00F73BA9">
        <w:rPr>
          <w:rFonts w:cs="Times New Roman"/>
          <w:lang w:val="fr-CA"/>
        </w:rPr>
        <w:t>153 s’applique.</w:t>
      </w:r>
    </w:p>
    <w:p w:rsidR="00BC42A6" w:rsidRPr="00F73BA9" w:rsidRDefault="00BC42A6" w:rsidP="00BC42A6">
      <w:pPr>
        <w:pStyle w:val="ParaNoNdepar-AltN"/>
        <w:widowControl w:val="0"/>
        <w:rPr>
          <w:rFonts w:cs="Times New Roman"/>
          <w:lang w:val="fr-CA"/>
        </w:rPr>
      </w:pPr>
      <w:r w:rsidRPr="00F73BA9">
        <w:rPr>
          <w:rFonts w:cs="Times New Roman"/>
          <w:lang w:val="fr-CA"/>
        </w:rPr>
        <w:t>Cependant, le consentement d’un adolescent à l’enregistrement ne tient pas nécessairement à un simple oui ou non. Lorsqu’aucune activité sexuelle sous</w:t>
      </w:r>
      <w:r>
        <w:rPr>
          <w:rFonts w:cs="Times New Roman"/>
          <w:lang w:val="fr-CA"/>
        </w:rPr>
        <w:t>-</w:t>
      </w:r>
      <w:r w:rsidRPr="00F73BA9">
        <w:rPr>
          <w:rFonts w:cs="Times New Roman"/>
          <w:lang w:val="fr-CA"/>
        </w:rPr>
        <w:t xml:space="preserve">jacente n’est susceptible de tomber sous le coup des dispositions du </w:t>
      </w:r>
      <w:r w:rsidRPr="00F73BA9">
        <w:rPr>
          <w:rFonts w:cs="Times New Roman"/>
          <w:i/>
          <w:lang w:val="fr-CA"/>
        </w:rPr>
        <w:t>Code criminel</w:t>
      </w:r>
      <w:r w:rsidRPr="00F73BA9">
        <w:rPr>
          <w:rFonts w:cs="Times New Roman"/>
          <w:lang w:val="fr-CA"/>
        </w:rPr>
        <w:t xml:space="preserve"> relatives à l’exploitation sexuelle, l’existence d’une relation d’exploitation pourrait se </w:t>
      </w:r>
      <w:r w:rsidRPr="00F73BA9">
        <w:rPr>
          <w:rFonts w:cs="Times New Roman"/>
          <w:lang w:val="fr-CA"/>
        </w:rPr>
        <w:lastRenderedPageBreak/>
        <w:t>révéler pertinente pour l’application des règles de la common law au consentement à l’enregistrement.</w:t>
      </w:r>
    </w:p>
    <w:p w:rsidR="00BC42A6" w:rsidRPr="00F73BA9" w:rsidRDefault="00BC42A6" w:rsidP="00BC42A6">
      <w:pPr>
        <w:pStyle w:val="ParaNoNdepar-AltN"/>
        <w:widowControl w:val="0"/>
        <w:rPr>
          <w:rFonts w:cs="Times New Roman"/>
          <w:lang w:val="fr-CA"/>
        </w:rPr>
      </w:pPr>
      <w:r w:rsidRPr="00F73BA9">
        <w:rPr>
          <w:rFonts w:cs="Times New Roman"/>
          <w:lang w:val="fr-CA"/>
        </w:rPr>
        <w:t>Or, nous ne sommes pas appelés en l’espèce à décider si une relation d’exploitation peut vicier le consentement à l’enregistrement. Les cas où l’analyse de la légalité ne tiendra pas compte de l’exploitation seront vraisemblablement peu nombreux, et la Cour n’est pas saisie de l’un d’eux en l’espèce. Ni les tribunaux inférieurs, ni le ministère public dans son mémoire ne font clairement état de la mesure dans laquelle une relation d’exploitation peut, en common law, vicier le consentement de manière générale. Je crois qu’il vaudra mieux que la Cour se prononce sur les principes de common law applicables au consentement dans une affaire ultérieure où le dossier et les arguments seront suffisamment étoffés, car la décision pourrait avoir de grandes répercussions.</w:t>
      </w:r>
    </w:p>
    <w:p w:rsidR="00BC42A6" w:rsidRPr="00F73BA9" w:rsidRDefault="00BC42A6" w:rsidP="00BC42A6">
      <w:pPr>
        <w:pStyle w:val="ParaNoNdepar-AltN"/>
        <w:widowControl w:val="0"/>
        <w:rPr>
          <w:rFonts w:cs="Times New Roman"/>
          <w:lang w:val="fr-CA"/>
        </w:rPr>
      </w:pPr>
      <w:r w:rsidRPr="00F73BA9">
        <w:rPr>
          <w:rFonts w:cs="Times New Roman"/>
          <w:lang w:val="fr-CA"/>
        </w:rPr>
        <w:t>En bref, toute forme d’exploitation présente dans la relation entre K et D et les appelants en l’espèce est dûment prise en compte dans l’analyse relative à la légalité pour ce qui concerne l’application de l’art.</w:t>
      </w:r>
      <w:r>
        <w:rPr>
          <w:rFonts w:cs="Times New Roman"/>
          <w:lang w:val="fr-CA"/>
        </w:rPr>
        <w:t xml:space="preserve"> </w:t>
      </w:r>
      <w:r w:rsidRPr="00F73BA9">
        <w:rPr>
          <w:rFonts w:cs="Times New Roman"/>
          <w:lang w:val="fr-CA"/>
        </w:rPr>
        <w:t xml:space="preserve">153 du </w:t>
      </w:r>
      <w:r w:rsidRPr="00F73BA9">
        <w:rPr>
          <w:rFonts w:cs="Times New Roman"/>
          <w:i/>
          <w:lang w:val="fr-CA"/>
        </w:rPr>
        <w:t>Code criminel</w:t>
      </w:r>
      <w:r w:rsidRPr="00F73BA9">
        <w:rPr>
          <w:rFonts w:cs="Times New Roman"/>
          <w:lang w:val="fr-CA"/>
        </w:rPr>
        <w:t>.</w:t>
      </w:r>
    </w:p>
    <w:p w:rsidR="00BC42A6" w:rsidRPr="00F73BA9" w:rsidRDefault="00BC42A6" w:rsidP="00BC42A6">
      <w:pPr>
        <w:pStyle w:val="Title3LevelTitre3Niveau"/>
        <w:widowControl w:val="0"/>
        <w:rPr>
          <w:rFonts w:cs="Times New Roman"/>
          <w:lang w:val="fr-CA"/>
        </w:rPr>
      </w:pPr>
      <w:r w:rsidRPr="00F73BA9">
        <w:rPr>
          <w:rFonts w:cs="Times New Roman"/>
          <w:lang w:val="fr-CA"/>
        </w:rPr>
        <w:t>L’existence d’avantages mutuels constitue</w:t>
      </w:r>
      <w:r>
        <w:rPr>
          <w:rFonts w:cs="Times New Roman"/>
          <w:lang w:val="fr-CA"/>
        </w:rPr>
        <w:t>-</w:t>
      </w:r>
      <w:r w:rsidRPr="00F73BA9">
        <w:rPr>
          <w:rFonts w:cs="Times New Roman"/>
          <w:lang w:val="fr-CA"/>
        </w:rPr>
        <w:t>t</w:t>
      </w:r>
      <w:r>
        <w:rPr>
          <w:rFonts w:cs="Times New Roman"/>
          <w:lang w:val="fr-CA"/>
        </w:rPr>
        <w:t>-</w:t>
      </w:r>
      <w:r w:rsidRPr="00F73BA9">
        <w:rPr>
          <w:rFonts w:cs="Times New Roman"/>
          <w:lang w:val="fr-CA"/>
        </w:rPr>
        <w:t>elle une condition d’applicabilité de l’exception relative à l’usage personnel?</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Le ministère public soutient que l’arrêt </w:t>
      </w:r>
      <w:r w:rsidRPr="00F73BA9">
        <w:rPr>
          <w:rFonts w:cs="Times New Roman"/>
          <w:i/>
          <w:lang w:val="fr-CA"/>
        </w:rPr>
        <w:t>Sharpe</w:t>
      </w:r>
      <w:r w:rsidRPr="00F73BA9">
        <w:rPr>
          <w:rFonts w:cs="Times New Roman"/>
          <w:lang w:val="fr-CA"/>
        </w:rPr>
        <w:t xml:space="preserve"> exige en outre l’existence d’</w:t>
      </w:r>
      <w:r w:rsidR="00E30269">
        <w:rPr>
          <w:rFonts w:cs="Times New Roman"/>
          <w:lang w:val="fr-CA"/>
        </w:rPr>
        <w:t>[</w:t>
      </w:r>
      <w:r w:rsidR="00E30269" w:rsidRPr="00E30269">
        <w:rPr>
          <w:rFonts w:cs="Times New Roman"/>
          <w:smallCaps/>
          <w:lang w:val="fr-CA"/>
        </w:rPr>
        <w:t>traduction</w:t>
      </w:r>
      <w:r w:rsidR="00E30269">
        <w:rPr>
          <w:rFonts w:cs="Times New Roman"/>
          <w:lang w:val="fr-CA"/>
        </w:rPr>
        <w:t xml:space="preserve">] </w:t>
      </w:r>
      <w:r w:rsidR="008A3F71">
        <w:rPr>
          <w:rFonts w:cs="Times New Roman"/>
          <w:lang w:val="fr-CA"/>
        </w:rPr>
        <w:t>« </w:t>
      </w:r>
      <w:r w:rsidRPr="00F73BA9">
        <w:rPr>
          <w:rFonts w:cs="Times New Roman"/>
          <w:lang w:val="fr-CA"/>
        </w:rPr>
        <w:t>avantages mutuels</w:t>
      </w:r>
      <w:r w:rsidR="008A3F71">
        <w:rPr>
          <w:rFonts w:cs="Times New Roman"/>
          <w:lang w:val="fr-CA"/>
        </w:rPr>
        <w:t> »</w:t>
      </w:r>
      <w:r w:rsidRPr="00F73BA9">
        <w:rPr>
          <w:rFonts w:cs="Times New Roman"/>
          <w:lang w:val="fr-CA"/>
        </w:rPr>
        <w:t xml:space="preserve"> pour toutes les personnes représentées dans l’enregistrement (transcription, p.</w:t>
      </w:r>
      <w:r>
        <w:rPr>
          <w:rFonts w:cs="Times New Roman"/>
          <w:lang w:val="fr-CA"/>
        </w:rPr>
        <w:t xml:space="preserve"> </w:t>
      </w:r>
      <w:r w:rsidRPr="00F73BA9">
        <w:rPr>
          <w:rFonts w:cs="Times New Roman"/>
          <w:lang w:val="fr-CA"/>
        </w:rPr>
        <w:t xml:space="preserve">53). Il invoque à l’appui la reconnaissance par la Cour de l’importance que l’enregistrement d’une activité sexuelle peut avoir pour </w:t>
      </w:r>
      <w:r w:rsidR="00E30269">
        <w:rPr>
          <w:rFonts w:cs="Times New Roman"/>
          <w:lang w:val="fr-CA"/>
        </w:rPr>
        <w:lastRenderedPageBreak/>
        <w:t>« </w:t>
      </w:r>
      <w:r w:rsidRPr="00F73BA9">
        <w:rPr>
          <w:rFonts w:cs="Times New Roman"/>
          <w:lang w:val="fr-CA"/>
        </w:rPr>
        <w:t>l’épanouissement personnel, la réalisation de soi ainsi que l’exploration et l’identité sexuelles de l’adolescent</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109). À son avis, de telles valeurs expressives ne peuvent exister que si toutes les personnes représentées, y compris les mineurs, tirent un avantage avéré de l’enregistrement. Il tient cette exigence pour un rempart nécessaire contre l’exploitation.</w:t>
      </w:r>
    </w:p>
    <w:p w:rsidR="00BC42A6" w:rsidRPr="00F73BA9" w:rsidRDefault="00BC42A6" w:rsidP="00BC42A6">
      <w:pPr>
        <w:pStyle w:val="ParaNoNdepar-AltN"/>
        <w:widowControl w:val="0"/>
        <w:rPr>
          <w:rFonts w:cs="Times New Roman"/>
          <w:lang w:val="fr-CA"/>
        </w:rPr>
      </w:pPr>
      <w:r w:rsidRPr="00F73BA9">
        <w:rPr>
          <w:rFonts w:cs="Times New Roman"/>
          <w:lang w:val="fr-CA"/>
        </w:rPr>
        <w:t>La Cour d’appel de l’Alberta lui donne raison et conclut que, [</w:t>
      </w:r>
      <w:r w:rsidRPr="00F73BA9">
        <w:rPr>
          <w:rFonts w:cs="Times New Roman"/>
          <w:smallCaps/>
          <w:lang w:val="fr-CA"/>
        </w:rPr>
        <w:t>traduction</w:t>
      </w:r>
      <w:r w:rsidRPr="00F73BA9">
        <w:rPr>
          <w:rFonts w:cs="Times New Roman"/>
          <w:lang w:val="fr-CA"/>
        </w:rPr>
        <w:t xml:space="preserve">] </w:t>
      </w:r>
      <w:r w:rsidR="008A3F71">
        <w:rPr>
          <w:rFonts w:cs="Times New Roman"/>
          <w:lang w:val="fr-CA"/>
        </w:rPr>
        <w:t>« </w:t>
      </w:r>
      <w:r w:rsidRPr="00F73BA9">
        <w:rPr>
          <w:rFonts w:cs="Times New Roman"/>
          <w:lang w:val="fr-CA"/>
        </w:rPr>
        <w:t>[p]our pouvoir invoquer la défense relative à l’usage personnel, il faut prouver que les parties ont voulu que le matériel pornographique soit réservé à l’usage personnel [du plaignant] et de l’appelant, ce qu’on appelle parfois des avantages mutuels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 xml:space="preserve">13, citant </w:t>
      </w:r>
      <w:r w:rsidRPr="00F73BA9">
        <w:rPr>
          <w:rFonts w:cs="Times New Roman"/>
          <w:i/>
          <w:lang w:val="fr-CA"/>
        </w:rPr>
        <w:t>Cockell</w:t>
      </w:r>
      <w:r w:rsidRPr="00F73BA9">
        <w:rPr>
          <w:rFonts w:cs="Times New Roman"/>
          <w:lang w:val="fr-CA"/>
        </w:rPr>
        <w:t>, par.</w:t>
      </w:r>
      <w:r>
        <w:rPr>
          <w:rFonts w:cs="Times New Roman"/>
          <w:lang w:val="fr-CA"/>
        </w:rPr>
        <w:t xml:space="preserve"> </w:t>
      </w:r>
      <w:r w:rsidRPr="00F73BA9">
        <w:rPr>
          <w:rFonts w:cs="Times New Roman"/>
          <w:lang w:val="fr-CA"/>
        </w:rPr>
        <w:t>36).</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Je ne peux souscrire à cette interprétation de l’arrêt </w:t>
      </w:r>
      <w:r w:rsidRPr="00F73BA9">
        <w:rPr>
          <w:rFonts w:cs="Times New Roman"/>
          <w:i/>
          <w:lang w:val="fr-CA"/>
        </w:rPr>
        <w:t>Sharpe</w:t>
      </w:r>
      <w:r w:rsidRPr="00F73BA9">
        <w:rPr>
          <w:rFonts w:cs="Times New Roman"/>
          <w:lang w:val="fr-CA"/>
        </w:rPr>
        <w:t xml:space="preserve">, où la Cour n’affirme pas que l’existence d’avantages mutuels constitue une condition, indépendante, de l’applicabilité de l’exception relative à l’usage personnel. Elle dit plutôt que le matériel en cause doit être </w:t>
      </w:r>
      <w:r w:rsidR="008A3F71">
        <w:rPr>
          <w:rFonts w:cs="Times New Roman"/>
          <w:lang w:val="fr-CA"/>
        </w:rPr>
        <w:t>« </w:t>
      </w:r>
      <w:r w:rsidRPr="00F73BA9">
        <w:rPr>
          <w:rFonts w:cs="Times New Roman"/>
          <w:lang w:val="fr-CA"/>
        </w:rPr>
        <w:t>destiné exclusivement à l’usage personnel de son auteur et des personnes qui y sont représentées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116). À mon avis, ce passage ne permet pas de conclure que l’existence d’</w:t>
      </w:r>
      <w:r w:rsidR="008A3F71">
        <w:rPr>
          <w:rFonts w:cs="Times New Roman"/>
          <w:lang w:val="fr-CA"/>
        </w:rPr>
        <w:t>« </w:t>
      </w:r>
      <w:r w:rsidRPr="00F73BA9">
        <w:rPr>
          <w:rFonts w:cs="Times New Roman"/>
          <w:lang w:val="fr-CA"/>
        </w:rPr>
        <w:t>avantages mutuels</w:t>
      </w:r>
      <w:r w:rsidR="008A3F71">
        <w:rPr>
          <w:rFonts w:cs="Times New Roman"/>
          <w:lang w:val="fr-CA"/>
        </w:rPr>
        <w:t> »</w:t>
      </w:r>
      <w:r w:rsidRPr="00F73BA9">
        <w:rPr>
          <w:rFonts w:cs="Times New Roman"/>
          <w:lang w:val="fr-CA"/>
        </w:rPr>
        <w:t xml:space="preserve"> constitue une condition de l’applicabilité de l’exception. Il établit simplement que l’usage personnel s’entend uniquement de l’usage par l’auteur du matériel et les personnes qui sont représentées, personne d’autre. Il appartient donc aux personnes consentantes de déterminer les avantages possibles. L’ajout de l’existence d’</w:t>
      </w:r>
      <w:r w:rsidR="008A3F71">
        <w:rPr>
          <w:rFonts w:cs="Times New Roman"/>
          <w:lang w:val="fr-CA"/>
        </w:rPr>
        <w:t>« </w:t>
      </w:r>
      <w:r w:rsidRPr="00F73BA9">
        <w:rPr>
          <w:rFonts w:cs="Times New Roman"/>
          <w:lang w:val="fr-CA"/>
        </w:rPr>
        <w:t>avantages mutuels</w:t>
      </w:r>
      <w:r w:rsidR="008A3F71">
        <w:rPr>
          <w:rFonts w:cs="Times New Roman"/>
          <w:lang w:val="fr-CA"/>
        </w:rPr>
        <w:t> »</w:t>
      </w:r>
      <w:r w:rsidRPr="00F73BA9">
        <w:rPr>
          <w:rFonts w:cs="Times New Roman"/>
          <w:lang w:val="fr-CA"/>
        </w:rPr>
        <w:t xml:space="preserve"> aux conditions d’application de l’exception relative à l’usage personnel compliquerait inutilement la démarche et ne présenterait guère d’avantages.</w:t>
      </w:r>
    </w:p>
    <w:p w:rsidR="00BC42A6" w:rsidRPr="00F73BA9" w:rsidRDefault="00BC42A6" w:rsidP="00BC42A6">
      <w:pPr>
        <w:pStyle w:val="ParaNoNdepar-AltN"/>
        <w:widowControl w:val="0"/>
        <w:rPr>
          <w:rFonts w:cs="Times New Roman"/>
          <w:lang w:val="fr-CA"/>
        </w:rPr>
      </w:pPr>
      <w:r w:rsidRPr="00F73BA9">
        <w:rPr>
          <w:rFonts w:cs="Times New Roman"/>
          <w:lang w:val="fr-CA"/>
        </w:rPr>
        <w:lastRenderedPageBreak/>
        <w:t xml:space="preserve">Pour conclure, l’exception relative à l’usage personnel reconnue dans l’arrêt </w:t>
      </w:r>
      <w:r w:rsidRPr="00F73BA9">
        <w:rPr>
          <w:rFonts w:cs="Times New Roman"/>
          <w:i/>
          <w:lang w:val="fr-CA"/>
        </w:rPr>
        <w:t>Sharpe</w:t>
      </w:r>
      <w:r w:rsidRPr="00F73BA9">
        <w:rPr>
          <w:rFonts w:cs="Times New Roman"/>
          <w:lang w:val="fr-CA"/>
        </w:rPr>
        <w:t xml:space="preserve"> ne s’applique que si les conditions suivantes sont respectées</w:t>
      </w:r>
      <w:r>
        <w:rPr>
          <w:rFonts w:cs="Times New Roman"/>
          <w:lang w:val="fr-CA"/>
        </w:rPr>
        <w:t> :</w:t>
      </w:r>
      <w:r w:rsidRPr="00F73BA9">
        <w:rPr>
          <w:rFonts w:cs="Times New Roman"/>
          <w:lang w:val="fr-CA"/>
        </w:rPr>
        <w:t xml:space="preserve"> (1)</w:t>
      </w:r>
      <w:r>
        <w:rPr>
          <w:rFonts w:cs="Times New Roman"/>
          <w:lang w:val="fr-CA"/>
        </w:rPr>
        <w:t xml:space="preserve"> </w:t>
      </w:r>
      <w:r w:rsidRPr="00F73BA9">
        <w:rPr>
          <w:rFonts w:cs="Times New Roman"/>
          <w:lang w:val="fr-CA"/>
        </w:rPr>
        <w:t>l’activité sexuelle est légale, (2)</w:t>
      </w:r>
      <w:r>
        <w:rPr>
          <w:rFonts w:cs="Times New Roman"/>
          <w:lang w:val="fr-CA"/>
        </w:rPr>
        <w:t xml:space="preserve"> </w:t>
      </w:r>
      <w:r w:rsidRPr="00F73BA9">
        <w:rPr>
          <w:rFonts w:cs="Times New Roman"/>
          <w:lang w:val="fr-CA"/>
        </w:rPr>
        <w:t>tous les participants ont consenti à l’enregistrement et (3)</w:t>
      </w:r>
      <w:r>
        <w:rPr>
          <w:rFonts w:cs="Times New Roman"/>
          <w:lang w:val="fr-CA"/>
        </w:rPr>
        <w:t xml:space="preserve"> </w:t>
      </w:r>
      <w:r w:rsidRPr="00F73BA9">
        <w:rPr>
          <w:rFonts w:cs="Times New Roman"/>
          <w:lang w:val="fr-CA"/>
        </w:rPr>
        <w:t>l’enregistrement est créé et conservé strictement pour l’usage personnel des personnes en cause. On ne peut se prononcer sur la légalité de l’activité sexuelle enregistrée en la considérant isolément. Lorsque le ministère public invoque l’art.</w:t>
      </w:r>
      <w:r>
        <w:rPr>
          <w:rFonts w:cs="Times New Roman"/>
          <w:lang w:val="fr-CA"/>
        </w:rPr>
        <w:t xml:space="preserve"> </w:t>
      </w:r>
      <w:r w:rsidRPr="00F73BA9">
        <w:rPr>
          <w:rFonts w:cs="Times New Roman"/>
          <w:lang w:val="fr-CA"/>
        </w:rPr>
        <w:t>153 pour contester la légalité de l’activité sexuelle représentée, le tribunal doit également se demander si celle</w:t>
      </w:r>
      <w:r>
        <w:rPr>
          <w:rFonts w:cs="Times New Roman"/>
          <w:lang w:val="fr-CA"/>
        </w:rPr>
        <w:t>-</w:t>
      </w:r>
      <w:r w:rsidRPr="00F73BA9">
        <w:rPr>
          <w:rFonts w:cs="Times New Roman"/>
          <w:lang w:val="fr-CA"/>
        </w:rPr>
        <w:t>ci a eu lieu dans le contexte d’une relation d’exploitation. Dans l’affirmative, l’activité sexuelle n’est pas légale et l’exception relative à l’usage personnel ne s’applique pas.</w:t>
      </w:r>
    </w:p>
    <w:p w:rsidR="00BC42A6" w:rsidRPr="00F73BA9" w:rsidRDefault="00BC42A6" w:rsidP="00BC42A6">
      <w:pPr>
        <w:pStyle w:val="Title1LevelTitre1Niveau-AltL"/>
        <w:widowControl w:val="0"/>
        <w:rPr>
          <w:rFonts w:cs="Times New Roman"/>
          <w:lang w:val="fr-CA"/>
        </w:rPr>
      </w:pPr>
      <w:r w:rsidRPr="00F73BA9">
        <w:rPr>
          <w:rFonts w:cs="Times New Roman"/>
          <w:lang w:val="fr-CA"/>
        </w:rPr>
        <w:t>Application à l’espèce</w:t>
      </w:r>
    </w:p>
    <w:p w:rsidR="00BC42A6" w:rsidRPr="00F73BA9" w:rsidRDefault="00BC42A6" w:rsidP="00BC42A6">
      <w:pPr>
        <w:pStyle w:val="ParaNoNdepar-AltN"/>
        <w:widowControl w:val="0"/>
        <w:rPr>
          <w:rFonts w:cs="Times New Roman"/>
          <w:lang w:val="fr-CA"/>
        </w:rPr>
      </w:pPr>
      <w:r w:rsidRPr="00F73BA9">
        <w:rPr>
          <w:rFonts w:cs="Times New Roman"/>
          <w:lang w:val="fr-CA"/>
        </w:rPr>
        <w:t>Le juge du procès conclut que l’activité sexuelle considérée est légale. Ce faisant, il se fonde sur un aveu apparent du ministère public sur ce point. L’aveu est intervenu lorsque le ministère public a fait valoir — tant au procès qu’en appel — un cadre juridique erroné pour l’analyse que commande l’exception relative à l’usage personnel. Le juge n’est certes pas lié par un aveu sur une question de droit lorsque cet aveu est infondé (</w:t>
      </w:r>
      <w:r w:rsidRPr="00F73BA9">
        <w:rPr>
          <w:rFonts w:cs="Times New Roman"/>
          <w:i/>
          <w:lang w:val="fr-CA"/>
        </w:rPr>
        <w:t>R. c. Pickton</w:t>
      </w:r>
      <w:r w:rsidRPr="00F73BA9">
        <w:rPr>
          <w:rFonts w:cs="Times New Roman"/>
          <w:lang w:val="fr-CA"/>
        </w:rPr>
        <w:t>, 2010 CSC 32, [2010] 2 R.C.S. 198, par.</w:t>
      </w:r>
      <w:r>
        <w:rPr>
          <w:rFonts w:cs="Times New Roman"/>
          <w:lang w:val="fr-CA"/>
        </w:rPr>
        <w:t xml:space="preserve"> </w:t>
      </w:r>
      <w:r w:rsidRPr="00F73BA9">
        <w:rPr>
          <w:rFonts w:cs="Times New Roman"/>
          <w:lang w:val="fr-CA"/>
        </w:rPr>
        <w:t xml:space="preserve">27; </w:t>
      </w:r>
      <w:r w:rsidRPr="00F73BA9">
        <w:rPr>
          <w:rFonts w:cs="Times New Roman"/>
          <w:i/>
          <w:lang w:val="fr-CA"/>
        </w:rPr>
        <w:t>R</w:t>
      </w:r>
      <w:r w:rsidR="00E30269">
        <w:rPr>
          <w:rFonts w:cs="Times New Roman"/>
          <w:i/>
          <w:lang w:val="fr-CA"/>
        </w:rPr>
        <w:t>.</w:t>
      </w:r>
      <w:r w:rsidRPr="00F73BA9">
        <w:rPr>
          <w:rFonts w:cs="Times New Roman"/>
          <w:i/>
          <w:lang w:val="fr-CA"/>
        </w:rPr>
        <w:t xml:space="preserve"> c. Sappier</w:t>
      </w:r>
      <w:r w:rsidRPr="00F73BA9">
        <w:rPr>
          <w:rFonts w:cs="Times New Roman"/>
          <w:lang w:val="fr-CA"/>
        </w:rPr>
        <w:t>, 2006 CSC 54, [2006] 2 R.C.S. 686, par.</w:t>
      </w:r>
      <w:r>
        <w:rPr>
          <w:rFonts w:cs="Times New Roman"/>
          <w:lang w:val="fr-CA"/>
        </w:rPr>
        <w:t xml:space="preserve"> </w:t>
      </w:r>
      <w:r w:rsidRPr="00F73BA9">
        <w:rPr>
          <w:rFonts w:cs="Times New Roman"/>
          <w:lang w:val="fr-CA"/>
        </w:rPr>
        <w:t>62</w:t>
      </w:r>
      <w:r>
        <w:rPr>
          <w:rFonts w:cs="Times New Roman"/>
          <w:lang w:val="fr-CA"/>
        </w:rPr>
        <w:t>-</w:t>
      </w:r>
      <w:r w:rsidRPr="00F73BA9">
        <w:rPr>
          <w:rFonts w:cs="Times New Roman"/>
          <w:lang w:val="fr-CA"/>
        </w:rPr>
        <w:t xml:space="preserve">64; </w:t>
      </w:r>
      <w:r w:rsidRPr="00F73BA9">
        <w:rPr>
          <w:rFonts w:cs="Times New Roman"/>
          <w:i/>
          <w:lang w:val="fr-CA"/>
        </w:rPr>
        <w:t>M. c. H.</w:t>
      </w:r>
      <w:r w:rsidRPr="00F73BA9">
        <w:rPr>
          <w:rFonts w:cs="Times New Roman"/>
          <w:lang w:val="fr-CA"/>
        </w:rPr>
        <w:t>, [1999] 2 R.C.S. 3, par.</w:t>
      </w:r>
      <w:r>
        <w:rPr>
          <w:rFonts w:cs="Times New Roman"/>
          <w:lang w:val="fr-CA"/>
        </w:rPr>
        <w:t xml:space="preserve"> </w:t>
      </w:r>
      <w:r w:rsidRPr="00F73BA9">
        <w:rPr>
          <w:rFonts w:cs="Times New Roman"/>
          <w:lang w:val="fr-CA"/>
        </w:rPr>
        <w:t>45). Cependant, même si la position du ministère public était erronée en droit, le fait que l’éventualité d’une exploitation a été invoquée au procès</w:t>
      </w:r>
      <w:r w:rsidRPr="00F73BA9">
        <w:rPr>
          <w:rFonts w:cs="Times New Roman"/>
          <w:szCs w:val="24"/>
          <w:lang w:val="fr-CA"/>
        </w:rPr>
        <w:t xml:space="preserve"> </w:t>
      </w:r>
      <w:r w:rsidRPr="00F73BA9">
        <w:rPr>
          <w:rFonts w:cs="Times New Roman"/>
          <w:lang w:val="fr-CA"/>
        </w:rPr>
        <w:t>(quoiqu</w:t>
      </w:r>
      <w:r w:rsidR="00E30269">
        <w:rPr>
          <w:rFonts w:cs="Times New Roman"/>
          <w:lang w:val="fr-CA"/>
        </w:rPr>
        <w:t>’</w:t>
      </w:r>
      <w:r w:rsidRPr="00F73BA9">
        <w:rPr>
          <w:rFonts w:cs="Times New Roman"/>
          <w:lang w:val="fr-CA"/>
        </w:rPr>
        <w:t xml:space="preserve">à titre d’élément distinct du critère de l’arrêt </w:t>
      </w:r>
      <w:r w:rsidRPr="00F73BA9">
        <w:rPr>
          <w:rFonts w:cs="Times New Roman"/>
          <w:i/>
          <w:lang w:val="fr-CA"/>
        </w:rPr>
        <w:t>Sharpe</w:t>
      </w:r>
      <w:r w:rsidRPr="00F73BA9">
        <w:rPr>
          <w:rFonts w:cs="Times New Roman"/>
          <w:lang w:val="fr-CA"/>
        </w:rPr>
        <w:t xml:space="preserve">) l’emporte sur tout préjudice susceptible d’avoir été causé aux appelants </w:t>
      </w:r>
      <w:r w:rsidRPr="00F73BA9">
        <w:rPr>
          <w:rFonts w:cs="Times New Roman"/>
          <w:szCs w:val="24"/>
          <w:lang w:val="fr-CA"/>
        </w:rPr>
        <w:t xml:space="preserve">par cette position juridique erronée. </w:t>
      </w:r>
      <w:r w:rsidRPr="00F73BA9">
        <w:rPr>
          <w:rFonts w:cs="Times New Roman"/>
          <w:szCs w:val="24"/>
          <w:lang w:val="fr-CA"/>
        </w:rPr>
        <w:lastRenderedPageBreak/>
        <w:t>Autrement dit</w:t>
      </w:r>
      <w:r w:rsidRPr="00F73BA9">
        <w:rPr>
          <w:rFonts w:cs="Times New Roman"/>
          <w:lang w:val="fr-CA"/>
        </w:rPr>
        <w:t>, malgré sa formulation du critère juridique applicable en l’espèce, le ministère public estimait clairement que l’exception relative à l’usage personnel ne s’appliquait pas à cause de la relation d’exploitation qui existait entre les deux appelants et K et D.</w:t>
      </w:r>
      <w:r w:rsidRPr="00F73BA9" w:rsidDel="009A4DBE">
        <w:rPr>
          <w:rFonts w:cs="Times New Roman"/>
          <w:lang w:val="fr-CA"/>
        </w:rPr>
        <w:t xml:space="preserve"> </w:t>
      </w:r>
      <w:r w:rsidRPr="00F73BA9">
        <w:rPr>
          <w:rFonts w:cs="Times New Roman"/>
          <w:lang w:val="fr-CA"/>
        </w:rPr>
        <w:t>Pour déterminer si l’exception pouvait être opposée en défense, le juge du procès était donc tenu de se demander s’il y avait bel et bien exploitation au sens de l’art.</w:t>
      </w:r>
      <w:r>
        <w:rPr>
          <w:rFonts w:cs="Times New Roman"/>
          <w:lang w:val="fr-CA"/>
        </w:rPr>
        <w:t xml:space="preserve"> </w:t>
      </w:r>
      <w:r w:rsidRPr="00F73BA9">
        <w:rPr>
          <w:rFonts w:cs="Times New Roman"/>
          <w:lang w:val="fr-CA"/>
        </w:rPr>
        <w:t>153.</w:t>
      </w:r>
    </w:p>
    <w:p w:rsidR="00BC42A6" w:rsidRPr="00F73BA9" w:rsidRDefault="00BC42A6" w:rsidP="00BC42A6">
      <w:pPr>
        <w:pStyle w:val="ParaNoNdepar-AltN"/>
        <w:widowControl w:val="0"/>
        <w:rPr>
          <w:rFonts w:cs="Times New Roman"/>
          <w:lang w:val="fr-CA"/>
        </w:rPr>
      </w:pPr>
      <w:r w:rsidRPr="00F73BA9">
        <w:rPr>
          <w:rFonts w:cs="Times New Roman"/>
          <w:lang w:val="fr-CA"/>
        </w:rPr>
        <w:t>Il ressort de ses conclusions que le juge du procès ne s’est pas demandé si la relation générale en était une d’exploitation au sens de l’art.</w:t>
      </w:r>
      <w:r>
        <w:rPr>
          <w:rFonts w:cs="Times New Roman"/>
          <w:lang w:val="fr-CA"/>
        </w:rPr>
        <w:t xml:space="preserve"> </w:t>
      </w:r>
      <w:r w:rsidRPr="00F73BA9">
        <w:rPr>
          <w:rFonts w:cs="Times New Roman"/>
          <w:lang w:val="fr-CA"/>
        </w:rPr>
        <w:t>153. Lorsqu’il se penche sur des éléments de preuve pertinents pour statuer sur l’exploitation, il le fait en vase clos, les examinant un à la fois. À titre d’exemple, il relève l’âge des plaignantes et la grande différence d’âge entre elles et les appelants, mais il conclut que ces éléments ne permettent pas de conclure à une [</w:t>
      </w:r>
      <w:r w:rsidRPr="00F73BA9">
        <w:rPr>
          <w:rFonts w:cs="Times New Roman"/>
          <w:smallCaps/>
          <w:lang w:val="fr-CA"/>
        </w:rPr>
        <w:t>traduction</w:t>
      </w:r>
      <w:r w:rsidRPr="00F73BA9">
        <w:rPr>
          <w:rFonts w:cs="Times New Roman"/>
          <w:lang w:val="fr-CA"/>
        </w:rPr>
        <w:t xml:space="preserve">] </w:t>
      </w:r>
      <w:r w:rsidR="008A3F71">
        <w:rPr>
          <w:rFonts w:cs="Times New Roman"/>
          <w:lang w:val="fr-CA"/>
        </w:rPr>
        <w:t>« </w:t>
      </w:r>
      <w:r w:rsidRPr="00F73BA9">
        <w:rPr>
          <w:rFonts w:cs="Times New Roman"/>
          <w:lang w:val="fr-CA"/>
        </w:rPr>
        <w:t>forme intrinsèque d’exploitation ou d’abus</w:t>
      </w:r>
      <w:r w:rsidR="008A3F71">
        <w:rPr>
          <w:rFonts w:cs="Times New Roman"/>
          <w:lang w:val="fr-CA"/>
        </w:rPr>
        <w:t> »</w:t>
      </w:r>
      <w:r w:rsidRPr="00F73BA9">
        <w:rPr>
          <w:rFonts w:cs="Times New Roman"/>
          <w:lang w:val="fr-CA"/>
        </w:rPr>
        <w:t xml:space="preserve"> (par.</w:t>
      </w:r>
      <w:r>
        <w:rPr>
          <w:rFonts w:cs="Times New Roman"/>
          <w:lang w:val="fr-CA"/>
        </w:rPr>
        <w:t xml:space="preserve"> </w:t>
      </w:r>
      <w:r w:rsidRPr="00F73BA9">
        <w:rPr>
          <w:rFonts w:cs="Times New Roman"/>
          <w:lang w:val="fr-CA"/>
        </w:rPr>
        <w:t>226). Cependant, il ne considère pas l’écart à la lumière d’autres aspects de la relation, tels l’impact des dépendances des plaignantes, leur besoin d’un toit ou leurs expériences passées et actuelles de vagabondage et de prostitution. En bref, il omet d’examiner les éléments en cause à la lumière du contexte global ou de la question de savoir si, cumulativement, ces éléments donnent lieu à une relation d’exploitation.</w:t>
      </w:r>
    </w:p>
    <w:p w:rsidR="00BC42A6" w:rsidRPr="00F73BA9" w:rsidRDefault="00BC42A6" w:rsidP="00BC42A6">
      <w:pPr>
        <w:pStyle w:val="ParaNoNdepar-AltN"/>
        <w:widowControl w:val="0"/>
        <w:rPr>
          <w:rFonts w:cs="Times New Roman"/>
          <w:lang w:val="fr-CA"/>
        </w:rPr>
      </w:pPr>
      <w:r w:rsidRPr="00F73BA9">
        <w:rPr>
          <w:rFonts w:cs="Times New Roman"/>
          <w:lang w:val="fr-CA"/>
        </w:rPr>
        <w:t xml:space="preserve">L’analyse du juge du procès s’attache surtout au caractère volontaire de la participation à certaines </w:t>
      </w:r>
      <w:r w:rsidRPr="00F73BA9">
        <w:rPr>
          <w:rFonts w:cs="Times New Roman"/>
          <w:i/>
          <w:lang w:val="fr-CA"/>
        </w:rPr>
        <w:t>activités</w:t>
      </w:r>
      <w:r w:rsidRPr="00F73BA9">
        <w:rPr>
          <w:rFonts w:cs="Times New Roman"/>
          <w:lang w:val="fr-CA"/>
        </w:rPr>
        <w:t xml:space="preserve">, plutôt qu’à la nature de la </w:t>
      </w:r>
      <w:r w:rsidRPr="00F73BA9">
        <w:rPr>
          <w:rFonts w:cs="Times New Roman"/>
          <w:i/>
          <w:lang w:val="fr-CA"/>
        </w:rPr>
        <w:t>relation</w:t>
      </w:r>
      <w:r w:rsidRPr="00F73BA9">
        <w:rPr>
          <w:rFonts w:cs="Times New Roman"/>
          <w:lang w:val="fr-CA"/>
        </w:rPr>
        <w:t xml:space="preserve"> entre les parties. Bien que le caractère volontaire d’une activité sexuelle compte pour beaucoup dans sa légalité, il ne suffit pas. Le juge devait aussi examiner globalement la nature de la </w:t>
      </w:r>
      <w:r w:rsidRPr="00F73BA9">
        <w:rPr>
          <w:rFonts w:cs="Times New Roman"/>
          <w:lang w:val="fr-CA"/>
        </w:rPr>
        <w:lastRenderedPageBreak/>
        <w:t>relation et les circonstances qui l’entouraient pour déterminer si l’activité sexuelle était légale ou non au regard de l’art.</w:t>
      </w:r>
      <w:r>
        <w:rPr>
          <w:rFonts w:cs="Times New Roman"/>
          <w:lang w:val="fr-CA"/>
        </w:rPr>
        <w:t xml:space="preserve"> </w:t>
      </w:r>
      <w:r w:rsidRPr="00F73BA9">
        <w:rPr>
          <w:rFonts w:cs="Times New Roman"/>
          <w:lang w:val="fr-CA"/>
        </w:rPr>
        <w:t>153. Son omission de se demander si la relation sous</w:t>
      </w:r>
      <w:r>
        <w:rPr>
          <w:rFonts w:cs="Times New Roman"/>
          <w:lang w:val="fr-CA"/>
        </w:rPr>
        <w:t>-</w:t>
      </w:r>
      <w:r w:rsidRPr="00F73BA9">
        <w:rPr>
          <w:rFonts w:cs="Times New Roman"/>
          <w:lang w:val="fr-CA"/>
        </w:rPr>
        <w:t>jacente entre les plaignantes et les appelants en est une d’exploitation constitue une erreur de droit.</w:t>
      </w:r>
    </w:p>
    <w:p w:rsidR="00BC42A6" w:rsidRPr="00F73BA9" w:rsidRDefault="00BC42A6" w:rsidP="00BC42A6">
      <w:pPr>
        <w:pStyle w:val="ParaNoNdepar-AltN"/>
        <w:widowControl w:val="0"/>
        <w:rPr>
          <w:rFonts w:cs="Times New Roman"/>
          <w:lang w:val="fr-CA"/>
        </w:rPr>
      </w:pPr>
      <w:r w:rsidRPr="00F73BA9">
        <w:rPr>
          <w:rFonts w:cs="Times New Roman"/>
          <w:lang w:val="fr-CA"/>
        </w:rPr>
        <w:t>En conséquence, même si la Cour d’appel a commis une erreur de droit dans sa démarche, j’estime que le juge du procès a eu tort de ne pas se demander si l’activité sexuelle était légale ou non au regard de l’art.</w:t>
      </w:r>
      <w:r>
        <w:rPr>
          <w:rFonts w:cs="Times New Roman"/>
          <w:lang w:val="fr-CA"/>
        </w:rPr>
        <w:t xml:space="preserve"> </w:t>
      </w:r>
      <w:r w:rsidRPr="00F73BA9">
        <w:rPr>
          <w:rFonts w:cs="Times New Roman"/>
          <w:lang w:val="fr-CA"/>
        </w:rPr>
        <w:t xml:space="preserve">153 du </w:t>
      </w:r>
      <w:r w:rsidR="00A26781">
        <w:rPr>
          <w:rFonts w:cs="Times New Roman"/>
          <w:i/>
          <w:lang w:val="fr-CA"/>
        </w:rPr>
        <w:t>Code</w:t>
      </w:r>
      <w:r w:rsidRPr="00F73BA9">
        <w:rPr>
          <w:rFonts w:cs="Times New Roman"/>
          <w:lang w:val="fr-CA"/>
        </w:rPr>
        <w:t>. Vu ses conclusions de fait, je ne suis toutefois pas convaincue que MM.</w:t>
      </w:r>
      <w:r>
        <w:rPr>
          <w:rFonts w:cs="Times New Roman"/>
          <w:lang w:val="fr-CA"/>
        </w:rPr>
        <w:t xml:space="preserve"> </w:t>
      </w:r>
      <w:r w:rsidRPr="00F73BA9">
        <w:rPr>
          <w:rFonts w:cs="Times New Roman"/>
          <w:lang w:val="fr-CA"/>
        </w:rPr>
        <w:t>Barabash et Rollison auraient été déclarés coupables n’eût été l’erreur de droit (</w:t>
      </w:r>
      <w:r w:rsidR="00E30269" w:rsidRPr="00E30269">
        <w:rPr>
          <w:rFonts w:cs="Times New Roman"/>
          <w:i/>
          <w:lang w:val="fr-CA"/>
        </w:rPr>
        <w:t>Code criminel</w:t>
      </w:r>
      <w:r w:rsidR="00E30269">
        <w:rPr>
          <w:rFonts w:cs="Times New Roman"/>
          <w:lang w:val="fr-CA"/>
        </w:rPr>
        <w:t xml:space="preserve">, </w:t>
      </w:r>
      <w:r w:rsidRPr="00F73BA9">
        <w:rPr>
          <w:rFonts w:cs="Times New Roman"/>
          <w:lang w:val="fr-CA"/>
        </w:rPr>
        <w:t>sous</w:t>
      </w:r>
      <w:r>
        <w:rPr>
          <w:rFonts w:cs="Times New Roman"/>
          <w:lang w:val="fr-CA"/>
        </w:rPr>
        <w:t>-</w:t>
      </w:r>
      <w:r w:rsidRPr="00F73BA9">
        <w:rPr>
          <w:rFonts w:cs="Times New Roman"/>
          <w:lang w:val="fr-CA"/>
        </w:rPr>
        <w:t>al.</w:t>
      </w:r>
      <w:r>
        <w:rPr>
          <w:rFonts w:cs="Times New Roman"/>
          <w:lang w:val="fr-CA"/>
        </w:rPr>
        <w:t xml:space="preserve"> </w:t>
      </w:r>
      <w:r w:rsidRPr="00F73BA9">
        <w:rPr>
          <w:rFonts w:cs="Times New Roman"/>
          <w:lang w:val="fr-CA"/>
        </w:rPr>
        <w:t>686(4)</w:t>
      </w:r>
      <w:r w:rsidRPr="00F73BA9">
        <w:rPr>
          <w:rFonts w:cs="Times New Roman"/>
          <w:i/>
          <w:lang w:val="fr-CA"/>
        </w:rPr>
        <w:t>b</w:t>
      </w:r>
      <w:r w:rsidRPr="00F73BA9">
        <w:rPr>
          <w:rFonts w:cs="Times New Roman"/>
          <w:lang w:val="fr-CA"/>
        </w:rPr>
        <w:t>)(ii)). Je suis donc d’avis de ne pas confirmer les déclarations de culpabilité de la Cour d’appel, d’autant plus que l’erreur résulte en partie de l’aveu erroné du ministère public au procès.</w:t>
      </w:r>
    </w:p>
    <w:p w:rsidR="00BC42A6" w:rsidRPr="00F73BA9" w:rsidRDefault="00BC42A6" w:rsidP="00BC42A6">
      <w:pPr>
        <w:pStyle w:val="ParaNoNdepar-AltN"/>
        <w:widowControl w:val="0"/>
        <w:rPr>
          <w:rFonts w:cs="Times New Roman"/>
          <w:lang w:val="fr-CA"/>
        </w:rPr>
      </w:pPr>
      <w:r w:rsidRPr="00F73BA9">
        <w:rPr>
          <w:rFonts w:cs="Times New Roman"/>
          <w:lang w:val="fr-CA"/>
        </w:rPr>
        <w:t>Il y a lieu de rétablir les acquittements à moins que le ministère public n’établisse que l’erreur de droit du juge du procès a eu une incidence significative sur ceux</w:t>
      </w:r>
      <w:r>
        <w:rPr>
          <w:rFonts w:cs="Times New Roman"/>
          <w:lang w:val="fr-CA"/>
        </w:rPr>
        <w:t>-</w:t>
      </w:r>
      <w:r w:rsidRPr="00F73BA9">
        <w:rPr>
          <w:rFonts w:cs="Times New Roman"/>
          <w:lang w:val="fr-CA"/>
        </w:rPr>
        <w:t>ci (</w:t>
      </w:r>
      <w:r w:rsidRPr="00F73BA9">
        <w:rPr>
          <w:rFonts w:cs="Times New Roman"/>
          <w:i/>
          <w:lang w:val="fr-CA"/>
        </w:rPr>
        <w:t>R. c. Graveline</w:t>
      </w:r>
      <w:r w:rsidRPr="00F73BA9">
        <w:rPr>
          <w:rFonts w:cs="Times New Roman"/>
          <w:lang w:val="fr-CA"/>
        </w:rPr>
        <w:t>, 2006 CSC 16, [2006] 1 R.C.S. 609, par.</w:t>
      </w:r>
      <w:r>
        <w:rPr>
          <w:rFonts w:cs="Times New Roman"/>
          <w:lang w:val="fr-CA"/>
        </w:rPr>
        <w:t xml:space="preserve"> </w:t>
      </w:r>
      <w:r w:rsidRPr="00F73BA9">
        <w:rPr>
          <w:rFonts w:cs="Times New Roman"/>
          <w:lang w:val="fr-CA"/>
        </w:rPr>
        <w:t xml:space="preserve">14; </w:t>
      </w:r>
      <w:r w:rsidRPr="00F73BA9">
        <w:rPr>
          <w:rFonts w:cs="Times New Roman"/>
          <w:i/>
          <w:lang w:val="fr-CA"/>
        </w:rPr>
        <w:t>R. c. Morin</w:t>
      </w:r>
      <w:r w:rsidRPr="00F73BA9">
        <w:rPr>
          <w:rFonts w:cs="Times New Roman"/>
          <w:lang w:val="fr-CA"/>
        </w:rPr>
        <w:t>, [1988]</w:t>
      </w:r>
      <w:r w:rsidRPr="00F73BA9">
        <w:rPr>
          <w:rFonts w:cs="Times New Roman"/>
          <w:i/>
          <w:lang w:val="fr-CA"/>
        </w:rPr>
        <w:t xml:space="preserve"> </w:t>
      </w:r>
      <w:r w:rsidRPr="00F73BA9">
        <w:rPr>
          <w:rFonts w:cs="Times New Roman"/>
          <w:lang w:val="fr-CA"/>
        </w:rPr>
        <w:t>2 R.C.S. 345, p.</w:t>
      </w:r>
      <w:r>
        <w:rPr>
          <w:rFonts w:cs="Times New Roman"/>
          <w:lang w:val="fr-CA"/>
        </w:rPr>
        <w:t xml:space="preserve"> </w:t>
      </w:r>
      <w:r w:rsidRPr="00F73BA9">
        <w:rPr>
          <w:rFonts w:cs="Times New Roman"/>
          <w:lang w:val="fr-CA"/>
        </w:rPr>
        <w:t>374). Les appelants estiment que, indépendamment de cette erreur de droit, les conclusions de fait du juge du procès l’auraient nécessairement amené à conclure à l’absence d’exploitation en l’espèce, de sorte que les acquittements doivent être rétablis. Soit dit en tout respect, je ne suis pas d’accord.</w:t>
      </w:r>
    </w:p>
    <w:p w:rsidR="00BC42A6" w:rsidRPr="00F73BA9" w:rsidRDefault="00BC42A6" w:rsidP="00BC42A6">
      <w:pPr>
        <w:pStyle w:val="ParaNoNdepar-AltN"/>
        <w:widowControl w:val="0"/>
        <w:rPr>
          <w:rFonts w:cs="Times New Roman"/>
          <w:szCs w:val="24"/>
          <w:lang w:val="fr-CA"/>
        </w:rPr>
      </w:pPr>
      <w:r w:rsidRPr="00F73BA9">
        <w:rPr>
          <w:rFonts w:cs="Times New Roman"/>
          <w:szCs w:val="24"/>
          <w:lang w:val="fr-CA"/>
        </w:rPr>
        <w:t xml:space="preserve">À titre d’exemple, le juge conclut que K et D ont pu être intoxiquées par la drogue ou l’alcool lorsque se sont déroulées les activités sexuelles enregistrées, </w:t>
      </w:r>
      <w:r w:rsidRPr="00F73BA9">
        <w:rPr>
          <w:rFonts w:cs="Times New Roman"/>
          <w:szCs w:val="24"/>
          <w:lang w:val="fr-CA"/>
        </w:rPr>
        <w:lastRenderedPageBreak/>
        <w:t>mais qu’elles ont néanmoins été conscientes de leur nudité, des activités sexuelles auxquelles elles se sont livrées et de l’enregistrement de celles</w:t>
      </w:r>
      <w:r>
        <w:rPr>
          <w:rFonts w:cs="Times New Roman"/>
          <w:szCs w:val="24"/>
          <w:lang w:val="fr-CA"/>
        </w:rPr>
        <w:t>-</w:t>
      </w:r>
      <w:r w:rsidRPr="00F73BA9">
        <w:rPr>
          <w:rFonts w:cs="Times New Roman"/>
          <w:szCs w:val="24"/>
          <w:lang w:val="fr-CA"/>
        </w:rPr>
        <w:t>ci, et y ont consenti. Selon lui, les plaignantes n’ont fait l’objet d’aucune contrainte et elles n’ont pas fourni de services sexuels ou posé nues contre de la drogue. Au contraire, elles ont [</w:t>
      </w:r>
      <w:r w:rsidRPr="00F73BA9">
        <w:rPr>
          <w:rFonts w:cs="Times New Roman"/>
          <w:smallCaps/>
          <w:szCs w:val="24"/>
          <w:lang w:val="fr-CA"/>
        </w:rPr>
        <w:t>traduction</w:t>
      </w:r>
      <w:r w:rsidRPr="00F73BA9">
        <w:rPr>
          <w:rFonts w:cs="Times New Roman"/>
          <w:szCs w:val="24"/>
          <w:lang w:val="fr-CA"/>
        </w:rPr>
        <w:t xml:space="preserve">] </w:t>
      </w:r>
      <w:r w:rsidR="008A3F71">
        <w:rPr>
          <w:rFonts w:cs="Times New Roman"/>
          <w:szCs w:val="24"/>
          <w:lang w:val="fr-CA"/>
        </w:rPr>
        <w:t>« </w:t>
      </w:r>
      <w:r w:rsidRPr="00F73BA9">
        <w:rPr>
          <w:rFonts w:cs="Times New Roman"/>
          <w:szCs w:val="24"/>
          <w:lang w:val="fr-CA"/>
        </w:rPr>
        <w:t>initi[é] et dirig[é] bon nombre des activités</w:t>
      </w:r>
      <w:r w:rsidR="008A3F71">
        <w:rPr>
          <w:rFonts w:cs="Times New Roman"/>
          <w:szCs w:val="24"/>
          <w:lang w:val="fr-CA"/>
        </w:rPr>
        <w:t> »</w:t>
      </w:r>
      <w:r w:rsidRPr="00F73BA9">
        <w:rPr>
          <w:rFonts w:cs="Times New Roman"/>
          <w:szCs w:val="24"/>
          <w:lang w:val="fr-CA"/>
        </w:rPr>
        <w:t xml:space="preserve">, ainsi que </w:t>
      </w:r>
      <w:r w:rsidR="008A3F71">
        <w:rPr>
          <w:rFonts w:cs="Times New Roman"/>
          <w:szCs w:val="24"/>
          <w:lang w:val="fr-CA"/>
        </w:rPr>
        <w:t>« </w:t>
      </w:r>
      <w:r w:rsidRPr="00F73BA9">
        <w:rPr>
          <w:rFonts w:cs="Times New Roman"/>
          <w:szCs w:val="24"/>
          <w:lang w:val="fr-CA"/>
        </w:rPr>
        <w:t>consenti et participé de leur plein gré à la production des enregistrements</w:t>
      </w:r>
      <w:r w:rsidR="008A3F71">
        <w:rPr>
          <w:rFonts w:cs="Times New Roman"/>
          <w:szCs w:val="24"/>
          <w:lang w:val="fr-CA"/>
        </w:rPr>
        <w:t> »</w:t>
      </w:r>
      <w:r w:rsidRPr="00F73BA9">
        <w:rPr>
          <w:rFonts w:cs="Times New Roman"/>
          <w:szCs w:val="24"/>
          <w:lang w:val="fr-CA"/>
        </w:rPr>
        <w:t xml:space="preserve"> (par.</w:t>
      </w:r>
      <w:r>
        <w:rPr>
          <w:rFonts w:cs="Times New Roman"/>
          <w:szCs w:val="24"/>
          <w:lang w:val="fr-CA"/>
        </w:rPr>
        <w:t xml:space="preserve"> </w:t>
      </w:r>
      <w:r w:rsidRPr="00F73BA9">
        <w:rPr>
          <w:rFonts w:cs="Times New Roman"/>
          <w:szCs w:val="24"/>
          <w:lang w:val="fr-CA"/>
        </w:rPr>
        <w:t>100).</w:t>
      </w:r>
    </w:p>
    <w:p w:rsidR="00BC42A6" w:rsidRPr="00F73BA9" w:rsidRDefault="00BC42A6" w:rsidP="00BC42A6">
      <w:pPr>
        <w:pStyle w:val="ParaNoNdepar-AltN"/>
        <w:widowControl w:val="0"/>
        <w:rPr>
          <w:rFonts w:cs="Times New Roman"/>
          <w:szCs w:val="24"/>
          <w:lang w:val="fr-CA"/>
        </w:rPr>
      </w:pPr>
      <w:r w:rsidRPr="00F73BA9">
        <w:rPr>
          <w:rFonts w:cs="Times New Roman"/>
          <w:szCs w:val="24"/>
          <w:lang w:val="fr-CA"/>
        </w:rPr>
        <w:t>Le juge reconnaît par ailleurs que K a cru qu’elle avait plus de chances de partager de la drogue si elle se livrait à des activités sexuelles avec MM.</w:t>
      </w:r>
      <w:r>
        <w:rPr>
          <w:rFonts w:cs="Times New Roman"/>
          <w:szCs w:val="24"/>
          <w:lang w:val="fr-CA"/>
        </w:rPr>
        <w:t xml:space="preserve"> </w:t>
      </w:r>
      <w:r w:rsidRPr="00F73BA9">
        <w:rPr>
          <w:rFonts w:cs="Times New Roman"/>
          <w:szCs w:val="24"/>
          <w:lang w:val="fr-CA"/>
        </w:rPr>
        <w:t>Barabash et Rollison. Il renvoie en effet au témoignage de K selon lequel, malgré [</w:t>
      </w:r>
      <w:r w:rsidRPr="00F73BA9">
        <w:rPr>
          <w:rFonts w:cs="Times New Roman"/>
          <w:smallCaps/>
          <w:szCs w:val="24"/>
          <w:lang w:val="fr-CA"/>
        </w:rPr>
        <w:t>traduction</w:t>
      </w:r>
      <w:r w:rsidRPr="00F73BA9">
        <w:rPr>
          <w:rFonts w:cs="Times New Roman"/>
          <w:szCs w:val="24"/>
          <w:lang w:val="fr-CA"/>
        </w:rPr>
        <w:t xml:space="preserve">] </w:t>
      </w:r>
      <w:r w:rsidR="008A3F71">
        <w:rPr>
          <w:rFonts w:cs="Times New Roman"/>
          <w:szCs w:val="24"/>
          <w:lang w:val="fr-CA"/>
        </w:rPr>
        <w:t>« </w:t>
      </w:r>
      <w:r w:rsidRPr="00F73BA9">
        <w:rPr>
          <w:rFonts w:cs="Times New Roman"/>
          <w:szCs w:val="24"/>
          <w:lang w:val="fr-CA"/>
        </w:rPr>
        <w:t>l’absence d’un accord d’échange explicite</w:t>
      </w:r>
      <w:r w:rsidR="008A3F71">
        <w:rPr>
          <w:rFonts w:cs="Times New Roman"/>
          <w:szCs w:val="24"/>
          <w:lang w:val="fr-CA"/>
        </w:rPr>
        <w:t> »</w:t>
      </w:r>
      <w:r w:rsidRPr="00F73BA9">
        <w:rPr>
          <w:rFonts w:cs="Times New Roman"/>
          <w:szCs w:val="24"/>
          <w:lang w:val="fr-CA"/>
        </w:rPr>
        <w:t xml:space="preserve">, </w:t>
      </w:r>
      <w:r w:rsidR="008A3F71">
        <w:rPr>
          <w:rFonts w:cs="Times New Roman"/>
          <w:szCs w:val="24"/>
          <w:lang w:val="fr-CA"/>
        </w:rPr>
        <w:t>« </w:t>
      </w:r>
      <w:r w:rsidRPr="00F73BA9">
        <w:rPr>
          <w:rFonts w:cs="Times New Roman"/>
          <w:szCs w:val="24"/>
          <w:lang w:val="fr-CA"/>
        </w:rPr>
        <w:t>[l]e fait de se livrer à des activités sexuelles avec MM.</w:t>
      </w:r>
      <w:r>
        <w:rPr>
          <w:rFonts w:cs="Times New Roman"/>
          <w:szCs w:val="24"/>
          <w:lang w:val="fr-CA"/>
        </w:rPr>
        <w:t xml:space="preserve"> </w:t>
      </w:r>
      <w:r w:rsidRPr="00F73BA9">
        <w:rPr>
          <w:rFonts w:cs="Times New Roman"/>
          <w:szCs w:val="24"/>
          <w:lang w:val="fr-CA"/>
        </w:rPr>
        <w:t>Barabash et Rollison</w:t>
      </w:r>
      <w:r w:rsidR="008A3F71">
        <w:rPr>
          <w:rFonts w:cs="Times New Roman"/>
          <w:szCs w:val="24"/>
          <w:lang w:val="fr-CA"/>
        </w:rPr>
        <w:t> »</w:t>
      </w:r>
      <w:r w:rsidRPr="00F73BA9">
        <w:rPr>
          <w:rFonts w:cs="Times New Roman"/>
          <w:szCs w:val="24"/>
          <w:lang w:val="fr-CA"/>
        </w:rPr>
        <w:t xml:space="preserve"> lui permettait d’obtenir et de consommer de la drogue (par.</w:t>
      </w:r>
      <w:r>
        <w:rPr>
          <w:rFonts w:cs="Times New Roman"/>
          <w:szCs w:val="24"/>
          <w:lang w:val="fr-CA"/>
        </w:rPr>
        <w:t xml:space="preserve"> </w:t>
      </w:r>
      <w:r w:rsidRPr="00F73BA9">
        <w:rPr>
          <w:rFonts w:cs="Times New Roman"/>
          <w:szCs w:val="24"/>
          <w:lang w:val="fr-CA"/>
        </w:rPr>
        <w:t>37). K a également affirmé qu’elle avait pu se livrer aux activités sexuelles dans l’intention d’obtenir de la drogue. Le juge n’examine toutefois pas l’incidence de cette conclusion sur la question de savoir si la relation entre les plaignantes et les appelants était une relation d’exploitation. Il ne se demande pas non plus si la volonté des plaignantes de participer à des activités sexuelles était influencée par le fait qu’elles dépendaient de M.</w:t>
      </w:r>
      <w:r>
        <w:rPr>
          <w:rFonts w:cs="Times New Roman"/>
          <w:szCs w:val="24"/>
          <w:lang w:val="fr-CA"/>
        </w:rPr>
        <w:t xml:space="preserve"> </w:t>
      </w:r>
      <w:r w:rsidRPr="00F73BA9">
        <w:rPr>
          <w:rFonts w:cs="Times New Roman"/>
          <w:szCs w:val="24"/>
          <w:lang w:val="fr-CA"/>
        </w:rPr>
        <w:t>Barabash pour se loger ou obtenir de la drogue. Essentiellement, le juge du procès omet de se demander dans quelle mesure les appelants ― deux hommes plus âgés ― ont pu exercer un pouvoir sur deux fugueuses vulnérables et profondément perturbées.</w:t>
      </w:r>
    </w:p>
    <w:p w:rsidR="00BC42A6" w:rsidRPr="00F73BA9" w:rsidRDefault="00BC42A6" w:rsidP="00BC42A6">
      <w:pPr>
        <w:pStyle w:val="ParaNoNdepar-AltN"/>
        <w:widowControl w:val="0"/>
        <w:rPr>
          <w:rFonts w:cs="Times New Roman"/>
          <w:lang w:val="fr-CA"/>
        </w:rPr>
      </w:pPr>
      <w:r w:rsidRPr="00F73BA9">
        <w:rPr>
          <w:rFonts w:cs="Times New Roman"/>
          <w:lang w:val="fr-CA"/>
        </w:rPr>
        <w:t>En conséquence, les conclusions de fait tirées en première instance ne permettent pas de bien établir, comme l’exige l’art.</w:t>
      </w:r>
      <w:r>
        <w:rPr>
          <w:rFonts w:cs="Times New Roman"/>
          <w:lang w:val="fr-CA"/>
        </w:rPr>
        <w:t xml:space="preserve"> </w:t>
      </w:r>
      <w:r w:rsidRPr="00F73BA9">
        <w:rPr>
          <w:rFonts w:cs="Times New Roman"/>
          <w:lang w:val="fr-CA"/>
        </w:rPr>
        <w:t xml:space="preserve">153, si les appelants ont été en </w:t>
      </w:r>
      <w:r w:rsidRPr="00F73BA9">
        <w:rPr>
          <w:rFonts w:cs="Times New Roman"/>
          <w:lang w:val="fr-CA"/>
        </w:rPr>
        <w:lastRenderedPageBreak/>
        <w:t>situation de confiance ou d’autorité à l’égard des plaignantes, si ces dernières ont été en situation de dépendance vis</w:t>
      </w:r>
      <w:r>
        <w:rPr>
          <w:rFonts w:cs="Times New Roman"/>
          <w:lang w:val="fr-CA"/>
        </w:rPr>
        <w:t>-</w:t>
      </w:r>
      <w:r w:rsidRPr="00F73BA9">
        <w:rPr>
          <w:rFonts w:cs="Times New Roman"/>
          <w:lang w:val="fr-CA"/>
        </w:rPr>
        <w:t>à</w:t>
      </w:r>
      <w:r>
        <w:rPr>
          <w:rFonts w:cs="Times New Roman"/>
          <w:lang w:val="fr-CA"/>
        </w:rPr>
        <w:t>-</w:t>
      </w:r>
      <w:r w:rsidRPr="00F73BA9">
        <w:rPr>
          <w:rFonts w:cs="Times New Roman"/>
          <w:lang w:val="fr-CA"/>
        </w:rPr>
        <w:t xml:space="preserve">vis d’eux ou si K et D ont été exploitées dans le cadre de la relation. </w:t>
      </w:r>
    </w:p>
    <w:p w:rsidR="00BC42A6" w:rsidRPr="00F73BA9" w:rsidRDefault="00BC42A6" w:rsidP="00BC42A6">
      <w:pPr>
        <w:pStyle w:val="ParaNoNdepar-AltN"/>
        <w:widowControl w:val="0"/>
        <w:rPr>
          <w:rFonts w:cs="Times New Roman"/>
          <w:lang w:val="fr-CA"/>
        </w:rPr>
      </w:pPr>
      <w:r w:rsidRPr="00F73BA9">
        <w:rPr>
          <w:rFonts w:cs="Times New Roman"/>
          <w:lang w:val="fr-CA"/>
        </w:rPr>
        <w:t>Je suis donc convaincue que l’erreur du juge du procès a eu une incidence significative sur les acquittements. L’omission de bien se demander si l’activité sexuelle était légale ou non au regard de l’art.</w:t>
      </w:r>
      <w:r>
        <w:rPr>
          <w:rFonts w:cs="Times New Roman"/>
          <w:lang w:val="fr-CA"/>
        </w:rPr>
        <w:t xml:space="preserve"> </w:t>
      </w:r>
      <w:r w:rsidRPr="00F73BA9">
        <w:rPr>
          <w:rFonts w:cs="Times New Roman"/>
          <w:lang w:val="fr-CA"/>
        </w:rPr>
        <w:t xml:space="preserve">153 dans le cadre de l’analyse relative à l’exception </w:t>
      </w:r>
      <w:r w:rsidR="00E30269">
        <w:rPr>
          <w:rFonts w:cs="Times New Roman"/>
          <w:lang w:val="fr-CA"/>
        </w:rPr>
        <w:t>relative à</w:t>
      </w:r>
      <w:r w:rsidRPr="00F73BA9">
        <w:rPr>
          <w:rFonts w:cs="Times New Roman"/>
          <w:lang w:val="fr-CA"/>
        </w:rPr>
        <w:t xml:space="preserve"> l’usage personnel commande la tenue d’un nouveau procès.</w:t>
      </w:r>
    </w:p>
    <w:p w:rsidR="00BC42A6" w:rsidRPr="00F73BA9" w:rsidRDefault="00BC42A6" w:rsidP="00BC42A6">
      <w:pPr>
        <w:pStyle w:val="Title1LevelTitre1Niveau-AltL"/>
        <w:widowControl w:val="0"/>
        <w:rPr>
          <w:rFonts w:cs="Times New Roman"/>
          <w:lang w:val="fr-CA"/>
        </w:rPr>
      </w:pPr>
      <w:r w:rsidRPr="00F73BA9">
        <w:rPr>
          <w:rFonts w:cs="Times New Roman"/>
          <w:lang w:val="fr-CA"/>
        </w:rPr>
        <w:t>Réparation</w:t>
      </w:r>
    </w:p>
    <w:p w:rsidR="00BC42A6" w:rsidRPr="00F73BA9" w:rsidRDefault="00BC42A6" w:rsidP="00BC42A6">
      <w:pPr>
        <w:pStyle w:val="ParaNoNdepar-AltN"/>
        <w:widowControl w:val="0"/>
        <w:rPr>
          <w:rFonts w:cs="Times New Roman"/>
          <w:lang w:val="fr-CA"/>
        </w:rPr>
      </w:pPr>
      <w:r w:rsidRPr="00F73BA9">
        <w:rPr>
          <w:rFonts w:cs="Times New Roman"/>
          <w:lang w:val="fr-CA"/>
        </w:rPr>
        <w:t>Je suis d’avis d’accueillir le</w:t>
      </w:r>
      <w:r>
        <w:rPr>
          <w:rFonts w:cs="Times New Roman"/>
          <w:lang w:val="fr-CA"/>
        </w:rPr>
        <w:t>s</w:t>
      </w:r>
      <w:r w:rsidRPr="00F73BA9">
        <w:rPr>
          <w:rFonts w:cs="Times New Roman"/>
          <w:lang w:val="fr-CA"/>
        </w:rPr>
        <w:t xml:space="preserve"> pourvoi</w:t>
      </w:r>
      <w:r>
        <w:rPr>
          <w:rFonts w:cs="Times New Roman"/>
          <w:lang w:val="fr-CA"/>
        </w:rPr>
        <w:t>s</w:t>
      </w:r>
      <w:r w:rsidRPr="00F73BA9">
        <w:rPr>
          <w:rFonts w:cs="Times New Roman"/>
          <w:lang w:val="fr-CA"/>
        </w:rPr>
        <w:t xml:space="preserve"> et d’ordonner un nouveau procès.</w:t>
      </w:r>
    </w:p>
    <w:p w:rsidR="004D7D95" w:rsidRPr="000F1355" w:rsidRDefault="004D7D95" w:rsidP="00BC42A6">
      <w:pPr>
        <w:pStyle w:val="SCCNormalDoubleSpacing"/>
        <w:widowControl w:val="0"/>
        <w:spacing w:before="480" w:after="480"/>
        <w:rPr>
          <w:lang w:val="fr-CA"/>
        </w:rPr>
      </w:pPr>
      <w:r w:rsidRPr="000F1355">
        <w:rPr>
          <w:lang w:val="fr-CA"/>
        </w:rPr>
        <w:tab/>
      </w:r>
      <w:r w:rsidR="00ED5D02" w:rsidRPr="000F1355">
        <w:rPr>
          <w:i/>
          <w:lang w:val="fr-CA"/>
        </w:rPr>
        <w:t xml:space="preserve">Pourvois </w:t>
      </w:r>
      <w:r w:rsidR="006E77FA" w:rsidRPr="000F1355">
        <w:rPr>
          <w:i/>
          <w:lang w:val="fr-CA"/>
        </w:rPr>
        <w:t>accueillis et nouveau procès ordonné</w:t>
      </w:r>
      <w:r w:rsidR="00ED5D02" w:rsidRPr="000F1355">
        <w:rPr>
          <w:i/>
          <w:lang w:val="fr-CA"/>
        </w:rPr>
        <w:t>.</w:t>
      </w:r>
    </w:p>
    <w:p w:rsidR="00ED5D02" w:rsidRPr="000F1355" w:rsidRDefault="00ED5D02" w:rsidP="00BC42A6">
      <w:pPr>
        <w:pStyle w:val="SCCLawFirm"/>
        <w:widowControl w:val="0"/>
        <w:spacing w:before="480" w:after="480"/>
        <w:rPr>
          <w:lang w:val="fr-CA"/>
        </w:rPr>
      </w:pPr>
      <w:r w:rsidRPr="000F1355">
        <w:rPr>
          <w:lang w:val="fr-CA"/>
        </w:rPr>
        <w:tab/>
        <w:t>Procureurs de l’appelant Donald Jerry Barabash</w:t>
      </w:r>
      <w:r w:rsidR="00BC42A6">
        <w:rPr>
          <w:lang w:val="fr-CA"/>
        </w:rPr>
        <w:t xml:space="preserve"> : </w:t>
      </w:r>
      <w:r w:rsidRPr="000F1355">
        <w:rPr>
          <w:lang w:val="fr-CA"/>
        </w:rPr>
        <w:t>Royal Teskey, Edmonton.</w:t>
      </w:r>
    </w:p>
    <w:p w:rsidR="00ED5D02" w:rsidRPr="000F1355" w:rsidRDefault="00ED5D02" w:rsidP="00BC42A6">
      <w:pPr>
        <w:pStyle w:val="SCCLawFirm"/>
        <w:widowControl w:val="0"/>
        <w:spacing w:before="480" w:after="480"/>
        <w:rPr>
          <w:lang w:val="fr-CA"/>
        </w:rPr>
      </w:pPr>
      <w:r w:rsidRPr="000F1355">
        <w:rPr>
          <w:lang w:val="fr-CA"/>
        </w:rPr>
        <w:tab/>
        <w:t>Procureurs de l’appelant Shane Gordon Rollison</w:t>
      </w:r>
      <w:r w:rsidR="00BC42A6">
        <w:rPr>
          <w:lang w:val="fr-CA"/>
        </w:rPr>
        <w:t xml:space="preserve"> : </w:t>
      </w:r>
      <w:r w:rsidRPr="000F1355">
        <w:rPr>
          <w:lang w:val="fr-CA"/>
        </w:rPr>
        <w:t>Legal Aid Alberta, Edmonton; Supreme Advocacy, Ottawa.</w:t>
      </w:r>
    </w:p>
    <w:p w:rsidR="00ED5D02" w:rsidRPr="000F1355" w:rsidRDefault="00ED5D02" w:rsidP="00BC42A6">
      <w:pPr>
        <w:pStyle w:val="SCCLawFirm"/>
        <w:widowControl w:val="0"/>
        <w:spacing w:before="480" w:after="480"/>
        <w:rPr>
          <w:lang w:val="fr-CA"/>
        </w:rPr>
      </w:pPr>
      <w:r w:rsidRPr="000F1355">
        <w:rPr>
          <w:lang w:val="fr-CA"/>
        </w:rPr>
        <w:tab/>
        <w:t>Procureur de l’intimée</w:t>
      </w:r>
      <w:r w:rsidR="00BC42A6">
        <w:rPr>
          <w:lang w:val="fr-CA"/>
        </w:rPr>
        <w:t xml:space="preserve"> : </w:t>
      </w:r>
      <w:r w:rsidRPr="000F1355">
        <w:rPr>
          <w:lang w:val="fr-CA"/>
        </w:rPr>
        <w:t>Procureur général de l’Alberta, Calgary.</w:t>
      </w:r>
    </w:p>
    <w:p w:rsidR="00ED5D02" w:rsidRPr="000F1355" w:rsidRDefault="00ED5D02" w:rsidP="00BC42A6">
      <w:pPr>
        <w:pStyle w:val="SCCLawFirm"/>
        <w:widowControl w:val="0"/>
        <w:spacing w:before="480" w:after="480"/>
        <w:rPr>
          <w:lang w:val="fr-CA"/>
        </w:rPr>
      </w:pPr>
      <w:r w:rsidRPr="000F1355">
        <w:rPr>
          <w:lang w:val="fr-CA"/>
        </w:rPr>
        <w:tab/>
        <w:t>Procureur de l’intervenant le procureur général du Canada</w:t>
      </w:r>
      <w:r w:rsidR="00BC42A6">
        <w:rPr>
          <w:lang w:val="fr-CA"/>
        </w:rPr>
        <w:t xml:space="preserve"> : </w:t>
      </w:r>
      <w:r w:rsidRPr="000F1355">
        <w:rPr>
          <w:lang w:val="fr-CA"/>
        </w:rPr>
        <w:t>Procureur général du Canada, Ottawa.</w:t>
      </w:r>
    </w:p>
    <w:p w:rsidR="00ED5D02" w:rsidRPr="000F1355" w:rsidRDefault="00ED5D02" w:rsidP="00BC42A6">
      <w:pPr>
        <w:pStyle w:val="SCCLawFirm"/>
        <w:widowControl w:val="0"/>
        <w:spacing w:before="480" w:after="480"/>
        <w:rPr>
          <w:lang w:val="fr-CA"/>
        </w:rPr>
      </w:pPr>
      <w:r w:rsidRPr="000F1355">
        <w:rPr>
          <w:lang w:val="fr-CA"/>
        </w:rPr>
        <w:lastRenderedPageBreak/>
        <w:tab/>
        <w:t>Procureur de l’intervenant le procureur général de l’Ontario</w:t>
      </w:r>
      <w:r w:rsidR="00BC42A6">
        <w:rPr>
          <w:lang w:val="fr-CA"/>
        </w:rPr>
        <w:t xml:space="preserve"> : </w:t>
      </w:r>
      <w:r w:rsidRPr="000F1355">
        <w:rPr>
          <w:lang w:val="fr-CA"/>
        </w:rPr>
        <w:t>Procureur général de l’Ontario, Toronto.</w:t>
      </w:r>
    </w:p>
    <w:p w:rsidR="00ED5D02" w:rsidRPr="000F1355" w:rsidRDefault="00ED5D02" w:rsidP="00BC42A6">
      <w:pPr>
        <w:pStyle w:val="SCCLawFirm"/>
        <w:widowControl w:val="0"/>
        <w:spacing w:before="480" w:after="480"/>
        <w:rPr>
          <w:lang w:val="fr-CA"/>
        </w:rPr>
      </w:pPr>
      <w:r w:rsidRPr="000F1355">
        <w:rPr>
          <w:lang w:val="fr-CA"/>
        </w:rPr>
        <w:tab/>
        <w:t>Procureurs de l’intervenante l’Association canadienne des libertés civiles</w:t>
      </w:r>
      <w:r w:rsidR="00BC42A6">
        <w:rPr>
          <w:lang w:val="fr-CA"/>
        </w:rPr>
        <w:t xml:space="preserve"> : </w:t>
      </w:r>
      <w:r w:rsidRPr="000F1355">
        <w:rPr>
          <w:lang w:val="fr-CA"/>
        </w:rPr>
        <w:t>Davis, Toronto.</w:t>
      </w:r>
    </w:p>
    <w:p w:rsidR="009B57B3" w:rsidRDefault="00ED5D02" w:rsidP="00BC42A6">
      <w:pPr>
        <w:pStyle w:val="SCCItalic"/>
        <w:widowControl w:val="0"/>
        <w:rPr>
          <w:b/>
          <w:i w:val="0"/>
          <w:lang w:val="fr-CA"/>
        </w:rPr>
      </w:pPr>
      <w:r w:rsidRPr="000F1355">
        <w:rPr>
          <w:lang w:val="fr-CA"/>
        </w:rPr>
        <w:tab/>
        <w:t xml:space="preserve">Procureurs des </w:t>
      </w:r>
      <w:r w:rsidR="00CB298B" w:rsidRPr="000F1355">
        <w:rPr>
          <w:rStyle w:val="SCCCounselPartyRoleChar"/>
          <w:lang w:val="fr-CA"/>
        </w:rPr>
        <w:t>intervenant</w:t>
      </w:r>
      <w:r w:rsidRPr="000F1355">
        <w:rPr>
          <w:rStyle w:val="SCCCounselPartyRoleChar"/>
          <w:lang w:val="fr-CA"/>
        </w:rPr>
        <w:t>s Au</w:t>
      </w:r>
      <w:r w:rsidR="00BC42A6">
        <w:rPr>
          <w:rStyle w:val="SCCCounselPartyRoleChar"/>
          <w:lang w:val="fr-CA"/>
        </w:rPr>
        <w:t>-</w:t>
      </w:r>
      <w:r w:rsidR="00CB298B" w:rsidRPr="000F1355">
        <w:rPr>
          <w:rStyle w:val="SCCCounselPartyRoleChar"/>
          <w:lang w:val="fr-CA"/>
        </w:rPr>
        <w:t xml:space="preserve">delà des frontières et </w:t>
      </w:r>
      <w:r w:rsidR="00E30269">
        <w:rPr>
          <w:rStyle w:val="SCCCounselPartyRoleChar"/>
          <w:lang w:val="fr-CA"/>
        </w:rPr>
        <w:t xml:space="preserve">le </w:t>
      </w:r>
      <w:r w:rsidRPr="000F1355">
        <w:rPr>
          <w:rStyle w:val="SCCCounselPartyRoleChar"/>
          <w:lang w:val="fr-CA"/>
        </w:rPr>
        <w:t>Centre canadien de protection de l’enfance inc.</w:t>
      </w:r>
      <w:r w:rsidR="00BC42A6">
        <w:rPr>
          <w:lang w:val="fr-CA"/>
        </w:rPr>
        <w:t xml:space="preserve"> : </w:t>
      </w:r>
      <w:r w:rsidRPr="000F1355">
        <w:rPr>
          <w:lang w:val="fr-CA"/>
        </w:rPr>
        <w:t xml:space="preserve">David Matas, Winnipeg; </w:t>
      </w:r>
      <w:r w:rsidRPr="000F1355">
        <w:rPr>
          <w:rStyle w:val="SCCCounselPartyRoleChar"/>
          <w:lang w:val="fr-CA"/>
        </w:rPr>
        <w:t>Centre canadien de protection de l’enfance inc., Winnipeg.</w:t>
      </w:r>
    </w:p>
    <w:sectPr w:rsidR="009B57B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A6" w:rsidRDefault="00BC42A6">
      <w:r>
        <w:separator/>
      </w:r>
    </w:p>
  </w:endnote>
  <w:endnote w:type="continuationSeparator" w:id="0">
    <w:p w:rsidR="00BC42A6" w:rsidRDefault="00BC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A6" w:rsidRDefault="00BC42A6">
      <w:r>
        <w:separator/>
      </w:r>
    </w:p>
  </w:footnote>
  <w:footnote w:type="continuationSeparator" w:id="0">
    <w:p w:rsidR="00BC42A6" w:rsidRDefault="00BC42A6">
      <w:r>
        <w:continuationSeparator/>
      </w:r>
    </w:p>
  </w:footnote>
  <w:footnote w:id="1">
    <w:p w:rsidR="00BC42A6" w:rsidRPr="00850E00" w:rsidRDefault="00BC42A6" w:rsidP="00BC42A6">
      <w:pPr>
        <w:pStyle w:val="CommentText"/>
        <w:jc w:val="both"/>
        <w:rPr>
          <w:lang w:val="fr-CA"/>
        </w:rPr>
      </w:pPr>
      <w:r w:rsidRPr="00850E00">
        <w:rPr>
          <w:rStyle w:val="FootnoteReference"/>
          <w:lang w:val="fr-CA"/>
        </w:rPr>
        <w:footnoteRef/>
      </w:r>
      <w:r>
        <w:rPr>
          <w:lang w:val="fr-CA"/>
        </w:rPr>
        <w:t xml:space="preserve"> Ces conditions du </w:t>
      </w:r>
      <w:r w:rsidRPr="006E5852">
        <w:rPr>
          <w:lang w:val="fr-CA"/>
        </w:rPr>
        <w:t>consentement s’appliquaient</w:t>
      </w:r>
      <w:r>
        <w:rPr>
          <w:lang w:val="fr-CA"/>
        </w:rPr>
        <w:t xml:space="preserve"> aux infractions suivantes :</w:t>
      </w:r>
      <w:r w:rsidRPr="00850E00">
        <w:rPr>
          <w:lang w:val="fr-CA"/>
        </w:rPr>
        <w:t xml:space="preserve"> </w:t>
      </w:r>
      <w:r>
        <w:rPr>
          <w:lang w:val="fr-CA"/>
        </w:rPr>
        <w:t xml:space="preserve">art. </w:t>
      </w:r>
      <w:r w:rsidRPr="00850E00">
        <w:rPr>
          <w:lang w:val="fr-CA"/>
        </w:rPr>
        <w:t>151 (</w:t>
      </w:r>
      <w:r>
        <w:rPr>
          <w:lang w:val="fr-CA"/>
        </w:rPr>
        <w:t>contacts sexuels</w:t>
      </w:r>
      <w:r w:rsidRPr="00850E00">
        <w:rPr>
          <w:lang w:val="fr-CA"/>
        </w:rPr>
        <w:t xml:space="preserve">); </w:t>
      </w:r>
      <w:r>
        <w:rPr>
          <w:lang w:val="fr-CA"/>
        </w:rPr>
        <w:t xml:space="preserve">art. </w:t>
      </w:r>
      <w:r w:rsidRPr="00850E00">
        <w:rPr>
          <w:lang w:val="fr-CA"/>
        </w:rPr>
        <w:t>152 (i</w:t>
      </w:r>
      <w:r>
        <w:rPr>
          <w:lang w:val="fr-CA"/>
        </w:rPr>
        <w:t>ncitation à des contacts sexuels</w:t>
      </w:r>
      <w:r w:rsidRPr="00850E00">
        <w:rPr>
          <w:lang w:val="fr-CA"/>
        </w:rPr>
        <w:t xml:space="preserve">); </w:t>
      </w:r>
      <w:r>
        <w:rPr>
          <w:lang w:val="fr-CA"/>
        </w:rPr>
        <w:t xml:space="preserve">par. </w:t>
      </w:r>
      <w:r w:rsidRPr="00850E00">
        <w:rPr>
          <w:lang w:val="fr-CA"/>
        </w:rPr>
        <w:t>160(3) (be</w:t>
      </w:r>
      <w:r>
        <w:rPr>
          <w:lang w:val="fr-CA"/>
        </w:rPr>
        <w:t>stialité en présence d’un enfant ou incitation de celui-ci</w:t>
      </w:r>
      <w:r w:rsidRPr="00850E00">
        <w:rPr>
          <w:lang w:val="fr-CA"/>
        </w:rPr>
        <w:t xml:space="preserve">); </w:t>
      </w:r>
      <w:r>
        <w:rPr>
          <w:lang w:val="fr-CA"/>
        </w:rPr>
        <w:t xml:space="preserve">par. </w:t>
      </w:r>
      <w:r w:rsidRPr="00850E00">
        <w:rPr>
          <w:lang w:val="fr-CA"/>
        </w:rPr>
        <w:t>173(2) (ex</w:t>
      </w:r>
      <w:r>
        <w:rPr>
          <w:lang w:val="fr-CA"/>
        </w:rPr>
        <w:t>hibitionnisme</w:t>
      </w:r>
      <w:r w:rsidRPr="00850E00">
        <w:rPr>
          <w:lang w:val="fr-CA"/>
        </w:rPr>
        <w:t xml:space="preserve">); </w:t>
      </w:r>
      <w:r>
        <w:rPr>
          <w:lang w:val="fr-CA"/>
        </w:rPr>
        <w:t xml:space="preserve">art. </w:t>
      </w:r>
      <w:r w:rsidRPr="00850E00">
        <w:rPr>
          <w:lang w:val="fr-CA"/>
        </w:rPr>
        <w:t>271</w:t>
      </w:r>
      <w:r>
        <w:rPr>
          <w:lang w:val="fr-CA"/>
        </w:rPr>
        <w:t xml:space="preserve"> à</w:t>
      </w:r>
      <w:r w:rsidRPr="00850E00">
        <w:rPr>
          <w:lang w:val="fr-CA"/>
        </w:rPr>
        <w:t xml:space="preserve"> 273 (</w:t>
      </w:r>
      <w:r>
        <w:rPr>
          <w:lang w:val="fr-CA"/>
        </w:rPr>
        <w:t>agression sexuelle</w:t>
      </w:r>
      <w:r w:rsidRPr="00850E00">
        <w:rPr>
          <w:lang w:val="fr-CA"/>
        </w:rPr>
        <w:t>).</w:t>
      </w:r>
    </w:p>
  </w:footnote>
  <w:footnote w:id="2">
    <w:p w:rsidR="00BC42A6" w:rsidRPr="00850E00" w:rsidRDefault="00BC42A6" w:rsidP="00BC42A6">
      <w:pPr>
        <w:pStyle w:val="FootnoteText"/>
        <w:jc w:val="both"/>
        <w:rPr>
          <w:lang w:val="fr-CA"/>
        </w:rPr>
      </w:pPr>
      <w:r w:rsidRPr="00850E00">
        <w:rPr>
          <w:rStyle w:val="FootnoteReference"/>
          <w:lang w:val="fr-CA"/>
        </w:rPr>
        <w:footnoteRef/>
      </w:r>
      <w:r>
        <w:rPr>
          <w:lang w:val="fr-CA"/>
        </w:rPr>
        <w:t xml:space="preserve"> Il en irait de même pour l’application de l’art. 152, qui porte sur l’incitation de jeunes de moins de 16 ans à des contacts sexuels</w:t>
      </w:r>
      <w:r w:rsidRPr="00103F6C">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A6" w:rsidRPr="00450352" w:rsidRDefault="00BC42A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CA61C1"/>
    <w:multiLevelType w:val="multilevel"/>
    <w:tmpl w:val="EA34573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A705E"/>
    <w:multiLevelType w:val="hybridMultilevel"/>
    <w:tmpl w:val="5B901174"/>
    <w:lvl w:ilvl="0" w:tplc="0C08E1D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CC58D9"/>
    <w:multiLevelType w:val="multilevel"/>
    <w:tmpl w:val="7820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78"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4019C0"/>
    <w:multiLevelType w:val="hybridMultilevel"/>
    <w:tmpl w:val="7BF4B4D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4DB7"/>
    <w:rsid w:val="00010E5F"/>
    <w:rsid w:val="00023FC7"/>
    <w:rsid w:val="00025198"/>
    <w:rsid w:val="000578A3"/>
    <w:rsid w:val="000648CC"/>
    <w:rsid w:val="000C59B8"/>
    <w:rsid w:val="000C6AF0"/>
    <w:rsid w:val="000D0A77"/>
    <w:rsid w:val="000D0F51"/>
    <w:rsid w:val="000F1355"/>
    <w:rsid w:val="000F7993"/>
    <w:rsid w:val="00104F33"/>
    <w:rsid w:val="00106BC6"/>
    <w:rsid w:val="00111DE2"/>
    <w:rsid w:val="00116B38"/>
    <w:rsid w:val="00135406"/>
    <w:rsid w:val="00135972"/>
    <w:rsid w:val="001426A9"/>
    <w:rsid w:val="00154D7C"/>
    <w:rsid w:val="001570B0"/>
    <w:rsid w:val="0015752C"/>
    <w:rsid w:val="00157737"/>
    <w:rsid w:val="00161F8B"/>
    <w:rsid w:val="00165277"/>
    <w:rsid w:val="00170592"/>
    <w:rsid w:val="001720F7"/>
    <w:rsid w:val="00195D83"/>
    <w:rsid w:val="001A00C1"/>
    <w:rsid w:val="001B33E0"/>
    <w:rsid w:val="001B4573"/>
    <w:rsid w:val="001C779F"/>
    <w:rsid w:val="001D2AC1"/>
    <w:rsid w:val="001D4E88"/>
    <w:rsid w:val="00220FC2"/>
    <w:rsid w:val="002222F4"/>
    <w:rsid w:val="00223660"/>
    <w:rsid w:val="00224FC0"/>
    <w:rsid w:val="00225EA4"/>
    <w:rsid w:val="00226EAF"/>
    <w:rsid w:val="0023087C"/>
    <w:rsid w:val="00231F3A"/>
    <w:rsid w:val="002406EE"/>
    <w:rsid w:val="00243EC8"/>
    <w:rsid w:val="0024655E"/>
    <w:rsid w:val="00270D93"/>
    <w:rsid w:val="002719F6"/>
    <w:rsid w:val="002745CC"/>
    <w:rsid w:val="00276496"/>
    <w:rsid w:val="002A131E"/>
    <w:rsid w:val="002A3EE3"/>
    <w:rsid w:val="002B6FBE"/>
    <w:rsid w:val="002B7924"/>
    <w:rsid w:val="002C10A6"/>
    <w:rsid w:val="002D28C3"/>
    <w:rsid w:val="002D39A4"/>
    <w:rsid w:val="002E6705"/>
    <w:rsid w:val="002F0B97"/>
    <w:rsid w:val="002F6A8D"/>
    <w:rsid w:val="002F724D"/>
    <w:rsid w:val="00301DA5"/>
    <w:rsid w:val="0030329A"/>
    <w:rsid w:val="0030513C"/>
    <w:rsid w:val="0031086F"/>
    <w:rsid w:val="0031414C"/>
    <w:rsid w:val="00314E01"/>
    <w:rsid w:val="0032089D"/>
    <w:rsid w:val="003310DE"/>
    <w:rsid w:val="0033230E"/>
    <w:rsid w:val="003323B0"/>
    <w:rsid w:val="00340A49"/>
    <w:rsid w:val="0035169A"/>
    <w:rsid w:val="0035259D"/>
    <w:rsid w:val="00364B18"/>
    <w:rsid w:val="00370114"/>
    <w:rsid w:val="00387B48"/>
    <w:rsid w:val="003915A7"/>
    <w:rsid w:val="003A125D"/>
    <w:rsid w:val="003A36D1"/>
    <w:rsid w:val="003A4C70"/>
    <w:rsid w:val="003B215F"/>
    <w:rsid w:val="003B2182"/>
    <w:rsid w:val="003B6E9A"/>
    <w:rsid w:val="003C799C"/>
    <w:rsid w:val="003D0399"/>
    <w:rsid w:val="003D240C"/>
    <w:rsid w:val="003E1C71"/>
    <w:rsid w:val="003F327B"/>
    <w:rsid w:val="00406166"/>
    <w:rsid w:val="0040704B"/>
    <w:rsid w:val="00410A55"/>
    <w:rsid w:val="00411300"/>
    <w:rsid w:val="00413F17"/>
    <w:rsid w:val="00415417"/>
    <w:rsid w:val="00426659"/>
    <w:rsid w:val="00426B01"/>
    <w:rsid w:val="00450352"/>
    <w:rsid w:val="00452D56"/>
    <w:rsid w:val="00454BDB"/>
    <w:rsid w:val="00465132"/>
    <w:rsid w:val="00472112"/>
    <w:rsid w:val="004752BB"/>
    <w:rsid w:val="00480C90"/>
    <w:rsid w:val="0048396F"/>
    <w:rsid w:val="0049262F"/>
    <w:rsid w:val="00493C18"/>
    <w:rsid w:val="004A600C"/>
    <w:rsid w:val="004A6118"/>
    <w:rsid w:val="004C478D"/>
    <w:rsid w:val="004D7D95"/>
    <w:rsid w:val="004E2C26"/>
    <w:rsid w:val="0050147A"/>
    <w:rsid w:val="005073B6"/>
    <w:rsid w:val="005125A8"/>
    <w:rsid w:val="00517549"/>
    <w:rsid w:val="00520ABC"/>
    <w:rsid w:val="00521AE8"/>
    <w:rsid w:val="00527180"/>
    <w:rsid w:val="00541C43"/>
    <w:rsid w:val="00555291"/>
    <w:rsid w:val="00566AD1"/>
    <w:rsid w:val="00583EDE"/>
    <w:rsid w:val="005A6079"/>
    <w:rsid w:val="005E3A75"/>
    <w:rsid w:val="005E4698"/>
    <w:rsid w:val="00603924"/>
    <w:rsid w:val="00607A92"/>
    <w:rsid w:val="00610539"/>
    <w:rsid w:val="00613969"/>
    <w:rsid w:val="00625C35"/>
    <w:rsid w:val="00637792"/>
    <w:rsid w:val="00647E49"/>
    <w:rsid w:val="00656313"/>
    <w:rsid w:val="006565F4"/>
    <w:rsid w:val="0068264C"/>
    <w:rsid w:val="00684EEA"/>
    <w:rsid w:val="00693B4D"/>
    <w:rsid w:val="0069689B"/>
    <w:rsid w:val="006B5FF5"/>
    <w:rsid w:val="006E2934"/>
    <w:rsid w:val="006E77FA"/>
    <w:rsid w:val="006F30AF"/>
    <w:rsid w:val="00701759"/>
    <w:rsid w:val="00705C15"/>
    <w:rsid w:val="007110F6"/>
    <w:rsid w:val="007208D1"/>
    <w:rsid w:val="00744518"/>
    <w:rsid w:val="00747288"/>
    <w:rsid w:val="00747DD3"/>
    <w:rsid w:val="007549C8"/>
    <w:rsid w:val="00766D14"/>
    <w:rsid w:val="00767A0F"/>
    <w:rsid w:val="007778E6"/>
    <w:rsid w:val="00791272"/>
    <w:rsid w:val="007A05F6"/>
    <w:rsid w:val="007B6F4A"/>
    <w:rsid w:val="007C5BE8"/>
    <w:rsid w:val="007E1C47"/>
    <w:rsid w:val="007E337A"/>
    <w:rsid w:val="007E5C70"/>
    <w:rsid w:val="007F2FF5"/>
    <w:rsid w:val="007F3F08"/>
    <w:rsid w:val="008004CF"/>
    <w:rsid w:val="00804CC6"/>
    <w:rsid w:val="0081620E"/>
    <w:rsid w:val="00817190"/>
    <w:rsid w:val="008260E2"/>
    <w:rsid w:val="008322BD"/>
    <w:rsid w:val="00834F73"/>
    <w:rsid w:val="008505DA"/>
    <w:rsid w:val="00864C8A"/>
    <w:rsid w:val="00864CF8"/>
    <w:rsid w:val="00874914"/>
    <w:rsid w:val="00886B8D"/>
    <w:rsid w:val="00891422"/>
    <w:rsid w:val="00892E1A"/>
    <w:rsid w:val="00893906"/>
    <w:rsid w:val="008A3F71"/>
    <w:rsid w:val="008A5EA0"/>
    <w:rsid w:val="008B1BB8"/>
    <w:rsid w:val="008B660A"/>
    <w:rsid w:val="008C01DA"/>
    <w:rsid w:val="008E2EBD"/>
    <w:rsid w:val="008F2674"/>
    <w:rsid w:val="008F78E9"/>
    <w:rsid w:val="009179F9"/>
    <w:rsid w:val="00917C7A"/>
    <w:rsid w:val="00933E5E"/>
    <w:rsid w:val="00935218"/>
    <w:rsid w:val="00937C52"/>
    <w:rsid w:val="009403F3"/>
    <w:rsid w:val="009555B7"/>
    <w:rsid w:val="009567AA"/>
    <w:rsid w:val="009602C9"/>
    <w:rsid w:val="00964C7D"/>
    <w:rsid w:val="00967154"/>
    <w:rsid w:val="00967374"/>
    <w:rsid w:val="00970302"/>
    <w:rsid w:val="00982B46"/>
    <w:rsid w:val="009923F3"/>
    <w:rsid w:val="009A343A"/>
    <w:rsid w:val="009B2F23"/>
    <w:rsid w:val="009B57B3"/>
    <w:rsid w:val="009D2920"/>
    <w:rsid w:val="009D5AEB"/>
    <w:rsid w:val="009E5760"/>
    <w:rsid w:val="009F0E33"/>
    <w:rsid w:val="00A11EB7"/>
    <w:rsid w:val="00A149DF"/>
    <w:rsid w:val="00A1755C"/>
    <w:rsid w:val="00A21B90"/>
    <w:rsid w:val="00A22AAC"/>
    <w:rsid w:val="00A245E7"/>
    <w:rsid w:val="00A26781"/>
    <w:rsid w:val="00A41805"/>
    <w:rsid w:val="00A51882"/>
    <w:rsid w:val="00A52AFB"/>
    <w:rsid w:val="00A548CB"/>
    <w:rsid w:val="00A5521C"/>
    <w:rsid w:val="00A5791C"/>
    <w:rsid w:val="00A643E7"/>
    <w:rsid w:val="00A73C38"/>
    <w:rsid w:val="00A74971"/>
    <w:rsid w:val="00AA3CBD"/>
    <w:rsid w:val="00AB670D"/>
    <w:rsid w:val="00AE6B78"/>
    <w:rsid w:val="00AF03C5"/>
    <w:rsid w:val="00B000D8"/>
    <w:rsid w:val="00B00F75"/>
    <w:rsid w:val="00B145B6"/>
    <w:rsid w:val="00B279EB"/>
    <w:rsid w:val="00B50C81"/>
    <w:rsid w:val="00B557F8"/>
    <w:rsid w:val="00B57688"/>
    <w:rsid w:val="00B815FC"/>
    <w:rsid w:val="00B93B17"/>
    <w:rsid w:val="00B93FBC"/>
    <w:rsid w:val="00BA7DA0"/>
    <w:rsid w:val="00BB2EE4"/>
    <w:rsid w:val="00BB4C92"/>
    <w:rsid w:val="00BC15E4"/>
    <w:rsid w:val="00BC2108"/>
    <w:rsid w:val="00BC238D"/>
    <w:rsid w:val="00BC42A6"/>
    <w:rsid w:val="00BD0E9E"/>
    <w:rsid w:val="00BD1BEC"/>
    <w:rsid w:val="00BD301F"/>
    <w:rsid w:val="00BD32FF"/>
    <w:rsid w:val="00BD401A"/>
    <w:rsid w:val="00BF6FE9"/>
    <w:rsid w:val="00C02092"/>
    <w:rsid w:val="00C03D82"/>
    <w:rsid w:val="00C24D91"/>
    <w:rsid w:val="00C26DB2"/>
    <w:rsid w:val="00C53F14"/>
    <w:rsid w:val="00C600CF"/>
    <w:rsid w:val="00C6084F"/>
    <w:rsid w:val="00C62A66"/>
    <w:rsid w:val="00C66359"/>
    <w:rsid w:val="00C71458"/>
    <w:rsid w:val="00C77613"/>
    <w:rsid w:val="00C828E7"/>
    <w:rsid w:val="00C85D56"/>
    <w:rsid w:val="00C86719"/>
    <w:rsid w:val="00C921DD"/>
    <w:rsid w:val="00CA6391"/>
    <w:rsid w:val="00CB298B"/>
    <w:rsid w:val="00CC0E2E"/>
    <w:rsid w:val="00CE036E"/>
    <w:rsid w:val="00CE3171"/>
    <w:rsid w:val="00CF1601"/>
    <w:rsid w:val="00D0172F"/>
    <w:rsid w:val="00D01E33"/>
    <w:rsid w:val="00D068A7"/>
    <w:rsid w:val="00D07CC7"/>
    <w:rsid w:val="00D16345"/>
    <w:rsid w:val="00D1694C"/>
    <w:rsid w:val="00D17476"/>
    <w:rsid w:val="00D23456"/>
    <w:rsid w:val="00D32086"/>
    <w:rsid w:val="00D37A3F"/>
    <w:rsid w:val="00D42C98"/>
    <w:rsid w:val="00D4431D"/>
    <w:rsid w:val="00D4667A"/>
    <w:rsid w:val="00D505A6"/>
    <w:rsid w:val="00D6209A"/>
    <w:rsid w:val="00D63A1C"/>
    <w:rsid w:val="00D7516F"/>
    <w:rsid w:val="00D95F8E"/>
    <w:rsid w:val="00DA0590"/>
    <w:rsid w:val="00DA28AE"/>
    <w:rsid w:val="00DA777A"/>
    <w:rsid w:val="00DA7830"/>
    <w:rsid w:val="00DC1739"/>
    <w:rsid w:val="00DC1788"/>
    <w:rsid w:val="00DE319C"/>
    <w:rsid w:val="00DE5E67"/>
    <w:rsid w:val="00DF094C"/>
    <w:rsid w:val="00DF0CA8"/>
    <w:rsid w:val="00DF28CB"/>
    <w:rsid w:val="00DF2B48"/>
    <w:rsid w:val="00DF49A7"/>
    <w:rsid w:val="00E07EE2"/>
    <w:rsid w:val="00E07FD1"/>
    <w:rsid w:val="00E24573"/>
    <w:rsid w:val="00E25E1E"/>
    <w:rsid w:val="00E27EE7"/>
    <w:rsid w:val="00E30269"/>
    <w:rsid w:val="00E35404"/>
    <w:rsid w:val="00E45109"/>
    <w:rsid w:val="00E47B7A"/>
    <w:rsid w:val="00E56A44"/>
    <w:rsid w:val="00E60269"/>
    <w:rsid w:val="00E73A40"/>
    <w:rsid w:val="00E97830"/>
    <w:rsid w:val="00EA430C"/>
    <w:rsid w:val="00ED5D02"/>
    <w:rsid w:val="00EE0830"/>
    <w:rsid w:val="00EE6CB8"/>
    <w:rsid w:val="00EF0683"/>
    <w:rsid w:val="00EF3C33"/>
    <w:rsid w:val="00F0070C"/>
    <w:rsid w:val="00F00EB7"/>
    <w:rsid w:val="00F24982"/>
    <w:rsid w:val="00F36AB6"/>
    <w:rsid w:val="00F37A09"/>
    <w:rsid w:val="00F409CE"/>
    <w:rsid w:val="00F4379D"/>
    <w:rsid w:val="00F50D2D"/>
    <w:rsid w:val="00F56C8B"/>
    <w:rsid w:val="00F62639"/>
    <w:rsid w:val="00F66810"/>
    <w:rsid w:val="00F766BC"/>
    <w:rsid w:val="00F84DF4"/>
    <w:rsid w:val="00F85C97"/>
    <w:rsid w:val="00FA7A95"/>
    <w:rsid w:val="00FB0935"/>
    <w:rsid w:val="00FB37D2"/>
    <w:rsid w:val="00FC2737"/>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BC42A6"/>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ParaNoNdepar-AltN">
    <w:name w:val="Para. No. / Nº de par. - Alt N"/>
    <w:qFormat/>
    <w:rsid w:val="00D1694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D07CC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07CC7"/>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C42A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C42A6"/>
    <w:rPr>
      <w:rFonts w:eastAsiaTheme="minorHAnsi" w:cstheme="minorBidi"/>
      <w:sz w:val="24"/>
      <w:szCs w:val="22"/>
      <w:lang w:eastAsia="en-US"/>
    </w:rPr>
  </w:style>
  <w:style w:type="paragraph" w:customStyle="1" w:styleId="SCCCoram">
    <w:name w:val="SCC.Coram"/>
    <w:basedOn w:val="Normal"/>
    <w:next w:val="Normal"/>
    <w:link w:val="SCCCoramChar"/>
    <w:rsid w:val="00BC42A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C42A6"/>
    <w:rPr>
      <w:rFonts w:eastAsiaTheme="minorHAnsi" w:cstheme="minorBidi"/>
      <w:sz w:val="24"/>
      <w:szCs w:val="22"/>
      <w:lang w:eastAsia="en-US"/>
    </w:rPr>
  </w:style>
  <w:style w:type="table" w:styleId="TableGrid">
    <w:name w:val="Table Grid"/>
    <w:basedOn w:val="TableNormal"/>
    <w:uiPriority w:val="59"/>
    <w:rsid w:val="00BC42A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BC42A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C42A6"/>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C42A6"/>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BC42A6"/>
    <w:pPr>
      <w:numPr>
        <w:ilvl w:val="2"/>
      </w:numPr>
      <w:jc w:val="both"/>
    </w:pPr>
  </w:style>
  <w:style w:type="paragraph" w:customStyle="1" w:styleId="Title4LevelTitre4Niveau">
    <w:name w:val="Title 4 Level / Titre 4 Niveau"/>
    <w:basedOn w:val="Title3LevelTitre3Niveau"/>
    <w:next w:val="ParaNoNdepar-AltN"/>
    <w:uiPriority w:val="4"/>
    <w:qFormat/>
    <w:rsid w:val="00BC42A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BC42A6"/>
    <w:pPr>
      <w:numPr>
        <w:ilvl w:val="4"/>
      </w:numPr>
    </w:pPr>
  </w:style>
  <w:style w:type="paragraph" w:styleId="TOC1">
    <w:name w:val="toc 1"/>
    <w:basedOn w:val="Normal"/>
    <w:next w:val="Normal"/>
    <w:autoRedefine/>
    <w:uiPriority w:val="39"/>
    <w:unhideWhenUsed/>
    <w:rsid w:val="00BC42A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C42A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C42A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C42A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C42A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C42A6"/>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BC42A6"/>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C42A6"/>
    <w:pPr>
      <w:numPr>
        <w:ilvl w:val="5"/>
      </w:numPr>
    </w:pPr>
    <w:rPr>
      <w:i/>
      <w:u w:val="none"/>
    </w:rPr>
  </w:style>
  <w:style w:type="paragraph" w:styleId="ListParagraph">
    <w:name w:val="List Paragraph"/>
    <w:basedOn w:val="Normal"/>
    <w:uiPriority w:val="34"/>
    <w:qFormat/>
    <w:rsid w:val="00BC42A6"/>
    <w:pPr>
      <w:ind w:left="720"/>
      <w:contextualSpacing/>
    </w:pPr>
    <w:rPr>
      <w:rFonts w:eastAsiaTheme="minorHAnsi" w:cstheme="minorBidi"/>
      <w:szCs w:val="22"/>
      <w:lang w:eastAsia="en-US"/>
    </w:rPr>
  </w:style>
  <w:style w:type="paragraph" w:styleId="CommentText">
    <w:name w:val="annotation text"/>
    <w:basedOn w:val="Normal"/>
    <w:link w:val="CommentTextChar"/>
    <w:uiPriority w:val="99"/>
    <w:unhideWhenUsed/>
    <w:rsid w:val="00BC42A6"/>
    <w:rPr>
      <w:sz w:val="20"/>
    </w:rPr>
  </w:style>
  <w:style w:type="character" w:customStyle="1" w:styleId="CommentTextChar">
    <w:name w:val="Comment Text Char"/>
    <w:basedOn w:val="DefaultParagraphFont"/>
    <w:link w:val="CommentText"/>
    <w:uiPriority w:val="99"/>
    <w:rsid w:val="00BC42A6"/>
  </w:style>
  <w:style w:type="character" w:customStyle="1" w:styleId="CommentSubjectChar">
    <w:name w:val="Comment Subject Char"/>
    <w:basedOn w:val="CommentTextChar"/>
    <w:link w:val="CommentSubject"/>
    <w:uiPriority w:val="99"/>
    <w:semiHidden/>
    <w:rsid w:val="00BC42A6"/>
    <w:rPr>
      <w:b/>
      <w:bCs/>
    </w:rPr>
  </w:style>
  <w:style w:type="paragraph" w:styleId="CommentSubject">
    <w:name w:val="annotation subject"/>
    <w:basedOn w:val="CommentText"/>
    <w:next w:val="CommentText"/>
    <w:link w:val="CommentSubjectChar"/>
    <w:uiPriority w:val="99"/>
    <w:semiHidden/>
    <w:unhideWhenUsed/>
    <w:rsid w:val="00BC42A6"/>
    <w:rPr>
      <w:b/>
      <w:bCs/>
    </w:rPr>
  </w:style>
  <w:style w:type="paragraph" w:styleId="FootnoteText">
    <w:name w:val="footnote text"/>
    <w:basedOn w:val="Normal"/>
    <w:link w:val="FootnoteTextChar"/>
    <w:uiPriority w:val="99"/>
    <w:semiHidden/>
    <w:unhideWhenUsed/>
    <w:rsid w:val="00BC42A6"/>
    <w:rPr>
      <w:sz w:val="20"/>
    </w:rPr>
  </w:style>
  <w:style w:type="character" w:customStyle="1" w:styleId="FootnoteTextChar">
    <w:name w:val="Footnote Text Char"/>
    <w:basedOn w:val="DefaultParagraphFont"/>
    <w:link w:val="FootnoteText"/>
    <w:uiPriority w:val="99"/>
    <w:semiHidden/>
    <w:rsid w:val="00BC42A6"/>
  </w:style>
  <w:style w:type="character" w:styleId="FootnoteReference">
    <w:name w:val="footnote reference"/>
    <w:basedOn w:val="DefaultParagraphFont"/>
    <w:uiPriority w:val="99"/>
    <w:semiHidden/>
    <w:unhideWhenUsed/>
    <w:rsid w:val="00BC42A6"/>
    <w:rPr>
      <w:vertAlign w:val="superscript"/>
    </w:rPr>
  </w:style>
  <w:style w:type="character" w:styleId="Hyperlink">
    <w:name w:val="Hyperlink"/>
    <w:basedOn w:val="DefaultParagraphFont"/>
    <w:uiPriority w:val="99"/>
    <w:unhideWhenUsed/>
    <w:rsid w:val="00BC42A6"/>
    <w:rPr>
      <w:color w:val="0000FF" w:themeColor="hyperlink"/>
      <w:u w:val="single"/>
    </w:rPr>
  </w:style>
  <w:style w:type="character" w:customStyle="1" w:styleId="SCCLsocPartyRoleChar">
    <w:name w:val="SCC.Lsoc.PartyRole Char"/>
    <w:basedOn w:val="DefaultParagraphFont"/>
    <w:rsid w:val="00EF3C33"/>
    <w:rPr>
      <w:lang w:val="fr-CA"/>
    </w:rPr>
  </w:style>
  <w:style w:type="paragraph" w:customStyle="1" w:styleId="SCCLsocPrefix">
    <w:name w:val="SCC.Lsoc.Prefix"/>
    <w:basedOn w:val="Normal"/>
    <w:next w:val="Normal"/>
    <w:link w:val="SCCLsocPrefixChar"/>
    <w:rsid w:val="00EF3C3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F3C3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8070</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2015-05-27T17:59:00Z</dcterms:created>
  <dcterms:modified xsi:type="dcterms:W3CDTF">2015-11-10T18:19:00Z</dcterms:modified>
</cp:coreProperties>
</file>