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6F7" w:rsidRDefault="000D16F7" w:rsidP="000D16F7">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08830997" r:id="rId8"/>
        </w:object>
      </w:r>
      <w:r>
        <w:t xml:space="preserve"> </w:t>
      </w:r>
      <w:r>
        <w:ptab w:relativeTo="margin" w:alignment="right" w:leader="none"/>
      </w:r>
    </w:p>
    <w:p w:rsidR="000D16F7" w:rsidRDefault="000D16F7" w:rsidP="000D16F7">
      <w:pPr>
        <w:pStyle w:val="Header"/>
      </w:pPr>
    </w:p>
    <w:p w:rsidR="000D16F7" w:rsidRPr="001E12E2" w:rsidRDefault="000D16F7" w:rsidP="000D16F7">
      <w:pPr>
        <w:jc w:val="center"/>
        <w:rPr>
          <w:b/>
        </w:rPr>
      </w:pPr>
      <w:r w:rsidRPr="001E12E2">
        <w:rPr>
          <w:b/>
        </w:rPr>
        <w:t>COUR SUPRÊME DU CANADA</w:t>
      </w:r>
    </w:p>
    <w:p w:rsidR="000D16F7" w:rsidRDefault="000D16F7" w:rsidP="000D16F7"/>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0D16F7" w:rsidRPr="001E12E2" w:rsidTr="00366DA6">
        <w:trPr>
          <w:cantSplit/>
        </w:trPr>
        <w:tc>
          <w:tcPr>
            <w:tcW w:w="6768" w:type="dxa"/>
          </w:tcPr>
          <w:p w:rsidR="000D16F7" w:rsidRPr="000D16F7" w:rsidRDefault="000D16F7" w:rsidP="00366DA6">
            <w:pPr>
              <w:rPr>
                <w:lang w:val="fr-CA"/>
              </w:rPr>
            </w:pPr>
            <w:r w:rsidRPr="000D16F7">
              <w:rPr>
                <w:b/>
                <w:smallCaps/>
                <w:lang w:val="fr-CA"/>
              </w:rPr>
              <w:t>Référence :</w:t>
            </w:r>
            <w:r w:rsidRPr="000D16F7">
              <w:rPr>
                <w:lang w:val="fr-CA"/>
              </w:rPr>
              <w:t xml:space="preserve"> Première Nation de </w:t>
            </w:r>
            <w:proofErr w:type="spellStart"/>
            <w:r w:rsidRPr="000D16F7">
              <w:rPr>
                <w:lang w:val="fr-CA"/>
              </w:rPr>
              <w:t>Kahkewistahaw</w:t>
            </w:r>
            <w:proofErr w:type="spellEnd"/>
            <w:r w:rsidRPr="000D16F7">
              <w:rPr>
                <w:lang w:val="fr-CA"/>
              </w:rPr>
              <w:t xml:space="preserve"> </w:t>
            </w:r>
            <w:r w:rsidRPr="000D16F7">
              <w:rPr>
                <w:i/>
                <w:lang w:val="fr-CA"/>
              </w:rPr>
              <w:t>c.</w:t>
            </w:r>
            <w:r w:rsidRPr="000D16F7">
              <w:rPr>
                <w:lang w:val="fr-CA"/>
              </w:rPr>
              <w:t xml:space="preserve"> </w:t>
            </w:r>
            <w:proofErr w:type="spellStart"/>
            <w:r w:rsidRPr="000D16F7">
              <w:rPr>
                <w:lang w:val="fr-CA"/>
              </w:rPr>
              <w:t>Taypotat</w:t>
            </w:r>
            <w:proofErr w:type="spellEnd"/>
            <w:r w:rsidRPr="000D16F7">
              <w:rPr>
                <w:lang w:val="fr-CA"/>
              </w:rPr>
              <w:t>, 2015 CSC 30</w:t>
            </w:r>
            <w:r>
              <w:rPr>
                <w:lang w:val="fr-CA"/>
              </w:rPr>
              <w:t>, [2015] 2 R.C.S. 548</w:t>
            </w:r>
          </w:p>
        </w:tc>
        <w:tc>
          <w:tcPr>
            <w:tcW w:w="2808" w:type="dxa"/>
          </w:tcPr>
          <w:p w:rsidR="000D16F7" w:rsidRPr="001E12E2" w:rsidRDefault="000D16F7" w:rsidP="00366DA6">
            <w:r w:rsidRPr="001E12E2">
              <w:rPr>
                <w:b/>
                <w:smallCaps/>
              </w:rPr>
              <w:t>Date</w:t>
            </w:r>
            <w:r>
              <w:rPr>
                <w:b/>
                <w:smallCaps/>
              </w:rPr>
              <w:t> :</w:t>
            </w:r>
            <w:r w:rsidRPr="001E12E2">
              <w:t xml:space="preserve"> </w:t>
            </w:r>
            <w:r>
              <w:t>20150528</w:t>
            </w:r>
          </w:p>
          <w:p w:rsidR="000D16F7" w:rsidRPr="001E12E2" w:rsidRDefault="000D16F7" w:rsidP="00366DA6">
            <w:r w:rsidRPr="001E12E2">
              <w:rPr>
                <w:b/>
                <w:smallCaps/>
              </w:rPr>
              <w:t>Do</w:t>
            </w:r>
            <w:r>
              <w:rPr>
                <w:b/>
                <w:smallCaps/>
              </w:rPr>
              <w:t>ssier :</w:t>
            </w:r>
            <w:r w:rsidRPr="001E12E2">
              <w:t xml:space="preserve"> </w:t>
            </w:r>
            <w:r>
              <w:t>35518</w:t>
            </w:r>
          </w:p>
        </w:tc>
      </w:tr>
    </w:tbl>
    <w:p w:rsidR="000D16F7" w:rsidRPr="001E12E2" w:rsidRDefault="000D16F7" w:rsidP="000D16F7"/>
    <w:p w:rsidR="000D16F7" w:rsidRDefault="000D16F7" w:rsidP="000D16F7">
      <w:pPr>
        <w:pStyle w:val="SCCLsocPrefix"/>
      </w:pPr>
      <w:r>
        <w:t>Entre :</w:t>
      </w:r>
    </w:p>
    <w:p w:rsidR="003404C7" w:rsidRPr="003404C7" w:rsidRDefault="000D16F7" w:rsidP="000D16F7">
      <w:pPr>
        <w:pStyle w:val="SCCLsocParty"/>
        <w:jc w:val="center"/>
        <w:rPr>
          <w:lang w:val="en-US"/>
        </w:rPr>
      </w:pPr>
      <w:r w:rsidRPr="003404C7">
        <w:rPr>
          <w:lang w:val="en-US"/>
        </w:rPr>
        <w:t xml:space="preserve">Chef Sheldon </w:t>
      </w:r>
      <w:proofErr w:type="spellStart"/>
      <w:r w:rsidRPr="003404C7">
        <w:rPr>
          <w:lang w:val="en-US"/>
        </w:rPr>
        <w:t>Taypotat</w:t>
      </w:r>
      <w:proofErr w:type="spellEnd"/>
      <w:r w:rsidRPr="003404C7">
        <w:rPr>
          <w:lang w:val="en-US"/>
        </w:rPr>
        <w:t xml:space="preserve">, Michael Bob, Janice McKay, Iris </w:t>
      </w:r>
      <w:proofErr w:type="spellStart"/>
      <w:r w:rsidRPr="003404C7">
        <w:rPr>
          <w:lang w:val="en-US"/>
        </w:rPr>
        <w:t>Taypotat</w:t>
      </w:r>
      <w:proofErr w:type="spellEnd"/>
      <w:r w:rsidRPr="003404C7">
        <w:rPr>
          <w:lang w:val="en-US"/>
        </w:rPr>
        <w:t xml:space="preserve"> </w:t>
      </w:r>
    </w:p>
    <w:p w:rsidR="003404C7" w:rsidRDefault="000D16F7" w:rsidP="000D16F7">
      <w:pPr>
        <w:pStyle w:val="SCCLsocParty"/>
        <w:jc w:val="center"/>
        <w:rPr>
          <w:lang w:val="fr-CA"/>
        </w:rPr>
      </w:pPr>
      <w:proofErr w:type="gramStart"/>
      <w:r w:rsidRPr="000D16F7">
        <w:rPr>
          <w:lang w:val="fr-CA"/>
        </w:rPr>
        <w:t>et</w:t>
      </w:r>
      <w:proofErr w:type="gramEnd"/>
      <w:r w:rsidRPr="000D16F7">
        <w:rPr>
          <w:lang w:val="fr-CA"/>
        </w:rPr>
        <w:t xml:space="preserve"> Vera </w:t>
      </w:r>
      <w:proofErr w:type="spellStart"/>
      <w:r w:rsidRPr="000D16F7">
        <w:rPr>
          <w:lang w:val="fr-CA"/>
        </w:rPr>
        <w:t>Wasacase</w:t>
      </w:r>
      <w:proofErr w:type="spellEnd"/>
      <w:r w:rsidRPr="000D16F7">
        <w:rPr>
          <w:lang w:val="fr-CA"/>
        </w:rPr>
        <w:t xml:space="preserve"> en tant que chef et représentants du conseil </w:t>
      </w:r>
    </w:p>
    <w:p w:rsidR="000D16F7" w:rsidRPr="000D16F7" w:rsidRDefault="000D16F7" w:rsidP="000D16F7">
      <w:pPr>
        <w:pStyle w:val="SCCLsocParty"/>
        <w:jc w:val="center"/>
        <w:rPr>
          <w:lang w:val="fr-CA"/>
        </w:rPr>
      </w:pPr>
      <w:bookmarkStart w:id="0" w:name="_GoBack"/>
      <w:bookmarkEnd w:id="0"/>
      <w:r w:rsidRPr="000D16F7">
        <w:rPr>
          <w:lang w:val="fr-CA"/>
        </w:rPr>
        <w:t xml:space="preserve">de la Première Nation de </w:t>
      </w:r>
      <w:proofErr w:type="spellStart"/>
      <w:r w:rsidRPr="000D16F7">
        <w:rPr>
          <w:lang w:val="fr-CA"/>
        </w:rPr>
        <w:t>Kahkewistahaw</w:t>
      </w:r>
      <w:proofErr w:type="spellEnd"/>
    </w:p>
    <w:p w:rsidR="000D16F7" w:rsidRPr="000D16F7" w:rsidRDefault="000D16F7" w:rsidP="000D16F7">
      <w:pPr>
        <w:jc w:val="center"/>
        <w:rPr>
          <w:lang w:val="fr-CA"/>
        </w:rPr>
      </w:pPr>
      <w:r w:rsidRPr="000D16F7">
        <w:rPr>
          <w:lang w:val="fr-CA"/>
        </w:rPr>
        <w:t>Appelants</w:t>
      </w:r>
    </w:p>
    <w:p w:rsidR="000D16F7" w:rsidRPr="000D16F7" w:rsidRDefault="000D16F7" w:rsidP="000D16F7">
      <w:pPr>
        <w:pStyle w:val="SCCLsocVersus"/>
        <w:spacing w:after="0"/>
        <w:jc w:val="center"/>
        <w:rPr>
          <w:i w:val="0"/>
          <w:lang w:val="fr-CA"/>
        </w:rPr>
      </w:pPr>
      <w:proofErr w:type="gramStart"/>
      <w:r w:rsidRPr="000D16F7">
        <w:rPr>
          <w:i w:val="0"/>
          <w:lang w:val="fr-CA"/>
        </w:rPr>
        <w:t>et</w:t>
      </w:r>
      <w:proofErr w:type="gramEnd"/>
    </w:p>
    <w:p w:rsidR="000D16F7" w:rsidRPr="000D16F7" w:rsidRDefault="000D16F7" w:rsidP="000D16F7">
      <w:pPr>
        <w:pStyle w:val="SCCLsocParty"/>
        <w:jc w:val="center"/>
        <w:rPr>
          <w:lang w:val="fr-CA"/>
        </w:rPr>
      </w:pPr>
      <w:r w:rsidRPr="000D16F7">
        <w:rPr>
          <w:lang w:val="fr-CA"/>
        </w:rPr>
        <w:t xml:space="preserve">Louis </w:t>
      </w:r>
      <w:proofErr w:type="spellStart"/>
      <w:r w:rsidRPr="000D16F7">
        <w:rPr>
          <w:lang w:val="fr-CA"/>
        </w:rPr>
        <w:t>Taypotat</w:t>
      </w:r>
      <w:proofErr w:type="spellEnd"/>
    </w:p>
    <w:p w:rsidR="000D16F7" w:rsidRPr="000D16F7" w:rsidRDefault="000D16F7" w:rsidP="000D16F7">
      <w:pPr>
        <w:jc w:val="center"/>
        <w:rPr>
          <w:lang w:val="fr-CA"/>
        </w:rPr>
      </w:pPr>
      <w:r w:rsidRPr="000D16F7">
        <w:rPr>
          <w:lang w:val="fr-CA"/>
        </w:rPr>
        <w:t>Intimé</w:t>
      </w:r>
    </w:p>
    <w:p w:rsidR="000D16F7" w:rsidRPr="000D16F7" w:rsidRDefault="000D16F7" w:rsidP="000D16F7">
      <w:pPr>
        <w:rPr>
          <w:lang w:val="fr-CA"/>
        </w:rPr>
      </w:pPr>
    </w:p>
    <w:p w:rsidR="000D16F7" w:rsidRPr="000D16F7" w:rsidRDefault="000D16F7" w:rsidP="000D16F7">
      <w:pPr>
        <w:jc w:val="center"/>
        <w:rPr>
          <w:b/>
          <w:smallCaps/>
          <w:lang w:val="fr-CA"/>
        </w:rPr>
      </w:pPr>
      <w:r w:rsidRPr="000D16F7">
        <w:rPr>
          <w:b/>
          <w:smallCaps/>
          <w:lang w:val="fr-CA"/>
        </w:rPr>
        <w:t>Traduction française officielle</w:t>
      </w:r>
    </w:p>
    <w:p w:rsidR="000D16F7" w:rsidRPr="000D16F7" w:rsidRDefault="000D16F7" w:rsidP="000D16F7">
      <w:pPr>
        <w:rPr>
          <w:lang w:val="fr-CA"/>
        </w:rPr>
      </w:pPr>
    </w:p>
    <w:p w:rsidR="000D16F7" w:rsidRPr="000D16F7" w:rsidRDefault="000D16F7" w:rsidP="000D16F7">
      <w:pPr>
        <w:rPr>
          <w:lang w:val="fr-CA"/>
        </w:rPr>
      </w:pPr>
      <w:r w:rsidRPr="000D16F7">
        <w:rPr>
          <w:b/>
          <w:smallCaps/>
          <w:lang w:val="fr-CA"/>
        </w:rPr>
        <w:t>Coram :</w:t>
      </w:r>
      <w:r w:rsidRPr="000D16F7">
        <w:rPr>
          <w:lang w:val="fr-CA"/>
        </w:rPr>
        <w:t xml:space="preserve"> La juge en chef </w:t>
      </w:r>
      <w:proofErr w:type="spellStart"/>
      <w:r w:rsidRPr="000D16F7">
        <w:rPr>
          <w:lang w:val="fr-CA"/>
        </w:rPr>
        <w:t>McLachlin</w:t>
      </w:r>
      <w:proofErr w:type="spellEnd"/>
      <w:r w:rsidRPr="000D16F7">
        <w:rPr>
          <w:lang w:val="fr-CA"/>
        </w:rPr>
        <w:t xml:space="preserve"> et les juges Abella, Cromwell, </w:t>
      </w:r>
      <w:proofErr w:type="spellStart"/>
      <w:r w:rsidRPr="000D16F7">
        <w:rPr>
          <w:lang w:val="fr-CA"/>
        </w:rPr>
        <w:t>Moldaver</w:t>
      </w:r>
      <w:proofErr w:type="spellEnd"/>
      <w:r w:rsidRPr="000D16F7">
        <w:rPr>
          <w:lang w:val="fr-CA"/>
        </w:rPr>
        <w:t xml:space="preserve">, </w:t>
      </w:r>
      <w:proofErr w:type="spellStart"/>
      <w:r w:rsidRPr="000D16F7">
        <w:rPr>
          <w:lang w:val="fr-CA"/>
        </w:rPr>
        <w:t>Karakatsanis</w:t>
      </w:r>
      <w:proofErr w:type="spellEnd"/>
      <w:r w:rsidRPr="000D16F7">
        <w:rPr>
          <w:lang w:val="fr-CA"/>
        </w:rPr>
        <w:t>, Wagner et Gascon</w:t>
      </w:r>
    </w:p>
    <w:p w:rsidR="000D16F7" w:rsidRPr="000D16F7" w:rsidRDefault="000D16F7" w:rsidP="000D16F7">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0D16F7" w:rsidRPr="003404C7" w:rsidTr="00366DA6">
        <w:trPr>
          <w:cantSplit/>
        </w:trPr>
        <w:tc>
          <w:tcPr>
            <w:tcW w:w="3618" w:type="dxa"/>
          </w:tcPr>
          <w:p w:rsidR="000D16F7" w:rsidRPr="000D16F7" w:rsidRDefault="000D16F7" w:rsidP="00366DA6">
            <w:pPr>
              <w:rPr>
                <w:b/>
                <w:smallCaps/>
                <w:lang w:val="fr-CA"/>
              </w:rPr>
            </w:pPr>
            <w:r w:rsidRPr="000D16F7">
              <w:rPr>
                <w:b/>
                <w:smallCaps/>
                <w:lang w:val="fr-CA"/>
              </w:rPr>
              <w:t>Motifs de jugement :</w:t>
            </w:r>
          </w:p>
          <w:p w:rsidR="000D16F7" w:rsidRPr="000D16F7" w:rsidRDefault="000D16F7" w:rsidP="00366DA6">
            <w:pPr>
              <w:rPr>
                <w:lang w:val="fr-CA"/>
              </w:rPr>
            </w:pPr>
            <w:r w:rsidRPr="000D16F7">
              <w:rPr>
                <w:lang w:val="fr-CA"/>
              </w:rPr>
              <w:t>(par. 1 à 35)</w:t>
            </w:r>
          </w:p>
        </w:tc>
        <w:tc>
          <w:tcPr>
            <w:tcW w:w="5958" w:type="dxa"/>
          </w:tcPr>
          <w:p w:rsidR="000D16F7" w:rsidRPr="000D16F7" w:rsidRDefault="000D16F7" w:rsidP="00366DA6">
            <w:pPr>
              <w:rPr>
                <w:lang w:val="fr-CA"/>
              </w:rPr>
            </w:pPr>
            <w:r w:rsidRPr="000D16F7">
              <w:rPr>
                <w:lang w:val="fr-CA"/>
              </w:rPr>
              <w:t xml:space="preserve">La juge Abella (avec l’accord de la juge en chef </w:t>
            </w:r>
            <w:proofErr w:type="spellStart"/>
            <w:r w:rsidRPr="000D16F7">
              <w:rPr>
                <w:lang w:val="fr-CA"/>
              </w:rPr>
              <w:t>McLachlin</w:t>
            </w:r>
            <w:proofErr w:type="spellEnd"/>
            <w:r w:rsidRPr="000D16F7">
              <w:rPr>
                <w:lang w:val="fr-CA"/>
              </w:rPr>
              <w:t xml:space="preserve"> et des juges Cromwell, </w:t>
            </w:r>
            <w:proofErr w:type="spellStart"/>
            <w:r w:rsidRPr="000D16F7">
              <w:rPr>
                <w:lang w:val="fr-CA"/>
              </w:rPr>
              <w:t>Moldaver</w:t>
            </w:r>
            <w:proofErr w:type="spellEnd"/>
            <w:r w:rsidRPr="000D16F7">
              <w:rPr>
                <w:lang w:val="fr-CA"/>
              </w:rPr>
              <w:t xml:space="preserve">, </w:t>
            </w:r>
            <w:proofErr w:type="spellStart"/>
            <w:r w:rsidRPr="000D16F7">
              <w:rPr>
                <w:lang w:val="fr-CA"/>
              </w:rPr>
              <w:t>Karakatsanis</w:t>
            </w:r>
            <w:proofErr w:type="spellEnd"/>
            <w:r w:rsidRPr="000D16F7">
              <w:rPr>
                <w:lang w:val="fr-CA"/>
              </w:rPr>
              <w:t>, Wagner et Gascon)</w:t>
            </w:r>
          </w:p>
        </w:tc>
      </w:tr>
    </w:tbl>
    <w:p w:rsidR="000D16F7" w:rsidRPr="000D16F7" w:rsidRDefault="000D16F7" w:rsidP="000D16F7">
      <w:pPr>
        <w:rPr>
          <w:lang w:val="fr-CA"/>
        </w:rPr>
      </w:pPr>
    </w:p>
    <w:p w:rsidR="000D16F7" w:rsidRPr="000D16F7" w:rsidRDefault="003404C7" w:rsidP="000D16F7">
      <w:pPr>
        <w:rPr>
          <w:lang w:val="fr-CA"/>
        </w:rPr>
      </w:pPr>
      <w:r>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9264" o:connectortype="straight"/>
        </w:pict>
      </w:r>
    </w:p>
    <w:p w:rsidR="000D16F7" w:rsidRDefault="000D16F7" w:rsidP="009F1042">
      <w:pPr>
        <w:spacing w:after="720"/>
        <w:jc w:val="both"/>
        <w:rPr>
          <w:rStyle w:val="SCCAppellantForRunningHeadChar"/>
          <w:smallCaps w:val="0"/>
          <w:lang w:val="fr-CA"/>
        </w:rPr>
      </w:pPr>
    </w:p>
    <w:p w:rsidR="004D7D95" w:rsidRPr="001F1595" w:rsidRDefault="001F1595" w:rsidP="009F1042">
      <w:pPr>
        <w:spacing w:after="720"/>
        <w:jc w:val="both"/>
        <w:rPr>
          <w:smallCaps/>
          <w:lang w:val="fr-CA"/>
        </w:rPr>
      </w:pPr>
      <w:r>
        <w:rPr>
          <w:rStyle w:val="SCCAppellantForRunningHeadChar"/>
          <w:smallCaps w:val="0"/>
          <w:lang w:val="fr-CA"/>
        </w:rPr>
        <w:t>Première N</w:t>
      </w:r>
      <w:r w:rsidR="00B4466C" w:rsidRPr="001F1595">
        <w:rPr>
          <w:rStyle w:val="SCCAppellantForRunningHeadChar"/>
          <w:smallCaps w:val="0"/>
          <w:lang w:val="fr-CA"/>
        </w:rPr>
        <w:t xml:space="preserve">ation </w:t>
      </w:r>
      <w:r w:rsidR="00AE1565" w:rsidRPr="001F1595">
        <w:rPr>
          <w:rStyle w:val="SCCAppellantForRunningHeadChar"/>
          <w:smallCaps w:val="0"/>
          <w:lang w:val="fr-CA"/>
        </w:rPr>
        <w:t xml:space="preserve">de </w:t>
      </w:r>
      <w:proofErr w:type="spellStart"/>
      <w:r>
        <w:rPr>
          <w:rStyle w:val="SCCAppellantForRunningHeadChar"/>
          <w:smallCaps w:val="0"/>
          <w:lang w:val="fr-CA"/>
        </w:rPr>
        <w:t>K</w:t>
      </w:r>
      <w:r w:rsidR="00B4466C" w:rsidRPr="001F1595">
        <w:rPr>
          <w:rStyle w:val="SCCAppellantForRunningHeadChar"/>
          <w:smallCaps w:val="0"/>
          <w:lang w:val="fr-CA"/>
        </w:rPr>
        <w:t>ahkewistahaw</w:t>
      </w:r>
      <w:proofErr w:type="spellEnd"/>
      <w:r w:rsidR="004D7D95" w:rsidRPr="001F1595">
        <w:rPr>
          <w:smallCaps/>
          <w:lang w:val="fr-CA"/>
        </w:rPr>
        <w:t xml:space="preserve"> </w:t>
      </w:r>
      <w:r w:rsidR="004D7D95" w:rsidRPr="001F1595">
        <w:rPr>
          <w:i/>
          <w:lang w:val="fr-CA"/>
        </w:rPr>
        <w:t>c.</w:t>
      </w:r>
      <w:r w:rsidR="004D7D95" w:rsidRPr="001F1595">
        <w:rPr>
          <w:smallCaps/>
          <w:lang w:val="fr-CA"/>
        </w:rPr>
        <w:t xml:space="preserve"> </w:t>
      </w:r>
      <w:proofErr w:type="spellStart"/>
      <w:r>
        <w:rPr>
          <w:rStyle w:val="SCCRespondentForRunningHeadChar"/>
          <w:smallCaps w:val="0"/>
          <w:lang w:val="fr-CA"/>
        </w:rPr>
        <w:t>T</w:t>
      </w:r>
      <w:r w:rsidR="004D7D95" w:rsidRPr="001F1595">
        <w:rPr>
          <w:rStyle w:val="SCCRespondentForRunningHeadChar"/>
          <w:smallCaps w:val="0"/>
          <w:lang w:val="fr-CA"/>
        </w:rPr>
        <w:t>aypotat</w:t>
      </w:r>
      <w:proofErr w:type="spellEnd"/>
      <w:r>
        <w:rPr>
          <w:rStyle w:val="SCCRespondentForRunningHeadChar"/>
          <w:smallCaps w:val="0"/>
          <w:lang w:val="fr-CA"/>
        </w:rPr>
        <w:t xml:space="preserve">, </w:t>
      </w:r>
      <w:r w:rsidRPr="00095CF0">
        <w:rPr>
          <w:lang w:val="fr-CA"/>
        </w:rPr>
        <w:t>2015 CSC</w:t>
      </w:r>
      <w:r>
        <w:rPr>
          <w:lang w:val="fr-CA"/>
        </w:rPr>
        <w:t xml:space="preserve"> </w:t>
      </w:r>
      <w:r w:rsidRPr="00095CF0">
        <w:rPr>
          <w:lang w:val="fr-CA"/>
        </w:rPr>
        <w:t>30</w:t>
      </w:r>
      <w:r>
        <w:rPr>
          <w:lang w:val="fr-CA"/>
        </w:rPr>
        <w:t>, [2015] 2 R.C.S. 548</w:t>
      </w:r>
    </w:p>
    <w:p w:rsidR="00B4466C" w:rsidRPr="002152BB" w:rsidRDefault="000807A2" w:rsidP="00B4466C">
      <w:pPr>
        <w:pStyle w:val="SCCLsocParty"/>
      </w:pPr>
      <w:r w:rsidRPr="002152BB">
        <w:t xml:space="preserve">Chef Sheldon </w:t>
      </w:r>
      <w:proofErr w:type="spellStart"/>
      <w:r w:rsidRPr="002152BB">
        <w:t>Taypotat</w:t>
      </w:r>
      <w:proofErr w:type="spellEnd"/>
      <w:r w:rsidRPr="002152BB">
        <w:t>,</w:t>
      </w:r>
      <w:r w:rsidR="00B4466C" w:rsidRPr="002152BB">
        <w:t xml:space="preserve"> </w:t>
      </w:r>
      <w:r w:rsidR="002152BB" w:rsidRPr="002152BB">
        <w:t>Michael Bob, Janice McKay, Iris</w:t>
      </w:r>
      <w:r w:rsidR="0077539A">
        <w:t xml:space="preserve"> </w:t>
      </w:r>
    </w:p>
    <w:p w:rsidR="00B4466C" w:rsidRPr="00095CF0" w:rsidRDefault="000807A2" w:rsidP="00B4466C">
      <w:pPr>
        <w:pStyle w:val="SCCLsocParty"/>
        <w:rPr>
          <w:lang w:val="fr-CA"/>
        </w:rPr>
      </w:pPr>
      <w:proofErr w:type="spellStart"/>
      <w:r w:rsidRPr="002152BB">
        <w:rPr>
          <w:lang w:val="fr-CA"/>
        </w:rPr>
        <w:t>Taypotat</w:t>
      </w:r>
      <w:proofErr w:type="spellEnd"/>
      <w:r w:rsidRPr="002152BB">
        <w:rPr>
          <w:lang w:val="fr-CA"/>
        </w:rPr>
        <w:t xml:space="preserve"> </w:t>
      </w:r>
      <w:r w:rsidRPr="00095CF0">
        <w:rPr>
          <w:lang w:val="fr-CA"/>
        </w:rPr>
        <w:t xml:space="preserve">et Vera </w:t>
      </w:r>
      <w:proofErr w:type="spellStart"/>
      <w:r w:rsidRPr="00095CF0">
        <w:rPr>
          <w:lang w:val="fr-CA"/>
        </w:rPr>
        <w:t>Wasacase</w:t>
      </w:r>
      <w:proofErr w:type="spellEnd"/>
      <w:r w:rsidRPr="00095CF0">
        <w:rPr>
          <w:lang w:val="fr-CA"/>
        </w:rPr>
        <w:t xml:space="preserve"> en tant que chef et représentants </w:t>
      </w:r>
    </w:p>
    <w:p w:rsidR="00593CB9" w:rsidRPr="00095CF0" w:rsidRDefault="000807A2" w:rsidP="009F1042">
      <w:pPr>
        <w:pStyle w:val="SCCLsocParty"/>
        <w:spacing w:after="720"/>
        <w:rPr>
          <w:rStyle w:val="SCCLsocPartyRole"/>
          <w:lang w:val="fr-CA"/>
        </w:rPr>
      </w:pPr>
      <w:proofErr w:type="gramStart"/>
      <w:r w:rsidRPr="00095CF0">
        <w:rPr>
          <w:lang w:val="fr-CA"/>
        </w:rPr>
        <w:t>du</w:t>
      </w:r>
      <w:proofErr w:type="gramEnd"/>
      <w:r w:rsidRPr="00095CF0">
        <w:rPr>
          <w:lang w:val="fr-CA"/>
        </w:rPr>
        <w:t xml:space="preserve"> conseil de la Première Nation de </w:t>
      </w:r>
      <w:proofErr w:type="spellStart"/>
      <w:r w:rsidRPr="00095CF0">
        <w:rPr>
          <w:lang w:val="fr-CA"/>
        </w:rPr>
        <w:t>Kahkewistahaw</w:t>
      </w:r>
      <w:proofErr w:type="spellEnd"/>
      <w:r w:rsidR="00B4466C" w:rsidRPr="00095CF0">
        <w:rPr>
          <w:rStyle w:val="SCCLsocPartyRole"/>
          <w:lang w:val="fr-CA"/>
        </w:rPr>
        <w:tab/>
        <w:t>Appelant</w:t>
      </w:r>
      <w:r w:rsidRPr="00095CF0">
        <w:rPr>
          <w:rStyle w:val="SCCLsocPartyRole"/>
          <w:lang w:val="fr-CA"/>
        </w:rPr>
        <w:t>s</w:t>
      </w:r>
    </w:p>
    <w:p w:rsidR="00593CB9" w:rsidRPr="00095CF0" w:rsidRDefault="000807A2">
      <w:pPr>
        <w:pStyle w:val="SCCLsocVersus"/>
        <w:rPr>
          <w:lang w:val="fr-CA"/>
        </w:rPr>
      </w:pPr>
      <w:proofErr w:type="gramStart"/>
      <w:r w:rsidRPr="00095CF0">
        <w:rPr>
          <w:lang w:val="fr-CA"/>
        </w:rPr>
        <w:t>c</w:t>
      </w:r>
      <w:proofErr w:type="gramEnd"/>
      <w:r w:rsidRPr="00095CF0">
        <w:rPr>
          <w:lang w:val="fr-CA"/>
        </w:rPr>
        <w:t>.</w:t>
      </w:r>
    </w:p>
    <w:p w:rsidR="00593CB9" w:rsidRPr="00095CF0" w:rsidRDefault="000807A2">
      <w:pPr>
        <w:pStyle w:val="SCCLsocLastPartyInRole"/>
        <w:rPr>
          <w:lang w:val="fr-CA"/>
        </w:rPr>
      </w:pPr>
      <w:r w:rsidRPr="00095CF0">
        <w:rPr>
          <w:lang w:val="fr-CA"/>
        </w:rPr>
        <w:lastRenderedPageBreak/>
        <w:t xml:space="preserve">Louis </w:t>
      </w:r>
      <w:proofErr w:type="spellStart"/>
      <w:r w:rsidRPr="00095CF0">
        <w:rPr>
          <w:lang w:val="fr-CA"/>
        </w:rPr>
        <w:t>Taypotat</w:t>
      </w:r>
      <w:proofErr w:type="spellEnd"/>
      <w:r w:rsidRPr="00095CF0">
        <w:rPr>
          <w:rStyle w:val="SCCLsocPartyRole"/>
          <w:lang w:val="fr-CA"/>
        </w:rPr>
        <w:tab/>
        <w:t>Intimé</w:t>
      </w:r>
    </w:p>
    <w:p w:rsidR="004D7D95" w:rsidRPr="00095CF0" w:rsidRDefault="004D7D95" w:rsidP="009F1042">
      <w:pPr>
        <w:spacing w:after="720"/>
        <w:jc w:val="both"/>
        <w:rPr>
          <w:b/>
          <w:lang w:val="fr-CA"/>
        </w:rPr>
      </w:pPr>
      <w:r w:rsidRPr="00095CF0">
        <w:rPr>
          <w:b/>
          <w:lang w:val="fr-CA"/>
        </w:rPr>
        <w:t>Répertorié</w:t>
      </w:r>
      <w:r w:rsidR="0077539A">
        <w:rPr>
          <w:b/>
          <w:lang w:val="fr-CA"/>
        </w:rPr>
        <w:t xml:space="preserve"> : </w:t>
      </w:r>
      <w:r w:rsidR="00B4466C" w:rsidRPr="00095CF0">
        <w:rPr>
          <w:rStyle w:val="SCCAppellantForIndexChar"/>
          <w:lang w:val="fr-CA"/>
        </w:rPr>
        <w:t xml:space="preserve">Première Nation de </w:t>
      </w:r>
      <w:proofErr w:type="spellStart"/>
      <w:r w:rsidR="00B4466C" w:rsidRPr="00095CF0">
        <w:rPr>
          <w:rStyle w:val="SCCAppellantForIndexChar"/>
          <w:lang w:val="fr-CA"/>
        </w:rPr>
        <w:t>Kahkewistahaw</w:t>
      </w:r>
      <w:proofErr w:type="spellEnd"/>
      <w:r w:rsidR="00B4466C" w:rsidRPr="00095CF0">
        <w:rPr>
          <w:rStyle w:val="SCCAppellantForIndexChar"/>
          <w:lang w:val="fr-CA"/>
        </w:rPr>
        <w:t xml:space="preserve"> </w:t>
      </w:r>
      <w:r w:rsidRPr="00095CF0">
        <w:rPr>
          <w:b/>
          <w:i/>
          <w:lang w:val="fr-CA"/>
        </w:rPr>
        <w:t>c.</w:t>
      </w:r>
      <w:r w:rsidRPr="00095CF0">
        <w:rPr>
          <w:b/>
          <w:lang w:val="fr-CA"/>
        </w:rPr>
        <w:t xml:space="preserve"> </w:t>
      </w:r>
      <w:proofErr w:type="spellStart"/>
      <w:r w:rsidRPr="00095CF0">
        <w:rPr>
          <w:rStyle w:val="SCCRespondentForIndexChar"/>
          <w:lang w:val="fr-CA"/>
        </w:rPr>
        <w:t>Taypotat</w:t>
      </w:r>
      <w:proofErr w:type="spellEnd"/>
    </w:p>
    <w:p w:rsidR="004D7D95" w:rsidRPr="00095CF0" w:rsidRDefault="00F932C9" w:rsidP="009F1042">
      <w:pPr>
        <w:pStyle w:val="SCCSystemYear"/>
        <w:spacing w:after="720"/>
        <w:jc w:val="both"/>
        <w:rPr>
          <w:lang w:val="fr-CA"/>
        </w:rPr>
      </w:pPr>
      <w:r w:rsidRPr="00095CF0">
        <w:rPr>
          <w:lang w:val="fr-CA"/>
        </w:rPr>
        <w:t>2015</w:t>
      </w:r>
      <w:r w:rsidR="00B440D3" w:rsidRPr="00095CF0">
        <w:rPr>
          <w:lang w:val="fr-CA"/>
        </w:rPr>
        <w:t xml:space="preserve"> CSC</w:t>
      </w:r>
      <w:r w:rsidR="0077539A">
        <w:rPr>
          <w:lang w:val="fr-CA"/>
        </w:rPr>
        <w:t xml:space="preserve"> </w:t>
      </w:r>
      <w:r w:rsidR="00B440D3" w:rsidRPr="00095CF0">
        <w:rPr>
          <w:lang w:val="fr-CA"/>
        </w:rPr>
        <w:t>30</w:t>
      </w:r>
    </w:p>
    <w:p w:rsidR="004D7D95" w:rsidRPr="00095CF0" w:rsidRDefault="004D7D95" w:rsidP="009F1042">
      <w:pPr>
        <w:spacing w:after="720"/>
        <w:jc w:val="both"/>
        <w:rPr>
          <w:lang w:val="fr-CA"/>
        </w:rPr>
      </w:pPr>
      <w:r w:rsidRPr="00095CF0">
        <w:rPr>
          <w:lang w:val="fr-CA"/>
        </w:rPr>
        <w:t>N</w:t>
      </w:r>
      <w:r w:rsidRPr="00095CF0">
        <w:rPr>
          <w:vertAlign w:val="superscript"/>
          <w:lang w:val="fr-CA"/>
        </w:rPr>
        <w:t>o</w:t>
      </w:r>
      <w:r w:rsidRPr="00095CF0">
        <w:rPr>
          <w:lang w:val="fr-CA"/>
        </w:rPr>
        <w:t xml:space="preserve"> du greffe</w:t>
      </w:r>
      <w:r w:rsidR="0077539A">
        <w:rPr>
          <w:lang w:val="fr-CA"/>
        </w:rPr>
        <w:t xml:space="preserve"> : </w:t>
      </w:r>
      <w:r w:rsidRPr="00095CF0">
        <w:rPr>
          <w:lang w:val="fr-CA"/>
        </w:rPr>
        <w:t>35518.</w:t>
      </w:r>
    </w:p>
    <w:p w:rsidR="004D7D95" w:rsidRPr="00095CF0" w:rsidRDefault="009F1042" w:rsidP="009F1042">
      <w:pPr>
        <w:spacing w:after="720"/>
        <w:jc w:val="both"/>
        <w:rPr>
          <w:lang w:val="fr-CA"/>
        </w:rPr>
      </w:pPr>
      <w:r w:rsidRPr="00095CF0">
        <w:rPr>
          <w:lang w:val="fr-CA"/>
        </w:rPr>
        <w:t>2014</w:t>
      </w:r>
      <w:r w:rsidR="0077539A">
        <w:rPr>
          <w:lang w:val="fr-CA"/>
        </w:rPr>
        <w:t xml:space="preserve"> : </w:t>
      </w:r>
      <w:r w:rsidRPr="00095CF0">
        <w:rPr>
          <w:lang w:val="fr-CA"/>
        </w:rPr>
        <w:t>9</w:t>
      </w:r>
      <w:r w:rsidR="0077539A">
        <w:rPr>
          <w:lang w:val="fr-CA"/>
        </w:rPr>
        <w:t xml:space="preserve"> </w:t>
      </w:r>
      <w:r w:rsidR="00F62639" w:rsidRPr="00095CF0">
        <w:rPr>
          <w:lang w:val="fr-CA"/>
        </w:rPr>
        <w:t>octobre</w:t>
      </w:r>
      <w:r w:rsidR="004D7D95" w:rsidRPr="00095CF0">
        <w:rPr>
          <w:lang w:val="fr-CA"/>
        </w:rPr>
        <w:t xml:space="preserve">; </w:t>
      </w:r>
      <w:r w:rsidR="004612C4" w:rsidRPr="00095CF0">
        <w:rPr>
          <w:lang w:val="fr-CA"/>
        </w:rPr>
        <w:t>2015</w:t>
      </w:r>
      <w:r w:rsidR="0077539A">
        <w:rPr>
          <w:lang w:val="fr-CA"/>
        </w:rPr>
        <w:t xml:space="preserve"> : </w:t>
      </w:r>
      <w:r w:rsidR="00767E40" w:rsidRPr="00095CF0">
        <w:rPr>
          <w:lang w:val="fr-CA"/>
        </w:rPr>
        <w:t>28</w:t>
      </w:r>
      <w:r w:rsidR="0077539A">
        <w:rPr>
          <w:lang w:val="fr-CA"/>
        </w:rPr>
        <w:t xml:space="preserve"> </w:t>
      </w:r>
      <w:r w:rsidR="00B440D3" w:rsidRPr="00095CF0">
        <w:rPr>
          <w:lang w:val="fr-CA"/>
        </w:rPr>
        <w:t>mai</w:t>
      </w:r>
      <w:r w:rsidR="004D7D95" w:rsidRPr="00095CF0">
        <w:rPr>
          <w:lang w:val="fr-CA"/>
        </w:rPr>
        <w:t>.</w:t>
      </w:r>
    </w:p>
    <w:p w:rsidR="00EE0830" w:rsidRPr="00095CF0" w:rsidRDefault="004D7D95" w:rsidP="009F1042">
      <w:pPr>
        <w:spacing w:after="720"/>
        <w:jc w:val="both"/>
        <w:rPr>
          <w:lang w:val="fr-CA"/>
        </w:rPr>
      </w:pPr>
      <w:r w:rsidRPr="00095CF0">
        <w:rPr>
          <w:lang w:val="fr-CA"/>
        </w:rPr>
        <w:t>Présents</w:t>
      </w:r>
      <w:r w:rsidR="0077539A">
        <w:rPr>
          <w:lang w:val="fr-CA"/>
        </w:rPr>
        <w:t xml:space="preserve"> : </w:t>
      </w:r>
      <w:r w:rsidRPr="00095CF0">
        <w:rPr>
          <w:lang w:val="fr-CA"/>
        </w:rPr>
        <w:t xml:space="preserve">La juge en chef </w:t>
      </w:r>
      <w:proofErr w:type="spellStart"/>
      <w:r w:rsidRPr="00095CF0">
        <w:rPr>
          <w:lang w:val="fr-CA"/>
        </w:rPr>
        <w:t>McLachlin</w:t>
      </w:r>
      <w:proofErr w:type="spellEnd"/>
      <w:r w:rsidRPr="00095CF0">
        <w:rPr>
          <w:lang w:val="fr-CA"/>
        </w:rPr>
        <w:t xml:space="preserve"> et les juges Abella, Cromwell, </w:t>
      </w:r>
      <w:proofErr w:type="spellStart"/>
      <w:r w:rsidRPr="00095CF0">
        <w:rPr>
          <w:lang w:val="fr-CA"/>
        </w:rPr>
        <w:t>Moldaver</w:t>
      </w:r>
      <w:proofErr w:type="spellEnd"/>
      <w:r w:rsidRPr="00095CF0">
        <w:rPr>
          <w:lang w:val="fr-CA"/>
        </w:rPr>
        <w:t xml:space="preserve">, </w:t>
      </w:r>
      <w:proofErr w:type="spellStart"/>
      <w:r w:rsidRPr="00095CF0">
        <w:rPr>
          <w:lang w:val="fr-CA"/>
        </w:rPr>
        <w:t>Karakatsanis</w:t>
      </w:r>
      <w:proofErr w:type="spellEnd"/>
      <w:r w:rsidRPr="00095CF0">
        <w:rPr>
          <w:lang w:val="fr-CA"/>
        </w:rPr>
        <w:t>, Wagner et Gascon.</w:t>
      </w:r>
    </w:p>
    <w:p w:rsidR="00B43CFD" w:rsidRPr="00095CF0" w:rsidRDefault="004D7D95" w:rsidP="009F1042">
      <w:pPr>
        <w:spacing w:before="480" w:after="480" w:line="480" w:lineRule="auto"/>
        <w:jc w:val="both"/>
        <w:rPr>
          <w:smallCaps/>
          <w:lang w:val="fr-CA"/>
        </w:rPr>
      </w:pPr>
      <w:r w:rsidRPr="00095CF0">
        <w:rPr>
          <w:smallCaps/>
          <w:lang w:val="fr-CA"/>
        </w:rPr>
        <w:t>en appel de la cour d</w:t>
      </w:r>
      <w:r w:rsidR="006C17B6" w:rsidRPr="00095CF0">
        <w:rPr>
          <w:smallCaps/>
          <w:lang w:val="fr-CA"/>
        </w:rPr>
        <w:t>’</w:t>
      </w:r>
      <w:r w:rsidRPr="00095CF0">
        <w:rPr>
          <w:smallCaps/>
          <w:lang w:val="fr-CA"/>
        </w:rPr>
        <w:t>appel fédérale</w:t>
      </w:r>
    </w:p>
    <w:p w:rsidR="003B41BB" w:rsidRPr="00095CF0" w:rsidRDefault="004D7D95" w:rsidP="003B41BB">
      <w:pPr>
        <w:pStyle w:val="SCCNormalDoubleSpacing"/>
        <w:spacing w:before="480" w:after="480"/>
        <w:rPr>
          <w:i/>
          <w:lang w:val="fr-CA"/>
        </w:rPr>
      </w:pPr>
      <w:r w:rsidRPr="00095CF0">
        <w:rPr>
          <w:lang w:val="fr-CA"/>
        </w:rPr>
        <w:tab/>
      </w:r>
      <w:r w:rsidR="003B41BB" w:rsidRPr="00095CF0">
        <w:rPr>
          <w:i/>
          <w:lang w:val="fr-CA"/>
        </w:rPr>
        <w:t>Droit constitutionnel — Charte des droits — Droit à l</w:t>
      </w:r>
      <w:r w:rsidR="006C17B6" w:rsidRPr="00095CF0">
        <w:rPr>
          <w:i/>
          <w:lang w:val="fr-CA"/>
        </w:rPr>
        <w:t>’</w:t>
      </w:r>
      <w:r w:rsidR="003B41BB" w:rsidRPr="00095CF0">
        <w:rPr>
          <w:i/>
          <w:lang w:val="fr-CA"/>
        </w:rPr>
        <w:t>égalité — Élections — Conditions d</w:t>
      </w:r>
      <w:r w:rsidR="006C17B6" w:rsidRPr="00095CF0">
        <w:rPr>
          <w:i/>
          <w:lang w:val="fr-CA"/>
        </w:rPr>
        <w:t>’</w:t>
      </w:r>
      <w:r w:rsidR="003B41BB" w:rsidRPr="00095CF0">
        <w:rPr>
          <w:i/>
          <w:lang w:val="fr-CA"/>
        </w:rPr>
        <w:t xml:space="preserve">éligibilité — </w:t>
      </w:r>
      <w:r w:rsidR="003C63FF" w:rsidRPr="00095CF0">
        <w:rPr>
          <w:i/>
          <w:lang w:val="fr-CA"/>
        </w:rPr>
        <w:t>Exigence de l</w:t>
      </w:r>
      <w:r w:rsidR="003B41BB" w:rsidRPr="00095CF0">
        <w:rPr>
          <w:i/>
          <w:lang w:val="fr-CA"/>
        </w:rPr>
        <w:t xml:space="preserve">a </w:t>
      </w:r>
      <w:proofErr w:type="spellStart"/>
      <w:r w:rsidR="003B41BB" w:rsidRPr="00095CF0">
        <w:rPr>
          <w:i/>
          <w:lang w:val="fr-CA"/>
        </w:rPr>
        <w:t>Kahkewistahaw</w:t>
      </w:r>
      <w:proofErr w:type="spellEnd"/>
      <w:r w:rsidR="003B41BB" w:rsidRPr="00095CF0">
        <w:rPr>
          <w:i/>
          <w:lang w:val="fr-CA"/>
        </w:rPr>
        <w:t xml:space="preserve"> </w:t>
      </w:r>
      <w:proofErr w:type="spellStart"/>
      <w:r w:rsidR="003B41BB" w:rsidRPr="00095CF0">
        <w:rPr>
          <w:i/>
          <w:lang w:val="fr-CA"/>
        </w:rPr>
        <w:t>Election</w:t>
      </w:r>
      <w:proofErr w:type="spellEnd"/>
      <w:r w:rsidR="003B41BB" w:rsidRPr="00095CF0">
        <w:rPr>
          <w:i/>
          <w:lang w:val="fr-CA"/>
        </w:rPr>
        <w:t xml:space="preserve"> </w:t>
      </w:r>
      <w:proofErr w:type="spellStart"/>
      <w:r w:rsidR="003B41BB" w:rsidRPr="00095CF0">
        <w:rPr>
          <w:i/>
          <w:lang w:val="fr-CA"/>
        </w:rPr>
        <w:t>Act</w:t>
      </w:r>
      <w:proofErr w:type="spellEnd"/>
      <w:r w:rsidR="003B41BB" w:rsidRPr="00095CF0">
        <w:rPr>
          <w:i/>
          <w:lang w:val="fr-CA"/>
        </w:rPr>
        <w:t xml:space="preserve"> </w:t>
      </w:r>
      <w:r w:rsidR="003C63FF" w:rsidRPr="00095CF0">
        <w:rPr>
          <w:i/>
          <w:lang w:val="fr-CA"/>
        </w:rPr>
        <w:t>selon laquelle</w:t>
      </w:r>
      <w:r w:rsidR="003B41BB" w:rsidRPr="00095CF0">
        <w:rPr>
          <w:i/>
          <w:lang w:val="fr-CA"/>
        </w:rPr>
        <w:t xml:space="preserve"> les candidats au poste de chef et à un poste de conseiller de la bande </w:t>
      </w:r>
      <w:r w:rsidR="009F6AD5">
        <w:rPr>
          <w:i/>
          <w:lang w:val="fr-CA"/>
        </w:rPr>
        <w:t>doivent avoir</w:t>
      </w:r>
      <w:r w:rsidR="003B41BB" w:rsidRPr="00095CF0">
        <w:rPr>
          <w:i/>
          <w:lang w:val="fr-CA"/>
        </w:rPr>
        <w:t xml:space="preserve"> un niveau de scolarité minimum de 12</w:t>
      </w:r>
      <w:r w:rsidR="003B41BB" w:rsidRPr="00095CF0">
        <w:rPr>
          <w:i/>
          <w:vertAlign w:val="superscript"/>
          <w:lang w:val="fr-CA"/>
        </w:rPr>
        <w:t>e</w:t>
      </w:r>
      <w:r w:rsidR="0077539A">
        <w:rPr>
          <w:i/>
          <w:vertAlign w:val="superscript"/>
          <w:lang w:val="fr-CA"/>
        </w:rPr>
        <w:t xml:space="preserve"> </w:t>
      </w:r>
      <w:r w:rsidR="003B41BB" w:rsidRPr="00095CF0">
        <w:rPr>
          <w:i/>
          <w:lang w:val="fr-CA"/>
        </w:rPr>
        <w:t>année — L</w:t>
      </w:r>
      <w:r w:rsidR="006C17B6" w:rsidRPr="00095CF0">
        <w:rPr>
          <w:i/>
          <w:lang w:val="fr-CA"/>
        </w:rPr>
        <w:t>’</w:t>
      </w:r>
      <w:r w:rsidR="003B41BB" w:rsidRPr="00095CF0">
        <w:rPr>
          <w:i/>
          <w:lang w:val="fr-CA"/>
        </w:rPr>
        <w:t>exigence en matière d</w:t>
      </w:r>
      <w:r w:rsidR="006C17B6" w:rsidRPr="00095CF0">
        <w:rPr>
          <w:i/>
          <w:lang w:val="fr-CA"/>
        </w:rPr>
        <w:t>’</w:t>
      </w:r>
      <w:r w:rsidR="003B41BB" w:rsidRPr="00095CF0">
        <w:rPr>
          <w:i/>
          <w:lang w:val="fr-CA"/>
        </w:rPr>
        <w:t>éducation viole</w:t>
      </w:r>
      <w:r w:rsidR="0077539A">
        <w:rPr>
          <w:i/>
          <w:lang w:val="fr-CA"/>
        </w:rPr>
        <w:t>-</w:t>
      </w:r>
      <w:r w:rsidR="003B41BB" w:rsidRPr="00095CF0">
        <w:rPr>
          <w:i/>
          <w:lang w:val="fr-CA"/>
        </w:rPr>
        <w:t>t</w:t>
      </w:r>
      <w:r w:rsidR="0077539A">
        <w:rPr>
          <w:i/>
          <w:lang w:val="fr-CA"/>
        </w:rPr>
        <w:t>-</w:t>
      </w:r>
      <w:r w:rsidR="003B41BB" w:rsidRPr="00095CF0">
        <w:rPr>
          <w:i/>
          <w:lang w:val="fr-CA"/>
        </w:rPr>
        <w:t xml:space="preserve">elle </w:t>
      </w:r>
      <w:r w:rsidR="00281688">
        <w:rPr>
          <w:i/>
          <w:lang w:val="fr-CA"/>
        </w:rPr>
        <w:t>l’art.</w:t>
      </w:r>
      <w:r w:rsidR="0077539A">
        <w:rPr>
          <w:i/>
          <w:lang w:val="fr-CA"/>
        </w:rPr>
        <w:t xml:space="preserve"> </w:t>
      </w:r>
      <w:r w:rsidR="003B41BB" w:rsidRPr="00095CF0">
        <w:rPr>
          <w:i/>
          <w:lang w:val="fr-CA"/>
        </w:rPr>
        <w:t>15(1) de la Charte canadienne des droits et libertés</w:t>
      </w:r>
      <w:r w:rsidR="009F6AD5">
        <w:rPr>
          <w:i/>
          <w:lang w:val="fr-CA"/>
        </w:rPr>
        <w:t>?</w:t>
      </w:r>
      <w:r w:rsidR="003B41BB" w:rsidRPr="00095CF0">
        <w:rPr>
          <w:i/>
          <w:lang w:val="fr-CA"/>
        </w:rPr>
        <w:t xml:space="preserve"> — </w:t>
      </w:r>
      <w:proofErr w:type="spellStart"/>
      <w:r w:rsidR="003B41BB" w:rsidRPr="00095CF0">
        <w:rPr>
          <w:i/>
          <w:lang w:val="fr-CA"/>
        </w:rPr>
        <w:t>Kahkewistahaw</w:t>
      </w:r>
      <w:proofErr w:type="spellEnd"/>
      <w:r w:rsidR="003B41BB" w:rsidRPr="00095CF0">
        <w:rPr>
          <w:i/>
          <w:lang w:val="fr-CA"/>
        </w:rPr>
        <w:t xml:space="preserve"> </w:t>
      </w:r>
      <w:proofErr w:type="spellStart"/>
      <w:r w:rsidR="003B41BB" w:rsidRPr="00095CF0">
        <w:rPr>
          <w:i/>
          <w:lang w:val="fr-CA"/>
        </w:rPr>
        <w:t>Election</w:t>
      </w:r>
      <w:proofErr w:type="spellEnd"/>
      <w:r w:rsidR="003B41BB" w:rsidRPr="00095CF0">
        <w:rPr>
          <w:i/>
          <w:lang w:val="fr-CA"/>
        </w:rPr>
        <w:t xml:space="preserve"> </w:t>
      </w:r>
      <w:proofErr w:type="spellStart"/>
      <w:r w:rsidR="003B41BB" w:rsidRPr="00095CF0">
        <w:rPr>
          <w:i/>
          <w:lang w:val="fr-CA"/>
        </w:rPr>
        <w:t>Act</w:t>
      </w:r>
      <w:proofErr w:type="spellEnd"/>
      <w:r w:rsidR="003B41BB" w:rsidRPr="00095CF0">
        <w:rPr>
          <w:i/>
          <w:lang w:val="fr-CA"/>
        </w:rPr>
        <w:t xml:space="preserve">, </w:t>
      </w:r>
      <w:r w:rsidR="00A501DF">
        <w:rPr>
          <w:i/>
          <w:lang w:val="fr-CA"/>
        </w:rPr>
        <w:t>art.</w:t>
      </w:r>
      <w:r w:rsidR="0077539A">
        <w:rPr>
          <w:i/>
          <w:lang w:val="fr-CA"/>
        </w:rPr>
        <w:t xml:space="preserve"> </w:t>
      </w:r>
      <w:r w:rsidR="003B41BB" w:rsidRPr="00095CF0">
        <w:rPr>
          <w:i/>
          <w:lang w:val="fr-CA"/>
        </w:rPr>
        <w:t>9.03c).</w:t>
      </w:r>
    </w:p>
    <w:p w:rsidR="003B41BB" w:rsidRPr="00095CF0" w:rsidRDefault="003B41BB" w:rsidP="003B41BB">
      <w:pPr>
        <w:pStyle w:val="SCCNormalDoubleSpacing"/>
        <w:spacing w:before="480" w:after="480"/>
        <w:rPr>
          <w:lang w:val="fr-CA"/>
        </w:rPr>
      </w:pPr>
      <w:r w:rsidRPr="00095CF0">
        <w:rPr>
          <w:lang w:val="fr-CA"/>
        </w:rPr>
        <w:tab/>
        <w:t>Le Rapport de la Commission royale sur les peuples autochtones publié en 1996 qualifiait de priorité absolue le rôle que l</w:t>
      </w:r>
      <w:r w:rsidR="006C17B6" w:rsidRPr="00095CF0">
        <w:rPr>
          <w:lang w:val="fr-CA"/>
        </w:rPr>
        <w:t>’</w:t>
      </w:r>
      <w:r w:rsidRPr="00095CF0">
        <w:rPr>
          <w:lang w:val="fr-CA"/>
        </w:rPr>
        <w:t>éducation est appelée à jouer pour promouvoir le bien</w:t>
      </w:r>
      <w:r w:rsidR="0077539A">
        <w:rPr>
          <w:lang w:val="fr-CA"/>
        </w:rPr>
        <w:t>-</w:t>
      </w:r>
      <w:r w:rsidRPr="00095CF0">
        <w:rPr>
          <w:lang w:val="fr-CA"/>
        </w:rPr>
        <w:t>être tant individuel que collectif des communautés autochtones et pour les préparer à assumer l</w:t>
      </w:r>
      <w:r w:rsidR="006C17B6" w:rsidRPr="00095CF0">
        <w:rPr>
          <w:lang w:val="fr-CA"/>
        </w:rPr>
        <w:t>’</w:t>
      </w:r>
      <w:r w:rsidRPr="00095CF0">
        <w:rPr>
          <w:lang w:val="fr-CA"/>
        </w:rPr>
        <w:t>éventail complet des responsabilités liées à l</w:t>
      </w:r>
      <w:r w:rsidR="006C17B6" w:rsidRPr="00095CF0">
        <w:rPr>
          <w:lang w:val="fr-CA"/>
        </w:rPr>
        <w:t>’</w:t>
      </w:r>
      <w:r w:rsidRPr="00095CF0">
        <w:rPr>
          <w:lang w:val="fr-CA"/>
        </w:rPr>
        <w:t xml:space="preserve">autonomie </w:t>
      </w:r>
      <w:r w:rsidRPr="00095CF0">
        <w:rPr>
          <w:lang w:val="fr-CA"/>
        </w:rPr>
        <w:lastRenderedPageBreak/>
        <w:t>gouvernementale. En réponse à ces objectifs — promouvoir la bonne gouvernance et encourager l</w:t>
      </w:r>
      <w:r w:rsidR="006C17B6" w:rsidRPr="00095CF0">
        <w:rPr>
          <w:lang w:val="fr-CA"/>
        </w:rPr>
        <w:t>’</w:t>
      </w:r>
      <w:r w:rsidRPr="00095CF0">
        <w:rPr>
          <w:lang w:val="fr-CA"/>
        </w:rPr>
        <w:t xml:space="preserve">éducation —, la Première Nation de </w:t>
      </w:r>
      <w:proofErr w:type="spellStart"/>
      <w:r w:rsidRPr="00095CF0">
        <w:rPr>
          <w:lang w:val="fr-CA"/>
        </w:rPr>
        <w:t>Kahkewistahaw</w:t>
      </w:r>
      <w:proofErr w:type="spellEnd"/>
      <w:r w:rsidRPr="00095CF0">
        <w:rPr>
          <w:lang w:val="fr-CA"/>
        </w:rPr>
        <w:t xml:space="preserve"> de la Saskatchewan a consacré 13</w:t>
      </w:r>
      <w:r w:rsidR="0077539A">
        <w:rPr>
          <w:lang w:val="fr-CA"/>
        </w:rPr>
        <w:t xml:space="preserve"> </w:t>
      </w:r>
      <w:r w:rsidRPr="00095CF0">
        <w:rPr>
          <w:lang w:val="fr-CA"/>
        </w:rPr>
        <w:t>années à élaborer un code électoral qui prévoit notamment comme condition d</w:t>
      </w:r>
      <w:r w:rsidR="006C17B6" w:rsidRPr="00095CF0">
        <w:rPr>
          <w:lang w:val="fr-CA"/>
        </w:rPr>
        <w:t>’</w:t>
      </w:r>
      <w:r w:rsidRPr="00095CF0">
        <w:rPr>
          <w:lang w:val="fr-CA"/>
        </w:rPr>
        <w:t>éligibilité que les candidats au poste de chef ou à un poste de conseiller de la bande doivent avoir un niveau de scolarité minimum de 12</w:t>
      </w:r>
      <w:r w:rsidRPr="00095CF0">
        <w:rPr>
          <w:vertAlign w:val="superscript"/>
          <w:lang w:val="fr-CA"/>
        </w:rPr>
        <w:t>e</w:t>
      </w:r>
      <w:r w:rsidR="0077539A">
        <w:rPr>
          <w:vertAlign w:val="superscript"/>
          <w:lang w:val="fr-CA"/>
        </w:rPr>
        <w:t xml:space="preserve"> </w:t>
      </w:r>
      <w:r w:rsidRPr="00095CF0">
        <w:rPr>
          <w:lang w:val="fr-CA"/>
        </w:rPr>
        <w:t xml:space="preserve">année. Louis </w:t>
      </w:r>
      <w:proofErr w:type="spellStart"/>
      <w:r w:rsidRPr="00095CF0">
        <w:rPr>
          <w:lang w:val="fr-CA"/>
        </w:rPr>
        <w:t>Taypotat</w:t>
      </w:r>
      <w:proofErr w:type="spellEnd"/>
      <w:r w:rsidRPr="00095CF0">
        <w:rPr>
          <w:lang w:val="fr-CA"/>
        </w:rPr>
        <w:t>, qui avait été chef pendant près de trois décennies, était âgé de 76 ans et poss</w:t>
      </w:r>
      <w:r w:rsidR="00E52E1D" w:rsidRPr="00095CF0">
        <w:rPr>
          <w:lang w:val="fr-CA"/>
        </w:rPr>
        <w:t>é</w:t>
      </w:r>
      <w:r w:rsidRPr="00095CF0">
        <w:rPr>
          <w:lang w:val="fr-CA"/>
        </w:rPr>
        <w:t>dait une 10</w:t>
      </w:r>
      <w:r w:rsidRPr="00095CF0">
        <w:rPr>
          <w:vertAlign w:val="superscript"/>
          <w:lang w:val="fr-CA"/>
        </w:rPr>
        <w:t>e</w:t>
      </w:r>
      <w:r w:rsidR="0077539A">
        <w:rPr>
          <w:lang w:val="fr-CA"/>
        </w:rPr>
        <w:t xml:space="preserve"> </w:t>
      </w:r>
      <w:r w:rsidRPr="00095CF0">
        <w:rPr>
          <w:lang w:val="fr-CA"/>
        </w:rPr>
        <w:t>année. Malgré le fait qu</w:t>
      </w:r>
      <w:r w:rsidR="006C17B6" w:rsidRPr="00095CF0">
        <w:rPr>
          <w:lang w:val="fr-CA"/>
        </w:rPr>
        <w:t>’</w:t>
      </w:r>
      <w:r w:rsidR="003C63FF" w:rsidRPr="00095CF0">
        <w:rPr>
          <w:lang w:val="fr-CA"/>
        </w:rPr>
        <w:t>il avai</w:t>
      </w:r>
      <w:r w:rsidR="00E52E1D" w:rsidRPr="00095CF0">
        <w:rPr>
          <w:lang w:val="fr-CA"/>
        </w:rPr>
        <w:t xml:space="preserve">t </w:t>
      </w:r>
      <w:r w:rsidR="003C63FF" w:rsidRPr="00095CF0">
        <w:rPr>
          <w:lang w:val="fr-CA"/>
        </w:rPr>
        <w:t>été</w:t>
      </w:r>
      <w:r w:rsidRPr="00095CF0">
        <w:rPr>
          <w:lang w:val="fr-CA"/>
        </w:rPr>
        <w:t xml:space="preserve"> chef pendant une grande partie des consultations ayant mené à l</w:t>
      </w:r>
      <w:r w:rsidR="006C17B6" w:rsidRPr="00095CF0">
        <w:rPr>
          <w:lang w:val="fr-CA"/>
        </w:rPr>
        <w:t>’</w:t>
      </w:r>
      <w:r w:rsidRPr="00095CF0">
        <w:rPr>
          <w:lang w:val="fr-CA"/>
        </w:rPr>
        <w:t xml:space="preserve">élaboration du nouveau code électoral, </w:t>
      </w:r>
      <w:r w:rsidR="003C63FF" w:rsidRPr="00095CF0">
        <w:rPr>
          <w:lang w:val="fr-CA"/>
        </w:rPr>
        <w:t>M.</w:t>
      </w:r>
      <w:r w:rsidR="0077539A">
        <w:rPr>
          <w:lang w:val="fr-CA"/>
        </w:rPr>
        <w:t xml:space="preserve"> </w:t>
      </w:r>
      <w:proofErr w:type="spellStart"/>
      <w:r w:rsidR="003C63FF" w:rsidRPr="00095CF0">
        <w:rPr>
          <w:lang w:val="fr-CA"/>
        </w:rPr>
        <w:t>Taypotat</w:t>
      </w:r>
      <w:proofErr w:type="spellEnd"/>
      <w:r w:rsidRPr="00095CF0">
        <w:rPr>
          <w:lang w:val="fr-CA"/>
        </w:rPr>
        <w:t xml:space="preserve"> a contesté le processus de consultation, son inéligibilité, ainsi que la constitutionnalité de l</w:t>
      </w:r>
      <w:r w:rsidR="006C17B6" w:rsidRPr="00095CF0">
        <w:rPr>
          <w:lang w:val="fr-CA"/>
        </w:rPr>
        <w:t>’</w:t>
      </w:r>
      <w:r w:rsidRPr="00095CF0">
        <w:rPr>
          <w:lang w:val="fr-CA"/>
        </w:rPr>
        <w:t>exigence relative au niveau de scolarité minimum de 12</w:t>
      </w:r>
      <w:r w:rsidRPr="00095CF0">
        <w:rPr>
          <w:vertAlign w:val="superscript"/>
          <w:lang w:val="fr-CA"/>
        </w:rPr>
        <w:t>e</w:t>
      </w:r>
      <w:r w:rsidRPr="00095CF0">
        <w:rPr>
          <w:lang w:val="fr-CA"/>
        </w:rPr>
        <w:t xml:space="preserve"> année. Seule la question constitutionnelle reste à trancher par la Cour. Selon </w:t>
      </w:r>
      <w:r w:rsidR="003C63FF" w:rsidRPr="00095CF0">
        <w:rPr>
          <w:lang w:val="fr-CA"/>
        </w:rPr>
        <w:t>l</w:t>
      </w:r>
      <w:r w:rsidRPr="00095CF0">
        <w:rPr>
          <w:lang w:val="fr-CA"/>
        </w:rPr>
        <w:t>es prétentions</w:t>
      </w:r>
      <w:r w:rsidR="003C63FF" w:rsidRPr="00095CF0">
        <w:rPr>
          <w:lang w:val="fr-CA"/>
        </w:rPr>
        <w:t xml:space="preserve"> de M.</w:t>
      </w:r>
      <w:r w:rsidR="0077539A">
        <w:rPr>
          <w:lang w:val="fr-CA"/>
        </w:rPr>
        <w:t xml:space="preserve"> </w:t>
      </w:r>
      <w:proofErr w:type="spellStart"/>
      <w:r w:rsidR="003C63FF" w:rsidRPr="00095CF0">
        <w:rPr>
          <w:lang w:val="fr-CA"/>
        </w:rPr>
        <w:t>Taypotat</w:t>
      </w:r>
      <w:proofErr w:type="spellEnd"/>
      <w:r w:rsidRPr="00095CF0">
        <w:rPr>
          <w:lang w:val="fr-CA"/>
        </w:rPr>
        <w:t>, le fait d</w:t>
      </w:r>
      <w:r w:rsidR="006C17B6" w:rsidRPr="00095CF0">
        <w:rPr>
          <w:lang w:val="fr-CA"/>
        </w:rPr>
        <w:t>’</w:t>
      </w:r>
      <w:r w:rsidRPr="00095CF0">
        <w:rPr>
          <w:lang w:val="fr-CA"/>
        </w:rPr>
        <w:t>exiger un niveau de scolarité de 12</w:t>
      </w:r>
      <w:r w:rsidRPr="00095CF0">
        <w:rPr>
          <w:vertAlign w:val="superscript"/>
          <w:lang w:val="fr-CA"/>
        </w:rPr>
        <w:t>e</w:t>
      </w:r>
      <w:r w:rsidR="0077539A">
        <w:rPr>
          <w:lang w:val="fr-CA"/>
        </w:rPr>
        <w:t xml:space="preserve"> </w:t>
      </w:r>
      <w:r w:rsidRPr="00095CF0">
        <w:rPr>
          <w:lang w:val="fr-CA"/>
        </w:rPr>
        <w:t xml:space="preserve">année violait le </w:t>
      </w:r>
      <w:r w:rsidR="00A501DF">
        <w:rPr>
          <w:lang w:val="fr-CA"/>
        </w:rPr>
        <w:t>par.</w:t>
      </w:r>
      <w:r w:rsidR="0077539A">
        <w:rPr>
          <w:lang w:val="fr-CA"/>
        </w:rPr>
        <w:t xml:space="preserve"> </w:t>
      </w:r>
      <w:r w:rsidRPr="00095CF0">
        <w:rPr>
          <w:lang w:val="fr-CA"/>
        </w:rPr>
        <w:t xml:space="preserve">15(1) de la </w:t>
      </w:r>
      <w:r w:rsidRPr="00095CF0">
        <w:rPr>
          <w:i/>
          <w:iCs/>
          <w:lang w:val="fr-CA"/>
        </w:rPr>
        <w:t>Charte</w:t>
      </w:r>
      <w:r w:rsidR="003C63FF" w:rsidRPr="00095CF0">
        <w:rPr>
          <w:i/>
          <w:iCs/>
          <w:lang w:val="fr-CA"/>
        </w:rPr>
        <w:t xml:space="preserve"> canadienne des droits et libertés</w:t>
      </w:r>
      <w:r w:rsidRPr="00095CF0">
        <w:rPr>
          <w:lang w:val="fr-CA"/>
        </w:rPr>
        <w:t xml:space="preserve">, parce que </w:t>
      </w:r>
      <w:r w:rsidR="0077539A">
        <w:rPr>
          <w:lang w:val="fr-CA"/>
        </w:rPr>
        <w:t>« </w:t>
      </w:r>
      <w:r w:rsidRPr="00095CF0">
        <w:rPr>
          <w:lang w:val="fr-CA"/>
        </w:rPr>
        <w:t xml:space="preserve">le niveau de scolarité </w:t>
      </w:r>
      <w:r w:rsidR="001A732E">
        <w:rPr>
          <w:lang w:val="fr-CA"/>
        </w:rPr>
        <w:t>[</w:t>
      </w:r>
      <w:r w:rsidRPr="00095CF0">
        <w:rPr>
          <w:lang w:val="fr-CA"/>
        </w:rPr>
        <w:t>est un motif</w:t>
      </w:r>
      <w:r w:rsidR="001A732E">
        <w:rPr>
          <w:lang w:val="fr-CA"/>
        </w:rPr>
        <w:t>]</w:t>
      </w:r>
      <w:r w:rsidRPr="00095CF0">
        <w:rPr>
          <w:lang w:val="fr-CA"/>
        </w:rPr>
        <w:t xml:space="preserve"> analogue à la race et à l</w:t>
      </w:r>
      <w:r w:rsidR="006C17B6" w:rsidRPr="00095CF0">
        <w:rPr>
          <w:lang w:val="fr-CA"/>
        </w:rPr>
        <w:t>’</w:t>
      </w:r>
      <w:r w:rsidRPr="00095CF0">
        <w:rPr>
          <w:lang w:val="fr-CA"/>
        </w:rPr>
        <w:t>âge</w:t>
      </w:r>
      <w:r w:rsidR="0077539A">
        <w:rPr>
          <w:lang w:val="fr-CA"/>
        </w:rPr>
        <w:t> »</w:t>
      </w:r>
      <w:r w:rsidRPr="00095CF0">
        <w:rPr>
          <w:lang w:val="fr-CA"/>
        </w:rPr>
        <w:t xml:space="preserve"> pour l</w:t>
      </w:r>
      <w:r w:rsidR="006C17B6" w:rsidRPr="00095CF0">
        <w:rPr>
          <w:lang w:val="fr-CA"/>
        </w:rPr>
        <w:t>’</w:t>
      </w:r>
      <w:r w:rsidRPr="00095CF0">
        <w:rPr>
          <w:lang w:val="fr-CA"/>
        </w:rPr>
        <w:t xml:space="preserve">application du </w:t>
      </w:r>
      <w:r w:rsidR="00A501DF">
        <w:rPr>
          <w:lang w:val="fr-CA"/>
        </w:rPr>
        <w:t>par.</w:t>
      </w:r>
      <w:r w:rsidR="0077539A">
        <w:rPr>
          <w:lang w:val="fr-CA"/>
        </w:rPr>
        <w:t xml:space="preserve"> </w:t>
      </w:r>
      <w:r w:rsidRPr="00095CF0">
        <w:rPr>
          <w:lang w:val="fr-CA"/>
        </w:rPr>
        <w:t>15(1). En Cour fédérale, le juge de Montigny a rejeté la demande. La Cour d</w:t>
      </w:r>
      <w:r w:rsidR="006C17B6" w:rsidRPr="00095CF0">
        <w:rPr>
          <w:lang w:val="fr-CA"/>
        </w:rPr>
        <w:t>’</w:t>
      </w:r>
      <w:r w:rsidRPr="00095CF0">
        <w:rPr>
          <w:lang w:val="fr-CA"/>
        </w:rPr>
        <w:t>appel fédérale a accueilli l</w:t>
      </w:r>
      <w:r w:rsidR="006C17B6" w:rsidRPr="00095CF0">
        <w:rPr>
          <w:lang w:val="fr-CA"/>
        </w:rPr>
        <w:t>’</w:t>
      </w:r>
      <w:r w:rsidRPr="00095CF0">
        <w:rPr>
          <w:lang w:val="fr-CA"/>
        </w:rPr>
        <w:t>appel. Les motifs sur lesquels cette dernière a fondé sa décision, soit l</w:t>
      </w:r>
      <w:r w:rsidR="006C17B6" w:rsidRPr="00095CF0">
        <w:rPr>
          <w:lang w:val="fr-CA"/>
        </w:rPr>
        <w:t>’</w:t>
      </w:r>
      <w:r w:rsidRPr="00095CF0">
        <w:rPr>
          <w:lang w:val="fr-CA"/>
        </w:rPr>
        <w:t>âge et le fai</w:t>
      </w:r>
      <w:r w:rsidR="003C63FF" w:rsidRPr="00095CF0">
        <w:rPr>
          <w:lang w:val="fr-CA"/>
        </w:rPr>
        <w:t>t</w:t>
      </w:r>
      <w:r w:rsidRPr="00095CF0">
        <w:rPr>
          <w:lang w:val="fr-CA"/>
        </w:rPr>
        <w:t xml:space="preserve"> de résider dans une réserve, n</w:t>
      </w:r>
      <w:r w:rsidR="006C17B6" w:rsidRPr="00095CF0">
        <w:rPr>
          <w:lang w:val="fr-CA"/>
        </w:rPr>
        <w:t>’</w:t>
      </w:r>
      <w:r w:rsidRPr="00095CF0">
        <w:rPr>
          <w:lang w:val="fr-CA"/>
        </w:rPr>
        <w:t xml:space="preserve">ont </w:t>
      </w:r>
      <w:r w:rsidR="003C63FF" w:rsidRPr="00095CF0">
        <w:rPr>
          <w:lang w:val="fr-CA"/>
        </w:rPr>
        <w:t xml:space="preserve">pas </w:t>
      </w:r>
      <w:r w:rsidRPr="00095CF0">
        <w:rPr>
          <w:lang w:val="fr-CA"/>
        </w:rPr>
        <w:t>été plaidés.</w:t>
      </w:r>
    </w:p>
    <w:p w:rsidR="003B41BB" w:rsidRPr="00095CF0" w:rsidRDefault="003B41BB" w:rsidP="003B41BB">
      <w:pPr>
        <w:pStyle w:val="SCCNormalDoubleSpacing"/>
        <w:spacing w:before="480" w:after="480"/>
        <w:rPr>
          <w:lang w:val="fr-CA"/>
        </w:rPr>
      </w:pPr>
      <w:r w:rsidRPr="00095CF0">
        <w:rPr>
          <w:i/>
          <w:lang w:val="fr-CA"/>
        </w:rPr>
        <w:tab/>
        <w:t>Arrêt</w:t>
      </w:r>
      <w:r w:rsidR="0077539A">
        <w:rPr>
          <w:lang w:val="fr-CA"/>
        </w:rPr>
        <w:t> :</w:t>
      </w:r>
      <w:r w:rsidRPr="00281688">
        <w:rPr>
          <w:lang w:val="fr-CA"/>
        </w:rPr>
        <w:t xml:space="preserve"> </w:t>
      </w:r>
      <w:r w:rsidRPr="00095CF0">
        <w:rPr>
          <w:lang w:val="fr-CA"/>
        </w:rPr>
        <w:t>L</w:t>
      </w:r>
      <w:r w:rsidR="006C17B6" w:rsidRPr="00095CF0">
        <w:rPr>
          <w:lang w:val="fr-CA"/>
        </w:rPr>
        <w:t>’</w:t>
      </w:r>
      <w:r w:rsidRPr="00095CF0">
        <w:rPr>
          <w:lang w:val="fr-CA"/>
        </w:rPr>
        <w:t xml:space="preserve">appel est accueilli et la décision du juge de Montigny </w:t>
      </w:r>
      <w:r w:rsidR="005549E0">
        <w:rPr>
          <w:lang w:val="fr-CA"/>
        </w:rPr>
        <w:t xml:space="preserve">est </w:t>
      </w:r>
      <w:r w:rsidRPr="00095CF0">
        <w:rPr>
          <w:lang w:val="fr-CA"/>
        </w:rPr>
        <w:t xml:space="preserve">rétablie. </w:t>
      </w:r>
    </w:p>
    <w:p w:rsidR="003B41BB" w:rsidRPr="00095CF0" w:rsidRDefault="003B41BB" w:rsidP="003B41BB">
      <w:pPr>
        <w:pStyle w:val="SCCNormalDoubleSpacing"/>
        <w:spacing w:before="480" w:after="480"/>
        <w:rPr>
          <w:lang w:val="fr-CA"/>
        </w:rPr>
      </w:pPr>
      <w:r w:rsidRPr="00095CF0">
        <w:rPr>
          <w:lang w:val="fr-CA"/>
        </w:rPr>
        <w:tab/>
        <w:t>L</w:t>
      </w:r>
      <w:r w:rsidR="006C17B6" w:rsidRPr="00095CF0">
        <w:rPr>
          <w:lang w:val="fr-CA"/>
        </w:rPr>
        <w:t>’</w:t>
      </w:r>
      <w:r w:rsidRPr="00095CF0">
        <w:rPr>
          <w:lang w:val="fr-CA"/>
        </w:rPr>
        <w:t xml:space="preserve">approche relative </w:t>
      </w:r>
      <w:r w:rsidR="003C63FF" w:rsidRPr="00095CF0">
        <w:rPr>
          <w:lang w:val="fr-CA"/>
        </w:rPr>
        <w:t>à l</w:t>
      </w:r>
      <w:r w:rsidR="006C17B6" w:rsidRPr="00095CF0">
        <w:rPr>
          <w:lang w:val="fr-CA"/>
        </w:rPr>
        <w:t>’</w:t>
      </w:r>
      <w:r w:rsidR="00A501DF">
        <w:rPr>
          <w:lang w:val="fr-CA"/>
        </w:rPr>
        <w:t>art.</w:t>
      </w:r>
      <w:r w:rsidR="0077539A">
        <w:rPr>
          <w:lang w:val="fr-CA"/>
        </w:rPr>
        <w:t xml:space="preserve"> </w:t>
      </w:r>
      <w:r w:rsidRPr="00095CF0">
        <w:rPr>
          <w:lang w:val="fr-CA"/>
        </w:rPr>
        <w:t xml:space="preserve">15 a été énoncée le plus récemment dans </w:t>
      </w:r>
      <w:r w:rsidRPr="00095CF0">
        <w:rPr>
          <w:i/>
          <w:lang w:val="fr-CA"/>
        </w:rPr>
        <w:t>Québec (Procureur général) c. A</w:t>
      </w:r>
      <w:r w:rsidR="00A501DF">
        <w:rPr>
          <w:lang w:val="fr-CA"/>
        </w:rPr>
        <w:t>, [2013]</w:t>
      </w:r>
      <w:r w:rsidR="0077539A">
        <w:rPr>
          <w:lang w:val="fr-CA"/>
        </w:rPr>
        <w:t xml:space="preserve"> </w:t>
      </w:r>
      <w:r w:rsidR="00A501DF">
        <w:rPr>
          <w:lang w:val="fr-CA"/>
        </w:rPr>
        <w:t>1</w:t>
      </w:r>
      <w:r w:rsidR="0077539A">
        <w:rPr>
          <w:lang w:val="fr-CA"/>
        </w:rPr>
        <w:t xml:space="preserve"> </w:t>
      </w:r>
      <w:r w:rsidR="00A501DF">
        <w:rPr>
          <w:lang w:val="fr-CA"/>
        </w:rPr>
        <w:t>R.C.S.</w:t>
      </w:r>
      <w:r w:rsidR="0077539A">
        <w:rPr>
          <w:lang w:val="fr-CA"/>
        </w:rPr>
        <w:t xml:space="preserve"> </w:t>
      </w:r>
      <w:r w:rsidR="00A501DF">
        <w:rPr>
          <w:lang w:val="fr-CA"/>
        </w:rPr>
        <w:t>61, par.</w:t>
      </w:r>
      <w:r w:rsidR="0077539A">
        <w:rPr>
          <w:lang w:val="fr-CA"/>
        </w:rPr>
        <w:t xml:space="preserve"> </w:t>
      </w:r>
      <w:r w:rsidRPr="00095CF0">
        <w:rPr>
          <w:lang w:val="fr-CA"/>
        </w:rPr>
        <w:t>319</w:t>
      </w:r>
      <w:r w:rsidR="0077539A">
        <w:rPr>
          <w:lang w:val="fr-CA"/>
        </w:rPr>
        <w:t>-</w:t>
      </w:r>
      <w:r w:rsidRPr="00095CF0">
        <w:rPr>
          <w:lang w:val="fr-CA"/>
        </w:rPr>
        <w:t>347. Elle</w:t>
      </w:r>
      <w:r w:rsidRPr="00095CF0">
        <w:rPr>
          <w:i/>
          <w:iCs/>
          <w:lang w:val="fr-CA"/>
        </w:rPr>
        <w:t xml:space="preserve"> </w:t>
      </w:r>
      <w:r w:rsidRPr="00095CF0">
        <w:rPr>
          <w:lang w:val="fr-CA"/>
        </w:rPr>
        <w:t>exige</w:t>
      </w:r>
      <w:r w:rsidR="0077539A">
        <w:rPr>
          <w:lang w:val="fr-CA"/>
        </w:rPr>
        <w:t xml:space="preserve"> </w:t>
      </w:r>
      <w:r w:rsidRPr="00095CF0">
        <w:rPr>
          <w:lang w:val="fr-CA"/>
        </w:rPr>
        <w:t xml:space="preserve">une analyse souple et contextuelle visant à déterminer si la distinction a pour effet de </w:t>
      </w:r>
      <w:r w:rsidRPr="00095CF0">
        <w:rPr>
          <w:lang w:val="fr-CA"/>
        </w:rPr>
        <w:lastRenderedPageBreak/>
        <w:t>perpétuer un désavantage arbitraire à l</w:t>
      </w:r>
      <w:r w:rsidR="006C17B6" w:rsidRPr="00095CF0">
        <w:rPr>
          <w:lang w:val="fr-CA"/>
        </w:rPr>
        <w:t>’</w:t>
      </w:r>
      <w:r w:rsidRPr="00095CF0">
        <w:rPr>
          <w:lang w:val="fr-CA"/>
        </w:rPr>
        <w:t xml:space="preserve">égard du demandeur, </w:t>
      </w:r>
      <w:r w:rsidRPr="00095CF0">
        <w:rPr>
          <w:iCs/>
          <w:lang w:val="fr-CA"/>
        </w:rPr>
        <w:t>du fait de son appartenance à un groupe énuméré ou analogue</w:t>
      </w:r>
      <w:r w:rsidRPr="00095CF0">
        <w:rPr>
          <w:lang w:val="fr-CA"/>
        </w:rPr>
        <w:t>. Cette démarche reconnaît que des désavantages systémiques persistants ont eu pour effet de restreindre les possibilités offertes aux membres de certains groupes de la société et elle vise à empêcher tout acte qui contribue à perpétuer ces désavantages. L</w:t>
      </w:r>
      <w:r w:rsidR="006C17B6" w:rsidRPr="00095CF0">
        <w:rPr>
          <w:lang w:val="fr-CA"/>
        </w:rPr>
        <w:t>’</w:t>
      </w:r>
      <w:r w:rsidRPr="00095CF0">
        <w:rPr>
          <w:lang w:val="fr-CA"/>
        </w:rPr>
        <w:t>article</w:t>
      </w:r>
      <w:r w:rsidR="0077539A">
        <w:rPr>
          <w:lang w:val="fr-CA"/>
        </w:rPr>
        <w:t xml:space="preserve"> </w:t>
      </w:r>
      <w:r w:rsidRPr="00095CF0">
        <w:rPr>
          <w:lang w:val="fr-CA"/>
        </w:rPr>
        <w:t xml:space="preserve">15 vise les lois qui établissent des distinctions </w:t>
      </w:r>
      <w:r w:rsidRPr="00095CF0">
        <w:rPr>
          <w:i/>
          <w:iCs/>
          <w:lang w:val="fr-CA"/>
        </w:rPr>
        <w:t>discriminatoires</w:t>
      </w:r>
      <w:r w:rsidRPr="00095CF0">
        <w:rPr>
          <w:lang w:val="fr-CA"/>
        </w:rPr>
        <w:t>, c</w:t>
      </w:r>
      <w:r w:rsidR="006C17B6" w:rsidRPr="00095CF0">
        <w:rPr>
          <w:lang w:val="fr-CA"/>
        </w:rPr>
        <w:t>’</w:t>
      </w:r>
      <w:r w:rsidRPr="00095CF0">
        <w:rPr>
          <w:lang w:val="fr-CA"/>
        </w:rPr>
        <w:t>est</w:t>
      </w:r>
      <w:r w:rsidR="0077539A">
        <w:rPr>
          <w:lang w:val="fr-CA"/>
        </w:rPr>
        <w:t>-</w:t>
      </w:r>
      <w:r w:rsidRPr="00095CF0">
        <w:rPr>
          <w:lang w:val="fr-CA"/>
        </w:rPr>
        <w:t>à</w:t>
      </w:r>
      <w:r w:rsidR="0077539A">
        <w:rPr>
          <w:lang w:val="fr-CA"/>
        </w:rPr>
        <w:t>-</w:t>
      </w:r>
      <w:r w:rsidRPr="00095CF0">
        <w:rPr>
          <w:lang w:val="fr-CA"/>
        </w:rPr>
        <w:t>dire des distinctions qui ont pour effet de perpétuer un désavantage arbitraire à l</w:t>
      </w:r>
      <w:r w:rsidR="006C17B6" w:rsidRPr="00095CF0">
        <w:rPr>
          <w:lang w:val="fr-CA"/>
        </w:rPr>
        <w:t>’</w:t>
      </w:r>
      <w:r w:rsidRPr="00095CF0">
        <w:rPr>
          <w:lang w:val="fr-CA"/>
        </w:rPr>
        <w:t>égard d</w:t>
      </w:r>
      <w:r w:rsidR="006C17B6" w:rsidRPr="00095CF0">
        <w:rPr>
          <w:lang w:val="fr-CA"/>
        </w:rPr>
        <w:t>’</w:t>
      </w:r>
      <w:r w:rsidRPr="00095CF0">
        <w:rPr>
          <w:lang w:val="fr-CA"/>
        </w:rPr>
        <w:t>une personne du fait de son appartenance à un groupe énuméré ou analogue. L</w:t>
      </w:r>
      <w:r w:rsidR="006C17B6" w:rsidRPr="00095CF0">
        <w:rPr>
          <w:lang w:val="fr-CA"/>
        </w:rPr>
        <w:t>’</w:t>
      </w:r>
      <w:r w:rsidRPr="00095CF0">
        <w:rPr>
          <w:lang w:val="fr-CA"/>
        </w:rPr>
        <w:t xml:space="preserve">analyse fondée sur le </w:t>
      </w:r>
      <w:r w:rsidR="00A501DF">
        <w:rPr>
          <w:lang w:val="fr-CA"/>
        </w:rPr>
        <w:t>par.</w:t>
      </w:r>
      <w:r w:rsidR="0077539A">
        <w:rPr>
          <w:lang w:val="fr-CA"/>
        </w:rPr>
        <w:t xml:space="preserve"> </w:t>
      </w:r>
      <w:r w:rsidRPr="00095CF0">
        <w:rPr>
          <w:lang w:val="fr-CA"/>
        </w:rPr>
        <w:t>15(1) porte donc sur l</w:t>
      </w:r>
      <w:r w:rsidR="006C17B6" w:rsidRPr="00095CF0">
        <w:rPr>
          <w:lang w:val="fr-CA"/>
        </w:rPr>
        <w:t>’</w:t>
      </w:r>
      <w:r w:rsidRPr="00095CF0">
        <w:rPr>
          <w:lang w:val="fr-CA"/>
        </w:rPr>
        <w:t>égalité réelle.</w:t>
      </w:r>
    </w:p>
    <w:p w:rsidR="003B41BB" w:rsidRPr="00095CF0" w:rsidRDefault="003B41BB" w:rsidP="003B41BB">
      <w:pPr>
        <w:pStyle w:val="SCCNormalDoubleSpacing"/>
        <w:spacing w:before="480" w:after="480"/>
        <w:rPr>
          <w:lang w:val="fr-CA"/>
        </w:rPr>
      </w:pPr>
      <w:r w:rsidRPr="00095CF0">
        <w:rPr>
          <w:lang w:val="fr-CA"/>
        </w:rPr>
        <w:tab/>
        <w:t>Le premier volet de l</w:t>
      </w:r>
      <w:r w:rsidR="006C17B6" w:rsidRPr="00095CF0">
        <w:rPr>
          <w:lang w:val="fr-CA"/>
        </w:rPr>
        <w:t>’</w:t>
      </w:r>
      <w:r w:rsidRPr="00095CF0">
        <w:rPr>
          <w:lang w:val="fr-CA"/>
        </w:rPr>
        <w:t>analyse fondée sur l</w:t>
      </w:r>
      <w:r w:rsidR="006C17B6" w:rsidRPr="00095CF0">
        <w:rPr>
          <w:lang w:val="fr-CA"/>
        </w:rPr>
        <w:t>’</w:t>
      </w:r>
      <w:r w:rsidR="00A501DF">
        <w:rPr>
          <w:lang w:val="fr-CA"/>
        </w:rPr>
        <w:t>art.</w:t>
      </w:r>
      <w:r w:rsidR="0077539A">
        <w:rPr>
          <w:lang w:val="fr-CA"/>
        </w:rPr>
        <w:t xml:space="preserve"> </w:t>
      </w:r>
      <w:r w:rsidRPr="00095CF0">
        <w:rPr>
          <w:lang w:val="fr-CA"/>
        </w:rPr>
        <w:t>15 consiste donc à se demander si une loi crée une distinction fondée sur un motif énuméré ou analogue. Le second volet de l</w:t>
      </w:r>
      <w:r w:rsidR="006C17B6" w:rsidRPr="00095CF0">
        <w:rPr>
          <w:lang w:val="fr-CA"/>
        </w:rPr>
        <w:t>’</w:t>
      </w:r>
      <w:r w:rsidRPr="00095CF0">
        <w:rPr>
          <w:lang w:val="fr-CA"/>
        </w:rPr>
        <w:t>analyse est axé sur les désavantages arbitraires — ou discriminatoires —, c</w:t>
      </w:r>
      <w:r w:rsidR="006C17B6" w:rsidRPr="00095CF0">
        <w:rPr>
          <w:lang w:val="fr-CA"/>
        </w:rPr>
        <w:t>’</w:t>
      </w:r>
      <w:r w:rsidRPr="00095CF0">
        <w:rPr>
          <w:lang w:val="fr-CA"/>
        </w:rPr>
        <w:t>est</w:t>
      </w:r>
      <w:r w:rsidR="0077539A">
        <w:rPr>
          <w:lang w:val="fr-CA"/>
        </w:rPr>
        <w:t>-</w:t>
      </w:r>
      <w:r w:rsidRPr="00095CF0">
        <w:rPr>
          <w:lang w:val="fr-CA"/>
        </w:rPr>
        <w:t>à</w:t>
      </w:r>
      <w:r w:rsidR="0077539A">
        <w:rPr>
          <w:lang w:val="fr-CA"/>
        </w:rPr>
        <w:t>-</w:t>
      </w:r>
      <w:r w:rsidRPr="00095CF0">
        <w:rPr>
          <w:lang w:val="fr-CA"/>
        </w:rPr>
        <w:t>dire sur la question de savoir si la loi contestée ne répond pas aux capacités et aux besoins concrets des membres du groupe et leur impose plutôt un fardeau ou leur nie un avantage d</w:t>
      </w:r>
      <w:r w:rsidR="006C17B6" w:rsidRPr="00095CF0">
        <w:rPr>
          <w:lang w:val="fr-CA"/>
        </w:rPr>
        <w:t>’</w:t>
      </w:r>
      <w:r w:rsidRPr="00095CF0">
        <w:rPr>
          <w:lang w:val="fr-CA"/>
        </w:rPr>
        <w:t>une manière qui a pour effet de renforcer, de perpétuer ou d</w:t>
      </w:r>
      <w:r w:rsidR="006C17B6" w:rsidRPr="00095CF0">
        <w:rPr>
          <w:lang w:val="fr-CA"/>
        </w:rPr>
        <w:t>’</w:t>
      </w:r>
      <w:r w:rsidRPr="00095CF0">
        <w:rPr>
          <w:lang w:val="fr-CA"/>
        </w:rPr>
        <w:t>accentuer le désavantage dont ils sont victimes.</w:t>
      </w:r>
    </w:p>
    <w:p w:rsidR="003B41BB" w:rsidRPr="00095CF0" w:rsidRDefault="003B41BB" w:rsidP="003B41BB">
      <w:pPr>
        <w:pStyle w:val="SCCNormalDoubleSpacing"/>
        <w:spacing w:before="480" w:after="480"/>
        <w:rPr>
          <w:b/>
          <w:lang w:val="fr-CA"/>
        </w:rPr>
      </w:pPr>
      <w:r w:rsidRPr="00095CF0">
        <w:rPr>
          <w:lang w:val="fr-CA"/>
        </w:rPr>
        <w:tab/>
        <w:t>Pour établir qu</w:t>
      </w:r>
      <w:r w:rsidR="006C17B6" w:rsidRPr="00095CF0">
        <w:rPr>
          <w:lang w:val="fr-CA"/>
        </w:rPr>
        <w:t>’</w:t>
      </w:r>
      <w:r w:rsidRPr="00095CF0">
        <w:rPr>
          <w:lang w:val="fr-CA"/>
        </w:rPr>
        <w:t xml:space="preserve">il y a eu à première vue violation du </w:t>
      </w:r>
      <w:r w:rsidR="00A501DF">
        <w:rPr>
          <w:lang w:val="fr-CA"/>
        </w:rPr>
        <w:t>par.</w:t>
      </w:r>
      <w:r w:rsidR="0077539A">
        <w:rPr>
          <w:lang w:val="fr-CA"/>
        </w:rPr>
        <w:t xml:space="preserve"> </w:t>
      </w:r>
      <w:r w:rsidRPr="00095CF0">
        <w:rPr>
          <w:lang w:val="fr-CA"/>
        </w:rPr>
        <w:t>15(1), le demandeur doit par conséquent démontrer que la loi en cause a un effet disproportionné à son égard du fait de son appartenance à un groupe énuméré ou analogue. À la seconde étape de l</w:t>
      </w:r>
      <w:r w:rsidR="006C17B6" w:rsidRPr="00095CF0">
        <w:rPr>
          <w:lang w:val="fr-CA"/>
        </w:rPr>
        <w:t>’</w:t>
      </w:r>
      <w:r w:rsidRPr="00095CF0">
        <w:rPr>
          <w:lang w:val="fr-CA"/>
        </w:rPr>
        <w:t>analyse, la preuve précise requise variera selon le contexte de la demande.</w:t>
      </w:r>
    </w:p>
    <w:p w:rsidR="003B41BB" w:rsidRPr="00095CF0" w:rsidRDefault="00723C9C" w:rsidP="00723C9C">
      <w:pPr>
        <w:pStyle w:val="SCCNormalDoubleSpacing"/>
        <w:spacing w:before="480" w:after="480"/>
        <w:rPr>
          <w:lang w:val="fr-CA"/>
        </w:rPr>
      </w:pPr>
      <w:r>
        <w:rPr>
          <w:lang w:val="fr-CA"/>
        </w:rPr>
        <w:lastRenderedPageBreak/>
        <w:tab/>
      </w:r>
      <w:r w:rsidR="003B41BB" w:rsidRPr="00095CF0">
        <w:rPr>
          <w:lang w:val="fr-CA"/>
        </w:rPr>
        <w:t>Bien que des exigences à première vue neutres, comme celles relatives au niveau de scolarité, puissent fort bien occulter ou masquer un effet discriminatoire, le sort de la présente affaire dépend du fait qu</w:t>
      </w:r>
      <w:r w:rsidR="006C17B6" w:rsidRPr="00095CF0">
        <w:rPr>
          <w:lang w:val="fr-CA"/>
        </w:rPr>
        <w:t>’</w:t>
      </w:r>
      <w:r w:rsidR="003B41BB" w:rsidRPr="00095CF0">
        <w:rPr>
          <w:lang w:val="fr-CA"/>
        </w:rPr>
        <w:t>il n</w:t>
      </w:r>
      <w:r w:rsidR="006C17B6" w:rsidRPr="00095CF0">
        <w:rPr>
          <w:lang w:val="fr-CA"/>
        </w:rPr>
        <w:t>’</w:t>
      </w:r>
      <w:r w:rsidR="003B41BB" w:rsidRPr="00095CF0">
        <w:rPr>
          <w:lang w:val="fr-CA"/>
        </w:rPr>
        <w:t>existe pas le moindre élément de preuve établissant un lien entre cette exigence et les effets distincts qu</w:t>
      </w:r>
      <w:r w:rsidR="006C17B6" w:rsidRPr="00095CF0">
        <w:rPr>
          <w:lang w:val="fr-CA"/>
        </w:rPr>
        <w:t>’</w:t>
      </w:r>
      <w:r w:rsidR="003B41BB" w:rsidRPr="00095CF0">
        <w:rPr>
          <w:lang w:val="fr-CA"/>
        </w:rPr>
        <w:t>elle aurait sur les membres d</w:t>
      </w:r>
      <w:r w:rsidR="006C17B6" w:rsidRPr="00095CF0">
        <w:rPr>
          <w:lang w:val="fr-CA"/>
        </w:rPr>
        <w:t>’</w:t>
      </w:r>
      <w:r w:rsidR="003B41BB" w:rsidRPr="00095CF0">
        <w:rPr>
          <w:lang w:val="fr-CA"/>
        </w:rPr>
        <w:t>un groupe énuméré ou analogue. Nous ne disposons pratiquement d</w:t>
      </w:r>
      <w:r w:rsidR="006C17B6" w:rsidRPr="00095CF0">
        <w:rPr>
          <w:lang w:val="fr-CA"/>
        </w:rPr>
        <w:t>’</w:t>
      </w:r>
      <w:r w:rsidR="003B41BB" w:rsidRPr="00095CF0">
        <w:rPr>
          <w:lang w:val="fr-CA"/>
        </w:rPr>
        <w:t>aucun élément de preuve quant aux rapports entre l</w:t>
      </w:r>
      <w:r w:rsidR="006C17B6" w:rsidRPr="00095CF0">
        <w:rPr>
          <w:lang w:val="fr-CA"/>
        </w:rPr>
        <w:t>’</w:t>
      </w:r>
      <w:r w:rsidR="003B41BB" w:rsidRPr="00095CF0">
        <w:rPr>
          <w:lang w:val="fr-CA"/>
        </w:rPr>
        <w:t xml:space="preserve">âge, le fait de résider dans une réserve et le niveau de scolarité des habitants de la Première Nation de </w:t>
      </w:r>
      <w:proofErr w:type="spellStart"/>
      <w:r w:rsidR="003B41BB" w:rsidRPr="00095CF0">
        <w:rPr>
          <w:lang w:val="fr-CA"/>
        </w:rPr>
        <w:t>Kahkewistahaw</w:t>
      </w:r>
      <w:proofErr w:type="spellEnd"/>
      <w:r w:rsidR="003B41BB" w:rsidRPr="00095CF0">
        <w:rPr>
          <w:lang w:val="fr-CA"/>
        </w:rPr>
        <w:t>. Nous ne disposons non plus d</w:t>
      </w:r>
      <w:r w:rsidR="006C17B6" w:rsidRPr="00095CF0">
        <w:rPr>
          <w:lang w:val="fr-CA"/>
        </w:rPr>
        <w:t>’</w:t>
      </w:r>
      <w:r w:rsidR="003B41BB" w:rsidRPr="00095CF0">
        <w:rPr>
          <w:lang w:val="fr-CA"/>
        </w:rPr>
        <w:t>aucun élément de preuve au sujet de l</w:t>
      </w:r>
      <w:r w:rsidR="006C17B6" w:rsidRPr="00095CF0">
        <w:rPr>
          <w:lang w:val="fr-CA"/>
        </w:rPr>
        <w:t>’</w:t>
      </w:r>
      <w:r w:rsidR="003B41BB" w:rsidRPr="00095CF0">
        <w:rPr>
          <w:lang w:val="fr-CA"/>
        </w:rPr>
        <w:t xml:space="preserve">effet des dispositions relatives au niveau de scolarité sur les membres plus âgés de la collectivité, sur ceux qui vivent dans une réserve ou encore sur ceux qui appartiennent à ces deux groupes. </w:t>
      </w:r>
      <w:r w:rsidR="003C63FF" w:rsidRPr="00095CF0">
        <w:rPr>
          <w:lang w:val="fr-CA"/>
        </w:rPr>
        <w:t xml:space="preserve">Mais surtout, le dossier est muet quant au niveau de scolarité des membres de la Première Nation de </w:t>
      </w:r>
      <w:proofErr w:type="spellStart"/>
      <w:r w:rsidR="003C63FF" w:rsidRPr="00095CF0">
        <w:rPr>
          <w:lang w:val="fr-CA"/>
        </w:rPr>
        <w:t>Kahkewistahaw</w:t>
      </w:r>
      <w:proofErr w:type="spellEnd"/>
      <w:r w:rsidR="003C63FF" w:rsidRPr="00095CF0">
        <w:rPr>
          <w:lang w:val="fr-CA"/>
        </w:rPr>
        <w:t xml:space="preserve"> qui vivent dans une réserve.</w:t>
      </w:r>
    </w:p>
    <w:p w:rsidR="003B41BB" w:rsidRPr="00095CF0" w:rsidRDefault="003B41BB" w:rsidP="003B41BB">
      <w:pPr>
        <w:pStyle w:val="SCCNormalDoubleSpacing"/>
        <w:spacing w:before="480" w:after="480"/>
        <w:rPr>
          <w:lang w:val="fr-CA"/>
        </w:rPr>
      </w:pPr>
      <w:r w:rsidRPr="00095CF0">
        <w:rPr>
          <w:lang w:val="fr-CA"/>
        </w:rPr>
        <w:tab/>
        <w:t>Il n</w:t>
      </w:r>
      <w:r w:rsidR="006C17B6" w:rsidRPr="00095CF0">
        <w:rPr>
          <w:lang w:val="fr-CA"/>
        </w:rPr>
        <w:t>’</w:t>
      </w:r>
      <w:r w:rsidRPr="00095CF0">
        <w:rPr>
          <w:lang w:val="fr-CA"/>
        </w:rPr>
        <w:t>est pas toujours nécessaire de présenter une preuve statistique pour établir qu</w:t>
      </w:r>
      <w:r w:rsidR="006C17B6" w:rsidRPr="00095CF0">
        <w:rPr>
          <w:lang w:val="fr-CA"/>
        </w:rPr>
        <w:t>’</w:t>
      </w:r>
      <w:r w:rsidRPr="00095CF0">
        <w:rPr>
          <w:lang w:val="fr-CA"/>
        </w:rPr>
        <w:t>une loi, neutre à première vue, contrevient à l</w:t>
      </w:r>
      <w:r w:rsidR="006C17B6" w:rsidRPr="00095CF0">
        <w:rPr>
          <w:lang w:val="fr-CA"/>
        </w:rPr>
        <w:t>’</w:t>
      </w:r>
      <w:r w:rsidR="00A501DF">
        <w:rPr>
          <w:lang w:val="fr-CA"/>
        </w:rPr>
        <w:t>art.</w:t>
      </w:r>
      <w:r w:rsidR="0077539A">
        <w:rPr>
          <w:lang w:val="fr-CA"/>
        </w:rPr>
        <w:t xml:space="preserve"> </w:t>
      </w:r>
      <w:r w:rsidRPr="00095CF0">
        <w:rPr>
          <w:lang w:val="fr-CA"/>
        </w:rPr>
        <w:t>15. Dans certains cas, l</w:t>
      </w:r>
      <w:r w:rsidR="006C17B6" w:rsidRPr="00095CF0">
        <w:rPr>
          <w:lang w:val="fr-CA"/>
        </w:rPr>
        <w:t>’</w:t>
      </w:r>
      <w:r w:rsidRPr="00095CF0">
        <w:rPr>
          <w:lang w:val="fr-CA"/>
        </w:rPr>
        <w:t>impact distinct d</w:t>
      </w:r>
      <w:r w:rsidR="006C17B6" w:rsidRPr="00095CF0">
        <w:rPr>
          <w:lang w:val="fr-CA"/>
        </w:rPr>
        <w:t>’</w:t>
      </w:r>
      <w:r w:rsidRPr="00095CF0">
        <w:rPr>
          <w:lang w:val="fr-CA"/>
        </w:rPr>
        <w:t>une loi sur un groupe énuméré ou analogue sera visible et immédiat. Or, en l</w:t>
      </w:r>
      <w:r w:rsidR="006C17B6" w:rsidRPr="00095CF0">
        <w:rPr>
          <w:lang w:val="fr-CA"/>
        </w:rPr>
        <w:t>’</w:t>
      </w:r>
      <w:r w:rsidRPr="00095CF0">
        <w:rPr>
          <w:lang w:val="fr-CA"/>
        </w:rPr>
        <w:t>espèce, la preuve ne met en lumière aucun lien de ce type entre l</w:t>
      </w:r>
      <w:r w:rsidR="006C17B6" w:rsidRPr="00095CF0">
        <w:rPr>
          <w:lang w:val="fr-CA"/>
        </w:rPr>
        <w:t>’</w:t>
      </w:r>
      <w:r w:rsidRPr="00095CF0">
        <w:rPr>
          <w:lang w:val="fr-CA"/>
        </w:rPr>
        <w:t>exigence en matière d</w:t>
      </w:r>
      <w:r w:rsidR="006C17B6" w:rsidRPr="00095CF0">
        <w:rPr>
          <w:lang w:val="fr-CA"/>
        </w:rPr>
        <w:t>’</w:t>
      </w:r>
      <w:r w:rsidRPr="00095CF0">
        <w:rPr>
          <w:lang w:val="fr-CA"/>
        </w:rPr>
        <w:t>éducation et un impact distinct sur la base d</w:t>
      </w:r>
      <w:r w:rsidR="006C17B6" w:rsidRPr="00095CF0">
        <w:rPr>
          <w:lang w:val="fr-CA"/>
        </w:rPr>
        <w:t>’</w:t>
      </w:r>
      <w:r w:rsidRPr="00095CF0">
        <w:rPr>
          <w:lang w:val="fr-CA"/>
        </w:rPr>
        <w:t>un motif énuméré ou analogue. Bien qu</w:t>
      </w:r>
      <w:r w:rsidR="006C17B6" w:rsidRPr="00095CF0">
        <w:rPr>
          <w:lang w:val="fr-CA"/>
        </w:rPr>
        <w:t>’</w:t>
      </w:r>
      <w:r w:rsidRPr="00095CF0">
        <w:rPr>
          <w:lang w:val="fr-CA"/>
        </w:rPr>
        <w:t>il ne soit pas nécessaire de s</w:t>
      </w:r>
      <w:r w:rsidR="006C17B6" w:rsidRPr="00095CF0">
        <w:rPr>
          <w:lang w:val="fr-CA"/>
        </w:rPr>
        <w:t>’</w:t>
      </w:r>
      <w:r w:rsidRPr="00095CF0">
        <w:rPr>
          <w:lang w:val="fr-CA"/>
        </w:rPr>
        <w:t>acquitter d</w:t>
      </w:r>
      <w:r w:rsidR="006C17B6" w:rsidRPr="00095CF0">
        <w:rPr>
          <w:lang w:val="fr-CA"/>
        </w:rPr>
        <w:t>’</w:t>
      </w:r>
      <w:r w:rsidRPr="00095CF0">
        <w:rPr>
          <w:lang w:val="fr-CA"/>
        </w:rPr>
        <w:t>un lourd fardeau de présentation, la preuve doit comprendre davantage qu</w:t>
      </w:r>
      <w:r w:rsidR="006C17B6" w:rsidRPr="00095CF0">
        <w:rPr>
          <w:lang w:val="fr-CA"/>
        </w:rPr>
        <w:t>’</w:t>
      </w:r>
      <w:r w:rsidRPr="00095CF0">
        <w:rPr>
          <w:lang w:val="fr-CA"/>
        </w:rPr>
        <w:t>une accumulation d</w:t>
      </w:r>
      <w:r w:rsidR="006C17B6" w:rsidRPr="00095CF0">
        <w:rPr>
          <w:lang w:val="fr-CA"/>
        </w:rPr>
        <w:t>’</w:t>
      </w:r>
      <w:r w:rsidRPr="00095CF0">
        <w:rPr>
          <w:lang w:val="fr-CA"/>
        </w:rPr>
        <w:t xml:space="preserve">intuitions. En conséquence, les dispositions de la </w:t>
      </w:r>
      <w:proofErr w:type="spellStart"/>
      <w:r w:rsidRPr="00095CF0">
        <w:rPr>
          <w:i/>
          <w:lang w:val="fr-CA"/>
        </w:rPr>
        <w:t>Kahkewistahaw</w:t>
      </w:r>
      <w:proofErr w:type="spellEnd"/>
      <w:r w:rsidRPr="00095CF0">
        <w:rPr>
          <w:i/>
          <w:lang w:val="fr-CA"/>
        </w:rPr>
        <w:t xml:space="preserve"> </w:t>
      </w:r>
      <w:proofErr w:type="spellStart"/>
      <w:r w:rsidRPr="00095CF0">
        <w:rPr>
          <w:i/>
          <w:lang w:val="fr-CA"/>
        </w:rPr>
        <w:t>Election</w:t>
      </w:r>
      <w:proofErr w:type="spellEnd"/>
      <w:r w:rsidRPr="00095CF0">
        <w:rPr>
          <w:i/>
          <w:lang w:val="fr-CA"/>
        </w:rPr>
        <w:t xml:space="preserve"> </w:t>
      </w:r>
      <w:proofErr w:type="spellStart"/>
      <w:r w:rsidRPr="00095CF0">
        <w:rPr>
          <w:i/>
          <w:lang w:val="fr-CA"/>
        </w:rPr>
        <w:t>Act</w:t>
      </w:r>
      <w:proofErr w:type="spellEnd"/>
      <w:r w:rsidRPr="00095CF0">
        <w:rPr>
          <w:lang w:val="fr-CA"/>
        </w:rPr>
        <w:t xml:space="preserve"> relatives au niveau de scolarité ne constituent pas à première vue une violation des droits garantis par l</w:t>
      </w:r>
      <w:r w:rsidR="006C17B6" w:rsidRPr="00095CF0">
        <w:rPr>
          <w:lang w:val="fr-CA"/>
        </w:rPr>
        <w:t>’</w:t>
      </w:r>
      <w:r w:rsidR="00A501DF">
        <w:rPr>
          <w:lang w:val="fr-CA"/>
        </w:rPr>
        <w:t>art.</w:t>
      </w:r>
      <w:r w:rsidR="0077539A">
        <w:rPr>
          <w:lang w:val="fr-CA"/>
        </w:rPr>
        <w:t xml:space="preserve"> </w:t>
      </w:r>
      <w:r w:rsidRPr="00095CF0">
        <w:rPr>
          <w:lang w:val="fr-CA"/>
        </w:rPr>
        <w:t>15</w:t>
      </w:r>
      <w:r w:rsidR="00E52E1D" w:rsidRPr="00095CF0">
        <w:rPr>
          <w:lang w:val="fr-CA"/>
        </w:rPr>
        <w:t>.</w:t>
      </w:r>
    </w:p>
    <w:p w:rsidR="004D7D95" w:rsidRPr="00095CF0" w:rsidRDefault="004D7D95" w:rsidP="003B41BB">
      <w:pPr>
        <w:pStyle w:val="SCCNormalDoubleSpacing"/>
        <w:spacing w:before="480" w:after="480"/>
        <w:rPr>
          <w:b/>
          <w:lang w:val="fr-CA"/>
        </w:rPr>
      </w:pPr>
      <w:r w:rsidRPr="00095CF0">
        <w:rPr>
          <w:b/>
          <w:lang w:val="fr-CA"/>
        </w:rPr>
        <w:lastRenderedPageBreak/>
        <w:t>Jurisprudence</w:t>
      </w:r>
    </w:p>
    <w:p w:rsidR="004D7D95" w:rsidRPr="00095CF0" w:rsidRDefault="004D7D95" w:rsidP="009F1042">
      <w:pPr>
        <w:pStyle w:val="SCCNormalDoubleSpacing"/>
        <w:spacing w:before="480" w:after="480"/>
        <w:rPr>
          <w:b/>
          <w:lang w:val="fr-CA"/>
        </w:rPr>
      </w:pPr>
      <w:r w:rsidRPr="00095CF0">
        <w:rPr>
          <w:lang w:val="fr-CA"/>
        </w:rPr>
        <w:tab/>
      </w:r>
      <w:r w:rsidRPr="00095CF0">
        <w:rPr>
          <w:b/>
          <w:lang w:val="fr-CA"/>
        </w:rPr>
        <w:t>Arrêt</w:t>
      </w:r>
      <w:r w:rsidR="00FC32C3">
        <w:rPr>
          <w:b/>
          <w:lang w:val="fr-CA"/>
        </w:rPr>
        <w:t xml:space="preserve"> appliqué</w:t>
      </w:r>
      <w:r w:rsidR="0077539A">
        <w:rPr>
          <w:b/>
          <w:lang w:val="fr-CA"/>
        </w:rPr>
        <w:t> :</w:t>
      </w:r>
      <w:r w:rsidRPr="00095CF0">
        <w:rPr>
          <w:lang w:val="fr-CA"/>
        </w:rPr>
        <w:t xml:space="preserve"> </w:t>
      </w:r>
      <w:r w:rsidR="00E45714" w:rsidRPr="00095CF0">
        <w:rPr>
          <w:i/>
          <w:lang w:val="fr-CA"/>
        </w:rPr>
        <w:t>Québec (Procureur général) c. A</w:t>
      </w:r>
      <w:r w:rsidR="00E45714" w:rsidRPr="00095CF0">
        <w:rPr>
          <w:lang w:val="fr-CA"/>
        </w:rPr>
        <w:t>, 2013 CSC 5,</w:t>
      </w:r>
      <w:r w:rsidR="00FF08F5" w:rsidRPr="00095CF0">
        <w:rPr>
          <w:lang w:val="fr-CA"/>
        </w:rPr>
        <w:t xml:space="preserve"> </w:t>
      </w:r>
      <w:r w:rsidR="00E45714" w:rsidRPr="00095CF0">
        <w:rPr>
          <w:lang w:val="fr-CA"/>
        </w:rPr>
        <w:t xml:space="preserve">[2013] 1 </w:t>
      </w:r>
      <w:r w:rsidR="00FF08F5" w:rsidRPr="00095CF0">
        <w:rPr>
          <w:lang w:val="fr-CA"/>
        </w:rPr>
        <w:t>R.C.S</w:t>
      </w:r>
      <w:r w:rsidR="00E45714" w:rsidRPr="00095CF0">
        <w:rPr>
          <w:lang w:val="fr-CA"/>
        </w:rPr>
        <w:t>. 61</w:t>
      </w:r>
      <w:r w:rsidR="00FF08F5" w:rsidRPr="00095CF0">
        <w:rPr>
          <w:lang w:val="fr-CA"/>
        </w:rPr>
        <w:t xml:space="preserve">; </w:t>
      </w:r>
      <w:r w:rsidR="00FC32C3">
        <w:rPr>
          <w:b/>
          <w:lang w:val="fr-CA"/>
        </w:rPr>
        <w:t>a</w:t>
      </w:r>
      <w:r w:rsidR="00281688" w:rsidRPr="00095CF0">
        <w:rPr>
          <w:b/>
          <w:lang w:val="fr-CA"/>
        </w:rPr>
        <w:t>rrêts mentionnés</w:t>
      </w:r>
      <w:r w:rsidR="0077539A">
        <w:rPr>
          <w:b/>
          <w:lang w:val="fr-CA"/>
        </w:rPr>
        <w:t> :</w:t>
      </w:r>
      <w:r w:rsidR="00281688" w:rsidRPr="00095CF0">
        <w:rPr>
          <w:i/>
          <w:lang w:val="fr-CA"/>
        </w:rPr>
        <w:t xml:space="preserve"> </w:t>
      </w:r>
      <w:proofErr w:type="spellStart"/>
      <w:r w:rsidR="00FF08F5" w:rsidRPr="00095CF0">
        <w:rPr>
          <w:i/>
          <w:lang w:val="fr-CA"/>
        </w:rPr>
        <w:t>Withler</w:t>
      </w:r>
      <w:proofErr w:type="spellEnd"/>
      <w:r w:rsidR="00FF08F5" w:rsidRPr="00095CF0">
        <w:rPr>
          <w:i/>
          <w:lang w:val="fr-CA"/>
        </w:rPr>
        <w:t xml:space="preserve"> </w:t>
      </w:r>
      <w:r w:rsidR="00FF08F5" w:rsidRPr="00095CF0">
        <w:rPr>
          <w:i/>
          <w:iCs/>
          <w:lang w:val="fr-CA"/>
        </w:rPr>
        <w:t>c.</w:t>
      </w:r>
      <w:r w:rsidR="00FF08F5" w:rsidRPr="00095CF0">
        <w:rPr>
          <w:b/>
          <w:bCs/>
          <w:i/>
          <w:lang w:val="fr-CA"/>
        </w:rPr>
        <w:t xml:space="preserve"> </w:t>
      </w:r>
      <w:r w:rsidR="00FF08F5" w:rsidRPr="00095CF0">
        <w:rPr>
          <w:i/>
          <w:lang w:val="fr-CA"/>
        </w:rPr>
        <w:t>Canada (Procureur général)</w:t>
      </w:r>
      <w:r w:rsidR="00FF08F5" w:rsidRPr="00095CF0">
        <w:rPr>
          <w:lang w:val="fr-CA"/>
        </w:rPr>
        <w:t xml:space="preserve">, 2011 CSC 12, [2011] 1 R.C.S. 396; </w:t>
      </w:r>
      <w:r w:rsidR="008E57C5" w:rsidRPr="00095CF0">
        <w:rPr>
          <w:i/>
          <w:lang w:val="fr-CA"/>
        </w:rPr>
        <w:t>R. c. Kapp</w:t>
      </w:r>
      <w:r w:rsidR="008E57C5" w:rsidRPr="00095CF0">
        <w:rPr>
          <w:lang w:val="fr-CA"/>
        </w:rPr>
        <w:t>, 2008 CSC 41, [2008] 2 R.C.S.</w:t>
      </w:r>
      <w:r w:rsidR="009326BC" w:rsidRPr="00095CF0">
        <w:rPr>
          <w:lang w:val="fr-CA"/>
        </w:rPr>
        <w:t xml:space="preserve"> 483; </w:t>
      </w:r>
      <w:r w:rsidR="009326BC" w:rsidRPr="00095CF0">
        <w:rPr>
          <w:i/>
          <w:iCs/>
          <w:lang w:val="fr-CA"/>
        </w:rPr>
        <w:t>Andrews c. Law Society of British Columbia</w:t>
      </w:r>
      <w:r w:rsidR="009326BC" w:rsidRPr="00095CF0">
        <w:rPr>
          <w:lang w:val="fr-CA"/>
        </w:rPr>
        <w:t xml:space="preserve">, [1989] 1 </w:t>
      </w:r>
      <w:r w:rsidR="00850621" w:rsidRPr="00095CF0">
        <w:rPr>
          <w:lang w:val="fr-CA"/>
        </w:rPr>
        <w:t>R.C.S</w:t>
      </w:r>
      <w:r w:rsidR="009326BC" w:rsidRPr="00095CF0">
        <w:rPr>
          <w:lang w:val="fr-CA"/>
        </w:rPr>
        <w:t>. 143</w:t>
      </w:r>
      <w:r w:rsidR="00850621" w:rsidRPr="00095CF0">
        <w:rPr>
          <w:lang w:val="fr-CA"/>
        </w:rPr>
        <w:t xml:space="preserve">; </w:t>
      </w:r>
      <w:proofErr w:type="spellStart"/>
      <w:r w:rsidR="00850621" w:rsidRPr="00095CF0">
        <w:rPr>
          <w:i/>
          <w:lang w:val="fr-CA"/>
        </w:rPr>
        <w:t>Corbiere</w:t>
      </w:r>
      <w:proofErr w:type="spellEnd"/>
      <w:r w:rsidR="00850621" w:rsidRPr="00095CF0">
        <w:rPr>
          <w:i/>
          <w:lang w:val="fr-CA"/>
        </w:rPr>
        <w:t xml:space="preserve"> c. Canada (Ministre des Affaire</w:t>
      </w:r>
      <w:r w:rsidR="000E536D" w:rsidRPr="00095CF0">
        <w:rPr>
          <w:i/>
          <w:lang w:val="fr-CA"/>
        </w:rPr>
        <w:t>s</w:t>
      </w:r>
      <w:r w:rsidR="00850621" w:rsidRPr="00095CF0">
        <w:rPr>
          <w:i/>
          <w:lang w:val="fr-CA"/>
        </w:rPr>
        <w:t xml:space="preserve"> indiennes et du Nord</w:t>
      </w:r>
      <w:r w:rsidR="00A717D0" w:rsidRPr="00095CF0">
        <w:rPr>
          <w:i/>
          <w:lang w:val="fr-CA"/>
        </w:rPr>
        <w:t xml:space="preserve"> canadien</w:t>
      </w:r>
      <w:r w:rsidR="00850621" w:rsidRPr="00095CF0">
        <w:rPr>
          <w:i/>
          <w:lang w:val="fr-CA"/>
        </w:rPr>
        <w:t>)</w:t>
      </w:r>
      <w:r w:rsidR="00850621" w:rsidRPr="00095CF0">
        <w:rPr>
          <w:lang w:val="fr-CA"/>
        </w:rPr>
        <w:t>,</w:t>
      </w:r>
      <w:r w:rsidR="00850621" w:rsidRPr="00095CF0">
        <w:rPr>
          <w:i/>
          <w:lang w:val="fr-CA"/>
        </w:rPr>
        <w:t xml:space="preserve"> </w:t>
      </w:r>
      <w:r w:rsidR="00850621" w:rsidRPr="00095CF0">
        <w:rPr>
          <w:lang w:val="fr-CA"/>
        </w:rPr>
        <w:t xml:space="preserve">[1999] 2 </w:t>
      </w:r>
      <w:r w:rsidR="00A717D0" w:rsidRPr="00095CF0">
        <w:rPr>
          <w:lang w:val="fr-CA"/>
        </w:rPr>
        <w:t>R.C.S</w:t>
      </w:r>
      <w:r w:rsidR="00850621" w:rsidRPr="00095CF0">
        <w:rPr>
          <w:lang w:val="fr-CA"/>
        </w:rPr>
        <w:t>. 203</w:t>
      </w:r>
      <w:r w:rsidR="00A717D0" w:rsidRPr="00095CF0">
        <w:rPr>
          <w:lang w:val="fr-CA"/>
        </w:rPr>
        <w:t xml:space="preserve">; </w:t>
      </w:r>
      <w:r w:rsidR="00FA4FF9" w:rsidRPr="00095CF0">
        <w:rPr>
          <w:i/>
          <w:lang w:val="fr-CA"/>
        </w:rPr>
        <w:t>Law c</w:t>
      </w:r>
      <w:r w:rsidR="00367BB0" w:rsidRPr="00095CF0">
        <w:rPr>
          <w:i/>
          <w:lang w:val="fr-CA"/>
        </w:rPr>
        <w:t>. Canada (Ministre de l</w:t>
      </w:r>
      <w:r w:rsidR="006C17B6" w:rsidRPr="00095CF0">
        <w:rPr>
          <w:i/>
          <w:lang w:val="fr-CA"/>
        </w:rPr>
        <w:t>’</w:t>
      </w:r>
      <w:r w:rsidR="00367BB0" w:rsidRPr="00095CF0">
        <w:rPr>
          <w:i/>
          <w:lang w:val="fr-CA"/>
        </w:rPr>
        <w:t>Emploi et de l</w:t>
      </w:r>
      <w:r w:rsidR="006C17B6" w:rsidRPr="00095CF0">
        <w:rPr>
          <w:i/>
          <w:lang w:val="fr-CA"/>
        </w:rPr>
        <w:t>’</w:t>
      </w:r>
      <w:r w:rsidR="00367BB0" w:rsidRPr="00095CF0">
        <w:rPr>
          <w:i/>
          <w:lang w:val="fr-CA"/>
        </w:rPr>
        <w:t>Immigration)</w:t>
      </w:r>
      <w:r w:rsidR="00367BB0" w:rsidRPr="00095CF0">
        <w:rPr>
          <w:lang w:val="fr-CA"/>
        </w:rPr>
        <w:t>, [1999] 1 R.C.S. 497</w:t>
      </w:r>
      <w:r w:rsidR="00FA4FF9" w:rsidRPr="00095CF0">
        <w:rPr>
          <w:lang w:val="fr-CA"/>
        </w:rPr>
        <w:t xml:space="preserve">; </w:t>
      </w:r>
      <w:proofErr w:type="spellStart"/>
      <w:r w:rsidR="00FA4FF9" w:rsidRPr="00095CF0">
        <w:rPr>
          <w:i/>
          <w:lang w:val="fr-CA"/>
        </w:rPr>
        <w:t>Griggs</w:t>
      </w:r>
      <w:proofErr w:type="spellEnd"/>
      <w:r w:rsidR="00FA4FF9" w:rsidRPr="00095CF0">
        <w:rPr>
          <w:i/>
          <w:lang w:val="fr-CA"/>
        </w:rPr>
        <w:t xml:space="preserve"> c. Duke Power Co.</w:t>
      </w:r>
      <w:r w:rsidR="00FA4FF9" w:rsidRPr="00095CF0">
        <w:rPr>
          <w:lang w:val="fr-CA"/>
        </w:rPr>
        <w:t>, 401 U.S. 424 (1971);</w:t>
      </w:r>
      <w:r w:rsidR="00BC6E80" w:rsidRPr="00095CF0">
        <w:rPr>
          <w:i/>
          <w:szCs w:val="24"/>
          <w:lang w:val="fr-CA"/>
        </w:rPr>
        <w:t xml:space="preserve"> </w:t>
      </w:r>
      <w:r w:rsidR="00032C3B" w:rsidRPr="00095CF0">
        <w:rPr>
          <w:i/>
          <w:lang w:val="fr-CA"/>
        </w:rPr>
        <w:t>Colombie</w:t>
      </w:r>
      <w:r w:rsidR="0077539A">
        <w:rPr>
          <w:i/>
          <w:lang w:val="fr-CA"/>
        </w:rPr>
        <w:t>-</w:t>
      </w:r>
      <w:r w:rsidR="00032C3B" w:rsidRPr="00095CF0">
        <w:rPr>
          <w:i/>
          <w:lang w:val="fr-CA"/>
        </w:rPr>
        <w:t>Britannique</w:t>
      </w:r>
      <w:r w:rsidR="00BC6E80" w:rsidRPr="00095CF0">
        <w:rPr>
          <w:i/>
          <w:lang w:val="fr-CA"/>
        </w:rPr>
        <w:t xml:space="preserve"> (Public Service </w:t>
      </w:r>
      <w:proofErr w:type="spellStart"/>
      <w:r w:rsidR="00032C3B" w:rsidRPr="00095CF0">
        <w:rPr>
          <w:i/>
          <w:lang w:val="fr-CA"/>
        </w:rPr>
        <w:t>Employee</w:t>
      </w:r>
      <w:proofErr w:type="spellEnd"/>
      <w:r w:rsidR="00032C3B" w:rsidRPr="00095CF0">
        <w:rPr>
          <w:i/>
          <w:lang w:val="fr-CA"/>
        </w:rPr>
        <w:t xml:space="preserve"> Relations </w:t>
      </w:r>
      <w:r w:rsidR="00BC6E80" w:rsidRPr="00095CF0">
        <w:rPr>
          <w:i/>
          <w:lang w:val="fr-CA"/>
        </w:rPr>
        <w:t xml:space="preserve">Commission) </w:t>
      </w:r>
      <w:r w:rsidR="00032C3B" w:rsidRPr="00095CF0">
        <w:rPr>
          <w:i/>
          <w:lang w:val="fr-CA"/>
        </w:rPr>
        <w:t>c</w:t>
      </w:r>
      <w:r w:rsidR="00BC6E80" w:rsidRPr="00095CF0">
        <w:rPr>
          <w:i/>
          <w:lang w:val="fr-CA"/>
        </w:rPr>
        <w:t>. BCGSEU</w:t>
      </w:r>
      <w:r w:rsidR="00032C3B" w:rsidRPr="00095CF0">
        <w:rPr>
          <w:lang w:val="fr-CA"/>
        </w:rPr>
        <w:t>,</w:t>
      </w:r>
      <w:r w:rsidR="00BC6E80" w:rsidRPr="00095CF0">
        <w:rPr>
          <w:lang w:val="fr-CA"/>
        </w:rPr>
        <w:t xml:space="preserve"> [1999] 3 </w:t>
      </w:r>
      <w:r w:rsidR="00032C3B" w:rsidRPr="00095CF0">
        <w:rPr>
          <w:lang w:val="fr-CA"/>
        </w:rPr>
        <w:t>R.C.S</w:t>
      </w:r>
      <w:r w:rsidR="00BC6E80" w:rsidRPr="00095CF0">
        <w:rPr>
          <w:lang w:val="fr-CA"/>
        </w:rPr>
        <w:t xml:space="preserve">. 3; </w:t>
      </w:r>
      <w:r w:rsidR="0055443A" w:rsidRPr="00095CF0">
        <w:rPr>
          <w:i/>
          <w:lang w:val="fr-CA"/>
        </w:rPr>
        <w:t>R</w:t>
      </w:r>
      <w:r w:rsidR="00FC32C3">
        <w:rPr>
          <w:i/>
          <w:lang w:val="fr-CA"/>
        </w:rPr>
        <w:t>.</w:t>
      </w:r>
      <w:r w:rsidR="0055443A" w:rsidRPr="00095CF0">
        <w:rPr>
          <w:i/>
          <w:lang w:val="fr-CA"/>
        </w:rPr>
        <w:t xml:space="preserve"> c. </w:t>
      </w:r>
      <w:proofErr w:type="spellStart"/>
      <w:r w:rsidR="0055443A" w:rsidRPr="00095CF0">
        <w:rPr>
          <w:i/>
          <w:lang w:val="fr-CA"/>
        </w:rPr>
        <w:t>Mian</w:t>
      </w:r>
      <w:proofErr w:type="spellEnd"/>
      <w:r w:rsidR="0055443A" w:rsidRPr="00095CF0">
        <w:rPr>
          <w:lang w:val="fr-CA"/>
        </w:rPr>
        <w:t>,</w:t>
      </w:r>
      <w:r w:rsidR="0055443A" w:rsidRPr="00095CF0">
        <w:rPr>
          <w:i/>
          <w:lang w:val="fr-CA"/>
        </w:rPr>
        <w:t xml:space="preserve"> </w:t>
      </w:r>
      <w:r w:rsidR="0055443A" w:rsidRPr="00095CF0">
        <w:rPr>
          <w:lang w:val="fr-CA"/>
        </w:rPr>
        <w:t>2014 CSC 54, [2014] 2 R.C.S</w:t>
      </w:r>
      <w:r w:rsidR="00893DA0" w:rsidRPr="00095CF0">
        <w:rPr>
          <w:lang w:val="fr-CA"/>
        </w:rPr>
        <w:t>. 689.</w:t>
      </w:r>
    </w:p>
    <w:p w:rsidR="004D7D95" w:rsidRPr="00095CF0" w:rsidRDefault="004D7D95" w:rsidP="009F1042">
      <w:pPr>
        <w:pStyle w:val="SCCNormalDoubleSpacing"/>
        <w:spacing w:after="720" w:line="240" w:lineRule="auto"/>
        <w:rPr>
          <w:b/>
          <w:lang w:val="fr-CA"/>
        </w:rPr>
      </w:pPr>
      <w:r w:rsidRPr="00095CF0">
        <w:rPr>
          <w:b/>
          <w:lang w:val="fr-CA"/>
        </w:rPr>
        <w:t>Lois et règlements cités</w:t>
      </w:r>
    </w:p>
    <w:p w:rsidR="00E033EF" w:rsidRPr="00095CF0" w:rsidRDefault="00E033EF" w:rsidP="009F1042">
      <w:pPr>
        <w:pStyle w:val="SCCNormalDoubleSpacing"/>
        <w:spacing w:after="240" w:line="240" w:lineRule="auto"/>
        <w:ind w:left="567" w:hanging="567"/>
        <w:rPr>
          <w:lang w:val="fr-CA"/>
        </w:rPr>
      </w:pPr>
      <w:r w:rsidRPr="00095CF0">
        <w:rPr>
          <w:i/>
          <w:lang w:val="fr-CA"/>
        </w:rPr>
        <w:t>Charte canadienne des droits et libertés</w:t>
      </w:r>
      <w:r w:rsidRPr="00095CF0">
        <w:rPr>
          <w:lang w:val="fr-CA"/>
        </w:rPr>
        <w:t xml:space="preserve">, </w:t>
      </w:r>
      <w:r w:rsidR="00A501DF">
        <w:rPr>
          <w:lang w:val="fr-CA"/>
        </w:rPr>
        <w:t>art.</w:t>
      </w:r>
      <w:r w:rsidR="0077539A">
        <w:rPr>
          <w:lang w:val="fr-CA"/>
        </w:rPr>
        <w:t xml:space="preserve"> </w:t>
      </w:r>
      <w:r w:rsidRPr="00095CF0">
        <w:rPr>
          <w:lang w:val="fr-CA"/>
        </w:rPr>
        <w:t>15.</w:t>
      </w:r>
    </w:p>
    <w:p w:rsidR="00E033EF" w:rsidRPr="00095CF0" w:rsidRDefault="00E033EF" w:rsidP="009F1042">
      <w:pPr>
        <w:pStyle w:val="SCCNormalDoubleSpacing"/>
        <w:spacing w:after="240" w:line="240" w:lineRule="auto"/>
        <w:ind w:left="540" w:hanging="540"/>
      </w:pPr>
      <w:r w:rsidRPr="00095CF0">
        <w:rPr>
          <w:i/>
          <w:iCs/>
        </w:rPr>
        <w:t>Civil Rights Act of 1964</w:t>
      </w:r>
      <w:r w:rsidRPr="00095CF0">
        <w:t>, Pub. L. 88</w:t>
      </w:r>
      <w:r w:rsidR="0077539A">
        <w:t>-</w:t>
      </w:r>
      <w:r w:rsidRPr="00095CF0">
        <w:t>352, 78 Stat. 241 (1964), titre</w:t>
      </w:r>
      <w:r w:rsidR="0077539A">
        <w:t xml:space="preserve"> </w:t>
      </w:r>
      <w:r w:rsidRPr="00095CF0">
        <w:t>VII.</w:t>
      </w:r>
    </w:p>
    <w:p w:rsidR="00E033EF" w:rsidRPr="00095CF0" w:rsidRDefault="00E033EF" w:rsidP="009F1042">
      <w:pPr>
        <w:pStyle w:val="SCCNormalDoubleSpacing"/>
        <w:spacing w:after="240" w:line="240" w:lineRule="auto"/>
        <w:ind w:left="539" w:hanging="539"/>
        <w:rPr>
          <w:lang w:val="fr-CA"/>
        </w:rPr>
      </w:pPr>
      <w:proofErr w:type="spellStart"/>
      <w:r w:rsidRPr="00095CF0">
        <w:rPr>
          <w:i/>
          <w:lang w:val="fr-CA"/>
        </w:rPr>
        <w:t>Kahkewistahaw</w:t>
      </w:r>
      <w:proofErr w:type="spellEnd"/>
      <w:r w:rsidRPr="00095CF0">
        <w:rPr>
          <w:i/>
          <w:lang w:val="fr-CA"/>
        </w:rPr>
        <w:t xml:space="preserve"> </w:t>
      </w:r>
      <w:proofErr w:type="spellStart"/>
      <w:r w:rsidRPr="00095CF0">
        <w:rPr>
          <w:i/>
          <w:lang w:val="fr-CA"/>
        </w:rPr>
        <w:t>Election</w:t>
      </w:r>
      <w:proofErr w:type="spellEnd"/>
      <w:r w:rsidRPr="00095CF0">
        <w:rPr>
          <w:i/>
          <w:lang w:val="fr-CA"/>
        </w:rPr>
        <w:t xml:space="preserve"> </w:t>
      </w:r>
      <w:proofErr w:type="spellStart"/>
      <w:r w:rsidRPr="00095CF0">
        <w:rPr>
          <w:i/>
          <w:lang w:val="fr-CA"/>
        </w:rPr>
        <w:t>Act</w:t>
      </w:r>
      <w:proofErr w:type="spellEnd"/>
      <w:r w:rsidRPr="00095CF0">
        <w:rPr>
          <w:i/>
          <w:lang w:val="fr-CA"/>
        </w:rPr>
        <w:t xml:space="preserve"> </w:t>
      </w:r>
      <w:r w:rsidRPr="00095CF0">
        <w:rPr>
          <w:lang w:val="fr-CA"/>
        </w:rPr>
        <w:t xml:space="preserve">[éd. en vertu de </w:t>
      </w:r>
      <w:r w:rsidRPr="00095CF0">
        <w:rPr>
          <w:lang w:val="fr-FR"/>
        </w:rPr>
        <w:t>l</w:t>
      </w:r>
      <w:r w:rsidR="006C17B6" w:rsidRPr="00095CF0">
        <w:rPr>
          <w:lang w:val="fr-FR"/>
        </w:rPr>
        <w:t>’</w:t>
      </w:r>
      <w:r w:rsidRPr="00095CF0">
        <w:rPr>
          <w:i/>
          <w:iCs/>
          <w:lang w:val="fr-FR"/>
        </w:rPr>
        <w:t>Arrêté modifiant l</w:t>
      </w:r>
      <w:r w:rsidR="006C17B6" w:rsidRPr="00095CF0">
        <w:rPr>
          <w:i/>
          <w:iCs/>
          <w:lang w:val="fr-FR"/>
        </w:rPr>
        <w:t>’</w:t>
      </w:r>
      <w:r w:rsidRPr="00095CF0">
        <w:rPr>
          <w:i/>
          <w:iCs/>
          <w:lang w:val="fr-FR"/>
        </w:rPr>
        <w:t>Arrêté sur l</w:t>
      </w:r>
      <w:r w:rsidR="006C17B6" w:rsidRPr="00095CF0">
        <w:rPr>
          <w:i/>
          <w:iCs/>
          <w:lang w:val="fr-FR"/>
        </w:rPr>
        <w:t>’</w:t>
      </w:r>
      <w:r w:rsidRPr="00095CF0">
        <w:rPr>
          <w:i/>
          <w:iCs/>
          <w:lang w:val="fr-FR"/>
        </w:rPr>
        <w:t>élection du conseil de bandes indiennes (</w:t>
      </w:r>
      <w:proofErr w:type="spellStart"/>
      <w:r w:rsidRPr="00095CF0">
        <w:rPr>
          <w:i/>
          <w:iCs/>
          <w:lang w:val="fr-FR"/>
        </w:rPr>
        <w:t>Kahkewistahaw</w:t>
      </w:r>
      <w:proofErr w:type="spellEnd"/>
      <w:r w:rsidRPr="00095CF0">
        <w:rPr>
          <w:i/>
          <w:iCs/>
          <w:lang w:val="fr-FR"/>
        </w:rPr>
        <w:t>)</w:t>
      </w:r>
      <w:r w:rsidRPr="00095CF0">
        <w:rPr>
          <w:iCs/>
          <w:lang w:val="fr-FR"/>
        </w:rPr>
        <w:t>,</w:t>
      </w:r>
      <w:r w:rsidRPr="00095CF0">
        <w:rPr>
          <w:lang w:val="fr-CA"/>
        </w:rPr>
        <w:t xml:space="preserve"> DORS/2011</w:t>
      </w:r>
      <w:r w:rsidR="0077539A">
        <w:rPr>
          <w:lang w:val="fr-CA"/>
        </w:rPr>
        <w:t>-</w:t>
      </w:r>
      <w:r w:rsidRPr="00095CF0">
        <w:rPr>
          <w:lang w:val="fr-CA"/>
        </w:rPr>
        <w:t xml:space="preserve">49], </w:t>
      </w:r>
      <w:r w:rsidR="00A501DF">
        <w:rPr>
          <w:lang w:val="fr-CA"/>
        </w:rPr>
        <w:t>art.</w:t>
      </w:r>
      <w:r w:rsidR="0077539A">
        <w:rPr>
          <w:lang w:val="fr-CA"/>
        </w:rPr>
        <w:t xml:space="preserve"> </w:t>
      </w:r>
      <w:r w:rsidRPr="00095CF0">
        <w:rPr>
          <w:lang w:val="fr-CA"/>
        </w:rPr>
        <w:t>9.03(c), 9.04, 9.05, 10.01(d).</w:t>
      </w:r>
    </w:p>
    <w:p w:rsidR="00E033EF" w:rsidRPr="00095CF0" w:rsidRDefault="00E033EF" w:rsidP="009F1042">
      <w:pPr>
        <w:pStyle w:val="SCCNormalDoubleSpacing"/>
        <w:spacing w:after="720" w:line="240" w:lineRule="auto"/>
        <w:ind w:left="547" w:hanging="547"/>
        <w:rPr>
          <w:lang w:val="fr-CA"/>
        </w:rPr>
      </w:pPr>
      <w:r w:rsidRPr="00095CF0">
        <w:rPr>
          <w:i/>
          <w:lang w:val="fr-CA"/>
        </w:rPr>
        <w:t>Loi sur les Indiens</w:t>
      </w:r>
      <w:r w:rsidR="009F1042" w:rsidRPr="00095CF0">
        <w:rPr>
          <w:lang w:val="fr-CA"/>
        </w:rPr>
        <w:t>, L.R.C. 1985, c.</w:t>
      </w:r>
      <w:r w:rsidR="0077539A">
        <w:rPr>
          <w:lang w:val="fr-CA"/>
        </w:rPr>
        <w:t xml:space="preserve"> </w:t>
      </w:r>
      <w:r w:rsidRPr="00095CF0">
        <w:rPr>
          <w:lang w:val="fr-CA"/>
        </w:rPr>
        <w:t>I</w:t>
      </w:r>
      <w:r w:rsidR="0077539A">
        <w:rPr>
          <w:lang w:val="fr-CA"/>
        </w:rPr>
        <w:t>-</w:t>
      </w:r>
      <w:r w:rsidRPr="00095CF0">
        <w:rPr>
          <w:lang w:val="fr-CA"/>
        </w:rPr>
        <w:t>5.</w:t>
      </w:r>
    </w:p>
    <w:p w:rsidR="004D7D95" w:rsidRPr="00095CF0" w:rsidRDefault="004D7D95" w:rsidP="009F1042">
      <w:pPr>
        <w:pStyle w:val="SCCNormalDoubleSpacing"/>
        <w:spacing w:after="720" w:line="240" w:lineRule="auto"/>
        <w:rPr>
          <w:b/>
          <w:lang w:val="fr-CA"/>
        </w:rPr>
      </w:pPr>
      <w:r w:rsidRPr="00095CF0">
        <w:rPr>
          <w:b/>
          <w:lang w:val="fr-CA"/>
        </w:rPr>
        <w:t>Doctrine et autres documents cités</w:t>
      </w:r>
    </w:p>
    <w:p w:rsidR="009E3C82" w:rsidRPr="00095CF0" w:rsidRDefault="009E3C82" w:rsidP="009F1042">
      <w:pPr>
        <w:pStyle w:val="SCCNormalDoubleSpacing"/>
        <w:spacing w:after="240" w:line="240" w:lineRule="auto"/>
        <w:ind w:left="547" w:hanging="547"/>
        <w:rPr>
          <w:lang w:val="fr-CA"/>
        </w:rPr>
      </w:pPr>
      <w:r w:rsidRPr="00095CF0">
        <w:rPr>
          <w:lang w:val="fr-CA"/>
        </w:rPr>
        <w:t>Canad</w:t>
      </w:r>
      <w:r w:rsidR="001A732E">
        <w:rPr>
          <w:lang w:val="fr-CA"/>
        </w:rPr>
        <w:t>a. Commission royale sur les peu</w:t>
      </w:r>
      <w:r w:rsidRPr="00095CF0">
        <w:rPr>
          <w:lang w:val="fr-CA"/>
        </w:rPr>
        <w:t xml:space="preserve">ples autochtones. </w:t>
      </w:r>
      <w:r w:rsidRPr="00095CF0">
        <w:rPr>
          <w:i/>
          <w:lang w:val="fr-CA"/>
        </w:rPr>
        <w:t>Rapport de la Commission royale sur les peuples autochtones</w:t>
      </w:r>
      <w:r w:rsidRPr="00095CF0">
        <w:rPr>
          <w:lang w:val="fr-CA"/>
        </w:rPr>
        <w:t xml:space="preserve">, </w:t>
      </w:r>
      <w:r w:rsidR="00A501DF">
        <w:rPr>
          <w:lang w:val="fr-CA"/>
        </w:rPr>
        <w:t>vol.</w:t>
      </w:r>
      <w:r w:rsidR="0077539A">
        <w:rPr>
          <w:lang w:val="fr-CA"/>
        </w:rPr>
        <w:t xml:space="preserve"> </w:t>
      </w:r>
      <w:r w:rsidRPr="00095CF0">
        <w:rPr>
          <w:lang w:val="fr-CA"/>
        </w:rPr>
        <w:t xml:space="preserve">3, </w:t>
      </w:r>
      <w:r w:rsidRPr="00095CF0">
        <w:rPr>
          <w:i/>
          <w:lang w:val="fr-CA"/>
        </w:rPr>
        <w:t>Vers un ressourcement</w:t>
      </w:r>
      <w:r w:rsidRPr="00095CF0">
        <w:rPr>
          <w:lang w:val="fr-CA"/>
        </w:rPr>
        <w:t xml:space="preserve">, Ottawa, la Commission, 1996. </w:t>
      </w:r>
    </w:p>
    <w:p w:rsidR="009E3C82" w:rsidRPr="00095CF0" w:rsidRDefault="009E3C82" w:rsidP="009F1042">
      <w:pPr>
        <w:pStyle w:val="SCCNormalDoubleSpacing"/>
        <w:spacing w:after="240" w:line="240" w:lineRule="auto"/>
        <w:ind w:left="547" w:hanging="547"/>
        <w:rPr>
          <w:lang w:val="fr-CA"/>
        </w:rPr>
      </w:pPr>
      <w:r w:rsidRPr="00095CF0">
        <w:rPr>
          <w:lang w:val="fr-CA"/>
        </w:rPr>
        <w:lastRenderedPageBreak/>
        <w:t xml:space="preserve">Canada. Statistique Canada. </w:t>
      </w:r>
      <w:r w:rsidRPr="00095CF0">
        <w:rPr>
          <w:i/>
          <w:lang w:val="fr-CA"/>
        </w:rPr>
        <w:t>Portrait de la scolarité au Canada, Recensement de 2006</w:t>
      </w:r>
      <w:r w:rsidRPr="00095CF0">
        <w:rPr>
          <w:lang w:val="fr-CA"/>
        </w:rPr>
        <w:t>, Ottawa, ministre de l</w:t>
      </w:r>
      <w:r w:rsidR="006C17B6" w:rsidRPr="00095CF0">
        <w:rPr>
          <w:lang w:val="fr-CA"/>
        </w:rPr>
        <w:t>’</w:t>
      </w:r>
      <w:r w:rsidRPr="00095CF0">
        <w:rPr>
          <w:lang w:val="fr-CA"/>
        </w:rPr>
        <w:t xml:space="preserve">Industrie, 2008. </w:t>
      </w:r>
    </w:p>
    <w:p w:rsidR="009E3C82" w:rsidRPr="009F6AD5" w:rsidRDefault="009E3C82" w:rsidP="009F1042">
      <w:pPr>
        <w:pStyle w:val="SCCNormalDoubleSpacing"/>
        <w:spacing w:after="240" w:line="240" w:lineRule="auto"/>
        <w:ind w:left="547" w:hanging="547"/>
        <w:rPr>
          <w:lang w:val="en-US"/>
        </w:rPr>
      </w:pPr>
      <w:r w:rsidRPr="009F6AD5">
        <w:rPr>
          <w:lang w:val="en-US"/>
        </w:rPr>
        <w:t xml:space="preserve">Richards, John. </w:t>
      </w:r>
      <w:r w:rsidRPr="009F6AD5">
        <w:rPr>
          <w:i/>
          <w:lang w:val="en-US"/>
        </w:rPr>
        <w:t>Closing the Aboriginal/non</w:t>
      </w:r>
      <w:r w:rsidR="0077539A" w:rsidRPr="009F6AD5">
        <w:rPr>
          <w:i/>
          <w:lang w:val="en-US"/>
        </w:rPr>
        <w:t>-</w:t>
      </w:r>
      <w:r w:rsidRPr="009F6AD5">
        <w:rPr>
          <w:i/>
          <w:lang w:val="en-US"/>
        </w:rPr>
        <w:t>Aboriginal Education Gaps</w:t>
      </w:r>
      <w:r w:rsidRPr="009F6AD5">
        <w:rPr>
          <w:lang w:val="en-US"/>
        </w:rPr>
        <w:t>, C.D. Howe Institute Backgrounder 116 (</w:t>
      </w:r>
      <w:proofErr w:type="gramStart"/>
      <w:r w:rsidR="003351B3">
        <w:rPr>
          <w:lang w:val="en-US"/>
        </w:rPr>
        <w:t>online</w:t>
      </w:r>
      <w:r w:rsidR="001A732E" w:rsidRPr="009F6AD5">
        <w:rPr>
          <w:lang w:val="en-US"/>
        </w:rPr>
        <w:t> :</w:t>
      </w:r>
      <w:proofErr w:type="gramEnd"/>
      <w:r w:rsidR="001A732E" w:rsidRPr="009F6AD5">
        <w:rPr>
          <w:lang w:val="en-US"/>
        </w:rPr>
        <w:t xml:space="preserve"> http</w:t>
      </w:r>
      <w:r w:rsidR="00A06DC3">
        <w:rPr>
          <w:lang w:val="en-US"/>
        </w:rPr>
        <w:t>s</w:t>
      </w:r>
      <w:r w:rsidR="001A732E" w:rsidRPr="009F6AD5">
        <w:rPr>
          <w:lang w:val="en-US"/>
        </w:rPr>
        <w:t>:/</w:t>
      </w:r>
      <w:r w:rsidR="00A06DC3">
        <w:rPr>
          <w:lang w:val="en-US"/>
        </w:rPr>
        <w:t>/</w:t>
      </w:r>
      <w:r w:rsidR="001A732E" w:rsidRPr="009F6AD5">
        <w:rPr>
          <w:lang w:val="en-US"/>
        </w:rPr>
        <w:t>www.cdhowe.org</w:t>
      </w:r>
      <w:r w:rsidR="00A06DC3">
        <w:rPr>
          <w:lang w:val="en-US"/>
        </w:rPr>
        <w:t>/</w:t>
      </w:r>
      <w:r w:rsidRPr="009F6AD5">
        <w:rPr>
          <w:lang w:val="en-US"/>
        </w:rPr>
        <w:t xml:space="preserve">), 2008. </w:t>
      </w:r>
    </w:p>
    <w:p w:rsidR="009439DC" w:rsidRPr="00095CF0" w:rsidRDefault="009E3C82" w:rsidP="009F1042">
      <w:pPr>
        <w:pStyle w:val="SCCNormalDoubleSpacing"/>
        <w:spacing w:after="720" w:line="240" w:lineRule="auto"/>
        <w:ind w:left="547" w:hanging="547"/>
      </w:pPr>
      <w:r w:rsidRPr="00095CF0">
        <w:t xml:space="preserve">Smith, Lynn, and William Black. </w:t>
      </w:r>
      <w:r w:rsidR="0077539A">
        <w:t>« </w:t>
      </w:r>
      <w:r w:rsidRPr="00095CF0">
        <w:t>The Equality Rights</w:t>
      </w:r>
      <w:r w:rsidR="0077539A">
        <w:t> »</w:t>
      </w:r>
      <w:r w:rsidRPr="00095CF0">
        <w:t xml:space="preserve"> (2013), 62 </w:t>
      </w:r>
      <w:r w:rsidRPr="00095CF0">
        <w:rPr>
          <w:i/>
        </w:rPr>
        <w:t>S.C.L.R.</w:t>
      </w:r>
      <w:r w:rsidRPr="00095CF0">
        <w:t xml:space="preserve"> (2d) 301. </w:t>
      </w:r>
    </w:p>
    <w:p w:rsidR="00411B0C" w:rsidRPr="00095CF0" w:rsidRDefault="004D7D95" w:rsidP="009F1042">
      <w:pPr>
        <w:pStyle w:val="SCCNormalDoubleSpacing"/>
        <w:spacing w:before="480" w:after="480"/>
        <w:rPr>
          <w:lang w:val="fr-CA"/>
        </w:rPr>
      </w:pPr>
      <w:r w:rsidRPr="00095CF0">
        <w:tab/>
      </w:r>
      <w:r w:rsidRPr="00723C9C">
        <w:rPr>
          <w:lang w:val="fr-CA"/>
        </w:rPr>
        <w:t xml:space="preserve">POURVOI contre un arrêt de la </w:t>
      </w:r>
      <w:r w:rsidR="00411B0C" w:rsidRPr="00723C9C">
        <w:rPr>
          <w:lang w:val="fr-CA"/>
        </w:rPr>
        <w:t>Cour d</w:t>
      </w:r>
      <w:r w:rsidR="006C17B6" w:rsidRPr="00723C9C">
        <w:rPr>
          <w:lang w:val="fr-CA"/>
        </w:rPr>
        <w:t>’</w:t>
      </w:r>
      <w:r w:rsidR="00411B0C" w:rsidRPr="00723C9C">
        <w:rPr>
          <w:lang w:val="fr-CA"/>
        </w:rPr>
        <w:t xml:space="preserve">appel fédérale (le juge en chef Blais et les juges Mainville et Near), 2013 CAF 192, 447 N.R. 352, 365 D.L.R. (4th) 485, [2014] 1 C.N.L.R. 375, [2013] </w:t>
      </w:r>
      <w:r w:rsidR="004612C4" w:rsidRPr="00723C9C">
        <w:rPr>
          <w:lang w:val="fr-CA"/>
        </w:rPr>
        <w:t xml:space="preserve">F.C.J. </w:t>
      </w:r>
      <w:r w:rsidR="00A501DF" w:rsidRPr="00723C9C">
        <w:rPr>
          <w:lang w:val="fr-CA"/>
        </w:rPr>
        <w:t>No.</w:t>
      </w:r>
      <w:r w:rsidR="0077539A">
        <w:rPr>
          <w:lang w:val="fr-CA"/>
        </w:rPr>
        <w:t xml:space="preserve"> </w:t>
      </w:r>
      <w:r w:rsidR="00411B0C" w:rsidRPr="00723C9C">
        <w:rPr>
          <w:lang w:val="fr-CA"/>
        </w:rPr>
        <w:t xml:space="preserve">938 (QL), 2013 </w:t>
      </w:r>
      <w:proofErr w:type="spellStart"/>
      <w:r w:rsidR="00411B0C" w:rsidRPr="00723C9C">
        <w:rPr>
          <w:lang w:val="fr-CA"/>
        </w:rPr>
        <w:t>CarswellNat</w:t>
      </w:r>
      <w:proofErr w:type="spellEnd"/>
      <w:r w:rsidR="00411B0C" w:rsidRPr="00723C9C">
        <w:rPr>
          <w:lang w:val="fr-CA"/>
        </w:rPr>
        <w:t xml:space="preserve"> 3091</w:t>
      </w:r>
      <w:r w:rsidR="00387A13" w:rsidRPr="00723C9C">
        <w:rPr>
          <w:lang w:val="fr-CA"/>
        </w:rPr>
        <w:t xml:space="preserve"> (WL Can.)</w:t>
      </w:r>
      <w:r w:rsidR="00411B0C" w:rsidRPr="00723C9C">
        <w:rPr>
          <w:lang w:val="fr-CA"/>
        </w:rPr>
        <w:t>, qui a infirmé une décision du juge de Montigny, 2012 CF 1036, 417 F.T.R. 160, 268 C.R.R. (2d) 77, [2013] 1 C.N.L.R. 349, [2012] A.C.F. n</w:t>
      </w:r>
      <w:r w:rsidR="00411B0C" w:rsidRPr="00723C9C">
        <w:rPr>
          <w:vertAlign w:val="superscript"/>
          <w:lang w:val="fr-CA"/>
        </w:rPr>
        <w:t>o</w:t>
      </w:r>
      <w:r w:rsidR="0077539A">
        <w:rPr>
          <w:lang w:val="fr-CA"/>
        </w:rPr>
        <w:t xml:space="preserve"> </w:t>
      </w:r>
      <w:r w:rsidR="00411B0C" w:rsidRPr="00723C9C">
        <w:rPr>
          <w:lang w:val="fr-CA"/>
        </w:rPr>
        <w:t xml:space="preserve">1125 (QL), 2012 </w:t>
      </w:r>
      <w:proofErr w:type="spellStart"/>
      <w:r w:rsidR="00411B0C" w:rsidRPr="00723C9C">
        <w:rPr>
          <w:lang w:val="fr-CA"/>
        </w:rPr>
        <w:t>CarswellNat</w:t>
      </w:r>
      <w:proofErr w:type="spellEnd"/>
      <w:r w:rsidR="00411B0C" w:rsidRPr="00723C9C">
        <w:rPr>
          <w:lang w:val="fr-CA"/>
        </w:rPr>
        <w:t xml:space="preserve"> </w:t>
      </w:r>
      <w:r w:rsidR="0064711F" w:rsidRPr="00723C9C">
        <w:rPr>
          <w:lang w:val="fr-CA"/>
        </w:rPr>
        <w:t>4918</w:t>
      </w:r>
      <w:r w:rsidR="00387A13" w:rsidRPr="00723C9C">
        <w:rPr>
          <w:lang w:val="fr-CA"/>
        </w:rPr>
        <w:t xml:space="preserve"> (WL Can.)</w:t>
      </w:r>
      <w:r w:rsidR="00411B0C" w:rsidRPr="00723C9C">
        <w:rPr>
          <w:lang w:val="fr-CA"/>
        </w:rPr>
        <w:t xml:space="preserve">. </w:t>
      </w:r>
      <w:r w:rsidR="0064711F" w:rsidRPr="00095CF0">
        <w:rPr>
          <w:lang w:val="fr-CA"/>
        </w:rPr>
        <w:t>Pourvoi</w:t>
      </w:r>
      <w:r w:rsidR="00411B0C" w:rsidRPr="00095CF0">
        <w:rPr>
          <w:lang w:val="fr-CA"/>
        </w:rPr>
        <w:t xml:space="preserve"> </w:t>
      </w:r>
      <w:r w:rsidR="00847D7B" w:rsidRPr="00095CF0">
        <w:rPr>
          <w:lang w:val="fr-CA"/>
        </w:rPr>
        <w:t>accueilli</w:t>
      </w:r>
      <w:r w:rsidR="00411B0C" w:rsidRPr="00095CF0">
        <w:rPr>
          <w:lang w:val="fr-CA"/>
        </w:rPr>
        <w:t>.</w:t>
      </w:r>
    </w:p>
    <w:p w:rsidR="00593CB9" w:rsidRPr="00095CF0" w:rsidRDefault="000807A2" w:rsidP="009F1042">
      <w:pPr>
        <w:pStyle w:val="SCCNormalDoubleSpacing"/>
        <w:spacing w:before="480" w:after="480"/>
        <w:rPr>
          <w:lang w:val="fr-CA"/>
        </w:rPr>
      </w:pPr>
      <w:r w:rsidRPr="00095CF0">
        <w:rPr>
          <w:rStyle w:val="SCCCounselNameChar"/>
          <w:lang w:val="fr-CA"/>
        </w:rPr>
        <w:tab/>
      </w:r>
      <w:r w:rsidR="00177BC5" w:rsidRPr="00095CF0">
        <w:rPr>
          <w:rStyle w:val="SCCCounselNameChar"/>
          <w:lang w:val="fr-CA"/>
        </w:rPr>
        <w:t xml:space="preserve">Eugene </w:t>
      </w:r>
      <w:proofErr w:type="spellStart"/>
      <w:r w:rsidR="00177BC5" w:rsidRPr="00095CF0">
        <w:rPr>
          <w:rStyle w:val="SCCCounselNameChar"/>
          <w:lang w:val="fr-CA"/>
        </w:rPr>
        <w:t>Meehan</w:t>
      </w:r>
      <w:proofErr w:type="spellEnd"/>
      <w:r w:rsidR="00177BC5" w:rsidRPr="00095CF0">
        <w:rPr>
          <w:rStyle w:val="SCCCounselNameChar"/>
          <w:i w:val="0"/>
          <w:lang w:val="fr-CA"/>
        </w:rPr>
        <w:t xml:space="preserve">, </w:t>
      </w:r>
      <w:proofErr w:type="spellStart"/>
      <w:proofErr w:type="gramStart"/>
      <w:r w:rsidR="00177BC5" w:rsidRPr="00095CF0">
        <w:rPr>
          <w:rStyle w:val="SCCCounselNameChar"/>
          <w:lang w:val="fr-CA"/>
        </w:rPr>
        <w:t>c.r</w:t>
      </w:r>
      <w:proofErr w:type="spellEnd"/>
      <w:r w:rsidR="00177BC5" w:rsidRPr="00095CF0">
        <w:rPr>
          <w:rStyle w:val="SCCCounselNameChar"/>
          <w:lang w:val="fr-CA"/>
        </w:rPr>
        <w:t>.</w:t>
      </w:r>
      <w:r w:rsidR="00177BC5" w:rsidRPr="00095CF0">
        <w:rPr>
          <w:rStyle w:val="SCCCounselPartyRoleChar"/>
          <w:lang w:val="fr-CA"/>
        </w:rPr>
        <w:t>,</w:t>
      </w:r>
      <w:proofErr w:type="gramEnd"/>
      <w:r w:rsidR="00177BC5" w:rsidRPr="00095CF0">
        <w:rPr>
          <w:rStyle w:val="SCCCounselPartyRoleChar"/>
          <w:lang w:val="fr-CA"/>
        </w:rPr>
        <w:t xml:space="preserve"> </w:t>
      </w:r>
      <w:r w:rsidR="00177BC5" w:rsidRPr="00095CF0">
        <w:rPr>
          <w:rStyle w:val="SCCCounselPartyRoleChar"/>
          <w:i/>
          <w:lang w:val="fr-CA"/>
        </w:rPr>
        <w:t>Marie</w:t>
      </w:r>
      <w:r w:rsidR="0077539A">
        <w:rPr>
          <w:rStyle w:val="SCCCounselPartyRoleChar"/>
          <w:i/>
          <w:lang w:val="fr-CA"/>
        </w:rPr>
        <w:t>-</w:t>
      </w:r>
      <w:r w:rsidR="00177BC5" w:rsidRPr="00095CF0">
        <w:rPr>
          <w:rStyle w:val="SCCCounselPartyRoleChar"/>
          <w:i/>
          <w:lang w:val="fr-CA"/>
        </w:rPr>
        <w:t>France Major</w:t>
      </w:r>
      <w:r w:rsidR="00177BC5" w:rsidRPr="00095CF0">
        <w:rPr>
          <w:rStyle w:val="SCCCounselPartyRoleChar"/>
          <w:lang w:val="fr-CA"/>
        </w:rPr>
        <w:t xml:space="preserve">, </w:t>
      </w:r>
      <w:r w:rsidR="009F1042" w:rsidRPr="00095CF0">
        <w:rPr>
          <w:rStyle w:val="SCCCounselNameChar"/>
          <w:lang w:val="fr-CA"/>
        </w:rPr>
        <w:t>James</w:t>
      </w:r>
      <w:r w:rsidR="0077539A">
        <w:rPr>
          <w:rStyle w:val="SCCCounselNameChar"/>
          <w:lang w:val="fr-CA"/>
        </w:rPr>
        <w:t xml:space="preserve"> </w:t>
      </w:r>
      <w:r w:rsidRPr="00095CF0">
        <w:rPr>
          <w:rStyle w:val="SCCCounselNameChar"/>
          <w:lang w:val="fr-CA"/>
        </w:rPr>
        <w:t xml:space="preserve">D. </w:t>
      </w:r>
      <w:proofErr w:type="spellStart"/>
      <w:r w:rsidRPr="00095CF0">
        <w:rPr>
          <w:rStyle w:val="SCCCounselNameChar"/>
          <w:lang w:val="fr-CA"/>
        </w:rPr>
        <w:t>Jodouin</w:t>
      </w:r>
      <w:proofErr w:type="spellEnd"/>
      <w:r w:rsidR="00177BC5" w:rsidRPr="00095CF0">
        <w:rPr>
          <w:rStyle w:val="SCCCounselNameChar"/>
          <w:lang w:val="fr-CA"/>
        </w:rPr>
        <w:t xml:space="preserve"> </w:t>
      </w:r>
      <w:r w:rsidR="00177BC5" w:rsidRPr="00095CF0">
        <w:rPr>
          <w:rStyle w:val="SCCCounselNameChar"/>
          <w:i w:val="0"/>
          <w:lang w:val="fr-CA"/>
        </w:rPr>
        <w:t>et</w:t>
      </w:r>
      <w:r w:rsidRPr="00095CF0">
        <w:rPr>
          <w:rStyle w:val="SCCCounselSeparatorChar"/>
          <w:lang w:val="fr-CA"/>
        </w:rPr>
        <w:t xml:space="preserve"> </w:t>
      </w:r>
      <w:r w:rsidRPr="00095CF0">
        <w:rPr>
          <w:rStyle w:val="SCCCounselNameChar"/>
          <w:lang w:val="fr-CA"/>
        </w:rPr>
        <w:t>Marcus R. Davies</w:t>
      </w:r>
      <w:r w:rsidR="00177BC5" w:rsidRPr="00095CF0">
        <w:rPr>
          <w:rStyle w:val="SCCCounselSeparatorChar"/>
          <w:lang w:val="fr-CA"/>
        </w:rPr>
        <w:t xml:space="preserve">, </w:t>
      </w:r>
      <w:r w:rsidRPr="00095CF0">
        <w:rPr>
          <w:rStyle w:val="SCCCounselPartyRoleChar"/>
          <w:lang w:val="fr-CA"/>
        </w:rPr>
        <w:t>pour l</w:t>
      </w:r>
      <w:r w:rsidR="00177BC5" w:rsidRPr="00095CF0">
        <w:rPr>
          <w:rStyle w:val="SCCCounselPartyRoleChar"/>
          <w:lang w:val="fr-CA"/>
        </w:rPr>
        <w:t xml:space="preserve">es </w:t>
      </w:r>
      <w:r w:rsidRPr="00095CF0">
        <w:rPr>
          <w:rStyle w:val="SCCCounselPartyRoleChar"/>
          <w:lang w:val="fr-CA"/>
        </w:rPr>
        <w:t>appelant</w:t>
      </w:r>
      <w:r w:rsidR="00177BC5" w:rsidRPr="00095CF0">
        <w:rPr>
          <w:rStyle w:val="SCCCounselPartyRoleChar"/>
          <w:lang w:val="fr-CA"/>
        </w:rPr>
        <w:t>s</w:t>
      </w:r>
      <w:r w:rsidRPr="00095CF0">
        <w:rPr>
          <w:rStyle w:val="SCCCounselPartyRoleChar"/>
          <w:lang w:val="fr-CA"/>
        </w:rPr>
        <w:t>.</w:t>
      </w:r>
    </w:p>
    <w:p w:rsidR="00593CB9" w:rsidRPr="00095CF0" w:rsidRDefault="009F1042" w:rsidP="009F1042">
      <w:pPr>
        <w:pStyle w:val="SCCNormalDoubleSpacing"/>
        <w:spacing w:before="480" w:after="480"/>
        <w:rPr>
          <w:lang w:val="fr-CA"/>
        </w:rPr>
      </w:pPr>
      <w:r w:rsidRPr="00095CF0">
        <w:rPr>
          <w:rStyle w:val="SCCCounselNameChar"/>
          <w:lang w:val="fr-CA"/>
        </w:rPr>
        <w:tab/>
      </w:r>
      <w:proofErr w:type="spellStart"/>
      <w:r w:rsidRPr="00095CF0">
        <w:rPr>
          <w:rStyle w:val="SCCCounselNameChar"/>
          <w:lang w:val="fr-CA"/>
        </w:rPr>
        <w:t>Mervin</w:t>
      </w:r>
      <w:proofErr w:type="spellEnd"/>
      <w:r w:rsidR="0077539A">
        <w:rPr>
          <w:rStyle w:val="SCCCounselNameChar"/>
          <w:lang w:val="fr-CA"/>
        </w:rPr>
        <w:t xml:space="preserve"> </w:t>
      </w:r>
      <w:r w:rsidR="000807A2" w:rsidRPr="00095CF0">
        <w:rPr>
          <w:rStyle w:val="SCCCounselNameChar"/>
          <w:lang w:val="fr-CA"/>
        </w:rPr>
        <w:t>C. Phillips</w:t>
      </w:r>
      <w:r w:rsidR="000807A2" w:rsidRPr="00095CF0">
        <w:rPr>
          <w:rStyle w:val="SCCCounselSeparatorChar"/>
          <w:lang w:val="fr-CA"/>
        </w:rPr>
        <w:t xml:space="preserve"> et </w:t>
      </w:r>
      <w:proofErr w:type="spellStart"/>
      <w:r w:rsidR="000807A2" w:rsidRPr="00095CF0">
        <w:rPr>
          <w:rStyle w:val="SCCCounselNameChar"/>
          <w:lang w:val="fr-CA"/>
        </w:rPr>
        <w:t>Leane</w:t>
      </w:r>
      <w:proofErr w:type="spellEnd"/>
      <w:r w:rsidR="000807A2" w:rsidRPr="00095CF0">
        <w:rPr>
          <w:rStyle w:val="SCCCounselNameChar"/>
          <w:lang w:val="fr-CA"/>
        </w:rPr>
        <w:t xml:space="preserve"> Phillips</w:t>
      </w:r>
      <w:r w:rsidR="00177BC5" w:rsidRPr="00095CF0">
        <w:rPr>
          <w:rStyle w:val="SCCCounselPartyRoleChar"/>
          <w:lang w:val="fr-CA"/>
        </w:rPr>
        <w:t>, pour l</w:t>
      </w:r>
      <w:r w:rsidR="006C17B6" w:rsidRPr="00095CF0">
        <w:rPr>
          <w:rStyle w:val="SCCCounselPartyRoleChar"/>
          <w:lang w:val="fr-CA"/>
        </w:rPr>
        <w:t>’</w:t>
      </w:r>
      <w:r w:rsidR="000807A2" w:rsidRPr="00095CF0">
        <w:rPr>
          <w:rStyle w:val="SCCCounselPartyRoleChar"/>
          <w:lang w:val="fr-CA"/>
        </w:rPr>
        <w:t>intimé.</w:t>
      </w:r>
    </w:p>
    <w:p w:rsidR="0077539A" w:rsidRDefault="0077539A" w:rsidP="0077539A">
      <w:pPr>
        <w:pStyle w:val="JudgeJuge"/>
        <w:spacing w:before="480"/>
        <w:rPr>
          <w:lang w:val="fr-CA"/>
        </w:rPr>
      </w:pPr>
    </w:p>
    <w:p w:rsidR="0077539A" w:rsidRPr="001A732E" w:rsidRDefault="001A732E" w:rsidP="0077539A">
      <w:pPr>
        <w:pStyle w:val="JudgeJuge"/>
        <w:spacing w:before="480"/>
        <w:rPr>
          <w:smallCaps w:val="0"/>
          <w:lang w:val="fr-CA"/>
        </w:rPr>
      </w:pPr>
      <w:r>
        <w:rPr>
          <w:lang w:val="fr-CA"/>
        </w:rPr>
        <w:tab/>
      </w:r>
      <w:r>
        <w:rPr>
          <w:smallCaps w:val="0"/>
          <w:lang w:val="fr-CA"/>
        </w:rPr>
        <w:t xml:space="preserve">Version française du jugement de la Cour rendu par </w:t>
      </w:r>
    </w:p>
    <w:p w:rsidR="0077539A" w:rsidRPr="00552752" w:rsidRDefault="0077539A" w:rsidP="0077539A">
      <w:pPr>
        <w:pStyle w:val="ParaNoNdepar-AltN"/>
        <w:tabs>
          <w:tab w:val="clear" w:pos="1166"/>
          <w:tab w:val="num" w:pos="1152"/>
        </w:tabs>
        <w:rPr>
          <w:rFonts w:cs="Times New Roman"/>
          <w:iCs/>
          <w:lang w:val="fr-CA"/>
        </w:rPr>
      </w:pPr>
      <w:r w:rsidRPr="0077539A">
        <w:rPr>
          <w:smallCaps/>
          <w:lang w:val="fr-CA"/>
        </w:rPr>
        <w:t>La juge Abella</w:t>
      </w:r>
      <w:r w:rsidRPr="0077539A">
        <w:rPr>
          <w:rFonts w:cs="Times New Roman"/>
          <w:smallCaps/>
          <w:lang w:val="fr-CA"/>
        </w:rPr>
        <w:t xml:space="preserve"> </w:t>
      </w:r>
      <w:r w:rsidRPr="0077539A">
        <w:rPr>
          <w:lang w:val="fr-CA"/>
        </w:rPr>
        <w:t xml:space="preserve"> — </w:t>
      </w:r>
      <w:r>
        <w:rPr>
          <w:rFonts w:cs="Times New Roman"/>
          <w:lang w:val="fr-CA"/>
        </w:rPr>
        <w:t xml:space="preserve"> </w:t>
      </w:r>
      <w:r w:rsidRPr="00552752">
        <w:rPr>
          <w:rFonts w:cs="Times New Roman"/>
          <w:lang w:val="fr-CA"/>
        </w:rPr>
        <w:t>Le Rapport de la Commission royale sur les peuples autochtones publié en 1996 qualifiait de priorité absolue le rôle que l’éducation est appelée à jouer pour promouvoir le bien</w:t>
      </w:r>
      <w:r>
        <w:rPr>
          <w:rFonts w:cs="Times New Roman"/>
          <w:lang w:val="fr-CA"/>
        </w:rPr>
        <w:t>-</w:t>
      </w:r>
      <w:r w:rsidRPr="00552752">
        <w:rPr>
          <w:rFonts w:cs="Times New Roman"/>
          <w:lang w:val="fr-CA"/>
        </w:rPr>
        <w:t xml:space="preserve">être tant individuel que collectif des </w:t>
      </w:r>
      <w:r w:rsidRPr="00552752">
        <w:rPr>
          <w:rFonts w:cs="Times New Roman"/>
          <w:lang w:val="fr-CA"/>
        </w:rPr>
        <w:lastRenderedPageBreak/>
        <w:t>communautés autochtones et pour les préparer à assumer l’éventail complet des responsabilités liées à l’autonomie gouvernementale</w:t>
      </w:r>
      <w:r>
        <w:rPr>
          <w:rFonts w:cs="Times New Roman"/>
          <w:lang w:val="fr-CA"/>
        </w:rPr>
        <w:t> :</w:t>
      </w:r>
      <w:r w:rsidRPr="00552752">
        <w:rPr>
          <w:rFonts w:cs="Times New Roman"/>
          <w:lang w:val="fr-CA"/>
        </w:rPr>
        <w:t xml:space="preserve"> </w:t>
      </w:r>
    </w:p>
    <w:p w:rsidR="0077539A" w:rsidRPr="00552752" w:rsidRDefault="0077539A" w:rsidP="0077539A">
      <w:pPr>
        <w:pStyle w:val="Citation-AltC"/>
        <w:spacing w:after="240"/>
        <w:ind w:hanging="1166"/>
        <w:contextualSpacing w:val="0"/>
        <w:rPr>
          <w:lang w:val="fr-CA"/>
        </w:rPr>
      </w:pPr>
      <w:r w:rsidRPr="00552752">
        <w:rPr>
          <w:lang w:val="fr-CA"/>
        </w:rPr>
        <w:tab/>
        <w:t>Aux audiences de la Commission, des parents, des anciens, des jeunes et des dirigeants autochtones nous ont dit que l’éducation était la clé de leur avenir, l’élément qui leur permettrait de réaliser leur rêve de prospérité. Ils voient dans l’éducation le moyen d’enrichir la vie des individus et de réaliser les objectifs collectifs.</w:t>
      </w:r>
    </w:p>
    <w:p w:rsidR="0077539A" w:rsidRPr="00552752" w:rsidRDefault="0077539A" w:rsidP="0077539A">
      <w:pPr>
        <w:pStyle w:val="Citation-AltC"/>
        <w:spacing w:after="240"/>
        <w:contextualSpacing w:val="0"/>
        <w:jc w:val="center"/>
        <w:rPr>
          <w:lang w:val="fr-CA"/>
        </w:rPr>
      </w:pPr>
      <w:r>
        <w:rPr>
          <w:lang w:val="fr-CA"/>
        </w:rPr>
        <w:t>. . .</w:t>
      </w:r>
    </w:p>
    <w:p w:rsidR="0077539A" w:rsidRPr="00552752" w:rsidRDefault="0077539A" w:rsidP="0077539A">
      <w:pPr>
        <w:pStyle w:val="Citation-AltC"/>
        <w:spacing w:after="240"/>
        <w:ind w:hanging="1166"/>
        <w:contextualSpacing w:val="0"/>
        <w:rPr>
          <w:lang w:val="fr-CA"/>
        </w:rPr>
      </w:pPr>
      <w:r w:rsidRPr="00552752">
        <w:rPr>
          <w:lang w:val="fr-CA"/>
        </w:rPr>
        <w:tab/>
      </w:r>
      <w:r w:rsidRPr="00552752">
        <w:rPr>
          <w:lang w:val="fr-CA"/>
        </w:rPr>
        <w:tab/>
        <w:t>Au cours des 20 dernières années, la volonté de rétablir des nations autonomes s’est affirmée et les autochtones ont constamment répété combien il était important de leur donner les moyens d’assurer le fonctionnement de structures autonomes contemporaines</w:t>
      </w:r>
      <w:r>
        <w:rPr>
          <w:lang w:val="fr-CA"/>
        </w:rPr>
        <w:t>. . .</w:t>
      </w:r>
    </w:p>
    <w:p w:rsidR="0077539A" w:rsidRPr="00552752" w:rsidRDefault="0077539A" w:rsidP="0077539A">
      <w:pPr>
        <w:pStyle w:val="Citation-AltC"/>
        <w:spacing w:after="240"/>
        <w:contextualSpacing w:val="0"/>
        <w:jc w:val="center"/>
        <w:rPr>
          <w:lang w:val="fr-CA"/>
        </w:rPr>
      </w:pPr>
      <w:r>
        <w:rPr>
          <w:lang w:val="fr-CA"/>
        </w:rPr>
        <w:t>. . .</w:t>
      </w:r>
    </w:p>
    <w:p w:rsidR="001A732E" w:rsidRDefault="0077539A" w:rsidP="0077539A">
      <w:pPr>
        <w:pStyle w:val="Citation-AltC"/>
        <w:ind w:hanging="1166"/>
        <w:contextualSpacing w:val="0"/>
        <w:rPr>
          <w:lang w:val="fr-CA"/>
        </w:rPr>
      </w:pPr>
      <w:r w:rsidRPr="00552752">
        <w:rPr>
          <w:lang w:val="fr-CA"/>
        </w:rPr>
        <w:tab/>
      </w:r>
      <w:r w:rsidRPr="00552752">
        <w:rPr>
          <w:lang w:val="fr-CA"/>
        </w:rPr>
        <w:tab/>
      </w:r>
      <w:r>
        <w:rPr>
          <w:lang w:val="fr-CA"/>
        </w:rPr>
        <w:t>. . .</w:t>
      </w:r>
      <w:r w:rsidRPr="00552752">
        <w:rPr>
          <w:lang w:val="fr-CA"/>
        </w:rPr>
        <w:t xml:space="preserve"> il est indispensable de développer les talents dont on a besoin pour assumer les responsabilités d’aujourd’hui et de </w:t>
      </w:r>
      <w:proofErr w:type="gramStart"/>
      <w:r w:rsidRPr="00552752">
        <w:rPr>
          <w:lang w:val="fr-CA"/>
        </w:rPr>
        <w:t>demain</w:t>
      </w:r>
      <w:r w:rsidR="00AC4C5A">
        <w:rPr>
          <w:lang w:val="fr-CA"/>
        </w:rPr>
        <w:t xml:space="preserve"> </w:t>
      </w:r>
      <w:r>
        <w:rPr>
          <w:lang w:val="fr-CA"/>
        </w:rPr>
        <w:t>.</w:t>
      </w:r>
      <w:proofErr w:type="gramEnd"/>
      <w:r>
        <w:rPr>
          <w:lang w:val="fr-CA"/>
        </w:rPr>
        <w:t> . .</w:t>
      </w:r>
      <w:r w:rsidRPr="00552752">
        <w:rPr>
          <w:lang w:val="fr-CA"/>
        </w:rPr>
        <w:t xml:space="preserve"> </w:t>
      </w:r>
    </w:p>
    <w:p w:rsidR="0077539A" w:rsidRPr="00552752" w:rsidRDefault="001A732E" w:rsidP="00AC4C5A">
      <w:pPr>
        <w:pStyle w:val="Citation-AltC"/>
        <w:spacing w:after="480" w:line="480" w:lineRule="auto"/>
        <w:ind w:left="0"/>
        <w:contextualSpacing w:val="0"/>
        <w:rPr>
          <w:lang w:val="fr-CA"/>
        </w:rPr>
      </w:pPr>
      <w:r w:rsidRPr="001A732E">
        <w:rPr>
          <w:lang w:val="fr-CA"/>
        </w:rPr>
        <w:t>(</w:t>
      </w:r>
      <w:r w:rsidR="0077539A" w:rsidRPr="00552752">
        <w:rPr>
          <w:i/>
          <w:lang w:val="fr-CA"/>
        </w:rPr>
        <w:t>Rapport de la Commission royale sur les peuples autochtones</w:t>
      </w:r>
      <w:r w:rsidR="0077539A" w:rsidRPr="00552752">
        <w:rPr>
          <w:lang w:val="fr-CA"/>
        </w:rPr>
        <w:t>, vol.</w:t>
      </w:r>
      <w:r w:rsidR="0077539A">
        <w:rPr>
          <w:lang w:val="fr-CA"/>
        </w:rPr>
        <w:t xml:space="preserve"> </w:t>
      </w:r>
      <w:r w:rsidR="0077539A" w:rsidRPr="00552752">
        <w:rPr>
          <w:lang w:val="fr-CA"/>
        </w:rPr>
        <w:t xml:space="preserve">3, </w:t>
      </w:r>
      <w:r w:rsidR="0077539A" w:rsidRPr="00552752">
        <w:rPr>
          <w:i/>
          <w:lang w:val="fr-CA"/>
        </w:rPr>
        <w:t>Vers un ressourcement</w:t>
      </w:r>
      <w:r>
        <w:rPr>
          <w:lang w:val="fr-CA"/>
        </w:rPr>
        <w:t xml:space="preserve"> (1996),</w:t>
      </w:r>
      <w:r w:rsidR="0077539A" w:rsidRPr="00552752">
        <w:rPr>
          <w:lang w:val="fr-CA"/>
        </w:rPr>
        <w:t xml:space="preserve"> p.</w:t>
      </w:r>
      <w:r w:rsidR="0077539A">
        <w:rPr>
          <w:lang w:val="fr-CA"/>
        </w:rPr>
        <w:t xml:space="preserve"> </w:t>
      </w:r>
      <w:r w:rsidR="0077539A" w:rsidRPr="00552752">
        <w:rPr>
          <w:lang w:val="fr-CA"/>
        </w:rPr>
        <w:t>489 et 613</w:t>
      </w:r>
      <w:r w:rsidR="0077539A">
        <w:rPr>
          <w:lang w:val="fr-CA"/>
        </w:rPr>
        <w:t>-</w:t>
      </w:r>
      <w:r>
        <w:rPr>
          <w:lang w:val="fr-CA"/>
        </w:rPr>
        <w:t>615)</w:t>
      </w:r>
    </w:p>
    <w:p w:rsidR="0077539A" w:rsidRPr="00552752" w:rsidRDefault="0077539A" w:rsidP="0077539A">
      <w:pPr>
        <w:pStyle w:val="ParaNoNdepar-AltN"/>
        <w:tabs>
          <w:tab w:val="clear" w:pos="1166"/>
          <w:tab w:val="num" w:pos="1152"/>
        </w:tabs>
        <w:rPr>
          <w:rFonts w:cs="Times New Roman"/>
          <w:lang w:val="fr-CA"/>
        </w:rPr>
      </w:pPr>
      <w:r w:rsidRPr="00552752">
        <w:rPr>
          <w:rFonts w:cs="Times New Roman"/>
          <w:lang w:val="fr-CA"/>
        </w:rPr>
        <w:t xml:space="preserve">En réponse à ces objectifs ambitieux — promouvoir la bonne gouvernance et encourager l’éducation —, la Première Nation de </w:t>
      </w:r>
      <w:proofErr w:type="spellStart"/>
      <w:r w:rsidRPr="00552752">
        <w:rPr>
          <w:rFonts w:cs="Times New Roman"/>
          <w:lang w:val="fr-CA"/>
        </w:rPr>
        <w:t>Kahkewistahaw</w:t>
      </w:r>
      <w:proofErr w:type="spellEnd"/>
      <w:r w:rsidRPr="00552752">
        <w:rPr>
          <w:rFonts w:cs="Times New Roman"/>
          <w:lang w:val="fr-CA"/>
        </w:rPr>
        <w:t xml:space="preserve"> de la Saskatchewan a consacré 13</w:t>
      </w:r>
      <w:r>
        <w:rPr>
          <w:rFonts w:cs="Times New Roman"/>
          <w:lang w:val="fr-CA"/>
        </w:rPr>
        <w:t xml:space="preserve"> </w:t>
      </w:r>
      <w:r w:rsidRPr="00552752">
        <w:rPr>
          <w:rFonts w:cs="Times New Roman"/>
          <w:lang w:val="fr-CA"/>
        </w:rPr>
        <w:t>années à élaborer un code électoral qui prévoit notamment comme conditions d’éligibilité que les candidats au poste de chef ou à un poste de conseiller de la bande doivent avoir un niveau de scolarité minimum de 12</w:t>
      </w:r>
      <w:r w:rsidRPr="00552752">
        <w:rPr>
          <w:rFonts w:cs="Times New Roman"/>
          <w:vertAlign w:val="superscript"/>
          <w:lang w:val="fr-CA"/>
        </w:rPr>
        <w:t>e</w:t>
      </w:r>
      <w:r>
        <w:rPr>
          <w:rFonts w:cs="Times New Roman"/>
          <w:vertAlign w:val="superscript"/>
          <w:lang w:val="fr-CA"/>
        </w:rPr>
        <w:t xml:space="preserve"> </w:t>
      </w:r>
      <w:r w:rsidRPr="00552752">
        <w:rPr>
          <w:rFonts w:cs="Times New Roman"/>
          <w:lang w:val="fr-CA"/>
        </w:rPr>
        <w:t xml:space="preserve">année. Cette exigence a eu pour effet d’empêcher Louis </w:t>
      </w:r>
      <w:proofErr w:type="spellStart"/>
      <w:r w:rsidRPr="00552752">
        <w:rPr>
          <w:rFonts w:cs="Times New Roman"/>
          <w:lang w:val="fr-CA"/>
        </w:rPr>
        <w:t>Taypotat</w:t>
      </w:r>
      <w:proofErr w:type="spellEnd"/>
      <w:r w:rsidRPr="00552752">
        <w:rPr>
          <w:rFonts w:cs="Times New Roman"/>
          <w:lang w:val="fr-CA"/>
        </w:rPr>
        <w:t>, qui avait été chef pendant près de trois décennies, de briguer de nouveau ce poste. Malgré le fait que M.</w:t>
      </w:r>
      <w:r>
        <w:rPr>
          <w:rFonts w:cs="Times New Roman"/>
          <w:lang w:val="fr-CA"/>
        </w:rPr>
        <w:t xml:space="preserve"> </w:t>
      </w:r>
      <w:proofErr w:type="spellStart"/>
      <w:r w:rsidRPr="00552752">
        <w:rPr>
          <w:rFonts w:cs="Times New Roman"/>
          <w:lang w:val="fr-CA"/>
        </w:rPr>
        <w:t>Taypotat</w:t>
      </w:r>
      <w:proofErr w:type="spellEnd"/>
      <w:r w:rsidRPr="00552752">
        <w:rPr>
          <w:rFonts w:cs="Times New Roman"/>
          <w:lang w:val="fr-CA"/>
        </w:rPr>
        <w:t xml:space="preserve"> était chef pendant une grande partie des consultations ayant mené à </w:t>
      </w:r>
      <w:r w:rsidRPr="00552752">
        <w:rPr>
          <w:rFonts w:cs="Times New Roman"/>
          <w:lang w:val="fr-CA"/>
        </w:rPr>
        <w:lastRenderedPageBreak/>
        <w:t>l’élaboration du nouveau code électoral, il a contesté le processus de consultation, son inéligibilité, ainsi que la constitutionnalité de l’exigence relative au niveau de scolarité minimum de 12</w:t>
      </w:r>
      <w:r w:rsidRPr="00552752">
        <w:rPr>
          <w:rFonts w:cs="Times New Roman"/>
          <w:vertAlign w:val="superscript"/>
          <w:lang w:val="fr-CA"/>
        </w:rPr>
        <w:t>e</w:t>
      </w:r>
      <w:r w:rsidRPr="00552752">
        <w:rPr>
          <w:rFonts w:cs="Times New Roman"/>
          <w:lang w:val="fr-CA"/>
        </w:rPr>
        <w:t xml:space="preserve"> année. La seule question qu’il reste à trancher en l’espèce est celle de la constitutionnalité. </w:t>
      </w:r>
    </w:p>
    <w:p w:rsidR="0077539A" w:rsidRPr="00552752" w:rsidRDefault="0077539A" w:rsidP="0077539A">
      <w:pPr>
        <w:pStyle w:val="TitleTitre-AltT"/>
        <w:rPr>
          <w:rFonts w:cs="Times New Roman"/>
          <w:u w:val="single"/>
        </w:rPr>
      </w:pPr>
      <w:proofErr w:type="spellStart"/>
      <w:r w:rsidRPr="00552752">
        <w:rPr>
          <w:rFonts w:cs="Times New Roman"/>
          <w:u w:val="single"/>
        </w:rPr>
        <w:t>Contexte</w:t>
      </w:r>
      <w:proofErr w:type="spellEnd"/>
    </w:p>
    <w:p w:rsidR="0077539A" w:rsidRPr="00552752" w:rsidRDefault="0077539A" w:rsidP="0077539A">
      <w:pPr>
        <w:pStyle w:val="ParaNoNdepar-AltN"/>
        <w:tabs>
          <w:tab w:val="clear" w:pos="1166"/>
          <w:tab w:val="num" w:pos="1152"/>
        </w:tabs>
        <w:rPr>
          <w:rFonts w:cs="Times New Roman"/>
          <w:lang w:val="fr-CA"/>
        </w:rPr>
      </w:pPr>
      <w:r w:rsidRPr="00552752">
        <w:rPr>
          <w:rFonts w:cs="Times New Roman"/>
          <w:lang w:val="fr-CA"/>
        </w:rPr>
        <w:t xml:space="preserve">Le Ministère des Affaires indiennes et du Nord canadien a établi un processus suivant lequel les Premières Nations qui sont assujetties aux dispositions électorales de la </w:t>
      </w:r>
      <w:r w:rsidRPr="00552752">
        <w:rPr>
          <w:rFonts w:cs="Times New Roman"/>
          <w:i/>
          <w:iCs/>
          <w:lang w:val="fr-CA"/>
        </w:rPr>
        <w:t>Loi sur les Indiens</w:t>
      </w:r>
      <w:r w:rsidRPr="00552752">
        <w:rPr>
          <w:rFonts w:cs="Times New Roman"/>
          <w:lang w:val="fr-CA"/>
        </w:rPr>
        <w:t>,</w:t>
      </w:r>
      <w:r w:rsidRPr="00552752">
        <w:rPr>
          <w:rFonts w:cs="Times New Roman"/>
          <w:i/>
          <w:iCs/>
          <w:lang w:val="fr-CA"/>
        </w:rPr>
        <w:t xml:space="preserve"> </w:t>
      </w:r>
      <w:r w:rsidRPr="00552752">
        <w:rPr>
          <w:rFonts w:cs="Times New Roman"/>
          <w:lang w:val="fr-CA"/>
        </w:rPr>
        <w:t>L.R.C.</w:t>
      </w:r>
      <w:r>
        <w:rPr>
          <w:rFonts w:cs="Times New Roman"/>
          <w:lang w:val="fr-CA"/>
        </w:rPr>
        <w:t xml:space="preserve"> </w:t>
      </w:r>
      <w:r w:rsidRPr="00552752">
        <w:rPr>
          <w:rFonts w:cs="Times New Roman"/>
          <w:lang w:val="fr-CA"/>
        </w:rPr>
        <w:t>1985, c.</w:t>
      </w:r>
      <w:r>
        <w:rPr>
          <w:rFonts w:cs="Times New Roman"/>
          <w:lang w:val="fr-CA"/>
        </w:rPr>
        <w:t xml:space="preserve"> </w:t>
      </w:r>
      <w:r w:rsidRPr="00552752">
        <w:rPr>
          <w:rFonts w:cs="Times New Roman"/>
          <w:lang w:val="fr-CA"/>
        </w:rPr>
        <w:t>I</w:t>
      </w:r>
      <w:r>
        <w:rPr>
          <w:rFonts w:cs="Times New Roman"/>
          <w:lang w:val="fr-CA"/>
        </w:rPr>
        <w:t>-</w:t>
      </w:r>
      <w:r w:rsidRPr="00552752">
        <w:rPr>
          <w:rFonts w:cs="Times New Roman"/>
          <w:lang w:val="fr-CA"/>
        </w:rPr>
        <w:t>5, peuvent élire leurs représentants conformément à leur propre code électoral.</w:t>
      </w:r>
      <w:r>
        <w:rPr>
          <w:rFonts w:cs="Times New Roman"/>
          <w:lang w:val="fr-CA"/>
        </w:rPr>
        <w:t xml:space="preserve"> </w:t>
      </w:r>
      <w:r w:rsidRPr="00552752">
        <w:rPr>
          <w:rFonts w:cs="Times New Roman"/>
          <w:lang w:val="fr-CA"/>
        </w:rPr>
        <w:t xml:space="preserve">Avant que le ministre ne l’autorise à entreprendre cette démarche, une collectivité doit rédiger un code électoral qui satisfait à certaines exigences minimales, notamment celle d’être conforme à la </w:t>
      </w:r>
      <w:r w:rsidRPr="00552752">
        <w:rPr>
          <w:rFonts w:cs="Times New Roman"/>
          <w:i/>
          <w:iCs/>
          <w:lang w:val="fr-CA"/>
        </w:rPr>
        <w:t>Charte canadienne des droits et libertés</w:t>
      </w:r>
      <w:r w:rsidRPr="00552752">
        <w:rPr>
          <w:rFonts w:cs="Times New Roman"/>
          <w:iCs/>
          <w:lang w:val="fr-CA"/>
        </w:rPr>
        <w:t>.</w:t>
      </w:r>
      <w:r w:rsidRPr="00552752">
        <w:rPr>
          <w:rFonts w:cs="Times New Roman"/>
          <w:i/>
          <w:iCs/>
          <w:lang w:val="fr-CA"/>
        </w:rPr>
        <w:t xml:space="preserve"> </w:t>
      </w:r>
      <w:r w:rsidRPr="00552752">
        <w:rPr>
          <w:rFonts w:cs="Times New Roman"/>
          <w:lang w:val="fr-CA"/>
        </w:rPr>
        <w:t xml:space="preserve">La majorité des membres de la Première Nation ayant droit de vote doit appuyer le code. </w:t>
      </w:r>
    </w:p>
    <w:p w:rsidR="0077539A" w:rsidRPr="00552752" w:rsidRDefault="0077539A" w:rsidP="0077539A">
      <w:pPr>
        <w:pStyle w:val="ParaNoNdepar-AltN"/>
        <w:tabs>
          <w:tab w:val="clear" w:pos="1166"/>
          <w:tab w:val="num" w:pos="1152"/>
        </w:tabs>
        <w:rPr>
          <w:rFonts w:cs="Times New Roman"/>
          <w:lang w:val="fr-CA"/>
        </w:rPr>
      </w:pPr>
      <w:r w:rsidRPr="00552752">
        <w:rPr>
          <w:rFonts w:cs="Times New Roman"/>
          <w:lang w:val="fr-CA"/>
        </w:rPr>
        <w:t xml:space="preserve">Louis </w:t>
      </w:r>
      <w:proofErr w:type="spellStart"/>
      <w:r w:rsidRPr="00552752">
        <w:rPr>
          <w:rFonts w:cs="Times New Roman"/>
          <w:lang w:val="fr-CA"/>
        </w:rPr>
        <w:t>Taypotat</w:t>
      </w:r>
      <w:proofErr w:type="spellEnd"/>
      <w:r w:rsidRPr="00552752">
        <w:rPr>
          <w:rFonts w:cs="Times New Roman"/>
          <w:lang w:val="fr-CA"/>
        </w:rPr>
        <w:t xml:space="preserve"> est âgé de 76 ans. Il est membre de la </w:t>
      </w:r>
      <w:r w:rsidRPr="00552752">
        <w:rPr>
          <w:rFonts w:cs="Times New Roman"/>
          <w:lang w:val="fr-CA" w:eastAsia="fr-CA"/>
        </w:rPr>
        <w:t xml:space="preserve">Première Nation de </w:t>
      </w:r>
      <w:proofErr w:type="spellStart"/>
      <w:r w:rsidRPr="00552752">
        <w:rPr>
          <w:rFonts w:cs="Times New Roman"/>
          <w:lang w:val="fr-CA" w:eastAsia="fr-CA"/>
        </w:rPr>
        <w:t>Kahkewistahaw</w:t>
      </w:r>
      <w:proofErr w:type="spellEnd"/>
      <w:r w:rsidRPr="00552752">
        <w:rPr>
          <w:rFonts w:cs="Times New Roman"/>
          <w:lang w:val="fr-CA"/>
        </w:rPr>
        <w:t>, une collectivité de quelque 2000</w:t>
      </w:r>
      <w:r>
        <w:rPr>
          <w:rFonts w:cs="Times New Roman"/>
          <w:lang w:val="fr-CA"/>
        </w:rPr>
        <w:t xml:space="preserve"> </w:t>
      </w:r>
      <w:r w:rsidRPr="00552752">
        <w:rPr>
          <w:rFonts w:cs="Times New Roman"/>
          <w:lang w:val="fr-CA"/>
        </w:rPr>
        <w:t>personnes de la Saskatchewan. Il possède une 10</w:t>
      </w:r>
      <w:r w:rsidRPr="00552752">
        <w:rPr>
          <w:rFonts w:cs="Times New Roman"/>
          <w:vertAlign w:val="superscript"/>
          <w:lang w:val="fr-CA"/>
        </w:rPr>
        <w:t>e</w:t>
      </w:r>
      <w:r>
        <w:rPr>
          <w:rFonts w:cs="Times New Roman"/>
          <w:lang w:val="fr-CA"/>
        </w:rPr>
        <w:t xml:space="preserve"> </w:t>
      </w:r>
      <w:r w:rsidRPr="00552752">
        <w:rPr>
          <w:rFonts w:cs="Times New Roman"/>
          <w:lang w:val="fr-CA"/>
        </w:rPr>
        <w:t xml:space="preserve">année et a reçu un diplôme honorifique de la Saskatchewan </w:t>
      </w:r>
      <w:proofErr w:type="spellStart"/>
      <w:r w:rsidRPr="00552752">
        <w:rPr>
          <w:rFonts w:cs="Times New Roman"/>
          <w:lang w:val="fr-CA"/>
        </w:rPr>
        <w:t>Indian</w:t>
      </w:r>
      <w:proofErr w:type="spellEnd"/>
      <w:r w:rsidRPr="00552752">
        <w:rPr>
          <w:rFonts w:cs="Times New Roman"/>
          <w:lang w:val="fr-CA"/>
        </w:rPr>
        <w:t xml:space="preserve"> Institute of </w:t>
      </w:r>
      <w:proofErr w:type="spellStart"/>
      <w:r w:rsidRPr="00552752">
        <w:rPr>
          <w:rFonts w:cs="Times New Roman"/>
          <w:lang w:val="fr-CA"/>
        </w:rPr>
        <w:t>Technology</w:t>
      </w:r>
      <w:proofErr w:type="spellEnd"/>
      <w:r w:rsidRPr="00552752">
        <w:rPr>
          <w:rFonts w:cs="Times New Roman"/>
          <w:lang w:val="fr-CA"/>
        </w:rPr>
        <w:t xml:space="preserve"> en reconnaissance de services rendus à sa communauté. M.</w:t>
      </w:r>
      <w:r>
        <w:rPr>
          <w:rFonts w:cs="Times New Roman"/>
          <w:lang w:val="fr-CA"/>
        </w:rPr>
        <w:t xml:space="preserve"> </w:t>
      </w:r>
      <w:proofErr w:type="spellStart"/>
      <w:r w:rsidRPr="00552752">
        <w:rPr>
          <w:rFonts w:cs="Times New Roman"/>
          <w:lang w:val="fr-CA"/>
        </w:rPr>
        <w:t>Taypotat</w:t>
      </w:r>
      <w:proofErr w:type="spellEnd"/>
      <w:r w:rsidRPr="00552752">
        <w:rPr>
          <w:rFonts w:cs="Times New Roman"/>
          <w:lang w:val="fr-CA"/>
        </w:rPr>
        <w:t xml:space="preserve"> a occupé les fonctions de chef élu de la Première Nation de </w:t>
      </w:r>
      <w:proofErr w:type="spellStart"/>
      <w:r w:rsidRPr="00552752">
        <w:rPr>
          <w:rFonts w:cs="Times New Roman"/>
          <w:lang w:val="fr-CA"/>
        </w:rPr>
        <w:t>Kahkewistahaw</w:t>
      </w:r>
      <w:proofErr w:type="spellEnd"/>
      <w:r w:rsidRPr="00552752">
        <w:rPr>
          <w:rFonts w:cs="Times New Roman"/>
          <w:lang w:val="fr-CA"/>
        </w:rPr>
        <w:t xml:space="preserve"> pendant plus de 27</w:t>
      </w:r>
      <w:r>
        <w:rPr>
          <w:rFonts w:cs="Times New Roman"/>
          <w:lang w:val="fr-CA"/>
        </w:rPr>
        <w:t xml:space="preserve"> </w:t>
      </w:r>
      <w:r w:rsidRPr="00552752">
        <w:rPr>
          <w:rFonts w:cs="Times New Roman"/>
          <w:lang w:val="fr-CA"/>
        </w:rPr>
        <w:t xml:space="preserve">ans — de 1973 à 1989, de 1992 à 1993, puis de 1997 à 2007. Ces élections ont été organisées conformément à la procédure prévue par la </w:t>
      </w:r>
      <w:r w:rsidRPr="00552752">
        <w:rPr>
          <w:rFonts w:cs="Times New Roman"/>
          <w:i/>
          <w:iCs/>
          <w:lang w:val="fr-CA"/>
        </w:rPr>
        <w:t>Loi sur les Indiens</w:t>
      </w:r>
      <w:r w:rsidRPr="00552752">
        <w:rPr>
          <w:rFonts w:cs="Times New Roman"/>
          <w:lang w:val="fr-CA"/>
        </w:rPr>
        <w:t xml:space="preserve">. </w:t>
      </w:r>
    </w:p>
    <w:p w:rsidR="0077539A" w:rsidRPr="00552752" w:rsidRDefault="0077539A" w:rsidP="0077539A">
      <w:pPr>
        <w:pStyle w:val="ParaNoNdepar-AltN"/>
        <w:tabs>
          <w:tab w:val="clear" w:pos="1166"/>
          <w:tab w:val="num" w:pos="1152"/>
        </w:tabs>
        <w:rPr>
          <w:rFonts w:cs="Times New Roman"/>
          <w:lang w:val="fr-CA"/>
        </w:rPr>
      </w:pPr>
      <w:r w:rsidRPr="00552752">
        <w:rPr>
          <w:rFonts w:cs="Times New Roman"/>
          <w:lang w:val="fr-CA"/>
        </w:rPr>
        <w:lastRenderedPageBreak/>
        <w:t>À la fin des années</w:t>
      </w:r>
      <w:r>
        <w:rPr>
          <w:rFonts w:cs="Times New Roman"/>
          <w:lang w:val="fr-CA"/>
        </w:rPr>
        <w:t xml:space="preserve"> </w:t>
      </w:r>
      <w:r w:rsidRPr="00552752">
        <w:rPr>
          <w:rFonts w:cs="Times New Roman"/>
          <w:lang w:val="fr-CA"/>
        </w:rPr>
        <w:t xml:space="preserve">90, la Première Nation de </w:t>
      </w:r>
      <w:proofErr w:type="spellStart"/>
      <w:r w:rsidRPr="00552752">
        <w:rPr>
          <w:rFonts w:cs="Times New Roman"/>
          <w:lang w:val="fr-CA"/>
        </w:rPr>
        <w:t>Kahkewistahaw</w:t>
      </w:r>
      <w:proofErr w:type="spellEnd"/>
      <w:r w:rsidRPr="00552752">
        <w:rPr>
          <w:rFonts w:cs="Times New Roman"/>
          <w:lang w:val="fr-CA"/>
        </w:rPr>
        <w:t xml:space="preserve"> a entrepris l’élaboration de son propre code électoral communautaire. Le processus de consultation des membres de la Première Nation en vue d’élaborer et de ratifier le code a duré 13</w:t>
      </w:r>
      <w:r>
        <w:rPr>
          <w:rFonts w:cs="Times New Roman"/>
          <w:lang w:val="fr-CA"/>
        </w:rPr>
        <w:t xml:space="preserve"> </w:t>
      </w:r>
      <w:r w:rsidRPr="00552752">
        <w:rPr>
          <w:rFonts w:cs="Times New Roman"/>
          <w:lang w:val="fr-CA"/>
        </w:rPr>
        <w:t xml:space="preserve">ans. Une bonne partie de ce processus, qui s’est déroulé de façon publique et transparente, a été menée sous la direction de Louis </w:t>
      </w:r>
      <w:proofErr w:type="spellStart"/>
      <w:r w:rsidRPr="00552752">
        <w:rPr>
          <w:rFonts w:cs="Times New Roman"/>
          <w:lang w:val="fr-CA"/>
        </w:rPr>
        <w:t>Taypotat</w:t>
      </w:r>
      <w:proofErr w:type="spellEnd"/>
      <w:r w:rsidRPr="00552752">
        <w:rPr>
          <w:rFonts w:cs="Times New Roman"/>
          <w:lang w:val="fr-CA"/>
        </w:rPr>
        <w:t xml:space="preserve">, en sa qualité de chef. </w:t>
      </w:r>
    </w:p>
    <w:p w:rsidR="0077539A" w:rsidRPr="00552752" w:rsidRDefault="0077539A" w:rsidP="0077539A">
      <w:pPr>
        <w:pStyle w:val="ParaNoNdepar-AltN"/>
        <w:tabs>
          <w:tab w:val="clear" w:pos="1166"/>
          <w:tab w:val="num" w:pos="1152"/>
        </w:tabs>
        <w:spacing w:before="240"/>
        <w:rPr>
          <w:rFonts w:cs="Times New Roman"/>
          <w:lang w:val="fr-CA"/>
        </w:rPr>
      </w:pPr>
      <w:r w:rsidRPr="00552752">
        <w:rPr>
          <w:rFonts w:cs="Times New Roman"/>
          <w:lang w:val="fr-CA"/>
        </w:rPr>
        <w:t>Une première ébauche du code a été rédigée en 1998. Elle comprenait une disposition exigeant que les candidats aient [</w:t>
      </w:r>
      <w:r w:rsidRPr="00552752">
        <w:rPr>
          <w:rFonts w:cs="Times New Roman"/>
          <w:smallCaps/>
          <w:lang w:val="fr-CA"/>
        </w:rPr>
        <w:t>traduction</w:t>
      </w:r>
      <w:r w:rsidRPr="00552752">
        <w:rPr>
          <w:rFonts w:cs="Times New Roman"/>
          <w:lang w:val="fr-CA"/>
        </w:rPr>
        <w:t xml:space="preserve">] </w:t>
      </w:r>
      <w:r>
        <w:rPr>
          <w:rFonts w:cs="Times New Roman"/>
          <w:lang w:val="fr-CA"/>
        </w:rPr>
        <w:t>« </w:t>
      </w:r>
      <w:r w:rsidRPr="00552752">
        <w:rPr>
          <w:rFonts w:cs="Times New Roman"/>
          <w:lang w:val="fr-CA"/>
        </w:rPr>
        <w:t>un niveau de scolarité po</w:t>
      </w:r>
      <w:r w:rsidR="001A732E">
        <w:rPr>
          <w:rFonts w:cs="Times New Roman"/>
          <w:lang w:val="fr-CA"/>
        </w:rPr>
        <w:t>stsecondaire ou une formation/</w:t>
      </w:r>
      <w:r w:rsidRPr="00552752">
        <w:rPr>
          <w:rFonts w:cs="Times New Roman"/>
          <w:lang w:val="fr-CA"/>
        </w:rPr>
        <w:t>expérience équivalente</w:t>
      </w:r>
      <w:r>
        <w:rPr>
          <w:rFonts w:cs="Times New Roman"/>
          <w:lang w:val="fr-CA"/>
        </w:rPr>
        <w:t> »</w:t>
      </w:r>
      <w:r w:rsidRPr="00552752">
        <w:rPr>
          <w:rFonts w:cs="Times New Roman"/>
          <w:lang w:val="fr-CA"/>
        </w:rPr>
        <w:t xml:space="preserve"> pour être éligibles au poste de chef ou de conseiller de la bande. Les versions subséquentes, y compris la version définitive, précisaient que les candidats devaient avoir un niveau de scolarité minimum de 12</w:t>
      </w:r>
      <w:r w:rsidRPr="00552752">
        <w:rPr>
          <w:rFonts w:cs="Times New Roman"/>
          <w:vertAlign w:val="superscript"/>
          <w:lang w:val="fr-CA"/>
        </w:rPr>
        <w:t>e</w:t>
      </w:r>
      <w:r>
        <w:rPr>
          <w:rFonts w:cs="Times New Roman"/>
          <w:lang w:val="fr-CA"/>
        </w:rPr>
        <w:t xml:space="preserve"> </w:t>
      </w:r>
      <w:r w:rsidRPr="00552752">
        <w:rPr>
          <w:rFonts w:cs="Times New Roman"/>
          <w:lang w:val="fr-CA"/>
        </w:rPr>
        <w:t>année (</w:t>
      </w:r>
      <w:proofErr w:type="spellStart"/>
      <w:r w:rsidRPr="00552752">
        <w:rPr>
          <w:rFonts w:cs="Times New Roman"/>
          <w:i/>
          <w:iCs/>
          <w:lang w:val="fr-CA"/>
        </w:rPr>
        <w:t>Kahkewistahaw</w:t>
      </w:r>
      <w:proofErr w:type="spellEnd"/>
      <w:r w:rsidRPr="00552752">
        <w:rPr>
          <w:rFonts w:cs="Times New Roman"/>
          <w:i/>
          <w:iCs/>
          <w:lang w:val="fr-CA"/>
        </w:rPr>
        <w:t xml:space="preserve"> </w:t>
      </w:r>
      <w:proofErr w:type="spellStart"/>
      <w:r w:rsidRPr="00552752">
        <w:rPr>
          <w:rFonts w:cs="Times New Roman"/>
          <w:i/>
          <w:iCs/>
          <w:lang w:val="fr-CA"/>
        </w:rPr>
        <w:t>Election</w:t>
      </w:r>
      <w:proofErr w:type="spellEnd"/>
      <w:r w:rsidRPr="00552752">
        <w:rPr>
          <w:rFonts w:cs="Times New Roman"/>
          <w:i/>
          <w:iCs/>
          <w:lang w:val="fr-CA"/>
        </w:rPr>
        <w:t xml:space="preserve"> </w:t>
      </w:r>
      <w:proofErr w:type="spellStart"/>
      <w:r w:rsidRPr="00552752">
        <w:rPr>
          <w:rFonts w:cs="Times New Roman"/>
          <w:i/>
          <w:iCs/>
          <w:lang w:val="fr-CA"/>
        </w:rPr>
        <w:t>Act</w:t>
      </w:r>
      <w:proofErr w:type="spellEnd"/>
      <w:r w:rsidRPr="00552752">
        <w:rPr>
          <w:rFonts w:cs="Times New Roman"/>
          <w:iCs/>
          <w:lang w:val="fr-CA"/>
        </w:rPr>
        <w:t xml:space="preserve">, </w:t>
      </w:r>
      <w:r w:rsidRPr="00552752">
        <w:rPr>
          <w:rFonts w:cs="Times New Roman"/>
          <w:lang w:val="fr-CA"/>
        </w:rPr>
        <w:t>al.</w:t>
      </w:r>
      <w:r>
        <w:rPr>
          <w:rFonts w:cs="Times New Roman"/>
          <w:lang w:val="fr-CA"/>
        </w:rPr>
        <w:t xml:space="preserve"> </w:t>
      </w:r>
      <w:r w:rsidRPr="00552752">
        <w:rPr>
          <w:rFonts w:cs="Times New Roman"/>
          <w:lang w:val="fr-CA"/>
        </w:rPr>
        <w:t>9.03</w:t>
      </w:r>
      <w:r w:rsidR="00D418C9">
        <w:rPr>
          <w:rFonts w:cs="Times New Roman"/>
          <w:lang w:val="fr-CA"/>
        </w:rPr>
        <w:t>(</w:t>
      </w:r>
      <w:r w:rsidRPr="001A732E">
        <w:rPr>
          <w:rFonts w:cs="Times New Roman"/>
          <w:iCs/>
          <w:lang w:val="fr-CA"/>
        </w:rPr>
        <w:t>c</w:t>
      </w:r>
      <w:r w:rsidRPr="00552752">
        <w:rPr>
          <w:rFonts w:cs="Times New Roman"/>
          <w:lang w:val="fr-CA"/>
        </w:rPr>
        <w:t>)). Pour être autorisé à se porter candidat lors d’une élection, l’intéressé doit démontrer au fonctionnaire électoral qu’il possède le niveau de scolarité exigé (</w:t>
      </w:r>
      <w:proofErr w:type="spellStart"/>
      <w:r w:rsidRPr="00552752">
        <w:rPr>
          <w:rFonts w:cs="Times New Roman"/>
          <w:i/>
          <w:iCs/>
          <w:lang w:val="fr-CA"/>
        </w:rPr>
        <w:t>Kahkewistahaw</w:t>
      </w:r>
      <w:proofErr w:type="spellEnd"/>
      <w:r w:rsidRPr="00552752">
        <w:rPr>
          <w:rFonts w:cs="Times New Roman"/>
          <w:i/>
          <w:iCs/>
          <w:lang w:val="fr-CA"/>
        </w:rPr>
        <w:t xml:space="preserve"> </w:t>
      </w:r>
      <w:proofErr w:type="spellStart"/>
      <w:r w:rsidRPr="00552752">
        <w:rPr>
          <w:rFonts w:cs="Times New Roman"/>
          <w:i/>
          <w:iCs/>
          <w:lang w:val="fr-CA"/>
        </w:rPr>
        <w:t>Election</w:t>
      </w:r>
      <w:proofErr w:type="spellEnd"/>
      <w:r w:rsidRPr="00552752">
        <w:rPr>
          <w:rFonts w:cs="Times New Roman"/>
          <w:i/>
          <w:iCs/>
          <w:lang w:val="fr-CA"/>
        </w:rPr>
        <w:t xml:space="preserve"> </w:t>
      </w:r>
      <w:proofErr w:type="spellStart"/>
      <w:r w:rsidRPr="00552752">
        <w:rPr>
          <w:rFonts w:cs="Times New Roman"/>
          <w:i/>
          <w:iCs/>
          <w:lang w:val="fr-CA"/>
        </w:rPr>
        <w:t>Act</w:t>
      </w:r>
      <w:proofErr w:type="spellEnd"/>
      <w:r w:rsidRPr="00552752">
        <w:rPr>
          <w:rFonts w:cs="Times New Roman"/>
          <w:iCs/>
          <w:lang w:val="fr-CA"/>
        </w:rPr>
        <w:t>,</w:t>
      </w:r>
      <w:r w:rsidRPr="00552752">
        <w:rPr>
          <w:rFonts w:cs="Times New Roman"/>
          <w:lang w:val="fr-CA"/>
        </w:rPr>
        <w:t xml:space="preserve"> al.</w:t>
      </w:r>
      <w:r>
        <w:rPr>
          <w:rFonts w:cs="Times New Roman"/>
          <w:lang w:val="fr-CA"/>
        </w:rPr>
        <w:t xml:space="preserve"> </w:t>
      </w:r>
      <w:r w:rsidRPr="00552752">
        <w:rPr>
          <w:rFonts w:cs="Times New Roman"/>
          <w:lang w:val="fr-CA"/>
        </w:rPr>
        <w:t>10.01</w:t>
      </w:r>
      <w:r w:rsidR="00D418C9">
        <w:rPr>
          <w:rFonts w:cs="Times New Roman"/>
          <w:lang w:val="fr-CA"/>
        </w:rPr>
        <w:t>(</w:t>
      </w:r>
      <w:r w:rsidRPr="001A732E">
        <w:rPr>
          <w:rFonts w:cs="Times New Roman"/>
          <w:iCs/>
          <w:lang w:val="fr-CA"/>
        </w:rPr>
        <w:t>d</w:t>
      </w:r>
      <w:r w:rsidRPr="00552752">
        <w:rPr>
          <w:rFonts w:cs="Times New Roman"/>
          <w:lang w:val="fr-CA"/>
        </w:rPr>
        <w:t xml:space="preserve">)). </w:t>
      </w:r>
    </w:p>
    <w:p w:rsidR="0077539A" w:rsidRPr="00552752" w:rsidRDefault="0077539A" w:rsidP="0077539A">
      <w:pPr>
        <w:pStyle w:val="ParaNoNdepar-AltN"/>
        <w:tabs>
          <w:tab w:val="clear" w:pos="1166"/>
          <w:tab w:val="num" w:pos="1152"/>
        </w:tabs>
        <w:rPr>
          <w:rFonts w:cs="Times New Roman"/>
          <w:lang w:val="fr-CA"/>
        </w:rPr>
      </w:pPr>
      <w:r w:rsidRPr="00552752">
        <w:rPr>
          <w:rFonts w:cs="Times New Roman"/>
          <w:lang w:val="fr-CA"/>
        </w:rPr>
        <w:t xml:space="preserve">Un premier vote de ratification de la version définitive du code, la </w:t>
      </w:r>
      <w:proofErr w:type="spellStart"/>
      <w:r w:rsidRPr="00552752">
        <w:rPr>
          <w:rFonts w:cs="Times New Roman"/>
          <w:i/>
          <w:iCs/>
          <w:lang w:val="fr-CA"/>
        </w:rPr>
        <w:t>Kahkewistahaw</w:t>
      </w:r>
      <w:proofErr w:type="spellEnd"/>
      <w:r w:rsidRPr="00552752">
        <w:rPr>
          <w:rFonts w:cs="Times New Roman"/>
          <w:i/>
          <w:iCs/>
          <w:lang w:val="fr-CA"/>
        </w:rPr>
        <w:t xml:space="preserve"> </w:t>
      </w:r>
      <w:proofErr w:type="spellStart"/>
      <w:r w:rsidRPr="00552752">
        <w:rPr>
          <w:rFonts w:cs="Times New Roman"/>
          <w:i/>
          <w:iCs/>
          <w:lang w:val="fr-CA"/>
        </w:rPr>
        <w:t>Election</w:t>
      </w:r>
      <w:proofErr w:type="spellEnd"/>
      <w:r w:rsidRPr="00552752">
        <w:rPr>
          <w:rFonts w:cs="Times New Roman"/>
          <w:i/>
          <w:iCs/>
          <w:lang w:val="fr-CA"/>
        </w:rPr>
        <w:t xml:space="preserve"> </w:t>
      </w:r>
      <w:proofErr w:type="spellStart"/>
      <w:r w:rsidRPr="00552752">
        <w:rPr>
          <w:rFonts w:cs="Times New Roman"/>
          <w:i/>
          <w:iCs/>
          <w:lang w:val="fr-CA"/>
        </w:rPr>
        <w:t>Act</w:t>
      </w:r>
      <w:proofErr w:type="spellEnd"/>
      <w:r w:rsidRPr="00552752">
        <w:rPr>
          <w:rFonts w:cs="Times New Roman"/>
          <w:lang w:val="fr-CA"/>
        </w:rPr>
        <w:t xml:space="preserve">, a eu lieu en septembre 2008, alors que Louis </w:t>
      </w:r>
      <w:proofErr w:type="spellStart"/>
      <w:r w:rsidRPr="00552752">
        <w:rPr>
          <w:rFonts w:cs="Times New Roman"/>
          <w:lang w:val="fr-CA"/>
        </w:rPr>
        <w:t>Taypotat</w:t>
      </w:r>
      <w:proofErr w:type="spellEnd"/>
      <w:r w:rsidRPr="00552752">
        <w:rPr>
          <w:rFonts w:cs="Times New Roman"/>
          <w:lang w:val="fr-CA"/>
        </w:rPr>
        <w:t xml:space="preserve"> était chef. La participation électorale était trop faible pour que le Ministère considère que l’appui nécessaire avait été obtenu. Un second vote de ratification a eu lieu en mars 2009. Le taux de participation se situait encore en deçà du minimum exigé par le Ministère. Par conséquent, celui</w:t>
      </w:r>
      <w:r>
        <w:rPr>
          <w:rFonts w:cs="Times New Roman"/>
          <w:lang w:val="fr-CA"/>
        </w:rPr>
        <w:t>-</w:t>
      </w:r>
      <w:r w:rsidRPr="00552752">
        <w:rPr>
          <w:rFonts w:cs="Times New Roman"/>
          <w:lang w:val="fr-CA"/>
        </w:rPr>
        <w:t xml:space="preserve">ci a autorisé une </w:t>
      </w:r>
      <w:r>
        <w:rPr>
          <w:rFonts w:cs="Times New Roman"/>
          <w:lang w:val="fr-CA"/>
        </w:rPr>
        <w:t>« </w:t>
      </w:r>
      <w:r w:rsidRPr="00552752">
        <w:rPr>
          <w:rFonts w:cs="Times New Roman"/>
          <w:lang w:val="fr-CA"/>
        </w:rPr>
        <w:t>prolongation</w:t>
      </w:r>
      <w:r>
        <w:rPr>
          <w:rFonts w:cs="Times New Roman"/>
          <w:lang w:val="fr-CA"/>
        </w:rPr>
        <w:t> »</w:t>
      </w:r>
      <w:r w:rsidRPr="00552752">
        <w:rPr>
          <w:rFonts w:cs="Times New Roman"/>
          <w:lang w:val="fr-CA"/>
        </w:rPr>
        <w:t xml:space="preserve"> de ce 2</w:t>
      </w:r>
      <w:r w:rsidRPr="00552752">
        <w:rPr>
          <w:rFonts w:cs="Times New Roman"/>
          <w:vertAlign w:val="superscript"/>
          <w:lang w:val="fr-CA"/>
        </w:rPr>
        <w:t>e</w:t>
      </w:r>
      <w:r w:rsidRPr="00552752">
        <w:rPr>
          <w:rFonts w:cs="Times New Roman"/>
          <w:lang w:val="fr-CA"/>
        </w:rPr>
        <w:t xml:space="preserve"> vote. Pour assurer l’intégrité du processus, seuls les membres qui n’avaient pas participé au </w:t>
      </w:r>
      <w:r w:rsidRPr="00552752">
        <w:rPr>
          <w:rFonts w:cs="Times New Roman"/>
          <w:lang w:val="fr-CA"/>
        </w:rPr>
        <w:lastRenderedPageBreak/>
        <w:t xml:space="preserve">second vote avaient le droit de voter lors de la prolongation du vote qui s’est tenue en janvier 2010. </w:t>
      </w:r>
    </w:p>
    <w:p w:rsidR="0077539A" w:rsidRPr="00552752" w:rsidRDefault="0077539A" w:rsidP="0077539A">
      <w:pPr>
        <w:pStyle w:val="ParaNoNdepar-AltN"/>
        <w:tabs>
          <w:tab w:val="clear" w:pos="1166"/>
          <w:tab w:val="num" w:pos="1152"/>
        </w:tabs>
        <w:rPr>
          <w:rFonts w:cs="Times New Roman"/>
          <w:lang w:val="fr-CA"/>
        </w:rPr>
      </w:pPr>
      <w:r w:rsidRPr="00552752">
        <w:rPr>
          <w:rFonts w:cs="Times New Roman"/>
          <w:lang w:val="fr-CA"/>
        </w:rPr>
        <w:t xml:space="preserve">La prolongation du vote a permis à la </w:t>
      </w:r>
      <w:proofErr w:type="spellStart"/>
      <w:r w:rsidRPr="00552752">
        <w:rPr>
          <w:rFonts w:cs="Times New Roman"/>
          <w:i/>
          <w:lang w:val="fr-CA"/>
        </w:rPr>
        <w:t>Kahkewistahaw</w:t>
      </w:r>
      <w:proofErr w:type="spellEnd"/>
      <w:r w:rsidRPr="00552752">
        <w:rPr>
          <w:rFonts w:cs="Times New Roman"/>
          <w:i/>
          <w:lang w:val="fr-CA"/>
        </w:rPr>
        <w:t xml:space="preserve"> </w:t>
      </w:r>
      <w:proofErr w:type="spellStart"/>
      <w:r w:rsidRPr="00552752">
        <w:rPr>
          <w:rFonts w:cs="Times New Roman"/>
          <w:i/>
          <w:lang w:val="fr-CA"/>
        </w:rPr>
        <w:t>Election</w:t>
      </w:r>
      <w:proofErr w:type="spellEnd"/>
      <w:r w:rsidRPr="00552752">
        <w:rPr>
          <w:rFonts w:cs="Times New Roman"/>
          <w:i/>
          <w:lang w:val="fr-CA"/>
        </w:rPr>
        <w:t xml:space="preserve"> </w:t>
      </w:r>
      <w:proofErr w:type="spellStart"/>
      <w:r w:rsidRPr="00552752">
        <w:rPr>
          <w:rFonts w:cs="Times New Roman"/>
          <w:i/>
          <w:lang w:val="fr-CA"/>
        </w:rPr>
        <w:t>Act</w:t>
      </w:r>
      <w:proofErr w:type="spellEnd"/>
      <w:r w:rsidRPr="00552752">
        <w:rPr>
          <w:rFonts w:cs="Times New Roman"/>
          <w:lang w:val="fr-CA"/>
        </w:rPr>
        <w:t xml:space="preserve"> de recueillir entre 84 et 85 pour </w:t>
      </w:r>
      <w:r w:rsidR="00C51679">
        <w:rPr>
          <w:rFonts w:cs="Times New Roman"/>
          <w:lang w:val="fr-CA"/>
        </w:rPr>
        <w:t>100</w:t>
      </w:r>
      <w:r w:rsidRPr="00552752">
        <w:rPr>
          <w:rFonts w:cs="Times New Roman"/>
          <w:lang w:val="fr-CA"/>
        </w:rPr>
        <w:t xml:space="preserve"> d’appuis. Ainsi, le 18</w:t>
      </w:r>
      <w:r>
        <w:rPr>
          <w:rFonts w:cs="Times New Roman"/>
          <w:lang w:val="fr-CA"/>
        </w:rPr>
        <w:t xml:space="preserve"> </w:t>
      </w:r>
      <w:r w:rsidRPr="00552752">
        <w:rPr>
          <w:rFonts w:cs="Times New Roman"/>
          <w:lang w:val="fr-CA"/>
        </w:rPr>
        <w:t xml:space="preserve">février 2011, le Ministère a soustrait la Première Nation de </w:t>
      </w:r>
      <w:proofErr w:type="spellStart"/>
      <w:r w:rsidRPr="00552752">
        <w:rPr>
          <w:rFonts w:cs="Times New Roman"/>
          <w:lang w:val="fr-CA"/>
        </w:rPr>
        <w:t>Kahkewistahaw</w:t>
      </w:r>
      <w:proofErr w:type="spellEnd"/>
      <w:r w:rsidRPr="00552752">
        <w:rPr>
          <w:rFonts w:cs="Times New Roman"/>
          <w:lang w:val="fr-CA"/>
        </w:rPr>
        <w:t xml:space="preserve"> à l’application des dispositions électorales de la </w:t>
      </w:r>
      <w:r w:rsidRPr="00552752">
        <w:rPr>
          <w:rFonts w:cs="Times New Roman"/>
          <w:i/>
          <w:iCs/>
          <w:lang w:val="fr-CA"/>
        </w:rPr>
        <w:t>Loi sur les Indiens</w:t>
      </w:r>
      <w:r w:rsidRPr="00552752">
        <w:rPr>
          <w:rFonts w:cs="Times New Roman"/>
          <w:lang w:val="fr-CA"/>
        </w:rPr>
        <w:t xml:space="preserve"> et l’a autorisée à appliquer désormais sa propre loi électorale.</w:t>
      </w:r>
      <w:r w:rsidRPr="00552752">
        <w:rPr>
          <w:rFonts w:cs="Times New Roman"/>
          <w:i/>
          <w:iCs/>
          <w:lang w:val="fr-CA"/>
        </w:rPr>
        <w:t xml:space="preserve"> </w:t>
      </w:r>
    </w:p>
    <w:p w:rsidR="0077539A" w:rsidRPr="00552752" w:rsidRDefault="0077539A" w:rsidP="0077539A">
      <w:pPr>
        <w:pStyle w:val="ParaNoNdepar-AltN"/>
        <w:tabs>
          <w:tab w:val="clear" w:pos="1166"/>
          <w:tab w:val="num" w:pos="1152"/>
        </w:tabs>
        <w:rPr>
          <w:rFonts w:cs="Times New Roman"/>
          <w:lang w:val="fr-CA"/>
        </w:rPr>
      </w:pPr>
      <w:r w:rsidRPr="00552752">
        <w:rPr>
          <w:rFonts w:cs="Times New Roman"/>
          <w:lang w:val="fr-CA"/>
        </w:rPr>
        <w:t xml:space="preserve">La première élection organisée sous le régime de la </w:t>
      </w:r>
      <w:proofErr w:type="spellStart"/>
      <w:r w:rsidRPr="00552752">
        <w:rPr>
          <w:rFonts w:cs="Times New Roman"/>
          <w:i/>
          <w:lang w:val="fr-CA"/>
        </w:rPr>
        <w:t>Kahkewistahaw</w:t>
      </w:r>
      <w:proofErr w:type="spellEnd"/>
      <w:r w:rsidRPr="00552752">
        <w:rPr>
          <w:rFonts w:cs="Times New Roman"/>
          <w:i/>
          <w:lang w:val="fr-CA"/>
        </w:rPr>
        <w:t xml:space="preserve"> </w:t>
      </w:r>
      <w:proofErr w:type="spellStart"/>
      <w:r w:rsidRPr="00552752">
        <w:rPr>
          <w:rFonts w:cs="Times New Roman"/>
          <w:i/>
          <w:lang w:val="fr-CA"/>
        </w:rPr>
        <w:t>Election</w:t>
      </w:r>
      <w:proofErr w:type="spellEnd"/>
      <w:r w:rsidRPr="00552752">
        <w:rPr>
          <w:rFonts w:cs="Times New Roman"/>
          <w:i/>
          <w:lang w:val="fr-CA"/>
        </w:rPr>
        <w:t xml:space="preserve"> </w:t>
      </w:r>
      <w:proofErr w:type="spellStart"/>
      <w:r w:rsidRPr="00552752">
        <w:rPr>
          <w:rFonts w:cs="Times New Roman"/>
          <w:i/>
          <w:lang w:val="fr-CA"/>
        </w:rPr>
        <w:t>Act</w:t>
      </w:r>
      <w:proofErr w:type="spellEnd"/>
      <w:r w:rsidRPr="00552752">
        <w:rPr>
          <w:rFonts w:cs="Times New Roman"/>
          <w:lang w:val="fr-CA"/>
        </w:rPr>
        <w:t xml:space="preserve"> devait avoir lieu le 13</w:t>
      </w:r>
      <w:r>
        <w:rPr>
          <w:rFonts w:cs="Times New Roman"/>
          <w:lang w:val="fr-CA"/>
        </w:rPr>
        <w:t xml:space="preserve"> </w:t>
      </w:r>
      <w:r w:rsidRPr="00552752">
        <w:rPr>
          <w:rFonts w:cs="Times New Roman"/>
          <w:lang w:val="fr-CA"/>
        </w:rPr>
        <w:t xml:space="preserve">mai 2011. Louis </w:t>
      </w:r>
      <w:proofErr w:type="spellStart"/>
      <w:r w:rsidRPr="00552752">
        <w:rPr>
          <w:rFonts w:cs="Times New Roman"/>
          <w:lang w:val="fr-CA"/>
        </w:rPr>
        <w:t>Taypotat</w:t>
      </w:r>
      <w:proofErr w:type="spellEnd"/>
      <w:r w:rsidRPr="00552752">
        <w:rPr>
          <w:rFonts w:cs="Times New Roman"/>
          <w:lang w:val="fr-CA"/>
        </w:rPr>
        <w:t xml:space="preserve"> a soumis des documents afin de pouvoir briguer le poste de chef, mais le fonctionnaire électoral a refusé de donner son aval à sa candidature parce que M.</w:t>
      </w:r>
      <w:r>
        <w:rPr>
          <w:rFonts w:cs="Times New Roman"/>
          <w:lang w:val="fr-CA"/>
        </w:rPr>
        <w:t xml:space="preserve"> </w:t>
      </w:r>
      <w:proofErr w:type="spellStart"/>
      <w:r w:rsidRPr="00552752">
        <w:rPr>
          <w:rFonts w:cs="Times New Roman"/>
          <w:lang w:val="fr-CA"/>
        </w:rPr>
        <w:t>Taypotat</w:t>
      </w:r>
      <w:proofErr w:type="spellEnd"/>
      <w:r w:rsidRPr="00552752">
        <w:rPr>
          <w:rFonts w:cs="Times New Roman"/>
          <w:lang w:val="fr-CA"/>
        </w:rPr>
        <w:t xml:space="preserve"> n’avait pas démontré qu’il avait 12</w:t>
      </w:r>
      <w:r>
        <w:rPr>
          <w:rFonts w:cs="Times New Roman"/>
          <w:lang w:val="fr-CA"/>
        </w:rPr>
        <w:t xml:space="preserve"> </w:t>
      </w:r>
      <w:r w:rsidRPr="00552752">
        <w:rPr>
          <w:rFonts w:cs="Times New Roman"/>
          <w:lang w:val="fr-CA"/>
        </w:rPr>
        <w:t xml:space="preserve">années de scolarité ou l’équivalent. Son neveu, Sheldon </w:t>
      </w:r>
      <w:proofErr w:type="spellStart"/>
      <w:r w:rsidRPr="00552752">
        <w:rPr>
          <w:rFonts w:cs="Times New Roman"/>
          <w:lang w:val="fr-CA"/>
        </w:rPr>
        <w:t>Taypotat</w:t>
      </w:r>
      <w:proofErr w:type="spellEnd"/>
      <w:r w:rsidRPr="00552752">
        <w:rPr>
          <w:rFonts w:cs="Times New Roman"/>
          <w:lang w:val="fr-CA"/>
        </w:rPr>
        <w:t xml:space="preserve">, qui avait antérieurement été élu chef en mai 2009, lors du dernier scrutin tenu sous le régime de la </w:t>
      </w:r>
      <w:r w:rsidRPr="00552752">
        <w:rPr>
          <w:rFonts w:cs="Times New Roman"/>
          <w:i/>
          <w:iCs/>
          <w:lang w:val="fr-CA"/>
        </w:rPr>
        <w:t>Loi sur les Indiens</w:t>
      </w:r>
      <w:r w:rsidRPr="00552752">
        <w:rPr>
          <w:rFonts w:cs="Times New Roman"/>
          <w:lang w:val="fr-CA"/>
        </w:rPr>
        <w:t xml:space="preserve">, est alors devenu chef. </w:t>
      </w:r>
    </w:p>
    <w:p w:rsidR="0077539A" w:rsidRPr="00552752" w:rsidRDefault="0077539A" w:rsidP="0077539A">
      <w:pPr>
        <w:pStyle w:val="ParaNoNdepar-AltN"/>
        <w:tabs>
          <w:tab w:val="clear" w:pos="1166"/>
          <w:tab w:val="num" w:pos="1152"/>
        </w:tabs>
        <w:rPr>
          <w:rFonts w:cs="Times New Roman"/>
          <w:lang w:val="fr-CA"/>
        </w:rPr>
      </w:pPr>
      <w:r w:rsidRPr="00552752">
        <w:rPr>
          <w:rFonts w:cs="Times New Roman"/>
          <w:lang w:val="fr-CA"/>
        </w:rPr>
        <w:t xml:space="preserve">Louis </w:t>
      </w:r>
      <w:proofErr w:type="spellStart"/>
      <w:r w:rsidRPr="00552752">
        <w:rPr>
          <w:rFonts w:cs="Times New Roman"/>
          <w:lang w:val="fr-CA"/>
        </w:rPr>
        <w:t>Taypotat</w:t>
      </w:r>
      <w:proofErr w:type="spellEnd"/>
      <w:r w:rsidRPr="00552752">
        <w:rPr>
          <w:rFonts w:cs="Times New Roman"/>
          <w:lang w:val="fr-CA"/>
        </w:rPr>
        <w:t xml:space="preserve"> a présenté une demande de contrôle judiciaire à l’égard du processus prévu par la </w:t>
      </w:r>
      <w:proofErr w:type="spellStart"/>
      <w:r w:rsidRPr="00552752">
        <w:rPr>
          <w:rFonts w:cs="Times New Roman"/>
          <w:i/>
          <w:lang w:val="fr-CA"/>
        </w:rPr>
        <w:t>Kahkewistahaw</w:t>
      </w:r>
      <w:proofErr w:type="spellEnd"/>
      <w:r w:rsidRPr="00552752">
        <w:rPr>
          <w:rFonts w:cs="Times New Roman"/>
          <w:i/>
          <w:lang w:val="fr-CA"/>
        </w:rPr>
        <w:t xml:space="preserve"> </w:t>
      </w:r>
      <w:proofErr w:type="spellStart"/>
      <w:r w:rsidRPr="00552752">
        <w:rPr>
          <w:rFonts w:cs="Times New Roman"/>
          <w:i/>
          <w:lang w:val="fr-CA"/>
        </w:rPr>
        <w:t>Election</w:t>
      </w:r>
      <w:proofErr w:type="spellEnd"/>
      <w:r w:rsidRPr="00552752">
        <w:rPr>
          <w:rFonts w:cs="Times New Roman"/>
          <w:i/>
          <w:lang w:val="fr-CA"/>
        </w:rPr>
        <w:t xml:space="preserve"> </w:t>
      </w:r>
      <w:proofErr w:type="spellStart"/>
      <w:r w:rsidRPr="00552752">
        <w:rPr>
          <w:rFonts w:cs="Times New Roman"/>
          <w:i/>
          <w:lang w:val="fr-CA"/>
        </w:rPr>
        <w:t>Act</w:t>
      </w:r>
      <w:proofErr w:type="spellEnd"/>
      <w:r w:rsidRPr="00552752">
        <w:rPr>
          <w:rFonts w:cs="Times New Roman"/>
          <w:lang w:val="fr-CA"/>
        </w:rPr>
        <w:t>. Il soutenait plus particulièrement que le fait d’exiger un niveau de scolarité de 12</w:t>
      </w:r>
      <w:r w:rsidRPr="00552752">
        <w:rPr>
          <w:rFonts w:cs="Times New Roman"/>
          <w:vertAlign w:val="superscript"/>
          <w:lang w:val="fr-CA"/>
        </w:rPr>
        <w:t>e</w:t>
      </w:r>
      <w:r>
        <w:rPr>
          <w:rFonts w:cs="Times New Roman"/>
          <w:lang w:val="fr-CA"/>
        </w:rPr>
        <w:t xml:space="preserve"> </w:t>
      </w:r>
      <w:r w:rsidRPr="00552752">
        <w:rPr>
          <w:rFonts w:cs="Times New Roman"/>
          <w:lang w:val="fr-CA"/>
        </w:rPr>
        <w:t>année violait le par.</w:t>
      </w:r>
      <w:r>
        <w:rPr>
          <w:rFonts w:cs="Times New Roman"/>
          <w:lang w:val="fr-CA"/>
        </w:rPr>
        <w:t xml:space="preserve"> </w:t>
      </w:r>
      <w:r w:rsidRPr="00552752">
        <w:rPr>
          <w:rFonts w:cs="Times New Roman"/>
          <w:lang w:val="fr-CA"/>
        </w:rPr>
        <w:t xml:space="preserve">15(1) de la </w:t>
      </w:r>
      <w:r w:rsidRPr="00552752">
        <w:rPr>
          <w:rFonts w:cs="Times New Roman"/>
          <w:i/>
          <w:iCs/>
          <w:lang w:val="fr-CA"/>
        </w:rPr>
        <w:t>Charte</w:t>
      </w:r>
      <w:r w:rsidRPr="00552752">
        <w:rPr>
          <w:rFonts w:cs="Times New Roman"/>
          <w:lang w:val="fr-CA"/>
        </w:rPr>
        <w:t>, parce que [</w:t>
      </w:r>
      <w:r w:rsidRPr="00552752">
        <w:rPr>
          <w:rFonts w:cs="Times New Roman"/>
          <w:smallCaps/>
          <w:lang w:val="fr-CA"/>
        </w:rPr>
        <w:t>traduction</w:t>
      </w:r>
      <w:r w:rsidRPr="00552752">
        <w:rPr>
          <w:rFonts w:cs="Times New Roman"/>
          <w:lang w:val="fr-CA"/>
        </w:rPr>
        <w:t>]</w:t>
      </w:r>
      <w:r>
        <w:rPr>
          <w:rFonts w:cs="Times New Roman"/>
          <w:lang w:val="fr-CA"/>
        </w:rPr>
        <w:t xml:space="preserve"> « </w:t>
      </w:r>
      <w:r w:rsidRPr="00552752">
        <w:rPr>
          <w:rFonts w:cs="Times New Roman"/>
          <w:lang w:val="fr-CA"/>
        </w:rPr>
        <w:t xml:space="preserve">le niveau de scolarité </w:t>
      </w:r>
      <w:r w:rsidR="001A732E">
        <w:rPr>
          <w:rFonts w:cs="Times New Roman"/>
          <w:lang w:val="fr-CA"/>
        </w:rPr>
        <w:t>[</w:t>
      </w:r>
      <w:r w:rsidRPr="00552752">
        <w:rPr>
          <w:rFonts w:cs="Times New Roman"/>
          <w:lang w:val="fr-CA"/>
        </w:rPr>
        <w:t>est un motif</w:t>
      </w:r>
      <w:r w:rsidR="001A732E">
        <w:rPr>
          <w:rFonts w:cs="Times New Roman"/>
          <w:lang w:val="fr-CA"/>
        </w:rPr>
        <w:t>]</w:t>
      </w:r>
      <w:r w:rsidRPr="00552752">
        <w:rPr>
          <w:rFonts w:cs="Times New Roman"/>
          <w:lang w:val="fr-CA"/>
        </w:rPr>
        <w:t xml:space="preserve"> analogue à la race et à l’âge</w:t>
      </w:r>
      <w:r>
        <w:rPr>
          <w:rFonts w:cs="Times New Roman"/>
          <w:lang w:val="fr-CA"/>
        </w:rPr>
        <w:t> »</w:t>
      </w:r>
      <w:r w:rsidRPr="00552752">
        <w:rPr>
          <w:rFonts w:cs="Times New Roman"/>
          <w:lang w:val="fr-CA"/>
        </w:rPr>
        <w:t xml:space="preserve"> pour l’application du par.</w:t>
      </w:r>
      <w:r>
        <w:rPr>
          <w:rFonts w:cs="Times New Roman"/>
          <w:lang w:val="fr-CA"/>
        </w:rPr>
        <w:t xml:space="preserve"> </w:t>
      </w:r>
      <w:r w:rsidRPr="00552752">
        <w:rPr>
          <w:rFonts w:cs="Times New Roman"/>
          <w:lang w:val="fr-CA"/>
        </w:rPr>
        <w:t xml:space="preserve">15(1). </w:t>
      </w:r>
    </w:p>
    <w:p w:rsidR="0077539A" w:rsidRPr="00552752" w:rsidRDefault="0077539A" w:rsidP="0077539A">
      <w:pPr>
        <w:pStyle w:val="ParaNoNdepar-AltN"/>
        <w:tabs>
          <w:tab w:val="clear" w:pos="1166"/>
          <w:tab w:val="num" w:pos="1152"/>
        </w:tabs>
        <w:rPr>
          <w:rFonts w:cs="Times New Roman"/>
          <w:lang w:val="fr-CA"/>
        </w:rPr>
      </w:pPr>
      <w:r w:rsidRPr="00552752">
        <w:rPr>
          <w:rFonts w:cs="Times New Roman"/>
          <w:lang w:val="fr-CA"/>
        </w:rPr>
        <w:lastRenderedPageBreak/>
        <w:t xml:space="preserve">La Cour fédérale a rejeté la demande. Le juge de Montigny a estimé que Louis </w:t>
      </w:r>
      <w:proofErr w:type="spellStart"/>
      <w:r w:rsidRPr="00552752">
        <w:rPr>
          <w:rFonts w:cs="Times New Roman"/>
          <w:lang w:val="fr-CA"/>
        </w:rPr>
        <w:t>Taypotat</w:t>
      </w:r>
      <w:proofErr w:type="spellEnd"/>
      <w:r w:rsidRPr="00552752">
        <w:rPr>
          <w:rFonts w:cs="Times New Roman"/>
          <w:lang w:val="fr-CA"/>
        </w:rPr>
        <w:t xml:space="preserve"> n’avait soumis aucun élément de preuve démontrant que le niveau de scolarité constituait un motif analogue pour l’application de l’art.</w:t>
      </w:r>
      <w:r>
        <w:rPr>
          <w:rFonts w:cs="Times New Roman"/>
          <w:lang w:val="fr-CA"/>
        </w:rPr>
        <w:t xml:space="preserve"> </w:t>
      </w:r>
      <w:r w:rsidRPr="00552752">
        <w:rPr>
          <w:rFonts w:cs="Times New Roman"/>
          <w:lang w:val="fr-CA"/>
        </w:rPr>
        <w:t>15.</w:t>
      </w:r>
    </w:p>
    <w:p w:rsidR="0077539A" w:rsidRPr="00552752" w:rsidRDefault="0077539A" w:rsidP="0077539A">
      <w:pPr>
        <w:pStyle w:val="ParaNoNdepar-AltN"/>
        <w:tabs>
          <w:tab w:val="clear" w:pos="1166"/>
          <w:tab w:val="num" w:pos="1152"/>
        </w:tabs>
        <w:rPr>
          <w:rFonts w:cs="Times New Roman"/>
          <w:lang w:val="fr-CA"/>
        </w:rPr>
      </w:pPr>
      <w:r w:rsidRPr="00552752">
        <w:rPr>
          <w:rFonts w:cs="Times New Roman"/>
          <w:lang w:val="fr-CA"/>
        </w:rPr>
        <w:t xml:space="preserve">En appel, Louis </w:t>
      </w:r>
      <w:proofErr w:type="spellStart"/>
      <w:r w:rsidRPr="00552752">
        <w:rPr>
          <w:rFonts w:cs="Times New Roman"/>
          <w:lang w:val="fr-CA"/>
        </w:rPr>
        <w:t>Taypotat</w:t>
      </w:r>
      <w:proofErr w:type="spellEnd"/>
      <w:r w:rsidRPr="00552752">
        <w:rPr>
          <w:rFonts w:cs="Times New Roman"/>
          <w:lang w:val="fr-CA"/>
        </w:rPr>
        <w:t xml:space="preserve"> a invoqué </w:t>
      </w:r>
      <w:r w:rsidR="001A732E">
        <w:rPr>
          <w:rFonts w:cs="Times New Roman"/>
          <w:lang w:val="fr-CA"/>
        </w:rPr>
        <w:t>10</w:t>
      </w:r>
      <w:r w:rsidRPr="00552752">
        <w:rPr>
          <w:rFonts w:cs="Times New Roman"/>
          <w:lang w:val="fr-CA"/>
        </w:rPr>
        <w:t xml:space="preserve"> moyens distincts. Au soutien de son argument fondé sur l’art.</w:t>
      </w:r>
      <w:r>
        <w:rPr>
          <w:rFonts w:cs="Times New Roman"/>
          <w:lang w:val="fr-CA"/>
        </w:rPr>
        <w:t xml:space="preserve"> </w:t>
      </w:r>
      <w:r w:rsidRPr="00552752">
        <w:rPr>
          <w:rFonts w:cs="Times New Roman"/>
          <w:lang w:val="fr-CA"/>
        </w:rPr>
        <w:t>15, il faisait désormais valoir — ce qu’il n’avait pas allégué dans sa demande de contrôle judiciaire présentée en Cour fédérale — que les survivants des pensionnats indiens qui ne possédaient pas un niveau de scolarité de 12</w:t>
      </w:r>
      <w:r w:rsidRPr="00552752">
        <w:rPr>
          <w:rFonts w:cs="Times New Roman"/>
          <w:vertAlign w:val="superscript"/>
          <w:lang w:val="fr-CA"/>
        </w:rPr>
        <w:t>e</w:t>
      </w:r>
      <w:r>
        <w:rPr>
          <w:rFonts w:cs="Times New Roman"/>
          <w:lang w:val="fr-CA"/>
        </w:rPr>
        <w:t xml:space="preserve"> </w:t>
      </w:r>
      <w:r w:rsidRPr="00552752">
        <w:rPr>
          <w:rFonts w:cs="Times New Roman"/>
          <w:lang w:val="fr-CA"/>
        </w:rPr>
        <w:t>année formaient un groupe analogue pour l’application de l’art.</w:t>
      </w:r>
      <w:r>
        <w:rPr>
          <w:rFonts w:cs="Times New Roman"/>
          <w:lang w:val="fr-CA"/>
        </w:rPr>
        <w:t xml:space="preserve"> </w:t>
      </w:r>
      <w:r w:rsidRPr="00552752">
        <w:rPr>
          <w:rFonts w:cs="Times New Roman"/>
          <w:lang w:val="fr-CA"/>
        </w:rPr>
        <w:t xml:space="preserve">15. </w:t>
      </w:r>
    </w:p>
    <w:p w:rsidR="0077539A" w:rsidRPr="00552752" w:rsidRDefault="0077539A" w:rsidP="0077539A">
      <w:pPr>
        <w:pStyle w:val="ParaNoNdepar-AltN"/>
        <w:tabs>
          <w:tab w:val="clear" w:pos="1166"/>
          <w:tab w:val="num" w:pos="1152"/>
        </w:tabs>
        <w:rPr>
          <w:rFonts w:cs="Times New Roman"/>
          <w:lang w:val="fr-CA"/>
        </w:rPr>
      </w:pPr>
      <w:r w:rsidRPr="00552752">
        <w:rPr>
          <w:rFonts w:cs="Times New Roman"/>
          <w:lang w:val="fr-CA"/>
        </w:rPr>
        <w:t xml:space="preserve">Bien qu’elle ait rejeté </w:t>
      </w:r>
      <w:r>
        <w:rPr>
          <w:rFonts w:cs="Times New Roman"/>
          <w:lang w:val="fr-CA"/>
        </w:rPr>
        <w:t>« </w:t>
      </w:r>
      <w:r w:rsidRPr="00552752">
        <w:rPr>
          <w:rFonts w:cs="Times New Roman"/>
          <w:lang w:val="fr-CA"/>
        </w:rPr>
        <w:t>sans difficulté</w:t>
      </w:r>
      <w:r>
        <w:rPr>
          <w:rFonts w:cs="Times New Roman"/>
          <w:lang w:val="fr-CA"/>
        </w:rPr>
        <w:t> »</w:t>
      </w:r>
      <w:r w:rsidRPr="00552752">
        <w:rPr>
          <w:rFonts w:cs="Times New Roman"/>
          <w:lang w:val="fr-CA"/>
        </w:rPr>
        <w:t xml:space="preserve"> neuf des moyens d’appel en question, la Cour d’appel fédérale a retenu l’argument fondé sur l’art.</w:t>
      </w:r>
      <w:r>
        <w:rPr>
          <w:rFonts w:cs="Times New Roman"/>
          <w:lang w:val="fr-CA"/>
        </w:rPr>
        <w:t xml:space="preserve"> </w:t>
      </w:r>
      <w:r w:rsidRPr="00552752">
        <w:rPr>
          <w:rFonts w:cs="Times New Roman"/>
          <w:lang w:val="fr-CA"/>
        </w:rPr>
        <w:t xml:space="preserve">15 de la </w:t>
      </w:r>
      <w:r w:rsidRPr="00552752">
        <w:rPr>
          <w:rFonts w:cs="Times New Roman"/>
          <w:i/>
          <w:iCs/>
          <w:lang w:val="fr-CA"/>
        </w:rPr>
        <w:t>Charte</w:t>
      </w:r>
      <w:r w:rsidRPr="00552752">
        <w:rPr>
          <w:rFonts w:cs="Times New Roman"/>
          <w:lang w:val="fr-CA"/>
        </w:rPr>
        <w:t>. La cour n’a pas examiné explicitement l’argument suivant lequel les survivants des pensionnats indiens qui n’avaient pas un niveau de scolarité de 12</w:t>
      </w:r>
      <w:r w:rsidRPr="00552752">
        <w:rPr>
          <w:rFonts w:cs="Times New Roman"/>
          <w:vertAlign w:val="superscript"/>
          <w:lang w:val="fr-CA"/>
        </w:rPr>
        <w:t>e</w:t>
      </w:r>
      <w:r>
        <w:rPr>
          <w:rFonts w:cs="Times New Roman"/>
          <w:lang w:val="fr-CA"/>
        </w:rPr>
        <w:t xml:space="preserve"> </w:t>
      </w:r>
      <w:r w:rsidRPr="00552752">
        <w:rPr>
          <w:rFonts w:cs="Times New Roman"/>
          <w:lang w:val="fr-CA"/>
        </w:rPr>
        <w:t>année formaient un groupe analogue pour l’application de l’art.</w:t>
      </w:r>
      <w:r>
        <w:rPr>
          <w:rFonts w:cs="Times New Roman"/>
          <w:lang w:val="fr-CA"/>
        </w:rPr>
        <w:t xml:space="preserve"> </w:t>
      </w:r>
      <w:r w:rsidRPr="00552752">
        <w:rPr>
          <w:rFonts w:cs="Times New Roman"/>
          <w:lang w:val="fr-CA"/>
        </w:rPr>
        <w:t xml:space="preserve">15, mais elle a plutôt conclu, même si cela n’avait pas été plaidé, que l’exigence concernant le niveau de scolarité avait un effet discriminatoire fondé sur l’âge. De plus, sans que personne n’ait soulevé la question, elle a conclu que cette exigence créait une discrimination fondée sur </w:t>
      </w:r>
      <w:r>
        <w:rPr>
          <w:rFonts w:cs="Times New Roman"/>
          <w:lang w:val="fr-CA"/>
        </w:rPr>
        <w:t>« </w:t>
      </w:r>
      <w:r w:rsidRPr="00552752">
        <w:rPr>
          <w:rFonts w:cs="Times New Roman"/>
          <w:lang w:val="fr-CA"/>
        </w:rPr>
        <w:t>la résidence dans une réserve</w:t>
      </w:r>
      <w:r>
        <w:rPr>
          <w:rFonts w:cs="Times New Roman"/>
          <w:lang w:val="fr-CA"/>
        </w:rPr>
        <w:t> »</w:t>
      </w:r>
      <w:r w:rsidRPr="00552752">
        <w:rPr>
          <w:rFonts w:cs="Times New Roman"/>
          <w:lang w:val="fr-CA"/>
        </w:rPr>
        <w:t xml:space="preserve">. </w:t>
      </w:r>
    </w:p>
    <w:p w:rsidR="0077539A" w:rsidRPr="00552752" w:rsidRDefault="0077539A" w:rsidP="0077539A">
      <w:pPr>
        <w:pStyle w:val="ParaNoNdepar-AltN"/>
        <w:tabs>
          <w:tab w:val="clear" w:pos="1166"/>
          <w:tab w:val="num" w:pos="1152"/>
        </w:tabs>
        <w:rPr>
          <w:rFonts w:cs="Times New Roman"/>
          <w:lang w:val="fr-CA"/>
        </w:rPr>
      </w:pPr>
      <w:r w:rsidRPr="00552752">
        <w:rPr>
          <w:rFonts w:cs="Times New Roman"/>
          <w:lang w:val="fr-CA"/>
        </w:rPr>
        <w:t xml:space="preserve">Devant la Cour, Louis </w:t>
      </w:r>
      <w:proofErr w:type="spellStart"/>
      <w:r w:rsidRPr="00552752">
        <w:rPr>
          <w:rFonts w:cs="Times New Roman"/>
          <w:lang w:val="fr-CA"/>
        </w:rPr>
        <w:t>Taypotat</w:t>
      </w:r>
      <w:proofErr w:type="spellEnd"/>
      <w:r w:rsidRPr="00552752">
        <w:rPr>
          <w:rFonts w:cs="Times New Roman"/>
          <w:lang w:val="fr-CA"/>
        </w:rPr>
        <w:t xml:space="preserve"> s’est fondé sur les conclusions de la Cour d’appel fédérale pour reformuler sa prétention fondée sur l’art.</w:t>
      </w:r>
      <w:r>
        <w:rPr>
          <w:rFonts w:cs="Times New Roman"/>
          <w:lang w:val="fr-CA"/>
        </w:rPr>
        <w:t xml:space="preserve"> </w:t>
      </w:r>
      <w:r w:rsidRPr="00552752">
        <w:rPr>
          <w:rFonts w:cs="Times New Roman"/>
          <w:lang w:val="fr-CA"/>
        </w:rPr>
        <w:t>15. Maintenant, il fait valoir que l’exigence relative au niveau de scolarité viole le par.</w:t>
      </w:r>
      <w:r>
        <w:rPr>
          <w:rFonts w:cs="Times New Roman"/>
          <w:lang w:val="fr-CA"/>
        </w:rPr>
        <w:t xml:space="preserve"> </w:t>
      </w:r>
      <w:r w:rsidRPr="00552752">
        <w:rPr>
          <w:rFonts w:cs="Times New Roman"/>
          <w:lang w:val="fr-CA"/>
        </w:rPr>
        <w:t xml:space="preserve">15(1) parce qu’elle a </w:t>
      </w:r>
      <w:r w:rsidRPr="00552752">
        <w:rPr>
          <w:rFonts w:cs="Times New Roman"/>
          <w:lang w:val="fr-CA"/>
        </w:rPr>
        <w:lastRenderedPageBreak/>
        <w:t xml:space="preserve">un effet disproportionné sur les membres plus âgés de la collectivité qui vivent dans une réserve. </w:t>
      </w:r>
    </w:p>
    <w:p w:rsidR="0077539A" w:rsidRPr="00552752" w:rsidRDefault="0077539A" w:rsidP="0077539A">
      <w:pPr>
        <w:pStyle w:val="ParaNoNdepar-AltN"/>
        <w:tabs>
          <w:tab w:val="clear" w:pos="1166"/>
          <w:tab w:val="num" w:pos="1152"/>
        </w:tabs>
        <w:rPr>
          <w:rFonts w:cs="Times New Roman"/>
          <w:lang w:val="fr-CA"/>
        </w:rPr>
      </w:pPr>
      <w:r w:rsidRPr="00552752">
        <w:rPr>
          <w:rFonts w:cs="Times New Roman"/>
          <w:lang w:val="fr-CA"/>
        </w:rPr>
        <w:t>Bien que des exigences à première vue neutres, comme celles relatives au niveau de scolarité, puissent fort bien occulter ou masquer un effet discriminatoire, le sort de la présente affaire ne dépend pas de l’existence de cette exigence, mais bien du fait qu’il n’existe pas le moindre élément de preuve établissant un lien entre cette exigence et les effets distincts qu’elle aurait sur les membres d’un groupe énuméré ou analogue.</w:t>
      </w:r>
    </w:p>
    <w:p w:rsidR="0077539A" w:rsidRPr="00552752" w:rsidRDefault="0077539A" w:rsidP="0077539A">
      <w:pPr>
        <w:pStyle w:val="TitleTitre-AltT"/>
        <w:widowControl w:val="0"/>
        <w:ind w:left="357" w:hanging="357"/>
        <w:rPr>
          <w:rFonts w:cs="Times New Roman"/>
          <w:u w:val="single"/>
          <w:lang w:val="fr-CA"/>
        </w:rPr>
      </w:pPr>
      <w:r w:rsidRPr="00552752">
        <w:rPr>
          <w:rFonts w:cs="Times New Roman"/>
          <w:u w:val="single"/>
          <w:lang w:val="fr-CA"/>
        </w:rPr>
        <w:t>Analyse</w:t>
      </w:r>
    </w:p>
    <w:p w:rsidR="0077539A" w:rsidRPr="00552752" w:rsidRDefault="0077539A" w:rsidP="0077539A">
      <w:pPr>
        <w:pStyle w:val="ParaNoNdepar-AltN"/>
        <w:tabs>
          <w:tab w:val="clear" w:pos="1166"/>
          <w:tab w:val="num" w:pos="1152"/>
        </w:tabs>
        <w:rPr>
          <w:rFonts w:cs="Times New Roman"/>
          <w:lang w:val="fr-CA"/>
        </w:rPr>
      </w:pPr>
      <w:r w:rsidRPr="00552752">
        <w:rPr>
          <w:rFonts w:cs="Times New Roman"/>
          <w:lang w:val="fr-CA"/>
        </w:rPr>
        <w:t>L’approche relative au par.</w:t>
      </w:r>
      <w:r>
        <w:rPr>
          <w:rFonts w:cs="Times New Roman"/>
          <w:lang w:val="fr-CA"/>
        </w:rPr>
        <w:t xml:space="preserve"> </w:t>
      </w:r>
      <w:r w:rsidRPr="00552752">
        <w:rPr>
          <w:rFonts w:cs="Times New Roman"/>
          <w:lang w:val="fr-CA"/>
        </w:rPr>
        <w:t xml:space="preserve">15(1) a été énoncée le plus récemment dans </w:t>
      </w:r>
      <w:r w:rsidRPr="00552752">
        <w:rPr>
          <w:rFonts w:cs="Times New Roman"/>
          <w:i/>
          <w:lang w:val="fr-CA"/>
        </w:rPr>
        <w:t>Québec (Procureur général) c. A</w:t>
      </w:r>
      <w:r w:rsidRPr="00552752">
        <w:rPr>
          <w:rFonts w:cs="Times New Roman"/>
          <w:lang w:val="fr-CA"/>
        </w:rPr>
        <w:t>, [2013]</w:t>
      </w:r>
      <w:r>
        <w:rPr>
          <w:rFonts w:cs="Times New Roman"/>
          <w:lang w:val="fr-CA"/>
        </w:rPr>
        <w:t xml:space="preserve"> </w:t>
      </w:r>
      <w:r w:rsidRPr="00552752">
        <w:rPr>
          <w:rFonts w:cs="Times New Roman"/>
          <w:lang w:val="fr-CA"/>
        </w:rPr>
        <w:t>1</w:t>
      </w:r>
      <w:r>
        <w:rPr>
          <w:rFonts w:cs="Times New Roman"/>
          <w:lang w:val="fr-CA"/>
        </w:rPr>
        <w:t xml:space="preserve"> </w:t>
      </w:r>
      <w:r w:rsidRPr="00552752">
        <w:rPr>
          <w:rFonts w:cs="Times New Roman"/>
          <w:lang w:val="fr-CA"/>
        </w:rPr>
        <w:t>R.C.S.</w:t>
      </w:r>
      <w:r>
        <w:rPr>
          <w:rFonts w:cs="Times New Roman"/>
          <w:lang w:val="fr-CA"/>
        </w:rPr>
        <w:t xml:space="preserve"> </w:t>
      </w:r>
      <w:r w:rsidRPr="00552752">
        <w:rPr>
          <w:rFonts w:cs="Times New Roman"/>
          <w:lang w:val="fr-CA"/>
        </w:rPr>
        <w:t>61, par.</w:t>
      </w:r>
      <w:r>
        <w:rPr>
          <w:rFonts w:cs="Times New Roman"/>
          <w:lang w:val="fr-CA"/>
        </w:rPr>
        <w:t xml:space="preserve"> </w:t>
      </w:r>
      <w:r w:rsidRPr="00552752">
        <w:rPr>
          <w:rFonts w:cs="Times New Roman"/>
          <w:lang w:val="fr-CA"/>
        </w:rPr>
        <w:t>319</w:t>
      </w:r>
      <w:r>
        <w:rPr>
          <w:rFonts w:cs="Times New Roman"/>
          <w:lang w:val="fr-CA"/>
        </w:rPr>
        <w:t>-</w:t>
      </w:r>
      <w:r w:rsidRPr="00552752">
        <w:rPr>
          <w:rFonts w:cs="Times New Roman"/>
          <w:lang w:val="fr-CA"/>
        </w:rPr>
        <w:t>3</w:t>
      </w:r>
      <w:r>
        <w:rPr>
          <w:rFonts w:cs="Times New Roman"/>
          <w:lang w:val="fr-CA"/>
        </w:rPr>
        <w:t>4</w:t>
      </w:r>
      <w:r w:rsidRPr="00552752">
        <w:rPr>
          <w:rFonts w:cs="Times New Roman"/>
          <w:lang w:val="fr-CA"/>
        </w:rPr>
        <w:t>7. Cet arrêt a clarifié le fait que le par.</w:t>
      </w:r>
      <w:r>
        <w:rPr>
          <w:rFonts w:cs="Times New Roman"/>
          <w:lang w:val="fr-CA"/>
        </w:rPr>
        <w:t xml:space="preserve"> </w:t>
      </w:r>
      <w:r w:rsidRPr="00552752">
        <w:rPr>
          <w:rFonts w:cs="Times New Roman"/>
          <w:lang w:val="fr-CA"/>
        </w:rPr>
        <w:t xml:space="preserve">15(1) de la </w:t>
      </w:r>
      <w:r w:rsidRPr="00552752">
        <w:rPr>
          <w:rFonts w:cs="Times New Roman"/>
          <w:i/>
          <w:iCs/>
          <w:lang w:val="fr-CA"/>
        </w:rPr>
        <w:t xml:space="preserve">Charte </w:t>
      </w:r>
      <w:r w:rsidRPr="00552752">
        <w:rPr>
          <w:rFonts w:cs="Times New Roman"/>
          <w:lang w:val="fr-CA"/>
        </w:rPr>
        <w:t xml:space="preserve">exige </w:t>
      </w:r>
      <w:r>
        <w:rPr>
          <w:rFonts w:cs="Times New Roman"/>
          <w:lang w:val="fr-CA"/>
        </w:rPr>
        <w:t>« </w:t>
      </w:r>
      <w:r w:rsidRPr="00552752">
        <w:rPr>
          <w:rFonts w:cs="Times New Roman"/>
          <w:lang w:val="fr-CA"/>
        </w:rPr>
        <w:t xml:space="preserve">une analyse souple et contextuelle visant à déterminer si la distinction a pour effet de perpétuer un désavantage arbitraire à l’égard du demandeur, </w:t>
      </w:r>
      <w:r w:rsidRPr="00552752">
        <w:rPr>
          <w:rFonts w:cs="Times New Roman"/>
          <w:i/>
          <w:iCs/>
          <w:lang w:val="fr-CA"/>
        </w:rPr>
        <w:t>du fait de son appartenance à un groupe énuméré ou analogue</w:t>
      </w:r>
      <w:r>
        <w:rPr>
          <w:rFonts w:cs="Times New Roman"/>
          <w:lang w:val="fr-CA"/>
        </w:rPr>
        <w:t> »</w:t>
      </w:r>
      <w:r w:rsidRPr="00552752">
        <w:rPr>
          <w:rFonts w:cs="Times New Roman"/>
          <w:lang w:val="fr-CA"/>
        </w:rPr>
        <w:t xml:space="preserve"> (par.</w:t>
      </w:r>
      <w:r>
        <w:rPr>
          <w:rFonts w:cs="Times New Roman"/>
          <w:lang w:val="fr-CA"/>
        </w:rPr>
        <w:t xml:space="preserve"> </w:t>
      </w:r>
      <w:r w:rsidRPr="00552752">
        <w:rPr>
          <w:rFonts w:cs="Times New Roman"/>
          <w:lang w:val="fr-CA"/>
        </w:rPr>
        <w:t xml:space="preserve">331 (italiques ajoutés)). </w:t>
      </w:r>
    </w:p>
    <w:p w:rsidR="0077539A" w:rsidRPr="00552752" w:rsidRDefault="0077539A" w:rsidP="0077539A">
      <w:pPr>
        <w:pStyle w:val="ParaNoNdepar-AltN"/>
        <w:rPr>
          <w:rFonts w:cs="Times New Roman"/>
          <w:lang w:val="fr-CA"/>
        </w:rPr>
      </w:pPr>
      <w:r w:rsidRPr="00552752">
        <w:rPr>
          <w:rFonts w:cs="Times New Roman"/>
          <w:lang w:val="fr-CA"/>
        </w:rPr>
        <w:t>La Cour a confirmé à maintes reprises que l’art.</w:t>
      </w:r>
      <w:r>
        <w:rPr>
          <w:rFonts w:cs="Times New Roman"/>
          <w:lang w:val="fr-CA"/>
        </w:rPr>
        <w:t xml:space="preserve"> </w:t>
      </w:r>
      <w:r w:rsidRPr="00552752">
        <w:rPr>
          <w:rFonts w:cs="Times New Roman"/>
          <w:lang w:val="fr-CA"/>
        </w:rPr>
        <w:t>15 protège l’égalité réelle (</w:t>
      </w:r>
      <w:r w:rsidRPr="00552752">
        <w:rPr>
          <w:rFonts w:cs="Times New Roman"/>
          <w:i/>
          <w:iCs/>
          <w:lang w:val="fr-CA"/>
        </w:rPr>
        <w:t>Québec c. A</w:t>
      </w:r>
      <w:r w:rsidRPr="00552752">
        <w:rPr>
          <w:rFonts w:cs="Times New Roman"/>
          <w:lang w:val="fr-CA"/>
        </w:rPr>
        <w:t>, par.</w:t>
      </w:r>
      <w:r>
        <w:rPr>
          <w:rFonts w:cs="Times New Roman"/>
          <w:lang w:val="fr-CA"/>
        </w:rPr>
        <w:t xml:space="preserve"> </w:t>
      </w:r>
      <w:r w:rsidRPr="00552752">
        <w:rPr>
          <w:rFonts w:cs="Times New Roman"/>
          <w:lang w:val="fr-CA"/>
        </w:rPr>
        <w:t xml:space="preserve">325; </w:t>
      </w:r>
      <w:proofErr w:type="spellStart"/>
      <w:r w:rsidRPr="00552752">
        <w:rPr>
          <w:rFonts w:cs="Times New Roman"/>
          <w:i/>
          <w:iCs/>
          <w:lang w:val="fr-CA"/>
        </w:rPr>
        <w:t>Withler</w:t>
      </w:r>
      <w:proofErr w:type="spellEnd"/>
      <w:r w:rsidRPr="00552752">
        <w:rPr>
          <w:rFonts w:cs="Times New Roman"/>
          <w:i/>
          <w:iCs/>
          <w:lang w:val="fr-CA"/>
        </w:rPr>
        <w:t xml:space="preserve"> c.</w:t>
      </w:r>
      <w:r w:rsidRPr="00552752">
        <w:rPr>
          <w:rFonts w:cs="Times New Roman"/>
          <w:b/>
          <w:bCs/>
          <w:i/>
          <w:iCs/>
          <w:lang w:val="fr-CA"/>
        </w:rPr>
        <w:t xml:space="preserve"> </w:t>
      </w:r>
      <w:r w:rsidRPr="00552752">
        <w:rPr>
          <w:rFonts w:cs="Times New Roman"/>
          <w:i/>
          <w:iCs/>
          <w:lang w:val="fr-CA"/>
        </w:rPr>
        <w:t>Canada (Procureur général</w:t>
      </w:r>
      <w:r w:rsidRPr="001A732E">
        <w:rPr>
          <w:rFonts w:cs="Times New Roman"/>
          <w:i/>
          <w:iCs/>
          <w:lang w:val="fr-CA"/>
        </w:rPr>
        <w:t>)</w:t>
      </w:r>
      <w:r w:rsidRPr="001A732E">
        <w:rPr>
          <w:rFonts w:cs="Times New Roman"/>
          <w:iCs/>
          <w:lang w:val="fr-CA"/>
        </w:rPr>
        <w:t>,</w:t>
      </w:r>
      <w:r w:rsidRPr="001A732E">
        <w:rPr>
          <w:rStyle w:val="sccrespondentforindexchar1"/>
          <w:b w:val="0"/>
          <w:lang w:val="fr-CA"/>
        </w:rPr>
        <w:t xml:space="preserve"> [2011] 1 R.C.S. 396, par. </w:t>
      </w:r>
      <w:r w:rsidRPr="001A732E">
        <w:rPr>
          <w:rFonts w:cs="Times New Roman"/>
          <w:lang w:val="fr-CA"/>
        </w:rPr>
        <w:t>2;</w:t>
      </w:r>
      <w:r w:rsidRPr="00552752">
        <w:rPr>
          <w:rFonts w:cs="Times New Roman"/>
          <w:lang w:val="fr-CA"/>
        </w:rPr>
        <w:t xml:space="preserve"> </w:t>
      </w:r>
      <w:r w:rsidRPr="00552752">
        <w:rPr>
          <w:rFonts w:cs="Times New Roman"/>
          <w:i/>
          <w:iCs/>
          <w:lang w:val="fr-CA"/>
        </w:rPr>
        <w:t>R</w:t>
      </w:r>
      <w:r w:rsidR="001A732E">
        <w:rPr>
          <w:rFonts w:cs="Times New Roman"/>
          <w:i/>
          <w:iCs/>
          <w:lang w:val="fr-CA"/>
        </w:rPr>
        <w:t>.</w:t>
      </w:r>
      <w:r w:rsidRPr="00552752">
        <w:rPr>
          <w:rFonts w:cs="Times New Roman"/>
          <w:i/>
          <w:iCs/>
          <w:lang w:val="fr-CA"/>
        </w:rPr>
        <w:t xml:space="preserve"> c. Kapp</w:t>
      </w:r>
      <w:r w:rsidRPr="00552752">
        <w:rPr>
          <w:rFonts w:cs="Times New Roman"/>
          <w:iCs/>
          <w:lang w:val="fr-CA"/>
        </w:rPr>
        <w:t>,</w:t>
      </w:r>
      <w:r w:rsidRPr="00552752">
        <w:rPr>
          <w:rFonts w:cs="Times New Roman"/>
          <w:i/>
          <w:iCs/>
          <w:lang w:val="fr-CA"/>
        </w:rPr>
        <w:t xml:space="preserve"> </w:t>
      </w:r>
      <w:r w:rsidRPr="00552752">
        <w:rPr>
          <w:rFonts w:cs="Times New Roman"/>
          <w:lang w:val="fr-CA"/>
        </w:rPr>
        <w:t>[2008] 2 R.C.S.</w:t>
      </w:r>
      <w:r>
        <w:rPr>
          <w:rFonts w:cs="Times New Roman"/>
          <w:lang w:val="fr-CA"/>
        </w:rPr>
        <w:t xml:space="preserve"> </w:t>
      </w:r>
      <w:r w:rsidRPr="00552752">
        <w:rPr>
          <w:rFonts w:cs="Times New Roman"/>
          <w:lang w:val="fr-CA"/>
        </w:rPr>
        <w:t>483, par.</w:t>
      </w:r>
      <w:r>
        <w:rPr>
          <w:rFonts w:cs="Times New Roman"/>
          <w:lang w:val="fr-CA"/>
        </w:rPr>
        <w:t xml:space="preserve"> </w:t>
      </w:r>
      <w:r w:rsidRPr="00552752">
        <w:rPr>
          <w:rFonts w:cs="Times New Roman"/>
          <w:lang w:val="fr-CA"/>
        </w:rPr>
        <w:t xml:space="preserve">16; </w:t>
      </w:r>
      <w:r w:rsidRPr="00552752">
        <w:rPr>
          <w:rFonts w:cs="Times New Roman"/>
          <w:i/>
          <w:iCs/>
          <w:lang w:val="fr-CA"/>
        </w:rPr>
        <w:t>Andrews c. Law Society of British Columbia</w:t>
      </w:r>
      <w:r w:rsidRPr="00552752">
        <w:rPr>
          <w:rFonts w:cs="Times New Roman"/>
          <w:lang w:val="fr-CA"/>
        </w:rPr>
        <w:t>, [1989] 1 R.C.S.</w:t>
      </w:r>
      <w:r>
        <w:rPr>
          <w:rFonts w:cs="Times New Roman"/>
          <w:lang w:val="fr-CA"/>
        </w:rPr>
        <w:t xml:space="preserve"> </w:t>
      </w:r>
      <w:r w:rsidRPr="00552752">
        <w:rPr>
          <w:rFonts w:cs="Times New Roman"/>
          <w:lang w:val="fr-CA"/>
        </w:rPr>
        <w:t xml:space="preserve">143). Cette démarche reconnaît que des désavantages systémiques persistants ont eu pour effet de restreindre les possibilités offertes aux </w:t>
      </w:r>
      <w:r w:rsidRPr="00552752">
        <w:rPr>
          <w:rFonts w:cs="Times New Roman"/>
          <w:lang w:val="fr-CA"/>
        </w:rPr>
        <w:lastRenderedPageBreak/>
        <w:t xml:space="preserve">membres de certains groupes de la société et elle vise à empêcher tout acte qui contribue à perpétuer ces désavantages. Ainsi que le juge McIntyre l’a fait observer dans l’arrêt </w:t>
      </w:r>
      <w:r w:rsidRPr="00552752">
        <w:rPr>
          <w:rFonts w:cs="Times New Roman"/>
          <w:i/>
          <w:iCs/>
          <w:lang w:val="fr-CA"/>
        </w:rPr>
        <w:t>Andrews</w:t>
      </w:r>
      <w:r w:rsidRPr="00552752">
        <w:rPr>
          <w:rFonts w:cs="Times New Roman"/>
          <w:iCs/>
          <w:lang w:val="fr-CA"/>
        </w:rPr>
        <w:t>,</w:t>
      </w:r>
      <w:r w:rsidRPr="00552752">
        <w:rPr>
          <w:rFonts w:cs="Times New Roman"/>
          <w:i/>
          <w:iCs/>
          <w:lang w:val="fr-CA"/>
        </w:rPr>
        <w:t xml:space="preserve"> </w:t>
      </w:r>
      <w:r w:rsidRPr="00552752">
        <w:rPr>
          <w:rFonts w:cs="Times New Roman"/>
          <w:lang w:val="fr-CA"/>
        </w:rPr>
        <w:t>cette approche repose sur l’idée que toute différence de traitement ne produira pas forcément une inégalité et qu’un traitement identique peut fréquemment engendrer de graves inégalités (p.</w:t>
      </w:r>
      <w:r>
        <w:rPr>
          <w:rFonts w:cs="Times New Roman"/>
          <w:lang w:val="fr-CA"/>
        </w:rPr>
        <w:t xml:space="preserve"> </w:t>
      </w:r>
      <w:r w:rsidRPr="00552752">
        <w:rPr>
          <w:rFonts w:cs="Times New Roman"/>
          <w:lang w:val="fr-CA"/>
        </w:rPr>
        <w:t>164).</w:t>
      </w:r>
    </w:p>
    <w:p w:rsidR="0077539A" w:rsidRPr="00552752" w:rsidRDefault="0077539A" w:rsidP="0077539A">
      <w:pPr>
        <w:pStyle w:val="ParaNoNdepar-AltN"/>
        <w:tabs>
          <w:tab w:val="clear" w:pos="1166"/>
          <w:tab w:val="num" w:pos="1152"/>
        </w:tabs>
        <w:rPr>
          <w:rFonts w:cs="Times New Roman"/>
          <w:spacing w:val="-3"/>
          <w:lang w:val="fr-CA"/>
        </w:rPr>
      </w:pPr>
      <w:r w:rsidRPr="00552752">
        <w:rPr>
          <w:rFonts w:cs="Times New Roman"/>
          <w:lang w:val="fr-CA"/>
        </w:rPr>
        <w:t>L’article</w:t>
      </w:r>
      <w:r>
        <w:rPr>
          <w:rFonts w:cs="Times New Roman"/>
          <w:lang w:val="fr-CA"/>
        </w:rPr>
        <w:t xml:space="preserve"> </w:t>
      </w:r>
      <w:r w:rsidRPr="00552752">
        <w:rPr>
          <w:rFonts w:cs="Times New Roman"/>
          <w:lang w:val="fr-CA"/>
        </w:rPr>
        <w:t xml:space="preserve">15 vise donc les lois qui établissent des distinctions </w:t>
      </w:r>
      <w:r w:rsidRPr="00552752">
        <w:rPr>
          <w:rFonts w:cs="Times New Roman"/>
          <w:i/>
          <w:iCs/>
          <w:lang w:val="fr-CA"/>
        </w:rPr>
        <w:t>discriminatoires</w:t>
      </w:r>
      <w:r w:rsidRPr="00552752">
        <w:rPr>
          <w:rFonts w:cs="Times New Roman"/>
          <w:lang w:val="fr-CA"/>
        </w:rPr>
        <w:t>, c’est</w:t>
      </w:r>
      <w:r>
        <w:rPr>
          <w:rFonts w:cs="Times New Roman"/>
          <w:lang w:val="fr-CA"/>
        </w:rPr>
        <w:t>-</w:t>
      </w:r>
      <w:r w:rsidRPr="00552752">
        <w:rPr>
          <w:rFonts w:cs="Times New Roman"/>
          <w:lang w:val="fr-CA"/>
        </w:rPr>
        <w:t>à</w:t>
      </w:r>
      <w:r>
        <w:rPr>
          <w:rFonts w:cs="Times New Roman"/>
          <w:lang w:val="fr-CA"/>
        </w:rPr>
        <w:t>-</w:t>
      </w:r>
      <w:r w:rsidRPr="00552752">
        <w:rPr>
          <w:rFonts w:cs="Times New Roman"/>
          <w:lang w:val="fr-CA"/>
        </w:rPr>
        <w:t>dire des distinctions qui ont pour effet de perpétuer un désavantage arbitraire à l’égard d’une personne du fait de son appartenance à un groupe énuméré ou analogue (</w:t>
      </w:r>
      <w:r w:rsidRPr="00552752">
        <w:rPr>
          <w:rFonts w:cs="Times New Roman"/>
          <w:i/>
          <w:iCs/>
          <w:spacing w:val="-3"/>
          <w:lang w:val="fr-CA"/>
        </w:rPr>
        <w:t>Andrews</w:t>
      </w:r>
      <w:r w:rsidRPr="00552752">
        <w:rPr>
          <w:rFonts w:cs="Times New Roman"/>
          <w:spacing w:val="-3"/>
          <w:lang w:val="fr-CA"/>
        </w:rPr>
        <w:t>, p.</w:t>
      </w:r>
      <w:r>
        <w:rPr>
          <w:rFonts w:cs="Times New Roman"/>
          <w:spacing w:val="-3"/>
          <w:lang w:val="fr-CA"/>
        </w:rPr>
        <w:t xml:space="preserve"> </w:t>
      </w:r>
      <w:r w:rsidR="001A732E">
        <w:rPr>
          <w:rFonts w:cs="Times New Roman"/>
          <w:spacing w:val="-3"/>
          <w:lang w:val="fr-CA"/>
        </w:rPr>
        <w:t>174-175;</w:t>
      </w:r>
      <w:r w:rsidRPr="00552752">
        <w:rPr>
          <w:rFonts w:cs="Times New Roman"/>
          <w:spacing w:val="-3"/>
          <w:lang w:val="fr-CA"/>
        </w:rPr>
        <w:t xml:space="preserve"> </w:t>
      </w:r>
      <w:r w:rsidRPr="00552752">
        <w:rPr>
          <w:rFonts w:cs="Times New Roman"/>
          <w:i/>
          <w:iCs/>
          <w:lang w:val="fr-CA"/>
        </w:rPr>
        <w:t>Québec c. A</w:t>
      </w:r>
      <w:r w:rsidRPr="00552752">
        <w:rPr>
          <w:rFonts w:cs="Times New Roman"/>
          <w:lang w:val="fr-CA"/>
        </w:rPr>
        <w:t>, par.</w:t>
      </w:r>
      <w:r>
        <w:rPr>
          <w:rFonts w:cs="Times New Roman"/>
          <w:lang w:val="fr-CA"/>
        </w:rPr>
        <w:t xml:space="preserve"> </w:t>
      </w:r>
      <w:r w:rsidRPr="00552752">
        <w:rPr>
          <w:rFonts w:cs="Times New Roman"/>
          <w:lang w:val="fr-CA"/>
        </w:rPr>
        <w:t>331). L’analyse à laquelle on procède pour l’application du par.</w:t>
      </w:r>
      <w:r>
        <w:rPr>
          <w:rFonts w:cs="Times New Roman"/>
          <w:lang w:val="fr-CA"/>
        </w:rPr>
        <w:t xml:space="preserve"> </w:t>
      </w:r>
      <w:r w:rsidRPr="00552752">
        <w:rPr>
          <w:rFonts w:cs="Times New Roman"/>
          <w:lang w:val="fr-CA"/>
        </w:rPr>
        <w:t>15(1) s’intéresse donc au contexte social et économique dans lequel s’inscrit la plainte d’inégalité et aux effets de la loi ou de l’acte contesté sur le groupe demandeur (</w:t>
      </w:r>
      <w:r w:rsidRPr="00552752">
        <w:rPr>
          <w:rFonts w:cs="Times New Roman"/>
          <w:i/>
          <w:iCs/>
          <w:lang w:val="fr-CA"/>
        </w:rPr>
        <w:t>Québec c. A</w:t>
      </w:r>
      <w:r w:rsidRPr="00552752">
        <w:rPr>
          <w:rFonts w:cs="Times New Roman"/>
          <w:lang w:val="fr-CA"/>
        </w:rPr>
        <w:t>, par.</w:t>
      </w:r>
      <w:r>
        <w:rPr>
          <w:rFonts w:cs="Times New Roman"/>
          <w:lang w:val="fr-CA"/>
        </w:rPr>
        <w:t xml:space="preserve"> </w:t>
      </w:r>
      <w:r w:rsidRPr="00552752">
        <w:rPr>
          <w:rFonts w:cs="Times New Roman"/>
          <w:lang w:val="fr-CA"/>
        </w:rPr>
        <w:t>331).</w:t>
      </w:r>
    </w:p>
    <w:p w:rsidR="0077539A" w:rsidRPr="00552752" w:rsidRDefault="0077539A" w:rsidP="0077539A">
      <w:pPr>
        <w:pStyle w:val="ParaNoNdepar-AltN"/>
        <w:tabs>
          <w:tab w:val="clear" w:pos="1166"/>
          <w:tab w:val="num" w:pos="1152"/>
        </w:tabs>
        <w:rPr>
          <w:rFonts w:cs="Times New Roman"/>
          <w:lang w:val="fr-CA"/>
        </w:rPr>
      </w:pPr>
      <w:r w:rsidRPr="00552752">
        <w:rPr>
          <w:rFonts w:cs="Times New Roman"/>
          <w:lang w:val="fr-CA"/>
        </w:rPr>
        <w:t>Le premier volet de l’analyse fondée sur l’art.</w:t>
      </w:r>
      <w:r>
        <w:rPr>
          <w:rFonts w:cs="Times New Roman"/>
          <w:lang w:val="fr-CA"/>
        </w:rPr>
        <w:t xml:space="preserve"> </w:t>
      </w:r>
      <w:r w:rsidRPr="00552752">
        <w:rPr>
          <w:rFonts w:cs="Times New Roman"/>
          <w:lang w:val="fr-CA"/>
        </w:rPr>
        <w:t xml:space="preserve">15 consiste donc à se demander si, à première vue ou de par son effet, une loi crée une distinction fondée sur un motif énuméré ou analogue. Limiter les demandes à celles fondées sur des motifs énumérés ou analogues — qui </w:t>
      </w:r>
      <w:r>
        <w:rPr>
          <w:rFonts w:cs="Times New Roman"/>
          <w:lang w:val="fr-CA"/>
        </w:rPr>
        <w:t>« </w:t>
      </w:r>
      <w:r w:rsidRPr="00552752">
        <w:rPr>
          <w:rFonts w:cs="Times New Roman"/>
          <w:lang w:val="fr-CA"/>
        </w:rPr>
        <w:t>constituent des indicateurs permanents de l’existence d’un processus décisionnel suspect ou de discrimination potentielle</w:t>
      </w:r>
      <w:r>
        <w:rPr>
          <w:rFonts w:cs="Times New Roman"/>
          <w:lang w:val="fr-CA"/>
        </w:rPr>
        <w:t> »</w:t>
      </w:r>
      <w:r w:rsidRPr="00552752">
        <w:rPr>
          <w:rFonts w:cs="Times New Roman"/>
          <w:lang w:val="fr-CA"/>
        </w:rPr>
        <w:t xml:space="preserve"> —, permet d’écarter </w:t>
      </w:r>
      <w:r>
        <w:rPr>
          <w:rFonts w:cs="Times New Roman"/>
          <w:lang w:val="fr-CA"/>
        </w:rPr>
        <w:t>« </w:t>
      </w:r>
      <w:r w:rsidRPr="00552752">
        <w:rPr>
          <w:rFonts w:cs="Times New Roman"/>
          <w:lang w:val="fr-CA"/>
        </w:rPr>
        <w:t xml:space="preserve">les demandes </w:t>
      </w:r>
      <w:r w:rsidR="001A732E" w:rsidRPr="00552752">
        <w:rPr>
          <w:rFonts w:cs="Times New Roman"/>
          <w:lang w:val="fr-CA"/>
        </w:rPr>
        <w:t>[</w:t>
      </w:r>
      <w:r w:rsidR="001A732E" w:rsidRPr="00552752">
        <w:rPr>
          <w:rFonts w:cs="Times New Roman"/>
          <w:smallCaps/>
          <w:lang w:val="fr-CA"/>
        </w:rPr>
        <w:t>traduction</w:t>
      </w:r>
      <w:r w:rsidR="001A732E" w:rsidRPr="00552752">
        <w:rPr>
          <w:rFonts w:cs="Times New Roman"/>
          <w:lang w:val="fr-CA"/>
        </w:rPr>
        <w:t>]</w:t>
      </w:r>
      <w:r w:rsidR="001A732E">
        <w:rPr>
          <w:rFonts w:cs="Times New Roman"/>
          <w:lang w:val="fr-CA"/>
        </w:rPr>
        <w:t xml:space="preserve"> </w:t>
      </w:r>
      <w:r w:rsidRPr="00552752">
        <w:rPr>
          <w:rFonts w:cs="Times New Roman"/>
          <w:lang w:val="fr-CA"/>
        </w:rPr>
        <w:t>qui n’ont rien à voir avec l’égalité réelle et de mettre l’accent sur l’égalité dans le cas de groupes qui sont défavorisés dans un contexte social et économique plus large</w:t>
      </w:r>
      <w:r>
        <w:rPr>
          <w:rFonts w:cs="Times New Roman"/>
          <w:lang w:val="fr-CA"/>
        </w:rPr>
        <w:t> »</w:t>
      </w:r>
      <w:r w:rsidRPr="00552752">
        <w:rPr>
          <w:rFonts w:cs="Times New Roman"/>
          <w:lang w:val="fr-CA"/>
        </w:rPr>
        <w:t xml:space="preserve"> (</w:t>
      </w:r>
      <w:proofErr w:type="spellStart"/>
      <w:r w:rsidRPr="00552752">
        <w:rPr>
          <w:rFonts w:cs="Times New Roman"/>
          <w:i/>
          <w:iCs/>
          <w:lang w:val="fr-CA"/>
        </w:rPr>
        <w:t>Corbiere</w:t>
      </w:r>
      <w:proofErr w:type="spellEnd"/>
      <w:r w:rsidRPr="00552752">
        <w:rPr>
          <w:rFonts w:cs="Times New Roman"/>
          <w:i/>
          <w:iCs/>
          <w:lang w:val="fr-CA"/>
        </w:rPr>
        <w:t xml:space="preserve"> c. Canada (Ministre des Affaires indiennes et du Nord canadien)</w:t>
      </w:r>
      <w:r w:rsidRPr="00552752">
        <w:rPr>
          <w:rFonts w:cs="Times New Roman"/>
          <w:iCs/>
          <w:lang w:val="fr-CA"/>
        </w:rPr>
        <w:t>,</w:t>
      </w:r>
      <w:r w:rsidRPr="00552752">
        <w:rPr>
          <w:rFonts w:cs="Times New Roman"/>
          <w:i/>
          <w:iCs/>
          <w:lang w:val="fr-CA"/>
        </w:rPr>
        <w:t xml:space="preserve"> </w:t>
      </w:r>
      <w:r w:rsidRPr="00552752">
        <w:rPr>
          <w:rFonts w:cs="Times New Roman"/>
          <w:lang w:val="fr-CA"/>
        </w:rPr>
        <w:t>[1999] 2 R.C.S.</w:t>
      </w:r>
      <w:r>
        <w:rPr>
          <w:rFonts w:cs="Times New Roman"/>
          <w:lang w:val="fr-CA"/>
        </w:rPr>
        <w:t xml:space="preserve"> </w:t>
      </w:r>
      <w:r w:rsidRPr="00552752">
        <w:rPr>
          <w:rFonts w:cs="Times New Roman"/>
          <w:lang w:val="fr-CA"/>
        </w:rPr>
        <w:t>203,</w:t>
      </w:r>
      <w:r w:rsidRPr="00552752">
        <w:rPr>
          <w:rFonts w:cs="Times New Roman"/>
          <w:i/>
          <w:iCs/>
          <w:lang w:val="fr-CA"/>
        </w:rPr>
        <w:t xml:space="preserve"> </w:t>
      </w:r>
      <w:r w:rsidRPr="00552752">
        <w:rPr>
          <w:rFonts w:cs="Times New Roman"/>
          <w:lang w:val="fr-CA"/>
        </w:rPr>
        <w:t>par.</w:t>
      </w:r>
      <w:r>
        <w:rPr>
          <w:rFonts w:cs="Times New Roman"/>
          <w:lang w:val="fr-CA"/>
        </w:rPr>
        <w:t xml:space="preserve"> </w:t>
      </w:r>
      <w:r w:rsidRPr="00552752">
        <w:rPr>
          <w:rFonts w:cs="Times New Roman"/>
          <w:lang w:val="fr-CA"/>
        </w:rPr>
        <w:t xml:space="preserve">8; Lynn Smith et William Black, </w:t>
      </w:r>
      <w:r>
        <w:rPr>
          <w:rFonts w:cs="Times New Roman"/>
          <w:lang w:val="fr-CA"/>
        </w:rPr>
        <w:t>« </w:t>
      </w:r>
      <w:r w:rsidRPr="00552752">
        <w:rPr>
          <w:rFonts w:cs="Times New Roman"/>
          <w:lang w:val="fr-CA"/>
        </w:rPr>
        <w:t xml:space="preserve">The </w:t>
      </w:r>
      <w:proofErr w:type="spellStart"/>
      <w:r w:rsidRPr="00552752">
        <w:rPr>
          <w:rFonts w:cs="Times New Roman"/>
          <w:lang w:val="fr-CA"/>
        </w:rPr>
        <w:t>Equality</w:t>
      </w:r>
      <w:proofErr w:type="spellEnd"/>
      <w:r w:rsidRPr="00552752">
        <w:rPr>
          <w:rFonts w:cs="Times New Roman"/>
          <w:lang w:val="fr-CA"/>
        </w:rPr>
        <w:t xml:space="preserve"> </w:t>
      </w:r>
      <w:proofErr w:type="spellStart"/>
      <w:r w:rsidRPr="00552752">
        <w:rPr>
          <w:rFonts w:cs="Times New Roman"/>
          <w:lang w:val="fr-CA"/>
        </w:rPr>
        <w:t>Rights</w:t>
      </w:r>
      <w:proofErr w:type="spellEnd"/>
      <w:r>
        <w:rPr>
          <w:rFonts w:cs="Times New Roman"/>
          <w:lang w:val="fr-CA"/>
        </w:rPr>
        <w:t> »</w:t>
      </w:r>
      <w:r w:rsidRPr="00552752">
        <w:rPr>
          <w:rFonts w:cs="Times New Roman"/>
          <w:lang w:val="fr-CA"/>
        </w:rPr>
        <w:t xml:space="preserve"> (2013), 62 </w:t>
      </w:r>
      <w:r w:rsidRPr="00552752">
        <w:rPr>
          <w:rFonts w:cs="Times New Roman"/>
          <w:i/>
          <w:lang w:val="fr-CA"/>
        </w:rPr>
        <w:t>S.C.L.R</w:t>
      </w:r>
      <w:r w:rsidRPr="00552752">
        <w:rPr>
          <w:rFonts w:cs="Times New Roman"/>
          <w:lang w:val="fr-CA"/>
        </w:rPr>
        <w:t>. (2d) 301, p.</w:t>
      </w:r>
      <w:r>
        <w:rPr>
          <w:rFonts w:cs="Times New Roman"/>
          <w:lang w:val="fr-CA"/>
        </w:rPr>
        <w:t xml:space="preserve"> </w:t>
      </w:r>
      <w:r w:rsidRPr="00552752">
        <w:rPr>
          <w:rFonts w:cs="Times New Roman"/>
          <w:lang w:val="fr-CA"/>
        </w:rPr>
        <w:t xml:space="preserve">336). Le </w:t>
      </w:r>
      <w:r w:rsidRPr="00552752">
        <w:rPr>
          <w:rFonts w:cs="Times New Roman"/>
          <w:lang w:val="fr-CA"/>
        </w:rPr>
        <w:lastRenderedPageBreak/>
        <w:t>demandeur peut fonder son allégation sur un ou sur plusieurs motifs, selon l’acte de l’État en cause et son interaction avec le désavantage infligé aux membres du groupe dont il fait partie (</w:t>
      </w:r>
      <w:r w:rsidRPr="00552752">
        <w:rPr>
          <w:rFonts w:cs="Times New Roman"/>
          <w:i/>
          <w:iCs/>
          <w:lang w:val="fr-CA"/>
        </w:rPr>
        <w:t>Law c. Canada (Ministre de l’Emploi et de l’Immigration)</w:t>
      </w:r>
      <w:r w:rsidRPr="00552752">
        <w:rPr>
          <w:rFonts w:cs="Times New Roman"/>
          <w:iCs/>
          <w:lang w:val="fr-CA"/>
        </w:rPr>
        <w:t>,</w:t>
      </w:r>
      <w:r w:rsidRPr="00552752">
        <w:rPr>
          <w:rFonts w:cs="Times New Roman"/>
          <w:lang w:val="fr-CA"/>
        </w:rPr>
        <w:t xml:space="preserve"> [1999] 1 R.C.S.</w:t>
      </w:r>
      <w:r>
        <w:rPr>
          <w:rFonts w:cs="Times New Roman"/>
          <w:lang w:val="fr-CA"/>
        </w:rPr>
        <w:t xml:space="preserve"> </w:t>
      </w:r>
      <w:r w:rsidRPr="00552752">
        <w:rPr>
          <w:rFonts w:cs="Times New Roman"/>
          <w:lang w:val="fr-CA"/>
        </w:rPr>
        <w:t>497, par.</w:t>
      </w:r>
      <w:r>
        <w:rPr>
          <w:rFonts w:cs="Times New Roman"/>
          <w:lang w:val="fr-CA"/>
        </w:rPr>
        <w:t xml:space="preserve"> </w:t>
      </w:r>
      <w:r w:rsidRPr="00552752">
        <w:rPr>
          <w:rFonts w:cs="Times New Roman"/>
          <w:lang w:val="fr-CA"/>
        </w:rPr>
        <w:t xml:space="preserve">37). </w:t>
      </w:r>
    </w:p>
    <w:p w:rsidR="0077539A" w:rsidRPr="00552752" w:rsidRDefault="0077539A" w:rsidP="0077539A">
      <w:pPr>
        <w:pStyle w:val="ParaNoNdepar-AltN"/>
        <w:tabs>
          <w:tab w:val="clear" w:pos="1166"/>
          <w:tab w:val="num" w:pos="1152"/>
        </w:tabs>
        <w:rPr>
          <w:rFonts w:cs="Times New Roman"/>
          <w:lang w:val="fr-CA"/>
        </w:rPr>
      </w:pPr>
      <w:r w:rsidRPr="00552752">
        <w:rPr>
          <w:rFonts w:cs="Times New Roman"/>
          <w:lang w:val="fr-CA"/>
        </w:rPr>
        <w:t>Le second volet de l’analyse est axé sur les désavantages arbitraires — ou discriminatoires —, c’est</w:t>
      </w:r>
      <w:r>
        <w:rPr>
          <w:rFonts w:cs="Times New Roman"/>
          <w:lang w:val="fr-CA"/>
        </w:rPr>
        <w:t>-</w:t>
      </w:r>
      <w:r w:rsidRPr="00552752">
        <w:rPr>
          <w:rFonts w:cs="Times New Roman"/>
          <w:lang w:val="fr-CA"/>
        </w:rPr>
        <w:t>à</w:t>
      </w:r>
      <w:r>
        <w:rPr>
          <w:rFonts w:cs="Times New Roman"/>
          <w:lang w:val="fr-CA"/>
        </w:rPr>
        <w:t>-</w:t>
      </w:r>
      <w:r w:rsidRPr="00552752">
        <w:rPr>
          <w:rFonts w:cs="Times New Roman"/>
          <w:lang w:val="fr-CA"/>
        </w:rPr>
        <w:t>dire sur la question de savoir si la loi contestée ne répond pas aux capacités et aux besoins concrets des membres du groupe et leur impose plutôt un fardeau ou leur nie un avantage d’une manière qui a pour effet de renforcer, de perpétuer ou d’accentuer le désavantage dont ils sont victimes</w:t>
      </w:r>
      <w:r>
        <w:rPr>
          <w:rFonts w:cs="Times New Roman"/>
          <w:lang w:val="fr-CA"/>
        </w:rPr>
        <w:t> :</w:t>
      </w:r>
    </w:p>
    <w:p w:rsidR="0077539A" w:rsidRPr="00552752" w:rsidRDefault="0077539A" w:rsidP="0077539A">
      <w:pPr>
        <w:pStyle w:val="Citation-AltC"/>
        <w:ind w:hanging="1166"/>
        <w:contextualSpacing w:val="0"/>
        <w:rPr>
          <w:lang w:val="fr-CA"/>
        </w:rPr>
      </w:pPr>
      <w:r w:rsidRPr="00552752">
        <w:rPr>
          <w:lang w:val="fr-CA"/>
        </w:rPr>
        <w:tab/>
      </w:r>
      <w:r w:rsidRPr="00552752">
        <w:rPr>
          <w:lang w:val="fr-CA"/>
        </w:rPr>
        <w:tab/>
        <w:t>À la base, l’art.</w:t>
      </w:r>
      <w:r>
        <w:rPr>
          <w:lang w:val="fr-CA"/>
        </w:rPr>
        <w:t xml:space="preserve"> </w:t>
      </w:r>
      <w:r w:rsidRPr="00552752">
        <w:rPr>
          <w:lang w:val="fr-CA"/>
        </w:rPr>
        <w:t>15 résulte d’une prise de conscience que certains groupes ont depuis longtemps été victimes de discrimination, et qu’il faut mettre fin à la perpétuation de cette discrimination. Les actes de l’État qui ont pour effet d’élargir, au lieu de rétrécir, l’écart entre le groupe historiquement défavorisé et le reste de la société sont discriminatoires. [</w:t>
      </w:r>
      <w:r w:rsidRPr="00552752">
        <w:rPr>
          <w:i/>
          <w:iCs/>
          <w:lang w:val="fr-CA"/>
        </w:rPr>
        <w:t>Québec c. A</w:t>
      </w:r>
      <w:r w:rsidRPr="00552752">
        <w:rPr>
          <w:iCs/>
          <w:lang w:val="fr-CA"/>
        </w:rPr>
        <w:t>,</w:t>
      </w:r>
      <w:r w:rsidRPr="00552752">
        <w:rPr>
          <w:i/>
          <w:iCs/>
          <w:lang w:val="fr-CA"/>
        </w:rPr>
        <w:t xml:space="preserve"> </w:t>
      </w:r>
      <w:r w:rsidRPr="00552752">
        <w:rPr>
          <w:lang w:val="fr-CA"/>
        </w:rPr>
        <w:t>par.</w:t>
      </w:r>
      <w:r>
        <w:rPr>
          <w:lang w:val="fr-CA"/>
        </w:rPr>
        <w:t xml:space="preserve"> </w:t>
      </w:r>
      <w:r w:rsidRPr="00552752">
        <w:rPr>
          <w:lang w:val="fr-CA"/>
        </w:rPr>
        <w:t>332]</w:t>
      </w:r>
    </w:p>
    <w:p w:rsidR="0077539A" w:rsidRPr="00552752" w:rsidRDefault="0077539A" w:rsidP="0077539A">
      <w:pPr>
        <w:pStyle w:val="ParaNoNdepar-AltN"/>
        <w:tabs>
          <w:tab w:val="clear" w:pos="1166"/>
          <w:tab w:val="num" w:pos="1152"/>
        </w:tabs>
        <w:rPr>
          <w:rFonts w:cs="Times New Roman"/>
          <w:lang w:val="fr-CA"/>
        </w:rPr>
      </w:pPr>
      <w:r w:rsidRPr="00552752">
        <w:rPr>
          <w:rFonts w:cs="Times New Roman"/>
          <w:lang w:val="fr-CA"/>
        </w:rPr>
        <w:t>Pour établir qu’il y a eu à première vue violation du par.</w:t>
      </w:r>
      <w:r>
        <w:rPr>
          <w:rFonts w:cs="Times New Roman"/>
          <w:lang w:val="fr-CA"/>
        </w:rPr>
        <w:t xml:space="preserve"> </w:t>
      </w:r>
      <w:r w:rsidRPr="00552752">
        <w:rPr>
          <w:rFonts w:cs="Times New Roman"/>
          <w:lang w:val="fr-CA"/>
        </w:rPr>
        <w:t xml:space="preserve">15(1), le demandeur doit par conséquent démontrer que la loi en cause a un effet disproportionné à son égard du fait de son appartenance à un groupe énuméré ou analogue. À la seconde étape de l’analyse, la preuve précise requise variera selon le contexte de la demande, mais </w:t>
      </w:r>
      <w:r>
        <w:rPr>
          <w:rFonts w:cs="Times New Roman"/>
          <w:lang w:val="fr-CA"/>
        </w:rPr>
        <w:t>« </w:t>
      </w:r>
      <w:r w:rsidRPr="00552752">
        <w:rPr>
          <w:rFonts w:cs="Times New Roman"/>
          <w:lang w:val="fr-CA"/>
        </w:rPr>
        <w:t>les éléments tendant à prouver qu’un demandeur a été historiquement désavantagé</w:t>
      </w:r>
      <w:r>
        <w:rPr>
          <w:rFonts w:cs="Times New Roman"/>
          <w:lang w:val="fr-CA"/>
        </w:rPr>
        <w:t> »</w:t>
      </w:r>
      <w:r w:rsidRPr="00552752">
        <w:rPr>
          <w:rFonts w:cs="Times New Roman"/>
          <w:lang w:val="fr-CA"/>
        </w:rPr>
        <w:t xml:space="preserve"> seront pertinents (</w:t>
      </w:r>
      <w:proofErr w:type="spellStart"/>
      <w:r w:rsidRPr="00552752">
        <w:rPr>
          <w:rFonts w:cs="Times New Roman"/>
          <w:i/>
          <w:iCs/>
          <w:lang w:val="fr-CA"/>
        </w:rPr>
        <w:t>Withler</w:t>
      </w:r>
      <w:proofErr w:type="spellEnd"/>
      <w:r w:rsidRPr="00552752">
        <w:rPr>
          <w:rFonts w:cs="Times New Roman"/>
          <w:iCs/>
          <w:lang w:val="fr-CA"/>
        </w:rPr>
        <w:t>,</w:t>
      </w:r>
      <w:r w:rsidRPr="00552752">
        <w:rPr>
          <w:rFonts w:cs="Times New Roman"/>
          <w:i/>
          <w:iCs/>
          <w:lang w:val="fr-CA"/>
        </w:rPr>
        <w:t xml:space="preserve"> </w:t>
      </w:r>
      <w:r w:rsidRPr="00552752">
        <w:rPr>
          <w:rFonts w:cs="Times New Roman"/>
          <w:lang w:val="fr-CA"/>
        </w:rPr>
        <w:t>par.</w:t>
      </w:r>
      <w:r>
        <w:rPr>
          <w:rFonts w:cs="Times New Roman"/>
          <w:lang w:val="fr-CA"/>
        </w:rPr>
        <w:t xml:space="preserve"> </w:t>
      </w:r>
      <w:r w:rsidRPr="00552752">
        <w:rPr>
          <w:rFonts w:cs="Times New Roman"/>
          <w:lang w:val="fr-CA"/>
        </w:rPr>
        <w:t xml:space="preserve">38; </w:t>
      </w:r>
      <w:r w:rsidRPr="00552752">
        <w:rPr>
          <w:rFonts w:cs="Times New Roman"/>
          <w:i/>
          <w:iCs/>
          <w:lang w:val="fr-CA"/>
        </w:rPr>
        <w:t>Québec c. A</w:t>
      </w:r>
      <w:r w:rsidRPr="00552752">
        <w:rPr>
          <w:rFonts w:cs="Times New Roman"/>
          <w:iCs/>
          <w:lang w:val="fr-CA"/>
        </w:rPr>
        <w:t>,</w:t>
      </w:r>
      <w:r w:rsidRPr="00552752">
        <w:rPr>
          <w:rFonts w:cs="Times New Roman"/>
          <w:i/>
          <w:iCs/>
          <w:lang w:val="fr-CA"/>
        </w:rPr>
        <w:t xml:space="preserve"> </w:t>
      </w:r>
      <w:r w:rsidRPr="00552752">
        <w:rPr>
          <w:rFonts w:cs="Times New Roman"/>
          <w:lang w:val="fr-CA"/>
        </w:rPr>
        <w:t>par.</w:t>
      </w:r>
      <w:r>
        <w:rPr>
          <w:rFonts w:cs="Times New Roman"/>
          <w:lang w:val="fr-CA"/>
        </w:rPr>
        <w:t xml:space="preserve"> </w:t>
      </w:r>
      <w:r w:rsidRPr="00552752">
        <w:rPr>
          <w:rFonts w:cs="Times New Roman"/>
          <w:lang w:val="fr-CA"/>
        </w:rPr>
        <w:t xml:space="preserve">327). </w:t>
      </w:r>
    </w:p>
    <w:p w:rsidR="0077539A" w:rsidRPr="00552752" w:rsidRDefault="0077539A" w:rsidP="0077539A">
      <w:pPr>
        <w:pStyle w:val="ParaNoNdepar-AltN"/>
        <w:tabs>
          <w:tab w:val="clear" w:pos="1166"/>
          <w:tab w:val="num" w:pos="1152"/>
        </w:tabs>
        <w:rPr>
          <w:rFonts w:cs="Times New Roman"/>
          <w:lang w:val="fr-CA"/>
        </w:rPr>
      </w:pPr>
      <w:r w:rsidRPr="00552752">
        <w:rPr>
          <w:rFonts w:cs="Times New Roman"/>
          <w:lang w:val="fr-CA"/>
        </w:rPr>
        <w:lastRenderedPageBreak/>
        <w:t xml:space="preserve">Il s’agit en l’espèce de déterminer quel </w:t>
      </w:r>
      <w:r>
        <w:rPr>
          <w:rFonts w:cs="Times New Roman"/>
          <w:lang w:val="fr-CA"/>
        </w:rPr>
        <w:t>« </w:t>
      </w:r>
      <w:r w:rsidRPr="00552752">
        <w:rPr>
          <w:rFonts w:cs="Times New Roman"/>
          <w:lang w:val="fr-CA"/>
        </w:rPr>
        <w:t>groupe énuméré ou analogue</w:t>
      </w:r>
      <w:r>
        <w:rPr>
          <w:rFonts w:cs="Times New Roman"/>
          <w:lang w:val="fr-CA"/>
        </w:rPr>
        <w:t> »</w:t>
      </w:r>
      <w:r w:rsidRPr="00552752">
        <w:rPr>
          <w:rFonts w:cs="Times New Roman"/>
          <w:lang w:val="fr-CA"/>
        </w:rPr>
        <w:t xml:space="preserve"> est victime de discrimination et si M.</w:t>
      </w:r>
      <w:r>
        <w:rPr>
          <w:rFonts w:cs="Times New Roman"/>
          <w:lang w:val="fr-CA"/>
        </w:rPr>
        <w:t xml:space="preserve"> </w:t>
      </w:r>
      <w:proofErr w:type="spellStart"/>
      <w:r w:rsidRPr="00552752">
        <w:rPr>
          <w:rFonts w:cs="Times New Roman"/>
          <w:lang w:val="fr-CA"/>
        </w:rPr>
        <w:t>Taypotat</w:t>
      </w:r>
      <w:proofErr w:type="spellEnd"/>
      <w:r w:rsidRPr="00552752">
        <w:rPr>
          <w:rFonts w:cs="Times New Roman"/>
          <w:lang w:val="fr-CA"/>
        </w:rPr>
        <w:t xml:space="preserve"> a démontré que l’exigence relative au niveau de scolarité prévue par la </w:t>
      </w:r>
      <w:proofErr w:type="spellStart"/>
      <w:r w:rsidRPr="00552752">
        <w:rPr>
          <w:rFonts w:cs="Times New Roman"/>
          <w:i/>
          <w:lang w:val="fr-CA"/>
        </w:rPr>
        <w:t>Kahkewistahaw</w:t>
      </w:r>
      <w:proofErr w:type="spellEnd"/>
      <w:r w:rsidRPr="00552752">
        <w:rPr>
          <w:rFonts w:cs="Times New Roman"/>
          <w:i/>
          <w:lang w:val="fr-CA"/>
        </w:rPr>
        <w:t xml:space="preserve"> </w:t>
      </w:r>
      <w:proofErr w:type="spellStart"/>
      <w:r w:rsidRPr="00552752">
        <w:rPr>
          <w:rFonts w:cs="Times New Roman"/>
          <w:i/>
          <w:lang w:val="fr-CA"/>
        </w:rPr>
        <w:t>Election</w:t>
      </w:r>
      <w:proofErr w:type="spellEnd"/>
      <w:r w:rsidRPr="00552752">
        <w:rPr>
          <w:rFonts w:cs="Times New Roman"/>
          <w:i/>
          <w:lang w:val="fr-CA"/>
        </w:rPr>
        <w:t xml:space="preserve"> </w:t>
      </w:r>
      <w:proofErr w:type="spellStart"/>
      <w:r w:rsidRPr="00552752">
        <w:rPr>
          <w:rFonts w:cs="Times New Roman"/>
          <w:i/>
          <w:lang w:val="fr-CA"/>
        </w:rPr>
        <w:t>Act</w:t>
      </w:r>
      <w:proofErr w:type="spellEnd"/>
      <w:r w:rsidRPr="00552752">
        <w:rPr>
          <w:rFonts w:cs="Times New Roman"/>
          <w:lang w:val="fr-CA"/>
        </w:rPr>
        <w:t xml:space="preserve"> a un effet disproportionné sur les membres de ce groupe. </w:t>
      </w:r>
    </w:p>
    <w:p w:rsidR="0077539A" w:rsidRPr="00552752" w:rsidRDefault="0077539A" w:rsidP="0077539A">
      <w:pPr>
        <w:pStyle w:val="ParaNoNdepar-AltN"/>
        <w:tabs>
          <w:tab w:val="clear" w:pos="1166"/>
          <w:tab w:val="num" w:pos="1152"/>
        </w:tabs>
        <w:rPr>
          <w:rFonts w:cs="Times New Roman"/>
          <w:lang w:val="fr-CA"/>
        </w:rPr>
      </w:pPr>
      <w:r w:rsidRPr="00552752">
        <w:rPr>
          <w:rFonts w:cs="Times New Roman"/>
          <w:lang w:val="fr-CA"/>
        </w:rPr>
        <w:t>Incontestablement, il serait possible de démontrer que le niveau de scolarité requis pour un emploi p</w:t>
      </w:r>
      <w:r w:rsidR="00AB2246">
        <w:rPr>
          <w:rFonts w:cs="Times New Roman"/>
          <w:lang w:val="fr-CA"/>
        </w:rPr>
        <w:t>eut</w:t>
      </w:r>
      <w:r w:rsidRPr="00552752">
        <w:rPr>
          <w:rFonts w:cs="Times New Roman"/>
          <w:lang w:val="fr-CA"/>
        </w:rPr>
        <w:t>, dans certaines circonstances, avoir un effet discriminatoire en violation de l’art.</w:t>
      </w:r>
      <w:r>
        <w:rPr>
          <w:rFonts w:cs="Times New Roman"/>
          <w:lang w:val="fr-CA"/>
        </w:rPr>
        <w:t xml:space="preserve"> </w:t>
      </w:r>
      <w:r w:rsidRPr="00552752">
        <w:rPr>
          <w:rFonts w:cs="Times New Roman"/>
          <w:lang w:val="fr-CA"/>
        </w:rPr>
        <w:t xml:space="preserve">15. Dans l’arrêt </w:t>
      </w:r>
      <w:proofErr w:type="spellStart"/>
      <w:r w:rsidRPr="00552752">
        <w:rPr>
          <w:rFonts w:cs="Times New Roman"/>
          <w:i/>
          <w:iCs/>
          <w:lang w:val="fr-CA"/>
        </w:rPr>
        <w:t>Griggs</w:t>
      </w:r>
      <w:proofErr w:type="spellEnd"/>
      <w:r w:rsidRPr="00552752">
        <w:rPr>
          <w:rFonts w:cs="Times New Roman"/>
          <w:i/>
          <w:iCs/>
          <w:lang w:val="fr-CA"/>
        </w:rPr>
        <w:t xml:space="preserve"> c. Duke Power Co</w:t>
      </w:r>
      <w:r w:rsidR="001A732E">
        <w:rPr>
          <w:rFonts w:cs="Times New Roman"/>
          <w:i/>
          <w:iCs/>
          <w:lang w:val="fr-CA"/>
        </w:rPr>
        <w:t>.</w:t>
      </w:r>
      <w:r w:rsidRPr="00552752">
        <w:rPr>
          <w:rFonts w:cs="Times New Roman"/>
          <w:iCs/>
          <w:lang w:val="fr-CA"/>
        </w:rPr>
        <w:t>,</w:t>
      </w:r>
      <w:r w:rsidRPr="00552752">
        <w:rPr>
          <w:rFonts w:cs="Times New Roman"/>
          <w:i/>
          <w:iCs/>
          <w:lang w:val="fr-CA"/>
        </w:rPr>
        <w:t xml:space="preserve"> </w:t>
      </w:r>
      <w:r w:rsidRPr="00552752">
        <w:rPr>
          <w:rFonts w:cs="Times New Roman"/>
          <w:lang w:val="fr-CA"/>
        </w:rPr>
        <w:t>401 U.S. 424 (1971), par exemple, la Cour</w:t>
      </w:r>
      <w:r>
        <w:rPr>
          <w:rFonts w:cs="Times New Roman"/>
          <w:lang w:val="fr-CA"/>
        </w:rPr>
        <w:t xml:space="preserve"> </w:t>
      </w:r>
      <w:r w:rsidRPr="00552752">
        <w:rPr>
          <w:rFonts w:cs="Times New Roman"/>
          <w:lang w:val="fr-CA"/>
        </w:rPr>
        <w:t>suprême des États</w:t>
      </w:r>
      <w:r>
        <w:rPr>
          <w:rFonts w:cs="Times New Roman"/>
          <w:lang w:val="fr-CA"/>
        </w:rPr>
        <w:t>-</w:t>
      </w:r>
      <w:r w:rsidRPr="00552752">
        <w:rPr>
          <w:rFonts w:cs="Times New Roman"/>
          <w:lang w:val="fr-CA"/>
        </w:rPr>
        <w:t>Unis a conclu que l’employeur qui obligeait ses employés à être titulaire</w:t>
      </w:r>
      <w:r w:rsidR="00AB2246">
        <w:rPr>
          <w:rFonts w:cs="Times New Roman"/>
          <w:lang w:val="fr-CA"/>
        </w:rPr>
        <w:t>s</w:t>
      </w:r>
      <w:r w:rsidRPr="00552752">
        <w:rPr>
          <w:rFonts w:cs="Times New Roman"/>
          <w:lang w:val="fr-CA"/>
        </w:rPr>
        <w:t xml:space="preserve"> d’un diplôme d’études secondaires pour pouvoir travailler, notamment, comme manutentionnaire de charbon ou préposé à la maintenance dans une centrale électrique contrevenait au titre</w:t>
      </w:r>
      <w:r>
        <w:rPr>
          <w:rFonts w:cs="Times New Roman"/>
          <w:lang w:val="fr-CA"/>
        </w:rPr>
        <w:t xml:space="preserve"> </w:t>
      </w:r>
      <w:r w:rsidRPr="00552752">
        <w:rPr>
          <w:rFonts w:cs="Times New Roman"/>
          <w:lang w:val="fr-CA"/>
        </w:rPr>
        <w:t xml:space="preserve">VII de la </w:t>
      </w:r>
      <w:r w:rsidRPr="00552752">
        <w:rPr>
          <w:rFonts w:cs="Times New Roman"/>
          <w:i/>
          <w:iCs/>
          <w:lang w:val="fr-CA"/>
        </w:rPr>
        <w:t xml:space="preserve">Civil </w:t>
      </w:r>
      <w:proofErr w:type="spellStart"/>
      <w:r w:rsidRPr="00552752">
        <w:rPr>
          <w:rFonts w:cs="Times New Roman"/>
          <w:i/>
          <w:iCs/>
          <w:lang w:val="fr-CA"/>
        </w:rPr>
        <w:t>Rights</w:t>
      </w:r>
      <w:proofErr w:type="spellEnd"/>
      <w:r w:rsidRPr="00552752">
        <w:rPr>
          <w:rFonts w:cs="Times New Roman"/>
          <w:i/>
          <w:iCs/>
          <w:lang w:val="fr-CA"/>
        </w:rPr>
        <w:t xml:space="preserve"> </w:t>
      </w:r>
      <w:proofErr w:type="spellStart"/>
      <w:r w:rsidRPr="00552752">
        <w:rPr>
          <w:rFonts w:cs="Times New Roman"/>
          <w:i/>
          <w:iCs/>
          <w:lang w:val="fr-CA"/>
        </w:rPr>
        <w:t>Act</w:t>
      </w:r>
      <w:proofErr w:type="spellEnd"/>
      <w:r w:rsidRPr="00552752">
        <w:rPr>
          <w:rFonts w:cs="Times New Roman"/>
          <w:i/>
          <w:iCs/>
          <w:lang w:val="fr-CA"/>
        </w:rPr>
        <w:t xml:space="preserve"> of 1964</w:t>
      </w:r>
      <w:r w:rsidRPr="00552752">
        <w:rPr>
          <w:rFonts w:cs="Times New Roman"/>
          <w:lang w:val="fr-CA"/>
        </w:rPr>
        <w:t>. Cette exigence apparemment neutre avait pour effet d’exclure de façon disproportionnée les Afro</w:t>
      </w:r>
      <w:r>
        <w:rPr>
          <w:rFonts w:cs="Times New Roman"/>
          <w:lang w:val="fr-CA"/>
        </w:rPr>
        <w:t>-</w:t>
      </w:r>
      <w:r w:rsidRPr="00552752">
        <w:rPr>
          <w:rFonts w:cs="Times New Roman"/>
          <w:lang w:val="fr-CA"/>
        </w:rPr>
        <w:t>Américains de certains postes dans cette usine. La cour a conclu</w:t>
      </w:r>
      <w:r>
        <w:rPr>
          <w:rFonts w:cs="Times New Roman"/>
          <w:lang w:val="fr-CA"/>
        </w:rPr>
        <w:t> :</w:t>
      </w:r>
      <w:r w:rsidRPr="00552752">
        <w:rPr>
          <w:rFonts w:cs="Times New Roman"/>
          <w:lang w:val="fr-CA"/>
        </w:rPr>
        <w:t xml:space="preserve"> </w:t>
      </w:r>
    </w:p>
    <w:p w:rsidR="0077539A" w:rsidRPr="00552752" w:rsidRDefault="0077539A" w:rsidP="0077539A">
      <w:pPr>
        <w:pStyle w:val="Citation-AltC"/>
        <w:ind w:hanging="1166"/>
        <w:contextualSpacing w:val="0"/>
        <w:rPr>
          <w:lang w:val="fr-CA"/>
        </w:rPr>
      </w:pPr>
      <w:r w:rsidRPr="00552752">
        <w:rPr>
          <w:lang w:val="fr-CA"/>
        </w:rPr>
        <w:tab/>
      </w:r>
      <w:r w:rsidR="001A732E" w:rsidRPr="00552752">
        <w:rPr>
          <w:lang w:val="fr-CA"/>
        </w:rPr>
        <w:t>[</w:t>
      </w:r>
      <w:r w:rsidR="001A732E" w:rsidRPr="00552752">
        <w:rPr>
          <w:smallCaps/>
          <w:lang w:val="fr-CA"/>
        </w:rPr>
        <w:t>traduction</w:t>
      </w:r>
      <w:r w:rsidR="001A732E" w:rsidRPr="00552752">
        <w:rPr>
          <w:lang w:val="fr-CA"/>
        </w:rPr>
        <w:t>]</w:t>
      </w:r>
      <w:r w:rsidR="001A732E">
        <w:rPr>
          <w:lang w:val="fr-CA"/>
        </w:rPr>
        <w:t xml:space="preserve"> </w:t>
      </w:r>
      <w:r>
        <w:rPr>
          <w:lang w:val="fr-CA"/>
        </w:rPr>
        <w:t>. . .</w:t>
      </w:r>
      <w:r w:rsidRPr="00552752">
        <w:rPr>
          <w:lang w:val="fr-CA"/>
        </w:rPr>
        <w:t xml:space="preserve"> les pratiques, procédures ou tests en apparence neutres, et même neutres du point de vue de l’intention, ne peuvent être maintenus s’ils ont pour effet de </w:t>
      </w:r>
      <w:r>
        <w:rPr>
          <w:lang w:val="fr-CA"/>
        </w:rPr>
        <w:t>« </w:t>
      </w:r>
      <w:r w:rsidRPr="00552752">
        <w:rPr>
          <w:lang w:val="fr-CA"/>
        </w:rPr>
        <w:t>préserver</w:t>
      </w:r>
      <w:r>
        <w:rPr>
          <w:lang w:val="fr-CA"/>
        </w:rPr>
        <w:t> »</w:t>
      </w:r>
      <w:r w:rsidRPr="00552752">
        <w:rPr>
          <w:lang w:val="fr-CA"/>
        </w:rPr>
        <w:t xml:space="preserve"> le statu quo, à savoir les pratiques d’embauche discriminatoires antérieures. [p.</w:t>
      </w:r>
      <w:r>
        <w:rPr>
          <w:lang w:val="fr-CA"/>
        </w:rPr>
        <w:t xml:space="preserve"> </w:t>
      </w:r>
      <w:r w:rsidRPr="00552752">
        <w:rPr>
          <w:lang w:val="fr-CA"/>
        </w:rPr>
        <w:t xml:space="preserve">430] </w:t>
      </w:r>
    </w:p>
    <w:p w:rsidR="0077539A" w:rsidRPr="00552752" w:rsidRDefault="0077539A" w:rsidP="0077539A">
      <w:pPr>
        <w:pStyle w:val="ContinueParaSuitedupar-AltP"/>
        <w:rPr>
          <w:rFonts w:cs="Times New Roman"/>
          <w:lang w:val="fr-CA"/>
        </w:rPr>
      </w:pPr>
      <w:r w:rsidRPr="00552752">
        <w:rPr>
          <w:rFonts w:cs="Times New Roman"/>
          <w:lang w:val="fr-CA"/>
        </w:rPr>
        <w:t>Ainsi que la cour l’a fait observer, des exigences en matière d’emploi qui n’ont rien à voir avec l’évaluation de l’aptitude à accomplir le travail peuvent constituer des [</w:t>
      </w:r>
      <w:r w:rsidRPr="00552752">
        <w:rPr>
          <w:rFonts w:cs="Times New Roman"/>
          <w:smallCaps/>
          <w:lang w:val="fr-CA"/>
        </w:rPr>
        <w:t>traduction</w:t>
      </w:r>
      <w:r w:rsidRPr="00552752">
        <w:rPr>
          <w:rFonts w:cs="Times New Roman"/>
          <w:lang w:val="fr-CA"/>
        </w:rPr>
        <w:t xml:space="preserve">] </w:t>
      </w:r>
      <w:r>
        <w:rPr>
          <w:rFonts w:cs="Times New Roman"/>
          <w:lang w:val="fr-CA"/>
        </w:rPr>
        <w:t>« </w:t>
      </w:r>
      <w:r w:rsidRPr="00552752">
        <w:rPr>
          <w:rFonts w:cs="Times New Roman"/>
          <w:lang w:val="fr-CA"/>
        </w:rPr>
        <w:t>obstacles inhérents</w:t>
      </w:r>
      <w:r>
        <w:rPr>
          <w:rFonts w:cs="Times New Roman"/>
          <w:lang w:val="fr-CA"/>
        </w:rPr>
        <w:t> »</w:t>
      </w:r>
      <w:r w:rsidRPr="00552752">
        <w:rPr>
          <w:rFonts w:cs="Times New Roman"/>
          <w:lang w:val="fr-CA"/>
        </w:rPr>
        <w:t xml:space="preserve"> pour les groupes minoritaires et seront donc discriminatoires (p.</w:t>
      </w:r>
      <w:r>
        <w:rPr>
          <w:rFonts w:cs="Times New Roman"/>
          <w:lang w:val="fr-CA"/>
        </w:rPr>
        <w:t xml:space="preserve"> </w:t>
      </w:r>
      <w:r w:rsidR="00AB2246">
        <w:rPr>
          <w:rFonts w:cs="Times New Roman"/>
          <w:lang w:val="fr-CA"/>
        </w:rPr>
        <w:t xml:space="preserve">432). </w:t>
      </w:r>
      <w:r w:rsidRPr="00552752">
        <w:rPr>
          <w:rFonts w:cs="Times New Roman"/>
          <w:lang w:val="fr-CA"/>
        </w:rPr>
        <w:t xml:space="preserve">Voir également </w:t>
      </w:r>
      <w:r w:rsidRPr="00552752">
        <w:rPr>
          <w:rFonts w:cs="Times New Roman"/>
          <w:i/>
          <w:iCs/>
          <w:lang w:val="fr-CA"/>
        </w:rPr>
        <w:t>Colombie</w:t>
      </w:r>
      <w:r>
        <w:rPr>
          <w:rFonts w:cs="Times New Roman"/>
          <w:i/>
          <w:iCs/>
          <w:lang w:val="fr-CA"/>
        </w:rPr>
        <w:t>-</w:t>
      </w:r>
      <w:r w:rsidRPr="00552752">
        <w:rPr>
          <w:rFonts w:cs="Times New Roman"/>
          <w:i/>
          <w:iCs/>
          <w:lang w:val="fr-CA"/>
        </w:rPr>
        <w:t xml:space="preserve">Britannique (Public Service </w:t>
      </w:r>
      <w:proofErr w:type="spellStart"/>
      <w:r w:rsidRPr="00552752">
        <w:rPr>
          <w:rFonts w:cs="Times New Roman"/>
          <w:i/>
          <w:iCs/>
          <w:lang w:val="fr-CA"/>
        </w:rPr>
        <w:t>Employee</w:t>
      </w:r>
      <w:proofErr w:type="spellEnd"/>
      <w:r w:rsidRPr="00552752">
        <w:rPr>
          <w:rFonts w:cs="Times New Roman"/>
          <w:i/>
          <w:iCs/>
          <w:lang w:val="fr-CA"/>
        </w:rPr>
        <w:t xml:space="preserve"> Relations Commission) c. BCGSEU</w:t>
      </w:r>
      <w:r w:rsidRPr="00552752">
        <w:rPr>
          <w:rFonts w:cs="Times New Roman"/>
          <w:lang w:val="fr-CA"/>
        </w:rPr>
        <w:t>, [1999] 3 R.C.S.</w:t>
      </w:r>
      <w:r>
        <w:rPr>
          <w:rFonts w:cs="Times New Roman"/>
          <w:lang w:val="fr-CA"/>
        </w:rPr>
        <w:t xml:space="preserve"> </w:t>
      </w:r>
      <w:r w:rsidR="00AB2246">
        <w:rPr>
          <w:rFonts w:cs="Times New Roman"/>
          <w:lang w:val="fr-CA"/>
        </w:rPr>
        <w:t>3.</w:t>
      </w:r>
      <w:r w:rsidRPr="00552752">
        <w:rPr>
          <w:rFonts w:cs="Times New Roman"/>
          <w:lang w:val="fr-CA"/>
        </w:rPr>
        <w:t xml:space="preserve"> </w:t>
      </w:r>
    </w:p>
    <w:p w:rsidR="0077539A" w:rsidRPr="00552752" w:rsidRDefault="0077539A" w:rsidP="0077539A">
      <w:pPr>
        <w:pStyle w:val="ParaNoNdepar-AltN"/>
        <w:tabs>
          <w:tab w:val="clear" w:pos="1166"/>
          <w:tab w:val="num" w:pos="1152"/>
        </w:tabs>
        <w:rPr>
          <w:rFonts w:cs="Times New Roman"/>
          <w:lang w:val="fr-CA"/>
        </w:rPr>
      </w:pPr>
      <w:r w:rsidRPr="00552752">
        <w:rPr>
          <w:rFonts w:cs="Times New Roman"/>
          <w:lang w:val="fr-CA"/>
        </w:rPr>
        <w:lastRenderedPageBreak/>
        <w:t xml:space="preserve">En l’espèce, toutefois, nous ne disposons pratiquement d’aucun élément de preuve quant aux rapports entre l’âge, le fait de résider dans une réserve et le niveau de scolarité des habitants de la Première Nation de </w:t>
      </w:r>
      <w:proofErr w:type="spellStart"/>
      <w:r w:rsidRPr="00552752">
        <w:rPr>
          <w:rFonts w:cs="Times New Roman"/>
          <w:lang w:val="fr-CA"/>
        </w:rPr>
        <w:t>Kahkewistahaw</w:t>
      </w:r>
      <w:proofErr w:type="spellEnd"/>
      <w:r w:rsidRPr="00552752">
        <w:rPr>
          <w:rFonts w:cs="Times New Roman"/>
          <w:lang w:val="fr-CA"/>
        </w:rPr>
        <w:t xml:space="preserve"> qui démontre qu’intervient un tel </w:t>
      </w:r>
      <w:r>
        <w:rPr>
          <w:rFonts w:cs="Times New Roman"/>
          <w:lang w:val="fr-CA"/>
        </w:rPr>
        <w:t>« </w:t>
      </w:r>
      <w:r w:rsidRPr="00552752">
        <w:rPr>
          <w:rFonts w:cs="Times New Roman"/>
          <w:lang w:val="fr-CA"/>
        </w:rPr>
        <w:t>obstacle</w:t>
      </w:r>
      <w:r>
        <w:rPr>
          <w:rFonts w:cs="Times New Roman"/>
          <w:lang w:val="fr-CA"/>
        </w:rPr>
        <w:t> »</w:t>
      </w:r>
      <w:r w:rsidRPr="00552752">
        <w:rPr>
          <w:rFonts w:cs="Times New Roman"/>
          <w:lang w:val="fr-CA"/>
        </w:rPr>
        <w:t xml:space="preserve">. Nous ne disposons non plus d’aucun élément de preuve au sujet de l’effet des dispositions relatives au niveau de scolarité sur les membres plus âgés de la collectivité, sur ceux qui vivent dans une réserve ou encore sur ceux qui appartiennent à ces deux groupes. </w:t>
      </w:r>
    </w:p>
    <w:p w:rsidR="0077539A" w:rsidRPr="00552752" w:rsidRDefault="0077539A" w:rsidP="0077539A">
      <w:pPr>
        <w:pStyle w:val="ParaNoNdepar-AltN"/>
        <w:tabs>
          <w:tab w:val="clear" w:pos="1166"/>
          <w:tab w:val="num" w:pos="1152"/>
        </w:tabs>
        <w:rPr>
          <w:rFonts w:cs="Times New Roman"/>
          <w:lang w:val="fr-CA"/>
        </w:rPr>
      </w:pPr>
      <w:r w:rsidRPr="00552752">
        <w:rPr>
          <w:rFonts w:cs="Times New Roman"/>
          <w:lang w:val="fr-CA"/>
        </w:rPr>
        <w:t xml:space="preserve">Cette situation s’explique </w:t>
      </w:r>
      <w:r w:rsidR="00AB2246">
        <w:rPr>
          <w:rFonts w:cs="Times New Roman"/>
          <w:lang w:val="fr-CA"/>
        </w:rPr>
        <w:t>vraisemblablement</w:t>
      </w:r>
      <w:r w:rsidRPr="00552752">
        <w:rPr>
          <w:rFonts w:cs="Times New Roman"/>
          <w:lang w:val="fr-CA"/>
        </w:rPr>
        <w:t xml:space="preserve"> par le fait que les motifs sur lesquels la Cour d’appel fédérale s’est fondée pour trancher la question relative à l’art.</w:t>
      </w:r>
      <w:r>
        <w:rPr>
          <w:rFonts w:cs="Times New Roman"/>
          <w:lang w:val="fr-CA"/>
        </w:rPr>
        <w:t xml:space="preserve"> </w:t>
      </w:r>
      <w:r w:rsidRPr="00552752">
        <w:rPr>
          <w:rFonts w:cs="Times New Roman"/>
          <w:lang w:val="fr-CA"/>
        </w:rPr>
        <w:t xml:space="preserve">15 — l’âge et le fait de résider dans une réserve — n’avaient été invoqués par Louis </w:t>
      </w:r>
      <w:proofErr w:type="spellStart"/>
      <w:r w:rsidRPr="00552752">
        <w:rPr>
          <w:rFonts w:cs="Times New Roman"/>
          <w:lang w:val="fr-CA"/>
        </w:rPr>
        <w:t>Taypotat</w:t>
      </w:r>
      <w:proofErr w:type="spellEnd"/>
      <w:r w:rsidRPr="00552752">
        <w:rPr>
          <w:rFonts w:cs="Times New Roman"/>
          <w:lang w:val="fr-CA"/>
        </w:rPr>
        <w:t xml:space="preserve"> ni dans sa demande de contrôle judiciaire, ni comme moyen d’appel devant cette cour qui semble plutôt avoir soulevé cette question de son propre chef. </w:t>
      </w:r>
    </w:p>
    <w:p w:rsidR="0077539A" w:rsidRPr="00552752" w:rsidRDefault="0077539A" w:rsidP="0077539A">
      <w:pPr>
        <w:pStyle w:val="ParaNoNdepar-AltN"/>
        <w:tabs>
          <w:tab w:val="clear" w:pos="1166"/>
          <w:tab w:val="num" w:pos="1152"/>
        </w:tabs>
        <w:rPr>
          <w:rFonts w:cs="Times New Roman"/>
          <w:lang w:val="fr-CA"/>
        </w:rPr>
      </w:pPr>
      <w:r w:rsidRPr="00552752">
        <w:rPr>
          <w:rFonts w:cs="Times New Roman"/>
          <w:lang w:val="fr-CA"/>
        </w:rPr>
        <w:t xml:space="preserve">Dans l’arrêt </w:t>
      </w:r>
      <w:r w:rsidRPr="00552752">
        <w:rPr>
          <w:rFonts w:cs="Times New Roman"/>
          <w:i/>
          <w:iCs/>
          <w:lang w:val="fr-CA"/>
        </w:rPr>
        <w:t xml:space="preserve">R. c. </w:t>
      </w:r>
      <w:proofErr w:type="spellStart"/>
      <w:r w:rsidRPr="00552752">
        <w:rPr>
          <w:rFonts w:cs="Times New Roman"/>
          <w:i/>
          <w:iCs/>
          <w:lang w:val="fr-CA"/>
        </w:rPr>
        <w:t>Mian</w:t>
      </w:r>
      <w:proofErr w:type="spellEnd"/>
      <w:r w:rsidRPr="00552752">
        <w:rPr>
          <w:rFonts w:cs="Times New Roman"/>
          <w:iCs/>
          <w:lang w:val="fr-CA"/>
        </w:rPr>
        <w:t>,</w:t>
      </w:r>
      <w:r w:rsidRPr="00552752">
        <w:rPr>
          <w:rFonts w:cs="Times New Roman"/>
          <w:i/>
          <w:iCs/>
          <w:lang w:val="fr-CA"/>
        </w:rPr>
        <w:t xml:space="preserve"> </w:t>
      </w:r>
      <w:r w:rsidRPr="00552752">
        <w:rPr>
          <w:rFonts w:cs="Times New Roman"/>
          <w:lang w:val="fr-CA"/>
        </w:rPr>
        <w:t>[2014] 2 R.C.S.</w:t>
      </w:r>
      <w:r>
        <w:rPr>
          <w:rFonts w:cs="Times New Roman"/>
          <w:lang w:val="fr-CA"/>
        </w:rPr>
        <w:t xml:space="preserve"> </w:t>
      </w:r>
      <w:r w:rsidR="001A732E">
        <w:rPr>
          <w:rFonts w:cs="Times New Roman"/>
          <w:lang w:val="fr-CA"/>
        </w:rPr>
        <w:t>689</w:t>
      </w:r>
      <w:r w:rsidRPr="00552752">
        <w:rPr>
          <w:rFonts w:cs="Times New Roman"/>
          <w:lang w:val="fr-CA"/>
        </w:rPr>
        <w:t xml:space="preserve">, la Cour a précisé qu’une juridiction d’appel ne peut soulever une nouvelle question de sa propre initiative que si </w:t>
      </w:r>
      <w:r w:rsidR="007823E9">
        <w:rPr>
          <w:rFonts w:cs="Times New Roman"/>
          <w:lang w:val="fr-CA"/>
        </w:rPr>
        <w:t>son omission de le faire risqu</w:t>
      </w:r>
      <w:r w:rsidRPr="00552752">
        <w:rPr>
          <w:rFonts w:cs="Times New Roman"/>
          <w:lang w:val="fr-CA"/>
        </w:rPr>
        <w:t>ait d’entraîner une injustice (par.</w:t>
      </w:r>
      <w:r>
        <w:rPr>
          <w:rFonts w:cs="Times New Roman"/>
          <w:lang w:val="fr-CA"/>
        </w:rPr>
        <w:t xml:space="preserve"> </w:t>
      </w:r>
      <w:r w:rsidRPr="00552752">
        <w:rPr>
          <w:rFonts w:cs="Times New Roman"/>
          <w:lang w:val="fr-CA"/>
        </w:rPr>
        <w:t xml:space="preserve">41). La cour doit également être convaincue </w:t>
      </w:r>
      <w:r>
        <w:rPr>
          <w:rFonts w:cs="Times New Roman"/>
          <w:lang w:val="fr-CA"/>
        </w:rPr>
        <w:t>« </w:t>
      </w:r>
      <w:r w:rsidRPr="00552752">
        <w:rPr>
          <w:rFonts w:cs="Times New Roman"/>
          <w:lang w:val="fr-CA"/>
        </w:rPr>
        <w:t>qu’il y a suffisamment d’éléments au dossier pour la trancher</w:t>
      </w:r>
      <w:r>
        <w:rPr>
          <w:rFonts w:cs="Times New Roman"/>
          <w:lang w:val="fr-CA"/>
        </w:rPr>
        <w:t> »</w:t>
      </w:r>
      <w:r w:rsidRPr="00552752">
        <w:rPr>
          <w:rFonts w:cs="Times New Roman"/>
          <w:lang w:val="fr-CA"/>
        </w:rPr>
        <w:t xml:space="preserve"> (par.</w:t>
      </w:r>
      <w:r>
        <w:rPr>
          <w:rFonts w:cs="Times New Roman"/>
          <w:lang w:val="fr-CA"/>
        </w:rPr>
        <w:t xml:space="preserve"> </w:t>
      </w:r>
      <w:r w:rsidRPr="00552752">
        <w:rPr>
          <w:rFonts w:cs="Times New Roman"/>
          <w:lang w:val="fr-CA"/>
        </w:rPr>
        <w:t xml:space="preserve">51). La décision de la Cour d’appel fédérale de soulever la question du fait de résider dans la réserve de son propre chef est particulièrement troublante parce que </w:t>
      </w:r>
      <w:r>
        <w:rPr>
          <w:rFonts w:cs="Times New Roman"/>
          <w:lang w:val="fr-CA"/>
        </w:rPr>
        <w:t>« </w:t>
      </w:r>
      <w:r w:rsidRPr="00552752">
        <w:rPr>
          <w:rFonts w:cs="Times New Roman"/>
          <w:lang w:val="fr-CA"/>
        </w:rPr>
        <w:t>le fait de résider dans une réserve</w:t>
      </w:r>
      <w:r>
        <w:rPr>
          <w:rFonts w:cs="Times New Roman"/>
          <w:lang w:val="fr-CA"/>
        </w:rPr>
        <w:t> »</w:t>
      </w:r>
      <w:r w:rsidRPr="00552752">
        <w:rPr>
          <w:rFonts w:cs="Times New Roman"/>
          <w:lang w:val="fr-CA"/>
        </w:rPr>
        <w:t xml:space="preserve"> n’a pas été reconnu comme un motif analogue à ceux énumérés à l’art.</w:t>
      </w:r>
      <w:r>
        <w:rPr>
          <w:rFonts w:cs="Times New Roman"/>
          <w:lang w:val="fr-CA"/>
        </w:rPr>
        <w:t xml:space="preserve"> </w:t>
      </w:r>
      <w:r w:rsidRPr="00552752">
        <w:rPr>
          <w:rFonts w:cs="Times New Roman"/>
          <w:lang w:val="fr-CA"/>
        </w:rPr>
        <w:t xml:space="preserve">15. Dans l’arrêt </w:t>
      </w:r>
      <w:proofErr w:type="spellStart"/>
      <w:r w:rsidRPr="00552752">
        <w:rPr>
          <w:rFonts w:cs="Times New Roman"/>
          <w:i/>
          <w:iCs/>
          <w:lang w:val="fr-CA"/>
        </w:rPr>
        <w:t>Corbiere</w:t>
      </w:r>
      <w:proofErr w:type="spellEnd"/>
      <w:r w:rsidRPr="00552752">
        <w:rPr>
          <w:rFonts w:cs="Times New Roman"/>
          <w:iCs/>
          <w:lang w:val="fr-CA"/>
        </w:rPr>
        <w:t xml:space="preserve">, la Cour </w:t>
      </w:r>
      <w:r w:rsidRPr="00552752">
        <w:rPr>
          <w:rFonts w:cs="Times New Roman"/>
          <w:lang w:val="fr-CA"/>
        </w:rPr>
        <w:t xml:space="preserve">a reconnu que le fait de vivre </w:t>
      </w:r>
      <w:r w:rsidRPr="00552752">
        <w:rPr>
          <w:rFonts w:cs="Times New Roman"/>
          <w:i/>
          <w:lang w:val="fr-CA"/>
        </w:rPr>
        <w:t>hors réserve</w:t>
      </w:r>
      <w:r w:rsidRPr="00552752">
        <w:rPr>
          <w:rFonts w:cs="Times New Roman"/>
          <w:lang w:val="fr-CA"/>
        </w:rPr>
        <w:t xml:space="preserve"> constituait un motif analogue, mais a refusé de se prononcer sur la question de savoir si le fait de vivre dans une réserve déclenchera également la </w:t>
      </w:r>
      <w:r w:rsidRPr="00552752">
        <w:rPr>
          <w:rFonts w:cs="Times New Roman"/>
          <w:lang w:val="fr-CA"/>
        </w:rPr>
        <w:lastRenderedPageBreak/>
        <w:t>protection de l’art.</w:t>
      </w:r>
      <w:r>
        <w:rPr>
          <w:rFonts w:cs="Times New Roman"/>
          <w:lang w:val="fr-CA"/>
        </w:rPr>
        <w:t xml:space="preserve"> </w:t>
      </w:r>
      <w:r w:rsidRPr="00552752">
        <w:rPr>
          <w:rFonts w:cs="Times New Roman"/>
          <w:lang w:val="fr-CA"/>
        </w:rPr>
        <w:t>15 (par.</w:t>
      </w:r>
      <w:r>
        <w:rPr>
          <w:rFonts w:cs="Times New Roman"/>
          <w:lang w:val="fr-CA"/>
        </w:rPr>
        <w:t xml:space="preserve"> </w:t>
      </w:r>
      <w:r w:rsidRPr="00552752">
        <w:rPr>
          <w:rFonts w:cs="Times New Roman"/>
          <w:lang w:val="fr-CA"/>
        </w:rPr>
        <w:t xml:space="preserve">6 et 62). La décision de la Cour de reconnaître la résidence hors réserve comme motif analogue dans l’arrêt </w:t>
      </w:r>
      <w:proofErr w:type="spellStart"/>
      <w:r w:rsidRPr="00552752">
        <w:rPr>
          <w:rFonts w:cs="Times New Roman"/>
          <w:i/>
          <w:iCs/>
          <w:lang w:val="fr-CA"/>
        </w:rPr>
        <w:t>Corbiere</w:t>
      </w:r>
      <w:proofErr w:type="spellEnd"/>
      <w:r w:rsidRPr="00552752">
        <w:rPr>
          <w:rFonts w:cs="Times New Roman"/>
          <w:lang w:val="fr-CA"/>
        </w:rPr>
        <w:t xml:space="preserve"> reposait en partie sur l’argument suivant lequel les membres des Premières Nations vivant hors réserve avaient subi des désavantages uniques par rapport aux membres de la collectivité vivant dans les réserves et que, pour bon nombre d’entre eux, la décision de vivre hors réserve avait été imposée ou avait été prise à contrecœur. En toute déférence, j’hésiterais à imposer une simple inférence identique sans disposer d’argument ou de preuve présentés par les parties. </w:t>
      </w:r>
    </w:p>
    <w:p w:rsidR="0077539A" w:rsidRPr="00552752" w:rsidRDefault="0077539A" w:rsidP="0077539A">
      <w:pPr>
        <w:pStyle w:val="ParaNoNdepar-AltN"/>
        <w:tabs>
          <w:tab w:val="clear" w:pos="1166"/>
          <w:tab w:val="num" w:pos="1152"/>
        </w:tabs>
        <w:rPr>
          <w:rFonts w:cs="Times New Roman"/>
          <w:lang w:val="fr-CA"/>
        </w:rPr>
      </w:pPr>
      <w:r w:rsidRPr="00552752">
        <w:rPr>
          <w:rFonts w:cs="Times New Roman"/>
          <w:lang w:val="fr-CA"/>
        </w:rPr>
        <w:t>En l’espèce, le dossier factuel ne permettait pas de trancher l’appel sous l’angle d’une violation des droits garantis par l’art.</w:t>
      </w:r>
      <w:r>
        <w:rPr>
          <w:rFonts w:cs="Times New Roman"/>
          <w:lang w:val="fr-CA"/>
        </w:rPr>
        <w:t xml:space="preserve"> </w:t>
      </w:r>
      <w:r w:rsidRPr="00552752">
        <w:rPr>
          <w:rFonts w:cs="Times New Roman"/>
          <w:lang w:val="fr-CA"/>
        </w:rPr>
        <w:t xml:space="preserve">15 aux membres de la collectivité vivant dans une réserve. Mais surtout, le dossier est muet quant au niveau de scolarité des membres de la Première Nation de </w:t>
      </w:r>
      <w:proofErr w:type="spellStart"/>
      <w:r w:rsidRPr="00552752">
        <w:rPr>
          <w:rFonts w:cs="Times New Roman"/>
          <w:lang w:val="fr-CA"/>
        </w:rPr>
        <w:t>Kahkewistahaw</w:t>
      </w:r>
      <w:proofErr w:type="spellEnd"/>
      <w:r w:rsidRPr="00552752">
        <w:rPr>
          <w:rFonts w:cs="Times New Roman"/>
          <w:lang w:val="fr-CA"/>
        </w:rPr>
        <w:t xml:space="preserve"> qui vivent dans une réserve. Les seuls éléments de preuve au dossier qui ont trait au niveau de scolarité et au fait de résider dans une réserve traitent des autochtones âgés de 20 à 24 ans qui vivent dans l’ensemble de la Saskatchewan. Les données sont muettes quant au niveau d’instruction des membres des autres groupes d’âge. (John Richards, </w:t>
      </w:r>
      <w:proofErr w:type="spellStart"/>
      <w:r w:rsidRPr="00552752">
        <w:rPr>
          <w:rFonts w:cs="Times New Roman"/>
          <w:i/>
          <w:lang w:val="fr-CA"/>
        </w:rPr>
        <w:t>Closing</w:t>
      </w:r>
      <w:proofErr w:type="spellEnd"/>
      <w:r w:rsidRPr="00552752">
        <w:rPr>
          <w:rFonts w:cs="Times New Roman"/>
          <w:i/>
          <w:lang w:val="fr-CA"/>
        </w:rPr>
        <w:t xml:space="preserve"> the </w:t>
      </w:r>
      <w:proofErr w:type="spellStart"/>
      <w:r w:rsidRPr="00552752">
        <w:rPr>
          <w:rFonts w:cs="Times New Roman"/>
          <w:i/>
          <w:lang w:val="fr-CA"/>
        </w:rPr>
        <w:t>Aboriginal</w:t>
      </w:r>
      <w:proofErr w:type="spellEnd"/>
      <w:r w:rsidRPr="00552752">
        <w:rPr>
          <w:rFonts w:cs="Times New Roman"/>
          <w:i/>
          <w:lang w:val="fr-CA"/>
        </w:rPr>
        <w:t>/non</w:t>
      </w:r>
      <w:r>
        <w:rPr>
          <w:rFonts w:cs="Times New Roman"/>
          <w:i/>
          <w:lang w:val="fr-CA"/>
        </w:rPr>
        <w:t>-</w:t>
      </w:r>
      <w:proofErr w:type="spellStart"/>
      <w:r w:rsidRPr="00552752">
        <w:rPr>
          <w:rFonts w:cs="Times New Roman"/>
          <w:i/>
          <w:lang w:val="fr-CA"/>
        </w:rPr>
        <w:t>Aboriginal</w:t>
      </w:r>
      <w:proofErr w:type="spellEnd"/>
      <w:r w:rsidRPr="00552752">
        <w:rPr>
          <w:rFonts w:cs="Times New Roman"/>
          <w:i/>
          <w:lang w:val="fr-CA"/>
        </w:rPr>
        <w:t xml:space="preserve"> </w:t>
      </w:r>
      <w:proofErr w:type="spellStart"/>
      <w:r w:rsidRPr="00552752">
        <w:rPr>
          <w:rFonts w:cs="Times New Roman"/>
          <w:i/>
          <w:lang w:val="fr-CA"/>
        </w:rPr>
        <w:t>Education</w:t>
      </w:r>
      <w:proofErr w:type="spellEnd"/>
      <w:r w:rsidRPr="00552752">
        <w:rPr>
          <w:rFonts w:cs="Times New Roman"/>
          <w:i/>
          <w:lang w:val="fr-CA"/>
        </w:rPr>
        <w:t xml:space="preserve"> Gap</w:t>
      </w:r>
      <w:r w:rsidR="001A732E">
        <w:rPr>
          <w:rFonts w:cs="Times New Roman"/>
          <w:i/>
          <w:lang w:val="fr-CA"/>
        </w:rPr>
        <w:t>s</w:t>
      </w:r>
      <w:r w:rsidRPr="00552752">
        <w:rPr>
          <w:rFonts w:cs="Times New Roman"/>
          <w:lang w:val="fr-CA"/>
        </w:rPr>
        <w:t xml:space="preserve"> (2008) (en ligne) (le </w:t>
      </w:r>
      <w:r>
        <w:rPr>
          <w:rFonts w:cs="Times New Roman"/>
          <w:lang w:val="fr-CA"/>
        </w:rPr>
        <w:t>« </w:t>
      </w:r>
      <w:r w:rsidR="001A732E">
        <w:rPr>
          <w:rFonts w:cs="Times New Roman"/>
          <w:lang w:val="fr-CA"/>
        </w:rPr>
        <w:t xml:space="preserve">rapport de l’Institut </w:t>
      </w:r>
      <w:r w:rsidRPr="00552752">
        <w:rPr>
          <w:rFonts w:cs="Times New Roman"/>
          <w:lang w:val="fr-CA"/>
        </w:rPr>
        <w:t>C.D. Howe</w:t>
      </w:r>
      <w:r>
        <w:rPr>
          <w:rFonts w:cs="Times New Roman"/>
          <w:lang w:val="fr-CA"/>
        </w:rPr>
        <w:t> »</w:t>
      </w:r>
      <w:r w:rsidRPr="00552752">
        <w:rPr>
          <w:rFonts w:cs="Times New Roman"/>
          <w:lang w:val="fr-CA"/>
        </w:rPr>
        <w:t>), p.</w:t>
      </w:r>
      <w:r>
        <w:rPr>
          <w:rFonts w:cs="Times New Roman"/>
          <w:lang w:val="fr-CA"/>
        </w:rPr>
        <w:t xml:space="preserve"> </w:t>
      </w:r>
      <w:r w:rsidR="001A732E">
        <w:rPr>
          <w:rFonts w:cs="Times New Roman"/>
          <w:lang w:val="fr-CA"/>
        </w:rPr>
        <w:t>4.)</w:t>
      </w:r>
      <w:r w:rsidRPr="00552752">
        <w:rPr>
          <w:rFonts w:cs="Times New Roman"/>
          <w:lang w:val="fr-CA"/>
        </w:rPr>
        <w:t xml:space="preserve"> </w:t>
      </w:r>
    </w:p>
    <w:p w:rsidR="0077539A" w:rsidRPr="00552752" w:rsidRDefault="0077539A" w:rsidP="0077539A">
      <w:pPr>
        <w:pStyle w:val="ParaNoNdepar-AltN"/>
        <w:rPr>
          <w:rFonts w:cs="Times New Roman"/>
          <w:lang w:val="fr-CA"/>
        </w:rPr>
      </w:pPr>
      <w:r w:rsidRPr="00552752">
        <w:rPr>
          <w:rFonts w:cs="Times New Roman"/>
          <w:lang w:val="fr-CA"/>
        </w:rPr>
        <w:t>Enfin, même s’il avait été régulièrement soulevé et plaidé par les parties, j’ai de sérieuses réserves au sujet du bien</w:t>
      </w:r>
      <w:r>
        <w:rPr>
          <w:rFonts w:cs="Times New Roman"/>
          <w:lang w:val="fr-CA"/>
        </w:rPr>
        <w:t>-</w:t>
      </w:r>
      <w:r w:rsidRPr="00552752">
        <w:rPr>
          <w:rFonts w:cs="Times New Roman"/>
          <w:lang w:val="fr-CA"/>
        </w:rPr>
        <w:t xml:space="preserve">fondé de l’argument suivant lequel les exigences de la </w:t>
      </w:r>
      <w:proofErr w:type="spellStart"/>
      <w:r w:rsidRPr="00552752">
        <w:rPr>
          <w:rFonts w:cs="Times New Roman"/>
          <w:i/>
          <w:lang w:val="fr-CA"/>
        </w:rPr>
        <w:t>Kahkewistahaw</w:t>
      </w:r>
      <w:proofErr w:type="spellEnd"/>
      <w:r w:rsidRPr="00552752">
        <w:rPr>
          <w:rFonts w:cs="Times New Roman"/>
          <w:i/>
          <w:lang w:val="fr-CA"/>
        </w:rPr>
        <w:t xml:space="preserve"> </w:t>
      </w:r>
      <w:proofErr w:type="spellStart"/>
      <w:r w:rsidRPr="00552752">
        <w:rPr>
          <w:rFonts w:cs="Times New Roman"/>
          <w:i/>
          <w:lang w:val="fr-CA"/>
        </w:rPr>
        <w:t>Election</w:t>
      </w:r>
      <w:proofErr w:type="spellEnd"/>
      <w:r w:rsidRPr="00552752">
        <w:rPr>
          <w:rFonts w:cs="Times New Roman"/>
          <w:i/>
          <w:lang w:val="fr-CA"/>
        </w:rPr>
        <w:t xml:space="preserve"> </w:t>
      </w:r>
      <w:proofErr w:type="spellStart"/>
      <w:r w:rsidRPr="00552752">
        <w:rPr>
          <w:rFonts w:cs="Times New Roman"/>
          <w:i/>
          <w:lang w:val="fr-CA"/>
        </w:rPr>
        <w:t>Act</w:t>
      </w:r>
      <w:proofErr w:type="spellEnd"/>
      <w:r w:rsidRPr="00552752">
        <w:rPr>
          <w:rFonts w:cs="Times New Roman"/>
          <w:lang w:val="fr-CA"/>
        </w:rPr>
        <w:t xml:space="preserve"> relatives au niveau de scolarité ont pour effet d’imposer un désavantage arbitraire aux membres de la collectivité du fait qu’ils </w:t>
      </w:r>
      <w:r w:rsidRPr="00552752">
        <w:rPr>
          <w:rFonts w:cs="Times New Roman"/>
          <w:lang w:val="fr-CA"/>
        </w:rPr>
        <w:lastRenderedPageBreak/>
        <w:t xml:space="preserve">résident dans la réserve. La </w:t>
      </w:r>
      <w:proofErr w:type="spellStart"/>
      <w:r w:rsidRPr="00552752">
        <w:rPr>
          <w:rFonts w:cs="Times New Roman"/>
          <w:i/>
          <w:lang w:val="fr-CA"/>
        </w:rPr>
        <w:t>Kahkewistahaw</w:t>
      </w:r>
      <w:proofErr w:type="spellEnd"/>
      <w:r w:rsidRPr="00552752">
        <w:rPr>
          <w:rFonts w:cs="Times New Roman"/>
          <w:i/>
          <w:lang w:val="fr-CA"/>
        </w:rPr>
        <w:t xml:space="preserve"> </w:t>
      </w:r>
      <w:proofErr w:type="spellStart"/>
      <w:r w:rsidRPr="00552752">
        <w:rPr>
          <w:rFonts w:cs="Times New Roman"/>
          <w:i/>
          <w:lang w:val="fr-CA"/>
        </w:rPr>
        <w:t>Election</w:t>
      </w:r>
      <w:proofErr w:type="spellEnd"/>
      <w:r w:rsidRPr="00552752">
        <w:rPr>
          <w:rFonts w:cs="Times New Roman"/>
          <w:i/>
          <w:lang w:val="fr-CA"/>
        </w:rPr>
        <w:t xml:space="preserve"> </w:t>
      </w:r>
      <w:proofErr w:type="spellStart"/>
      <w:r w:rsidRPr="00552752">
        <w:rPr>
          <w:rFonts w:cs="Times New Roman"/>
          <w:i/>
          <w:lang w:val="fr-CA"/>
        </w:rPr>
        <w:t>Act</w:t>
      </w:r>
      <w:proofErr w:type="spellEnd"/>
      <w:r w:rsidRPr="00552752">
        <w:rPr>
          <w:rFonts w:cs="Times New Roman"/>
          <w:lang w:val="fr-CA"/>
        </w:rPr>
        <w:t xml:space="preserve"> prévoit expressément que le chef et trois des quatre conseillers </w:t>
      </w:r>
      <w:r w:rsidRPr="00552752">
        <w:rPr>
          <w:rFonts w:cs="Times New Roman"/>
          <w:i/>
          <w:lang w:val="fr-CA"/>
        </w:rPr>
        <w:t>doivent</w:t>
      </w:r>
      <w:r w:rsidRPr="00552752">
        <w:rPr>
          <w:rFonts w:cs="Times New Roman"/>
          <w:lang w:val="fr-CA"/>
        </w:rPr>
        <w:t xml:space="preserve"> résider dans la réserve au cours de leur mandat (art.</w:t>
      </w:r>
      <w:r>
        <w:rPr>
          <w:rFonts w:cs="Times New Roman"/>
          <w:lang w:val="fr-CA"/>
        </w:rPr>
        <w:t xml:space="preserve"> </w:t>
      </w:r>
      <w:r w:rsidRPr="00552752">
        <w:rPr>
          <w:rFonts w:cs="Times New Roman"/>
          <w:lang w:val="fr-CA"/>
        </w:rPr>
        <w:t xml:space="preserve">9.04 et 9.05). Loin d’avoir pour effet d’exclure les membres de la collectivité qui vivent dans la réserve, la </w:t>
      </w:r>
      <w:proofErr w:type="spellStart"/>
      <w:r w:rsidRPr="00552752">
        <w:rPr>
          <w:rFonts w:cs="Times New Roman"/>
          <w:i/>
          <w:lang w:val="fr-CA"/>
        </w:rPr>
        <w:t>Kahkewistahaw</w:t>
      </w:r>
      <w:proofErr w:type="spellEnd"/>
      <w:r w:rsidRPr="00552752">
        <w:rPr>
          <w:rFonts w:cs="Times New Roman"/>
          <w:i/>
          <w:lang w:val="fr-CA"/>
        </w:rPr>
        <w:t xml:space="preserve"> </w:t>
      </w:r>
      <w:proofErr w:type="spellStart"/>
      <w:r w:rsidRPr="00552752">
        <w:rPr>
          <w:rFonts w:cs="Times New Roman"/>
          <w:i/>
          <w:lang w:val="fr-CA"/>
        </w:rPr>
        <w:t>Election</w:t>
      </w:r>
      <w:proofErr w:type="spellEnd"/>
      <w:r w:rsidRPr="00552752">
        <w:rPr>
          <w:rFonts w:cs="Times New Roman"/>
          <w:i/>
          <w:lang w:val="fr-CA"/>
        </w:rPr>
        <w:t xml:space="preserve"> </w:t>
      </w:r>
      <w:proofErr w:type="spellStart"/>
      <w:r w:rsidRPr="00552752">
        <w:rPr>
          <w:rFonts w:cs="Times New Roman"/>
          <w:i/>
          <w:lang w:val="fr-CA"/>
        </w:rPr>
        <w:t>Act</w:t>
      </w:r>
      <w:proofErr w:type="spellEnd"/>
      <w:r w:rsidRPr="00552752">
        <w:rPr>
          <w:rFonts w:cs="Times New Roman"/>
          <w:lang w:val="fr-CA"/>
        </w:rPr>
        <w:t xml:space="preserve"> est expressément conçue pour favoriser leur participation à la gestion des affaires de la collectivité. Par conséquent, dans le contexte de la </w:t>
      </w:r>
      <w:proofErr w:type="spellStart"/>
      <w:r w:rsidRPr="00552752">
        <w:rPr>
          <w:rFonts w:cs="Times New Roman"/>
          <w:i/>
          <w:lang w:val="fr-CA"/>
        </w:rPr>
        <w:t>Kahkewistahaw</w:t>
      </w:r>
      <w:proofErr w:type="spellEnd"/>
      <w:r w:rsidRPr="00552752">
        <w:rPr>
          <w:rFonts w:cs="Times New Roman"/>
          <w:i/>
          <w:lang w:val="fr-CA"/>
        </w:rPr>
        <w:t xml:space="preserve"> </w:t>
      </w:r>
      <w:proofErr w:type="spellStart"/>
      <w:r w:rsidRPr="00552752">
        <w:rPr>
          <w:rFonts w:cs="Times New Roman"/>
          <w:i/>
          <w:lang w:val="fr-CA"/>
        </w:rPr>
        <w:t>Election</w:t>
      </w:r>
      <w:proofErr w:type="spellEnd"/>
      <w:r w:rsidRPr="00552752">
        <w:rPr>
          <w:rFonts w:cs="Times New Roman"/>
          <w:i/>
          <w:lang w:val="fr-CA"/>
        </w:rPr>
        <w:t xml:space="preserve"> </w:t>
      </w:r>
      <w:proofErr w:type="spellStart"/>
      <w:r w:rsidRPr="00552752">
        <w:rPr>
          <w:rFonts w:cs="Times New Roman"/>
          <w:i/>
          <w:lang w:val="fr-CA"/>
        </w:rPr>
        <w:t>Act</w:t>
      </w:r>
      <w:proofErr w:type="spellEnd"/>
      <w:r w:rsidRPr="00552752">
        <w:rPr>
          <w:rFonts w:cs="Times New Roman"/>
          <w:lang w:val="fr-CA"/>
        </w:rPr>
        <w:t xml:space="preserve"> dans son ensemble, il est difficile de conclure que celle</w:t>
      </w:r>
      <w:r>
        <w:rPr>
          <w:rFonts w:cs="Times New Roman"/>
          <w:lang w:val="fr-CA"/>
        </w:rPr>
        <w:t>-</w:t>
      </w:r>
      <w:r w:rsidRPr="00552752">
        <w:rPr>
          <w:rFonts w:cs="Times New Roman"/>
          <w:lang w:val="fr-CA"/>
        </w:rPr>
        <w:t xml:space="preserve">ci a pour effet de perpétuer un désavantage arbitraire à l’encontre de ces membres de la collectivité. </w:t>
      </w:r>
    </w:p>
    <w:p w:rsidR="0077539A" w:rsidRPr="00552752" w:rsidRDefault="0077539A" w:rsidP="0077539A">
      <w:pPr>
        <w:pStyle w:val="ParaNoNdepar-AltN"/>
        <w:rPr>
          <w:rFonts w:cs="Times New Roman"/>
          <w:lang w:val="fr-CA"/>
        </w:rPr>
      </w:pPr>
      <w:r w:rsidRPr="00552752">
        <w:rPr>
          <w:rFonts w:cs="Times New Roman"/>
          <w:lang w:val="fr-CA"/>
        </w:rPr>
        <w:t xml:space="preserve">En conséquence, j’estime que la Cour d’appel a commis une erreur en concluant que les dispositions de la </w:t>
      </w:r>
      <w:proofErr w:type="spellStart"/>
      <w:r w:rsidRPr="00552752">
        <w:rPr>
          <w:rFonts w:cs="Times New Roman"/>
          <w:i/>
          <w:lang w:val="fr-CA"/>
        </w:rPr>
        <w:t>Kahkewistahaw</w:t>
      </w:r>
      <w:proofErr w:type="spellEnd"/>
      <w:r w:rsidRPr="00552752">
        <w:rPr>
          <w:rFonts w:cs="Times New Roman"/>
          <w:i/>
          <w:lang w:val="fr-CA"/>
        </w:rPr>
        <w:t xml:space="preserve"> </w:t>
      </w:r>
      <w:proofErr w:type="spellStart"/>
      <w:r w:rsidRPr="00552752">
        <w:rPr>
          <w:rFonts w:cs="Times New Roman"/>
          <w:i/>
          <w:lang w:val="fr-CA"/>
        </w:rPr>
        <w:t>Election</w:t>
      </w:r>
      <w:proofErr w:type="spellEnd"/>
      <w:r w:rsidRPr="00552752">
        <w:rPr>
          <w:rFonts w:cs="Times New Roman"/>
          <w:i/>
          <w:lang w:val="fr-CA"/>
        </w:rPr>
        <w:t xml:space="preserve"> </w:t>
      </w:r>
      <w:proofErr w:type="spellStart"/>
      <w:r w:rsidRPr="00552752">
        <w:rPr>
          <w:rFonts w:cs="Times New Roman"/>
          <w:i/>
          <w:lang w:val="fr-CA"/>
        </w:rPr>
        <w:t>Act</w:t>
      </w:r>
      <w:proofErr w:type="spellEnd"/>
      <w:r w:rsidRPr="00552752">
        <w:rPr>
          <w:rFonts w:cs="Times New Roman"/>
          <w:lang w:val="fr-CA"/>
        </w:rPr>
        <w:t xml:space="preserve"> relatives au niveau de scolarité constituent à première vue une violation des droits garantis par l’art.</w:t>
      </w:r>
      <w:r>
        <w:rPr>
          <w:rFonts w:cs="Times New Roman"/>
          <w:lang w:val="fr-CA"/>
        </w:rPr>
        <w:t xml:space="preserve"> </w:t>
      </w:r>
      <w:r w:rsidRPr="00552752">
        <w:rPr>
          <w:rFonts w:cs="Times New Roman"/>
          <w:lang w:val="fr-CA"/>
        </w:rPr>
        <w:t xml:space="preserve">15 aux membres de la collectivité qui vivent dans la réserve. </w:t>
      </w:r>
    </w:p>
    <w:p w:rsidR="0077539A" w:rsidRPr="00552752" w:rsidRDefault="0077539A" w:rsidP="0077539A">
      <w:pPr>
        <w:pStyle w:val="ParaNoNdepar-AltN"/>
        <w:rPr>
          <w:rFonts w:cs="Times New Roman"/>
          <w:lang w:val="fr-CA"/>
        </w:rPr>
      </w:pPr>
      <w:r w:rsidRPr="00552752">
        <w:rPr>
          <w:rFonts w:cs="Times New Roman"/>
          <w:lang w:val="fr-CA"/>
        </w:rPr>
        <w:t xml:space="preserve">En ce qui concerne la conclusion tirée par la Cour d’appel fédérale suivant laquelle les exigences relatives au niveau de scolarité établissent une discrimination à l’encontre des membres plus âgés de la collectivité, nous nous heurtons aux mêmes lacunes sur le plan de la preuve. La Cour d’appel fédérale s’est fondée sur deux éléments de preuve statistique pour tirer cette conclusion. Il s’agit dans le premier cas de données provenant du recensement de 2006 dont la Cour d’appel fédérale a pris connaissance d’office. Ces données démontraient que </w:t>
      </w:r>
    </w:p>
    <w:p w:rsidR="0077539A" w:rsidRPr="00552752" w:rsidRDefault="0077539A" w:rsidP="0077539A">
      <w:pPr>
        <w:pStyle w:val="Citation-AltC"/>
        <w:ind w:hanging="1166"/>
        <w:contextualSpacing w:val="0"/>
        <w:rPr>
          <w:lang w:val="fr-CA"/>
        </w:rPr>
      </w:pPr>
      <w:r w:rsidRPr="00552752">
        <w:rPr>
          <w:lang w:val="fr-CA" w:eastAsia="fr-CA"/>
        </w:rPr>
        <w:tab/>
      </w:r>
      <w:r w:rsidRPr="00552752">
        <w:rPr>
          <w:lang w:val="fr-CA" w:eastAsia="fr-CA"/>
        </w:rPr>
        <w:tab/>
        <w:t>15</w:t>
      </w:r>
      <w:r>
        <w:rPr>
          <w:lang w:val="fr-CA" w:eastAsia="fr-CA"/>
        </w:rPr>
        <w:t xml:space="preserve"> </w:t>
      </w:r>
      <w:r w:rsidRPr="00552752">
        <w:rPr>
          <w:lang w:val="fr-CA" w:eastAsia="fr-CA"/>
        </w:rPr>
        <w:t>p.</w:t>
      </w:r>
      <w:r>
        <w:rPr>
          <w:lang w:val="fr-CA" w:eastAsia="fr-CA"/>
        </w:rPr>
        <w:t xml:space="preserve"> </w:t>
      </w:r>
      <w:r w:rsidRPr="00552752">
        <w:rPr>
          <w:lang w:val="fr-CA" w:eastAsia="fr-CA"/>
        </w:rPr>
        <w:t>cent des Canadiens entre les âges de 25 et 64</w:t>
      </w:r>
      <w:r>
        <w:rPr>
          <w:lang w:val="fr-CA" w:eastAsia="fr-CA"/>
        </w:rPr>
        <w:t xml:space="preserve"> </w:t>
      </w:r>
      <w:r w:rsidRPr="00552752">
        <w:rPr>
          <w:lang w:val="fr-CA" w:eastAsia="fr-CA"/>
        </w:rPr>
        <w:t>ans n’avaient pas terminé leurs études secondaires. Cependant, ce nombre augmente considérablement avec l’âge, allant de 11</w:t>
      </w:r>
      <w:r>
        <w:rPr>
          <w:lang w:val="fr-CA" w:eastAsia="fr-CA"/>
        </w:rPr>
        <w:t xml:space="preserve"> </w:t>
      </w:r>
      <w:r w:rsidRPr="00552752">
        <w:rPr>
          <w:lang w:val="fr-CA" w:eastAsia="fr-CA"/>
        </w:rPr>
        <w:t>p.</w:t>
      </w:r>
      <w:r>
        <w:rPr>
          <w:lang w:val="fr-CA" w:eastAsia="fr-CA"/>
        </w:rPr>
        <w:t xml:space="preserve"> </w:t>
      </w:r>
      <w:r w:rsidRPr="00552752">
        <w:rPr>
          <w:lang w:val="fr-CA" w:eastAsia="fr-CA"/>
        </w:rPr>
        <w:t>cent chez les 25 à 34</w:t>
      </w:r>
      <w:r>
        <w:rPr>
          <w:lang w:val="fr-CA" w:eastAsia="fr-CA"/>
        </w:rPr>
        <w:t xml:space="preserve"> </w:t>
      </w:r>
      <w:r w:rsidRPr="00552752">
        <w:rPr>
          <w:lang w:val="fr-CA" w:eastAsia="fr-CA"/>
        </w:rPr>
        <w:t>ans à 23</w:t>
      </w:r>
      <w:r>
        <w:rPr>
          <w:lang w:val="fr-CA" w:eastAsia="fr-CA"/>
        </w:rPr>
        <w:t xml:space="preserve"> </w:t>
      </w:r>
      <w:r w:rsidRPr="00552752">
        <w:rPr>
          <w:lang w:val="fr-CA" w:eastAsia="fr-CA"/>
        </w:rPr>
        <w:t>p.</w:t>
      </w:r>
      <w:r>
        <w:rPr>
          <w:lang w:val="fr-CA" w:eastAsia="fr-CA"/>
        </w:rPr>
        <w:t xml:space="preserve"> </w:t>
      </w:r>
      <w:r w:rsidRPr="00552752">
        <w:rPr>
          <w:lang w:val="fr-CA" w:eastAsia="fr-CA"/>
        </w:rPr>
        <w:t>cent chez les 55 à 64</w:t>
      </w:r>
      <w:r>
        <w:rPr>
          <w:lang w:val="fr-CA" w:eastAsia="fr-CA"/>
        </w:rPr>
        <w:t xml:space="preserve"> </w:t>
      </w:r>
      <w:r w:rsidRPr="00552752">
        <w:rPr>
          <w:lang w:val="fr-CA" w:eastAsia="fr-CA"/>
        </w:rPr>
        <w:t xml:space="preserve">ans; Statistique Canada, </w:t>
      </w:r>
      <w:r w:rsidRPr="00552752">
        <w:rPr>
          <w:i/>
          <w:lang w:val="fr-CA" w:eastAsia="fr-CA"/>
        </w:rPr>
        <w:t xml:space="preserve">Portrait de la scolarité </w:t>
      </w:r>
      <w:r w:rsidRPr="00552752">
        <w:rPr>
          <w:i/>
          <w:lang w:val="fr-CA" w:eastAsia="fr-CA"/>
        </w:rPr>
        <w:lastRenderedPageBreak/>
        <w:t>au Canada</w:t>
      </w:r>
      <w:r w:rsidRPr="00552752">
        <w:rPr>
          <w:lang w:val="fr-CA" w:eastAsia="fr-CA"/>
        </w:rPr>
        <w:t>, Recensement de 2006 (Ottawa, ministre de l’Industrie, 2008), p.</w:t>
      </w:r>
      <w:r>
        <w:rPr>
          <w:lang w:val="fr-CA" w:eastAsia="fr-CA"/>
        </w:rPr>
        <w:t xml:space="preserve"> </w:t>
      </w:r>
      <w:r w:rsidRPr="00552752">
        <w:rPr>
          <w:lang w:val="fr-CA" w:eastAsia="fr-CA"/>
        </w:rPr>
        <w:t>10 (numéro de catalogue</w:t>
      </w:r>
      <w:r>
        <w:rPr>
          <w:lang w:val="fr-CA" w:eastAsia="fr-CA"/>
        </w:rPr>
        <w:t xml:space="preserve"> </w:t>
      </w:r>
      <w:r w:rsidRPr="00552752">
        <w:rPr>
          <w:lang w:val="fr-CA" w:eastAsia="fr-CA"/>
        </w:rPr>
        <w:t>97</w:t>
      </w:r>
      <w:r>
        <w:rPr>
          <w:lang w:val="fr-CA" w:eastAsia="fr-CA"/>
        </w:rPr>
        <w:t>-</w:t>
      </w:r>
      <w:r w:rsidRPr="00552752">
        <w:rPr>
          <w:lang w:val="fr-CA" w:eastAsia="fr-CA"/>
        </w:rPr>
        <w:t>560). [</w:t>
      </w:r>
      <w:proofErr w:type="gramStart"/>
      <w:r w:rsidRPr="00552752">
        <w:rPr>
          <w:lang w:val="fr-CA" w:eastAsia="fr-CA"/>
        </w:rPr>
        <w:t>par</w:t>
      </w:r>
      <w:proofErr w:type="gramEnd"/>
      <w:r w:rsidRPr="00552752">
        <w:rPr>
          <w:lang w:val="fr-CA" w:eastAsia="fr-CA"/>
        </w:rPr>
        <w:t>.</w:t>
      </w:r>
      <w:r>
        <w:rPr>
          <w:lang w:val="fr-CA" w:eastAsia="fr-CA"/>
        </w:rPr>
        <w:t xml:space="preserve"> </w:t>
      </w:r>
      <w:r w:rsidRPr="00552752">
        <w:rPr>
          <w:lang w:val="fr-CA" w:eastAsia="fr-CA"/>
        </w:rPr>
        <w:t>52]</w:t>
      </w:r>
    </w:p>
    <w:p w:rsidR="0077539A" w:rsidRPr="00552752" w:rsidRDefault="0077539A" w:rsidP="0077539A">
      <w:pPr>
        <w:pStyle w:val="ParaNoNdepar-AltN"/>
        <w:tabs>
          <w:tab w:val="clear" w:pos="1166"/>
          <w:tab w:val="num" w:pos="1152"/>
        </w:tabs>
        <w:rPr>
          <w:rFonts w:cs="Times New Roman"/>
          <w:lang w:val="fr-CA"/>
        </w:rPr>
      </w:pPr>
      <w:r w:rsidRPr="00552752">
        <w:rPr>
          <w:rFonts w:cs="Times New Roman"/>
          <w:lang w:val="fr-CA"/>
        </w:rPr>
        <w:t>Les données tirées de recensements peuvent certainement s’avérer un moyen de preuve utile pour démontrer qu’une loi a un effet défavorable. Mais la présente affaire porte sur un code électoral particulier applicable dans une collectivité des Premières Nations donnée. J’ai du mal à tirer la moindre inférence sur la corrélation entre l’âge et le niveau de scolarité des quelque 2</w:t>
      </w:r>
      <w:r>
        <w:rPr>
          <w:rFonts w:cs="Times New Roman"/>
          <w:lang w:val="fr-CA"/>
        </w:rPr>
        <w:t xml:space="preserve"> </w:t>
      </w:r>
      <w:r w:rsidRPr="00552752">
        <w:rPr>
          <w:rFonts w:cs="Times New Roman"/>
          <w:lang w:val="fr-CA"/>
        </w:rPr>
        <w:t xml:space="preserve">000 membres de la Première Nation de </w:t>
      </w:r>
      <w:proofErr w:type="spellStart"/>
      <w:r w:rsidRPr="00552752">
        <w:rPr>
          <w:rFonts w:cs="Times New Roman"/>
          <w:lang w:val="fr-CA"/>
        </w:rPr>
        <w:t>Kahkewistahaw</w:t>
      </w:r>
      <w:proofErr w:type="spellEnd"/>
      <w:r w:rsidRPr="00552752">
        <w:rPr>
          <w:rFonts w:cs="Times New Roman"/>
          <w:lang w:val="fr-CA"/>
        </w:rPr>
        <w:t xml:space="preserve"> à partir de données d’un recensement portant sur l’ensemble de la population canadienne. Soit dit en tout respect, j’en conclus donc que la Cour d’appel a commis une erreur en prenant connaissance d’office de ces données et en les considérant comme un élément déterminant pour conclure que le code électoral de la Première Nation de </w:t>
      </w:r>
      <w:proofErr w:type="spellStart"/>
      <w:r w:rsidRPr="00552752">
        <w:rPr>
          <w:rFonts w:cs="Times New Roman"/>
          <w:lang w:val="fr-CA"/>
        </w:rPr>
        <w:t>Kahkewistahaw</w:t>
      </w:r>
      <w:proofErr w:type="spellEnd"/>
      <w:r w:rsidRPr="00552752">
        <w:rPr>
          <w:rFonts w:cs="Times New Roman"/>
          <w:lang w:val="fr-CA"/>
        </w:rPr>
        <w:t xml:space="preserve"> défavoriserait les membres plus âgés de la collectivité. </w:t>
      </w:r>
    </w:p>
    <w:p w:rsidR="0077539A" w:rsidRPr="00552752" w:rsidRDefault="0077539A" w:rsidP="0077539A">
      <w:pPr>
        <w:pStyle w:val="ParaNoNdepar-AltN"/>
        <w:rPr>
          <w:rFonts w:cs="Times New Roman"/>
          <w:lang w:val="fr-CA"/>
        </w:rPr>
      </w:pPr>
      <w:r w:rsidRPr="00552752">
        <w:rPr>
          <w:rFonts w:cs="Times New Roman"/>
          <w:lang w:val="fr-CA"/>
        </w:rPr>
        <w:t xml:space="preserve">Le second </w:t>
      </w:r>
      <w:r>
        <w:rPr>
          <w:rFonts w:cs="Times New Roman"/>
          <w:lang w:val="fr-CA"/>
        </w:rPr>
        <w:t>fondement</w:t>
      </w:r>
      <w:r w:rsidRPr="00552752">
        <w:rPr>
          <w:rFonts w:cs="Times New Roman"/>
          <w:lang w:val="fr-CA"/>
        </w:rPr>
        <w:t xml:space="preserve"> statistique sur lequel repose la conclusion de la Cour d’appel fédérale est </w:t>
      </w:r>
      <w:r>
        <w:rPr>
          <w:rFonts w:cs="Times New Roman"/>
          <w:lang w:val="fr-CA"/>
        </w:rPr>
        <w:t xml:space="preserve">un ensemble de données relatives à l’éducation qui figurent dans </w:t>
      </w:r>
      <w:r w:rsidRPr="00552752">
        <w:rPr>
          <w:rFonts w:cs="Times New Roman"/>
          <w:lang w:val="fr-CA"/>
        </w:rPr>
        <w:t xml:space="preserve">le rapport de l’Institut C.D. Howe </w:t>
      </w:r>
      <w:r>
        <w:rPr>
          <w:rFonts w:cs="Times New Roman"/>
          <w:lang w:val="fr-CA"/>
        </w:rPr>
        <w:t>sur les peuples autochtones au Canada</w:t>
      </w:r>
      <w:r w:rsidRPr="00552752">
        <w:rPr>
          <w:rFonts w:cs="Times New Roman"/>
          <w:lang w:val="fr-CA"/>
        </w:rPr>
        <w:t xml:space="preserve"> </w:t>
      </w:r>
      <w:r>
        <w:rPr>
          <w:rFonts w:cs="Times New Roman"/>
          <w:lang w:val="fr-CA"/>
        </w:rPr>
        <w:t>(</w:t>
      </w:r>
      <w:r w:rsidRPr="00552752">
        <w:rPr>
          <w:rFonts w:cs="Times New Roman"/>
          <w:lang w:val="fr-CA"/>
        </w:rPr>
        <w:t>p.</w:t>
      </w:r>
      <w:r>
        <w:rPr>
          <w:rFonts w:cs="Times New Roman"/>
          <w:lang w:val="fr-CA"/>
        </w:rPr>
        <w:t xml:space="preserve"> </w:t>
      </w:r>
      <w:r w:rsidRPr="00552752">
        <w:rPr>
          <w:rFonts w:cs="Times New Roman"/>
          <w:lang w:val="fr-CA"/>
        </w:rPr>
        <w:t>4</w:t>
      </w:r>
      <w:r w:rsidR="00B476B9">
        <w:rPr>
          <w:rFonts w:cs="Times New Roman"/>
          <w:lang w:val="fr-CA"/>
        </w:rPr>
        <w:t>-</w:t>
      </w:r>
      <w:r w:rsidRPr="00552752">
        <w:rPr>
          <w:rFonts w:cs="Times New Roman"/>
          <w:lang w:val="fr-CA"/>
        </w:rPr>
        <w:t xml:space="preserve">5). La Cour d’appel fédérale s’est servie de ces données pour conclure que la disposition en cause aurait un effet disproportionné sur les membres plus âgés de la collectivité de la Première Nation de </w:t>
      </w:r>
      <w:proofErr w:type="spellStart"/>
      <w:r w:rsidRPr="00552752">
        <w:rPr>
          <w:rFonts w:cs="Times New Roman"/>
          <w:lang w:val="fr-CA"/>
        </w:rPr>
        <w:t>Kahkewistahaw</w:t>
      </w:r>
      <w:proofErr w:type="spellEnd"/>
      <w:r w:rsidRPr="00552752">
        <w:rPr>
          <w:rFonts w:cs="Times New Roman"/>
          <w:lang w:val="fr-CA"/>
        </w:rPr>
        <w:t xml:space="preserve">. Or, les données en question se rapportent à tous les Autochtones du Canada, y compris les Métis, les Inuits et les membres des Premières Nations. Ces éléments de preuve sont moins utiles lorsqu’il s’agit d’apporter des éclaircissements sur les liens qui existent entre l’âge et le niveau </w:t>
      </w:r>
      <w:r w:rsidRPr="00552752">
        <w:rPr>
          <w:rFonts w:cs="Times New Roman"/>
          <w:lang w:val="fr-CA"/>
        </w:rPr>
        <w:lastRenderedPageBreak/>
        <w:t xml:space="preserve">d’instruction dans le contexte bien précis des membres de la Première Nation de </w:t>
      </w:r>
      <w:proofErr w:type="spellStart"/>
      <w:r w:rsidRPr="00552752">
        <w:rPr>
          <w:rFonts w:cs="Times New Roman"/>
          <w:lang w:val="fr-CA"/>
        </w:rPr>
        <w:t>Kahkewistahaw</w:t>
      </w:r>
      <w:proofErr w:type="spellEnd"/>
      <w:r w:rsidRPr="00552752">
        <w:rPr>
          <w:rFonts w:cs="Times New Roman"/>
          <w:lang w:val="fr-CA"/>
        </w:rPr>
        <w:t>. Ils visent une population beaucoup plus vaste et diversifiée que celle que vise le code en l’espèce et ils ne nous éclairent pas vraiment sur la question de savoir si et dans quelle mesure l’obligation d’avoir un niveau de scolarité de 12</w:t>
      </w:r>
      <w:r w:rsidRPr="00552752">
        <w:rPr>
          <w:rFonts w:cs="Times New Roman"/>
          <w:vertAlign w:val="superscript"/>
          <w:lang w:val="fr-CA"/>
        </w:rPr>
        <w:t>e</w:t>
      </w:r>
      <w:r>
        <w:rPr>
          <w:rFonts w:cs="Times New Roman"/>
          <w:lang w:val="fr-CA"/>
        </w:rPr>
        <w:t xml:space="preserve"> </w:t>
      </w:r>
      <w:r w:rsidRPr="00552752">
        <w:rPr>
          <w:rFonts w:cs="Times New Roman"/>
          <w:lang w:val="fr-CA"/>
        </w:rPr>
        <w:t xml:space="preserve">année a pour effet de défavoriser les membres plus âgés de la Première Nation de </w:t>
      </w:r>
      <w:proofErr w:type="spellStart"/>
      <w:r w:rsidRPr="00552752">
        <w:rPr>
          <w:rFonts w:cs="Times New Roman"/>
          <w:lang w:val="fr-CA"/>
        </w:rPr>
        <w:t>Kahkewistahaw</w:t>
      </w:r>
      <w:proofErr w:type="spellEnd"/>
      <w:r w:rsidRPr="00552752">
        <w:rPr>
          <w:rFonts w:cs="Times New Roman"/>
          <w:lang w:val="fr-CA"/>
        </w:rPr>
        <w:t>.</w:t>
      </w:r>
    </w:p>
    <w:p w:rsidR="0077539A" w:rsidRPr="00552752" w:rsidRDefault="0077539A" w:rsidP="0077539A">
      <w:pPr>
        <w:pStyle w:val="ParaNoNdepar-AltN"/>
        <w:tabs>
          <w:tab w:val="clear" w:pos="1166"/>
          <w:tab w:val="num" w:pos="1152"/>
        </w:tabs>
        <w:rPr>
          <w:rFonts w:cs="Times New Roman"/>
          <w:lang w:val="fr-CA"/>
        </w:rPr>
      </w:pPr>
      <w:r w:rsidRPr="00552752">
        <w:rPr>
          <w:rFonts w:cs="Times New Roman"/>
          <w:lang w:val="fr-CA"/>
        </w:rPr>
        <w:t>Enfin, dans les arguments qu’il a présentés devant la Cour, M.</w:t>
      </w:r>
      <w:r>
        <w:rPr>
          <w:rFonts w:cs="Times New Roman"/>
          <w:lang w:val="fr-CA"/>
        </w:rPr>
        <w:t xml:space="preserve"> </w:t>
      </w:r>
      <w:proofErr w:type="spellStart"/>
      <w:r w:rsidRPr="00552752">
        <w:rPr>
          <w:rFonts w:cs="Times New Roman"/>
          <w:lang w:val="fr-CA"/>
        </w:rPr>
        <w:t>Taypotat</w:t>
      </w:r>
      <w:proofErr w:type="spellEnd"/>
      <w:r w:rsidRPr="00552752">
        <w:rPr>
          <w:rFonts w:cs="Times New Roman"/>
          <w:lang w:val="fr-CA"/>
        </w:rPr>
        <w:t xml:space="preserve"> a reformulé légèrement la conclusion de la Cour d’appel fédérale en faisant valoir que les dispositions relatives au niveau de scolarité créent une discrimination contre les </w:t>
      </w:r>
      <w:r w:rsidRPr="00552752">
        <w:rPr>
          <w:rFonts w:cs="Times New Roman"/>
          <w:i/>
          <w:iCs/>
          <w:lang w:val="fr-CA"/>
        </w:rPr>
        <w:t xml:space="preserve">membres plus âgés de la collectivité qui vivent dans une réserve </w:t>
      </w:r>
      <w:r w:rsidRPr="00552752">
        <w:rPr>
          <w:rFonts w:cs="Times New Roman"/>
          <w:lang w:val="fr-CA"/>
        </w:rPr>
        <w:t xml:space="preserve">plutôt que, comme la Cour d’appel l’avait conclu, contre à la fois les membres plus âgés de la collectivité </w:t>
      </w:r>
      <w:r w:rsidRPr="00552752">
        <w:rPr>
          <w:rFonts w:cs="Times New Roman"/>
          <w:i/>
          <w:iCs/>
          <w:lang w:val="fr-CA"/>
        </w:rPr>
        <w:t>et</w:t>
      </w:r>
      <w:r w:rsidRPr="00552752">
        <w:rPr>
          <w:rFonts w:cs="Times New Roman"/>
          <w:lang w:val="fr-CA"/>
        </w:rPr>
        <w:t xml:space="preserve"> ceux qui vivent dans la réserve. Sur cette question, là encore, le dossier est muet et nous ne disposons que de la simple affirmation de M.</w:t>
      </w:r>
      <w:r>
        <w:rPr>
          <w:rFonts w:cs="Times New Roman"/>
          <w:lang w:val="fr-CA"/>
        </w:rPr>
        <w:t xml:space="preserve"> </w:t>
      </w:r>
      <w:proofErr w:type="spellStart"/>
      <w:r w:rsidRPr="00552752">
        <w:rPr>
          <w:rFonts w:cs="Times New Roman"/>
          <w:lang w:val="fr-CA"/>
        </w:rPr>
        <w:t>Taypotat</w:t>
      </w:r>
      <w:proofErr w:type="spellEnd"/>
      <w:r w:rsidRPr="00552752">
        <w:rPr>
          <w:rFonts w:cs="Times New Roman"/>
          <w:lang w:val="fr-CA"/>
        </w:rPr>
        <w:t>. Cela ne veut pas dire qu’il soit toujours nécessaire de présenter une preuve statistique pour établir qu’une loi, neutre à première vue, contrevient à l’art.</w:t>
      </w:r>
      <w:r>
        <w:rPr>
          <w:rFonts w:cs="Times New Roman"/>
          <w:lang w:val="fr-CA"/>
        </w:rPr>
        <w:t xml:space="preserve"> </w:t>
      </w:r>
      <w:r w:rsidRPr="00552752">
        <w:rPr>
          <w:rFonts w:cs="Times New Roman"/>
          <w:lang w:val="fr-CA"/>
        </w:rPr>
        <w:t>15. Dans certains cas, l’impact distinct d’une loi sur un groupe énuméré ou analogue sera visible et immédiat. Or, en l’espèce, la preuve ne met en lumière aucun lien de ce type entre l’exigence en matière d’éducation et un impact distinct sur la base d’un motif énuméré ou analogue.</w:t>
      </w:r>
    </w:p>
    <w:p w:rsidR="0077539A" w:rsidRPr="00552752" w:rsidRDefault="0077539A" w:rsidP="0077539A">
      <w:pPr>
        <w:pStyle w:val="ParaNoNdepar-AltN"/>
        <w:rPr>
          <w:rFonts w:cs="Times New Roman"/>
          <w:lang w:val="fr-CA"/>
        </w:rPr>
      </w:pPr>
      <w:r w:rsidRPr="00552752">
        <w:rPr>
          <w:rFonts w:cs="Times New Roman"/>
          <w:lang w:val="fr-CA"/>
        </w:rPr>
        <w:t xml:space="preserve">Je crois que l’intuition peut fort bien nous amener à la conclusion que la disposition en question produit des effets distincts sur certains groupes, mais avant d’exiger de la Première Nation de </w:t>
      </w:r>
      <w:proofErr w:type="spellStart"/>
      <w:r w:rsidRPr="00552752">
        <w:rPr>
          <w:rFonts w:cs="Times New Roman"/>
          <w:lang w:val="fr-CA"/>
        </w:rPr>
        <w:t>Kahkewistahaw</w:t>
      </w:r>
      <w:proofErr w:type="spellEnd"/>
      <w:r w:rsidRPr="00552752">
        <w:rPr>
          <w:rFonts w:cs="Times New Roman"/>
          <w:lang w:val="fr-CA"/>
        </w:rPr>
        <w:t xml:space="preserve"> qu’elle justifie la violation de l’art.</w:t>
      </w:r>
      <w:r>
        <w:rPr>
          <w:rFonts w:cs="Times New Roman"/>
          <w:lang w:val="fr-CA"/>
        </w:rPr>
        <w:t xml:space="preserve"> </w:t>
      </w:r>
      <w:r w:rsidRPr="00552752">
        <w:rPr>
          <w:rFonts w:cs="Times New Roman"/>
          <w:lang w:val="fr-CA"/>
        </w:rPr>
        <w:t xml:space="preserve">15 dans sa </w:t>
      </w:r>
      <w:proofErr w:type="spellStart"/>
      <w:r w:rsidRPr="00552752">
        <w:rPr>
          <w:rFonts w:cs="Times New Roman"/>
          <w:i/>
          <w:lang w:val="fr-CA"/>
        </w:rPr>
        <w:t>Kahkewistahaw</w:t>
      </w:r>
      <w:proofErr w:type="spellEnd"/>
      <w:r w:rsidRPr="00552752">
        <w:rPr>
          <w:rFonts w:cs="Times New Roman"/>
          <w:i/>
          <w:lang w:val="fr-CA"/>
        </w:rPr>
        <w:t xml:space="preserve"> </w:t>
      </w:r>
      <w:proofErr w:type="spellStart"/>
      <w:r w:rsidRPr="00552752">
        <w:rPr>
          <w:rFonts w:cs="Times New Roman"/>
          <w:i/>
          <w:lang w:val="fr-CA"/>
        </w:rPr>
        <w:t>Election</w:t>
      </w:r>
      <w:proofErr w:type="spellEnd"/>
      <w:r w:rsidRPr="00552752">
        <w:rPr>
          <w:rFonts w:cs="Times New Roman"/>
          <w:i/>
          <w:lang w:val="fr-CA"/>
        </w:rPr>
        <w:t xml:space="preserve"> </w:t>
      </w:r>
      <w:proofErr w:type="spellStart"/>
      <w:r w:rsidRPr="00552752">
        <w:rPr>
          <w:rFonts w:cs="Times New Roman"/>
          <w:i/>
          <w:lang w:val="fr-CA"/>
        </w:rPr>
        <w:t>Act</w:t>
      </w:r>
      <w:proofErr w:type="spellEnd"/>
      <w:r w:rsidRPr="00552752">
        <w:rPr>
          <w:rFonts w:cs="Times New Roman"/>
          <w:lang w:val="fr-CA"/>
        </w:rPr>
        <w:t xml:space="preserve">, il doit y avoir suffisamment d’éléments de </w:t>
      </w:r>
      <w:r w:rsidRPr="00552752">
        <w:rPr>
          <w:rFonts w:cs="Times New Roman"/>
          <w:lang w:val="fr-CA"/>
        </w:rPr>
        <w:lastRenderedPageBreak/>
        <w:t xml:space="preserve">preuve pour établir l’existence d’une atteinte à première vue. Bien qu’il ne soit pas nécessaire de s’acquitter d’un lourd fardeau de présentation, la preuve doit comprendre davantage qu’une accumulation d’intuitions. Les éléments de preuve au dossier ne sont pas suffisants — même lorsqu’on les combine — pour démontrer qu’il existe un rapport entre l’âge, le fait de résider dans une réserve et le niveau de scolarité des membres de la Première Nation de </w:t>
      </w:r>
      <w:proofErr w:type="spellStart"/>
      <w:r w:rsidRPr="00552752">
        <w:rPr>
          <w:rFonts w:cs="Times New Roman"/>
          <w:lang w:val="fr-CA"/>
        </w:rPr>
        <w:t>Kahkewistahaw</w:t>
      </w:r>
      <w:proofErr w:type="spellEnd"/>
      <w:r w:rsidRPr="00552752">
        <w:rPr>
          <w:rFonts w:cs="Times New Roman"/>
          <w:lang w:val="fr-CA"/>
        </w:rPr>
        <w:t xml:space="preserve">, et encore moins pour établir qu’un désavantage arbitraire découle des dispositions contestées. </w:t>
      </w:r>
    </w:p>
    <w:p w:rsidR="0077539A" w:rsidRPr="00552752" w:rsidRDefault="0077539A" w:rsidP="0077539A">
      <w:pPr>
        <w:pStyle w:val="ParaNoNdepar-AltN"/>
        <w:rPr>
          <w:rFonts w:cs="Times New Roman"/>
          <w:lang w:val="fr-CA"/>
        </w:rPr>
      </w:pPr>
      <w:r w:rsidRPr="00552752">
        <w:rPr>
          <w:rFonts w:cs="Times New Roman"/>
          <w:lang w:val="fr-CA"/>
        </w:rPr>
        <w:t xml:space="preserve">Par conséquent, je suis d’avis d’accueillir le pourvoi avec dépens et de rétablir la décision du juge de Montigny. </w:t>
      </w:r>
    </w:p>
    <w:p w:rsidR="004D7D95" w:rsidRPr="00095CF0" w:rsidRDefault="004D7D95" w:rsidP="009F1042">
      <w:pPr>
        <w:pStyle w:val="SCCNormalDoubleSpacing"/>
        <w:spacing w:before="480" w:after="480"/>
        <w:rPr>
          <w:lang w:val="fr-CA"/>
        </w:rPr>
      </w:pPr>
      <w:r w:rsidRPr="00095CF0">
        <w:rPr>
          <w:lang w:val="fr-CA"/>
        </w:rPr>
        <w:tab/>
      </w:r>
      <w:r w:rsidR="00177BC5" w:rsidRPr="00095CF0">
        <w:rPr>
          <w:i/>
          <w:lang w:val="fr-CA"/>
        </w:rPr>
        <w:t xml:space="preserve">Pourvoi </w:t>
      </w:r>
      <w:r w:rsidR="00847D7B" w:rsidRPr="00095CF0">
        <w:rPr>
          <w:i/>
          <w:lang w:val="fr-CA"/>
        </w:rPr>
        <w:t>accueilli</w:t>
      </w:r>
      <w:r w:rsidR="00B476B9">
        <w:rPr>
          <w:i/>
          <w:lang w:val="fr-CA"/>
        </w:rPr>
        <w:t xml:space="preserve"> avec dépens</w:t>
      </w:r>
      <w:r w:rsidR="00177BC5" w:rsidRPr="00095CF0">
        <w:rPr>
          <w:i/>
          <w:lang w:val="fr-CA"/>
        </w:rPr>
        <w:t>.</w:t>
      </w:r>
    </w:p>
    <w:p w:rsidR="00F932C9" w:rsidRPr="00095CF0" w:rsidRDefault="00177BC5" w:rsidP="009F1042">
      <w:pPr>
        <w:pStyle w:val="SCCLawFirm"/>
        <w:spacing w:before="480" w:after="480"/>
        <w:rPr>
          <w:lang w:val="fr-CA"/>
        </w:rPr>
      </w:pPr>
      <w:r w:rsidRPr="00095CF0">
        <w:rPr>
          <w:lang w:val="fr-CA"/>
        </w:rPr>
        <w:tab/>
      </w:r>
      <w:r w:rsidR="00F932C9" w:rsidRPr="00095CF0">
        <w:rPr>
          <w:lang w:val="fr-CA"/>
        </w:rPr>
        <w:t>Procureurs des appelants</w:t>
      </w:r>
      <w:r w:rsidR="0077539A">
        <w:rPr>
          <w:lang w:val="fr-CA"/>
        </w:rPr>
        <w:t xml:space="preserve"> : </w:t>
      </w:r>
      <w:proofErr w:type="spellStart"/>
      <w:r w:rsidR="00F932C9" w:rsidRPr="00095CF0">
        <w:rPr>
          <w:lang w:val="fr-CA"/>
        </w:rPr>
        <w:t>Supreme</w:t>
      </w:r>
      <w:proofErr w:type="spellEnd"/>
      <w:r w:rsidR="00F932C9" w:rsidRPr="00095CF0">
        <w:rPr>
          <w:lang w:val="fr-CA"/>
        </w:rPr>
        <w:t xml:space="preserve"> </w:t>
      </w:r>
      <w:proofErr w:type="spellStart"/>
      <w:r w:rsidR="00F932C9" w:rsidRPr="00095CF0">
        <w:rPr>
          <w:lang w:val="fr-CA"/>
        </w:rPr>
        <w:t>Advocacy</w:t>
      </w:r>
      <w:proofErr w:type="spellEnd"/>
      <w:r w:rsidR="00F932C9" w:rsidRPr="00095CF0">
        <w:rPr>
          <w:lang w:val="fr-CA"/>
        </w:rPr>
        <w:t xml:space="preserve">, Ottawa; Bainbridge </w:t>
      </w:r>
      <w:proofErr w:type="spellStart"/>
      <w:r w:rsidR="00F932C9" w:rsidRPr="00095CF0">
        <w:rPr>
          <w:lang w:val="fr-CA"/>
        </w:rPr>
        <w:t>Jodouin</w:t>
      </w:r>
      <w:proofErr w:type="spellEnd"/>
      <w:r w:rsidR="00F932C9" w:rsidRPr="00095CF0">
        <w:rPr>
          <w:lang w:val="fr-CA"/>
        </w:rPr>
        <w:t xml:space="preserve"> </w:t>
      </w:r>
      <w:proofErr w:type="spellStart"/>
      <w:r w:rsidR="00F932C9" w:rsidRPr="00095CF0">
        <w:rPr>
          <w:lang w:val="fr-CA"/>
        </w:rPr>
        <w:t>Cheecham</w:t>
      </w:r>
      <w:proofErr w:type="spellEnd"/>
      <w:r w:rsidR="00F932C9" w:rsidRPr="00095CF0">
        <w:rPr>
          <w:lang w:val="fr-CA"/>
        </w:rPr>
        <w:t>, Saskatoon.</w:t>
      </w:r>
    </w:p>
    <w:p w:rsidR="009B57B3" w:rsidRDefault="00F932C9" w:rsidP="0077539A">
      <w:pPr>
        <w:pStyle w:val="SCCLawFirm"/>
        <w:rPr>
          <w:b/>
          <w:i w:val="0"/>
          <w:lang w:val="fr-CA"/>
        </w:rPr>
      </w:pPr>
      <w:r w:rsidRPr="00095CF0">
        <w:rPr>
          <w:lang w:val="fr-CA"/>
        </w:rPr>
        <w:tab/>
        <w:t>Procureurs de l</w:t>
      </w:r>
      <w:r w:rsidR="006C17B6" w:rsidRPr="00095CF0">
        <w:rPr>
          <w:lang w:val="fr-CA"/>
        </w:rPr>
        <w:t>’</w:t>
      </w:r>
      <w:r w:rsidRPr="00095CF0">
        <w:rPr>
          <w:lang w:val="fr-CA"/>
        </w:rPr>
        <w:t>intimé</w:t>
      </w:r>
      <w:r w:rsidR="0077539A">
        <w:rPr>
          <w:lang w:val="fr-CA"/>
        </w:rPr>
        <w:t xml:space="preserve"> : </w:t>
      </w:r>
      <w:r w:rsidRPr="00095CF0">
        <w:rPr>
          <w:lang w:val="fr-CA"/>
        </w:rPr>
        <w:t>Phillips &amp; Co., Regina.</w:t>
      </w:r>
    </w:p>
    <w:p w:rsidR="0077539A" w:rsidRPr="0077539A" w:rsidRDefault="0077539A" w:rsidP="0077539A">
      <w:pPr>
        <w:pStyle w:val="SCCNormalDoubleSpacing"/>
        <w:rPr>
          <w:lang w:val="fr-CA"/>
        </w:rPr>
      </w:pPr>
    </w:p>
    <w:sectPr w:rsidR="0077539A" w:rsidRPr="0077539A"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32E" w:rsidRDefault="001A732E">
      <w:r>
        <w:separator/>
      </w:r>
    </w:p>
  </w:endnote>
  <w:endnote w:type="continuationSeparator" w:id="0">
    <w:p w:rsidR="001A732E" w:rsidRDefault="001A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32E" w:rsidRDefault="001A732E">
      <w:r>
        <w:separator/>
      </w:r>
    </w:p>
  </w:footnote>
  <w:footnote w:type="continuationSeparator" w:id="0">
    <w:p w:rsidR="001A732E" w:rsidRDefault="001A7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32E" w:rsidRPr="00450352" w:rsidRDefault="001A732E"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854FF7"/>
    <w:multiLevelType w:val="hybridMultilevel"/>
    <w:tmpl w:val="D772CB8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DEE174C"/>
    <w:multiLevelType w:val="hybridMultilevel"/>
    <w:tmpl w:val="D454571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6"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283EE8"/>
    <w:multiLevelType w:val="multilevel"/>
    <w:tmpl w:val="9836C36C"/>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20"/>
  </w:num>
  <w:num w:numId="3">
    <w:abstractNumId w:val="11"/>
  </w:num>
  <w:num w:numId="4">
    <w:abstractNumId w:val="10"/>
  </w:num>
  <w:num w:numId="5">
    <w:abstractNumId w:val="17"/>
  </w:num>
  <w:num w:numId="6">
    <w:abstractNumId w:val="18"/>
  </w:num>
  <w:num w:numId="7">
    <w:abstractNumId w:val="15"/>
  </w:num>
  <w:num w:numId="8">
    <w:abstractNumId w:val="13"/>
  </w:num>
  <w:num w:numId="9">
    <w:abstractNumId w:val="12"/>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23FC7"/>
    <w:rsid w:val="00025198"/>
    <w:rsid w:val="00032C3B"/>
    <w:rsid w:val="000578A3"/>
    <w:rsid w:val="000648CC"/>
    <w:rsid w:val="000807A2"/>
    <w:rsid w:val="00080BA0"/>
    <w:rsid w:val="00095CF0"/>
    <w:rsid w:val="000B396C"/>
    <w:rsid w:val="000C59B8"/>
    <w:rsid w:val="000C6AF0"/>
    <w:rsid w:val="000D0A77"/>
    <w:rsid w:val="000D16F7"/>
    <w:rsid w:val="000E0651"/>
    <w:rsid w:val="000E536D"/>
    <w:rsid w:val="000F7993"/>
    <w:rsid w:val="001002F2"/>
    <w:rsid w:val="00104F33"/>
    <w:rsid w:val="00111DE2"/>
    <w:rsid w:val="00115338"/>
    <w:rsid w:val="00116B38"/>
    <w:rsid w:val="00135406"/>
    <w:rsid w:val="00135972"/>
    <w:rsid w:val="001426A9"/>
    <w:rsid w:val="0014774F"/>
    <w:rsid w:val="00154D7C"/>
    <w:rsid w:val="001570B0"/>
    <w:rsid w:val="0015752C"/>
    <w:rsid w:val="00157737"/>
    <w:rsid w:val="00165277"/>
    <w:rsid w:val="00170592"/>
    <w:rsid w:val="001720F7"/>
    <w:rsid w:val="00177BC5"/>
    <w:rsid w:val="00195D83"/>
    <w:rsid w:val="001A00C1"/>
    <w:rsid w:val="001A732E"/>
    <w:rsid w:val="001B33E0"/>
    <w:rsid w:val="001B4573"/>
    <w:rsid w:val="001C779F"/>
    <w:rsid w:val="001D2AC1"/>
    <w:rsid w:val="001D4E88"/>
    <w:rsid w:val="001F1595"/>
    <w:rsid w:val="002152BB"/>
    <w:rsid w:val="00220FC2"/>
    <w:rsid w:val="002222F4"/>
    <w:rsid w:val="00222375"/>
    <w:rsid w:val="00224FC0"/>
    <w:rsid w:val="00225EA4"/>
    <w:rsid w:val="00226EAF"/>
    <w:rsid w:val="00231F3A"/>
    <w:rsid w:val="002406EE"/>
    <w:rsid w:val="00243EC8"/>
    <w:rsid w:val="0025666A"/>
    <w:rsid w:val="00270D93"/>
    <w:rsid w:val="002745CC"/>
    <w:rsid w:val="002772F0"/>
    <w:rsid w:val="00281688"/>
    <w:rsid w:val="002949D3"/>
    <w:rsid w:val="002A205C"/>
    <w:rsid w:val="002B6FBE"/>
    <w:rsid w:val="002B7924"/>
    <w:rsid w:val="002C10A6"/>
    <w:rsid w:val="002D28C3"/>
    <w:rsid w:val="002D39A4"/>
    <w:rsid w:val="002E6705"/>
    <w:rsid w:val="0030329A"/>
    <w:rsid w:val="0031086F"/>
    <w:rsid w:val="0031414C"/>
    <w:rsid w:val="00314274"/>
    <w:rsid w:val="00314E01"/>
    <w:rsid w:val="0032089D"/>
    <w:rsid w:val="003310DE"/>
    <w:rsid w:val="003323B0"/>
    <w:rsid w:val="003351B3"/>
    <w:rsid w:val="003404C7"/>
    <w:rsid w:val="00340A49"/>
    <w:rsid w:val="0035169A"/>
    <w:rsid w:val="0035259D"/>
    <w:rsid w:val="003538C2"/>
    <w:rsid w:val="00364B18"/>
    <w:rsid w:val="00367BB0"/>
    <w:rsid w:val="00387A13"/>
    <w:rsid w:val="003A125D"/>
    <w:rsid w:val="003A4C70"/>
    <w:rsid w:val="003B215F"/>
    <w:rsid w:val="003B41BB"/>
    <w:rsid w:val="003C63FF"/>
    <w:rsid w:val="003C799C"/>
    <w:rsid w:val="003D0399"/>
    <w:rsid w:val="003E1C71"/>
    <w:rsid w:val="003F327B"/>
    <w:rsid w:val="00406166"/>
    <w:rsid w:val="0040704B"/>
    <w:rsid w:val="00410A55"/>
    <w:rsid w:val="00411300"/>
    <w:rsid w:val="00411B0C"/>
    <w:rsid w:val="00413F17"/>
    <w:rsid w:val="00415417"/>
    <w:rsid w:val="00426659"/>
    <w:rsid w:val="0044069D"/>
    <w:rsid w:val="00450352"/>
    <w:rsid w:val="00451DFA"/>
    <w:rsid w:val="004535F5"/>
    <w:rsid w:val="00454BDB"/>
    <w:rsid w:val="004612C4"/>
    <w:rsid w:val="00465132"/>
    <w:rsid w:val="0047702B"/>
    <w:rsid w:val="00480C90"/>
    <w:rsid w:val="0048396F"/>
    <w:rsid w:val="00493C18"/>
    <w:rsid w:val="004A600C"/>
    <w:rsid w:val="004A6118"/>
    <w:rsid w:val="004C478D"/>
    <w:rsid w:val="004D7D95"/>
    <w:rsid w:val="004E2C26"/>
    <w:rsid w:val="0050527F"/>
    <w:rsid w:val="005125A8"/>
    <w:rsid w:val="00517549"/>
    <w:rsid w:val="00520ABC"/>
    <w:rsid w:val="00521AE8"/>
    <w:rsid w:val="00527180"/>
    <w:rsid w:val="0055443A"/>
    <w:rsid w:val="005549E0"/>
    <w:rsid w:val="00555291"/>
    <w:rsid w:val="00565193"/>
    <w:rsid w:val="00566AD1"/>
    <w:rsid w:val="00583EDE"/>
    <w:rsid w:val="00593CB9"/>
    <w:rsid w:val="005A6079"/>
    <w:rsid w:val="005B041A"/>
    <w:rsid w:val="005C3C40"/>
    <w:rsid w:val="005E3C60"/>
    <w:rsid w:val="005E4698"/>
    <w:rsid w:val="00603924"/>
    <w:rsid w:val="00610539"/>
    <w:rsid w:val="00613969"/>
    <w:rsid w:val="00625C35"/>
    <w:rsid w:val="0064711F"/>
    <w:rsid w:val="00647E49"/>
    <w:rsid w:val="00656313"/>
    <w:rsid w:val="006565F4"/>
    <w:rsid w:val="006622A0"/>
    <w:rsid w:val="0066547E"/>
    <w:rsid w:val="00684EEA"/>
    <w:rsid w:val="0069689B"/>
    <w:rsid w:val="006B5FF5"/>
    <w:rsid w:val="006C17B6"/>
    <w:rsid w:val="006F30AF"/>
    <w:rsid w:val="00701759"/>
    <w:rsid w:val="00705C15"/>
    <w:rsid w:val="007110F6"/>
    <w:rsid w:val="007208D1"/>
    <w:rsid w:val="00723C9C"/>
    <w:rsid w:val="00744518"/>
    <w:rsid w:val="00747288"/>
    <w:rsid w:val="00747DD3"/>
    <w:rsid w:val="007549C8"/>
    <w:rsid w:val="00766D14"/>
    <w:rsid w:val="00767A0F"/>
    <w:rsid w:val="00767E40"/>
    <w:rsid w:val="007715A4"/>
    <w:rsid w:val="0077539A"/>
    <w:rsid w:val="007823E9"/>
    <w:rsid w:val="00791272"/>
    <w:rsid w:val="007972AE"/>
    <w:rsid w:val="007A05F6"/>
    <w:rsid w:val="007B6F4A"/>
    <w:rsid w:val="007E1C47"/>
    <w:rsid w:val="007E337A"/>
    <w:rsid w:val="007E5C70"/>
    <w:rsid w:val="007F2FF5"/>
    <w:rsid w:val="007F3F08"/>
    <w:rsid w:val="007F639B"/>
    <w:rsid w:val="00804CC6"/>
    <w:rsid w:val="008125FF"/>
    <w:rsid w:val="00817190"/>
    <w:rsid w:val="008260E2"/>
    <w:rsid w:val="008322BD"/>
    <w:rsid w:val="00834F73"/>
    <w:rsid w:val="00841F6E"/>
    <w:rsid w:val="00843BFD"/>
    <w:rsid w:val="00847D7B"/>
    <w:rsid w:val="00850621"/>
    <w:rsid w:val="00864C8A"/>
    <w:rsid w:val="00864CF8"/>
    <w:rsid w:val="00874914"/>
    <w:rsid w:val="00891422"/>
    <w:rsid w:val="00892E1A"/>
    <w:rsid w:val="00893DA0"/>
    <w:rsid w:val="008B660A"/>
    <w:rsid w:val="008C01DA"/>
    <w:rsid w:val="008E57C5"/>
    <w:rsid w:val="008F2674"/>
    <w:rsid w:val="008F78E9"/>
    <w:rsid w:val="00904C55"/>
    <w:rsid w:val="009179F9"/>
    <w:rsid w:val="00917C7A"/>
    <w:rsid w:val="009326BC"/>
    <w:rsid w:val="00933E5E"/>
    <w:rsid w:val="00935218"/>
    <w:rsid w:val="00937C52"/>
    <w:rsid w:val="009403F3"/>
    <w:rsid w:val="009439DC"/>
    <w:rsid w:val="00952971"/>
    <w:rsid w:val="009555B7"/>
    <w:rsid w:val="009567AA"/>
    <w:rsid w:val="009602C9"/>
    <w:rsid w:val="00967374"/>
    <w:rsid w:val="009A343A"/>
    <w:rsid w:val="009B2F23"/>
    <w:rsid w:val="009B57B3"/>
    <w:rsid w:val="009D2920"/>
    <w:rsid w:val="009D5AEB"/>
    <w:rsid w:val="009E3C82"/>
    <w:rsid w:val="009F0E33"/>
    <w:rsid w:val="009F1042"/>
    <w:rsid w:val="009F4A9E"/>
    <w:rsid w:val="009F6AD5"/>
    <w:rsid w:val="00A049EA"/>
    <w:rsid w:val="00A06DC3"/>
    <w:rsid w:val="00A149DF"/>
    <w:rsid w:val="00A1755C"/>
    <w:rsid w:val="00A21B90"/>
    <w:rsid w:val="00A22AAC"/>
    <w:rsid w:val="00A41805"/>
    <w:rsid w:val="00A467D6"/>
    <w:rsid w:val="00A501DF"/>
    <w:rsid w:val="00A51882"/>
    <w:rsid w:val="00A52513"/>
    <w:rsid w:val="00A52AFB"/>
    <w:rsid w:val="00A548CB"/>
    <w:rsid w:val="00A5521C"/>
    <w:rsid w:val="00A643E7"/>
    <w:rsid w:val="00A717D0"/>
    <w:rsid w:val="00A73C38"/>
    <w:rsid w:val="00A80F3A"/>
    <w:rsid w:val="00AB2246"/>
    <w:rsid w:val="00AB670D"/>
    <w:rsid w:val="00AC4C5A"/>
    <w:rsid w:val="00AE1565"/>
    <w:rsid w:val="00AE7CAA"/>
    <w:rsid w:val="00AF03C5"/>
    <w:rsid w:val="00B000D8"/>
    <w:rsid w:val="00B00F75"/>
    <w:rsid w:val="00B145B6"/>
    <w:rsid w:val="00B279EB"/>
    <w:rsid w:val="00B43CFD"/>
    <w:rsid w:val="00B440D3"/>
    <w:rsid w:val="00B4466C"/>
    <w:rsid w:val="00B476B9"/>
    <w:rsid w:val="00B50C81"/>
    <w:rsid w:val="00B557F8"/>
    <w:rsid w:val="00B815FC"/>
    <w:rsid w:val="00B84480"/>
    <w:rsid w:val="00B93FBC"/>
    <w:rsid w:val="00BA7DA0"/>
    <w:rsid w:val="00BB2EE4"/>
    <w:rsid w:val="00BB4C92"/>
    <w:rsid w:val="00BC2108"/>
    <w:rsid w:val="00BC6E80"/>
    <w:rsid w:val="00BD0E9E"/>
    <w:rsid w:val="00BD1BEC"/>
    <w:rsid w:val="00BD32FF"/>
    <w:rsid w:val="00BD5FEC"/>
    <w:rsid w:val="00BF6FE9"/>
    <w:rsid w:val="00C02092"/>
    <w:rsid w:val="00C24D91"/>
    <w:rsid w:val="00C26DB2"/>
    <w:rsid w:val="00C51679"/>
    <w:rsid w:val="00C53F14"/>
    <w:rsid w:val="00C56D12"/>
    <w:rsid w:val="00C600CF"/>
    <w:rsid w:val="00C6084F"/>
    <w:rsid w:val="00C62A66"/>
    <w:rsid w:val="00C66359"/>
    <w:rsid w:val="00C71458"/>
    <w:rsid w:val="00C77613"/>
    <w:rsid w:val="00C828E7"/>
    <w:rsid w:val="00C86719"/>
    <w:rsid w:val="00C921DD"/>
    <w:rsid w:val="00C95649"/>
    <w:rsid w:val="00CA6391"/>
    <w:rsid w:val="00CE036E"/>
    <w:rsid w:val="00CE3171"/>
    <w:rsid w:val="00CF1601"/>
    <w:rsid w:val="00D0172F"/>
    <w:rsid w:val="00D01E33"/>
    <w:rsid w:val="00D068A7"/>
    <w:rsid w:val="00D17476"/>
    <w:rsid w:val="00D25FCD"/>
    <w:rsid w:val="00D31C65"/>
    <w:rsid w:val="00D32086"/>
    <w:rsid w:val="00D37A3F"/>
    <w:rsid w:val="00D418C9"/>
    <w:rsid w:val="00D4431D"/>
    <w:rsid w:val="00D4667A"/>
    <w:rsid w:val="00D63A1C"/>
    <w:rsid w:val="00D7516F"/>
    <w:rsid w:val="00D95F8E"/>
    <w:rsid w:val="00DA0590"/>
    <w:rsid w:val="00DC1739"/>
    <w:rsid w:val="00DC1788"/>
    <w:rsid w:val="00DE050D"/>
    <w:rsid w:val="00DE319C"/>
    <w:rsid w:val="00DF0CA8"/>
    <w:rsid w:val="00DF2B48"/>
    <w:rsid w:val="00DF49A7"/>
    <w:rsid w:val="00E033EF"/>
    <w:rsid w:val="00E04DFE"/>
    <w:rsid w:val="00E07EE2"/>
    <w:rsid w:val="00E07FD1"/>
    <w:rsid w:val="00E24573"/>
    <w:rsid w:val="00E25E1E"/>
    <w:rsid w:val="00E27EE7"/>
    <w:rsid w:val="00E35404"/>
    <w:rsid w:val="00E45109"/>
    <w:rsid w:val="00E45714"/>
    <w:rsid w:val="00E47B7A"/>
    <w:rsid w:val="00E52E1D"/>
    <w:rsid w:val="00E56A44"/>
    <w:rsid w:val="00E60269"/>
    <w:rsid w:val="00E63C65"/>
    <w:rsid w:val="00E97830"/>
    <w:rsid w:val="00ED5A97"/>
    <w:rsid w:val="00ED646E"/>
    <w:rsid w:val="00EE0830"/>
    <w:rsid w:val="00EE6CB8"/>
    <w:rsid w:val="00EF0683"/>
    <w:rsid w:val="00EF604F"/>
    <w:rsid w:val="00F0070C"/>
    <w:rsid w:val="00F00EB7"/>
    <w:rsid w:val="00F11220"/>
    <w:rsid w:val="00F36AB6"/>
    <w:rsid w:val="00F37A09"/>
    <w:rsid w:val="00F409CE"/>
    <w:rsid w:val="00F4379D"/>
    <w:rsid w:val="00F50D2D"/>
    <w:rsid w:val="00F56A64"/>
    <w:rsid w:val="00F56C8B"/>
    <w:rsid w:val="00F60B66"/>
    <w:rsid w:val="00F62639"/>
    <w:rsid w:val="00F66810"/>
    <w:rsid w:val="00F84DF4"/>
    <w:rsid w:val="00F85C97"/>
    <w:rsid w:val="00F932C9"/>
    <w:rsid w:val="00FA4FF9"/>
    <w:rsid w:val="00FB37D2"/>
    <w:rsid w:val="00FC32C3"/>
    <w:rsid w:val="00FC4EFB"/>
    <w:rsid w:val="00FD068D"/>
    <w:rsid w:val="00FD4F28"/>
    <w:rsid w:val="00FE6784"/>
    <w:rsid w:val="00FE7A8B"/>
    <w:rsid w:val="00FF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539A"/>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77539A"/>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77539A"/>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77539A"/>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77539A"/>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77539A"/>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77539A"/>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0B396C"/>
    <w:rPr>
      <w:color w:val="0000FF" w:themeColor="hyperlink"/>
      <w:u w:val="single"/>
    </w:rPr>
  </w:style>
  <w:style w:type="paragraph" w:customStyle="1" w:styleId="ParaNoNdepar-AltN">
    <w:name w:val="Para. No. / Nº de par. - Alt N"/>
    <w:qFormat/>
    <w:rsid w:val="005E3C60"/>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2A205C"/>
    <w:rPr>
      <w:sz w:val="16"/>
      <w:szCs w:val="16"/>
    </w:rPr>
  </w:style>
  <w:style w:type="paragraph" w:styleId="CommentText">
    <w:name w:val="annotation text"/>
    <w:basedOn w:val="Normal"/>
    <w:link w:val="CommentTextChar"/>
    <w:uiPriority w:val="99"/>
    <w:semiHidden/>
    <w:unhideWhenUsed/>
    <w:rsid w:val="002A205C"/>
    <w:rPr>
      <w:rFonts w:eastAsiaTheme="minorHAnsi"/>
      <w:sz w:val="20"/>
      <w:lang w:eastAsia="en-US"/>
    </w:rPr>
  </w:style>
  <w:style w:type="character" w:customStyle="1" w:styleId="CommentTextChar">
    <w:name w:val="Comment Text Char"/>
    <w:basedOn w:val="DefaultParagraphFont"/>
    <w:link w:val="CommentText"/>
    <w:uiPriority w:val="99"/>
    <w:semiHidden/>
    <w:rsid w:val="002A205C"/>
    <w:rPr>
      <w:rFonts w:eastAsiaTheme="minorHAnsi"/>
      <w:lang w:eastAsia="en-US"/>
    </w:rPr>
  </w:style>
  <w:style w:type="character" w:customStyle="1" w:styleId="Heading3Char">
    <w:name w:val="Heading 3 Char"/>
    <w:basedOn w:val="DefaultParagraphFont"/>
    <w:link w:val="Heading3"/>
    <w:uiPriority w:val="9"/>
    <w:rsid w:val="0077539A"/>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77539A"/>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77539A"/>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77539A"/>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77539A"/>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77539A"/>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77539A"/>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77539A"/>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77539A"/>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77539A"/>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77539A"/>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77539A"/>
    <w:rPr>
      <w:b/>
      <w:sz w:val="24"/>
    </w:rPr>
  </w:style>
  <w:style w:type="table" w:styleId="TableGrid">
    <w:name w:val="Table Grid"/>
    <w:basedOn w:val="TableNormal"/>
    <w:uiPriority w:val="59"/>
    <w:rsid w:val="007753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7539A"/>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77539A"/>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77539A"/>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77539A"/>
    <w:pPr>
      <w:numPr>
        <w:numId w:val="7"/>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7539A"/>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77539A"/>
    <w:pPr>
      <w:numPr>
        <w:ilvl w:val="2"/>
      </w:numPr>
    </w:pPr>
  </w:style>
  <w:style w:type="paragraph" w:customStyle="1" w:styleId="Title4LevelTitre4Niveau">
    <w:name w:val="Title 4 Level / Titre 4 Niveau"/>
    <w:basedOn w:val="Title3LevelTitre3Niveau"/>
    <w:next w:val="ParaNoNdepar-AltN"/>
    <w:uiPriority w:val="4"/>
    <w:qFormat/>
    <w:rsid w:val="0077539A"/>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77539A"/>
    <w:pPr>
      <w:numPr>
        <w:ilvl w:val="4"/>
      </w:numPr>
    </w:pPr>
  </w:style>
  <w:style w:type="paragraph" w:styleId="TOC1">
    <w:name w:val="toc 1"/>
    <w:basedOn w:val="Normal"/>
    <w:next w:val="Normal"/>
    <w:autoRedefine/>
    <w:uiPriority w:val="99"/>
    <w:semiHidden/>
    <w:rsid w:val="0077539A"/>
    <w:pPr>
      <w:tabs>
        <w:tab w:val="left" w:pos="360"/>
        <w:tab w:val="right" w:leader="dot" w:pos="8270"/>
      </w:tabs>
      <w:spacing w:before="120" w:after="120"/>
    </w:pPr>
    <w:rPr>
      <w:rFonts w:eastAsiaTheme="minorHAnsi" w:cstheme="minorBidi"/>
      <w:noProof/>
      <w:szCs w:val="22"/>
      <w:u w:val="single"/>
      <w:lang w:val="en-US" w:eastAsia="en-US" w:bidi="en-US"/>
    </w:rPr>
  </w:style>
  <w:style w:type="paragraph" w:styleId="TOC2">
    <w:name w:val="toc 2"/>
    <w:basedOn w:val="Normal"/>
    <w:next w:val="Normal"/>
    <w:autoRedefine/>
    <w:uiPriority w:val="99"/>
    <w:semiHidden/>
    <w:rsid w:val="0077539A"/>
    <w:pPr>
      <w:tabs>
        <w:tab w:val="left" w:pos="720"/>
        <w:tab w:val="right" w:leader="dot" w:pos="8270"/>
      </w:tabs>
      <w:spacing w:before="120" w:after="120"/>
      <w:ind w:left="432" w:hanging="432"/>
    </w:pPr>
    <w:rPr>
      <w:rFonts w:eastAsiaTheme="minorHAnsi" w:cstheme="minorBidi"/>
      <w:i/>
      <w:iCs/>
      <w:szCs w:val="22"/>
      <w:lang w:val="en-US" w:eastAsia="en-US" w:bidi="en-US"/>
    </w:rPr>
  </w:style>
  <w:style w:type="paragraph" w:styleId="TOC3">
    <w:name w:val="toc 3"/>
    <w:basedOn w:val="Normal"/>
    <w:next w:val="Normal"/>
    <w:autoRedefine/>
    <w:uiPriority w:val="99"/>
    <w:semiHidden/>
    <w:rsid w:val="0077539A"/>
    <w:pPr>
      <w:tabs>
        <w:tab w:val="left" w:pos="1080"/>
        <w:tab w:val="right" w:leader="dot" w:pos="8270"/>
      </w:tabs>
      <w:spacing w:before="120" w:after="120"/>
      <w:ind w:left="864" w:hanging="432"/>
    </w:pPr>
    <w:rPr>
      <w:rFonts w:eastAsiaTheme="minorHAnsi" w:cstheme="minorBidi"/>
      <w:noProof/>
      <w:szCs w:val="22"/>
      <w:u w:val="single"/>
      <w:lang w:val="en-US" w:eastAsia="en-US" w:bidi="en-US"/>
    </w:rPr>
  </w:style>
  <w:style w:type="paragraph" w:styleId="TOC4">
    <w:name w:val="toc 4"/>
    <w:basedOn w:val="Normal"/>
    <w:next w:val="Normal"/>
    <w:autoRedefine/>
    <w:uiPriority w:val="99"/>
    <w:semiHidden/>
    <w:rsid w:val="0077539A"/>
    <w:pPr>
      <w:tabs>
        <w:tab w:val="left" w:pos="900"/>
        <w:tab w:val="right" w:leader="dot" w:pos="8270"/>
      </w:tabs>
      <w:spacing w:before="120" w:after="120"/>
      <w:ind w:left="900" w:hanging="450"/>
    </w:pPr>
    <w:rPr>
      <w:rFonts w:eastAsiaTheme="minorHAnsi" w:cstheme="minorBidi"/>
      <w:i/>
      <w:iCs/>
      <w:noProof/>
      <w:szCs w:val="22"/>
      <w:lang w:val="en-US" w:eastAsia="en-US" w:bidi="en-US"/>
    </w:rPr>
  </w:style>
  <w:style w:type="paragraph" w:styleId="TOC5">
    <w:name w:val="toc 5"/>
    <w:basedOn w:val="Normal"/>
    <w:next w:val="Normal"/>
    <w:autoRedefine/>
    <w:uiPriority w:val="99"/>
    <w:semiHidden/>
    <w:rsid w:val="0077539A"/>
    <w:pPr>
      <w:tabs>
        <w:tab w:val="left" w:pos="1440"/>
        <w:tab w:val="right" w:leader="dot" w:pos="8270"/>
      </w:tabs>
      <w:spacing w:before="120" w:after="120"/>
      <w:ind w:left="1454" w:hanging="547"/>
    </w:pPr>
    <w:rPr>
      <w:rFonts w:eastAsiaTheme="minorHAnsi" w:cstheme="minorBidi"/>
      <w:noProof/>
      <w:szCs w:val="22"/>
      <w:u w:val="single"/>
      <w:lang w:val="en-US" w:eastAsia="en-US" w:bidi="en-US"/>
    </w:rPr>
  </w:style>
  <w:style w:type="paragraph" w:styleId="TOC6">
    <w:name w:val="toc 6"/>
    <w:basedOn w:val="Normal"/>
    <w:next w:val="Normal"/>
    <w:autoRedefine/>
    <w:uiPriority w:val="99"/>
    <w:semiHidden/>
    <w:rsid w:val="0077539A"/>
    <w:pPr>
      <w:tabs>
        <w:tab w:val="left" w:pos="2160"/>
        <w:tab w:val="right" w:leader="dot" w:pos="8270"/>
      </w:tabs>
      <w:spacing w:after="100"/>
      <w:ind w:left="1800"/>
    </w:pPr>
    <w:rPr>
      <w:rFonts w:eastAsiaTheme="minorHAnsi" w:cstheme="minorBidi"/>
      <w:noProof/>
      <w:szCs w:val="22"/>
      <w:lang w:val="en-US" w:eastAsia="en-US" w:bidi="en-US"/>
    </w:rPr>
  </w:style>
  <w:style w:type="table" w:customStyle="1" w:styleId="TableGrid1">
    <w:name w:val="Table Grid1"/>
    <w:uiPriority w:val="99"/>
    <w:rsid w:val="0077539A"/>
    <w:rPr>
      <w:lang w:val="fr-CA" w:eastAsia="fr-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77539A"/>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aliases w:val="Footnote Text Char2,Footnote Text Char1 Char,Footnote Text Char Char Char,Footnote Text Char Char1,Footnote Text Char1 Char1 Char,Footnote Text Char Char Char1 Char,Footnote Text Char1 Char Char Char"/>
    <w:basedOn w:val="Normal"/>
    <w:link w:val="FootnoteTextChar1"/>
    <w:uiPriority w:val="99"/>
    <w:semiHidden/>
    <w:rsid w:val="0077539A"/>
    <w:rPr>
      <w:rFonts w:eastAsiaTheme="minorHAnsi" w:cstheme="minorBidi"/>
      <w:sz w:val="20"/>
      <w:lang w:val="en-US" w:eastAsia="en-US" w:bidi="en-US"/>
    </w:rPr>
  </w:style>
  <w:style w:type="character" w:customStyle="1" w:styleId="FootnoteTextChar">
    <w:name w:val="Footnote Text Char"/>
    <w:aliases w:val="Footnote Text Char2 Char,Footnote Text Char1 Char Char,Footnote Text Char Char Char Char,Footnote Text Char Char1 Char,Footnote Text Char1 Char1 Char Char,Footnote Text Char Char Char1 Char Char,Footnote Text Char1 Char Char Char Char"/>
    <w:basedOn w:val="DefaultParagraphFont"/>
    <w:uiPriority w:val="99"/>
    <w:semiHidden/>
    <w:rsid w:val="0077539A"/>
  </w:style>
  <w:style w:type="character" w:customStyle="1" w:styleId="FootnoteTextChar1">
    <w:name w:val="Footnote Text Char1"/>
    <w:aliases w:val="Footnote Text Char2 Char1,Footnote Text Char1 Char Char1,Footnote Text Char Char Char Char1,Footnote Text Char Char1 Char1,Footnote Text Char1 Char1 Char Char1,Footnote Text Char Char Char1 Char Char1"/>
    <w:link w:val="FootnoteText"/>
    <w:uiPriority w:val="99"/>
    <w:semiHidden/>
    <w:rsid w:val="0077539A"/>
    <w:rPr>
      <w:rFonts w:eastAsiaTheme="minorHAnsi" w:cstheme="minorBidi"/>
      <w:lang w:val="en-US" w:eastAsia="en-US" w:bidi="en-US"/>
    </w:rPr>
  </w:style>
  <w:style w:type="character" w:styleId="FootnoteReference">
    <w:name w:val="footnote reference"/>
    <w:basedOn w:val="DefaultParagraphFont"/>
    <w:uiPriority w:val="99"/>
    <w:semiHidden/>
    <w:rsid w:val="0077539A"/>
    <w:rPr>
      <w:vertAlign w:val="superscript"/>
    </w:rPr>
  </w:style>
  <w:style w:type="character" w:customStyle="1" w:styleId="sccrespondentforindexchar1">
    <w:name w:val="sccrespondentforindexchar1"/>
    <w:uiPriority w:val="99"/>
    <w:rsid w:val="0077539A"/>
    <w:rPr>
      <w:rFonts w:ascii="Times New Roman" w:hAnsi="Times New Roman" w:cs="Times New Roman"/>
      <w:b/>
      <w:bCs/>
    </w:rPr>
  </w:style>
  <w:style w:type="character" w:customStyle="1" w:styleId="reflex3-block">
    <w:name w:val="reflex3-block"/>
    <w:basedOn w:val="DefaultParagraphFont"/>
    <w:uiPriority w:val="99"/>
    <w:rsid w:val="0077539A"/>
  </w:style>
  <w:style w:type="paragraph" w:styleId="CommentSubject">
    <w:name w:val="annotation subject"/>
    <w:basedOn w:val="CommentText"/>
    <w:next w:val="CommentText"/>
    <w:link w:val="CommentSubjectChar"/>
    <w:uiPriority w:val="99"/>
    <w:semiHidden/>
    <w:unhideWhenUsed/>
    <w:rsid w:val="0077539A"/>
    <w:rPr>
      <w:rFonts w:cstheme="minorBidi"/>
      <w:b/>
      <w:bCs/>
      <w:szCs w:val="22"/>
      <w:lang w:val="en-US" w:bidi="en-US"/>
    </w:rPr>
  </w:style>
  <w:style w:type="character" w:customStyle="1" w:styleId="CommentSubjectChar">
    <w:name w:val="Comment Subject Char"/>
    <w:basedOn w:val="CommentTextChar"/>
    <w:link w:val="CommentSubject"/>
    <w:uiPriority w:val="99"/>
    <w:semiHidden/>
    <w:rsid w:val="0077539A"/>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77539A"/>
    <w:rPr>
      <w:smallCaps/>
      <w:sz w:val="24"/>
    </w:rPr>
  </w:style>
  <w:style w:type="paragraph" w:styleId="NoSpacing">
    <w:name w:val="No Spacing"/>
    <w:uiPriority w:val="1"/>
    <w:rsid w:val="0077539A"/>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77539A"/>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77539A"/>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7753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77539A"/>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77539A"/>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77539A"/>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77539A"/>
    <w:rPr>
      <w:i/>
      <w:iCs/>
    </w:rPr>
  </w:style>
  <w:style w:type="paragraph" w:styleId="ListParagraph">
    <w:name w:val="List Paragraph"/>
    <w:basedOn w:val="Normal"/>
    <w:uiPriority w:val="34"/>
    <w:rsid w:val="0077539A"/>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77539A"/>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77539A"/>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77539A"/>
    <w:rPr>
      <w:i/>
      <w:iCs/>
      <w:color w:val="808080" w:themeColor="text1" w:themeTint="7F"/>
    </w:rPr>
  </w:style>
  <w:style w:type="character" w:styleId="IntenseEmphasis">
    <w:name w:val="Intense Emphasis"/>
    <w:basedOn w:val="DefaultParagraphFont"/>
    <w:uiPriority w:val="21"/>
    <w:rsid w:val="0077539A"/>
    <w:rPr>
      <w:b/>
      <w:bCs/>
      <w:i/>
      <w:iCs/>
      <w:color w:val="4F81BD" w:themeColor="accent1"/>
    </w:rPr>
  </w:style>
  <w:style w:type="character" w:styleId="SubtleReference">
    <w:name w:val="Subtle Reference"/>
    <w:basedOn w:val="DefaultParagraphFont"/>
    <w:uiPriority w:val="31"/>
    <w:rsid w:val="0077539A"/>
    <w:rPr>
      <w:smallCaps/>
      <w:color w:val="C0504D" w:themeColor="accent2"/>
      <w:u w:val="single"/>
    </w:rPr>
  </w:style>
  <w:style w:type="character" w:styleId="IntenseReference">
    <w:name w:val="Intense Reference"/>
    <w:basedOn w:val="DefaultParagraphFont"/>
    <w:uiPriority w:val="32"/>
    <w:rsid w:val="0077539A"/>
    <w:rPr>
      <w:b/>
      <w:bCs/>
      <w:smallCaps/>
      <w:color w:val="C0504D" w:themeColor="accent2"/>
      <w:spacing w:val="5"/>
      <w:u w:val="single"/>
    </w:rPr>
  </w:style>
  <w:style w:type="character" w:styleId="BookTitle">
    <w:name w:val="Book Title"/>
    <w:basedOn w:val="DefaultParagraphFont"/>
    <w:uiPriority w:val="33"/>
    <w:rsid w:val="0077539A"/>
    <w:rPr>
      <w:b/>
      <w:bCs/>
      <w:smallCaps/>
      <w:spacing w:val="5"/>
    </w:rPr>
  </w:style>
  <w:style w:type="paragraph" w:styleId="Revision">
    <w:name w:val="Revision"/>
    <w:hidden/>
    <w:uiPriority w:val="99"/>
    <w:semiHidden/>
    <w:rsid w:val="0077539A"/>
    <w:rPr>
      <w:rFonts w:eastAsiaTheme="minorHAnsi" w:cstheme="minorBidi"/>
      <w:sz w:val="24"/>
      <w:szCs w:val="22"/>
      <w:lang w:val="en-US" w:eastAsia="en-US" w:bidi="en-US"/>
    </w:rPr>
  </w:style>
  <w:style w:type="paragraph" w:customStyle="1" w:styleId="Title6LevelTitre6Niveau">
    <w:name w:val="Title 6 Level / Titre 6 Niveau"/>
    <w:basedOn w:val="Title5LevelTitre5Niveau"/>
    <w:next w:val="ParaNoNdepar-AltN"/>
    <w:uiPriority w:val="4"/>
    <w:qFormat/>
    <w:rsid w:val="0077539A"/>
    <w:pPr>
      <w:numPr>
        <w:ilvl w:val="5"/>
      </w:numPr>
    </w:pPr>
    <w:rPr>
      <w:i/>
      <w:u w:val="none"/>
    </w:rPr>
  </w:style>
  <w:style w:type="character" w:customStyle="1" w:styleId="SCCLsocPartyRoleChar">
    <w:name w:val="SCC.Lsoc.PartyRole Char"/>
    <w:basedOn w:val="DefaultParagraphFont"/>
    <w:rsid w:val="000D16F7"/>
    <w:rPr>
      <w:lang w:val="fr-CA"/>
    </w:rPr>
  </w:style>
  <w:style w:type="paragraph" w:customStyle="1" w:styleId="SCCLsocPrefix">
    <w:name w:val="SCC.Lsoc.Prefix"/>
    <w:basedOn w:val="Normal"/>
    <w:next w:val="Normal"/>
    <w:link w:val="SCCLsocPrefixChar"/>
    <w:rsid w:val="000D16F7"/>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0D16F7"/>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4981</Words>
  <Characters>28398</Characters>
  <Application>Microsoft Office Word</Application>
  <DocSecurity>0</DocSecurity>
  <Lines>236</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2015-06-02T21:00:00Z</dcterms:created>
  <dcterms:modified xsi:type="dcterms:W3CDTF">2015-11-12T15:57:00Z</dcterms:modified>
</cp:coreProperties>
</file>