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4CB" w:rsidRDefault="00BD04CB" w:rsidP="00BD04CB">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08822379" r:id="rId8"/>
        </w:object>
      </w:r>
      <w:r>
        <w:t xml:space="preserve"> </w:t>
      </w:r>
      <w:r>
        <w:ptab w:relativeTo="margin" w:alignment="right" w:leader="none"/>
      </w:r>
    </w:p>
    <w:p w:rsidR="00BD04CB" w:rsidRDefault="00BD04CB" w:rsidP="00BD04CB">
      <w:pPr>
        <w:pStyle w:val="Header"/>
      </w:pPr>
    </w:p>
    <w:p w:rsidR="00BD04CB" w:rsidRPr="001E12E2" w:rsidRDefault="00BD04CB" w:rsidP="00BD04CB">
      <w:pPr>
        <w:jc w:val="center"/>
        <w:rPr>
          <w:b/>
        </w:rPr>
      </w:pPr>
      <w:r w:rsidRPr="001E12E2">
        <w:rPr>
          <w:b/>
        </w:rPr>
        <w:t>COUR SUPRÊME DU CANADA</w:t>
      </w:r>
    </w:p>
    <w:p w:rsidR="00BD04CB" w:rsidRDefault="00BD04CB" w:rsidP="00BD04C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BD04CB" w:rsidRPr="001E12E2" w:rsidTr="00865118">
        <w:trPr>
          <w:cantSplit/>
        </w:trPr>
        <w:tc>
          <w:tcPr>
            <w:tcW w:w="6768" w:type="dxa"/>
          </w:tcPr>
          <w:p w:rsidR="00BD04CB" w:rsidRPr="00BD04CB" w:rsidRDefault="00BD04CB" w:rsidP="00865118">
            <w:pPr>
              <w:rPr>
                <w:lang w:val="fr-CA"/>
              </w:rPr>
            </w:pPr>
            <w:r w:rsidRPr="00BD04CB">
              <w:rPr>
                <w:b/>
                <w:smallCaps/>
                <w:lang w:val="fr-CA"/>
              </w:rPr>
              <w:t>Référence :</w:t>
            </w:r>
            <w:r w:rsidRPr="00BD04CB">
              <w:rPr>
                <w:lang w:val="fr-CA"/>
              </w:rPr>
              <w:t xml:space="preserve"> Canada (Procureur général) </w:t>
            </w:r>
            <w:r w:rsidRPr="00BD04CB">
              <w:rPr>
                <w:i/>
                <w:lang w:val="fr-CA"/>
              </w:rPr>
              <w:t>c.</w:t>
            </w:r>
            <w:r w:rsidRPr="00BD04CB">
              <w:rPr>
                <w:lang w:val="fr-CA"/>
              </w:rPr>
              <w:t xml:space="preserve"> Barnaby, 2015 CSC 31</w:t>
            </w:r>
            <w:r>
              <w:rPr>
                <w:lang w:val="fr-CA"/>
              </w:rPr>
              <w:t>, [2015] 2 R.C.S. 563</w:t>
            </w:r>
            <w:bookmarkStart w:id="0" w:name="_GoBack"/>
            <w:bookmarkEnd w:id="0"/>
          </w:p>
        </w:tc>
        <w:tc>
          <w:tcPr>
            <w:tcW w:w="2808" w:type="dxa"/>
          </w:tcPr>
          <w:p w:rsidR="00BD04CB" w:rsidRPr="001E12E2" w:rsidRDefault="00BD04CB" w:rsidP="00865118">
            <w:r w:rsidRPr="001E12E2">
              <w:rPr>
                <w:b/>
                <w:smallCaps/>
              </w:rPr>
              <w:t>Date</w:t>
            </w:r>
            <w:r>
              <w:rPr>
                <w:b/>
                <w:smallCaps/>
              </w:rPr>
              <w:t> :</w:t>
            </w:r>
            <w:r w:rsidRPr="001E12E2">
              <w:t xml:space="preserve"> </w:t>
            </w:r>
            <w:r>
              <w:t>20150529</w:t>
            </w:r>
          </w:p>
          <w:p w:rsidR="00BD04CB" w:rsidRPr="001E12E2" w:rsidRDefault="00BD04CB" w:rsidP="00865118">
            <w:r w:rsidRPr="001E12E2">
              <w:rPr>
                <w:b/>
                <w:smallCaps/>
              </w:rPr>
              <w:t>Do</w:t>
            </w:r>
            <w:r>
              <w:rPr>
                <w:b/>
                <w:smallCaps/>
              </w:rPr>
              <w:t>ssier :</w:t>
            </w:r>
            <w:r w:rsidRPr="001E12E2">
              <w:t xml:space="preserve"> </w:t>
            </w:r>
            <w:r>
              <w:t>35548</w:t>
            </w:r>
          </w:p>
        </w:tc>
      </w:tr>
    </w:tbl>
    <w:p w:rsidR="00BD04CB" w:rsidRPr="001E12E2" w:rsidRDefault="00BD04CB" w:rsidP="00BD04CB"/>
    <w:p w:rsidR="00BD04CB" w:rsidRDefault="00BD04CB" w:rsidP="00BD04CB">
      <w:pPr>
        <w:pStyle w:val="SCCLsocPrefix"/>
      </w:pPr>
      <w:r>
        <w:t>Entre :</w:t>
      </w:r>
    </w:p>
    <w:p w:rsidR="00BD04CB" w:rsidRPr="00BD04CB" w:rsidRDefault="00BD04CB" w:rsidP="00BD04CB">
      <w:pPr>
        <w:pStyle w:val="SCCLsocParty"/>
        <w:jc w:val="center"/>
        <w:rPr>
          <w:lang w:val="fr-CA"/>
        </w:rPr>
      </w:pPr>
      <w:r w:rsidRPr="00BD04CB">
        <w:rPr>
          <w:lang w:val="fr-CA"/>
        </w:rPr>
        <w:t>Procureur général du Canada</w:t>
      </w:r>
    </w:p>
    <w:p w:rsidR="00BD04CB" w:rsidRPr="00BD04CB" w:rsidRDefault="00BD04CB" w:rsidP="00BD04CB">
      <w:pPr>
        <w:jc w:val="center"/>
        <w:rPr>
          <w:lang w:val="fr-CA"/>
        </w:rPr>
      </w:pPr>
      <w:r w:rsidRPr="00BD04CB">
        <w:rPr>
          <w:lang w:val="fr-CA"/>
        </w:rPr>
        <w:t>Appelant</w:t>
      </w:r>
    </w:p>
    <w:p w:rsidR="00BD04CB" w:rsidRPr="00BD04CB" w:rsidRDefault="00BD04CB" w:rsidP="00BD04CB">
      <w:pPr>
        <w:pStyle w:val="SCCLsocVersus"/>
        <w:spacing w:after="0"/>
        <w:jc w:val="center"/>
        <w:rPr>
          <w:i w:val="0"/>
          <w:lang w:val="fr-CA"/>
        </w:rPr>
      </w:pPr>
      <w:proofErr w:type="gramStart"/>
      <w:r w:rsidRPr="00BD04CB">
        <w:rPr>
          <w:i w:val="0"/>
          <w:lang w:val="fr-CA"/>
        </w:rPr>
        <w:t>et</w:t>
      </w:r>
      <w:proofErr w:type="gramEnd"/>
    </w:p>
    <w:p w:rsidR="00BD04CB" w:rsidRPr="00BD04CB" w:rsidRDefault="00BD04CB" w:rsidP="00BD04CB">
      <w:pPr>
        <w:pStyle w:val="SCCLsocParty"/>
        <w:jc w:val="center"/>
        <w:rPr>
          <w:lang w:val="fr-CA"/>
        </w:rPr>
      </w:pPr>
      <w:r w:rsidRPr="00BD04CB">
        <w:rPr>
          <w:lang w:val="fr-CA"/>
        </w:rPr>
        <w:t>Anthony Barnaby</w:t>
      </w:r>
    </w:p>
    <w:p w:rsidR="00BD04CB" w:rsidRPr="00BD04CB" w:rsidRDefault="00BD04CB" w:rsidP="00BD04CB">
      <w:pPr>
        <w:jc w:val="center"/>
        <w:rPr>
          <w:lang w:val="fr-CA"/>
        </w:rPr>
      </w:pPr>
      <w:r w:rsidRPr="00BD04CB">
        <w:rPr>
          <w:lang w:val="fr-CA"/>
        </w:rPr>
        <w:t>Intimé</w:t>
      </w:r>
    </w:p>
    <w:p w:rsidR="00BD04CB" w:rsidRPr="00BD04CB" w:rsidRDefault="00BD04CB" w:rsidP="00BD04CB">
      <w:pPr>
        <w:rPr>
          <w:lang w:val="fr-CA"/>
        </w:rPr>
      </w:pPr>
    </w:p>
    <w:p w:rsidR="00BD04CB" w:rsidRPr="00BD04CB" w:rsidRDefault="00BD04CB" w:rsidP="00BD04CB">
      <w:pPr>
        <w:jc w:val="center"/>
        <w:rPr>
          <w:b/>
          <w:smallCaps/>
          <w:lang w:val="fr-CA"/>
        </w:rPr>
      </w:pPr>
      <w:r w:rsidRPr="00BD04CB">
        <w:rPr>
          <w:b/>
          <w:smallCaps/>
          <w:lang w:val="fr-CA"/>
        </w:rPr>
        <w:t>Traduction française officielle</w:t>
      </w:r>
    </w:p>
    <w:p w:rsidR="00BD04CB" w:rsidRPr="00BD04CB" w:rsidRDefault="00BD04CB" w:rsidP="00BD04CB">
      <w:pPr>
        <w:rPr>
          <w:lang w:val="fr-CA"/>
        </w:rPr>
      </w:pPr>
    </w:p>
    <w:p w:rsidR="00BD04CB" w:rsidRPr="00BD04CB" w:rsidRDefault="00BD04CB" w:rsidP="00BD04CB">
      <w:pPr>
        <w:rPr>
          <w:lang w:val="fr-CA"/>
        </w:rPr>
      </w:pPr>
      <w:r w:rsidRPr="00BD04CB">
        <w:rPr>
          <w:b/>
          <w:smallCaps/>
          <w:lang w:val="fr-CA"/>
        </w:rPr>
        <w:t>Coram :</w:t>
      </w:r>
      <w:r w:rsidRPr="00BD04CB">
        <w:rPr>
          <w:lang w:val="fr-CA"/>
        </w:rPr>
        <w:t xml:space="preserve"> La juge en chef </w:t>
      </w:r>
      <w:proofErr w:type="spellStart"/>
      <w:r w:rsidRPr="00BD04CB">
        <w:rPr>
          <w:lang w:val="fr-CA"/>
        </w:rPr>
        <w:t>McLachlin</w:t>
      </w:r>
      <w:proofErr w:type="spellEnd"/>
      <w:r w:rsidRPr="00BD04CB">
        <w:rPr>
          <w:lang w:val="fr-CA"/>
        </w:rPr>
        <w:t xml:space="preserve"> et les juges Abella, </w:t>
      </w:r>
      <w:proofErr w:type="spellStart"/>
      <w:r w:rsidRPr="00BD04CB">
        <w:rPr>
          <w:lang w:val="fr-CA"/>
        </w:rPr>
        <w:t>Rothstein</w:t>
      </w:r>
      <w:proofErr w:type="spellEnd"/>
      <w:r w:rsidRPr="00BD04CB">
        <w:rPr>
          <w:lang w:val="fr-CA"/>
        </w:rPr>
        <w:t xml:space="preserve">, Cromwell, </w:t>
      </w:r>
      <w:proofErr w:type="spellStart"/>
      <w:r w:rsidRPr="00BD04CB">
        <w:rPr>
          <w:lang w:val="fr-CA"/>
        </w:rPr>
        <w:t>Moldaver</w:t>
      </w:r>
      <w:proofErr w:type="spellEnd"/>
      <w:r w:rsidRPr="00BD04CB">
        <w:rPr>
          <w:lang w:val="fr-CA"/>
        </w:rPr>
        <w:t xml:space="preserve">, </w:t>
      </w:r>
      <w:proofErr w:type="spellStart"/>
      <w:r w:rsidRPr="00BD04CB">
        <w:rPr>
          <w:lang w:val="fr-CA"/>
        </w:rPr>
        <w:t>Karakatsanis</w:t>
      </w:r>
      <w:proofErr w:type="spellEnd"/>
      <w:r w:rsidRPr="00BD04CB">
        <w:rPr>
          <w:lang w:val="fr-CA"/>
        </w:rPr>
        <w:t>, Wagner, Gascon et Côté</w:t>
      </w:r>
    </w:p>
    <w:p w:rsidR="00BD04CB" w:rsidRPr="00BD04CB" w:rsidRDefault="00BD04CB" w:rsidP="00BD04CB">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D04CB" w:rsidRPr="001E12E2" w:rsidTr="00865118">
        <w:trPr>
          <w:cantSplit/>
        </w:trPr>
        <w:tc>
          <w:tcPr>
            <w:tcW w:w="3618" w:type="dxa"/>
          </w:tcPr>
          <w:p w:rsidR="00BD04CB" w:rsidRPr="00BD04CB" w:rsidRDefault="00BD04CB" w:rsidP="00865118">
            <w:pPr>
              <w:rPr>
                <w:b/>
                <w:smallCaps/>
                <w:lang w:val="fr-CA"/>
              </w:rPr>
            </w:pPr>
            <w:r w:rsidRPr="00BD04CB">
              <w:rPr>
                <w:b/>
                <w:smallCaps/>
                <w:lang w:val="fr-CA"/>
              </w:rPr>
              <w:t>Motifs de jugement :</w:t>
            </w:r>
          </w:p>
          <w:p w:rsidR="00BD04CB" w:rsidRPr="00BD04CB" w:rsidRDefault="00BD04CB" w:rsidP="00865118">
            <w:pPr>
              <w:rPr>
                <w:lang w:val="fr-CA"/>
              </w:rPr>
            </w:pPr>
            <w:r w:rsidRPr="00BD04CB">
              <w:rPr>
                <w:lang w:val="fr-CA"/>
              </w:rPr>
              <w:t>(par. 1 à 12)</w:t>
            </w:r>
          </w:p>
          <w:p w:rsidR="00BD04CB" w:rsidRPr="00BD04CB" w:rsidRDefault="00BD04CB" w:rsidP="00865118">
            <w:pPr>
              <w:rPr>
                <w:lang w:val="fr-CA"/>
              </w:rPr>
            </w:pPr>
          </w:p>
        </w:tc>
        <w:tc>
          <w:tcPr>
            <w:tcW w:w="5958" w:type="dxa"/>
          </w:tcPr>
          <w:p w:rsidR="00BD04CB" w:rsidRPr="001E12E2" w:rsidRDefault="00BD04CB" w:rsidP="00865118">
            <w:r>
              <w:t xml:space="preserve">La </w:t>
            </w:r>
            <w:proofErr w:type="spellStart"/>
            <w:r>
              <w:t>Cour</w:t>
            </w:r>
            <w:proofErr w:type="spellEnd"/>
          </w:p>
        </w:tc>
      </w:tr>
    </w:tbl>
    <w:p w:rsidR="00BD04CB" w:rsidRDefault="00BD04CB" w:rsidP="00BD04CB">
      <w:pPr>
        <w:rPr>
          <w:rStyle w:val="SCCHearingJudgmentDatesTextChar"/>
        </w:rPr>
      </w:pPr>
      <w:r>
        <w:rPr>
          <w:rStyle w:val="SCCHearingJudgmentDatesTitleChar"/>
        </w:rPr>
        <w:t xml:space="preserve">Appel entendu et jugement rendu : </w:t>
      </w:r>
      <w:r>
        <w:rPr>
          <w:rStyle w:val="SCCHearingJudgmentDatesTextChar"/>
        </w:rPr>
        <w:t>Le 23 avril 2015</w:t>
      </w:r>
    </w:p>
    <w:p w:rsidR="00BD04CB" w:rsidRPr="00BD04CB" w:rsidRDefault="00BD04CB" w:rsidP="00BD04CB">
      <w:pPr>
        <w:rPr>
          <w:lang w:val="fr-CA"/>
        </w:rPr>
      </w:pPr>
    </w:p>
    <w:p w:rsidR="00BD04CB" w:rsidRPr="00BD04CB" w:rsidRDefault="00BD04CB" w:rsidP="00BD04CB">
      <w:pPr>
        <w:rPr>
          <w:lang w:val="fr-CA"/>
        </w:rPr>
      </w:pPr>
      <w:r>
        <w:rPr>
          <w:rStyle w:val="SCCHearingJudgmentDatesTitleChar"/>
        </w:rPr>
        <w:t>Motifs déposés : Le 29 mai 2015</w:t>
      </w:r>
    </w:p>
    <w:p w:rsidR="00BD04CB" w:rsidRPr="00BD04CB" w:rsidRDefault="00BD04CB" w:rsidP="00BD04CB">
      <w:pPr>
        <w:rPr>
          <w:lang w:val="fr-CA"/>
        </w:rPr>
      </w:pPr>
    </w:p>
    <w:p w:rsidR="00BD04CB" w:rsidRPr="00BD04CB" w:rsidRDefault="00BD04CB" w:rsidP="00BD04CB">
      <w:pPr>
        <w:rPr>
          <w:lang w:val="fr-CA"/>
        </w:rPr>
      </w:pPr>
      <w:r>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BD04CB" w:rsidRDefault="00BD04CB" w:rsidP="009968A8">
      <w:pPr>
        <w:spacing w:after="720"/>
        <w:jc w:val="both"/>
        <w:rPr>
          <w:rStyle w:val="SCCAppellantForRunningHeadChar"/>
          <w:smallCaps w:val="0"/>
          <w:lang w:val="fr-CA"/>
        </w:rPr>
      </w:pPr>
    </w:p>
    <w:p w:rsidR="004D7D95" w:rsidRPr="00425404" w:rsidRDefault="00425404" w:rsidP="009968A8">
      <w:pPr>
        <w:spacing w:after="720"/>
        <w:jc w:val="both"/>
        <w:rPr>
          <w:smallCaps/>
          <w:lang w:val="fr-CA"/>
        </w:rPr>
      </w:pPr>
      <w:r>
        <w:rPr>
          <w:rStyle w:val="SCCAppellantForRunningHeadChar"/>
          <w:smallCaps w:val="0"/>
          <w:lang w:val="fr-CA"/>
        </w:rPr>
        <w:t>Canada (P</w:t>
      </w:r>
      <w:r w:rsidR="004D7D95" w:rsidRPr="00425404">
        <w:rPr>
          <w:rStyle w:val="SCCAppellantForRunningHeadChar"/>
          <w:smallCaps w:val="0"/>
          <w:lang w:val="fr-CA"/>
        </w:rPr>
        <w:t>rocureur général</w:t>
      </w:r>
      <w:r w:rsidR="00C7200A" w:rsidRPr="00425404">
        <w:rPr>
          <w:rStyle w:val="SCCAppellantForRunningHeadChar"/>
          <w:smallCaps w:val="0"/>
          <w:lang w:val="fr-CA"/>
        </w:rPr>
        <w:t>)</w:t>
      </w:r>
      <w:r w:rsidR="004D7D95" w:rsidRPr="00425404">
        <w:rPr>
          <w:smallCaps/>
          <w:lang w:val="fr-CA"/>
        </w:rPr>
        <w:t xml:space="preserve"> </w:t>
      </w:r>
      <w:r w:rsidR="004D7D95" w:rsidRPr="00425404">
        <w:rPr>
          <w:i/>
          <w:lang w:val="fr-CA"/>
        </w:rPr>
        <w:t>c.</w:t>
      </w:r>
      <w:r w:rsidR="004D7D95" w:rsidRPr="00425404">
        <w:rPr>
          <w:lang w:val="fr-CA"/>
        </w:rPr>
        <w:t xml:space="preserve"> </w:t>
      </w:r>
      <w:r>
        <w:rPr>
          <w:rStyle w:val="SCCRespondentForRunningHeadChar"/>
          <w:smallCaps w:val="0"/>
          <w:lang w:val="fr-CA"/>
        </w:rPr>
        <w:t>B</w:t>
      </w:r>
      <w:r w:rsidR="004D7D95" w:rsidRPr="00425404">
        <w:rPr>
          <w:rStyle w:val="SCCRespondentForRunningHeadChar"/>
          <w:smallCaps w:val="0"/>
          <w:lang w:val="fr-CA"/>
        </w:rPr>
        <w:t>arnaby</w:t>
      </w:r>
      <w:r>
        <w:rPr>
          <w:rStyle w:val="SCCRespondentForRunningHeadChar"/>
          <w:smallCaps w:val="0"/>
          <w:lang w:val="fr-CA"/>
        </w:rPr>
        <w:t xml:space="preserve">, </w:t>
      </w:r>
      <w:r w:rsidRPr="000E297C">
        <w:rPr>
          <w:lang w:val="fr-CA"/>
        </w:rPr>
        <w:t>2015 CSC</w:t>
      </w:r>
      <w:r>
        <w:rPr>
          <w:lang w:val="fr-CA"/>
        </w:rPr>
        <w:t xml:space="preserve"> </w:t>
      </w:r>
      <w:r w:rsidRPr="000E297C">
        <w:rPr>
          <w:lang w:val="fr-CA"/>
        </w:rPr>
        <w:t>31</w:t>
      </w:r>
      <w:r>
        <w:rPr>
          <w:lang w:val="fr-CA"/>
        </w:rPr>
        <w:t>, [2015] 2 R.C.S. 563</w:t>
      </w:r>
    </w:p>
    <w:p w:rsidR="004D3E66" w:rsidRPr="000E297C" w:rsidRDefault="00C7200A">
      <w:pPr>
        <w:pStyle w:val="SCCLsocLastPartyInRole"/>
        <w:rPr>
          <w:lang w:val="fr-CA"/>
        </w:rPr>
      </w:pPr>
      <w:r w:rsidRPr="000E297C">
        <w:rPr>
          <w:lang w:val="fr-CA"/>
        </w:rPr>
        <w:t>Procureur général du Canada</w:t>
      </w:r>
      <w:r w:rsidRPr="000E297C">
        <w:rPr>
          <w:rStyle w:val="SCCLsocPartyRole"/>
          <w:lang w:val="fr-CA"/>
        </w:rPr>
        <w:tab/>
        <w:t>Appelant</w:t>
      </w:r>
    </w:p>
    <w:p w:rsidR="004D3E66" w:rsidRPr="000E297C" w:rsidRDefault="00C7200A">
      <w:pPr>
        <w:pStyle w:val="SCCLsocVersus"/>
        <w:rPr>
          <w:lang w:val="fr-CA"/>
        </w:rPr>
      </w:pPr>
      <w:r w:rsidRPr="000E297C">
        <w:rPr>
          <w:lang w:val="fr-CA"/>
        </w:rPr>
        <w:t>c.</w:t>
      </w:r>
    </w:p>
    <w:p w:rsidR="004D3E66" w:rsidRPr="000E297C" w:rsidRDefault="00C7200A">
      <w:pPr>
        <w:pStyle w:val="SCCLsocLastPartyInRole"/>
        <w:rPr>
          <w:lang w:val="fr-CA"/>
        </w:rPr>
      </w:pPr>
      <w:r w:rsidRPr="000E297C">
        <w:rPr>
          <w:lang w:val="fr-CA"/>
        </w:rPr>
        <w:lastRenderedPageBreak/>
        <w:t>Anthony Barnaby</w:t>
      </w:r>
      <w:r w:rsidRPr="000E297C">
        <w:rPr>
          <w:rStyle w:val="SCCLsocPartyRole"/>
          <w:lang w:val="fr-CA"/>
        </w:rPr>
        <w:tab/>
        <w:t>Intimé</w:t>
      </w:r>
    </w:p>
    <w:p w:rsidR="004D7D95" w:rsidRPr="000E297C" w:rsidRDefault="00735240" w:rsidP="009968A8">
      <w:pPr>
        <w:spacing w:after="720"/>
        <w:jc w:val="both"/>
        <w:rPr>
          <w:b/>
          <w:lang w:val="fr-CA"/>
        </w:rPr>
      </w:pPr>
      <w:r w:rsidRPr="000E297C">
        <w:rPr>
          <w:b/>
          <w:lang w:val="fr-CA"/>
        </w:rPr>
        <w:t>Répertorié</w:t>
      </w:r>
      <w:r w:rsidR="00CC5205">
        <w:rPr>
          <w:b/>
          <w:lang w:val="fr-CA"/>
        </w:rPr>
        <w:t xml:space="preserve"> : </w:t>
      </w:r>
      <w:r w:rsidRPr="000E297C">
        <w:rPr>
          <w:b/>
          <w:lang w:val="fr-CA"/>
        </w:rPr>
        <w:t>Canada (</w:t>
      </w:r>
      <w:r w:rsidR="004D7D95" w:rsidRPr="000E297C">
        <w:rPr>
          <w:rStyle w:val="SCCAppellantForIndexChar"/>
          <w:lang w:val="fr-CA"/>
        </w:rPr>
        <w:t>Procureur général</w:t>
      </w:r>
      <w:r w:rsidRPr="000E297C">
        <w:rPr>
          <w:rStyle w:val="SCCAppellantForIndexChar"/>
          <w:lang w:val="fr-CA"/>
        </w:rPr>
        <w:t>)</w:t>
      </w:r>
      <w:r w:rsidR="004D7D95" w:rsidRPr="000E297C">
        <w:rPr>
          <w:b/>
          <w:lang w:val="fr-CA"/>
        </w:rPr>
        <w:t xml:space="preserve"> </w:t>
      </w:r>
      <w:r w:rsidR="004D7D95" w:rsidRPr="000E297C">
        <w:rPr>
          <w:b/>
          <w:i/>
          <w:lang w:val="fr-CA"/>
        </w:rPr>
        <w:t>c.</w:t>
      </w:r>
      <w:r w:rsidR="004D7D95" w:rsidRPr="000E297C">
        <w:rPr>
          <w:b/>
          <w:lang w:val="fr-CA"/>
        </w:rPr>
        <w:t xml:space="preserve"> </w:t>
      </w:r>
      <w:r w:rsidR="004D7D95" w:rsidRPr="000E297C">
        <w:rPr>
          <w:rStyle w:val="SCCRespondentForIndexChar"/>
          <w:lang w:val="fr-CA"/>
        </w:rPr>
        <w:t>Barnaby</w:t>
      </w:r>
    </w:p>
    <w:p w:rsidR="004D7D95" w:rsidRPr="000E297C" w:rsidRDefault="00F62639" w:rsidP="009968A8">
      <w:pPr>
        <w:pStyle w:val="SCCSystemYear"/>
        <w:spacing w:after="720"/>
        <w:jc w:val="both"/>
        <w:rPr>
          <w:lang w:val="fr-CA"/>
        </w:rPr>
      </w:pPr>
      <w:r w:rsidRPr="000E297C">
        <w:rPr>
          <w:lang w:val="fr-CA"/>
        </w:rPr>
        <w:t>2015</w:t>
      </w:r>
      <w:r w:rsidR="00EF2726" w:rsidRPr="000E297C">
        <w:rPr>
          <w:lang w:val="fr-CA"/>
        </w:rPr>
        <w:t xml:space="preserve"> CSC</w:t>
      </w:r>
      <w:r w:rsidR="00CC5205">
        <w:rPr>
          <w:lang w:val="fr-CA"/>
        </w:rPr>
        <w:t xml:space="preserve"> </w:t>
      </w:r>
      <w:r w:rsidR="00EF2726" w:rsidRPr="000E297C">
        <w:rPr>
          <w:lang w:val="fr-CA"/>
        </w:rPr>
        <w:t>31</w:t>
      </w:r>
    </w:p>
    <w:p w:rsidR="004D7D95" w:rsidRPr="000E297C" w:rsidRDefault="004D7D95" w:rsidP="009968A8">
      <w:pPr>
        <w:spacing w:after="720"/>
        <w:jc w:val="both"/>
        <w:rPr>
          <w:lang w:val="fr-CA"/>
        </w:rPr>
      </w:pPr>
      <w:r w:rsidRPr="000E297C">
        <w:rPr>
          <w:lang w:val="fr-CA"/>
        </w:rPr>
        <w:t>N</w:t>
      </w:r>
      <w:r w:rsidRPr="000E297C">
        <w:rPr>
          <w:vertAlign w:val="superscript"/>
          <w:lang w:val="fr-CA"/>
        </w:rPr>
        <w:t>o</w:t>
      </w:r>
      <w:r w:rsidRPr="000E297C">
        <w:rPr>
          <w:lang w:val="fr-CA"/>
        </w:rPr>
        <w:t xml:space="preserve"> du greffe</w:t>
      </w:r>
      <w:r w:rsidR="00CC5205">
        <w:rPr>
          <w:lang w:val="fr-CA"/>
        </w:rPr>
        <w:t xml:space="preserve"> : </w:t>
      </w:r>
      <w:r w:rsidRPr="000E297C">
        <w:rPr>
          <w:lang w:val="fr-CA"/>
        </w:rPr>
        <w:t>35548.</w:t>
      </w:r>
    </w:p>
    <w:p w:rsidR="00C7200A" w:rsidRPr="000E297C" w:rsidRDefault="009968A8" w:rsidP="004D7D95">
      <w:pPr>
        <w:jc w:val="both"/>
        <w:rPr>
          <w:lang w:val="fr-CA"/>
        </w:rPr>
      </w:pPr>
      <w:r w:rsidRPr="000E297C">
        <w:rPr>
          <w:lang w:val="fr-CA"/>
        </w:rPr>
        <w:t>Audition et jugement</w:t>
      </w:r>
      <w:r w:rsidR="00CC5205">
        <w:rPr>
          <w:lang w:val="fr-CA"/>
        </w:rPr>
        <w:t xml:space="preserve"> : </w:t>
      </w:r>
      <w:r w:rsidRPr="000E297C">
        <w:rPr>
          <w:lang w:val="fr-CA"/>
        </w:rPr>
        <w:t>23</w:t>
      </w:r>
      <w:r w:rsidR="00CC5205">
        <w:rPr>
          <w:lang w:val="fr-CA"/>
        </w:rPr>
        <w:t xml:space="preserve"> </w:t>
      </w:r>
      <w:r w:rsidRPr="000E297C">
        <w:rPr>
          <w:lang w:val="fr-CA"/>
        </w:rPr>
        <w:t>avril</w:t>
      </w:r>
      <w:r w:rsidR="00CC5205">
        <w:rPr>
          <w:lang w:val="fr-CA"/>
        </w:rPr>
        <w:t xml:space="preserve"> </w:t>
      </w:r>
      <w:r w:rsidR="00C7200A" w:rsidRPr="000E297C">
        <w:rPr>
          <w:lang w:val="fr-CA"/>
        </w:rPr>
        <w:t>2015.</w:t>
      </w:r>
    </w:p>
    <w:p w:rsidR="00C7200A" w:rsidRPr="000E297C" w:rsidRDefault="00C7200A" w:rsidP="009968A8">
      <w:pPr>
        <w:spacing w:after="720"/>
        <w:jc w:val="both"/>
        <w:rPr>
          <w:lang w:val="fr-CA"/>
        </w:rPr>
      </w:pPr>
      <w:r w:rsidRPr="000E297C">
        <w:rPr>
          <w:lang w:val="fr-CA"/>
        </w:rPr>
        <w:t>Motifs déposés</w:t>
      </w:r>
      <w:r w:rsidR="00CC5205">
        <w:rPr>
          <w:lang w:val="fr-CA"/>
        </w:rPr>
        <w:t xml:space="preserve"> : </w:t>
      </w:r>
      <w:r w:rsidR="002C0775" w:rsidRPr="000E297C">
        <w:rPr>
          <w:lang w:val="fr-CA"/>
        </w:rPr>
        <w:t>29</w:t>
      </w:r>
      <w:r w:rsidR="00CC5205">
        <w:rPr>
          <w:lang w:val="fr-CA"/>
        </w:rPr>
        <w:t xml:space="preserve"> </w:t>
      </w:r>
      <w:r w:rsidR="002C0775" w:rsidRPr="000E297C">
        <w:rPr>
          <w:lang w:val="fr-CA"/>
        </w:rPr>
        <w:t>mai</w:t>
      </w:r>
      <w:r w:rsidR="00CC5205">
        <w:rPr>
          <w:lang w:val="fr-CA"/>
        </w:rPr>
        <w:t xml:space="preserve"> </w:t>
      </w:r>
      <w:r w:rsidRPr="000E297C">
        <w:rPr>
          <w:lang w:val="fr-CA"/>
        </w:rPr>
        <w:t>2015.</w:t>
      </w:r>
    </w:p>
    <w:p w:rsidR="004D7D95" w:rsidRPr="000E297C" w:rsidRDefault="004D7D95" w:rsidP="009968A8">
      <w:pPr>
        <w:spacing w:after="720"/>
        <w:jc w:val="both"/>
        <w:rPr>
          <w:lang w:val="fr-CA"/>
        </w:rPr>
      </w:pPr>
      <w:r w:rsidRPr="000E297C">
        <w:rPr>
          <w:lang w:val="fr-CA"/>
        </w:rPr>
        <w:t>Présents</w:t>
      </w:r>
      <w:r w:rsidR="00CC5205">
        <w:rPr>
          <w:lang w:val="fr-CA"/>
        </w:rPr>
        <w:t xml:space="preserve"> : </w:t>
      </w:r>
      <w:r w:rsidRPr="000E297C">
        <w:rPr>
          <w:lang w:val="fr-CA"/>
        </w:rPr>
        <w:t>La juge en chef McLachlin et les juges Abella, Rothstein, Cromwell, Moldaver, Karakatsanis, Wagner, Gascon et Côté.</w:t>
      </w:r>
    </w:p>
    <w:p w:rsidR="004D7D95" w:rsidRPr="000E297C" w:rsidRDefault="004D7D95" w:rsidP="009968A8">
      <w:pPr>
        <w:spacing w:before="480" w:after="480" w:line="480" w:lineRule="auto"/>
        <w:jc w:val="both"/>
        <w:rPr>
          <w:smallCaps/>
          <w:lang w:val="fr-CA"/>
        </w:rPr>
      </w:pPr>
      <w:r w:rsidRPr="000E297C">
        <w:rPr>
          <w:smallCaps/>
          <w:lang w:val="fr-CA"/>
        </w:rPr>
        <w:t>en appel de la cour d</w:t>
      </w:r>
      <w:r w:rsidR="00C7200A" w:rsidRPr="000E297C">
        <w:rPr>
          <w:smallCaps/>
          <w:lang w:val="fr-CA"/>
        </w:rPr>
        <w:t>’</w:t>
      </w:r>
      <w:r w:rsidRPr="000E297C">
        <w:rPr>
          <w:smallCaps/>
          <w:lang w:val="fr-CA"/>
        </w:rPr>
        <w:t>appel du québec</w:t>
      </w:r>
    </w:p>
    <w:p w:rsidR="004D7D95" w:rsidRPr="000E297C" w:rsidRDefault="004D7D95" w:rsidP="009968A8">
      <w:pPr>
        <w:pStyle w:val="SCCNormalDoubleSpacing"/>
        <w:spacing w:before="480" w:after="480"/>
        <w:rPr>
          <w:i/>
          <w:lang w:val="fr-CA"/>
        </w:rPr>
      </w:pPr>
      <w:r w:rsidRPr="000E297C">
        <w:rPr>
          <w:lang w:val="fr-CA"/>
        </w:rPr>
        <w:tab/>
      </w:r>
      <w:r w:rsidR="00531711" w:rsidRPr="000E297C">
        <w:rPr>
          <w:i/>
          <w:lang w:val="fr-CA"/>
        </w:rPr>
        <w:t xml:space="preserve">Extradition — </w:t>
      </w:r>
      <w:r w:rsidR="008932F6" w:rsidRPr="000E297C">
        <w:rPr>
          <w:i/>
          <w:lang w:val="fr-CA"/>
        </w:rPr>
        <w:t xml:space="preserve">Arrêté </w:t>
      </w:r>
      <w:r w:rsidR="00531711" w:rsidRPr="000E297C">
        <w:rPr>
          <w:i/>
          <w:lang w:val="fr-CA"/>
        </w:rPr>
        <w:t xml:space="preserve">d’extradition — Contrôle judiciaire — </w:t>
      </w:r>
      <w:r w:rsidR="00CE4131" w:rsidRPr="000E297C">
        <w:rPr>
          <w:i/>
          <w:lang w:val="fr-CA"/>
        </w:rPr>
        <w:t>Extradit</w:t>
      </w:r>
      <w:r w:rsidR="00531711" w:rsidRPr="000E297C">
        <w:rPr>
          <w:i/>
          <w:lang w:val="fr-CA"/>
        </w:rPr>
        <w:t xml:space="preserve">ion </w:t>
      </w:r>
      <w:r w:rsidR="00010EA4">
        <w:rPr>
          <w:i/>
          <w:lang w:val="fr-CA"/>
        </w:rPr>
        <w:t xml:space="preserve">de l’accusé </w:t>
      </w:r>
      <w:r w:rsidR="00CE4131" w:rsidRPr="000E297C">
        <w:rPr>
          <w:i/>
          <w:lang w:val="fr-CA"/>
        </w:rPr>
        <w:t>vers les États</w:t>
      </w:r>
      <w:r w:rsidR="00CC5205">
        <w:rPr>
          <w:i/>
          <w:lang w:val="fr-CA"/>
        </w:rPr>
        <w:t>-</w:t>
      </w:r>
      <w:r w:rsidR="00CE4131" w:rsidRPr="000E297C">
        <w:rPr>
          <w:i/>
          <w:lang w:val="fr-CA"/>
        </w:rPr>
        <w:t>Unis ordonnée par le</w:t>
      </w:r>
      <w:r w:rsidR="00531711" w:rsidRPr="000E297C">
        <w:rPr>
          <w:i/>
          <w:lang w:val="fr-CA"/>
        </w:rPr>
        <w:t xml:space="preserve"> min</w:t>
      </w:r>
      <w:r w:rsidR="00376A25" w:rsidRPr="000E297C">
        <w:rPr>
          <w:i/>
          <w:lang w:val="fr-CA"/>
        </w:rPr>
        <w:t>istre de la Justice par suite</w:t>
      </w:r>
      <w:r w:rsidR="00531711" w:rsidRPr="000E297C">
        <w:rPr>
          <w:i/>
          <w:lang w:val="fr-CA"/>
        </w:rPr>
        <w:t xml:space="preserve"> </w:t>
      </w:r>
      <w:r w:rsidR="00376A25" w:rsidRPr="000E297C">
        <w:rPr>
          <w:i/>
          <w:lang w:val="fr-CA"/>
        </w:rPr>
        <w:t>d’</w:t>
      </w:r>
      <w:r w:rsidR="00531711" w:rsidRPr="000E297C">
        <w:rPr>
          <w:i/>
          <w:lang w:val="fr-CA"/>
        </w:rPr>
        <w:t>accus</w:t>
      </w:r>
      <w:r w:rsidR="00376A25" w:rsidRPr="000E297C">
        <w:rPr>
          <w:i/>
          <w:lang w:val="fr-CA"/>
        </w:rPr>
        <w:t>ations</w:t>
      </w:r>
      <w:r w:rsidR="00531711" w:rsidRPr="000E297C">
        <w:rPr>
          <w:i/>
          <w:lang w:val="fr-CA"/>
        </w:rPr>
        <w:t xml:space="preserve"> de meurtres — La décision </w:t>
      </w:r>
      <w:r w:rsidR="00CE4131" w:rsidRPr="000E297C">
        <w:rPr>
          <w:i/>
          <w:lang w:val="fr-CA"/>
        </w:rPr>
        <w:t xml:space="preserve">du ministre </w:t>
      </w:r>
      <w:r w:rsidR="00531711" w:rsidRPr="000E297C">
        <w:rPr>
          <w:i/>
          <w:lang w:val="fr-CA"/>
        </w:rPr>
        <w:t>était</w:t>
      </w:r>
      <w:r w:rsidR="00CC5205">
        <w:rPr>
          <w:i/>
          <w:lang w:val="fr-CA"/>
        </w:rPr>
        <w:t>-</w:t>
      </w:r>
      <w:r w:rsidR="00531711" w:rsidRPr="000E297C">
        <w:rPr>
          <w:i/>
          <w:lang w:val="fr-CA"/>
        </w:rPr>
        <w:t>elle raisonnable?</w:t>
      </w:r>
      <w:r w:rsidR="00034864" w:rsidRPr="000E297C">
        <w:rPr>
          <w:lang w:val="fr-CA"/>
        </w:rPr>
        <w:t xml:space="preserve"> </w:t>
      </w:r>
      <w:r w:rsidR="00034864" w:rsidRPr="000E297C">
        <w:rPr>
          <w:i/>
          <w:lang w:val="fr-CA"/>
        </w:rPr>
        <w:t>— Extrader l’accusé de manière à l’exposer à la possibilité d’un quatrième procès contrevient</w:t>
      </w:r>
      <w:r w:rsidR="00CC5205">
        <w:rPr>
          <w:i/>
          <w:lang w:val="fr-CA"/>
        </w:rPr>
        <w:t>-</w:t>
      </w:r>
      <w:r w:rsidR="00034864" w:rsidRPr="000E297C">
        <w:rPr>
          <w:i/>
          <w:lang w:val="fr-CA"/>
        </w:rPr>
        <w:t>il aux principes de justice fondamentale?</w:t>
      </w:r>
    </w:p>
    <w:p w:rsidR="004D7D95" w:rsidRPr="000E297C" w:rsidRDefault="004D7D95" w:rsidP="009968A8">
      <w:pPr>
        <w:pStyle w:val="SCCNormalDoubleSpacing"/>
        <w:spacing w:before="480" w:after="480"/>
        <w:rPr>
          <w:lang w:val="fr-CA"/>
        </w:rPr>
      </w:pPr>
      <w:r w:rsidRPr="000E297C">
        <w:rPr>
          <w:lang w:val="fr-CA"/>
        </w:rPr>
        <w:tab/>
      </w:r>
      <w:r w:rsidR="00531711" w:rsidRPr="000E297C">
        <w:rPr>
          <w:lang w:val="fr-CA"/>
        </w:rPr>
        <w:t xml:space="preserve">Le ministre de la Justice a ordonné l’extradition de </w:t>
      </w:r>
      <w:r w:rsidR="005F7223" w:rsidRPr="000E297C">
        <w:rPr>
          <w:lang w:val="fr-CA"/>
        </w:rPr>
        <w:t>B</w:t>
      </w:r>
      <w:r w:rsidR="00CD5F5E" w:rsidRPr="000E297C">
        <w:rPr>
          <w:lang w:val="fr-CA"/>
        </w:rPr>
        <w:t xml:space="preserve"> et d’un coaccusé, </w:t>
      </w:r>
      <w:r w:rsidR="005F7223" w:rsidRPr="000E297C">
        <w:rPr>
          <w:lang w:val="fr-CA"/>
        </w:rPr>
        <w:t>C</w:t>
      </w:r>
      <w:r w:rsidR="00CD5F5E" w:rsidRPr="000E297C">
        <w:rPr>
          <w:lang w:val="fr-CA"/>
        </w:rPr>
        <w:t>, vers les États</w:t>
      </w:r>
      <w:r w:rsidR="00CC5205">
        <w:rPr>
          <w:lang w:val="fr-CA"/>
        </w:rPr>
        <w:t>-</w:t>
      </w:r>
      <w:r w:rsidR="00CD5F5E" w:rsidRPr="000E297C">
        <w:rPr>
          <w:lang w:val="fr-CA"/>
        </w:rPr>
        <w:t xml:space="preserve">Unis, où ils </w:t>
      </w:r>
      <w:r w:rsidR="00BE5507" w:rsidRPr="000E297C">
        <w:rPr>
          <w:lang w:val="fr-CA"/>
        </w:rPr>
        <w:t>étaie</w:t>
      </w:r>
      <w:r w:rsidR="00CD5F5E" w:rsidRPr="000E297C">
        <w:rPr>
          <w:lang w:val="fr-CA"/>
        </w:rPr>
        <w:t xml:space="preserve">nt accusés de meurtres aux premier et deuxième degrés. </w:t>
      </w:r>
      <w:r w:rsidR="00034864" w:rsidRPr="000E297C">
        <w:rPr>
          <w:lang w:val="fr-CA"/>
        </w:rPr>
        <w:t>B</w:t>
      </w:r>
      <w:r w:rsidR="00CD5F5E" w:rsidRPr="000E297C">
        <w:rPr>
          <w:lang w:val="fr-CA"/>
        </w:rPr>
        <w:t xml:space="preserve"> a fait l’objet de </w:t>
      </w:r>
      <w:r w:rsidR="00034864" w:rsidRPr="000E297C">
        <w:rPr>
          <w:lang w:val="fr-CA"/>
        </w:rPr>
        <w:t xml:space="preserve">trois procès pour </w:t>
      </w:r>
      <w:r w:rsidR="00CD5F5E" w:rsidRPr="000E297C">
        <w:rPr>
          <w:lang w:val="fr-CA"/>
        </w:rPr>
        <w:t>ces accusations</w:t>
      </w:r>
      <w:r w:rsidR="00034864" w:rsidRPr="000E297C">
        <w:rPr>
          <w:lang w:val="fr-CA"/>
        </w:rPr>
        <w:t>,</w:t>
      </w:r>
      <w:r w:rsidR="00CD5F5E" w:rsidRPr="000E297C">
        <w:rPr>
          <w:lang w:val="fr-CA"/>
        </w:rPr>
        <w:t xml:space="preserve"> </w:t>
      </w:r>
      <w:r w:rsidR="00034864" w:rsidRPr="000E297C">
        <w:rPr>
          <w:lang w:val="fr-CA"/>
        </w:rPr>
        <w:t xml:space="preserve">en 1989 et </w:t>
      </w:r>
      <w:r w:rsidR="00CD5F5E" w:rsidRPr="000E297C">
        <w:rPr>
          <w:lang w:val="fr-CA"/>
        </w:rPr>
        <w:t xml:space="preserve">en 1990. </w:t>
      </w:r>
      <w:r w:rsidR="00034864" w:rsidRPr="000E297C">
        <w:rPr>
          <w:lang w:val="fr-CA"/>
        </w:rPr>
        <w:t xml:space="preserve">Chaque fois, le jury s’est retrouvé dans l’impasse. </w:t>
      </w:r>
      <w:r w:rsidR="00CD5F5E" w:rsidRPr="000E297C">
        <w:rPr>
          <w:lang w:val="fr-CA"/>
        </w:rPr>
        <w:t>En 2010,</w:t>
      </w:r>
      <w:r w:rsidR="00376A25" w:rsidRPr="000E297C">
        <w:rPr>
          <w:lang w:val="fr-CA"/>
        </w:rPr>
        <w:t xml:space="preserve"> les autorités de</w:t>
      </w:r>
      <w:r w:rsidR="00CD5F5E" w:rsidRPr="000E297C">
        <w:rPr>
          <w:lang w:val="fr-CA"/>
        </w:rPr>
        <w:t xml:space="preserve"> l’État du </w:t>
      </w:r>
      <w:r w:rsidR="00CD5F5E" w:rsidRPr="000E297C">
        <w:rPr>
          <w:lang w:val="fr-CA"/>
        </w:rPr>
        <w:lastRenderedPageBreak/>
        <w:t xml:space="preserve">New Hampshire </w:t>
      </w:r>
      <w:r w:rsidR="00376A25" w:rsidRPr="000E297C">
        <w:rPr>
          <w:lang w:val="fr-CA"/>
        </w:rPr>
        <w:t>ont</w:t>
      </w:r>
      <w:r w:rsidR="00CD5F5E" w:rsidRPr="000E297C">
        <w:rPr>
          <w:lang w:val="fr-CA"/>
        </w:rPr>
        <w:t xml:space="preserve"> rouvert l’enquête sur les crimes allégués et, en 2011, des éléments de preuve recueillis sur la scène de crime ont été soumis à une analyse génétique à l’aide de techniques qui n’existaient pas lors de l’enquête initiale. </w:t>
      </w:r>
      <w:r w:rsidR="00090520" w:rsidRPr="000E297C">
        <w:rPr>
          <w:lang w:val="fr-CA"/>
        </w:rPr>
        <w:t>Le profil génétique alors ét</w:t>
      </w:r>
      <w:r w:rsidR="00034864" w:rsidRPr="000E297C">
        <w:rPr>
          <w:lang w:val="fr-CA"/>
        </w:rPr>
        <w:t>abli a permis</w:t>
      </w:r>
      <w:r w:rsidR="00090520" w:rsidRPr="000E297C">
        <w:rPr>
          <w:lang w:val="fr-CA"/>
        </w:rPr>
        <w:t xml:space="preserve"> </w:t>
      </w:r>
      <w:r w:rsidR="00034864" w:rsidRPr="000E297C">
        <w:rPr>
          <w:lang w:val="fr-CA"/>
        </w:rPr>
        <w:t>d’</w:t>
      </w:r>
      <w:r w:rsidR="00090520" w:rsidRPr="000E297C">
        <w:rPr>
          <w:lang w:val="fr-CA"/>
        </w:rPr>
        <w:t>identifi</w:t>
      </w:r>
      <w:r w:rsidR="00034864" w:rsidRPr="000E297C">
        <w:rPr>
          <w:lang w:val="fr-CA"/>
        </w:rPr>
        <w:t xml:space="preserve">er C, mais pas de relier directement </w:t>
      </w:r>
      <w:r w:rsidR="00376A25" w:rsidRPr="000E297C">
        <w:rPr>
          <w:lang w:val="fr-CA"/>
        </w:rPr>
        <w:t xml:space="preserve">B </w:t>
      </w:r>
      <w:r w:rsidR="00034864" w:rsidRPr="000E297C">
        <w:rPr>
          <w:lang w:val="fr-CA"/>
        </w:rPr>
        <w:t>aux crimes</w:t>
      </w:r>
      <w:r w:rsidR="00090520" w:rsidRPr="000E297C">
        <w:rPr>
          <w:lang w:val="fr-CA"/>
        </w:rPr>
        <w:t xml:space="preserve">. Saisie d’une demande de contrôle judiciaire, </w:t>
      </w:r>
      <w:r w:rsidR="00372F44" w:rsidRPr="000E297C">
        <w:rPr>
          <w:lang w:val="fr-CA"/>
        </w:rPr>
        <w:t xml:space="preserve">la Cour d’appel du Québec a conclu </w:t>
      </w:r>
      <w:r w:rsidR="005F7223" w:rsidRPr="000E297C">
        <w:rPr>
          <w:lang w:val="fr-CA"/>
        </w:rPr>
        <w:t xml:space="preserve">qu’il n’y avait pas de </w:t>
      </w:r>
      <w:r w:rsidR="005552B6">
        <w:rPr>
          <w:lang w:val="fr-CA"/>
        </w:rPr>
        <w:t xml:space="preserve">preuve nouvelle </w:t>
      </w:r>
      <w:r w:rsidR="00372F44" w:rsidRPr="000E297C">
        <w:rPr>
          <w:lang w:val="fr-CA"/>
        </w:rPr>
        <w:t xml:space="preserve">contre B et qu’un quatrième procès </w:t>
      </w:r>
      <w:r w:rsidR="005F7223" w:rsidRPr="000E297C">
        <w:rPr>
          <w:lang w:val="fr-CA"/>
        </w:rPr>
        <w:t>ser</w:t>
      </w:r>
      <w:r w:rsidR="00372F44" w:rsidRPr="000E297C">
        <w:rPr>
          <w:lang w:val="fr-CA"/>
        </w:rPr>
        <w:t xml:space="preserve">ait </w:t>
      </w:r>
      <w:r w:rsidR="005F7223" w:rsidRPr="000E297C">
        <w:rPr>
          <w:lang w:val="fr-CA"/>
        </w:rPr>
        <w:t xml:space="preserve">contraire </w:t>
      </w:r>
      <w:r w:rsidR="00376A25" w:rsidRPr="000E297C">
        <w:rPr>
          <w:lang w:val="fr-CA"/>
        </w:rPr>
        <w:t>à</w:t>
      </w:r>
      <w:r w:rsidR="00372F44" w:rsidRPr="000E297C">
        <w:rPr>
          <w:lang w:val="fr-CA"/>
        </w:rPr>
        <w:t xml:space="preserve"> </w:t>
      </w:r>
      <w:r w:rsidR="00376A25" w:rsidRPr="000E297C">
        <w:rPr>
          <w:lang w:val="fr-CA"/>
        </w:rPr>
        <w:t xml:space="preserve">la </w:t>
      </w:r>
      <w:r w:rsidR="00372F44" w:rsidRPr="000E297C">
        <w:rPr>
          <w:lang w:val="fr-CA"/>
        </w:rPr>
        <w:t xml:space="preserve">protection </w:t>
      </w:r>
      <w:r w:rsidR="00376A25" w:rsidRPr="000E297C">
        <w:rPr>
          <w:lang w:val="fr-CA"/>
        </w:rPr>
        <w:t>accordée</w:t>
      </w:r>
      <w:r w:rsidR="00372F44" w:rsidRPr="000E297C">
        <w:rPr>
          <w:lang w:val="fr-CA"/>
        </w:rPr>
        <w:t xml:space="preserve"> par la </w:t>
      </w:r>
      <w:r w:rsidR="00372F44" w:rsidRPr="000E297C">
        <w:rPr>
          <w:i/>
          <w:lang w:val="fr-CA"/>
        </w:rPr>
        <w:t>Charte canadienne des droits et libertés</w:t>
      </w:r>
      <w:r w:rsidR="00372F44" w:rsidRPr="000E297C">
        <w:rPr>
          <w:lang w:val="fr-CA"/>
        </w:rPr>
        <w:t xml:space="preserve">. La décision du ministre de la Justice </w:t>
      </w:r>
      <w:r w:rsidR="005F7223" w:rsidRPr="000E297C">
        <w:rPr>
          <w:lang w:val="fr-CA"/>
        </w:rPr>
        <w:t xml:space="preserve">d’ordonner l’extradition de B </w:t>
      </w:r>
      <w:r w:rsidR="00010EA4">
        <w:rPr>
          <w:lang w:val="fr-CA"/>
        </w:rPr>
        <w:t xml:space="preserve">n’était donc pas </w:t>
      </w:r>
      <w:r w:rsidR="00372F44" w:rsidRPr="000E297C">
        <w:rPr>
          <w:lang w:val="fr-CA"/>
        </w:rPr>
        <w:t>raisonnable dans les circonstances. La demande de contrôle judiciaire de B a été accueillie</w:t>
      </w:r>
      <w:r w:rsidR="005F7223" w:rsidRPr="000E297C">
        <w:rPr>
          <w:lang w:val="fr-CA"/>
        </w:rPr>
        <w:t>,</w:t>
      </w:r>
      <w:r w:rsidR="00372F44" w:rsidRPr="000E297C">
        <w:rPr>
          <w:lang w:val="fr-CA"/>
        </w:rPr>
        <w:t xml:space="preserve"> et l</w:t>
      </w:r>
      <w:r w:rsidR="005F7223" w:rsidRPr="000E297C">
        <w:rPr>
          <w:lang w:val="fr-CA"/>
        </w:rPr>
        <w:t xml:space="preserve">’arrêté d’extradition </w:t>
      </w:r>
      <w:r w:rsidR="00372F44" w:rsidRPr="000E297C">
        <w:rPr>
          <w:lang w:val="fr-CA"/>
        </w:rPr>
        <w:t xml:space="preserve">a </w:t>
      </w:r>
      <w:r w:rsidR="005F7223" w:rsidRPr="000E297C">
        <w:rPr>
          <w:lang w:val="fr-CA"/>
        </w:rPr>
        <w:t xml:space="preserve">été </w:t>
      </w:r>
      <w:r w:rsidR="00372F44" w:rsidRPr="000E297C">
        <w:rPr>
          <w:lang w:val="fr-CA"/>
        </w:rPr>
        <w:t>annulé.</w:t>
      </w:r>
    </w:p>
    <w:p w:rsidR="00090520" w:rsidRPr="000E297C" w:rsidRDefault="004D7D95" w:rsidP="009968A8">
      <w:pPr>
        <w:pStyle w:val="SCCNormalDoubleSpacing"/>
        <w:spacing w:before="480" w:after="480"/>
        <w:rPr>
          <w:lang w:val="fr-CA"/>
        </w:rPr>
      </w:pPr>
      <w:r w:rsidRPr="000E297C">
        <w:rPr>
          <w:lang w:val="fr-CA"/>
        </w:rPr>
        <w:tab/>
      </w:r>
      <w:r w:rsidRPr="000E297C">
        <w:rPr>
          <w:i/>
          <w:lang w:val="fr-CA"/>
        </w:rPr>
        <w:t>Arrêt</w:t>
      </w:r>
      <w:r w:rsidR="00CC5205">
        <w:rPr>
          <w:lang w:val="fr-CA"/>
        </w:rPr>
        <w:t> :</w:t>
      </w:r>
      <w:r w:rsidR="00090520" w:rsidRPr="000E297C">
        <w:rPr>
          <w:lang w:val="fr-CA"/>
        </w:rPr>
        <w:t xml:space="preserve"> Le pourvoi est </w:t>
      </w:r>
      <w:r w:rsidR="00372F44" w:rsidRPr="000E297C">
        <w:rPr>
          <w:lang w:val="fr-CA"/>
        </w:rPr>
        <w:t>accueilli</w:t>
      </w:r>
      <w:r w:rsidR="005F7223" w:rsidRPr="000E297C">
        <w:rPr>
          <w:lang w:val="fr-CA"/>
        </w:rPr>
        <w:t>,</w:t>
      </w:r>
      <w:r w:rsidR="00372F44" w:rsidRPr="000E297C">
        <w:rPr>
          <w:lang w:val="fr-CA"/>
        </w:rPr>
        <w:t xml:space="preserve"> et la décision du ministre de la Justice est rétablie</w:t>
      </w:r>
      <w:r w:rsidR="00090520" w:rsidRPr="000E297C">
        <w:rPr>
          <w:lang w:val="fr-CA"/>
        </w:rPr>
        <w:t>.</w:t>
      </w:r>
    </w:p>
    <w:p w:rsidR="00B545D9" w:rsidRPr="000E297C" w:rsidRDefault="004D7D95" w:rsidP="0082472D">
      <w:pPr>
        <w:pStyle w:val="SCCNormalDoubleSpacing"/>
        <w:spacing w:before="480" w:after="480"/>
        <w:rPr>
          <w:lang w:val="fr-CA"/>
        </w:rPr>
      </w:pPr>
      <w:r w:rsidRPr="000E297C">
        <w:rPr>
          <w:lang w:val="fr-CA"/>
        </w:rPr>
        <w:tab/>
      </w:r>
      <w:r w:rsidR="00B545D9" w:rsidRPr="000E297C">
        <w:rPr>
          <w:lang w:val="fr-CA"/>
        </w:rPr>
        <w:t>La décision du ministre de la Justice d’extrader B était raisonnable, et la Cour d’appel a eu tort de conclure le contraire. La Cour d’appel devait se demander si extrader B de manière à l’exposer à la possibilité d’un quatrième procès contrevenait aux principes de justice fondamentale garantis par l’</w:t>
      </w:r>
      <w:r w:rsidR="00110941" w:rsidRPr="000E297C">
        <w:rPr>
          <w:lang w:val="fr-CA"/>
        </w:rPr>
        <w:t>art.</w:t>
      </w:r>
      <w:r w:rsidR="00CC5205">
        <w:rPr>
          <w:lang w:val="fr-CA"/>
        </w:rPr>
        <w:t xml:space="preserve"> </w:t>
      </w:r>
      <w:r w:rsidR="00B545D9" w:rsidRPr="000E297C">
        <w:rPr>
          <w:lang w:val="fr-CA"/>
        </w:rPr>
        <w:t xml:space="preserve">7 de la </w:t>
      </w:r>
      <w:r w:rsidR="00B545D9" w:rsidRPr="000E297C">
        <w:rPr>
          <w:i/>
          <w:lang w:val="fr-CA"/>
        </w:rPr>
        <w:t>Charte</w:t>
      </w:r>
      <w:r w:rsidR="00B545D9" w:rsidRPr="000E297C">
        <w:rPr>
          <w:lang w:val="fr-CA"/>
        </w:rPr>
        <w:t xml:space="preserve">, de sorte que la mesure </w:t>
      </w:r>
      <w:r w:rsidR="00CC5205">
        <w:rPr>
          <w:lang w:val="fr-CA"/>
        </w:rPr>
        <w:t>« </w:t>
      </w:r>
      <w:r w:rsidR="002D5423">
        <w:rPr>
          <w:lang w:val="fr-CA"/>
        </w:rPr>
        <w:t>choque</w:t>
      </w:r>
      <w:r w:rsidR="00B545D9" w:rsidRPr="000E297C">
        <w:rPr>
          <w:lang w:val="fr-CA"/>
        </w:rPr>
        <w:t xml:space="preserve"> la conscience</w:t>
      </w:r>
      <w:r w:rsidR="00CC5205">
        <w:rPr>
          <w:lang w:val="fr-CA"/>
        </w:rPr>
        <w:t> »</w:t>
      </w:r>
      <w:r w:rsidR="00B545D9" w:rsidRPr="000E297C">
        <w:rPr>
          <w:lang w:val="fr-CA"/>
        </w:rPr>
        <w:t xml:space="preserve"> ou soit par ailleurs </w:t>
      </w:r>
      <w:r w:rsidR="00CC5205">
        <w:rPr>
          <w:lang w:val="fr-CA"/>
        </w:rPr>
        <w:t>« </w:t>
      </w:r>
      <w:r w:rsidR="00B545D9" w:rsidRPr="000E297C">
        <w:rPr>
          <w:lang w:val="fr-CA"/>
        </w:rPr>
        <w:t>injuste ou tyrannique</w:t>
      </w:r>
      <w:r w:rsidR="00CC5205">
        <w:rPr>
          <w:lang w:val="fr-CA"/>
        </w:rPr>
        <w:t> »</w:t>
      </w:r>
      <w:r w:rsidR="00B545D9" w:rsidRPr="000E297C">
        <w:rPr>
          <w:lang w:val="fr-CA"/>
        </w:rPr>
        <w:t xml:space="preserve"> au sens du </w:t>
      </w:r>
      <w:r w:rsidR="00110941" w:rsidRPr="000E297C">
        <w:rPr>
          <w:lang w:val="fr-CA"/>
        </w:rPr>
        <w:t>par.</w:t>
      </w:r>
      <w:r w:rsidR="00CC5205">
        <w:rPr>
          <w:lang w:val="fr-CA"/>
        </w:rPr>
        <w:t xml:space="preserve"> </w:t>
      </w:r>
      <w:r w:rsidR="00B545D9" w:rsidRPr="000E297C">
        <w:rPr>
          <w:lang w:val="fr-CA"/>
        </w:rPr>
        <w:t xml:space="preserve">44(1) de la </w:t>
      </w:r>
      <w:r w:rsidR="00B545D9" w:rsidRPr="000E297C">
        <w:rPr>
          <w:i/>
          <w:lang w:val="fr-CA"/>
        </w:rPr>
        <w:t>Loi sur l’extradition</w:t>
      </w:r>
      <w:r w:rsidR="00B545D9" w:rsidRPr="000E297C">
        <w:rPr>
          <w:lang w:val="fr-CA"/>
        </w:rPr>
        <w:t xml:space="preserve">. La possibilité d’un quatrième procès si longtemps après la perpétration du crime allégué ne porte pas suffisamment atteinte à notre conception de la justice fondamentale pour que la balance </w:t>
      </w:r>
      <w:r w:rsidR="005F7223" w:rsidRPr="000E297C">
        <w:rPr>
          <w:lang w:val="fr-CA"/>
        </w:rPr>
        <w:t xml:space="preserve">penche contre </w:t>
      </w:r>
      <w:r w:rsidR="00B545D9" w:rsidRPr="000E297C">
        <w:rPr>
          <w:lang w:val="fr-CA"/>
        </w:rPr>
        <w:t xml:space="preserve">l’extradition. </w:t>
      </w:r>
      <w:r w:rsidR="00376A25" w:rsidRPr="000E297C">
        <w:rPr>
          <w:lang w:val="fr-CA"/>
        </w:rPr>
        <w:t xml:space="preserve">Les tribunaux </w:t>
      </w:r>
      <w:r w:rsidR="00B545D9" w:rsidRPr="000E297C">
        <w:rPr>
          <w:lang w:val="fr-CA"/>
        </w:rPr>
        <w:t>canadiens</w:t>
      </w:r>
      <w:r w:rsidR="00376A25" w:rsidRPr="000E297C">
        <w:rPr>
          <w:lang w:val="fr-CA"/>
        </w:rPr>
        <w:t xml:space="preserve"> ont statué qu’</w:t>
      </w:r>
      <w:r w:rsidR="00B545D9" w:rsidRPr="000E297C">
        <w:rPr>
          <w:lang w:val="fr-CA"/>
        </w:rPr>
        <w:t>un quatrième procès p</w:t>
      </w:r>
      <w:r w:rsidR="00376A25" w:rsidRPr="000E297C">
        <w:rPr>
          <w:lang w:val="fr-CA"/>
        </w:rPr>
        <w:t>ouvai</w:t>
      </w:r>
      <w:r w:rsidR="00B545D9" w:rsidRPr="000E297C">
        <w:rPr>
          <w:lang w:val="fr-CA"/>
        </w:rPr>
        <w:t xml:space="preserve">t être </w:t>
      </w:r>
      <w:r w:rsidR="00B545D9" w:rsidRPr="000E297C">
        <w:rPr>
          <w:lang w:val="fr-CA"/>
        </w:rPr>
        <w:lastRenderedPageBreak/>
        <w:t>envisagé dans certains cas</w:t>
      </w:r>
      <w:r w:rsidR="00376A25" w:rsidRPr="000E297C">
        <w:rPr>
          <w:lang w:val="fr-CA"/>
        </w:rPr>
        <w:t>, et l</w:t>
      </w:r>
      <w:r w:rsidR="00B545D9" w:rsidRPr="000E297C">
        <w:rPr>
          <w:lang w:val="fr-CA"/>
        </w:rPr>
        <w:t xml:space="preserve">es tribunaux américains </w:t>
      </w:r>
      <w:r w:rsidR="00376A25" w:rsidRPr="000E297C">
        <w:rPr>
          <w:lang w:val="fr-CA"/>
        </w:rPr>
        <w:t>ont</w:t>
      </w:r>
      <w:r w:rsidR="00B545D9" w:rsidRPr="000E297C">
        <w:rPr>
          <w:lang w:val="fr-CA"/>
        </w:rPr>
        <w:t xml:space="preserve"> grosso modo </w:t>
      </w:r>
      <w:r w:rsidR="00376A25" w:rsidRPr="000E297C">
        <w:rPr>
          <w:lang w:val="fr-CA"/>
        </w:rPr>
        <w:t>opiné dans le</w:t>
      </w:r>
      <w:r w:rsidR="00B545D9" w:rsidRPr="000E297C">
        <w:rPr>
          <w:lang w:val="fr-CA"/>
        </w:rPr>
        <w:t xml:space="preserve"> même</w:t>
      </w:r>
      <w:r w:rsidR="00376A25" w:rsidRPr="000E297C">
        <w:rPr>
          <w:lang w:val="fr-CA"/>
        </w:rPr>
        <w:t xml:space="preserve"> sens</w:t>
      </w:r>
      <w:r w:rsidR="00B545D9" w:rsidRPr="000E297C">
        <w:rPr>
          <w:lang w:val="fr-CA"/>
        </w:rPr>
        <w:t>.</w:t>
      </w:r>
      <w:r w:rsidR="004C43F9" w:rsidRPr="000E297C">
        <w:rPr>
          <w:lang w:val="fr-CA"/>
        </w:rPr>
        <w:t xml:space="preserve"> B pourra faire valoir tous ses arguments relatifs au caractère inéquitable d’un quatrième procès et ses motifs d’opposition à la preuve dite nouvelle devant le tribunal du New Hampshire. On </w:t>
      </w:r>
      <w:r w:rsidR="005F7223" w:rsidRPr="000E297C">
        <w:rPr>
          <w:lang w:val="fr-CA"/>
        </w:rPr>
        <w:t xml:space="preserve">ne </w:t>
      </w:r>
      <w:r w:rsidR="004C43F9" w:rsidRPr="000E297C">
        <w:rPr>
          <w:lang w:val="fr-CA"/>
        </w:rPr>
        <w:t>peut raisonnablement considérer que le traitement donné qui attend B au New Hampshire heurte notre conception de la justice fondamentale au point de justifier le refus de l’extradition. Qui plus est, un refus d’extradition est foncièrement incompatible avec les principes de la collaboration internationale qui constituent le fondement d’un traité d’extradition. Le Canada est censé s’en remettre au tribunal étranger pour ce qui touche à l’application régulière de la loi. L’intervention judiciaire n’est pas justifiée en l’espèce.</w:t>
      </w:r>
    </w:p>
    <w:p w:rsidR="004D7D95" w:rsidRPr="000E297C" w:rsidRDefault="004D7D95" w:rsidP="009968A8">
      <w:pPr>
        <w:pStyle w:val="SCCNormalDoubleSpacing"/>
        <w:spacing w:after="720" w:line="240" w:lineRule="auto"/>
        <w:rPr>
          <w:b/>
          <w:lang w:val="fr-CA"/>
        </w:rPr>
      </w:pPr>
      <w:r w:rsidRPr="000E297C">
        <w:rPr>
          <w:b/>
          <w:lang w:val="fr-CA"/>
        </w:rPr>
        <w:t>Jurisprudence</w:t>
      </w:r>
    </w:p>
    <w:p w:rsidR="004D7D95" w:rsidRPr="000E297C" w:rsidRDefault="004D7D95" w:rsidP="009968A8">
      <w:pPr>
        <w:pStyle w:val="SCCNormalDoubleSpacing"/>
        <w:spacing w:before="480" w:after="480"/>
        <w:rPr>
          <w:b/>
          <w:lang w:val="fr-CA"/>
        </w:rPr>
      </w:pPr>
      <w:r w:rsidRPr="000E297C">
        <w:rPr>
          <w:lang w:val="fr-CA"/>
        </w:rPr>
        <w:tab/>
      </w:r>
      <w:r w:rsidRPr="000E297C">
        <w:rPr>
          <w:b/>
          <w:lang w:val="fr-CA"/>
        </w:rPr>
        <w:t>Arrêts mentionnés</w:t>
      </w:r>
      <w:r w:rsidR="00CC5205">
        <w:rPr>
          <w:b/>
          <w:lang w:val="fr-CA"/>
        </w:rPr>
        <w:t> :</w:t>
      </w:r>
      <w:r w:rsidRPr="000E297C">
        <w:rPr>
          <w:lang w:val="fr-CA"/>
        </w:rPr>
        <w:t xml:space="preserve"> </w:t>
      </w:r>
      <w:r w:rsidR="000B4E19" w:rsidRPr="000E297C">
        <w:rPr>
          <w:i/>
          <w:lang w:val="fr-CA"/>
        </w:rPr>
        <w:t>États</w:t>
      </w:r>
      <w:r w:rsidR="00CC5205">
        <w:rPr>
          <w:i/>
          <w:lang w:val="fr-CA"/>
        </w:rPr>
        <w:t>-</w:t>
      </w:r>
      <w:r w:rsidR="000B4E19" w:rsidRPr="000E297C">
        <w:rPr>
          <w:i/>
          <w:lang w:val="fr-CA"/>
        </w:rPr>
        <w:t>Unis c. Burns</w:t>
      </w:r>
      <w:r w:rsidR="000B4E19" w:rsidRPr="000E297C">
        <w:rPr>
          <w:lang w:val="fr-CA"/>
        </w:rPr>
        <w:t xml:space="preserve">, 2001 CSC 7, [2001] 1 R.C.S. 283; </w:t>
      </w:r>
      <w:r w:rsidR="000B4E19" w:rsidRPr="000E297C">
        <w:rPr>
          <w:i/>
          <w:lang w:val="fr-CA"/>
        </w:rPr>
        <w:t>Lake c. Canada (Ministre de la Justice)</w:t>
      </w:r>
      <w:r w:rsidR="000B4E19" w:rsidRPr="000E297C">
        <w:rPr>
          <w:lang w:val="fr-CA"/>
        </w:rPr>
        <w:t xml:space="preserve">, 2008 CSC 23, [2008] 1 R.C.S. 761; </w:t>
      </w:r>
      <w:r w:rsidR="000B4E19" w:rsidRPr="000E297C">
        <w:rPr>
          <w:i/>
          <w:lang w:val="fr-CA"/>
        </w:rPr>
        <w:t xml:space="preserve">R. </w:t>
      </w:r>
      <w:r w:rsidR="005622A5" w:rsidRPr="000E297C">
        <w:rPr>
          <w:i/>
          <w:lang w:val="fr-CA"/>
        </w:rPr>
        <w:t>c</w:t>
      </w:r>
      <w:r w:rsidR="000B4E19" w:rsidRPr="000E297C">
        <w:rPr>
          <w:i/>
          <w:lang w:val="fr-CA"/>
        </w:rPr>
        <w:t>. Badgerow</w:t>
      </w:r>
      <w:r w:rsidR="000B4E19" w:rsidRPr="000E297C">
        <w:rPr>
          <w:lang w:val="fr-CA"/>
        </w:rPr>
        <w:t xml:space="preserve">, 2014 ONCA 272, 119 O.R. (3d) 399, </w:t>
      </w:r>
      <w:r w:rsidR="005622A5" w:rsidRPr="000E297C">
        <w:rPr>
          <w:lang w:val="fr-CA"/>
        </w:rPr>
        <w:t>autorisation d’appel refusée</w:t>
      </w:r>
      <w:r w:rsidR="000B4E19" w:rsidRPr="000E297C">
        <w:rPr>
          <w:lang w:val="fr-CA"/>
        </w:rPr>
        <w:t xml:space="preserve">, [2014] 3 R.C.S. v; </w:t>
      </w:r>
      <w:r w:rsidR="000B4E19" w:rsidRPr="000E297C">
        <w:rPr>
          <w:i/>
          <w:lang w:val="fr-CA"/>
        </w:rPr>
        <w:t xml:space="preserve">R. </w:t>
      </w:r>
      <w:r w:rsidR="005622A5" w:rsidRPr="000E297C">
        <w:rPr>
          <w:i/>
          <w:lang w:val="fr-CA"/>
        </w:rPr>
        <w:t>c</w:t>
      </w:r>
      <w:r w:rsidR="000B4E19" w:rsidRPr="000E297C">
        <w:rPr>
          <w:i/>
          <w:lang w:val="fr-CA"/>
        </w:rPr>
        <w:t>. Anderson</w:t>
      </w:r>
      <w:r w:rsidR="000B4E19" w:rsidRPr="000E297C">
        <w:rPr>
          <w:lang w:val="fr-CA"/>
        </w:rPr>
        <w:t xml:space="preserve"> (2002), 57 O.R. (3d) 6</w:t>
      </w:r>
      <w:r w:rsidR="002D5423">
        <w:rPr>
          <w:lang w:val="fr-CA"/>
        </w:rPr>
        <w:t>7</w:t>
      </w:r>
      <w:r w:rsidR="000B4E19" w:rsidRPr="000E297C">
        <w:rPr>
          <w:lang w:val="fr-CA"/>
        </w:rPr>
        <w:t xml:space="preserve">1; </w:t>
      </w:r>
      <w:proofErr w:type="spellStart"/>
      <w:r w:rsidR="00FF75FD" w:rsidRPr="000E297C">
        <w:rPr>
          <w:i/>
          <w:lang w:val="fr-CA"/>
        </w:rPr>
        <w:t>Caplin</w:t>
      </w:r>
      <w:proofErr w:type="spellEnd"/>
      <w:r w:rsidR="00FF75FD" w:rsidRPr="000E297C">
        <w:rPr>
          <w:i/>
          <w:lang w:val="fr-CA"/>
        </w:rPr>
        <w:t xml:space="preserve"> c. Canada (Justice)</w:t>
      </w:r>
      <w:r w:rsidR="00FF75FD" w:rsidRPr="000E297C">
        <w:rPr>
          <w:lang w:val="fr-CA"/>
        </w:rPr>
        <w:t xml:space="preserve">, 2015 CSC </w:t>
      </w:r>
      <w:r w:rsidR="00EF2726" w:rsidRPr="000E297C">
        <w:rPr>
          <w:lang w:val="fr-CA"/>
        </w:rPr>
        <w:t>32</w:t>
      </w:r>
      <w:r w:rsidR="00317E15">
        <w:rPr>
          <w:lang w:val="fr-CA"/>
        </w:rPr>
        <w:t>, [2015] 2 R.C.S. 5</w:t>
      </w:r>
      <w:r w:rsidR="00D20286">
        <w:rPr>
          <w:lang w:val="fr-CA"/>
        </w:rPr>
        <w:t>70</w:t>
      </w:r>
      <w:r w:rsidR="00FF75FD" w:rsidRPr="000E297C">
        <w:rPr>
          <w:lang w:val="fr-CA"/>
        </w:rPr>
        <w:t>;</w:t>
      </w:r>
      <w:r w:rsidR="00FF75FD" w:rsidRPr="000E297C">
        <w:rPr>
          <w:i/>
          <w:lang w:val="fr-CA"/>
        </w:rPr>
        <w:t xml:space="preserve"> </w:t>
      </w:r>
      <w:r w:rsidR="000B4E19" w:rsidRPr="000E297C">
        <w:rPr>
          <w:i/>
          <w:lang w:val="fr-CA"/>
        </w:rPr>
        <w:t>Germany (</w:t>
      </w:r>
      <w:proofErr w:type="spellStart"/>
      <w:r w:rsidR="000B4E19" w:rsidRPr="000E297C">
        <w:rPr>
          <w:i/>
          <w:lang w:val="fr-CA"/>
        </w:rPr>
        <w:t>Federal</w:t>
      </w:r>
      <w:proofErr w:type="spellEnd"/>
      <w:r w:rsidR="000B4E19" w:rsidRPr="000E297C">
        <w:rPr>
          <w:i/>
          <w:lang w:val="fr-CA"/>
        </w:rPr>
        <w:t xml:space="preserve"> </w:t>
      </w:r>
      <w:proofErr w:type="spellStart"/>
      <w:r w:rsidR="000B4E19" w:rsidRPr="000E297C">
        <w:rPr>
          <w:i/>
          <w:lang w:val="fr-CA"/>
        </w:rPr>
        <w:t>Republic</w:t>
      </w:r>
      <w:proofErr w:type="spellEnd"/>
      <w:r w:rsidR="000B4E19" w:rsidRPr="000E297C">
        <w:rPr>
          <w:i/>
          <w:lang w:val="fr-CA"/>
        </w:rPr>
        <w:t xml:space="preserve">) </w:t>
      </w:r>
      <w:r w:rsidR="005622A5" w:rsidRPr="000E297C">
        <w:rPr>
          <w:i/>
          <w:lang w:val="fr-CA"/>
        </w:rPr>
        <w:t>c</w:t>
      </w:r>
      <w:r w:rsidR="000B4E19" w:rsidRPr="000E297C">
        <w:rPr>
          <w:i/>
          <w:lang w:val="fr-CA"/>
        </w:rPr>
        <w:t>. Schreiber</w:t>
      </w:r>
      <w:r w:rsidR="000B4E19" w:rsidRPr="000E297C">
        <w:rPr>
          <w:lang w:val="fr-CA"/>
        </w:rPr>
        <w:t xml:space="preserve"> (2006), 206 C.C.C. (3d) 339, </w:t>
      </w:r>
      <w:r w:rsidR="005622A5" w:rsidRPr="000E297C">
        <w:rPr>
          <w:lang w:val="fr-CA"/>
        </w:rPr>
        <w:t>autorisation d’appel refusée</w:t>
      </w:r>
      <w:r w:rsidR="000B4E19" w:rsidRPr="000E297C">
        <w:rPr>
          <w:lang w:val="fr-CA"/>
        </w:rPr>
        <w:t xml:space="preserve">, [2007] 1 R.C.S. xiv; </w:t>
      </w:r>
      <w:r w:rsidR="000B4E19" w:rsidRPr="000E297C">
        <w:rPr>
          <w:i/>
          <w:lang w:val="fr-CA"/>
        </w:rPr>
        <w:t xml:space="preserve">Canada (Justice) </w:t>
      </w:r>
      <w:r w:rsidR="005622A5" w:rsidRPr="000E297C">
        <w:rPr>
          <w:i/>
          <w:lang w:val="fr-CA"/>
        </w:rPr>
        <w:t>c</w:t>
      </w:r>
      <w:r w:rsidR="000B4E19" w:rsidRPr="000E297C">
        <w:rPr>
          <w:i/>
          <w:lang w:val="fr-CA"/>
        </w:rPr>
        <w:t>. Fischbacher</w:t>
      </w:r>
      <w:r w:rsidR="000B4E19" w:rsidRPr="000E297C">
        <w:rPr>
          <w:lang w:val="fr-CA"/>
        </w:rPr>
        <w:t xml:space="preserve">, 2009 CSC 46, [2009] 3 R.C.S. 170; </w:t>
      </w:r>
      <w:r w:rsidR="000B4E19" w:rsidRPr="000E297C">
        <w:rPr>
          <w:i/>
          <w:lang w:val="fr-CA"/>
        </w:rPr>
        <w:t xml:space="preserve">R. </w:t>
      </w:r>
      <w:r w:rsidR="005622A5" w:rsidRPr="000E297C">
        <w:rPr>
          <w:i/>
          <w:lang w:val="fr-CA"/>
        </w:rPr>
        <w:t>c</w:t>
      </w:r>
      <w:r w:rsidR="000B4E19" w:rsidRPr="000E297C">
        <w:rPr>
          <w:i/>
          <w:lang w:val="fr-CA"/>
        </w:rPr>
        <w:t>. Babos</w:t>
      </w:r>
      <w:r w:rsidR="000B4E19" w:rsidRPr="000E297C">
        <w:rPr>
          <w:lang w:val="fr-CA"/>
        </w:rPr>
        <w:t>, 2014 CSC 16, [2014] 1 R.C.S. 309.</w:t>
      </w:r>
    </w:p>
    <w:p w:rsidR="004D7D95" w:rsidRPr="000E297C" w:rsidRDefault="004D7D95" w:rsidP="009968A8">
      <w:pPr>
        <w:pStyle w:val="SCCNormalDoubleSpacing"/>
        <w:spacing w:after="720" w:line="240" w:lineRule="auto"/>
        <w:rPr>
          <w:b/>
          <w:lang w:val="fr-CA"/>
        </w:rPr>
      </w:pPr>
      <w:r w:rsidRPr="000E297C">
        <w:rPr>
          <w:b/>
          <w:lang w:val="fr-CA"/>
        </w:rPr>
        <w:t>Lois et règlements cités</w:t>
      </w:r>
    </w:p>
    <w:p w:rsidR="00AC0BDF" w:rsidRPr="000E297C" w:rsidRDefault="00AC0BDF" w:rsidP="009968A8">
      <w:pPr>
        <w:pStyle w:val="SCCNormalDoubleSpacing"/>
        <w:spacing w:after="240" w:line="240" w:lineRule="auto"/>
        <w:ind w:left="547" w:hanging="547"/>
        <w:rPr>
          <w:lang w:val="fr-CA"/>
        </w:rPr>
      </w:pPr>
      <w:r w:rsidRPr="000E297C">
        <w:rPr>
          <w:i/>
          <w:lang w:val="fr-CA"/>
        </w:rPr>
        <w:lastRenderedPageBreak/>
        <w:t>Charte canadienne des droits et libertés</w:t>
      </w:r>
      <w:r w:rsidRPr="000E297C">
        <w:rPr>
          <w:lang w:val="fr-CA"/>
        </w:rPr>
        <w:t xml:space="preserve">, </w:t>
      </w:r>
      <w:r w:rsidR="00110941" w:rsidRPr="000E297C">
        <w:rPr>
          <w:lang w:val="fr-CA"/>
        </w:rPr>
        <w:t>art.</w:t>
      </w:r>
      <w:r w:rsidR="00CC5205">
        <w:rPr>
          <w:lang w:val="fr-CA"/>
        </w:rPr>
        <w:t xml:space="preserve"> </w:t>
      </w:r>
      <w:r w:rsidRPr="000E297C">
        <w:rPr>
          <w:lang w:val="fr-CA"/>
        </w:rPr>
        <w:t>7.</w:t>
      </w:r>
    </w:p>
    <w:p w:rsidR="00C64A71" w:rsidRPr="000E297C" w:rsidRDefault="00C64A71" w:rsidP="009968A8">
      <w:pPr>
        <w:pStyle w:val="SCCNormalDoubleSpacing"/>
        <w:spacing w:after="240" w:line="240" w:lineRule="auto"/>
        <w:ind w:left="547" w:hanging="547"/>
        <w:rPr>
          <w:lang w:val="fr-CA"/>
        </w:rPr>
      </w:pPr>
      <w:r w:rsidRPr="000E297C">
        <w:rPr>
          <w:lang w:val="fr-CA"/>
        </w:rPr>
        <w:t>Constitution des États</w:t>
      </w:r>
      <w:r w:rsidR="00CC5205">
        <w:rPr>
          <w:lang w:val="fr-CA"/>
        </w:rPr>
        <w:t>-</w:t>
      </w:r>
      <w:r w:rsidRPr="000E297C">
        <w:rPr>
          <w:lang w:val="fr-CA"/>
        </w:rPr>
        <w:t>Unis d’Amérique.</w:t>
      </w:r>
    </w:p>
    <w:p w:rsidR="00AC0BDF" w:rsidRPr="000E297C" w:rsidRDefault="00AC0BDF" w:rsidP="009968A8">
      <w:pPr>
        <w:pStyle w:val="SCCNormalDoubleSpacing"/>
        <w:spacing w:after="240" w:line="240" w:lineRule="auto"/>
        <w:ind w:left="547" w:hanging="547"/>
        <w:rPr>
          <w:lang w:val="fr-CA"/>
        </w:rPr>
      </w:pPr>
      <w:r w:rsidRPr="000E297C">
        <w:rPr>
          <w:i/>
          <w:lang w:val="fr-CA"/>
        </w:rPr>
        <w:t>Loi sur l’extradition</w:t>
      </w:r>
      <w:r w:rsidRPr="000E297C">
        <w:rPr>
          <w:lang w:val="fr-CA"/>
        </w:rPr>
        <w:t>, L.C. 1999, c.</w:t>
      </w:r>
      <w:r w:rsidR="00CC5205">
        <w:rPr>
          <w:lang w:val="fr-CA"/>
        </w:rPr>
        <w:t xml:space="preserve"> </w:t>
      </w:r>
      <w:r w:rsidRPr="000E297C">
        <w:rPr>
          <w:lang w:val="fr-CA"/>
        </w:rPr>
        <w:t xml:space="preserve">18, </w:t>
      </w:r>
      <w:r w:rsidR="00110941" w:rsidRPr="000E297C">
        <w:rPr>
          <w:lang w:val="fr-CA"/>
        </w:rPr>
        <w:t>art.</w:t>
      </w:r>
      <w:r w:rsidR="00CC5205">
        <w:rPr>
          <w:lang w:val="fr-CA"/>
        </w:rPr>
        <w:t xml:space="preserve"> </w:t>
      </w:r>
      <w:r w:rsidRPr="000E297C">
        <w:rPr>
          <w:lang w:val="fr-CA"/>
        </w:rPr>
        <w:t>44(1).</w:t>
      </w:r>
    </w:p>
    <w:p w:rsidR="00C64A71" w:rsidRPr="000E297C" w:rsidRDefault="00C64A71" w:rsidP="00B66C25">
      <w:pPr>
        <w:pStyle w:val="SCCNormalDoubleSpacing"/>
        <w:spacing w:after="720" w:line="240" w:lineRule="auto"/>
        <w:ind w:left="547" w:hanging="547"/>
        <w:rPr>
          <w:lang w:val="fr-CA"/>
        </w:rPr>
      </w:pPr>
      <w:r w:rsidRPr="000E297C">
        <w:rPr>
          <w:lang w:val="fr-CA"/>
        </w:rPr>
        <w:t>New Hampshire Constitution</w:t>
      </w:r>
      <w:r w:rsidR="009968A8" w:rsidRPr="000E297C">
        <w:rPr>
          <w:lang w:val="fr-CA"/>
        </w:rPr>
        <w:t>, Part</w:t>
      </w:r>
      <w:r w:rsidR="00CC5205">
        <w:rPr>
          <w:lang w:val="fr-CA"/>
        </w:rPr>
        <w:t xml:space="preserve"> </w:t>
      </w:r>
      <w:r w:rsidRPr="000E297C">
        <w:rPr>
          <w:lang w:val="fr-CA"/>
        </w:rPr>
        <w:t>1, Article</w:t>
      </w:r>
      <w:r w:rsidR="00CC5205">
        <w:rPr>
          <w:lang w:val="fr-CA"/>
        </w:rPr>
        <w:t xml:space="preserve"> </w:t>
      </w:r>
      <w:r w:rsidRPr="000E297C">
        <w:rPr>
          <w:lang w:val="fr-CA"/>
        </w:rPr>
        <w:t>14.</w:t>
      </w:r>
    </w:p>
    <w:p w:rsidR="004D7D95" w:rsidRPr="000E297C" w:rsidRDefault="00C7200A" w:rsidP="00B66C25">
      <w:pPr>
        <w:pStyle w:val="SCCNormalDoubleSpacing"/>
        <w:spacing w:before="480" w:after="480"/>
        <w:rPr>
          <w:lang w:val="fr-CA"/>
        </w:rPr>
      </w:pPr>
      <w:r w:rsidRPr="000E297C">
        <w:rPr>
          <w:lang w:val="fr-CA"/>
        </w:rPr>
        <w:tab/>
      </w:r>
      <w:r w:rsidR="004D7D95" w:rsidRPr="000E297C">
        <w:rPr>
          <w:lang w:val="fr-CA"/>
        </w:rPr>
        <w:t>POURVOI contre un arrêt de la Cour d</w:t>
      </w:r>
      <w:r w:rsidRPr="000E297C">
        <w:rPr>
          <w:lang w:val="fr-CA"/>
        </w:rPr>
        <w:t>’</w:t>
      </w:r>
      <w:r w:rsidR="004D7D95" w:rsidRPr="000E297C">
        <w:rPr>
          <w:lang w:val="fr-CA"/>
        </w:rPr>
        <w:t>appel du Québec</w:t>
      </w:r>
      <w:r w:rsidR="00E67620" w:rsidRPr="000E297C">
        <w:rPr>
          <w:lang w:val="fr-CA"/>
        </w:rPr>
        <w:t xml:space="preserve"> (la juge en chef Duval Hesler et les juges L</w:t>
      </w:r>
      <w:r w:rsidR="006C59EB" w:rsidRPr="000E297C">
        <w:rPr>
          <w:lang w:val="fr-CA"/>
        </w:rPr>
        <w:t>e</w:t>
      </w:r>
      <w:r w:rsidR="00E67620" w:rsidRPr="000E297C">
        <w:rPr>
          <w:lang w:val="fr-CA"/>
        </w:rPr>
        <w:t>vesque et Savard), 2013 QCCA 1305, [2013] AZ</w:t>
      </w:r>
      <w:r w:rsidR="00CC5205">
        <w:rPr>
          <w:lang w:val="fr-CA"/>
        </w:rPr>
        <w:t>-</w:t>
      </w:r>
      <w:r w:rsidR="00E67620" w:rsidRPr="000E297C">
        <w:rPr>
          <w:lang w:val="fr-CA"/>
        </w:rPr>
        <w:t xml:space="preserve">50991418, [2013] Q.J. </w:t>
      </w:r>
      <w:r w:rsidR="00110941" w:rsidRPr="000E297C">
        <w:rPr>
          <w:lang w:val="fr-CA"/>
        </w:rPr>
        <w:t>No.</w:t>
      </w:r>
      <w:r w:rsidR="00CC5205">
        <w:rPr>
          <w:lang w:val="fr-CA"/>
        </w:rPr>
        <w:t xml:space="preserve"> </w:t>
      </w:r>
      <w:r w:rsidR="00E67620" w:rsidRPr="000E297C">
        <w:rPr>
          <w:lang w:val="fr-CA"/>
        </w:rPr>
        <w:t>8752 (QL), 2013 CarswellQue 7615 (WL Can.), qui a accueilli la demande de contrôle judiciaire visant l’arrêté d’extradition pris par le ministre de la Justice</w:t>
      </w:r>
      <w:r w:rsidRPr="000E297C">
        <w:rPr>
          <w:lang w:val="fr-CA"/>
        </w:rPr>
        <w:t>. Pourvoi accueilli.</w:t>
      </w:r>
    </w:p>
    <w:p w:rsidR="004D3E66" w:rsidRPr="000E297C" w:rsidRDefault="00CC5311" w:rsidP="00B66C25">
      <w:pPr>
        <w:pStyle w:val="SCCNormalDoubleSpacing"/>
        <w:spacing w:before="480" w:after="480"/>
        <w:rPr>
          <w:lang w:val="fr-CA"/>
        </w:rPr>
      </w:pPr>
      <w:r w:rsidRPr="000E297C">
        <w:rPr>
          <w:rStyle w:val="SCCCounselNameChar"/>
          <w:i w:val="0"/>
          <w:lang w:val="fr-CA"/>
        </w:rPr>
        <w:tab/>
      </w:r>
      <w:r w:rsidRPr="000E297C">
        <w:rPr>
          <w:rStyle w:val="SCCCounselNameChar"/>
          <w:lang w:val="fr-CA"/>
        </w:rPr>
        <w:t>Marc Ribeiro</w:t>
      </w:r>
      <w:r w:rsidRPr="000E297C">
        <w:rPr>
          <w:rStyle w:val="SCCCounselNameChar"/>
          <w:i w:val="0"/>
          <w:lang w:val="fr-CA"/>
        </w:rPr>
        <w:t xml:space="preserve"> </w:t>
      </w:r>
      <w:r w:rsidRPr="000E297C">
        <w:rPr>
          <w:rStyle w:val="SCCCounselSeparatorChar"/>
          <w:lang w:val="fr-CA"/>
        </w:rPr>
        <w:t>et</w:t>
      </w:r>
      <w:r w:rsidRPr="000E297C">
        <w:rPr>
          <w:rStyle w:val="SCCCounselNameChar"/>
          <w:i w:val="0"/>
          <w:lang w:val="fr-CA"/>
        </w:rPr>
        <w:t xml:space="preserve"> </w:t>
      </w:r>
      <w:r w:rsidRPr="000E297C">
        <w:rPr>
          <w:rStyle w:val="SCCCounselNameChar"/>
          <w:lang w:val="fr-CA"/>
        </w:rPr>
        <w:t>Ginette Gobeil</w:t>
      </w:r>
      <w:r w:rsidR="00C7200A" w:rsidRPr="000E297C">
        <w:rPr>
          <w:rStyle w:val="SCCCounselPartyRoleChar"/>
          <w:lang w:val="fr-CA"/>
        </w:rPr>
        <w:t>, pour l’appelant.</w:t>
      </w:r>
    </w:p>
    <w:p w:rsidR="004D3E66" w:rsidRPr="000E297C" w:rsidRDefault="00C7200A" w:rsidP="00B66C25">
      <w:pPr>
        <w:pStyle w:val="SCCNormalDoubleSpacing"/>
        <w:spacing w:before="480" w:after="480"/>
        <w:rPr>
          <w:lang w:val="fr-CA"/>
        </w:rPr>
      </w:pPr>
      <w:r w:rsidRPr="000E297C">
        <w:rPr>
          <w:rStyle w:val="SCCCounselNameChar"/>
          <w:lang w:val="fr-CA"/>
        </w:rPr>
        <w:tab/>
        <w:t>Clemente Monterosso</w:t>
      </w:r>
      <w:r w:rsidRPr="000E297C">
        <w:rPr>
          <w:rStyle w:val="SCCCounselSeparatorChar"/>
          <w:lang w:val="fr-CA"/>
        </w:rPr>
        <w:t xml:space="preserve"> et </w:t>
      </w:r>
      <w:r w:rsidRPr="000E297C">
        <w:rPr>
          <w:rStyle w:val="SCCCounselNameChar"/>
          <w:lang w:val="fr-CA"/>
        </w:rPr>
        <w:t>Marie</w:t>
      </w:r>
      <w:r w:rsidR="00CC5205">
        <w:rPr>
          <w:rStyle w:val="SCCCounselNameChar"/>
          <w:lang w:val="fr-CA"/>
        </w:rPr>
        <w:t>-</w:t>
      </w:r>
      <w:r w:rsidRPr="000E297C">
        <w:rPr>
          <w:rStyle w:val="SCCCounselNameChar"/>
          <w:lang w:val="fr-CA"/>
        </w:rPr>
        <w:t>Philippe Tanguay</w:t>
      </w:r>
      <w:r w:rsidRPr="000E297C">
        <w:rPr>
          <w:rStyle w:val="SCCCounselPartyRoleChar"/>
          <w:lang w:val="fr-CA"/>
        </w:rPr>
        <w:t>, pour l’intimé.</w:t>
      </w:r>
    </w:p>
    <w:p w:rsidR="00EE23FC" w:rsidRPr="002D5423" w:rsidRDefault="002D5423" w:rsidP="00EE23FC">
      <w:pPr>
        <w:pStyle w:val="JudgeJuge"/>
        <w:spacing w:before="480"/>
        <w:rPr>
          <w:smallCaps w:val="0"/>
          <w:lang w:val="fr-CA"/>
        </w:rPr>
      </w:pPr>
      <w:r>
        <w:rPr>
          <w:lang w:val="fr-CA"/>
        </w:rPr>
        <w:tab/>
      </w:r>
      <w:r>
        <w:rPr>
          <w:smallCaps w:val="0"/>
          <w:lang w:val="fr-CA"/>
        </w:rPr>
        <w:t>Version française du jugement rendu par</w:t>
      </w:r>
    </w:p>
    <w:p w:rsidR="00EE23FC" w:rsidRPr="00E63F4D" w:rsidRDefault="002D5423" w:rsidP="00EE23FC">
      <w:pPr>
        <w:pStyle w:val="ParaNoNdepar-AltN"/>
        <w:rPr>
          <w:rFonts w:cs="Times New Roman"/>
          <w:lang w:val="fr-CA"/>
        </w:rPr>
      </w:pPr>
      <w:r w:rsidRPr="002D5423">
        <w:rPr>
          <w:smallCaps/>
          <w:lang w:val="fr-CA"/>
        </w:rPr>
        <w:t>La Cour</w:t>
      </w:r>
      <w:r w:rsidRPr="00E63F4D">
        <w:rPr>
          <w:lang w:val="fr-CA"/>
        </w:rPr>
        <w:t xml:space="preserve"> — </w:t>
      </w:r>
      <w:r w:rsidR="00EE23FC" w:rsidRPr="00E63F4D">
        <w:rPr>
          <w:rFonts w:cs="Times New Roman"/>
          <w:lang w:val="fr-CA"/>
        </w:rPr>
        <w:t>La décision du ministre de la Justice d’extrader M.</w:t>
      </w:r>
      <w:r w:rsidR="00CC5205">
        <w:rPr>
          <w:rFonts w:cs="Times New Roman"/>
          <w:lang w:val="fr-CA"/>
        </w:rPr>
        <w:t xml:space="preserve"> </w:t>
      </w:r>
      <w:r w:rsidR="00EE23FC" w:rsidRPr="00E63F4D">
        <w:rPr>
          <w:rFonts w:cs="Times New Roman"/>
          <w:lang w:val="fr-CA"/>
        </w:rPr>
        <w:t xml:space="preserve">Barnaby était raisonnable. À notre avis, la Cour d’appel a eu tort de conclure le contraire. </w:t>
      </w:r>
    </w:p>
    <w:p w:rsidR="00EE23FC" w:rsidRPr="00E63F4D" w:rsidRDefault="00EE23FC" w:rsidP="00EE23FC">
      <w:pPr>
        <w:pStyle w:val="ParaNoNdepar-AltN"/>
        <w:rPr>
          <w:rFonts w:cs="Times New Roman"/>
          <w:lang w:val="fr-CA"/>
        </w:rPr>
      </w:pPr>
      <w:r w:rsidRPr="00E63F4D">
        <w:rPr>
          <w:rFonts w:cs="Times New Roman"/>
          <w:lang w:val="fr-CA"/>
        </w:rPr>
        <w:t>Premièrement, la Cour d’appel n’applique pas le bon critère juridique. Elle était appelée à déterminer si la décision du ministre d’extrader M.</w:t>
      </w:r>
      <w:r w:rsidR="00CC5205">
        <w:rPr>
          <w:rFonts w:cs="Times New Roman"/>
          <w:lang w:val="fr-CA"/>
        </w:rPr>
        <w:t xml:space="preserve"> </w:t>
      </w:r>
      <w:r w:rsidRPr="00E63F4D">
        <w:rPr>
          <w:rFonts w:cs="Times New Roman"/>
          <w:lang w:val="fr-CA"/>
        </w:rPr>
        <w:t>Barnaby était raisonnable. Dans son analyse, elle affirme que [</w:t>
      </w:r>
      <w:r w:rsidRPr="00E63F4D">
        <w:rPr>
          <w:rFonts w:cs="Times New Roman"/>
          <w:smallCaps/>
          <w:lang w:val="fr-CA"/>
        </w:rPr>
        <w:t>traduction</w:t>
      </w:r>
      <w:r w:rsidRPr="00E63F4D">
        <w:rPr>
          <w:rFonts w:cs="Times New Roman"/>
          <w:lang w:val="fr-CA"/>
        </w:rPr>
        <w:t>]</w:t>
      </w:r>
      <w:r w:rsidR="00CC5205">
        <w:rPr>
          <w:rFonts w:cs="Times New Roman"/>
          <w:lang w:val="fr-CA"/>
        </w:rPr>
        <w:t xml:space="preserve"> « </w:t>
      </w:r>
      <w:r w:rsidRPr="00E63F4D">
        <w:rPr>
          <w:rFonts w:cs="Times New Roman"/>
          <w:lang w:val="fr-CA"/>
        </w:rPr>
        <w:t xml:space="preserve">la seule question à trancher est celle de savoir si un quatrième procès constituerait un abus de procédure </w:t>
      </w:r>
      <w:r w:rsidRPr="00E63F4D">
        <w:rPr>
          <w:rFonts w:cs="Times New Roman"/>
          <w:lang w:val="fr-CA"/>
        </w:rPr>
        <w:lastRenderedPageBreak/>
        <w:t>dans son cas</w:t>
      </w:r>
      <w:r w:rsidR="00CC5205">
        <w:rPr>
          <w:rFonts w:cs="Times New Roman"/>
          <w:lang w:val="fr-CA"/>
        </w:rPr>
        <w:t> »</w:t>
      </w:r>
      <w:r w:rsidRPr="00E63F4D">
        <w:rPr>
          <w:rFonts w:cs="Times New Roman"/>
          <w:lang w:val="fr-CA"/>
        </w:rPr>
        <w:t xml:space="preserve"> (2013 QCCA 1305, par.</w:t>
      </w:r>
      <w:r w:rsidR="00CC5205">
        <w:rPr>
          <w:rFonts w:cs="Times New Roman"/>
          <w:lang w:val="fr-CA"/>
        </w:rPr>
        <w:t xml:space="preserve"> </w:t>
      </w:r>
      <w:r w:rsidRPr="00E63F4D">
        <w:rPr>
          <w:rFonts w:cs="Times New Roman"/>
          <w:lang w:val="fr-CA"/>
        </w:rPr>
        <w:t>9 (CanLII)). Or, la question n’était pas de savoir si le fait de soumettre M.</w:t>
      </w:r>
      <w:r w:rsidR="00CC5205">
        <w:rPr>
          <w:rFonts w:cs="Times New Roman"/>
          <w:lang w:val="fr-CA"/>
        </w:rPr>
        <w:t xml:space="preserve"> </w:t>
      </w:r>
      <w:r w:rsidRPr="00E63F4D">
        <w:rPr>
          <w:rFonts w:cs="Times New Roman"/>
          <w:lang w:val="fr-CA"/>
        </w:rPr>
        <w:t>Barnaby à un quatrième procès constituerait ou non un abus de procédure, que ce soit au Canada ou aux États</w:t>
      </w:r>
      <w:r w:rsidR="00CC5205">
        <w:rPr>
          <w:rFonts w:cs="Times New Roman"/>
          <w:lang w:val="fr-CA"/>
        </w:rPr>
        <w:t>-</w:t>
      </w:r>
      <w:r w:rsidRPr="00E63F4D">
        <w:rPr>
          <w:rFonts w:cs="Times New Roman"/>
          <w:lang w:val="fr-CA"/>
        </w:rPr>
        <w:t>Unis. Il fallait plutôt se demander si extrader M.</w:t>
      </w:r>
      <w:r w:rsidR="00CC5205">
        <w:rPr>
          <w:rFonts w:cs="Times New Roman"/>
          <w:lang w:val="fr-CA"/>
        </w:rPr>
        <w:t xml:space="preserve"> </w:t>
      </w:r>
      <w:r w:rsidRPr="00E63F4D">
        <w:rPr>
          <w:rFonts w:cs="Times New Roman"/>
          <w:lang w:val="fr-CA"/>
        </w:rPr>
        <w:t>Barnaby de manière à l’exposer à la possibilité d’un quatrième procès contreviendrait aux principes de justice fondamentale garantis par l’art.</w:t>
      </w:r>
      <w:r w:rsidR="00CC5205">
        <w:rPr>
          <w:rFonts w:cs="Times New Roman"/>
          <w:lang w:val="fr-CA"/>
        </w:rPr>
        <w:t xml:space="preserve"> </w:t>
      </w:r>
      <w:r w:rsidRPr="00E63F4D">
        <w:rPr>
          <w:rFonts w:cs="Times New Roman"/>
          <w:lang w:val="fr-CA"/>
        </w:rPr>
        <w:t xml:space="preserve">7 de la </w:t>
      </w:r>
      <w:r w:rsidRPr="00E63F4D">
        <w:rPr>
          <w:rFonts w:cs="Times New Roman"/>
          <w:i/>
          <w:lang w:val="fr-CA"/>
        </w:rPr>
        <w:t>Charte canadienne des droits et libertés</w:t>
      </w:r>
      <w:r w:rsidRPr="00E63F4D">
        <w:rPr>
          <w:rFonts w:cs="Times New Roman"/>
          <w:lang w:val="fr-CA"/>
        </w:rPr>
        <w:t xml:space="preserve">, de sorte que la mesure </w:t>
      </w:r>
      <w:r w:rsidR="00CC5205">
        <w:rPr>
          <w:rFonts w:cs="Times New Roman"/>
          <w:lang w:val="fr-CA"/>
        </w:rPr>
        <w:t>« </w:t>
      </w:r>
      <w:r w:rsidRPr="00E63F4D">
        <w:rPr>
          <w:rFonts w:cs="Times New Roman"/>
          <w:lang w:val="fr-CA"/>
        </w:rPr>
        <w:t>choquerait la conscience</w:t>
      </w:r>
      <w:r w:rsidR="00CC5205">
        <w:rPr>
          <w:rFonts w:cs="Times New Roman"/>
          <w:lang w:val="fr-CA"/>
        </w:rPr>
        <w:t> »</w:t>
      </w:r>
      <w:r w:rsidRPr="00E63F4D">
        <w:rPr>
          <w:rFonts w:cs="Times New Roman"/>
          <w:lang w:val="fr-CA"/>
        </w:rPr>
        <w:t xml:space="preserve"> ou serait par ailleurs </w:t>
      </w:r>
      <w:r w:rsidR="00CC5205">
        <w:rPr>
          <w:rFonts w:cs="Times New Roman"/>
          <w:lang w:val="fr-CA"/>
        </w:rPr>
        <w:t>« </w:t>
      </w:r>
      <w:r w:rsidRPr="00E63F4D">
        <w:rPr>
          <w:rFonts w:cs="Times New Roman"/>
          <w:lang w:val="fr-CA"/>
        </w:rPr>
        <w:t>injuste ou tyrannique</w:t>
      </w:r>
      <w:r w:rsidR="00CC5205">
        <w:rPr>
          <w:rFonts w:cs="Times New Roman"/>
          <w:lang w:val="fr-CA"/>
        </w:rPr>
        <w:t> »</w:t>
      </w:r>
      <w:r w:rsidRPr="00E63F4D">
        <w:rPr>
          <w:rFonts w:cs="Times New Roman"/>
          <w:lang w:val="fr-CA"/>
        </w:rPr>
        <w:t xml:space="preserve"> au sens du par.</w:t>
      </w:r>
      <w:r w:rsidR="00CC5205">
        <w:rPr>
          <w:rFonts w:cs="Times New Roman"/>
          <w:lang w:val="fr-CA"/>
        </w:rPr>
        <w:t xml:space="preserve"> </w:t>
      </w:r>
      <w:r w:rsidRPr="00E63F4D">
        <w:rPr>
          <w:rFonts w:cs="Times New Roman"/>
          <w:lang w:val="fr-CA"/>
        </w:rPr>
        <w:t xml:space="preserve">44(1) de la </w:t>
      </w:r>
      <w:r w:rsidRPr="00E63F4D">
        <w:rPr>
          <w:rFonts w:cs="Times New Roman"/>
          <w:i/>
          <w:lang w:val="fr-CA"/>
        </w:rPr>
        <w:t>Loi sur l’extradition</w:t>
      </w:r>
      <w:r w:rsidRPr="00E63F4D">
        <w:rPr>
          <w:rFonts w:cs="Times New Roman"/>
          <w:lang w:val="fr-CA"/>
        </w:rPr>
        <w:t>, L.C. 1999, c.</w:t>
      </w:r>
      <w:r w:rsidR="00CC5205">
        <w:rPr>
          <w:rFonts w:cs="Times New Roman"/>
          <w:lang w:val="fr-CA"/>
        </w:rPr>
        <w:t xml:space="preserve"> </w:t>
      </w:r>
      <w:r w:rsidRPr="00E63F4D">
        <w:rPr>
          <w:rFonts w:cs="Times New Roman"/>
          <w:lang w:val="fr-CA"/>
        </w:rPr>
        <w:t>18. Suivant une juste analyse, le ministre doit se livrer à une mise en balance qui reconnaît que les principes de justice fondamentale militent généralement en faveur de l’extradition (</w:t>
      </w:r>
      <w:r w:rsidRPr="00E63F4D">
        <w:rPr>
          <w:rFonts w:cs="Times New Roman"/>
          <w:i/>
          <w:lang w:val="fr-CA"/>
        </w:rPr>
        <w:t>États</w:t>
      </w:r>
      <w:r w:rsidR="00CC5205">
        <w:rPr>
          <w:rFonts w:cs="Times New Roman"/>
          <w:i/>
          <w:lang w:val="fr-CA"/>
        </w:rPr>
        <w:t>-</w:t>
      </w:r>
      <w:r w:rsidRPr="00E63F4D">
        <w:rPr>
          <w:rFonts w:cs="Times New Roman"/>
          <w:i/>
          <w:lang w:val="fr-CA"/>
        </w:rPr>
        <w:t>Unis c. Burns</w:t>
      </w:r>
      <w:r w:rsidRPr="00E63F4D">
        <w:rPr>
          <w:rFonts w:cs="Times New Roman"/>
          <w:lang w:val="fr-CA"/>
        </w:rPr>
        <w:t>, 2001 CSC 7, [2001] 1 R.C.S. 283, par.</w:t>
      </w:r>
      <w:r w:rsidR="00CC5205">
        <w:rPr>
          <w:rFonts w:cs="Times New Roman"/>
          <w:lang w:val="fr-CA"/>
        </w:rPr>
        <w:t xml:space="preserve"> </w:t>
      </w:r>
      <w:r w:rsidRPr="00E63F4D">
        <w:rPr>
          <w:rFonts w:cs="Times New Roman"/>
          <w:lang w:val="fr-CA"/>
        </w:rPr>
        <w:t xml:space="preserve">69; </w:t>
      </w:r>
      <w:r w:rsidRPr="00E63F4D">
        <w:rPr>
          <w:rFonts w:cs="Times New Roman"/>
          <w:i/>
          <w:lang w:val="fr-CA"/>
        </w:rPr>
        <w:t>Lake c. Canada (Ministre de la Justice)</w:t>
      </w:r>
      <w:r w:rsidRPr="00E63F4D">
        <w:rPr>
          <w:rFonts w:cs="Times New Roman"/>
          <w:lang w:val="fr-CA"/>
        </w:rPr>
        <w:t>, 2008 CSC 23, [2008] 1 R.C.S. 761, par.</w:t>
      </w:r>
      <w:r w:rsidR="00CC5205">
        <w:rPr>
          <w:rFonts w:cs="Times New Roman"/>
          <w:lang w:val="fr-CA"/>
        </w:rPr>
        <w:t xml:space="preserve"> </w:t>
      </w:r>
      <w:r w:rsidRPr="00E63F4D">
        <w:rPr>
          <w:rFonts w:cs="Times New Roman"/>
          <w:lang w:val="fr-CA"/>
        </w:rPr>
        <w:t xml:space="preserve">32). Ce n’est que lorsqu’un </w:t>
      </w:r>
      <w:r w:rsidR="00CC5205">
        <w:rPr>
          <w:rFonts w:cs="Times New Roman"/>
          <w:lang w:val="fr-CA"/>
        </w:rPr>
        <w:t>« </w:t>
      </w:r>
      <w:r w:rsidRPr="00E63F4D">
        <w:rPr>
          <w:rFonts w:cs="Times New Roman"/>
          <w:lang w:val="fr-CA"/>
        </w:rPr>
        <w:t>traitement donné</w:t>
      </w:r>
      <w:r w:rsidR="00CC5205">
        <w:rPr>
          <w:rFonts w:cs="Times New Roman"/>
          <w:lang w:val="fr-CA"/>
        </w:rPr>
        <w:t> »</w:t>
      </w:r>
      <w:r w:rsidRPr="00E63F4D">
        <w:rPr>
          <w:rFonts w:cs="Times New Roman"/>
          <w:lang w:val="fr-CA"/>
        </w:rPr>
        <w:t xml:space="preserve"> dans l’État requérant — en l’espèce, la possibilité d’un quatrième procès si longtemps après la perpétration du crime allégué — porte suffisamment atteinte à notre conception de la justice fondamentale que la mise en balance sera défavorable à l’extradition (</w:t>
      </w:r>
      <w:r w:rsidRPr="00E63F4D">
        <w:rPr>
          <w:rFonts w:cs="Times New Roman"/>
          <w:i/>
          <w:lang w:val="fr-CA"/>
        </w:rPr>
        <w:t>Burns</w:t>
      </w:r>
      <w:r w:rsidRPr="00E63F4D">
        <w:rPr>
          <w:rFonts w:cs="Times New Roman"/>
          <w:lang w:val="fr-CA"/>
        </w:rPr>
        <w:t>, par.</w:t>
      </w:r>
      <w:r w:rsidR="00CC5205">
        <w:rPr>
          <w:rFonts w:cs="Times New Roman"/>
          <w:lang w:val="fr-CA"/>
        </w:rPr>
        <w:t xml:space="preserve"> </w:t>
      </w:r>
      <w:r w:rsidRPr="00E63F4D">
        <w:rPr>
          <w:rFonts w:cs="Times New Roman"/>
          <w:lang w:val="fr-CA"/>
        </w:rPr>
        <w:t xml:space="preserve">69). </w:t>
      </w:r>
    </w:p>
    <w:p w:rsidR="00EE23FC" w:rsidRPr="00E63F4D" w:rsidRDefault="00EE23FC" w:rsidP="00EE23FC">
      <w:pPr>
        <w:pStyle w:val="ParaNoNdepar-AltN"/>
        <w:rPr>
          <w:rFonts w:cs="Times New Roman"/>
          <w:lang w:val="fr-CA"/>
        </w:rPr>
      </w:pPr>
      <w:r w:rsidRPr="00E63F4D">
        <w:rPr>
          <w:rFonts w:cs="Times New Roman"/>
          <w:lang w:val="fr-CA"/>
        </w:rPr>
        <w:t xml:space="preserve">Pour déterminer si la conclusion du ministre était raisonnable, la Cour d’appel devait revoir son appréciation des divers éléments en cause, ce qu’elle n’a pas fait. Pour conclure au caractère déraisonnable de l’arrêté d’extradition, elle omet de considérer les éléments clés qui militent en faveur du caractère raisonnable de l’arrêté. Un critère important consiste à déterminer si soumettre l’accusé à un quatrième procès dans des circonstances comparables au Canada contreviendrait ou </w:t>
      </w:r>
      <w:r w:rsidRPr="00E63F4D">
        <w:rPr>
          <w:rFonts w:cs="Times New Roman"/>
          <w:lang w:val="fr-CA"/>
        </w:rPr>
        <w:lastRenderedPageBreak/>
        <w:t xml:space="preserve">non aux principes de justice fondamentale. De toute évidence, il n’existe pas de règle </w:t>
      </w:r>
      <w:r w:rsidRPr="00E63F4D">
        <w:rPr>
          <w:rFonts w:cs="Times New Roman"/>
          <w:i/>
          <w:lang w:val="fr-CA"/>
        </w:rPr>
        <w:t xml:space="preserve">per se </w:t>
      </w:r>
      <w:r w:rsidRPr="00E63F4D">
        <w:rPr>
          <w:rFonts w:cs="Times New Roman"/>
          <w:lang w:val="fr-CA"/>
        </w:rPr>
        <w:t>en ce sens. Les parties invoquent des précédents canadiens suivant lesquels un quatrième procès peut être envisagé dans certains cas (voir p.</w:t>
      </w:r>
      <w:r w:rsidR="00CC5205">
        <w:rPr>
          <w:rFonts w:cs="Times New Roman"/>
          <w:lang w:val="fr-CA"/>
        </w:rPr>
        <w:t xml:space="preserve"> </w:t>
      </w:r>
      <w:r w:rsidRPr="00E63F4D">
        <w:rPr>
          <w:rFonts w:cs="Times New Roman"/>
          <w:lang w:val="fr-CA"/>
        </w:rPr>
        <w:t xml:space="preserve">ex. </w:t>
      </w:r>
      <w:r w:rsidRPr="00E63F4D">
        <w:rPr>
          <w:rFonts w:cs="Times New Roman"/>
          <w:i/>
          <w:lang w:val="fr-CA"/>
        </w:rPr>
        <w:t>R. c. Badgerow</w:t>
      </w:r>
      <w:r w:rsidRPr="00E63F4D">
        <w:rPr>
          <w:rFonts w:cs="Times New Roman"/>
          <w:lang w:val="fr-CA"/>
        </w:rPr>
        <w:t xml:space="preserve">, 2014 ONCA 272, 119 O.R. (3d) 399, autorisation d’appel refusée, [2014] 3 R.C.S. v; </w:t>
      </w:r>
      <w:r w:rsidRPr="00E63F4D">
        <w:rPr>
          <w:rFonts w:cs="Times New Roman"/>
          <w:i/>
          <w:lang w:val="fr-CA"/>
        </w:rPr>
        <w:t>R. c. Anderson</w:t>
      </w:r>
      <w:r w:rsidRPr="00E63F4D">
        <w:rPr>
          <w:rFonts w:cs="Times New Roman"/>
          <w:lang w:val="fr-CA"/>
        </w:rPr>
        <w:t xml:space="preserve"> (2002), 57 O.R. (3d) </w:t>
      </w:r>
      <w:r w:rsidR="002D5423">
        <w:rPr>
          <w:rFonts w:cs="Times New Roman"/>
          <w:lang w:val="fr-CA"/>
        </w:rPr>
        <w:t>67</w:t>
      </w:r>
      <w:r w:rsidRPr="00E63F4D">
        <w:rPr>
          <w:rFonts w:cs="Times New Roman"/>
          <w:lang w:val="fr-CA"/>
        </w:rPr>
        <w:t>1 (C.A.)). Dès lors, on ne peut manifestement pas considérer que la tenue d’un quatrième procès emporte nécessairement la violation de l’art.</w:t>
      </w:r>
      <w:r w:rsidR="00CC5205">
        <w:rPr>
          <w:rFonts w:cs="Times New Roman"/>
          <w:lang w:val="fr-CA"/>
        </w:rPr>
        <w:t xml:space="preserve"> </w:t>
      </w:r>
      <w:r w:rsidRPr="00E63F4D">
        <w:rPr>
          <w:rFonts w:cs="Times New Roman"/>
          <w:lang w:val="fr-CA"/>
        </w:rPr>
        <w:t>7. Il faut apprécier l’ensemble des circonstances.</w:t>
      </w:r>
    </w:p>
    <w:p w:rsidR="00EE23FC" w:rsidRPr="00E63F4D" w:rsidRDefault="00EE23FC" w:rsidP="00EE23FC">
      <w:pPr>
        <w:pStyle w:val="ParaNoNdepar-AltN"/>
        <w:rPr>
          <w:rFonts w:cs="Times New Roman"/>
          <w:lang w:val="fr-CA"/>
        </w:rPr>
      </w:pPr>
      <w:r w:rsidRPr="00E63F4D">
        <w:rPr>
          <w:rFonts w:cs="Times New Roman"/>
          <w:lang w:val="fr-CA"/>
        </w:rPr>
        <w:t>Selon les éléments dont nous disposons, la démarche des tribunaux américains est grosso modo la même que celle des tribunaux canadiens. Le dossier révèle en effet que, selon les autorités américaines, M.</w:t>
      </w:r>
      <w:r w:rsidR="00CC5205">
        <w:rPr>
          <w:rFonts w:cs="Times New Roman"/>
          <w:lang w:val="fr-CA"/>
        </w:rPr>
        <w:t xml:space="preserve"> </w:t>
      </w:r>
      <w:r w:rsidRPr="00E63F4D">
        <w:rPr>
          <w:rFonts w:cs="Times New Roman"/>
          <w:lang w:val="fr-CA"/>
        </w:rPr>
        <w:t>Barnaby pourra faire valoir au New Hampshire tous ses arguments relatifs au caractère inéquitable d’un quatrième procès; ses droits à l’application régulière de la loi y seront protégés par l’art.</w:t>
      </w:r>
      <w:r w:rsidR="00CC5205">
        <w:rPr>
          <w:rFonts w:cs="Times New Roman"/>
          <w:lang w:val="fr-CA"/>
        </w:rPr>
        <w:t xml:space="preserve"> </w:t>
      </w:r>
      <w:r w:rsidRPr="00E63F4D">
        <w:rPr>
          <w:rFonts w:cs="Times New Roman"/>
          <w:lang w:val="fr-CA"/>
        </w:rPr>
        <w:t>14 de la partie</w:t>
      </w:r>
      <w:r w:rsidR="00CC5205">
        <w:rPr>
          <w:rFonts w:cs="Times New Roman"/>
          <w:lang w:val="fr-CA"/>
        </w:rPr>
        <w:t xml:space="preserve"> </w:t>
      </w:r>
      <w:r w:rsidRPr="00E63F4D">
        <w:rPr>
          <w:rFonts w:cs="Times New Roman"/>
          <w:lang w:val="fr-CA"/>
        </w:rPr>
        <w:t>1 de la constitution de l’État, ainsi que par la Constitution des États</w:t>
      </w:r>
      <w:r w:rsidR="00CC5205">
        <w:rPr>
          <w:rFonts w:cs="Times New Roman"/>
          <w:lang w:val="fr-CA"/>
        </w:rPr>
        <w:t>-</w:t>
      </w:r>
      <w:r w:rsidRPr="00E63F4D">
        <w:rPr>
          <w:rFonts w:cs="Times New Roman"/>
          <w:lang w:val="fr-CA"/>
        </w:rPr>
        <w:t>Unis. Le tribunal du New Hampshire disposera de toute la preuve et pourra entendre tous les témoins; il sera donc mieux placé pour déterminer s’il est abusif ou non de tenir un quatrième procès.</w:t>
      </w:r>
    </w:p>
    <w:p w:rsidR="00EE23FC" w:rsidRPr="00E63F4D" w:rsidRDefault="00EE23FC" w:rsidP="00EE23FC">
      <w:pPr>
        <w:pStyle w:val="ParaNoNdepar-AltN"/>
        <w:rPr>
          <w:rFonts w:cs="Times New Roman"/>
          <w:lang w:val="fr-CA"/>
        </w:rPr>
      </w:pPr>
      <w:r w:rsidRPr="00E63F4D">
        <w:rPr>
          <w:rFonts w:cs="Times New Roman"/>
          <w:lang w:val="fr-CA"/>
        </w:rPr>
        <w:t xml:space="preserve">Pour paraphraser l’arrêt </w:t>
      </w:r>
      <w:r w:rsidRPr="00E63F4D">
        <w:rPr>
          <w:rFonts w:cs="Times New Roman"/>
          <w:i/>
          <w:lang w:val="fr-CA"/>
        </w:rPr>
        <w:t>Burns</w:t>
      </w:r>
      <w:r w:rsidRPr="00E63F4D">
        <w:rPr>
          <w:rFonts w:cs="Times New Roman"/>
          <w:lang w:val="fr-CA"/>
        </w:rPr>
        <w:t xml:space="preserve">, on ne peut raisonnablement considérer que le </w:t>
      </w:r>
      <w:r w:rsidR="00CC5205">
        <w:rPr>
          <w:rFonts w:cs="Times New Roman"/>
          <w:lang w:val="fr-CA"/>
        </w:rPr>
        <w:t>« </w:t>
      </w:r>
      <w:r w:rsidRPr="00E63F4D">
        <w:rPr>
          <w:rFonts w:cs="Times New Roman"/>
          <w:lang w:val="fr-CA"/>
        </w:rPr>
        <w:t>traitement donné</w:t>
      </w:r>
      <w:r w:rsidR="00CC5205">
        <w:rPr>
          <w:rFonts w:cs="Times New Roman"/>
          <w:lang w:val="fr-CA"/>
        </w:rPr>
        <w:t> »</w:t>
      </w:r>
      <w:r w:rsidRPr="00E63F4D">
        <w:rPr>
          <w:rFonts w:cs="Times New Roman"/>
          <w:lang w:val="fr-CA"/>
        </w:rPr>
        <w:t xml:space="preserve"> qui attend M.</w:t>
      </w:r>
      <w:r w:rsidR="00CC5205">
        <w:rPr>
          <w:rFonts w:cs="Times New Roman"/>
          <w:lang w:val="fr-CA"/>
        </w:rPr>
        <w:t xml:space="preserve"> </w:t>
      </w:r>
      <w:r w:rsidRPr="00E63F4D">
        <w:rPr>
          <w:rFonts w:cs="Times New Roman"/>
          <w:lang w:val="fr-CA"/>
        </w:rPr>
        <w:t>Barnaby au New Hampshire heurte notre conception de la justice fondamentale au point de justifier le refus de l’extradition. En fait, il appert que les tribunaux du New Hampshire appliqueront grosso modo les même</w:t>
      </w:r>
      <w:r w:rsidR="002D5423">
        <w:rPr>
          <w:rFonts w:cs="Times New Roman"/>
          <w:lang w:val="fr-CA"/>
        </w:rPr>
        <w:t>s</w:t>
      </w:r>
      <w:r w:rsidRPr="00E63F4D">
        <w:rPr>
          <w:rFonts w:cs="Times New Roman"/>
          <w:lang w:val="fr-CA"/>
        </w:rPr>
        <w:t xml:space="preserve"> principes que ceux qu’appliqueraient les tribunaux canadiens pour décider si </w:t>
      </w:r>
      <w:r w:rsidRPr="00E63F4D">
        <w:rPr>
          <w:rFonts w:cs="Times New Roman"/>
          <w:lang w:val="fr-CA"/>
        </w:rPr>
        <w:lastRenderedPageBreak/>
        <w:t xml:space="preserve">la tenue d’un quatrième procès est juste et équitable eu égard à l’ensemble des circonstances. </w:t>
      </w:r>
    </w:p>
    <w:p w:rsidR="00EE23FC" w:rsidRPr="00E63F4D" w:rsidRDefault="00EE23FC" w:rsidP="00EE23FC">
      <w:pPr>
        <w:pStyle w:val="ParaNoNdepar-AltN"/>
        <w:rPr>
          <w:rFonts w:cs="Times New Roman"/>
          <w:lang w:val="fr-CA"/>
        </w:rPr>
      </w:pPr>
      <w:r w:rsidRPr="00E63F4D">
        <w:rPr>
          <w:rFonts w:cs="Times New Roman"/>
          <w:lang w:val="fr-CA"/>
        </w:rPr>
        <w:t xml:space="preserve">La Cour d’appel ne tient pas compte non plus du principe de la courtoisie et des obligations internationales du Canada. Un refus d’extradition est foncièrement incompatible avec les principes de la collaboration internationale qui constituent le fondement d’un traité d’extradition. Le ministre devait accorder de l’importance à ces principes, et la Cour d’appel a eu tort de ne pas le reconnaître. </w:t>
      </w:r>
    </w:p>
    <w:p w:rsidR="00EE23FC" w:rsidRPr="00E63F4D" w:rsidRDefault="00EE23FC" w:rsidP="00EE23FC">
      <w:pPr>
        <w:pStyle w:val="ParaNoNdepar-AltN"/>
        <w:rPr>
          <w:rFonts w:cs="Times New Roman"/>
          <w:lang w:val="fr-CA"/>
        </w:rPr>
      </w:pPr>
      <w:r w:rsidRPr="00E63F4D">
        <w:rPr>
          <w:rFonts w:cs="Times New Roman"/>
          <w:lang w:val="fr-CA"/>
        </w:rPr>
        <w:t>Pour ce qui est des circonstances propres à l’espèce, la Cour d’appel a également tort de conclure à l’absence d’une [</w:t>
      </w:r>
      <w:r w:rsidRPr="00E63F4D">
        <w:rPr>
          <w:rFonts w:cs="Times New Roman"/>
          <w:smallCaps/>
          <w:lang w:val="fr-CA"/>
        </w:rPr>
        <w:t>traduction</w:t>
      </w:r>
      <w:r w:rsidRPr="00E63F4D">
        <w:rPr>
          <w:rFonts w:cs="Times New Roman"/>
          <w:lang w:val="fr-CA"/>
        </w:rPr>
        <w:t>]</w:t>
      </w:r>
      <w:r w:rsidR="00CC5205">
        <w:rPr>
          <w:rFonts w:cs="Times New Roman"/>
          <w:lang w:val="fr-CA"/>
        </w:rPr>
        <w:t xml:space="preserve"> « </w:t>
      </w:r>
      <w:r w:rsidRPr="00E63F4D">
        <w:rPr>
          <w:rFonts w:cs="Times New Roman"/>
          <w:lang w:val="fr-CA"/>
        </w:rPr>
        <w:t>véritable preuve nouvelle</w:t>
      </w:r>
      <w:r w:rsidR="00CC5205">
        <w:rPr>
          <w:rFonts w:cs="Times New Roman"/>
          <w:lang w:val="fr-CA"/>
        </w:rPr>
        <w:t> »</w:t>
      </w:r>
      <w:r w:rsidRPr="00E63F4D">
        <w:rPr>
          <w:rFonts w:cs="Times New Roman"/>
          <w:lang w:val="fr-CA"/>
        </w:rPr>
        <w:t xml:space="preserve"> contre M.</w:t>
      </w:r>
      <w:r w:rsidR="00CC5205">
        <w:rPr>
          <w:rFonts w:cs="Times New Roman"/>
          <w:lang w:val="fr-CA"/>
        </w:rPr>
        <w:t xml:space="preserve"> </w:t>
      </w:r>
      <w:r w:rsidRPr="00E63F4D">
        <w:rPr>
          <w:rFonts w:cs="Times New Roman"/>
          <w:lang w:val="fr-CA"/>
        </w:rPr>
        <w:t>Barnaby (par.</w:t>
      </w:r>
      <w:r w:rsidR="00CC5205">
        <w:rPr>
          <w:rFonts w:cs="Times New Roman"/>
          <w:lang w:val="fr-CA"/>
        </w:rPr>
        <w:t xml:space="preserve"> </w:t>
      </w:r>
      <w:r w:rsidRPr="00E63F4D">
        <w:rPr>
          <w:rFonts w:cs="Times New Roman"/>
          <w:lang w:val="fr-CA"/>
        </w:rPr>
        <w:t>13). Les autorités étrangères attestent l’existence d’une telle preuve. Le ministre souligne que M.</w:t>
      </w:r>
      <w:r w:rsidR="00CC5205">
        <w:rPr>
          <w:rFonts w:cs="Times New Roman"/>
          <w:lang w:val="fr-CA"/>
        </w:rPr>
        <w:t xml:space="preserve"> </w:t>
      </w:r>
      <w:r w:rsidRPr="00E63F4D">
        <w:rPr>
          <w:rFonts w:cs="Times New Roman"/>
          <w:lang w:val="fr-CA"/>
        </w:rPr>
        <w:t>Barnaby n’a pas donné les motifs pour lesquels, selon lui, la preuve invoquée n’est pas nouvelle. Il est clair, au vu du dossier, que certains témoignages se rapportent à des faits et à des conversations qui n’ont eu lieu que ces dernières années. En outre, la preuve génétique nouvelle, si elle était admise, incriminerait M.</w:t>
      </w:r>
      <w:r w:rsidR="00CC5205">
        <w:rPr>
          <w:rFonts w:cs="Times New Roman"/>
          <w:lang w:val="fr-CA"/>
        </w:rPr>
        <w:t xml:space="preserve"> </w:t>
      </w:r>
      <w:proofErr w:type="spellStart"/>
      <w:r w:rsidRPr="00E63F4D">
        <w:rPr>
          <w:rFonts w:cs="Times New Roman"/>
          <w:lang w:val="fr-CA"/>
        </w:rPr>
        <w:t>Caplin</w:t>
      </w:r>
      <w:proofErr w:type="spellEnd"/>
      <w:r w:rsidR="00CB52A3">
        <w:rPr>
          <w:rFonts w:cs="Times New Roman"/>
          <w:lang w:val="fr-CA"/>
        </w:rPr>
        <w:t>, le coaccusé,</w:t>
      </w:r>
      <w:r w:rsidRPr="00E63F4D">
        <w:rPr>
          <w:rFonts w:cs="Times New Roman"/>
          <w:lang w:val="fr-CA"/>
        </w:rPr>
        <w:t xml:space="preserve"> directement (voir </w:t>
      </w:r>
      <w:proofErr w:type="spellStart"/>
      <w:r w:rsidRPr="00E63F4D">
        <w:rPr>
          <w:rFonts w:cs="Times New Roman"/>
          <w:i/>
          <w:lang w:val="fr-CA"/>
        </w:rPr>
        <w:t>Caplin</w:t>
      </w:r>
      <w:proofErr w:type="spellEnd"/>
      <w:r w:rsidRPr="00E63F4D">
        <w:rPr>
          <w:rFonts w:cs="Times New Roman"/>
          <w:i/>
          <w:lang w:val="fr-CA"/>
        </w:rPr>
        <w:t xml:space="preserve"> c. Canada (Justice)</w:t>
      </w:r>
      <w:r w:rsidRPr="00E63F4D">
        <w:rPr>
          <w:rFonts w:cs="Times New Roman"/>
          <w:lang w:val="fr-CA"/>
        </w:rPr>
        <w:t>, 2015 CSC 32</w:t>
      </w:r>
      <w:r w:rsidR="00317E15">
        <w:rPr>
          <w:rFonts w:cs="Times New Roman"/>
          <w:lang w:val="fr-CA"/>
        </w:rPr>
        <w:t>, [2015] 2 R.C.S. 5</w:t>
      </w:r>
      <w:r w:rsidR="00CB52A3">
        <w:rPr>
          <w:rFonts w:cs="Times New Roman"/>
          <w:lang w:val="fr-CA"/>
        </w:rPr>
        <w:t>70</w:t>
      </w:r>
      <w:r w:rsidRPr="00E63F4D">
        <w:rPr>
          <w:rFonts w:cs="Times New Roman"/>
          <w:lang w:val="fr-CA"/>
        </w:rPr>
        <w:t>) et M.</w:t>
      </w:r>
      <w:r w:rsidR="00CC5205">
        <w:rPr>
          <w:rFonts w:cs="Times New Roman"/>
          <w:lang w:val="fr-CA"/>
        </w:rPr>
        <w:t xml:space="preserve"> </w:t>
      </w:r>
      <w:r w:rsidRPr="00E63F4D">
        <w:rPr>
          <w:rFonts w:cs="Times New Roman"/>
          <w:lang w:val="fr-CA"/>
        </w:rPr>
        <w:t>Barnaby, par ricochet. On peut voir dans cette preuve la confirmation des déclarations antérieures de M.</w:t>
      </w:r>
      <w:r w:rsidR="00CC5205">
        <w:rPr>
          <w:rFonts w:cs="Times New Roman"/>
          <w:lang w:val="fr-CA"/>
        </w:rPr>
        <w:t xml:space="preserve"> </w:t>
      </w:r>
      <w:r w:rsidRPr="00E63F4D">
        <w:rPr>
          <w:rFonts w:cs="Times New Roman"/>
          <w:lang w:val="fr-CA"/>
        </w:rPr>
        <w:t>Barnaby selon lesquelles les deux hommes ont commis les meurtres ensemble. Comme M.</w:t>
      </w:r>
      <w:r w:rsidR="00CC5205">
        <w:rPr>
          <w:rFonts w:cs="Times New Roman"/>
          <w:lang w:val="fr-CA"/>
        </w:rPr>
        <w:t xml:space="preserve"> </w:t>
      </w:r>
      <w:r w:rsidRPr="00E63F4D">
        <w:rPr>
          <w:rFonts w:cs="Times New Roman"/>
          <w:lang w:val="fr-CA"/>
        </w:rPr>
        <w:t xml:space="preserve">Barnaby n’a pas précisé en quoi cette preuve n’était pas nouvelle à son avis, le ministre pouvait, pour les besoins de son analyse, ajouter foi aux dires des autorités américaines selon lesquels il s’agissait d’une preuve nouvelle. </w:t>
      </w:r>
    </w:p>
    <w:p w:rsidR="00EE23FC" w:rsidRPr="00E63F4D" w:rsidRDefault="00EE23FC" w:rsidP="00EE23FC">
      <w:pPr>
        <w:pStyle w:val="ParaNoNdepar-AltN"/>
        <w:rPr>
          <w:rFonts w:cs="Times New Roman"/>
          <w:lang w:val="fr-CA"/>
        </w:rPr>
      </w:pPr>
      <w:r w:rsidRPr="00E63F4D">
        <w:rPr>
          <w:rFonts w:cs="Times New Roman"/>
          <w:lang w:val="fr-CA"/>
        </w:rPr>
        <w:lastRenderedPageBreak/>
        <w:t>Il appartient au juge d’extradition — non au ministre ou au tribunal appelé à contrôler la décision du ministre — de déterminer si suffisamment d’éléments de preuve justifient l’incarcération de l’intéressé en vue de son extradition. Une fois ce dernier incarcéré, [</w:t>
      </w:r>
      <w:r w:rsidRPr="00E63F4D">
        <w:rPr>
          <w:rFonts w:cs="Times New Roman"/>
          <w:smallCaps/>
          <w:lang w:val="fr-CA"/>
        </w:rPr>
        <w:t>traduction</w:t>
      </w:r>
      <w:r w:rsidRPr="00E63F4D">
        <w:rPr>
          <w:rFonts w:cs="Times New Roman"/>
          <w:lang w:val="fr-CA"/>
        </w:rPr>
        <w:t xml:space="preserve">] </w:t>
      </w:r>
      <w:r w:rsidR="00CC5205">
        <w:rPr>
          <w:rFonts w:cs="Times New Roman"/>
          <w:lang w:val="fr-CA"/>
        </w:rPr>
        <w:t>« </w:t>
      </w:r>
      <w:r w:rsidRPr="00E63F4D">
        <w:rPr>
          <w:rFonts w:cs="Times New Roman"/>
          <w:lang w:val="fr-CA"/>
        </w:rPr>
        <w:t>l’appréciation de la preuve ou de sa fiabilité relève du tribunal étranger. Le ministre n’a pas à se prononcer sur [ce point] lorsqu’il est appelé à décider s’il y a lieu d’extrader [la personne] ou non</w:t>
      </w:r>
      <w:r w:rsidR="00CC5205">
        <w:rPr>
          <w:rFonts w:cs="Times New Roman"/>
          <w:lang w:val="fr-CA"/>
        </w:rPr>
        <w:t> »</w:t>
      </w:r>
      <w:r w:rsidRPr="00E63F4D">
        <w:rPr>
          <w:rFonts w:cs="Times New Roman"/>
          <w:lang w:val="fr-CA"/>
        </w:rPr>
        <w:t xml:space="preserve"> (</w:t>
      </w:r>
      <w:r w:rsidRPr="00E63F4D">
        <w:rPr>
          <w:rFonts w:cs="Times New Roman"/>
          <w:i/>
          <w:lang w:val="fr-CA"/>
        </w:rPr>
        <w:t>Germany (Federal Republic) c. Schreiber</w:t>
      </w:r>
      <w:r w:rsidRPr="00E63F4D">
        <w:rPr>
          <w:rFonts w:cs="Times New Roman"/>
          <w:lang w:val="fr-CA"/>
        </w:rPr>
        <w:t xml:space="preserve"> (2006), 206 C.C.C. (3d) 339 (C.A. Ont.), par.</w:t>
      </w:r>
      <w:r w:rsidR="00CC5205">
        <w:rPr>
          <w:rFonts w:cs="Times New Roman"/>
          <w:lang w:val="fr-CA"/>
        </w:rPr>
        <w:t xml:space="preserve"> </w:t>
      </w:r>
      <w:r w:rsidRPr="00E63F4D">
        <w:rPr>
          <w:rFonts w:cs="Times New Roman"/>
          <w:lang w:val="fr-CA"/>
        </w:rPr>
        <w:t xml:space="preserve">64, autorisation d’appel refusée, [2007] 1 R.C.S. xiv). Comme l’explique la Cour dans l’arrêt </w:t>
      </w:r>
      <w:r w:rsidRPr="00E63F4D">
        <w:rPr>
          <w:rFonts w:cs="Times New Roman"/>
          <w:i/>
          <w:lang w:val="fr-CA"/>
        </w:rPr>
        <w:t>Canada (Justice) c. Fischbacher</w:t>
      </w:r>
      <w:r w:rsidRPr="00E63F4D">
        <w:rPr>
          <w:rFonts w:cs="Times New Roman"/>
          <w:lang w:val="fr-CA"/>
        </w:rPr>
        <w:t>, 2009 CSC 46, [2009] 3 R.C.S. 170, par.</w:t>
      </w:r>
      <w:r w:rsidR="00CC5205">
        <w:rPr>
          <w:rFonts w:cs="Times New Roman"/>
          <w:lang w:val="fr-CA"/>
        </w:rPr>
        <w:t xml:space="preserve"> </w:t>
      </w:r>
      <w:r w:rsidRPr="00E63F4D">
        <w:rPr>
          <w:rFonts w:cs="Times New Roman"/>
          <w:lang w:val="fr-CA"/>
        </w:rPr>
        <w:t>52</w:t>
      </w:r>
      <w:r w:rsidR="00CC5205">
        <w:rPr>
          <w:rFonts w:cs="Times New Roman"/>
          <w:lang w:val="fr-CA"/>
        </w:rPr>
        <w:t> :</w:t>
      </w:r>
      <w:r w:rsidR="00CC5205" w:rsidRPr="00CC5205">
        <w:rPr>
          <w:lang w:val="fr-CA"/>
        </w:rPr>
        <w:t xml:space="preserve"> </w:t>
      </w:r>
    </w:p>
    <w:p w:rsidR="00EE23FC" w:rsidRPr="00E63F4D" w:rsidRDefault="00EE23FC" w:rsidP="00EE23FC">
      <w:pPr>
        <w:pStyle w:val="Citation-AltC"/>
        <w:ind w:hanging="1166"/>
        <w:contextualSpacing w:val="0"/>
        <w:rPr>
          <w:lang w:val="fr-CA"/>
        </w:rPr>
      </w:pPr>
      <w:r w:rsidRPr="00E63F4D">
        <w:rPr>
          <w:lang w:val="fr-CA"/>
        </w:rPr>
        <w:tab/>
      </w:r>
      <w:r w:rsidR="00CC5205">
        <w:rPr>
          <w:lang w:val="fr-CA"/>
        </w:rPr>
        <w:t>. . .</w:t>
      </w:r>
      <w:r w:rsidRPr="00E63F4D">
        <w:rPr>
          <w:lang w:val="fr-CA"/>
        </w:rPr>
        <w:t xml:space="preserve"> ce n’est pas aux autorités canadiennes, judiciaires ou exécutives, d’évaluer la décision d’un État étranger de poursuivre un intéressé pour une infraction précise, ni d’évaluer la suffisance de la preuve présentée à l’audience relative à l’incarcération par rapport aux éléments de l’infraction punissable à l’étranger. Cela irait à l’encontre du principe sous-jacent de la courtoisie et risquerait d’ébranler les fondements de la pratique efficace en matière d’extradition. </w:t>
      </w:r>
    </w:p>
    <w:p w:rsidR="00EE23FC" w:rsidRPr="00E63F4D" w:rsidRDefault="00EE23FC" w:rsidP="00EE23FC">
      <w:pPr>
        <w:pStyle w:val="ParaNoNdepar-AltN"/>
        <w:rPr>
          <w:rFonts w:cs="Times New Roman"/>
          <w:lang w:val="fr-CA"/>
        </w:rPr>
      </w:pPr>
      <w:r w:rsidRPr="00E63F4D">
        <w:rPr>
          <w:rFonts w:cs="Times New Roman"/>
          <w:lang w:val="fr-CA"/>
        </w:rPr>
        <w:t>Rappelons que, à l’instar d’un accusé dont on demanderait qu’il subisse un nouveau procès dans des circonstances semblables au Canada, M.</w:t>
      </w:r>
      <w:r w:rsidR="00CC5205">
        <w:rPr>
          <w:rFonts w:cs="Times New Roman"/>
          <w:lang w:val="fr-CA"/>
        </w:rPr>
        <w:t xml:space="preserve"> </w:t>
      </w:r>
      <w:r w:rsidRPr="00E63F4D">
        <w:rPr>
          <w:rFonts w:cs="Times New Roman"/>
          <w:lang w:val="fr-CA"/>
        </w:rPr>
        <w:t>Barnaby pourra faire valoir ses motifs d’opposition à la preuve devant le tribunal du New Hampshire. Informé de tous les faits, le tribunal du New Hampshire est mieux placé pour apprécier ces arguments et soupeser les considérations pertinentes à la lumière de toutes les circonstances. Cette procédure est compatible avec notre conception de la justice et ne la met pas à mal.</w:t>
      </w:r>
    </w:p>
    <w:p w:rsidR="00EE23FC" w:rsidRPr="00E63F4D" w:rsidRDefault="00EE23FC" w:rsidP="00EE23FC">
      <w:pPr>
        <w:pStyle w:val="ParaNoNdepar-AltN"/>
        <w:rPr>
          <w:rFonts w:cs="Times New Roman"/>
          <w:lang w:val="fr-CA"/>
        </w:rPr>
      </w:pPr>
      <w:r w:rsidRPr="00E63F4D">
        <w:rPr>
          <w:rFonts w:cs="Times New Roman"/>
          <w:lang w:val="fr-CA"/>
        </w:rPr>
        <w:lastRenderedPageBreak/>
        <w:t>Avant de statuer sur le pourvoi, examinons la prétention de M.</w:t>
      </w:r>
      <w:r w:rsidR="00CC5205">
        <w:rPr>
          <w:rFonts w:cs="Times New Roman"/>
          <w:lang w:val="fr-CA"/>
        </w:rPr>
        <w:t xml:space="preserve"> </w:t>
      </w:r>
      <w:r w:rsidRPr="00E63F4D">
        <w:rPr>
          <w:rFonts w:cs="Times New Roman"/>
          <w:lang w:val="fr-CA"/>
        </w:rPr>
        <w:t>Barnaby selon laquelle le ministre n’applique pas le bon critère pour déterminer s’il y a abus de procédure ou non. Le ministre affirme que la mauvaise foi ou le motif illégitime des autorités étrangères doit être établi pour pouvoir conclure à l’abus de procédure. Nous convenons avec M.</w:t>
      </w:r>
      <w:r w:rsidR="00CC5205">
        <w:rPr>
          <w:rFonts w:cs="Times New Roman"/>
          <w:lang w:val="fr-CA"/>
        </w:rPr>
        <w:t xml:space="preserve"> </w:t>
      </w:r>
      <w:r w:rsidRPr="00E63F4D">
        <w:rPr>
          <w:rFonts w:cs="Times New Roman"/>
          <w:lang w:val="fr-CA"/>
        </w:rPr>
        <w:t xml:space="preserve">Barnaby qu’il s’agit d’un énoncé erroné du droit applicable. Comme le dit la Cour dans l’arrêt </w:t>
      </w:r>
      <w:r w:rsidRPr="00E63F4D">
        <w:rPr>
          <w:rFonts w:cs="Times New Roman"/>
          <w:i/>
          <w:lang w:val="fr-CA"/>
        </w:rPr>
        <w:t>R. c. Babos</w:t>
      </w:r>
      <w:r w:rsidRPr="00E63F4D">
        <w:rPr>
          <w:rFonts w:cs="Times New Roman"/>
          <w:lang w:val="fr-CA"/>
        </w:rPr>
        <w:t xml:space="preserve">, 2014 CSC 16, [2014] 1 R.C.S. 309, l’abus de procédure s’entend également de la conduite qui, même lorsqu’elle n’est pas empreinte de mauvaise foi, risque néanmoins de miner l’intégrité du système de justice. </w:t>
      </w:r>
    </w:p>
    <w:p w:rsidR="00EE23FC" w:rsidRPr="00E63F4D" w:rsidRDefault="00EE23FC" w:rsidP="00EE23FC">
      <w:pPr>
        <w:pStyle w:val="ParaNoNdepar-AltN"/>
        <w:rPr>
          <w:rFonts w:cs="Times New Roman"/>
          <w:lang w:val="fr-CA"/>
        </w:rPr>
      </w:pPr>
      <w:r w:rsidRPr="00E63F4D">
        <w:rPr>
          <w:rFonts w:cs="Times New Roman"/>
          <w:lang w:val="fr-CA"/>
        </w:rPr>
        <w:t>Malgré cette erreur, nous concluons que la formulation erronée du critère juridique permettant de conclure ou non à l’abus de procédure ne rend pas la décision du ministre déraisonnable. Ce dernier devait déterminer si l’extradition de M.</w:t>
      </w:r>
      <w:r w:rsidR="00CC5205">
        <w:rPr>
          <w:rFonts w:cs="Times New Roman"/>
          <w:lang w:val="fr-CA"/>
        </w:rPr>
        <w:t xml:space="preserve"> </w:t>
      </w:r>
      <w:r w:rsidRPr="00E63F4D">
        <w:rPr>
          <w:rFonts w:cs="Times New Roman"/>
          <w:lang w:val="fr-CA"/>
        </w:rPr>
        <w:t xml:space="preserve">Barnaby choquerait la conscience des Canadiens ou serait par ailleurs injuste ou tyrannique. Étant donné les nombreux éléments que le ministre doit mettre en balance lorsqu’il est saisi d’une demande d’extradition, on ne peut d’emblée faire équivaloir la doctrine canadienne de l’abus de procédure au critère du </w:t>
      </w:r>
      <w:r w:rsidR="00CC5205">
        <w:rPr>
          <w:rFonts w:cs="Times New Roman"/>
          <w:lang w:val="fr-CA"/>
        </w:rPr>
        <w:t>« </w:t>
      </w:r>
      <w:r w:rsidRPr="00E63F4D">
        <w:rPr>
          <w:rFonts w:cs="Times New Roman"/>
          <w:lang w:val="fr-CA"/>
        </w:rPr>
        <w:t>choc de la conscience</w:t>
      </w:r>
      <w:r w:rsidR="00CC5205">
        <w:rPr>
          <w:rFonts w:cs="Times New Roman"/>
          <w:lang w:val="fr-CA"/>
        </w:rPr>
        <w:t> »</w:t>
      </w:r>
      <w:r w:rsidRPr="00E63F4D">
        <w:rPr>
          <w:rFonts w:cs="Times New Roman"/>
          <w:lang w:val="fr-CA"/>
        </w:rPr>
        <w:t xml:space="preserve">. Que le Canada voie ou non dans les circonstances de l’espèce un abus de procédure n’est donc pas déterminant quant à la question que le ministre devait trancher. Au vu de l’ensemble de ses motifs, le ministre a manifestement pris en considération tous les éléments pertinents. </w:t>
      </w:r>
    </w:p>
    <w:p w:rsidR="00EE23FC" w:rsidRPr="00E63F4D" w:rsidRDefault="00EE23FC" w:rsidP="00EE23FC">
      <w:pPr>
        <w:pStyle w:val="ParaNoNdepar-AltN"/>
        <w:rPr>
          <w:rFonts w:cs="Times New Roman"/>
          <w:lang w:val="fr-CA"/>
        </w:rPr>
      </w:pPr>
      <w:r w:rsidRPr="00E63F4D">
        <w:rPr>
          <w:rFonts w:cs="Times New Roman"/>
          <w:lang w:val="fr-CA"/>
        </w:rPr>
        <w:lastRenderedPageBreak/>
        <w:t xml:space="preserve">La décision du ministre était raisonnable. Il ne peut y avoir intervention judiciaire que dans </w:t>
      </w:r>
      <w:r w:rsidR="00CC5205">
        <w:rPr>
          <w:rFonts w:cs="Times New Roman"/>
          <w:lang w:val="fr-CA"/>
        </w:rPr>
        <w:t>« </w:t>
      </w:r>
      <w:r w:rsidRPr="00E63F4D">
        <w:rPr>
          <w:rFonts w:cs="Times New Roman"/>
          <w:lang w:val="fr-CA"/>
        </w:rPr>
        <w:t>les cas exceptionnels où cela “s’impose réellement”</w:t>
      </w:r>
      <w:r w:rsidR="00CC5205">
        <w:rPr>
          <w:rFonts w:cs="Times New Roman"/>
          <w:lang w:val="fr-CA"/>
        </w:rPr>
        <w:t> »</w:t>
      </w:r>
      <w:r w:rsidRPr="00E63F4D">
        <w:rPr>
          <w:rFonts w:cs="Times New Roman"/>
          <w:lang w:val="fr-CA"/>
        </w:rPr>
        <w:t xml:space="preserve"> (</w:t>
      </w:r>
      <w:r w:rsidRPr="00E63F4D">
        <w:rPr>
          <w:rFonts w:cs="Times New Roman"/>
          <w:i/>
          <w:lang w:val="fr-CA"/>
        </w:rPr>
        <w:t>Lake</w:t>
      </w:r>
      <w:r w:rsidRPr="00E63F4D">
        <w:rPr>
          <w:rFonts w:cs="Times New Roman"/>
          <w:lang w:val="fr-CA"/>
        </w:rPr>
        <w:t>, par.</w:t>
      </w:r>
      <w:r w:rsidR="00CC5205">
        <w:rPr>
          <w:rFonts w:cs="Times New Roman"/>
          <w:lang w:val="fr-CA"/>
        </w:rPr>
        <w:t xml:space="preserve"> </w:t>
      </w:r>
      <w:r w:rsidRPr="00E63F4D">
        <w:rPr>
          <w:rFonts w:cs="Times New Roman"/>
          <w:lang w:val="fr-CA"/>
        </w:rPr>
        <w:t>34). Sauf en pareils cas, le Canada est censé s’en remettre au tribunal étranger pour ce qui touche à l’application régulière de la loi. À notre avis, l’intervention judiciaire n’est pas justifiée en l’espèce. Nous sommes donc d’avis d’accueillir le pourvoi et de rétablir l’arrêté d’extradition du ministre.</w:t>
      </w:r>
    </w:p>
    <w:p w:rsidR="004D7D95" w:rsidRPr="000E297C" w:rsidRDefault="004D7D95" w:rsidP="00B66C25">
      <w:pPr>
        <w:pStyle w:val="SCCNormalDoubleSpacing"/>
        <w:spacing w:before="480" w:after="480"/>
        <w:rPr>
          <w:lang w:val="fr-CA"/>
        </w:rPr>
      </w:pPr>
      <w:r w:rsidRPr="000E297C">
        <w:rPr>
          <w:lang w:val="fr-CA"/>
        </w:rPr>
        <w:tab/>
      </w:r>
      <w:r w:rsidR="005C6481" w:rsidRPr="000E297C">
        <w:rPr>
          <w:i/>
          <w:lang w:val="fr-CA"/>
        </w:rPr>
        <w:t>Pourvoi accueilli.</w:t>
      </w:r>
    </w:p>
    <w:p w:rsidR="00E050E7" w:rsidRPr="000E297C" w:rsidRDefault="00E050E7" w:rsidP="00B66C25">
      <w:pPr>
        <w:pStyle w:val="SCCLawFirm"/>
        <w:spacing w:before="480" w:after="480"/>
        <w:rPr>
          <w:lang w:val="fr-CA"/>
        </w:rPr>
      </w:pPr>
      <w:r w:rsidRPr="000E297C">
        <w:rPr>
          <w:lang w:val="fr-CA"/>
        </w:rPr>
        <w:tab/>
        <w:t>Procureur de l’appelant</w:t>
      </w:r>
      <w:r w:rsidR="00CC5205">
        <w:rPr>
          <w:lang w:val="fr-CA"/>
        </w:rPr>
        <w:t xml:space="preserve"> : </w:t>
      </w:r>
      <w:r w:rsidRPr="000E297C">
        <w:rPr>
          <w:lang w:val="fr-CA"/>
        </w:rPr>
        <w:t>Procureur général du Canada, Montréal.</w:t>
      </w:r>
    </w:p>
    <w:p w:rsidR="009B57B3" w:rsidRDefault="00E050E7" w:rsidP="00EE23FC">
      <w:pPr>
        <w:pStyle w:val="SCCLawFirm"/>
        <w:rPr>
          <w:b/>
          <w:i w:val="0"/>
          <w:lang w:val="fr-CA"/>
        </w:rPr>
      </w:pPr>
      <w:r w:rsidRPr="000E297C">
        <w:rPr>
          <w:lang w:val="fr-CA"/>
        </w:rPr>
        <w:tab/>
        <w:t>Procureurs de l’intimé</w:t>
      </w:r>
      <w:r w:rsidR="00CC5205">
        <w:rPr>
          <w:lang w:val="fr-CA"/>
        </w:rPr>
        <w:t xml:space="preserve"> : </w:t>
      </w:r>
      <w:r w:rsidRPr="000E297C">
        <w:rPr>
          <w:lang w:val="fr-CA"/>
        </w:rPr>
        <w:t>Cl</w:t>
      </w:r>
      <w:r w:rsidR="00163B7F" w:rsidRPr="000E297C">
        <w:rPr>
          <w:lang w:val="fr-CA"/>
        </w:rPr>
        <w:t>e</w:t>
      </w:r>
      <w:r w:rsidRPr="000E297C">
        <w:rPr>
          <w:lang w:val="fr-CA"/>
        </w:rPr>
        <w:t>ment</w:t>
      </w:r>
      <w:r w:rsidR="00163B7F" w:rsidRPr="000E297C">
        <w:rPr>
          <w:lang w:val="fr-CA"/>
        </w:rPr>
        <w:t>e</w:t>
      </w:r>
      <w:r w:rsidRPr="000E297C">
        <w:rPr>
          <w:lang w:val="fr-CA"/>
        </w:rPr>
        <w:t xml:space="preserve"> Monterosso, Montréal; Marie</w:t>
      </w:r>
      <w:r w:rsidR="00CC5205">
        <w:rPr>
          <w:lang w:val="fr-CA"/>
        </w:rPr>
        <w:t>-</w:t>
      </w:r>
      <w:r w:rsidRPr="000E297C">
        <w:rPr>
          <w:lang w:val="fr-CA"/>
        </w:rPr>
        <w:t>Philippe Tanguay, Montréal.</w:t>
      </w:r>
    </w:p>
    <w:p w:rsidR="00EE23FC" w:rsidRPr="00EE23FC" w:rsidRDefault="00EE23FC" w:rsidP="00EE23FC">
      <w:pPr>
        <w:pStyle w:val="SCCNormalDoubleSpacing"/>
        <w:rPr>
          <w:lang w:val="fr-CA"/>
        </w:rPr>
      </w:pPr>
    </w:p>
    <w:sectPr w:rsidR="00EE23FC" w:rsidRPr="00EE23FC"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131" w:rsidRDefault="00CE4131">
      <w:r>
        <w:separator/>
      </w:r>
    </w:p>
  </w:endnote>
  <w:endnote w:type="continuationSeparator" w:id="0">
    <w:p w:rsidR="00CE4131" w:rsidRDefault="00CE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D8" w:rsidRDefault="001476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D8" w:rsidRDefault="001476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D8" w:rsidRDefault="00147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131" w:rsidRDefault="00CE4131">
      <w:r>
        <w:separator/>
      </w:r>
    </w:p>
  </w:footnote>
  <w:footnote w:type="continuationSeparator" w:id="0">
    <w:p w:rsidR="00CE4131" w:rsidRDefault="00CE4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D8" w:rsidRDefault="001476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D8" w:rsidRDefault="001476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D8" w:rsidRDefault="00147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10EA4"/>
    <w:rsid w:val="00023FC7"/>
    <w:rsid w:val="00025198"/>
    <w:rsid w:val="00034864"/>
    <w:rsid w:val="000578A3"/>
    <w:rsid w:val="00063664"/>
    <w:rsid w:val="000648CC"/>
    <w:rsid w:val="00090520"/>
    <w:rsid w:val="000B4E19"/>
    <w:rsid w:val="000C59B8"/>
    <w:rsid w:val="000C6AF0"/>
    <w:rsid w:val="000D0A77"/>
    <w:rsid w:val="000E297C"/>
    <w:rsid w:val="000F578B"/>
    <w:rsid w:val="000F7993"/>
    <w:rsid w:val="00104F33"/>
    <w:rsid w:val="00110941"/>
    <w:rsid w:val="00111DE2"/>
    <w:rsid w:val="00116B38"/>
    <w:rsid w:val="00135406"/>
    <w:rsid w:val="00135972"/>
    <w:rsid w:val="00141201"/>
    <w:rsid w:val="001426A9"/>
    <w:rsid w:val="001476D8"/>
    <w:rsid w:val="00154D7C"/>
    <w:rsid w:val="001570B0"/>
    <w:rsid w:val="0015752C"/>
    <w:rsid w:val="00157737"/>
    <w:rsid w:val="00163B7F"/>
    <w:rsid w:val="00165277"/>
    <w:rsid w:val="00170592"/>
    <w:rsid w:val="001720F7"/>
    <w:rsid w:val="00183C67"/>
    <w:rsid w:val="00195D83"/>
    <w:rsid w:val="001A00C1"/>
    <w:rsid w:val="001B33E0"/>
    <w:rsid w:val="001B4573"/>
    <w:rsid w:val="001C779F"/>
    <w:rsid w:val="001D2AC1"/>
    <w:rsid w:val="001D4E88"/>
    <w:rsid w:val="00220FC2"/>
    <w:rsid w:val="002222F4"/>
    <w:rsid w:val="00224FC0"/>
    <w:rsid w:val="00225EA4"/>
    <w:rsid w:val="00226EAF"/>
    <w:rsid w:val="00231F3A"/>
    <w:rsid w:val="00236E49"/>
    <w:rsid w:val="002406EE"/>
    <w:rsid w:val="00243EC8"/>
    <w:rsid w:val="00270D93"/>
    <w:rsid w:val="00273639"/>
    <w:rsid w:val="002745CC"/>
    <w:rsid w:val="002B6FBE"/>
    <w:rsid w:val="002B7924"/>
    <w:rsid w:val="002C0775"/>
    <w:rsid w:val="002C10A6"/>
    <w:rsid w:val="002D28C3"/>
    <w:rsid w:val="002D39A4"/>
    <w:rsid w:val="002D5423"/>
    <w:rsid w:val="002E6705"/>
    <w:rsid w:val="0030329A"/>
    <w:rsid w:val="0031086F"/>
    <w:rsid w:val="0031414C"/>
    <w:rsid w:val="00314E01"/>
    <w:rsid w:val="00317E15"/>
    <w:rsid w:val="0032089D"/>
    <w:rsid w:val="003310DE"/>
    <w:rsid w:val="003323B0"/>
    <w:rsid w:val="00340A49"/>
    <w:rsid w:val="0035169A"/>
    <w:rsid w:val="0035259D"/>
    <w:rsid w:val="00364B18"/>
    <w:rsid w:val="00372F44"/>
    <w:rsid w:val="00376A25"/>
    <w:rsid w:val="003A125D"/>
    <w:rsid w:val="003A4C70"/>
    <w:rsid w:val="003B215F"/>
    <w:rsid w:val="003C799C"/>
    <w:rsid w:val="003D0399"/>
    <w:rsid w:val="003D740B"/>
    <w:rsid w:val="003E1C71"/>
    <w:rsid w:val="003F327B"/>
    <w:rsid w:val="00406166"/>
    <w:rsid w:val="0040704B"/>
    <w:rsid w:val="00410A55"/>
    <w:rsid w:val="00411300"/>
    <w:rsid w:val="00413F17"/>
    <w:rsid w:val="00415417"/>
    <w:rsid w:val="00420BE9"/>
    <w:rsid w:val="00425404"/>
    <w:rsid w:val="00426659"/>
    <w:rsid w:val="00450352"/>
    <w:rsid w:val="00454BDB"/>
    <w:rsid w:val="00465132"/>
    <w:rsid w:val="00480C90"/>
    <w:rsid w:val="0048396F"/>
    <w:rsid w:val="00493C18"/>
    <w:rsid w:val="004A600C"/>
    <w:rsid w:val="004A6118"/>
    <w:rsid w:val="004C43F9"/>
    <w:rsid w:val="004C478D"/>
    <w:rsid w:val="004D3E66"/>
    <w:rsid w:val="004D7D95"/>
    <w:rsid w:val="004E2C26"/>
    <w:rsid w:val="005125A8"/>
    <w:rsid w:val="00513D04"/>
    <w:rsid w:val="00517549"/>
    <w:rsid w:val="00520ABC"/>
    <w:rsid w:val="00521AE8"/>
    <w:rsid w:val="00527180"/>
    <w:rsid w:val="00531711"/>
    <w:rsid w:val="00555291"/>
    <w:rsid w:val="005552B6"/>
    <w:rsid w:val="005622A5"/>
    <w:rsid w:val="00566AD1"/>
    <w:rsid w:val="00583EDE"/>
    <w:rsid w:val="005A6079"/>
    <w:rsid w:val="005C230F"/>
    <w:rsid w:val="005C6481"/>
    <w:rsid w:val="005E2A4D"/>
    <w:rsid w:val="005E4698"/>
    <w:rsid w:val="005F7223"/>
    <w:rsid w:val="00603924"/>
    <w:rsid w:val="00610539"/>
    <w:rsid w:val="00613969"/>
    <w:rsid w:val="00625C35"/>
    <w:rsid w:val="00647E49"/>
    <w:rsid w:val="00656313"/>
    <w:rsid w:val="006565F4"/>
    <w:rsid w:val="00684EEA"/>
    <w:rsid w:val="0069689B"/>
    <w:rsid w:val="006B5FF5"/>
    <w:rsid w:val="006C59EB"/>
    <w:rsid w:val="006E0CE4"/>
    <w:rsid w:val="006F30AF"/>
    <w:rsid w:val="00701759"/>
    <w:rsid w:val="00705C15"/>
    <w:rsid w:val="007110F6"/>
    <w:rsid w:val="007208D1"/>
    <w:rsid w:val="00735240"/>
    <w:rsid w:val="00744518"/>
    <w:rsid w:val="00747288"/>
    <w:rsid w:val="00747DD3"/>
    <w:rsid w:val="007549C8"/>
    <w:rsid w:val="00766D14"/>
    <w:rsid w:val="00767A0F"/>
    <w:rsid w:val="00791272"/>
    <w:rsid w:val="007A05F6"/>
    <w:rsid w:val="007B6F4A"/>
    <w:rsid w:val="007E1C47"/>
    <w:rsid w:val="007E337A"/>
    <w:rsid w:val="007E5C70"/>
    <w:rsid w:val="007F2FF5"/>
    <w:rsid w:val="007F3F08"/>
    <w:rsid w:val="00804CC6"/>
    <w:rsid w:val="00817190"/>
    <w:rsid w:val="0082472D"/>
    <w:rsid w:val="008260E2"/>
    <w:rsid w:val="008322BD"/>
    <w:rsid w:val="00834F73"/>
    <w:rsid w:val="00864C8A"/>
    <w:rsid w:val="00864CF8"/>
    <w:rsid w:val="00873988"/>
    <w:rsid w:val="00874914"/>
    <w:rsid w:val="00891422"/>
    <w:rsid w:val="00892E1A"/>
    <w:rsid w:val="008932F6"/>
    <w:rsid w:val="008B660A"/>
    <w:rsid w:val="008C01DA"/>
    <w:rsid w:val="008D4DCC"/>
    <w:rsid w:val="008F2674"/>
    <w:rsid w:val="008F45F7"/>
    <w:rsid w:val="008F78E9"/>
    <w:rsid w:val="009179F9"/>
    <w:rsid w:val="00917C7A"/>
    <w:rsid w:val="00933E5E"/>
    <w:rsid w:val="00935218"/>
    <w:rsid w:val="00937C52"/>
    <w:rsid w:val="009403F3"/>
    <w:rsid w:val="009555B7"/>
    <w:rsid w:val="009567AA"/>
    <w:rsid w:val="009571BE"/>
    <w:rsid w:val="009602C9"/>
    <w:rsid w:val="00967374"/>
    <w:rsid w:val="009968A8"/>
    <w:rsid w:val="009A343A"/>
    <w:rsid w:val="009B2F23"/>
    <w:rsid w:val="009B57B3"/>
    <w:rsid w:val="009D2920"/>
    <w:rsid w:val="009D5AEB"/>
    <w:rsid w:val="009F0E33"/>
    <w:rsid w:val="00A149DF"/>
    <w:rsid w:val="00A1755C"/>
    <w:rsid w:val="00A21B90"/>
    <w:rsid w:val="00A22AAC"/>
    <w:rsid w:val="00A41805"/>
    <w:rsid w:val="00A51882"/>
    <w:rsid w:val="00A52AFB"/>
    <w:rsid w:val="00A548CB"/>
    <w:rsid w:val="00A5521C"/>
    <w:rsid w:val="00A643E7"/>
    <w:rsid w:val="00A73C38"/>
    <w:rsid w:val="00A82196"/>
    <w:rsid w:val="00A83D3D"/>
    <w:rsid w:val="00AA79D4"/>
    <w:rsid w:val="00AB670D"/>
    <w:rsid w:val="00AB7AED"/>
    <w:rsid w:val="00AC0BDF"/>
    <w:rsid w:val="00AF03C5"/>
    <w:rsid w:val="00B000D8"/>
    <w:rsid w:val="00B00F75"/>
    <w:rsid w:val="00B145B6"/>
    <w:rsid w:val="00B279EB"/>
    <w:rsid w:val="00B50C81"/>
    <w:rsid w:val="00B545D9"/>
    <w:rsid w:val="00B557F8"/>
    <w:rsid w:val="00B66C25"/>
    <w:rsid w:val="00B815FC"/>
    <w:rsid w:val="00B93FBC"/>
    <w:rsid w:val="00BA7DA0"/>
    <w:rsid w:val="00BB2EE4"/>
    <w:rsid w:val="00BB4C92"/>
    <w:rsid w:val="00BC2108"/>
    <w:rsid w:val="00BD04CB"/>
    <w:rsid w:val="00BD0E9E"/>
    <w:rsid w:val="00BD1BEC"/>
    <w:rsid w:val="00BD32FF"/>
    <w:rsid w:val="00BE5507"/>
    <w:rsid w:val="00BF6FE9"/>
    <w:rsid w:val="00C02092"/>
    <w:rsid w:val="00C24D91"/>
    <w:rsid w:val="00C26DB2"/>
    <w:rsid w:val="00C53F14"/>
    <w:rsid w:val="00C600CF"/>
    <w:rsid w:val="00C6084F"/>
    <w:rsid w:val="00C62A66"/>
    <w:rsid w:val="00C64A71"/>
    <w:rsid w:val="00C66359"/>
    <w:rsid w:val="00C71458"/>
    <w:rsid w:val="00C7200A"/>
    <w:rsid w:val="00C760EE"/>
    <w:rsid w:val="00C77613"/>
    <w:rsid w:val="00C828E7"/>
    <w:rsid w:val="00C86719"/>
    <w:rsid w:val="00C921DD"/>
    <w:rsid w:val="00CA6391"/>
    <w:rsid w:val="00CB52A3"/>
    <w:rsid w:val="00CC5205"/>
    <w:rsid w:val="00CC5311"/>
    <w:rsid w:val="00CC61DE"/>
    <w:rsid w:val="00CD5F5E"/>
    <w:rsid w:val="00CE036E"/>
    <w:rsid w:val="00CE3171"/>
    <w:rsid w:val="00CE4131"/>
    <w:rsid w:val="00CF1601"/>
    <w:rsid w:val="00CF3E64"/>
    <w:rsid w:val="00D0172F"/>
    <w:rsid w:val="00D01E33"/>
    <w:rsid w:val="00D068A7"/>
    <w:rsid w:val="00D17476"/>
    <w:rsid w:val="00D20286"/>
    <w:rsid w:val="00D32086"/>
    <w:rsid w:val="00D37A3F"/>
    <w:rsid w:val="00D42763"/>
    <w:rsid w:val="00D4431D"/>
    <w:rsid w:val="00D4667A"/>
    <w:rsid w:val="00D63A1C"/>
    <w:rsid w:val="00D7516F"/>
    <w:rsid w:val="00D87C60"/>
    <w:rsid w:val="00D95F8E"/>
    <w:rsid w:val="00DA0590"/>
    <w:rsid w:val="00DC1739"/>
    <w:rsid w:val="00DC1788"/>
    <w:rsid w:val="00DE319C"/>
    <w:rsid w:val="00DF0CA8"/>
    <w:rsid w:val="00DF2B48"/>
    <w:rsid w:val="00DF49A7"/>
    <w:rsid w:val="00DF4C96"/>
    <w:rsid w:val="00E050E7"/>
    <w:rsid w:val="00E07EE2"/>
    <w:rsid w:val="00E07FD1"/>
    <w:rsid w:val="00E24573"/>
    <w:rsid w:val="00E25E1E"/>
    <w:rsid w:val="00E27EE7"/>
    <w:rsid w:val="00E35404"/>
    <w:rsid w:val="00E45109"/>
    <w:rsid w:val="00E4789B"/>
    <w:rsid w:val="00E47B7A"/>
    <w:rsid w:val="00E56A44"/>
    <w:rsid w:val="00E60269"/>
    <w:rsid w:val="00E67620"/>
    <w:rsid w:val="00E97830"/>
    <w:rsid w:val="00EE0830"/>
    <w:rsid w:val="00EE23FC"/>
    <w:rsid w:val="00EE6CB8"/>
    <w:rsid w:val="00EF0683"/>
    <w:rsid w:val="00EF2726"/>
    <w:rsid w:val="00F0070C"/>
    <w:rsid w:val="00F00EB7"/>
    <w:rsid w:val="00F1210E"/>
    <w:rsid w:val="00F1695B"/>
    <w:rsid w:val="00F16B66"/>
    <w:rsid w:val="00F21BEC"/>
    <w:rsid w:val="00F36AB6"/>
    <w:rsid w:val="00F37A09"/>
    <w:rsid w:val="00F409CE"/>
    <w:rsid w:val="00F4379D"/>
    <w:rsid w:val="00F50D2D"/>
    <w:rsid w:val="00F56C8B"/>
    <w:rsid w:val="00F62639"/>
    <w:rsid w:val="00F66810"/>
    <w:rsid w:val="00F84DF4"/>
    <w:rsid w:val="00F85C97"/>
    <w:rsid w:val="00FB37D2"/>
    <w:rsid w:val="00FC4EFB"/>
    <w:rsid w:val="00FD068D"/>
    <w:rsid w:val="00FD4F28"/>
    <w:rsid w:val="00FE25ED"/>
    <w:rsid w:val="00FE6784"/>
    <w:rsid w:val="00FE7A8B"/>
    <w:rsid w:val="00FF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B545D9"/>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EE23F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E23FC"/>
    <w:rPr>
      <w:rFonts w:eastAsiaTheme="minorHAnsi" w:cstheme="minorBidi"/>
      <w:sz w:val="24"/>
      <w:szCs w:val="22"/>
      <w:lang w:eastAsia="en-US"/>
    </w:rPr>
  </w:style>
  <w:style w:type="table" w:styleId="TableGrid">
    <w:name w:val="Table Grid"/>
    <w:basedOn w:val="TableNormal"/>
    <w:uiPriority w:val="59"/>
    <w:rsid w:val="00EE23FC"/>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E23FC"/>
    <w:pPr>
      <w:spacing w:after="720"/>
      <w:ind w:left="1166"/>
      <w:contextualSpacing/>
      <w:jc w:val="both"/>
    </w:pPr>
    <w:rPr>
      <w:sz w:val="24"/>
      <w:szCs w:val="24"/>
    </w:rPr>
  </w:style>
  <w:style w:type="paragraph" w:customStyle="1" w:styleId="JudgeJuge">
    <w:name w:val="Judge / Juge"/>
    <w:uiPriority w:val="3"/>
    <w:rsid w:val="00EE23FC"/>
    <w:pPr>
      <w:tabs>
        <w:tab w:val="left" w:pos="1166"/>
      </w:tabs>
      <w:spacing w:after="480" w:line="480" w:lineRule="auto"/>
    </w:pPr>
    <w:rPr>
      <w:smallCaps/>
      <w:sz w:val="24"/>
      <w:szCs w:val="24"/>
    </w:rPr>
  </w:style>
  <w:style w:type="character" w:customStyle="1" w:styleId="SCCLsocPartyRoleChar">
    <w:name w:val="SCC.Lsoc.PartyRole Char"/>
    <w:basedOn w:val="DefaultParagraphFont"/>
    <w:rsid w:val="00BD04CB"/>
    <w:rPr>
      <w:lang w:val="fr-CA"/>
    </w:rPr>
  </w:style>
  <w:style w:type="paragraph" w:customStyle="1" w:styleId="SCCLsocPrefix">
    <w:name w:val="SCC.Lsoc.Prefix"/>
    <w:basedOn w:val="Normal"/>
    <w:next w:val="Normal"/>
    <w:link w:val="SCCLsocPrefixChar"/>
    <w:rsid w:val="00BD04CB"/>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BD04CB"/>
    <w:rPr>
      <w:rFonts w:eastAsiaTheme="minorHAnsi" w:cstheme="minorBidi"/>
      <w:b/>
      <w:smallCaps/>
      <w:sz w:val="24"/>
      <w:szCs w:val="24"/>
      <w:lang w:val="fr-CA" w:eastAsia="en-US"/>
    </w:rPr>
  </w:style>
  <w:style w:type="paragraph" w:customStyle="1" w:styleId="SCCHearingJudgmentDatesText">
    <w:name w:val="SCC.HearingJudgmentDatesText"/>
    <w:basedOn w:val="Normal"/>
    <w:next w:val="Normal"/>
    <w:link w:val="SCCHearingJudgmentDatesTextChar"/>
    <w:rsid w:val="00BD04CB"/>
    <w:rPr>
      <w:rFonts w:eastAsiaTheme="minorHAnsi" w:cstheme="minorBidi"/>
      <w:szCs w:val="24"/>
      <w:lang w:val="fr-CA" w:eastAsia="en-US"/>
    </w:rPr>
  </w:style>
  <w:style w:type="character" w:customStyle="1" w:styleId="SCCHearingJudgmentDatesTextChar">
    <w:name w:val="SCC.HearingJudgmentDatesText Char"/>
    <w:basedOn w:val="DefaultParagraphFont"/>
    <w:link w:val="SCCHearingJudgmentDatesText"/>
    <w:rsid w:val="00BD04CB"/>
    <w:rPr>
      <w:rFonts w:eastAsiaTheme="minorHAnsi" w:cstheme="minorBidi"/>
      <w:sz w:val="24"/>
      <w:szCs w:val="24"/>
      <w:lang w:val="fr-CA" w:eastAsia="en-US"/>
    </w:rPr>
  </w:style>
  <w:style w:type="paragraph" w:customStyle="1" w:styleId="SCCHearingJudgmentDatesTitle">
    <w:name w:val="SCC.HearingJudgmentDatesTitle"/>
    <w:basedOn w:val="Normal"/>
    <w:next w:val="Normal"/>
    <w:link w:val="SCCHearingJudgmentDatesTitleChar"/>
    <w:rsid w:val="00BD04CB"/>
    <w:rPr>
      <w:rFonts w:eastAsiaTheme="minorHAnsi" w:cstheme="minorBidi"/>
      <w:b/>
      <w:smallCaps/>
      <w:szCs w:val="24"/>
      <w:lang w:val="fr-CA" w:eastAsia="en-US"/>
    </w:rPr>
  </w:style>
  <w:style w:type="character" w:customStyle="1" w:styleId="SCCHearingJudgmentDatesTitleChar">
    <w:name w:val="SCC.HearingJudgmentDatesTitle Char"/>
    <w:basedOn w:val="DefaultParagraphFont"/>
    <w:link w:val="SCCHearingJudgmentDatesTitle"/>
    <w:rsid w:val="00BD04CB"/>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2015-06-02T21:09:00Z</dcterms:created>
  <dcterms:modified xsi:type="dcterms:W3CDTF">2015-11-12T13:33:00Z</dcterms:modified>
</cp:coreProperties>
</file>