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AEA" w:rsidRDefault="00E81AEA" w:rsidP="00E81AE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8913635" r:id="rId9"/>
        </w:object>
      </w:r>
      <w:r>
        <w:t xml:space="preserve"> </w:t>
      </w:r>
      <w:r>
        <w:ptab w:relativeTo="margin" w:alignment="right" w:leader="none"/>
      </w:r>
    </w:p>
    <w:p w:rsidR="00E81AEA" w:rsidRDefault="00E81AEA" w:rsidP="00E81AEA">
      <w:pPr>
        <w:pStyle w:val="Header"/>
      </w:pPr>
    </w:p>
    <w:p w:rsidR="00E81AEA" w:rsidRPr="001E12E2" w:rsidRDefault="00E81AEA" w:rsidP="00E81AEA">
      <w:pPr>
        <w:jc w:val="center"/>
        <w:rPr>
          <w:b/>
        </w:rPr>
      </w:pPr>
      <w:r w:rsidRPr="001E12E2">
        <w:rPr>
          <w:b/>
        </w:rPr>
        <w:t>COUR SUPRÊME DU CANADA</w:t>
      </w:r>
    </w:p>
    <w:p w:rsidR="00E81AEA" w:rsidRDefault="00E81AEA" w:rsidP="00E81AE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E81AEA" w:rsidRPr="001E12E2" w:rsidTr="00865118">
        <w:trPr>
          <w:cantSplit/>
        </w:trPr>
        <w:tc>
          <w:tcPr>
            <w:tcW w:w="6768" w:type="dxa"/>
          </w:tcPr>
          <w:p w:rsidR="00E81AEA" w:rsidRPr="00E81AEA" w:rsidRDefault="00E81AEA" w:rsidP="00865118">
            <w:pPr>
              <w:rPr>
                <w:lang w:val="fr-CA"/>
              </w:rPr>
            </w:pPr>
            <w:r w:rsidRPr="00E81AEA">
              <w:rPr>
                <w:b/>
                <w:smallCaps/>
                <w:lang w:val="fr-CA"/>
              </w:rPr>
              <w:t>Référence :</w:t>
            </w:r>
            <w:r w:rsidRPr="00E81AEA">
              <w:rPr>
                <w:lang w:val="fr-CA"/>
              </w:rPr>
              <w:t xml:space="preserve"> </w:t>
            </w:r>
            <w:proofErr w:type="spellStart"/>
            <w:r w:rsidRPr="00E81AEA">
              <w:rPr>
                <w:lang w:val="fr-CA"/>
              </w:rPr>
              <w:t>Caplin</w:t>
            </w:r>
            <w:proofErr w:type="spellEnd"/>
            <w:r w:rsidRPr="00E81AEA">
              <w:rPr>
                <w:lang w:val="fr-CA"/>
              </w:rPr>
              <w:t xml:space="preserve"> </w:t>
            </w:r>
            <w:r w:rsidRPr="00E81AEA">
              <w:rPr>
                <w:i/>
                <w:lang w:val="fr-CA"/>
              </w:rPr>
              <w:t>c.</w:t>
            </w:r>
            <w:r w:rsidRPr="00E81AEA">
              <w:rPr>
                <w:lang w:val="fr-CA"/>
              </w:rPr>
              <w:t xml:space="preserve"> Canada (Justice), 2015 CSC 32</w:t>
            </w:r>
            <w:r>
              <w:rPr>
                <w:lang w:val="fr-CA"/>
              </w:rPr>
              <w:t>, [2015] 2 R.C.S. 570</w:t>
            </w:r>
          </w:p>
        </w:tc>
        <w:tc>
          <w:tcPr>
            <w:tcW w:w="2808" w:type="dxa"/>
          </w:tcPr>
          <w:p w:rsidR="00E81AEA" w:rsidRPr="001E12E2" w:rsidRDefault="00E81AEA" w:rsidP="00865118">
            <w:r w:rsidRPr="001E12E2">
              <w:rPr>
                <w:b/>
                <w:smallCaps/>
              </w:rPr>
              <w:t>Date</w:t>
            </w:r>
            <w:r>
              <w:rPr>
                <w:b/>
                <w:smallCaps/>
              </w:rPr>
              <w:t> :</w:t>
            </w:r>
            <w:r w:rsidRPr="001E12E2">
              <w:t xml:space="preserve"> </w:t>
            </w:r>
            <w:r>
              <w:t>20150529</w:t>
            </w:r>
          </w:p>
          <w:p w:rsidR="00E81AEA" w:rsidRPr="001E12E2" w:rsidRDefault="00E81AEA" w:rsidP="00865118">
            <w:r w:rsidRPr="001E12E2">
              <w:rPr>
                <w:b/>
                <w:smallCaps/>
              </w:rPr>
              <w:t>Do</w:t>
            </w:r>
            <w:r>
              <w:rPr>
                <w:b/>
                <w:smallCaps/>
              </w:rPr>
              <w:t>ssier :</w:t>
            </w:r>
            <w:r w:rsidRPr="001E12E2">
              <w:t xml:space="preserve"> </w:t>
            </w:r>
            <w:r>
              <w:t>35527</w:t>
            </w:r>
          </w:p>
        </w:tc>
      </w:tr>
    </w:tbl>
    <w:p w:rsidR="00E81AEA" w:rsidRPr="001E12E2" w:rsidRDefault="00E81AEA" w:rsidP="00E81AEA"/>
    <w:p w:rsidR="00E81AEA" w:rsidRDefault="00E81AEA" w:rsidP="00E81AEA">
      <w:pPr>
        <w:pStyle w:val="SCCLsocPrefix"/>
      </w:pPr>
      <w:r>
        <w:t>Entre :</w:t>
      </w:r>
    </w:p>
    <w:p w:rsidR="00E81AEA" w:rsidRPr="00E81AEA" w:rsidRDefault="00E81AEA" w:rsidP="00E81AEA">
      <w:pPr>
        <w:pStyle w:val="SCCLsocParty"/>
        <w:jc w:val="center"/>
        <w:rPr>
          <w:lang w:val="fr-CA"/>
        </w:rPr>
      </w:pPr>
      <w:r w:rsidRPr="00E81AEA">
        <w:rPr>
          <w:lang w:val="fr-CA"/>
        </w:rPr>
        <w:t xml:space="preserve">David </w:t>
      </w:r>
      <w:proofErr w:type="spellStart"/>
      <w:r w:rsidRPr="00E81AEA">
        <w:rPr>
          <w:lang w:val="fr-CA"/>
        </w:rPr>
        <w:t>Caplin</w:t>
      </w:r>
      <w:proofErr w:type="spellEnd"/>
    </w:p>
    <w:p w:rsidR="00E81AEA" w:rsidRPr="00E81AEA" w:rsidRDefault="00E81AEA" w:rsidP="00E81AEA">
      <w:pPr>
        <w:jc w:val="center"/>
        <w:rPr>
          <w:lang w:val="fr-CA"/>
        </w:rPr>
      </w:pPr>
      <w:r w:rsidRPr="00E81AEA">
        <w:rPr>
          <w:lang w:val="fr-CA"/>
        </w:rPr>
        <w:t>Appelant</w:t>
      </w:r>
    </w:p>
    <w:p w:rsidR="00E81AEA" w:rsidRPr="00E81AEA" w:rsidRDefault="00E81AEA" w:rsidP="00E81AEA">
      <w:pPr>
        <w:pStyle w:val="SCCLsocVersus"/>
        <w:spacing w:after="0"/>
        <w:jc w:val="center"/>
        <w:rPr>
          <w:i w:val="0"/>
          <w:lang w:val="fr-CA"/>
        </w:rPr>
      </w:pPr>
      <w:proofErr w:type="gramStart"/>
      <w:r w:rsidRPr="00E81AEA">
        <w:rPr>
          <w:i w:val="0"/>
          <w:lang w:val="fr-CA"/>
        </w:rPr>
        <w:t>et</w:t>
      </w:r>
      <w:proofErr w:type="gramEnd"/>
    </w:p>
    <w:p w:rsidR="00E81AEA" w:rsidRPr="00E81AEA" w:rsidRDefault="00E81AEA" w:rsidP="00E81AEA">
      <w:pPr>
        <w:pStyle w:val="SCCLsocParty"/>
        <w:jc w:val="center"/>
        <w:rPr>
          <w:lang w:val="fr-CA"/>
        </w:rPr>
      </w:pPr>
      <w:r w:rsidRPr="00E81AEA">
        <w:rPr>
          <w:lang w:val="fr-CA"/>
        </w:rPr>
        <w:t>Ministre de la justice du Canada</w:t>
      </w:r>
    </w:p>
    <w:p w:rsidR="00E81AEA" w:rsidRPr="00E81AEA" w:rsidRDefault="00E81AEA" w:rsidP="00E81AEA">
      <w:pPr>
        <w:jc w:val="center"/>
        <w:rPr>
          <w:lang w:val="fr-CA"/>
        </w:rPr>
      </w:pPr>
      <w:r w:rsidRPr="00E81AEA">
        <w:rPr>
          <w:lang w:val="fr-CA"/>
        </w:rPr>
        <w:t>Intimé</w:t>
      </w:r>
    </w:p>
    <w:p w:rsidR="00E81AEA" w:rsidRPr="00E81AEA" w:rsidRDefault="00E81AEA" w:rsidP="00E81AEA">
      <w:pPr>
        <w:rPr>
          <w:lang w:val="fr-CA"/>
        </w:rPr>
      </w:pPr>
    </w:p>
    <w:p w:rsidR="00E81AEA" w:rsidRPr="00E81AEA" w:rsidRDefault="00E81AEA" w:rsidP="00E81AEA">
      <w:pPr>
        <w:jc w:val="center"/>
        <w:rPr>
          <w:b/>
          <w:smallCaps/>
          <w:lang w:val="fr-CA"/>
        </w:rPr>
      </w:pPr>
      <w:bookmarkStart w:id="0" w:name="_GoBack"/>
      <w:bookmarkEnd w:id="0"/>
      <w:r w:rsidRPr="00E81AEA">
        <w:rPr>
          <w:b/>
          <w:smallCaps/>
          <w:lang w:val="fr-CA"/>
        </w:rPr>
        <w:t>Traduction française officielle</w:t>
      </w:r>
    </w:p>
    <w:p w:rsidR="00E81AEA" w:rsidRPr="00E81AEA" w:rsidRDefault="00E81AEA" w:rsidP="00E81AEA">
      <w:pPr>
        <w:rPr>
          <w:lang w:val="fr-CA"/>
        </w:rPr>
      </w:pPr>
    </w:p>
    <w:p w:rsidR="00E81AEA" w:rsidRPr="00E81AEA" w:rsidRDefault="00E81AEA" w:rsidP="00E81AEA">
      <w:pPr>
        <w:rPr>
          <w:lang w:val="fr-CA"/>
        </w:rPr>
      </w:pPr>
      <w:r w:rsidRPr="00E81AEA">
        <w:rPr>
          <w:b/>
          <w:smallCaps/>
          <w:lang w:val="fr-CA"/>
        </w:rPr>
        <w:t>Coram :</w:t>
      </w:r>
      <w:r w:rsidRPr="00E81AEA">
        <w:rPr>
          <w:lang w:val="fr-CA"/>
        </w:rPr>
        <w:t xml:space="preserve"> La juge en chef </w:t>
      </w:r>
      <w:proofErr w:type="spellStart"/>
      <w:r w:rsidRPr="00E81AEA">
        <w:rPr>
          <w:lang w:val="fr-CA"/>
        </w:rPr>
        <w:t>McLachlin</w:t>
      </w:r>
      <w:proofErr w:type="spellEnd"/>
      <w:r w:rsidRPr="00E81AEA">
        <w:rPr>
          <w:lang w:val="fr-CA"/>
        </w:rPr>
        <w:t xml:space="preserve"> et les juges Abella, </w:t>
      </w:r>
      <w:proofErr w:type="spellStart"/>
      <w:r w:rsidRPr="00E81AEA">
        <w:rPr>
          <w:lang w:val="fr-CA"/>
        </w:rPr>
        <w:t>Rothstein</w:t>
      </w:r>
      <w:proofErr w:type="spellEnd"/>
      <w:r w:rsidRPr="00E81AEA">
        <w:rPr>
          <w:lang w:val="fr-CA"/>
        </w:rPr>
        <w:t xml:space="preserve">, Cromwell, </w:t>
      </w:r>
      <w:proofErr w:type="spellStart"/>
      <w:r w:rsidRPr="00E81AEA">
        <w:rPr>
          <w:lang w:val="fr-CA"/>
        </w:rPr>
        <w:t>Moldaver</w:t>
      </w:r>
      <w:proofErr w:type="spellEnd"/>
      <w:r w:rsidRPr="00E81AEA">
        <w:rPr>
          <w:lang w:val="fr-CA"/>
        </w:rPr>
        <w:t xml:space="preserve">, </w:t>
      </w:r>
      <w:proofErr w:type="spellStart"/>
      <w:r w:rsidRPr="00E81AEA">
        <w:rPr>
          <w:lang w:val="fr-CA"/>
        </w:rPr>
        <w:t>Karakatsanis</w:t>
      </w:r>
      <w:proofErr w:type="spellEnd"/>
      <w:r w:rsidRPr="00E81AEA">
        <w:rPr>
          <w:lang w:val="fr-CA"/>
        </w:rPr>
        <w:t>, Wagner, Gascon et Côté</w:t>
      </w:r>
    </w:p>
    <w:p w:rsidR="00E81AEA" w:rsidRPr="00E81AEA" w:rsidRDefault="00E81AEA" w:rsidP="00E81AE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81AEA" w:rsidRPr="001E12E2" w:rsidTr="00865118">
        <w:trPr>
          <w:cantSplit/>
        </w:trPr>
        <w:tc>
          <w:tcPr>
            <w:tcW w:w="3618" w:type="dxa"/>
          </w:tcPr>
          <w:p w:rsidR="00E81AEA" w:rsidRPr="00E81AEA" w:rsidRDefault="00E81AEA" w:rsidP="00865118">
            <w:pPr>
              <w:rPr>
                <w:b/>
                <w:smallCaps/>
                <w:lang w:val="fr-CA"/>
              </w:rPr>
            </w:pPr>
            <w:r w:rsidRPr="00E81AEA">
              <w:rPr>
                <w:b/>
                <w:smallCaps/>
                <w:lang w:val="fr-CA"/>
              </w:rPr>
              <w:t>Motifs de jugement :</w:t>
            </w:r>
          </w:p>
          <w:p w:rsidR="00E81AEA" w:rsidRPr="00E81AEA" w:rsidRDefault="00E81AEA" w:rsidP="00865118">
            <w:pPr>
              <w:rPr>
                <w:lang w:val="fr-CA"/>
              </w:rPr>
            </w:pPr>
            <w:r w:rsidRPr="00E81AEA">
              <w:rPr>
                <w:lang w:val="fr-CA"/>
              </w:rPr>
              <w:t>(par. 1 à 4)</w:t>
            </w:r>
          </w:p>
          <w:p w:rsidR="00E81AEA" w:rsidRPr="00E81AEA" w:rsidRDefault="00E81AEA" w:rsidP="00865118">
            <w:pPr>
              <w:rPr>
                <w:lang w:val="fr-CA"/>
              </w:rPr>
            </w:pPr>
          </w:p>
        </w:tc>
        <w:tc>
          <w:tcPr>
            <w:tcW w:w="5958" w:type="dxa"/>
          </w:tcPr>
          <w:p w:rsidR="00E81AEA" w:rsidRPr="001E12E2" w:rsidRDefault="00E81AEA" w:rsidP="00865118">
            <w:r>
              <w:t xml:space="preserve">La </w:t>
            </w:r>
            <w:proofErr w:type="spellStart"/>
            <w:r>
              <w:t>Cour</w:t>
            </w:r>
            <w:proofErr w:type="spellEnd"/>
          </w:p>
        </w:tc>
      </w:tr>
    </w:tbl>
    <w:p w:rsidR="00E81AEA" w:rsidRDefault="00E81AEA" w:rsidP="00E81AEA">
      <w:pPr>
        <w:rPr>
          <w:rStyle w:val="SCCHearingJudgmentDatesTextChar"/>
        </w:rPr>
      </w:pPr>
      <w:r>
        <w:rPr>
          <w:rStyle w:val="SCCHearingJudgmentDatesTitleChar"/>
        </w:rPr>
        <w:t xml:space="preserve">Appel entendu et jugement rendu : </w:t>
      </w:r>
      <w:r>
        <w:rPr>
          <w:rStyle w:val="SCCHearingJudgmentDatesTextChar"/>
        </w:rPr>
        <w:t>Le 23 avril 2015</w:t>
      </w:r>
    </w:p>
    <w:p w:rsidR="00E81AEA" w:rsidRPr="00E81AEA" w:rsidRDefault="00E81AEA" w:rsidP="00E81AEA">
      <w:pPr>
        <w:rPr>
          <w:lang w:val="fr-CA"/>
        </w:rPr>
      </w:pPr>
    </w:p>
    <w:p w:rsidR="00E81AEA" w:rsidRPr="00E75550" w:rsidRDefault="00E81AEA" w:rsidP="00E81AEA">
      <w:pPr>
        <w:rPr>
          <w:b/>
          <w:smallCaps/>
          <w:lang w:val="fr-CA"/>
        </w:rPr>
      </w:pPr>
      <w:r>
        <w:rPr>
          <w:rStyle w:val="SCCHearingJudgmentDatesTitleChar"/>
        </w:rPr>
        <w:t xml:space="preserve">Motifs déposés : </w:t>
      </w:r>
      <w:r w:rsidRPr="00E75550">
        <w:rPr>
          <w:rStyle w:val="SCCHearingJudgmentDatesTitleChar"/>
          <w:b w:val="0"/>
          <w:smallCaps w:val="0"/>
        </w:rPr>
        <w:t>Le 29 mai 2015</w:t>
      </w:r>
    </w:p>
    <w:p w:rsidR="00E81AEA" w:rsidRPr="00E81AEA" w:rsidRDefault="00E81AEA" w:rsidP="00E81AEA">
      <w:pPr>
        <w:rPr>
          <w:lang w:val="fr-CA"/>
        </w:rPr>
      </w:pPr>
    </w:p>
    <w:p w:rsidR="00E81AEA" w:rsidRPr="00E81AEA" w:rsidRDefault="00E81AEA" w:rsidP="00E81AEA">
      <w:pPr>
        <w:rPr>
          <w:lang w:val="fr-CA"/>
        </w:rPr>
      </w:pPr>
    </w:p>
    <w:p w:rsidR="00E81AEA" w:rsidRPr="00E81AEA" w:rsidRDefault="00E75550" w:rsidP="00E81AEA">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E81AEA" w:rsidRDefault="00E81AEA" w:rsidP="00C43631">
      <w:pPr>
        <w:widowControl w:val="0"/>
        <w:spacing w:after="720"/>
        <w:jc w:val="both"/>
        <w:rPr>
          <w:rStyle w:val="SCCAppellantForRunningHeadChar"/>
          <w:smallCaps w:val="0"/>
          <w:lang w:val="fr-CA"/>
        </w:rPr>
      </w:pPr>
    </w:p>
    <w:p w:rsidR="004D7D95" w:rsidRPr="00D23EFC" w:rsidRDefault="00D23EFC" w:rsidP="00C43631">
      <w:pPr>
        <w:widowControl w:val="0"/>
        <w:spacing w:after="720"/>
        <w:jc w:val="both"/>
        <w:rPr>
          <w:smallCaps/>
          <w:lang w:val="fr-CA"/>
        </w:rPr>
      </w:pPr>
      <w:proofErr w:type="spellStart"/>
      <w:r>
        <w:rPr>
          <w:rStyle w:val="SCCAppellantForRunningHeadChar"/>
          <w:smallCaps w:val="0"/>
          <w:lang w:val="fr-CA"/>
        </w:rPr>
        <w:t>C</w:t>
      </w:r>
      <w:r w:rsidR="004D7D95" w:rsidRPr="00D23EFC">
        <w:rPr>
          <w:rStyle w:val="SCCAppellantForRunningHeadChar"/>
          <w:smallCaps w:val="0"/>
          <w:lang w:val="fr-CA"/>
        </w:rPr>
        <w:t>aplin</w:t>
      </w:r>
      <w:proofErr w:type="spellEnd"/>
      <w:r w:rsidR="004D7D95" w:rsidRPr="00D23EFC">
        <w:rPr>
          <w:smallCaps/>
          <w:lang w:val="fr-CA"/>
        </w:rPr>
        <w:t xml:space="preserve"> </w:t>
      </w:r>
      <w:r w:rsidR="004D7D95" w:rsidRPr="00D23EFC">
        <w:rPr>
          <w:i/>
          <w:lang w:val="fr-CA"/>
        </w:rPr>
        <w:t>c</w:t>
      </w:r>
      <w:r w:rsidR="004D7D95" w:rsidRPr="00D23EFC">
        <w:rPr>
          <w:i/>
          <w:smallCaps/>
          <w:lang w:val="fr-CA"/>
        </w:rPr>
        <w:t>.</w:t>
      </w:r>
      <w:r w:rsidR="004D7D95" w:rsidRPr="00D23EFC">
        <w:rPr>
          <w:smallCaps/>
          <w:lang w:val="fr-CA"/>
        </w:rPr>
        <w:t xml:space="preserve"> </w:t>
      </w:r>
      <w:r>
        <w:rPr>
          <w:rStyle w:val="SCCRespondentForRunningHeadChar"/>
          <w:smallCaps w:val="0"/>
          <w:lang w:val="fr-CA"/>
        </w:rPr>
        <w:t>C</w:t>
      </w:r>
      <w:r w:rsidR="00031025" w:rsidRPr="00D23EFC">
        <w:rPr>
          <w:rStyle w:val="SCCRespondentForRunningHeadChar"/>
          <w:smallCaps w:val="0"/>
          <w:lang w:val="fr-CA"/>
        </w:rPr>
        <w:t>anada (</w:t>
      </w:r>
      <w:r>
        <w:rPr>
          <w:rStyle w:val="SCCRespondentForRunningHeadChar"/>
          <w:smallCaps w:val="0"/>
          <w:lang w:val="fr-CA"/>
        </w:rPr>
        <w:t>J</w:t>
      </w:r>
      <w:r w:rsidR="004D7D95" w:rsidRPr="00D23EFC">
        <w:rPr>
          <w:rStyle w:val="SCCRespondentForRunningHeadChar"/>
          <w:smallCaps w:val="0"/>
          <w:lang w:val="fr-CA"/>
        </w:rPr>
        <w:t>ustice</w:t>
      </w:r>
      <w:r w:rsidR="00031025" w:rsidRPr="00D23EFC">
        <w:rPr>
          <w:rStyle w:val="SCCRespondentForRunningHeadChar"/>
          <w:smallCaps w:val="0"/>
          <w:lang w:val="fr-CA"/>
        </w:rPr>
        <w:t>)</w:t>
      </w:r>
      <w:r>
        <w:rPr>
          <w:rStyle w:val="SCCRespondentForRunningHeadChar"/>
          <w:smallCaps w:val="0"/>
          <w:lang w:val="fr-CA"/>
        </w:rPr>
        <w:t xml:space="preserve">, </w:t>
      </w:r>
      <w:r w:rsidRPr="002C155C">
        <w:rPr>
          <w:lang w:val="fr-CA"/>
        </w:rPr>
        <w:t>2015 CSC</w:t>
      </w:r>
      <w:r>
        <w:rPr>
          <w:lang w:val="fr-CA"/>
        </w:rPr>
        <w:t xml:space="preserve"> </w:t>
      </w:r>
      <w:r w:rsidRPr="002C155C">
        <w:rPr>
          <w:lang w:val="fr-CA"/>
        </w:rPr>
        <w:t>32</w:t>
      </w:r>
      <w:r>
        <w:rPr>
          <w:lang w:val="fr-CA"/>
        </w:rPr>
        <w:t>, [2015] 2 R.C.S. 570</w:t>
      </w:r>
    </w:p>
    <w:p w:rsidR="0020366B" w:rsidRPr="002C155C" w:rsidRDefault="003518FF" w:rsidP="00C43631">
      <w:pPr>
        <w:pStyle w:val="SCCLsocLastPartyInRole"/>
        <w:widowControl w:val="0"/>
        <w:rPr>
          <w:lang w:val="fr-CA"/>
        </w:rPr>
      </w:pPr>
      <w:r w:rsidRPr="002C155C">
        <w:rPr>
          <w:lang w:val="fr-CA"/>
        </w:rPr>
        <w:t xml:space="preserve">David </w:t>
      </w:r>
      <w:proofErr w:type="spellStart"/>
      <w:r w:rsidRPr="002C155C">
        <w:rPr>
          <w:lang w:val="fr-CA"/>
        </w:rPr>
        <w:t>Caplin</w:t>
      </w:r>
      <w:proofErr w:type="spellEnd"/>
      <w:r w:rsidRPr="002C155C">
        <w:rPr>
          <w:rStyle w:val="SCCLsocPartyRole"/>
          <w:lang w:val="fr-CA"/>
        </w:rPr>
        <w:tab/>
        <w:t>Appelant</w:t>
      </w:r>
    </w:p>
    <w:p w:rsidR="0020366B" w:rsidRPr="002C155C" w:rsidRDefault="003518FF" w:rsidP="00C43631">
      <w:pPr>
        <w:pStyle w:val="SCCLsocVersus"/>
        <w:widowControl w:val="0"/>
        <w:rPr>
          <w:lang w:val="fr-CA"/>
        </w:rPr>
      </w:pPr>
      <w:proofErr w:type="gramStart"/>
      <w:r w:rsidRPr="002C155C">
        <w:rPr>
          <w:lang w:val="fr-CA"/>
        </w:rPr>
        <w:t>c</w:t>
      </w:r>
      <w:proofErr w:type="gramEnd"/>
      <w:r w:rsidRPr="002C155C">
        <w:rPr>
          <w:lang w:val="fr-CA"/>
        </w:rPr>
        <w:t>.</w:t>
      </w:r>
    </w:p>
    <w:p w:rsidR="0020366B" w:rsidRPr="002C155C" w:rsidRDefault="00DB196E" w:rsidP="00C43631">
      <w:pPr>
        <w:pStyle w:val="SCCLsocLastPartyInRole"/>
        <w:widowControl w:val="0"/>
        <w:rPr>
          <w:lang w:val="fr-CA"/>
        </w:rPr>
      </w:pPr>
      <w:r>
        <w:rPr>
          <w:lang w:val="fr-CA"/>
        </w:rPr>
        <w:lastRenderedPageBreak/>
        <w:t>Ministre de la J</w:t>
      </w:r>
      <w:r w:rsidR="003518FF" w:rsidRPr="002C155C">
        <w:rPr>
          <w:lang w:val="fr-CA"/>
        </w:rPr>
        <w:t>ustice du Canada</w:t>
      </w:r>
      <w:r w:rsidR="003518FF" w:rsidRPr="002C155C">
        <w:rPr>
          <w:rStyle w:val="SCCLsocPartyRole"/>
          <w:lang w:val="fr-CA"/>
        </w:rPr>
        <w:tab/>
        <w:t>Intimé</w:t>
      </w:r>
    </w:p>
    <w:p w:rsidR="004D7D95" w:rsidRPr="002C155C" w:rsidRDefault="004D7D95" w:rsidP="00C43631">
      <w:pPr>
        <w:widowControl w:val="0"/>
        <w:spacing w:after="720"/>
        <w:jc w:val="both"/>
        <w:rPr>
          <w:b/>
          <w:lang w:val="fr-CA"/>
        </w:rPr>
      </w:pPr>
      <w:r w:rsidRPr="002C155C">
        <w:rPr>
          <w:b/>
          <w:lang w:val="fr-CA"/>
        </w:rPr>
        <w:t>Répertorié</w:t>
      </w:r>
      <w:r w:rsidR="00C43631">
        <w:rPr>
          <w:b/>
          <w:lang w:val="fr-CA"/>
        </w:rPr>
        <w:t xml:space="preserve"> : </w:t>
      </w:r>
      <w:proofErr w:type="spellStart"/>
      <w:r w:rsidRPr="002C155C">
        <w:rPr>
          <w:rStyle w:val="SCCAppellantForIndexChar"/>
          <w:lang w:val="fr-CA"/>
        </w:rPr>
        <w:t>Caplin</w:t>
      </w:r>
      <w:proofErr w:type="spellEnd"/>
      <w:r w:rsidRPr="002C155C">
        <w:rPr>
          <w:b/>
          <w:lang w:val="fr-CA"/>
        </w:rPr>
        <w:t xml:space="preserve"> </w:t>
      </w:r>
      <w:r w:rsidRPr="002C155C">
        <w:rPr>
          <w:b/>
          <w:i/>
          <w:lang w:val="fr-CA"/>
        </w:rPr>
        <w:t>c.</w:t>
      </w:r>
      <w:r w:rsidRPr="002C155C">
        <w:rPr>
          <w:b/>
          <w:lang w:val="fr-CA"/>
        </w:rPr>
        <w:t xml:space="preserve"> </w:t>
      </w:r>
      <w:r w:rsidR="00031025" w:rsidRPr="002C155C">
        <w:rPr>
          <w:b/>
          <w:lang w:val="fr-CA"/>
        </w:rPr>
        <w:t>Canada (J</w:t>
      </w:r>
      <w:r w:rsidRPr="002C155C">
        <w:rPr>
          <w:rStyle w:val="SCCRespondentForIndexChar"/>
          <w:lang w:val="fr-CA"/>
        </w:rPr>
        <w:t>ustice</w:t>
      </w:r>
      <w:r w:rsidR="00031025" w:rsidRPr="002C155C">
        <w:rPr>
          <w:rStyle w:val="SCCRespondentForIndexChar"/>
          <w:lang w:val="fr-CA"/>
        </w:rPr>
        <w:t>)</w:t>
      </w:r>
    </w:p>
    <w:p w:rsidR="004D7D95" w:rsidRPr="002C155C" w:rsidRDefault="00F62639" w:rsidP="00C43631">
      <w:pPr>
        <w:pStyle w:val="SCCSystemYear"/>
        <w:widowControl w:val="0"/>
        <w:spacing w:after="720"/>
        <w:jc w:val="both"/>
        <w:rPr>
          <w:lang w:val="fr-CA"/>
        </w:rPr>
      </w:pPr>
      <w:r w:rsidRPr="002C155C">
        <w:rPr>
          <w:lang w:val="fr-CA"/>
        </w:rPr>
        <w:t>2015</w:t>
      </w:r>
      <w:r w:rsidR="0093022A" w:rsidRPr="002C155C">
        <w:rPr>
          <w:lang w:val="fr-CA"/>
        </w:rPr>
        <w:t xml:space="preserve"> CSC</w:t>
      </w:r>
      <w:r w:rsidR="00C43631">
        <w:rPr>
          <w:lang w:val="fr-CA"/>
        </w:rPr>
        <w:t xml:space="preserve"> </w:t>
      </w:r>
      <w:r w:rsidR="0093022A" w:rsidRPr="002C155C">
        <w:rPr>
          <w:lang w:val="fr-CA"/>
        </w:rPr>
        <w:t>32</w:t>
      </w:r>
    </w:p>
    <w:p w:rsidR="004D7D95" w:rsidRPr="002C155C" w:rsidRDefault="004D7D95" w:rsidP="00C43631">
      <w:pPr>
        <w:widowControl w:val="0"/>
        <w:spacing w:after="720"/>
        <w:jc w:val="both"/>
        <w:rPr>
          <w:lang w:val="fr-CA"/>
        </w:rPr>
      </w:pPr>
      <w:r w:rsidRPr="002C155C">
        <w:rPr>
          <w:lang w:val="fr-CA"/>
        </w:rPr>
        <w:t>N</w:t>
      </w:r>
      <w:r w:rsidRPr="002C155C">
        <w:rPr>
          <w:vertAlign w:val="superscript"/>
          <w:lang w:val="fr-CA"/>
        </w:rPr>
        <w:t>o</w:t>
      </w:r>
      <w:r w:rsidRPr="002C155C">
        <w:rPr>
          <w:lang w:val="fr-CA"/>
        </w:rPr>
        <w:t xml:space="preserve"> du greffe</w:t>
      </w:r>
      <w:r w:rsidR="00C43631">
        <w:rPr>
          <w:lang w:val="fr-CA"/>
        </w:rPr>
        <w:t xml:space="preserve"> : </w:t>
      </w:r>
      <w:r w:rsidRPr="002C155C">
        <w:rPr>
          <w:lang w:val="fr-CA"/>
        </w:rPr>
        <w:t>35527.</w:t>
      </w:r>
    </w:p>
    <w:p w:rsidR="00031025" w:rsidRPr="002C155C" w:rsidRDefault="00031025" w:rsidP="00C43631">
      <w:pPr>
        <w:widowControl w:val="0"/>
        <w:jc w:val="both"/>
        <w:rPr>
          <w:lang w:val="fr-CA"/>
        </w:rPr>
      </w:pPr>
      <w:r w:rsidRPr="002C155C">
        <w:rPr>
          <w:lang w:val="fr-CA"/>
        </w:rPr>
        <w:t>Audition et jugement</w:t>
      </w:r>
      <w:r w:rsidR="00C43631">
        <w:rPr>
          <w:lang w:val="fr-CA"/>
        </w:rPr>
        <w:t xml:space="preserve"> : </w:t>
      </w:r>
      <w:r w:rsidR="0058486E" w:rsidRPr="002C155C">
        <w:rPr>
          <w:lang w:val="fr-CA"/>
        </w:rPr>
        <w:t>23</w:t>
      </w:r>
      <w:r w:rsidR="00C43631">
        <w:rPr>
          <w:lang w:val="fr-CA"/>
        </w:rPr>
        <w:t xml:space="preserve"> </w:t>
      </w:r>
      <w:r w:rsidR="0058486E" w:rsidRPr="002C155C">
        <w:rPr>
          <w:lang w:val="fr-CA"/>
        </w:rPr>
        <w:t>avril</w:t>
      </w:r>
      <w:r w:rsidR="00C43631">
        <w:rPr>
          <w:lang w:val="fr-CA"/>
        </w:rPr>
        <w:t xml:space="preserve"> </w:t>
      </w:r>
      <w:r w:rsidRPr="002C155C">
        <w:rPr>
          <w:lang w:val="fr-CA"/>
        </w:rPr>
        <w:t>2015.</w:t>
      </w:r>
    </w:p>
    <w:p w:rsidR="00031025" w:rsidRPr="002C155C" w:rsidRDefault="00031025" w:rsidP="00C43631">
      <w:pPr>
        <w:widowControl w:val="0"/>
        <w:spacing w:after="720"/>
        <w:jc w:val="both"/>
        <w:rPr>
          <w:lang w:val="fr-CA"/>
        </w:rPr>
      </w:pPr>
      <w:r w:rsidRPr="002C155C">
        <w:rPr>
          <w:lang w:val="fr-CA"/>
        </w:rPr>
        <w:t>Motifs déposés</w:t>
      </w:r>
      <w:r w:rsidR="00C43631">
        <w:rPr>
          <w:lang w:val="fr-CA"/>
        </w:rPr>
        <w:t xml:space="preserve"> : </w:t>
      </w:r>
      <w:r w:rsidR="00D05995" w:rsidRPr="002C155C">
        <w:rPr>
          <w:lang w:val="fr-CA"/>
        </w:rPr>
        <w:t>29</w:t>
      </w:r>
      <w:r w:rsidR="00C43631">
        <w:rPr>
          <w:lang w:val="fr-CA"/>
        </w:rPr>
        <w:t xml:space="preserve"> </w:t>
      </w:r>
      <w:r w:rsidR="00D05995" w:rsidRPr="002C155C">
        <w:rPr>
          <w:lang w:val="fr-CA"/>
        </w:rPr>
        <w:t>mai</w:t>
      </w:r>
      <w:r w:rsidR="00C43631">
        <w:rPr>
          <w:lang w:val="fr-CA"/>
        </w:rPr>
        <w:t xml:space="preserve"> </w:t>
      </w:r>
      <w:r w:rsidRPr="002C155C">
        <w:rPr>
          <w:lang w:val="fr-CA"/>
        </w:rPr>
        <w:t>2015.</w:t>
      </w:r>
    </w:p>
    <w:p w:rsidR="004D7D95" w:rsidRPr="002C155C" w:rsidRDefault="004D7D95" w:rsidP="00C43631">
      <w:pPr>
        <w:widowControl w:val="0"/>
        <w:spacing w:after="720"/>
        <w:jc w:val="both"/>
        <w:rPr>
          <w:lang w:val="fr-CA"/>
        </w:rPr>
      </w:pPr>
      <w:r w:rsidRPr="002C155C">
        <w:rPr>
          <w:lang w:val="fr-CA"/>
        </w:rPr>
        <w:t>Présents</w:t>
      </w:r>
      <w:r w:rsidR="00C43631">
        <w:rPr>
          <w:lang w:val="fr-CA"/>
        </w:rPr>
        <w:t xml:space="preserve"> : </w:t>
      </w:r>
      <w:r w:rsidRPr="002C155C">
        <w:rPr>
          <w:lang w:val="fr-CA"/>
        </w:rPr>
        <w:t xml:space="preserve">La juge en chef </w:t>
      </w:r>
      <w:proofErr w:type="spellStart"/>
      <w:r w:rsidRPr="002C155C">
        <w:rPr>
          <w:lang w:val="fr-CA"/>
        </w:rPr>
        <w:t>McLachlin</w:t>
      </w:r>
      <w:proofErr w:type="spellEnd"/>
      <w:r w:rsidRPr="002C155C">
        <w:rPr>
          <w:lang w:val="fr-CA"/>
        </w:rPr>
        <w:t xml:space="preserve"> et les juges Abella, </w:t>
      </w:r>
      <w:proofErr w:type="spellStart"/>
      <w:r w:rsidRPr="002C155C">
        <w:rPr>
          <w:lang w:val="fr-CA"/>
        </w:rPr>
        <w:t>Rothstein</w:t>
      </w:r>
      <w:proofErr w:type="spellEnd"/>
      <w:r w:rsidRPr="002C155C">
        <w:rPr>
          <w:lang w:val="fr-CA"/>
        </w:rPr>
        <w:t xml:space="preserve">, Cromwell, </w:t>
      </w:r>
      <w:proofErr w:type="spellStart"/>
      <w:r w:rsidRPr="002C155C">
        <w:rPr>
          <w:lang w:val="fr-CA"/>
        </w:rPr>
        <w:t>Moldaver</w:t>
      </w:r>
      <w:proofErr w:type="spellEnd"/>
      <w:r w:rsidRPr="002C155C">
        <w:rPr>
          <w:lang w:val="fr-CA"/>
        </w:rPr>
        <w:t xml:space="preserve">, </w:t>
      </w:r>
      <w:proofErr w:type="spellStart"/>
      <w:r w:rsidRPr="002C155C">
        <w:rPr>
          <w:lang w:val="fr-CA"/>
        </w:rPr>
        <w:t>Karakatsanis</w:t>
      </w:r>
      <w:proofErr w:type="spellEnd"/>
      <w:r w:rsidRPr="002C155C">
        <w:rPr>
          <w:lang w:val="fr-CA"/>
        </w:rPr>
        <w:t>, Wagner, Gascon et Côté.</w:t>
      </w:r>
    </w:p>
    <w:p w:rsidR="004D7D95" w:rsidRPr="002C155C" w:rsidRDefault="004D7D95" w:rsidP="00C43631">
      <w:pPr>
        <w:widowControl w:val="0"/>
        <w:spacing w:before="480" w:after="480" w:line="480" w:lineRule="auto"/>
        <w:jc w:val="both"/>
        <w:rPr>
          <w:smallCaps/>
          <w:lang w:val="fr-CA"/>
        </w:rPr>
      </w:pPr>
      <w:r w:rsidRPr="002C155C">
        <w:rPr>
          <w:smallCaps/>
          <w:lang w:val="fr-CA"/>
        </w:rPr>
        <w:t>en appel de la cour d</w:t>
      </w:r>
      <w:r w:rsidR="00031025" w:rsidRPr="002C155C">
        <w:rPr>
          <w:smallCaps/>
          <w:lang w:val="fr-CA"/>
        </w:rPr>
        <w:t>’</w:t>
      </w:r>
      <w:r w:rsidRPr="002C155C">
        <w:rPr>
          <w:smallCaps/>
          <w:lang w:val="fr-CA"/>
        </w:rPr>
        <w:t xml:space="preserve">appel du </w:t>
      </w:r>
      <w:proofErr w:type="spellStart"/>
      <w:r w:rsidRPr="002C155C">
        <w:rPr>
          <w:smallCaps/>
          <w:lang w:val="fr-CA"/>
        </w:rPr>
        <w:t>québec</w:t>
      </w:r>
      <w:proofErr w:type="spellEnd"/>
    </w:p>
    <w:p w:rsidR="00874A0A" w:rsidRPr="002C155C" w:rsidRDefault="004D7D95" w:rsidP="00C43631">
      <w:pPr>
        <w:pStyle w:val="SCCNormalDoubleSpacing"/>
        <w:widowControl w:val="0"/>
        <w:spacing w:before="480" w:after="480"/>
        <w:rPr>
          <w:i/>
          <w:lang w:val="fr-CA"/>
        </w:rPr>
      </w:pPr>
      <w:r w:rsidRPr="002C155C">
        <w:rPr>
          <w:lang w:val="fr-CA"/>
        </w:rPr>
        <w:tab/>
      </w:r>
      <w:r w:rsidR="00874A0A" w:rsidRPr="002C155C">
        <w:rPr>
          <w:i/>
          <w:lang w:val="fr-CA"/>
        </w:rPr>
        <w:t xml:space="preserve">Extradition — </w:t>
      </w:r>
      <w:r w:rsidR="00B109BF" w:rsidRPr="002C155C">
        <w:rPr>
          <w:i/>
          <w:lang w:val="fr-CA"/>
        </w:rPr>
        <w:t>Arrêté</w:t>
      </w:r>
      <w:r w:rsidR="00874A0A" w:rsidRPr="002C155C">
        <w:rPr>
          <w:i/>
          <w:lang w:val="fr-CA"/>
        </w:rPr>
        <w:t xml:space="preserve"> d’extradition — Contrôle judiciaire — </w:t>
      </w:r>
      <w:r w:rsidR="00834C81" w:rsidRPr="002C155C">
        <w:rPr>
          <w:i/>
          <w:lang w:val="fr-CA"/>
        </w:rPr>
        <w:t xml:space="preserve">Extradition </w:t>
      </w:r>
      <w:r w:rsidR="002476D3">
        <w:rPr>
          <w:i/>
          <w:lang w:val="fr-CA"/>
        </w:rPr>
        <w:t xml:space="preserve">de l’accusé </w:t>
      </w:r>
      <w:r w:rsidR="00834C81" w:rsidRPr="002C155C">
        <w:rPr>
          <w:i/>
          <w:lang w:val="fr-CA"/>
        </w:rPr>
        <w:t>vers les États</w:t>
      </w:r>
      <w:r w:rsidR="00C43631">
        <w:rPr>
          <w:i/>
          <w:lang w:val="fr-CA"/>
        </w:rPr>
        <w:t>-</w:t>
      </w:r>
      <w:r w:rsidR="00834C81" w:rsidRPr="002C155C">
        <w:rPr>
          <w:i/>
          <w:lang w:val="fr-CA"/>
        </w:rPr>
        <w:t>Unis ordonnée par le ministre de la Justice par suite d’accusations de meurtres — La décision du ministre était</w:t>
      </w:r>
      <w:r w:rsidR="00C43631">
        <w:rPr>
          <w:i/>
          <w:lang w:val="fr-CA"/>
        </w:rPr>
        <w:t>-</w:t>
      </w:r>
      <w:r w:rsidR="00834C81" w:rsidRPr="002C155C">
        <w:rPr>
          <w:i/>
          <w:lang w:val="fr-CA"/>
        </w:rPr>
        <w:t>elle raisonnable?</w:t>
      </w:r>
    </w:p>
    <w:p w:rsidR="00874A0A" w:rsidRPr="002C155C" w:rsidRDefault="00874A0A" w:rsidP="00C43631">
      <w:pPr>
        <w:pStyle w:val="SCCNormalDoubleSpacing"/>
        <w:widowControl w:val="0"/>
        <w:spacing w:before="480" w:after="480"/>
        <w:rPr>
          <w:lang w:val="fr-CA"/>
        </w:rPr>
      </w:pPr>
      <w:r w:rsidRPr="002C155C">
        <w:rPr>
          <w:lang w:val="fr-CA"/>
        </w:rPr>
        <w:tab/>
        <w:t xml:space="preserve">Le ministre de la Justice a ordonné l’extradition de C et d’un coaccusé, B, vers les États-Unis, où ils </w:t>
      </w:r>
      <w:r w:rsidR="00834C81" w:rsidRPr="002C155C">
        <w:rPr>
          <w:lang w:val="fr-CA"/>
        </w:rPr>
        <w:t>étaie</w:t>
      </w:r>
      <w:r w:rsidRPr="002C155C">
        <w:rPr>
          <w:lang w:val="fr-CA"/>
        </w:rPr>
        <w:t xml:space="preserve">nt accusés de meurtres aux premier et deuxième degrés. C a fait l’objet de ces accusations en 1990, mais il n’a jamais subi de procès. En 2010, </w:t>
      </w:r>
      <w:r w:rsidR="006373FD" w:rsidRPr="002C155C">
        <w:rPr>
          <w:lang w:val="fr-CA"/>
        </w:rPr>
        <w:t xml:space="preserve">les autorités de </w:t>
      </w:r>
      <w:r w:rsidRPr="002C155C">
        <w:rPr>
          <w:lang w:val="fr-CA"/>
        </w:rPr>
        <w:t xml:space="preserve">l’État du New Hampshire </w:t>
      </w:r>
      <w:r w:rsidR="006373FD" w:rsidRPr="002C155C">
        <w:rPr>
          <w:lang w:val="fr-CA"/>
        </w:rPr>
        <w:t>ont</w:t>
      </w:r>
      <w:r w:rsidRPr="002C155C">
        <w:rPr>
          <w:lang w:val="fr-CA"/>
        </w:rPr>
        <w:t xml:space="preserve"> rouvert l’enquête sur les crimes allégués </w:t>
      </w:r>
      <w:r w:rsidR="00763AD2" w:rsidRPr="002C155C">
        <w:rPr>
          <w:lang w:val="fr-CA"/>
        </w:rPr>
        <w:t>puis</w:t>
      </w:r>
      <w:r w:rsidRPr="002C155C">
        <w:rPr>
          <w:lang w:val="fr-CA"/>
        </w:rPr>
        <w:t xml:space="preserve">, en 2011, des éléments de preuve recueillis sur la scène de crime ont été soumis à une analyse génétique à l’aide de techniques qui n’existaient pas lors </w:t>
      </w:r>
      <w:r w:rsidRPr="002C155C">
        <w:rPr>
          <w:lang w:val="fr-CA"/>
        </w:rPr>
        <w:lastRenderedPageBreak/>
        <w:t>de l’enquête initiale. Le profil génétique alors ét</w:t>
      </w:r>
      <w:r w:rsidR="00B93FF6" w:rsidRPr="002C155C">
        <w:rPr>
          <w:lang w:val="fr-CA"/>
        </w:rPr>
        <w:t>abli a permis d’</w:t>
      </w:r>
      <w:r w:rsidRPr="002C155C">
        <w:rPr>
          <w:lang w:val="fr-CA"/>
        </w:rPr>
        <w:t>identifi</w:t>
      </w:r>
      <w:r w:rsidR="00B93FF6" w:rsidRPr="002C155C">
        <w:rPr>
          <w:lang w:val="fr-CA"/>
        </w:rPr>
        <w:t>er C</w:t>
      </w:r>
      <w:r w:rsidRPr="002C155C">
        <w:rPr>
          <w:lang w:val="fr-CA"/>
        </w:rPr>
        <w:t xml:space="preserve">. Saisie d’une demande de contrôle judiciaire, la Cour d’appel du Québec a conclu qu’aucun motif ne </w:t>
      </w:r>
      <w:r w:rsidR="006373FD" w:rsidRPr="002C155C">
        <w:rPr>
          <w:lang w:val="fr-CA"/>
        </w:rPr>
        <w:t xml:space="preserve">la </w:t>
      </w:r>
      <w:r w:rsidRPr="002C155C">
        <w:rPr>
          <w:lang w:val="fr-CA"/>
        </w:rPr>
        <w:t xml:space="preserve">justifiait </w:t>
      </w:r>
      <w:r w:rsidR="006373FD" w:rsidRPr="002C155C">
        <w:rPr>
          <w:lang w:val="fr-CA"/>
        </w:rPr>
        <w:t>de revenir sur</w:t>
      </w:r>
      <w:r w:rsidRPr="002C155C">
        <w:rPr>
          <w:lang w:val="fr-CA"/>
        </w:rPr>
        <w:t xml:space="preserve"> la décision du ministre d’ordonner l’extradition de C vers les États-Unis.</w:t>
      </w:r>
    </w:p>
    <w:p w:rsidR="00874A0A" w:rsidRPr="002C155C" w:rsidRDefault="00874A0A" w:rsidP="00C43631">
      <w:pPr>
        <w:pStyle w:val="SCCNormalDoubleSpacing"/>
        <w:widowControl w:val="0"/>
        <w:spacing w:before="480" w:after="480"/>
        <w:rPr>
          <w:lang w:val="fr-CA"/>
        </w:rPr>
      </w:pPr>
      <w:r w:rsidRPr="002C155C">
        <w:rPr>
          <w:lang w:val="fr-CA"/>
        </w:rPr>
        <w:tab/>
      </w:r>
      <w:r w:rsidRPr="002C155C">
        <w:rPr>
          <w:i/>
          <w:lang w:val="fr-CA"/>
        </w:rPr>
        <w:t>Arrêt</w:t>
      </w:r>
      <w:r w:rsidR="00C43631">
        <w:rPr>
          <w:lang w:val="fr-CA"/>
        </w:rPr>
        <w:t> :</w:t>
      </w:r>
      <w:r w:rsidRPr="002C155C">
        <w:rPr>
          <w:lang w:val="fr-CA"/>
        </w:rPr>
        <w:t xml:space="preserve"> Le pourvoi est rejeté.</w:t>
      </w:r>
    </w:p>
    <w:p w:rsidR="004D7D95" w:rsidRPr="002C155C" w:rsidRDefault="00874A0A" w:rsidP="00C43631">
      <w:pPr>
        <w:pStyle w:val="SCCNormalDoubleSpacing"/>
        <w:widowControl w:val="0"/>
        <w:spacing w:before="480" w:after="480"/>
        <w:rPr>
          <w:lang w:val="fr-CA"/>
        </w:rPr>
      </w:pPr>
      <w:r w:rsidRPr="002C155C">
        <w:rPr>
          <w:lang w:val="fr-CA"/>
        </w:rPr>
        <w:t xml:space="preserve"> </w:t>
      </w:r>
      <w:r w:rsidR="004D7D95" w:rsidRPr="002C155C">
        <w:rPr>
          <w:lang w:val="fr-CA"/>
        </w:rPr>
        <w:tab/>
      </w:r>
      <w:r w:rsidRPr="002C155C">
        <w:rPr>
          <w:lang w:val="fr-CA"/>
        </w:rPr>
        <w:t xml:space="preserve">La Cour d’appel n’a pas eu tort de conclure que le ministre </w:t>
      </w:r>
      <w:r w:rsidR="00763AD2" w:rsidRPr="002C155C">
        <w:rPr>
          <w:lang w:val="fr-CA"/>
        </w:rPr>
        <w:t xml:space="preserve">de la Justice </w:t>
      </w:r>
      <w:r w:rsidRPr="002C155C">
        <w:rPr>
          <w:lang w:val="fr-CA"/>
        </w:rPr>
        <w:t xml:space="preserve">pouvait raisonnablement ordonner l’extradition. Le ministre devait essentiellement se demander si le </w:t>
      </w:r>
      <w:r w:rsidR="00C43631">
        <w:rPr>
          <w:lang w:val="fr-CA"/>
        </w:rPr>
        <w:t>« </w:t>
      </w:r>
      <w:r w:rsidRPr="002C155C">
        <w:rPr>
          <w:lang w:val="fr-CA"/>
        </w:rPr>
        <w:t>traitement donné</w:t>
      </w:r>
      <w:r w:rsidR="00C43631">
        <w:rPr>
          <w:lang w:val="fr-CA"/>
        </w:rPr>
        <w:t> »</w:t>
      </w:r>
      <w:r w:rsidRPr="002C155C">
        <w:rPr>
          <w:lang w:val="fr-CA"/>
        </w:rPr>
        <w:t xml:space="preserve"> qui attendait C s’il était extradé au New Hampshire contrevenait aux principes canadiens de justice fondamentale. Il a examiné toutes les circonstances pertinentes, dont l’importance de la collaboration internationale en matière d’extradition. Au vu de toutes ces considérations, il pouvait raisonnablement conclure qu’il n</w:t>
      </w:r>
      <w:r w:rsidR="002252FE" w:rsidRPr="002C155C">
        <w:rPr>
          <w:lang w:val="fr-CA"/>
        </w:rPr>
        <w:t>’ét</w:t>
      </w:r>
      <w:r w:rsidRPr="002C155C">
        <w:rPr>
          <w:lang w:val="fr-CA"/>
        </w:rPr>
        <w:t>ait ni contraire aux principes canadiens de justice fondamentale, ni par ailleurs injuste ou tyrannique de laisser aux tribunaux du New Hampshire le soin de décider de tenir ou non un procès.</w:t>
      </w:r>
    </w:p>
    <w:p w:rsidR="004D7D95" w:rsidRPr="002C155C" w:rsidRDefault="004D7D95" w:rsidP="00C43631">
      <w:pPr>
        <w:pStyle w:val="SCCNormalDoubleSpacing"/>
        <w:widowControl w:val="0"/>
        <w:spacing w:after="720" w:line="240" w:lineRule="auto"/>
        <w:rPr>
          <w:b/>
          <w:lang w:val="fr-CA"/>
        </w:rPr>
      </w:pPr>
      <w:r w:rsidRPr="002C155C">
        <w:rPr>
          <w:b/>
          <w:lang w:val="fr-CA"/>
        </w:rPr>
        <w:t>Jurisprudence</w:t>
      </w:r>
    </w:p>
    <w:p w:rsidR="004D7D95" w:rsidRPr="002C155C" w:rsidRDefault="004D7D95" w:rsidP="00C43631">
      <w:pPr>
        <w:pStyle w:val="SCCNormalDoubleSpacing"/>
        <w:widowControl w:val="0"/>
        <w:spacing w:before="480" w:after="480"/>
        <w:rPr>
          <w:b/>
          <w:lang w:val="fr-CA"/>
        </w:rPr>
      </w:pPr>
      <w:r w:rsidRPr="002C155C">
        <w:rPr>
          <w:lang w:val="fr-CA"/>
        </w:rPr>
        <w:tab/>
      </w:r>
      <w:r w:rsidRPr="002C155C">
        <w:rPr>
          <w:b/>
          <w:lang w:val="fr-CA"/>
        </w:rPr>
        <w:t>Arrêts mentionnés</w:t>
      </w:r>
      <w:r w:rsidR="00C43631">
        <w:rPr>
          <w:b/>
          <w:lang w:val="fr-CA"/>
        </w:rPr>
        <w:t> :</w:t>
      </w:r>
      <w:r w:rsidR="00D05995" w:rsidRPr="002C155C">
        <w:rPr>
          <w:b/>
          <w:lang w:val="fr-CA"/>
        </w:rPr>
        <w:t xml:space="preserve"> </w:t>
      </w:r>
      <w:bookmarkStart w:id="1" w:name="OLE_LINK1"/>
      <w:r w:rsidR="00D05995" w:rsidRPr="002C155C">
        <w:rPr>
          <w:i/>
          <w:lang w:val="fr-CA"/>
        </w:rPr>
        <w:t>Canada (Procureur général) c. Barnaby</w:t>
      </w:r>
      <w:r w:rsidR="00D05995" w:rsidRPr="002C155C">
        <w:rPr>
          <w:lang w:val="fr-CA"/>
        </w:rPr>
        <w:t xml:space="preserve">, 2015 CSC </w:t>
      </w:r>
      <w:r w:rsidR="005A7BE5" w:rsidRPr="002C155C">
        <w:rPr>
          <w:lang w:val="fr-CA"/>
        </w:rPr>
        <w:t>31</w:t>
      </w:r>
      <w:r w:rsidR="00E27281">
        <w:rPr>
          <w:lang w:val="fr-CA"/>
        </w:rPr>
        <w:t xml:space="preserve">, [2015] 2 R.C.S. </w:t>
      </w:r>
      <w:r w:rsidR="00805B59">
        <w:rPr>
          <w:lang w:val="fr-CA"/>
        </w:rPr>
        <w:t>56</w:t>
      </w:r>
      <w:r w:rsidR="00EF69B6">
        <w:rPr>
          <w:lang w:val="fr-CA"/>
        </w:rPr>
        <w:t>3</w:t>
      </w:r>
      <w:r w:rsidR="00D05995" w:rsidRPr="002C155C">
        <w:rPr>
          <w:lang w:val="fr-CA"/>
        </w:rPr>
        <w:t>;</w:t>
      </w:r>
      <w:r w:rsidRPr="002C155C">
        <w:rPr>
          <w:lang w:val="fr-CA"/>
        </w:rPr>
        <w:t xml:space="preserve"> </w:t>
      </w:r>
      <w:r w:rsidR="008F4156" w:rsidRPr="002C155C">
        <w:rPr>
          <w:i/>
          <w:lang w:val="fr-CA"/>
        </w:rPr>
        <w:t>États</w:t>
      </w:r>
      <w:r w:rsidR="00C43631">
        <w:rPr>
          <w:i/>
          <w:lang w:val="fr-CA"/>
        </w:rPr>
        <w:t>-</w:t>
      </w:r>
      <w:r w:rsidR="008F4156" w:rsidRPr="002C155C">
        <w:rPr>
          <w:i/>
          <w:lang w:val="fr-CA"/>
        </w:rPr>
        <w:t>Unis c. Burns</w:t>
      </w:r>
      <w:r w:rsidR="00173DBA" w:rsidRPr="002C155C">
        <w:rPr>
          <w:lang w:val="fr-CA"/>
        </w:rPr>
        <w:t xml:space="preserve">, 2001 </w:t>
      </w:r>
      <w:r w:rsidR="008F4156" w:rsidRPr="002C155C">
        <w:rPr>
          <w:lang w:val="fr-CA"/>
        </w:rPr>
        <w:t>C</w:t>
      </w:r>
      <w:r w:rsidR="00173DBA" w:rsidRPr="002C155C">
        <w:rPr>
          <w:lang w:val="fr-CA"/>
        </w:rPr>
        <w:t xml:space="preserve">SC 7, [2001] 1 </w:t>
      </w:r>
      <w:r w:rsidR="008F4156" w:rsidRPr="002C155C">
        <w:rPr>
          <w:lang w:val="fr-CA"/>
        </w:rPr>
        <w:t>R.C.</w:t>
      </w:r>
      <w:r w:rsidR="00173DBA" w:rsidRPr="002C155C">
        <w:rPr>
          <w:lang w:val="fr-CA"/>
        </w:rPr>
        <w:t xml:space="preserve">S. 283; </w:t>
      </w:r>
      <w:r w:rsidR="008F4156" w:rsidRPr="002C155C">
        <w:rPr>
          <w:i/>
          <w:lang w:val="fr-CA"/>
        </w:rPr>
        <w:t>Argentine</w:t>
      </w:r>
      <w:r w:rsidR="00173DBA" w:rsidRPr="002C155C">
        <w:rPr>
          <w:i/>
          <w:lang w:val="fr-CA"/>
        </w:rPr>
        <w:t xml:space="preserve"> </w:t>
      </w:r>
      <w:r w:rsidR="008F4156" w:rsidRPr="002C155C">
        <w:rPr>
          <w:i/>
          <w:lang w:val="fr-CA"/>
        </w:rPr>
        <w:t>c</w:t>
      </w:r>
      <w:r w:rsidR="00173DBA" w:rsidRPr="002C155C">
        <w:rPr>
          <w:i/>
          <w:lang w:val="fr-CA"/>
        </w:rPr>
        <w:t xml:space="preserve">. </w:t>
      </w:r>
      <w:proofErr w:type="spellStart"/>
      <w:r w:rsidR="00173DBA" w:rsidRPr="002C155C">
        <w:rPr>
          <w:i/>
          <w:lang w:val="fr-CA"/>
        </w:rPr>
        <w:t>Mellino</w:t>
      </w:r>
      <w:proofErr w:type="spellEnd"/>
      <w:r w:rsidR="00173DBA" w:rsidRPr="002C155C">
        <w:rPr>
          <w:lang w:val="fr-CA"/>
        </w:rPr>
        <w:t xml:space="preserve">, [1987] 1 </w:t>
      </w:r>
      <w:r w:rsidR="008F4156" w:rsidRPr="002C155C">
        <w:rPr>
          <w:lang w:val="fr-CA"/>
        </w:rPr>
        <w:t>R.C.</w:t>
      </w:r>
      <w:r w:rsidR="00173DBA" w:rsidRPr="002C155C">
        <w:rPr>
          <w:lang w:val="fr-CA"/>
        </w:rPr>
        <w:t>S. 536.</w:t>
      </w:r>
    </w:p>
    <w:bookmarkEnd w:id="1"/>
    <w:p w:rsidR="004D7D95" w:rsidRPr="002C155C" w:rsidRDefault="004D7D95" w:rsidP="00C43631">
      <w:pPr>
        <w:pStyle w:val="SCCNormalDoubleSpacing"/>
        <w:widowControl w:val="0"/>
        <w:spacing w:after="720" w:line="240" w:lineRule="auto"/>
        <w:rPr>
          <w:b/>
          <w:lang w:val="fr-CA"/>
        </w:rPr>
      </w:pPr>
      <w:r w:rsidRPr="002C155C">
        <w:rPr>
          <w:b/>
          <w:lang w:val="fr-CA"/>
        </w:rPr>
        <w:t>Lois et règlements cités</w:t>
      </w:r>
    </w:p>
    <w:p w:rsidR="003D315C" w:rsidRPr="002C155C" w:rsidRDefault="003D315C" w:rsidP="00C43631">
      <w:pPr>
        <w:pStyle w:val="SCCNormalDoubleSpacing"/>
        <w:widowControl w:val="0"/>
        <w:spacing w:after="240" w:line="240" w:lineRule="auto"/>
        <w:ind w:left="547" w:hanging="547"/>
        <w:rPr>
          <w:lang w:val="fr-CA"/>
        </w:rPr>
      </w:pPr>
      <w:r w:rsidRPr="002C155C">
        <w:rPr>
          <w:i/>
          <w:lang w:val="fr-CA"/>
        </w:rPr>
        <w:lastRenderedPageBreak/>
        <w:t>Charte canadienne des droits et libertés</w:t>
      </w:r>
      <w:r w:rsidRPr="002C155C">
        <w:rPr>
          <w:lang w:val="fr-CA"/>
        </w:rPr>
        <w:t xml:space="preserve">, </w:t>
      </w:r>
      <w:r w:rsidR="0058486E" w:rsidRPr="002C155C">
        <w:rPr>
          <w:lang w:val="fr-CA"/>
        </w:rPr>
        <w:t>art.</w:t>
      </w:r>
      <w:r w:rsidR="00C43631">
        <w:rPr>
          <w:lang w:val="fr-CA"/>
        </w:rPr>
        <w:t xml:space="preserve"> </w:t>
      </w:r>
      <w:r w:rsidRPr="002C155C">
        <w:rPr>
          <w:lang w:val="fr-CA"/>
        </w:rPr>
        <w:t>7.</w:t>
      </w:r>
    </w:p>
    <w:p w:rsidR="003518FF" w:rsidRPr="002C155C" w:rsidRDefault="003518FF" w:rsidP="00C43631">
      <w:pPr>
        <w:pStyle w:val="SCCNormalDoubleSpacing"/>
        <w:widowControl w:val="0"/>
        <w:spacing w:after="720" w:line="240" w:lineRule="auto"/>
        <w:ind w:left="547" w:hanging="547"/>
        <w:rPr>
          <w:lang w:val="fr-CA"/>
        </w:rPr>
      </w:pPr>
      <w:r w:rsidRPr="002C155C">
        <w:rPr>
          <w:i/>
          <w:lang w:val="fr-CA"/>
        </w:rPr>
        <w:t>Loi sur l’extradition</w:t>
      </w:r>
      <w:r w:rsidRPr="002C155C">
        <w:rPr>
          <w:lang w:val="fr-CA"/>
        </w:rPr>
        <w:t>, L.C. 1999, c.</w:t>
      </w:r>
      <w:r w:rsidR="00C43631">
        <w:rPr>
          <w:lang w:val="fr-CA"/>
        </w:rPr>
        <w:t xml:space="preserve"> </w:t>
      </w:r>
      <w:r w:rsidRPr="002C155C">
        <w:rPr>
          <w:lang w:val="fr-CA"/>
        </w:rPr>
        <w:t xml:space="preserve">18, </w:t>
      </w:r>
      <w:r w:rsidR="0058486E" w:rsidRPr="002C155C">
        <w:rPr>
          <w:lang w:val="fr-CA"/>
        </w:rPr>
        <w:t>art.</w:t>
      </w:r>
      <w:r w:rsidR="00C43631">
        <w:rPr>
          <w:lang w:val="fr-CA"/>
        </w:rPr>
        <w:t xml:space="preserve"> </w:t>
      </w:r>
      <w:r w:rsidRPr="002C155C">
        <w:rPr>
          <w:lang w:val="fr-CA"/>
        </w:rPr>
        <w:t>44(1).</w:t>
      </w:r>
    </w:p>
    <w:p w:rsidR="004D7D95" w:rsidRPr="002C155C" w:rsidRDefault="00031025" w:rsidP="00C43631">
      <w:pPr>
        <w:pStyle w:val="SCCNormalDoubleSpacing"/>
        <w:widowControl w:val="0"/>
        <w:spacing w:after="480"/>
        <w:rPr>
          <w:lang w:val="fr-CA"/>
        </w:rPr>
      </w:pPr>
      <w:r w:rsidRPr="002C155C">
        <w:rPr>
          <w:lang w:val="fr-CA"/>
        </w:rPr>
        <w:tab/>
      </w:r>
      <w:r w:rsidR="004D7D95" w:rsidRPr="002C155C">
        <w:rPr>
          <w:lang w:val="fr-CA"/>
        </w:rPr>
        <w:t>POURVOI contre un arrêt de la Cour d</w:t>
      </w:r>
      <w:r w:rsidRPr="002C155C">
        <w:rPr>
          <w:lang w:val="fr-CA"/>
        </w:rPr>
        <w:t>’</w:t>
      </w:r>
      <w:r w:rsidR="004D7D95" w:rsidRPr="002C155C">
        <w:rPr>
          <w:lang w:val="fr-CA"/>
        </w:rPr>
        <w:t>appel du Québec</w:t>
      </w:r>
      <w:r w:rsidR="007E2174" w:rsidRPr="002C155C">
        <w:rPr>
          <w:lang w:val="fr-CA"/>
        </w:rPr>
        <w:t xml:space="preserve"> (la juge en chef Duval </w:t>
      </w:r>
      <w:proofErr w:type="spellStart"/>
      <w:r w:rsidR="007E2174" w:rsidRPr="002C155C">
        <w:rPr>
          <w:lang w:val="fr-CA"/>
        </w:rPr>
        <w:t>Hesler</w:t>
      </w:r>
      <w:proofErr w:type="spellEnd"/>
      <w:r w:rsidR="007E2174" w:rsidRPr="002C155C">
        <w:rPr>
          <w:lang w:val="fr-CA"/>
        </w:rPr>
        <w:t xml:space="preserve"> et les juges L</w:t>
      </w:r>
      <w:r w:rsidR="009A50A1" w:rsidRPr="002C155C">
        <w:rPr>
          <w:lang w:val="fr-CA"/>
        </w:rPr>
        <w:t>e</w:t>
      </w:r>
      <w:r w:rsidR="007E2174" w:rsidRPr="002C155C">
        <w:rPr>
          <w:lang w:val="fr-CA"/>
        </w:rPr>
        <w:t>vesque et Savard), 2013 QCCA 1305, [2013] AZ</w:t>
      </w:r>
      <w:r w:rsidR="00C43631">
        <w:rPr>
          <w:lang w:val="fr-CA"/>
        </w:rPr>
        <w:t>-</w:t>
      </w:r>
      <w:r w:rsidR="007E2174" w:rsidRPr="002C155C">
        <w:rPr>
          <w:lang w:val="fr-CA"/>
        </w:rPr>
        <w:t xml:space="preserve">50991418, [2013] Q.J. </w:t>
      </w:r>
      <w:r w:rsidR="0058486E" w:rsidRPr="002C155C">
        <w:rPr>
          <w:lang w:val="fr-CA"/>
        </w:rPr>
        <w:t>No.</w:t>
      </w:r>
      <w:r w:rsidR="00C43631">
        <w:rPr>
          <w:lang w:val="fr-CA"/>
        </w:rPr>
        <w:t xml:space="preserve"> </w:t>
      </w:r>
      <w:r w:rsidR="007E2174" w:rsidRPr="002C155C">
        <w:rPr>
          <w:lang w:val="fr-CA"/>
        </w:rPr>
        <w:t xml:space="preserve">8752 (QL), 2013 </w:t>
      </w:r>
      <w:proofErr w:type="spellStart"/>
      <w:r w:rsidR="007E2174" w:rsidRPr="002C155C">
        <w:rPr>
          <w:lang w:val="fr-CA"/>
        </w:rPr>
        <w:t>CarswellQue</w:t>
      </w:r>
      <w:proofErr w:type="spellEnd"/>
      <w:r w:rsidR="007E2174" w:rsidRPr="002C155C">
        <w:rPr>
          <w:lang w:val="fr-CA"/>
        </w:rPr>
        <w:t xml:space="preserve"> 7615 (WL Can.), qui a rejeté la demande de contrôle judiciaire visant l’arrêté d’extradition pris par le ministre de la Justice</w:t>
      </w:r>
      <w:r w:rsidRPr="002C155C">
        <w:rPr>
          <w:lang w:val="fr-CA"/>
        </w:rPr>
        <w:t>. Pourvoi rejeté.</w:t>
      </w:r>
    </w:p>
    <w:p w:rsidR="0020366B" w:rsidRPr="002C155C" w:rsidRDefault="003518FF" w:rsidP="00C43631">
      <w:pPr>
        <w:pStyle w:val="SCCNormalDoubleSpacing"/>
        <w:widowControl w:val="0"/>
        <w:spacing w:after="480"/>
        <w:rPr>
          <w:lang w:val="fr-CA"/>
        </w:rPr>
      </w:pPr>
      <w:r w:rsidRPr="002C155C">
        <w:rPr>
          <w:rStyle w:val="SCCCounselNameChar"/>
          <w:i w:val="0"/>
          <w:lang w:val="fr-CA"/>
        </w:rPr>
        <w:tab/>
      </w:r>
      <w:r w:rsidRPr="002C155C">
        <w:rPr>
          <w:rStyle w:val="SCCCounselNameChar"/>
          <w:lang w:val="fr-CA"/>
        </w:rPr>
        <w:t xml:space="preserve">Véronique </w:t>
      </w:r>
      <w:proofErr w:type="spellStart"/>
      <w:r w:rsidRPr="002C155C">
        <w:rPr>
          <w:rStyle w:val="SCCCounselNameChar"/>
          <w:lang w:val="fr-CA"/>
        </w:rPr>
        <w:t>Courtecuisse</w:t>
      </w:r>
      <w:proofErr w:type="spellEnd"/>
      <w:r w:rsidRPr="002C155C">
        <w:rPr>
          <w:rStyle w:val="SCCCounselSeparatorChar"/>
          <w:lang w:val="fr-CA"/>
        </w:rPr>
        <w:t xml:space="preserve"> et </w:t>
      </w:r>
      <w:r w:rsidRPr="002C155C">
        <w:rPr>
          <w:rStyle w:val="SCCCounselNameChar"/>
          <w:lang w:val="fr-CA"/>
        </w:rPr>
        <w:t xml:space="preserve">Patrick </w:t>
      </w:r>
      <w:proofErr w:type="spellStart"/>
      <w:r w:rsidRPr="002C155C">
        <w:rPr>
          <w:rStyle w:val="SCCCounselNameChar"/>
          <w:lang w:val="fr-CA"/>
        </w:rPr>
        <w:t>Cozannet</w:t>
      </w:r>
      <w:proofErr w:type="spellEnd"/>
      <w:r w:rsidRPr="002C155C">
        <w:rPr>
          <w:rStyle w:val="SCCCounselPartyRoleChar"/>
          <w:lang w:val="fr-CA"/>
        </w:rPr>
        <w:t>, pour l</w:t>
      </w:r>
      <w:r w:rsidR="00031025" w:rsidRPr="002C155C">
        <w:rPr>
          <w:rStyle w:val="SCCCounselPartyRoleChar"/>
          <w:lang w:val="fr-CA"/>
        </w:rPr>
        <w:t>’</w:t>
      </w:r>
      <w:r w:rsidRPr="002C155C">
        <w:rPr>
          <w:rStyle w:val="SCCCounselPartyRoleChar"/>
          <w:lang w:val="fr-CA"/>
        </w:rPr>
        <w:t>appelant.</w:t>
      </w:r>
    </w:p>
    <w:p w:rsidR="0020366B" w:rsidRPr="002C155C" w:rsidRDefault="003518FF" w:rsidP="00C43631">
      <w:pPr>
        <w:pStyle w:val="SCCNormalDoubleSpacing"/>
        <w:widowControl w:val="0"/>
        <w:spacing w:after="480"/>
        <w:rPr>
          <w:lang w:val="fr-CA"/>
        </w:rPr>
      </w:pPr>
      <w:r w:rsidRPr="002C155C">
        <w:rPr>
          <w:rStyle w:val="SCCCounselNameChar"/>
          <w:i w:val="0"/>
          <w:lang w:val="fr-CA"/>
        </w:rPr>
        <w:tab/>
      </w:r>
      <w:r w:rsidR="00262736" w:rsidRPr="002C155C">
        <w:rPr>
          <w:rStyle w:val="SCCCounselNameChar"/>
          <w:lang w:val="fr-CA"/>
        </w:rPr>
        <w:t>Marc Ribeiro</w:t>
      </w:r>
      <w:r w:rsidR="00262736" w:rsidRPr="002C155C">
        <w:rPr>
          <w:rStyle w:val="SCCCounselNameChar"/>
          <w:i w:val="0"/>
          <w:lang w:val="fr-CA"/>
        </w:rPr>
        <w:t xml:space="preserve"> </w:t>
      </w:r>
      <w:r w:rsidR="00262736" w:rsidRPr="002C155C">
        <w:rPr>
          <w:rStyle w:val="SCCCounselSeparatorChar"/>
          <w:lang w:val="fr-CA"/>
        </w:rPr>
        <w:t>et</w:t>
      </w:r>
      <w:r w:rsidR="00262736" w:rsidRPr="002C155C">
        <w:rPr>
          <w:rStyle w:val="SCCCounselNameChar"/>
          <w:i w:val="0"/>
          <w:lang w:val="fr-CA"/>
        </w:rPr>
        <w:t xml:space="preserve"> </w:t>
      </w:r>
      <w:r w:rsidRPr="002C155C">
        <w:rPr>
          <w:rStyle w:val="SCCCounselNameChar"/>
          <w:lang w:val="fr-CA"/>
        </w:rPr>
        <w:t xml:space="preserve">Ginette </w:t>
      </w:r>
      <w:proofErr w:type="spellStart"/>
      <w:r w:rsidRPr="002C155C">
        <w:rPr>
          <w:rStyle w:val="SCCCounselNameChar"/>
          <w:lang w:val="fr-CA"/>
        </w:rPr>
        <w:t>Gobeil</w:t>
      </w:r>
      <w:proofErr w:type="spellEnd"/>
      <w:r w:rsidRPr="002C155C">
        <w:rPr>
          <w:rStyle w:val="SCCCounselPartyRoleChar"/>
          <w:lang w:val="fr-CA"/>
        </w:rPr>
        <w:t>, pour l</w:t>
      </w:r>
      <w:r w:rsidR="00031025" w:rsidRPr="002C155C">
        <w:rPr>
          <w:rStyle w:val="SCCCounselPartyRoleChar"/>
          <w:lang w:val="fr-CA"/>
        </w:rPr>
        <w:t>’</w:t>
      </w:r>
      <w:r w:rsidRPr="002C155C">
        <w:rPr>
          <w:rStyle w:val="SCCCounselPartyRoleChar"/>
          <w:lang w:val="fr-CA"/>
        </w:rPr>
        <w:t>intimé.</w:t>
      </w:r>
    </w:p>
    <w:p w:rsidR="00161E89" w:rsidRPr="00C1405D" w:rsidRDefault="00C1405D" w:rsidP="00C43631">
      <w:pPr>
        <w:pStyle w:val="JudgeJuge"/>
        <w:widowControl w:val="0"/>
        <w:spacing w:before="480"/>
        <w:rPr>
          <w:smallCaps w:val="0"/>
          <w:lang w:val="fr-CA"/>
        </w:rPr>
      </w:pPr>
      <w:r>
        <w:rPr>
          <w:lang w:val="fr-CA"/>
        </w:rPr>
        <w:tab/>
      </w:r>
      <w:r w:rsidRPr="00C1405D">
        <w:rPr>
          <w:smallCaps w:val="0"/>
          <w:lang w:val="fr-CA"/>
        </w:rPr>
        <w:t>Ver</w:t>
      </w:r>
      <w:r>
        <w:rPr>
          <w:smallCaps w:val="0"/>
          <w:lang w:val="fr-CA"/>
        </w:rPr>
        <w:t>sion française du jugement rendu par</w:t>
      </w:r>
    </w:p>
    <w:p w:rsidR="00161E89" w:rsidRPr="005400EB" w:rsidRDefault="00C43631" w:rsidP="00C43631">
      <w:pPr>
        <w:pStyle w:val="ParaNoNdepar-AltN"/>
        <w:widowControl w:val="0"/>
        <w:rPr>
          <w:rFonts w:cs="Times New Roman"/>
          <w:lang w:val="fr-CA"/>
        </w:rPr>
      </w:pPr>
      <w:r w:rsidRPr="00C43631">
        <w:rPr>
          <w:smallCaps/>
          <w:lang w:val="fr-CA"/>
        </w:rPr>
        <w:t xml:space="preserve">La Cour </w:t>
      </w:r>
      <w:r w:rsidRPr="005400EB">
        <w:rPr>
          <w:lang w:val="fr-CA"/>
        </w:rPr>
        <w:t xml:space="preserve">— </w:t>
      </w:r>
      <w:r w:rsidR="00161E89" w:rsidRPr="005400EB">
        <w:rPr>
          <w:rFonts w:cs="Times New Roman"/>
          <w:lang w:val="fr-CA"/>
        </w:rPr>
        <w:t>Pour convaincre le ministre de refuser son extradition, M.</w:t>
      </w:r>
      <w:r>
        <w:rPr>
          <w:rFonts w:cs="Times New Roman"/>
          <w:lang w:val="fr-CA"/>
        </w:rPr>
        <w:t xml:space="preserve"> </w:t>
      </w:r>
      <w:proofErr w:type="spellStart"/>
      <w:r w:rsidR="00161E89" w:rsidRPr="005400EB">
        <w:rPr>
          <w:rFonts w:cs="Times New Roman"/>
          <w:lang w:val="fr-CA"/>
        </w:rPr>
        <w:t>Caplin</w:t>
      </w:r>
      <w:proofErr w:type="spellEnd"/>
      <w:r w:rsidR="00161E89" w:rsidRPr="005400EB">
        <w:rPr>
          <w:rFonts w:cs="Times New Roman"/>
          <w:lang w:val="fr-CA"/>
        </w:rPr>
        <w:t xml:space="preserve"> doit démontrer que la mesure </w:t>
      </w:r>
      <w:r>
        <w:rPr>
          <w:rFonts w:cs="Times New Roman"/>
          <w:lang w:val="fr-CA"/>
        </w:rPr>
        <w:t>« </w:t>
      </w:r>
      <w:r w:rsidR="00161E89" w:rsidRPr="005400EB">
        <w:rPr>
          <w:rFonts w:cs="Times New Roman"/>
          <w:lang w:val="fr-CA"/>
        </w:rPr>
        <w:t>choquerait la conscience</w:t>
      </w:r>
      <w:r>
        <w:rPr>
          <w:rFonts w:cs="Times New Roman"/>
          <w:lang w:val="fr-CA"/>
        </w:rPr>
        <w:t> »</w:t>
      </w:r>
      <w:r w:rsidR="00161E89" w:rsidRPr="005400EB">
        <w:rPr>
          <w:rFonts w:cs="Times New Roman"/>
          <w:lang w:val="fr-CA"/>
        </w:rPr>
        <w:t xml:space="preserve"> et contreviendrait ainsi à l’art.</w:t>
      </w:r>
      <w:r>
        <w:rPr>
          <w:rFonts w:cs="Times New Roman"/>
          <w:lang w:val="fr-CA"/>
        </w:rPr>
        <w:t xml:space="preserve"> </w:t>
      </w:r>
      <w:r w:rsidR="00161E89" w:rsidRPr="005400EB">
        <w:rPr>
          <w:rFonts w:cs="Times New Roman"/>
          <w:lang w:val="fr-CA"/>
        </w:rPr>
        <w:t xml:space="preserve">7 de la </w:t>
      </w:r>
      <w:r w:rsidR="00161E89" w:rsidRPr="005400EB">
        <w:rPr>
          <w:rFonts w:cs="Times New Roman"/>
          <w:i/>
          <w:lang w:val="fr-CA"/>
        </w:rPr>
        <w:t>Charte canadienne des droits et libertés</w:t>
      </w:r>
      <w:r w:rsidR="00161E89" w:rsidRPr="005400EB">
        <w:rPr>
          <w:rFonts w:cs="Times New Roman"/>
          <w:lang w:val="fr-CA"/>
        </w:rPr>
        <w:t xml:space="preserve">, ou qu’elle serait </w:t>
      </w:r>
      <w:r>
        <w:rPr>
          <w:rFonts w:cs="Times New Roman"/>
          <w:lang w:val="fr-CA"/>
        </w:rPr>
        <w:t>« </w:t>
      </w:r>
      <w:r w:rsidR="00161E89" w:rsidRPr="005400EB">
        <w:rPr>
          <w:rFonts w:cs="Times New Roman"/>
          <w:lang w:val="fr-CA"/>
        </w:rPr>
        <w:t>injuste ou tyrannique</w:t>
      </w:r>
      <w:r>
        <w:rPr>
          <w:rFonts w:cs="Times New Roman"/>
          <w:lang w:val="fr-CA"/>
        </w:rPr>
        <w:t> »</w:t>
      </w:r>
      <w:r w:rsidR="00161E89" w:rsidRPr="005400EB">
        <w:rPr>
          <w:rFonts w:cs="Times New Roman"/>
          <w:lang w:val="fr-CA"/>
        </w:rPr>
        <w:t xml:space="preserve"> au sens du par.</w:t>
      </w:r>
      <w:r>
        <w:rPr>
          <w:rFonts w:cs="Times New Roman"/>
          <w:lang w:val="fr-CA"/>
        </w:rPr>
        <w:t xml:space="preserve"> </w:t>
      </w:r>
      <w:r w:rsidR="00161E89" w:rsidRPr="005400EB">
        <w:rPr>
          <w:rFonts w:cs="Times New Roman"/>
          <w:lang w:val="fr-CA"/>
        </w:rPr>
        <w:t xml:space="preserve">44(1) de la </w:t>
      </w:r>
      <w:r w:rsidR="00161E89" w:rsidRPr="005400EB">
        <w:rPr>
          <w:rFonts w:cs="Times New Roman"/>
          <w:i/>
          <w:lang w:val="fr-CA"/>
        </w:rPr>
        <w:t>Loi sur l’extradition</w:t>
      </w:r>
      <w:r w:rsidR="00161E89" w:rsidRPr="005400EB">
        <w:rPr>
          <w:rFonts w:cs="Times New Roman"/>
          <w:lang w:val="fr-CA"/>
        </w:rPr>
        <w:t>, L.C. 1999, c.</w:t>
      </w:r>
      <w:r>
        <w:rPr>
          <w:rFonts w:cs="Times New Roman"/>
          <w:lang w:val="fr-CA"/>
        </w:rPr>
        <w:t xml:space="preserve"> </w:t>
      </w:r>
      <w:r w:rsidR="00161E89" w:rsidRPr="005400EB">
        <w:rPr>
          <w:rFonts w:cs="Times New Roman"/>
          <w:lang w:val="fr-CA"/>
        </w:rPr>
        <w:t xml:space="preserve">18. À notre avis, la Cour d’appel n’a pas eu tort de conclure que le ministre pouvait raisonnablement ordonner l’extradition (2013 QCCA 1305). Comme nous l’expliquons dans le pourvoi connexe </w:t>
      </w:r>
      <w:r w:rsidR="00161E89" w:rsidRPr="005400EB">
        <w:rPr>
          <w:rFonts w:cs="Times New Roman"/>
          <w:i/>
          <w:lang w:val="fr-CA"/>
        </w:rPr>
        <w:t>Canada (Procureur général) c. Barnaby</w:t>
      </w:r>
      <w:r w:rsidR="00161E89" w:rsidRPr="005400EB">
        <w:rPr>
          <w:rFonts w:cs="Times New Roman"/>
          <w:lang w:val="fr-CA"/>
        </w:rPr>
        <w:t>, 2015 CSC 31,</w:t>
      </w:r>
      <w:r w:rsidR="00C1405D">
        <w:rPr>
          <w:rFonts w:cs="Times New Roman"/>
          <w:lang w:val="fr-CA"/>
        </w:rPr>
        <w:t xml:space="preserve"> [2015] 2 R.C.S. </w:t>
      </w:r>
      <w:r w:rsidR="00805B59">
        <w:rPr>
          <w:rFonts w:cs="Times New Roman"/>
          <w:lang w:val="fr-CA"/>
        </w:rPr>
        <w:t>56</w:t>
      </w:r>
      <w:r w:rsidR="00EF69B6">
        <w:rPr>
          <w:rFonts w:cs="Times New Roman"/>
          <w:lang w:val="fr-CA"/>
        </w:rPr>
        <w:t>3</w:t>
      </w:r>
      <w:r w:rsidR="00C1405D">
        <w:rPr>
          <w:rFonts w:cs="Times New Roman"/>
          <w:lang w:val="fr-CA"/>
        </w:rPr>
        <w:t>,</w:t>
      </w:r>
      <w:r w:rsidR="00161E89" w:rsidRPr="005400EB">
        <w:rPr>
          <w:rFonts w:cs="Times New Roman"/>
          <w:lang w:val="fr-CA"/>
        </w:rPr>
        <w:t xml:space="preserve"> le ministre devait essentiellement se demander si le </w:t>
      </w:r>
      <w:r>
        <w:rPr>
          <w:rFonts w:cs="Times New Roman"/>
          <w:lang w:val="fr-CA"/>
        </w:rPr>
        <w:t>« </w:t>
      </w:r>
      <w:r w:rsidR="00161E89" w:rsidRPr="005400EB">
        <w:rPr>
          <w:rFonts w:cs="Times New Roman"/>
          <w:lang w:val="fr-CA"/>
        </w:rPr>
        <w:t>traitement donné</w:t>
      </w:r>
      <w:r>
        <w:rPr>
          <w:rFonts w:cs="Times New Roman"/>
          <w:lang w:val="fr-CA"/>
        </w:rPr>
        <w:t> »</w:t>
      </w:r>
      <w:r w:rsidR="00161E89" w:rsidRPr="005400EB">
        <w:rPr>
          <w:rFonts w:cs="Times New Roman"/>
          <w:lang w:val="fr-CA"/>
        </w:rPr>
        <w:t xml:space="preserve"> qui attendait M.</w:t>
      </w:r>
      <w:r>
        <w:rPr>
          <w:rFonts w:cs="Times New Roman"/>
          <w:lang w:val="fr-CA"/>
        </w:rPr>
        <w:t xml:space="preserve"> </w:t>
      </w:r>
      <w:proofErr w:type="spellStart"/>
      <w:r w:rsidR="00161E89" w:rsidRPr="005400EB">
        <w:rPr>
          <w:rFonts w:cs="Times New Roman"/>
          <w:lang w:val="fr-CA"/>
        </w:rPr>
        <w:t>Caplin</w:t>
      </w:r>
      <w:proofErr w:type="spellEnd"/>
      <w:r w:rsidR="00161E89" w:rsidRPr="005400EB">
        <w:rPr>
          <w:rFonts w:cs="Times New Roman"/>
          <w:lang w:val="fr-CA"/>
        </w:rPr>
        <w:t xml:space="preserve"> s’il était extradé au New Hampshire </w:t>
      </w:r>
      <w:r w:rsidR="00161E89" w:rsidRPr="005400EB">
        <w:rPr>
          <w:rFonts w:cs="Times New Roman"/>
          <w:lang w:val="fr-CA"/>
        </w:rPr>
        <w:lastRenderedPageBreak/>
        <w:t>contrevenait aux principes canadiens de justice fondamentale (</w:t>
      </w:r>
      <w:r w:rsidR="00161E89" w:rsidRPr="005400EB">
        <w:rPr>
          <w:rFonts w:cs="Times New Roman"/>
          <w:i/>
          <w:lang w:val="fr-CA"/>
        </w:rPr>
        <w:t>États</w:t>
      </w:r>
      <w:r>
        <w:rPr>
          <w:rFonts w:cs="Times New Roman"/>
          <w:i/>
          <w:lang w:val="fr-CA"/>
        </w:rPr>
        <w:t>-</w:t>
      </w:r>
      <w:r w:rsidR="00161E89" w:rsidRPr="005400EB">
        <w:rPr>
          <w:rFonts w:cs="Times New Roman"/>
          <w:i/>
          <w:lang w:val="fr-CA"/>
        </w:rPr>
        <w:t>Unis c. Burns</w:t>
      </w:r>
      <w:r w:rsidR="00161E89" w:rsidRPr="005400EB">
        <w:rPr>
          <w:rFonts w:cs="Times New Roman"/>
          <w:lang w:val="fr-CA"/>
        </w:rPr>
        <w:t>, 2001 CSC 7, [2001] 1 R.C.S. 283, par.</w:t>
      </w:r>
      <w:r>
        <w:rPr>
          <w:rFonts w:cs="Times New Roman"/>
          <w:lang w:val="fr-CA"/>
        </w:rPr>
        <w:t xml:space="preserve"> </w:t>
      </w:r>
      <w:r w:rsidR="00161E89" w:rsidRPr="005400EB">
        <w:rPr>
          <w:rFonts w:cs="Times New Roman"/>
          <w:lang w:val="fr-CA"/>
        </w:rPr>
        <w:t xml:space="preserve">69). Il appert des documents soumis que les tribunaux du New Hampshire détermineront si, eu égard à l’ensemble des circonstances, la tenue d’un procès est juste et équitable conformément à des principes qui sont foncièrement équivalents à ceux que les tribunaux canadiens appliqueraient si l’affaire avait pris naissance au Canada. Cette démarche n’est pas contraire, mais bien conforme, à la justice fondamentale telle que nous la concevons. </w:t>
      </w:r>
    </w:p>
    <w:p w:rsidR="00161E89" w:rsidRPr="005400EB" w:rsidRDefault="00161E89" w:rsidP="00C43631">
      <w:pPr>
        <w:pStyle w:val="ParaNoNdepar-AltN"/>
        <w:widowControl w:val="0"/>
        <w:rPr>
          <w:rFonts w:cs="Times New Roman"/>
          <w:lang w:val="fr-CA"/>
        </w:rPr>
      </w:pPr>
      <w:r w:rsidRPr="005400EB">
        <w:rPr>
          <w:rFonts w:cs="Times New Roman"/>
          <w:lang w:val="fr-CA"/>
        </w:rPr>
        <w:t>Selon M.</w:t>
      </w:r>
      <w:r w:rsidR="00C43631">
        <w:rPr>
          <w:rFonts w:cs="Times New Roman"/>
          <w:lang w:val="fr-CA"/>
        </w:rPr>
        <w:t xml:space="preserve"> </w:t>
      </w:r>
      <w:proofErr w:type="spellStart"/>
      <w:r w:rsidRPr="005400EB">
        <w:rPr>
          <w:rFonts w:cs="Times New Roman"/>
          <w:lang w:val="fr-CA"/>
        </w:rPr>
        <w:t>Caplin</w:t>
      </w:r>
      <w:proofErr w:type="spellEnd"/>
      <w:r w:rsidRPr="005400EB">
        <w:rPr>
          <w:rFonts w:cs="Times New Roman"/>
          <w:lang w:val="fr-CA"/>
        </w:rPr>
        <w:t xml:space="preserve">, il n’existe aucune preuve nouvelle. Il allègue certaines faiblesses de la preuve génétique et soutient que, dans les faits, la preuve testimoniale n’est pas nouvelle. Il ajoute que, de toute façon, la valeur probante de la preuve </w:t>
      </w:r>
      <w:r w:rsidR="00C43631">
        <w:rPr>
          <w:rFonts w:cs="Times New Roman"/>
          <w:lang w:val="fr-CA"/>
        </w:rPr>
        <w:t>« </w:t>
      </w:r>
      <w:r w:rsidRPr="005400EB">
        <w:rPr>
          <w:rFonts w:cs="Times New Roman"/>
          <w:lang w:val="fr-CA"/>
        </w:rPr>
        <w:t>nouvelle</w:t>
      </w:r>
      <w:r w:rsidR="00C43631">
        <w:rPr>
          <w:rFonts w:cs="Times New Roman"/>
          <w:lang w:val="fr-CA"/>
        </w:rPr>
        <w:t> »</w:t>
      </w:r>
      <w:r w:rsidRPr="005400EB">
        <w:rPr>
          <w:rFonts w:cs="Times New Roman"/>
          <w:lang w:val="fr-CA"/>
        </w:rPr>
        <w:t xml:space="preserve"> est limitée en ce qu’elle n’établit pas sa culpabilité de manière concluante. De plus, le temps écoulé depuis la perpétration des crimes lui infligerait un préjudice qui justifie le refus de son extradition. </w:t>
      </w:r>
    </w:p>
    <w:p w:rsidR="00161E89" w:rsidRPr="005400EB" w:rsidRDefault="00161E89" w:rsidP="00C43631">
      <w:pPr>
        <w:pStyle w:val="ParaNoNdepar-AltN"/>
        <w:widowControl w:val="0"/>
        <w:rPr>
          <w:rFonts w:cs="Times New Roman"/>
          <w:lang w:val="fr-CA"/>
        </w:rPr>
      </w:pPr>
      <w:r w:rsidRPr="005400EB">
        <w:rPr>
          <w:rFonts w:cs="Times New Roman"/>
          <w:lang w:val="fr-CA"/>
        </w:rPr>
        <w:t xml:space="preserve">Ces arguments ne nous convainquent pas. À notre avis, le ministre pouvait raisonnablement conclure que permettre aux tribunaux du New Hampshire de se prononcer sur ces points — au lieu de les en empêcher en refusant l’extradition — ne choquerait pas la conscience et ne serait pas par ailleurs injuste ou tyrannique. Il appartient généralement au tribunal étranger de statuer sur l’application régulière de la loi, y compris les prétentions relatives au temps écoulé. Comme l’a affirmé la Cour dans l’arrêt </w:t>
      </w:r>
      <w:r w:rsidRPr="005400EB">
        <w:rPr>
          <w:rFonts w:cs="Times New Roman"/>
          <w:i/>
          <w:lang w:val="fr-CA"/>
        </w:rPr>
        <w:t xml:space="preserve">Argentine c. </w:t>
      </w:r>
      <w:proofErr w:type="spellStart"/>
      <w:r w:rsidRPr="005400EB">
        <w:rPr>
          <w:rFonts w:cs="Times New Roman"/>
          <w:i/>
          <w:lang w:val="fr-CA"/>
        </w:rPr>
        <w:t>Mellino</w:t>
      </w:r>
      <w:proofErr w:type="spellEnd"/>
      <w:r w:rsidRPr="005400EB">
        <w:rPr>
          <w:rFonts w:cs="Times New Roman"/>
          <w:lang w:val="fr-CA"/>
        </w:rPr>
        <w:t>, [1987] 1 R.C.S. 536, p.</w:t>
      </w:r>
      <w:r w:rsidR="00C43631">
        <w:rPr>
          <w:rFonts w:cs="Times New Roman"/>
          <w:lang w:val="fr-CA"/>
        </w:rPr>
        <w:t xml:space="preserve"> </w:t>
      </w:r>
      <w:r w:rsidRPr="005400EB">
        <w:rPr>
          <w:rFonts w:cs="Times New Roman"/>
          <w:lang w:val="fr-CA"/>
        </w:rPr>
        <w:t>558</w:t>
      </w:r>
      <w:r w:rsidR="00C43631">
        <w:rPr>
          <w:rFonts w:cs="Times New Roman"/>
          <w:lang w:val="fr-CA"/>
        </w:rPr>
        <w:t> :</w:t>
      </w:r>
      <w:r w:rsidRPr="005400EB">
        <w:rPr>
          <w:rFonts w:cs="Times New Roman"/>
          <w:lang w:val="fr-CA"/>
        </w:rPr>
        <w:t xml:space="preserve"> </w:t>
      </w:r>
    </w:p>
    <w:p w:rsidR="00161E89" w:rsidRPr="005400EB" w:rsidRDefault="00161E89" w:rsidP="00C43631">
      <w:pPr>
        <w:pStyle w:val="Citation-AltC"/>
        <w:widowControl w:val="0"/>
        <w:ind w:hanging="1166"/>
        <w:contextualSpacing w:val="0"/>
        <w:rPr>
          <w:lang w:val="fr-CA"/>
        </w:rPr>
      </w:pPr>
      <w:r w:rsidRPr="005400EB">
        <w:rPr>
          <w:lang w:val="fr-CA"/>
        </w:rPr>
        <w:tab/>
        <w:t xml:space="preserve">En règle générale, les questions touchant le caractère équitable des </w:t>
      </w:r>
      <w:r w:rsidRPr="005400EB">
        <w:rPr>
          <w:lang w:val="fr-CA"/>
        </w:rPr>
        <w:lastRenderedPageBreak/>
        <w:t xml:space="preserve">procédures [ou l’application régulière de la loi] doivent y être tranchées par les tribunaux à l’étape du procès, de la même manière qu’elles le seraient si le procès avait lieu ici. Toute tentative de préjuger de telles questions, que ce soit par suite d’un retard ou pour d’autres raisons, entrerait directement en conflit avec les principes de courtoisie qui sont à la base de l’extradition </w:t>
      </w:r>
      <w:r w:rsidR="00C43631">
        <w:rPr>
          <w:lang w:val="fr-CA"/>
        </w:rPr>
        <w:t>. . .</w:t>
      </w:r>
    </w:p>
    <w:p w:rsidR="00161E89" w:rsidRDefault="00161E89" w:rsidP="00C43631">
      <w:pPr>
        <w:pStyle w:val="ParaNoNdepar-AltN"/>
        <w:widowControl w:val="0"/>
        <w:rPr>
          <w:rFonts w:cs="Times New Roman"/>
          <w:lang w:val="fr-CA"/>
        </w:rPr>
      </w:pPr>
      <w:r w:rsidRPr="005400EB">
        <w:rPr>
          <w:rFonts w:cs="Times New Roman"/>
          <w:lang w:val="fr-CA"/>
        </w:rPr>
        <w:t xml:space="preserve">Le ministre a examiné toutes les circonstances pertinentes, dont l’importance de la collaboration internationale en matière d’extradition. Au vu de toutes ces considérations, il pouvait raisonnablement conclure qu’il ne serait ni contraire aux principes canadiens de justice fondamentale, ni par ailleurs injuste ou tyrannique de laisser aux tribunaux du New Hampshire le soin de décider de tenir ou non un procès. Nous sommes donc d’avis de confirmer la décision de la Cour d’appel qui maintient l’arrêté d’extradition. Le pourvoi est rejeté. </w:t>
      </w:r>
    </w:p>
    <w:p w:rsidR="00C1405D" w:rsidRPr="005400EB" w:rsidRDefault="00C1405D" w:rsidP="00C1405D">
      <w:pPr>
        <w:pStyle w:val="SCCLawFirm"/>
        <w:widowControl w:val="0"/>
        <w:spacing w:after="480"/>
        <w:rPr>
          <w:lang w:val="fr-CA"/>
        </w:rPr>
      </w:pPr>
      <w:r>
        <w:rPr>
          <w:lang w:val="fr-CA"/>
        </w:rPr>
        <w:tab/>
        <w:t>Pourvoi rejeté.</w:t>
      </w:r>
    </w:p>
    <w:p w:rsidR="0020366B" w:rsidRPr="002C155C" w:rsidRDefault="003518FF" w:rsidP="00C43631">
      <w:pPr>
        <w:pStyle w:val="SCCLawFirm"/>
        <w:widowControl w:val="0"/>
        <w:spacing w:after="480"/>
        <w:rPr>
          <w:lang w:val="fr-CA"/>
        </w:rPr>
      </w:pPr>
      <w:r w:rsidRPr="002C155C">
        <w:rPr>
          <w:lang w:val="fr-CA"/>
        </w:rPr>
        <w:tab/>
        <w:t>Procureurs de l</w:t>
      </w:r>
      <w:r w:rsidR="00031025" w:rsidRPr="002C155C">
        <w:rPr>
          <w:lang w:val="fr-CA"/>
        </w:rPr>
        <w:t>’</w:t>
      </w:r>
      <w:r w:rsidRPr="002C155C">
        <w:rPr>
          <w:lang w:val="fr-CA"/>
        </w:rPr>
        <w:t>appelant</w:t>
      </w:r>
      <w:r w:rsidR="00C43631">
        <w:rPr>
          <w:lang w:val="fr-CA"/>
        </w:rPr>
        <w:t xml:space="preserve"> : </w:t>
      </w:r>
      <w:r w:rsidRPr="002C155C">
        <w:rPr>
          <w:lang w:val="fr-CA"/>
        </w:rPr>
        <w:t xml:space="preserve">Véronique </w:t>
      </w:r>
      <w:proofErr w:type="spellStart"/>
      <w:r w:rsidRPr="002C155C">
        <w:rPr>
          <w:lang w:val="fr-CA"/>
        </w:rPr>
        <w:t>Courtecuisse</w:t>
      </w:r>
      <w:proofErr w:type="spellEnd"/>
      <w:r w:rsidRPr="002C155C">
        <w:rPr>
          <w:lang w:val="fr-CA"/>
        </w:rPr>
        <w:t>, Montréal</w:t>
      </w:r>
      <w:r w:rsidR="00262736" w:rsidRPr="002C155C">
        <w:rPr>
          <w:lang w:val="fr-CA"/>
        </w:rPr>
        <w:t xml:space="preserve">; Patrick </w:t>
      </w:r>
      <w:proofErr w:type="spellStart"/>
      <w:r w:rsidR="00262736" w:rsidRPr="002C155C">
        <w:rPr>
          <w:lang w:val="fr-CA"/>
        </w:rPr>
        <w:t>Cozannet</w:t>
      </w:r>
      <w:proofErr w:type="spellEnd"/>
      <w:r w:rsidR="00262736" w:rsidRPr="002C155C">
        <w:rPr>
          <w:lang w:val="fr-CA"/>
        </w:rPr>
        <w:t>, Longueuil</w:t>
      </w:r>
      <w:r w:rsidRPr="002C155C">
        <w:rPr>
          <w:lang w:val="fr-CA"/>
        </w:rPr>
        <w:t>.</w:t>
      </w:r>
    </w:p>
    <w:p w:rsidR="0020366B" w:rsidRPr="002C155C" w:rsidRDefault="003518FF" w:rsidP="00C43631">
      <w:pPr>
        <w:pStyle w:val="SCCLawFirm"/>
        <w:widowControl w:val="0"/>
        <w:spacing w:after="480"/>
        <w:rPr>
          <w:lang w:val="fr-CA"/>
        </w:rPr>
      </w:pPr>
      <w:r w:rsidRPr="002C155C">
        <w:rPr>
          <w:lang w:val="fr-CA"/>
        </w:rPr>
        <w:tab/>
        <w:t>Procureur de l</w:t>
      </w:r>
      <w:r w:rsidR="00031025" w:rsidRPr="002C155C">
        <w:rPr>
          <w:lang w:val="fr-CA"/>
        </w:rPr>
        <w:t>’intimé</w:t>
      </w:r>
      <w:r w:rsidR="00C43631">
        <w:rPr>
          <w:lang w:val="fr-CA"/>
        </w:rPr>
        <w:t xml:space="preserve"> : </w:t>
      </w:r>
      <w:r w:rsidRPr="002C155C">
        <w:rPr>
          <w:lang w:val="fr-CA"/>
        </w:rPr>
        <w:t>Procureur général du Canada, Montréal.</w:t>
      </w:r>
    </w:p>
    <w:sectPr w:rsidR="0020366B" w:rsidRPr="002C155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B2" w:rsidRDefault="00C26DB2">
      <w:r>
        <w:separator/>
      </w:r>
    </w:p>
  </w:endnote>
  <w:endnote w:type="continuationSeparator" w:id="0">
    <w:p w:rsidR="00C26DB2" w:rsidRDefault="00C2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54C" w:rsidRDefault="00B52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54C" w:rsidRDefault="00B52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54C" w:rsidRDefault="00B52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B2" w:rsidRDefault="00C26DB2">
      <w:r>
        <w:separator/>
      </w:r>
    </w:p>
  </w:footnote>
  <w:footnote w:type="continuationSeparator" w:id="0">
    <w:p w:rsidR="00C26DB2" w:rsidRDefault="00C26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54C" w:rsidRDefault="00B52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54C" w:rsidRDefault="00B52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23FC7"/>
    <w:rsid w:val="00025198"/>
    <w:rsid w:val="00031025"/>
    <w:rsid w:val="000578A3"/>
    <w:rsid w:val="000648CC"/>
    <w:rsid w:val="000A332E"/>
    <w:rsid w:val="000C59B8"/>
    <w:rsid w:val="000C6AF0"/>
    <w:rsid w:val="000D0A77"/>
    <w:rsid w:val="000F367B"/>
    <w:rsid w:val="000F7993"/>
    <w:rsid w:val="00104F33"/>
    <w:rsid w:val="00111DE2"/>
    <w:rsid w:val="00116B38"/>
    <w:rsid w:val="00135406"/>
    <w:rsid w:val="00135972"/>
    <w:rsid w:val="001426A9"/>
    <w:rsid w:val="00154D7C"/>
    <w:rsid w:val="001570B0"/>
    <w:rsid w:val="0015752C"/>
    <w:rsid w:val="00157737"/>
    <w:rsid w:val="00160F7F"/>
    <w:rsid w:val="00161E89"/>
    <w:rsid w:val="00165277"/>
    <w:rsid w:val="00170592"/>
    <w:rsid w:val="001720F7"/>
    <w:rsid w:val="00173DBA"/>
    <w:rsid w:val="00195D83"/>
    <w:rsid w:val="001A00C1"/>
    <w:rsid w:val="001B33E0"/>
    <w:rsid w:val="001B4573"/>
    <w:rsid w:val="001C779F"/>
    <w:rsid w:val="001D2AC1"/>
    <w:rsid w:val="001D4E88"/>
    <w:rsid w:val="001E088C"/>
    <w:rsid w:val="0020366B"/>
    <w:rsid w:val="00213179"/>
    <w:rsid w:val="00220FC2"/>
    <w:rsid w:val="002222F4"/>
    <w:rsid w:val="00224FC0"/>
    <w:rsid w:val="002252FE"/>
    <w:rsid w:val="00225EA4"/>
    <w:rsid w:val="00226EAF"/>
    <w:rsid w:val="00231F3A"/>
    <w:rsid w:val="00232A57"/>
    <w:rsid w:val="002406EE"/>
    <w:rsid w:val="00243EC8"/>
    <w:rsid w:val="002476D3"/>
    <w:rsid w:val="00262736"/>
    <w:rsid w:val="00270D93"/>
    <w:rsid w:val="002745CC"/>
    <w:rsid w:val="002B6FBE"/>
    <w:rsid w:val="002B7924"/>
    <w:rsid w:val="002C10A6"/>
    <w:rsid w:val="002C155C"/>
    <w:rsid w:val="002D28C3"/>
    <w:rsid w:val="002D39A4"/>
    <w:rsid w:val="002E6705"/>
    <w:rsid w:val="0030329A"/>
    <w:rsid w:val="0031086F"/>
    <w:rsid w:val="0031414C"/>
    <w:rsid w:val="00314E01"/>
    <w:rsid w:val="0032089D"/>
    <w:rsid w:val="00324212"/>
    <w:rsid w:val="003310DE"/>
    <w:rsid w:val="003323B0"/>
    <w:rsid w:val="00340A49"/>
    <w:rsid w:val="0035169A"/>
    <w:rsid w:val="003518FF"/>
    <w:rsid w:val="0035259D"/>
    <w:rsid w:val="00364B18"/>
    <w:rsid w:val="003A125D"/>
    <w:rsid w:val="003A4C70"/>
    <w:rsid w:val="003B12BA"/>
    <w:rsid w:val="003B215F"/>
    <w:rsid w:val="003C799C"/>
    <w:rsid w:val="003D0399"/>
    <w:rsid w:val="003D315C"/>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55291"/>
    <w:rsid w:val="00566AD1"/>
    <w:rsid w:val="00583EDE"/>
    <w:rsid w:val="0058486E"/>
    <w:rsid w:val="005A6079"/>
    <w:rsid w:val="005A7BE5"/>
    <w:rsid w:val="005E4698"/>
    <w:rsid w:val="00603924"/>
    <w:rsid w:val="00610539"/>
    <w:rsid w:val="00613969"/>
    <w:rsid w:val="00625C35"/>
    <w:rsid w:val="006373FD"/>
    <w:rsid w:val="00647E49"/>
    <w:rsid w:val="00656313"/>
    <w:rsid w:val="006565F4"/>
    <w:rsid w:val="00684EEA"/>
    <w:rsid w:val="0069689B"/>
    <w:rsid w:val="006B5FF5"/>
    <w:rsid w:val="006F30AF"/>
    <w:rsid w:val="00701759"/>
    <w:rsid w:val="00705C15"/>
    <w:rsid w:val="007110F6"/>
    <w:rsid w:val="007208D1"/>
    <w:rsid w:val="00744518"/>
    <w:rsid w:val="00747288"/>
    <w:rsid w:val="00747DD3"/>
    <w:rsid w:val="007549C8"/>
    <w:rsid w:val="00763AD2"/>
    <w:rsid w:val="00766D14"/>
    <w:rsid w:val="00767A0F"/>
    <w:rsid w:val="00791272"/>
    <w:rsid w:val="007A05F6"/>
    <w:rsid w:val="007B6F4A"/>
    <w:rsid w:val="007C28DA"/>
    <w:rsid w:val="007E1C47"/>
    <w:rsid w:val="007E2174"/>
    <w:rsid w:val="007E337A"/>
    <w:rsid w:val="007E5C70"/>
    <w:rsid w:val="007F2FF5"/>
    <w:rsid w:val="007F3F08"/>
    <w:rsid w:val="00804CC6"/>
    <w:rsid w:val="00805B59"/>
    <w:rsid w:val="00817190"/>
    <w:rsid w:val="008260E2"/>
    <w:rsid w:val="008322BD"/>
    <w:rsid w:val="00834C81"/>
    <w:rsid w:val="00834F73"/>
    <w:rsid w:val="00847F7E"/>
    <w:rsid w:val="00856C1C"/>
    <w:rsid w:val="00864C8A"/>
    <w:rsid w:val="00864CF8"/>
    <w:rsid w:val="00865CFD"/>
    <w:rsid w:val="00874914"/>
    <w:rsid w:val="00874A0A"/>
    <w:rsid w:val="00891422"/>
    <w:rsid w:val="00892E1A"/>
    <w:rsid w:val="008B660A"/>
    <w:rsid w:val="008C01DA"/>
    <w:rsid w:val="008F2674"/>
    <w:rsid w:val="008F4156"/>
    <w:rsid w:val="008F78E9"/>
    <w:rsid w:val="009179F9"/>
    <w:rsid w:val="00917C7A"/>
    <w:rsid w:val="0093022A"/>
    <w:rsid w:val="00933E5E"/>
    <w:rsid w:val="00935218"/>
    <w:rsid w:val="00937C52"/>
    <w:rsid w:val="009403F3"/>
    <w:rsid w:val="009555B7"/>
    <w:rsid w:val="009567AA"/>
    <w:rsid w:val="009602C9"/>
    <w:rsid w:val="00967374"/>
    <w:rsid w:val="009A343A"/>
    <w:rsid w:val="009A50A1"/>
    <w:rsid w:val="009B2F23"/>
    <w:rsid w:val="009B57B3"/>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94B6D"/>
    <w:rsid w:val="00AB670D"/>
    <w:rsid w:val="00AF03C5"/>
    <w:rsid w:val="00B000D8"/>
    <w:rsid w:val="00B00F75"/>
    <w:rsid w:val="00B109BF"/>
    <w:rsid w:val="00B145B6"/>
    <w:rsid w:val="00B279EB"/>
    <w:rsid w:val="00B50C81"/>
    <w:rsid w:val="00B5254C"/>
    <w:rsid w:val="00B557F8"/>
    <w:rsid w:val="00B67D7E"/>
    <w:rsid w:val="00B7608F"/>
    <w:rsid w:val="00B815FC"/>
    <w:rsid w:val="00B93FBC"/>
    <w:rsid w:val="00B93FF6"/>
    <w:rsid w:val="00BA7DA0"/>
    <w:rsid w:val="00BB2EE4"/>
    <w:rsid w:val="00BB4C92"/>
    <w:rsid w:val="00BC2108"/>
    <w:rsid w:val="00BD0E9E"/>
    <w:rsid w:val="00BD1BEC"/>
    <w:rsid w:val="00BD32FF"/>
    <w:rsid w:val="00BF6FE9"/>
    <w:rsid w:val="00C02092"/>
    <w:rsid w:val="00C1405D"/>
    <w:rsid w:val="00C24D91"/>
    <w:rsid w:val="00C26DB2"/>
    <w:rsid w:val="00C43631"/>
    <w:rsid w:val="00C53F14"/>
    <w:rsid w:val="00C600CF"/>
    <w:rsid w:val="00C6084F"/>
    <w:rsid w:val="00C62A66"/>
    <w:rsid w:val="00C66359"/>
    <w:rsid w:val="00C71458"/>
    <w:rsid w:val="00C77613"/>
    <w:rsid w:val="00C828E7"/>
    <w:rsid w:val="00C86719"/>
    <w:rsid w:val="00C921DD"/>
    <w:rsid w:val="00CA6391"/>
    <w:rsid w:val="00CC7503"/>
    <w:rsid w:val="00CE036E"/>
    <w:rsid w:val="00CE3171"/>
    <w:rsid w:val="00CF1601"/>
    <w:rsid w:val="00D0172F"/>
    <w:rsid w:val="00D01E33"/>
    <w:rsid w:val="00D05995"/>
    <w:rsid w:val="00D068A7"/>
    <w:rsid w:val="00D17476"/>
    <w:rsid w:val="00D23EFC"/>
    <w:rsid w:val="00D32086"/>
    <w:rsid w:val="00D37A3F"/>
    <w:rsid w:val="00D4431D"/>
    <w:rsid w:val="00D4667A"/>
    <w:rsid w:val="00D63A1C"/>
    <w:rsid w:val="00D7516F"/>
    <w:rsid w:val="00D950FC"/>
    <w:rsid w:val="00D95F8E"/>
    <w:rsid w:val="00DA0590"/>
    <w:rsid w:val="00DB196E"/>
    <w:rsid w:val="00DC1739"/>
    <w:rsid w:val="00DC1788"/>
    <w:rsid w:val="00DD42ED"/>
    <w:rsid w:val="00DE319C"/>
    <w:rsid w:val="00DF0CA8"/>
    <w:rsid w:val="00DF2B48"/>
    <w:rsid w:val="00DF49A7"/>
    <w:rsid w:val="00E07EE2"/>
    <w:rsid w:val="00E07FD1"/>
    <w:rsid w:val="00E24573"/>
    <w:rsid w:val="00E25E1E"/>
    <w:rsid w:val="00E27281"/>
    <w:rsid w:val="00E27EE7"/>
    <w:rsid w:val="00E35404"/>
    <w:rsid w:val="00E45109"/>
    <w:rsid w:val="00E47B7A"/>
    <w:rsid w:val="00E56A44"/>
    <w:rsid w:val="00E60269"/>
    <w:rsid w:val="00E75550"/>
    <w:rsid w:val="00E81AEA"/>
    <w:rsid w:val="00E97830"/>
    <w:rsid w:val="00EE0830"/>
    <w:rsid w:val="00EE0D9C"/>
    <w:rsid w:val="00EE6CB8"/>
    <w:rsid w:val="00EF0683"/>
    <w:rsid w:val="00EF69B6"/>
    <w:rsid w:val="00F0070C"/>
    <w:rsid w:val="00F00EB7"/>
    <w:rsid w:val="00F0764B"/>
    <w:rsid w:val="00F36AB6"/>
    <w:rsid w:val="00F37A09"/>
    <w:rsid w:val="00F409CE"/>
    <w:rsid w:val="00F4379D"/>
    <w:rsid w:val="00F50D2D"/>
    <w:rsid w:val="00F56C8B"/>
    <w:rsid w:val="00F62639"/>
    <w:rsid w:val="00F66810"/>
    <w:rsid w:val="00F84DF4"/>
    <w:rsid w:val="00F85C97"/>
    <w:rsid w:val="00FB37D2"/>
    <w:rsid w:val="00FC1734"/>
    <w:rsid w:val="00FC4EFB"/>
    <w:rsid w:val="00FD068D"/>
    <w:rsid w:val="00FD4ED3"/>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Coram">
    <w:name w:val="SCC.Coram"/>
    <w:basedOn w:val="Normal"/>
    <w:next w:val="Normal"/>
    <w:link w:val="SCCCoramChar"/>
    <w:rsid w:val="00161E8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61E89"/>
    <w:rPr>
      <w:rFonts w:eastAsiaTheme="minorHAnsi" w:cstheme="minorBidi"/>
      <w:sz w:val="24"/>
      <w:szCs w:val="22"/>
      <w:lang w:eastAsia="en-US"/>
    </w:rPr>
  </w:style>
  <w:style w:type="table" w:styleId="TableGrid">
    <w:name w:val="Table Grid"/>
    <w:basedOn w:val="TableNormal"/>
    <w:uiPriority w:val="59"/>
    <w:rsid w:val="00161E8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61E89"/>
    <w:pPr>
      <w:spacing w:after="720"/>
      <w:ind w:left="1166"/>
      <w:contextualSpacing/>
      <w:jc w:val="both"/>
    </w:pPr>
    <w:rPr>
      <w:sz w:val="24"/>
      <w:szCs w:val="24"/>
    </w:rPr>
  </w:style>
  <w:style w:type="paragraph" w:customStyle="1" w:styleId="JudgeJuge">
    <w:name w:val="Judge / Juge"/>
    <w:uiPriority w:val="3"/>
    <w:rsid w:val="00161E89"/>
    <w:pPr>
      <w:tabs>
        <w:tab w:val="left" w:pos="1166"/>
      </w:tabs>
      <w:spacing w:after="480" w:line="480" w:lineRule="auto"/>
    </w:pPr>
    <w:rPr>
      <w:smallCaps/>
      <w:sz w:val="24"/>
      <w:szCs w:val="24"/>
    </w:rPr>
  </w:style>
  <w:style w:type="paragraph" w:customStyle="1" w:styleId="ParaNoNdepar-AltN">
    <w:name w:val="Para. No. / Nº de par. - Alt N"/>
    <w:qFormat/>
    <w:rsid w:val="00161E89"/>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SCCLsocPartyRoleChar">
    <w:name w:val="SCC.Lsoc.PartyRole Char"/>
    <w:basedOn w:val="DefaultParagraphFont"/>
    <w:rsid w:val="00E81AEA"/>
    <w:rPr>
      <w:lang w:val="fr-CA"/>
    </w:rPr>
  </w:style>
  <w:style w:type="paragraph" w:customStyle="1" w:styleId="SCCLsocPrefix">
    <w:name w:val="SCC.Lsoc.Prefix"/>
    <w:basedOn w:val="Normal"/>
    <w:next w:val="Normal"/>
    <w:link w:val="SCCLsocPrefixChar"/>
    <w:rsid w:val="00E81AE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81AEA"/>
    <w:rPr>
      <w:rFonts w:eastAsiaTheme="minorHAnsi" w:cstheme="minorBidi"/>
      <w:b/>
      <w:smallCaps/>
      <w:sz w:val="24"/>
      <w:szCs w:val="24"/>
      <w:lang w:val="fr-CA" w:eastAsia="en-US"/>
    </w:rPr>
  </w:style>
  <w:style w:type="paragraph" w:customStyle="1" w:styleId="SCCHearingJudgmentDatesText">
    <w:name w:val="SCC.HearingJudgmentDatesText"/>
    <w:basedOn w:val="Normal"/>
    <w:next w:val="Normal"/>
    <w:link w:val="SCCHearingJudgmentDatesTextChar"/>
    <w:rsid w:val="00E81AEA"/>
    <w:rPr>
      <w:rFonts w:eastAsiaTheme="minorHAnsi" w:cstheme="minorBidi"/>
      <w:szCs w:val="24"/>
      <w:lang w:val="fr-CA" w:eastAsia="en-US"/>
    </w:rPr>
  </w:style>
  <w:style w:type="character" w:customStyle="1" w:styleId="SCCHearingJudgmentDatesTextChar">
    <w:name w:val="SCC.HearingJudgmentDatesText Char"/>
    <w:basedOn w:val="DefaultParagraphFont"/>
    <w:link w:val="SCCHearingJudgmentDatesText"/>
    <w:rsid w:val="00E81AEA"/>
    <w:rPr>
      <w:rFonts w:eastAsiaTheme="minorHAnsi" w:cstheme="minorBidi"/>
      <w:sz w:val="24"/>
      <w:szCs w:val="24"/>
      <w:lang w:val="fr-CA" w:eastAsia="en-US"/>
    </w:rPr>
  </w:style>
  <w:style w:type="paragraph" w:customStyle="1" w:styleId="SCCHearingJudgmentDatesTitle">
    <w:name w:val="SCC.HearingJudgmentDatesTitle"/>
    <w:basedOn w:val="Normal"/>
    <w:next w:val="Normal"/>
    <w:link w:val="SCCHearingJudgmentDatesTitleChar"/>
    <w:rsid w:val="00E81AEA"/>
    <w:rPr>
      <w:rFonts w:eastAsiaTheme="minorHAnsi" w:cstheme="minorBidi"/>
      <w:b/>
      <w:smallCaps/>
      <w:szCs w:val="24"/>
      <w:lang w:val="fr-CA" w:eastAsia="en-US"/>
    </w:rPr>
  </w:style>
  <w:style w:type="character" w:customStyle="1" w:styleId="SCCHearingJudgmentDatesTitleChar">
    <w:name w:val="SCC.HearingJudgmentDatesTitle Char"/>
    <w:basedOn w:val="DefaultParagraphFont"/>
    <w:link w:val="SCCHearingJudgmentDatesTitle"/>
    <w:rsid w:val="00E81AEA"/>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581E9-4FE3-41A0-B8CA-FAADF80C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2015-06-02T21:08:00Z</dcterms:created>
  <dcterms:modified xsi:type="dcterms:W3CDTF">2015-11-13T14:53:00Z</dcterms:modified>
</cp:coreProperties>
</file>