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53" w:rsidRDefault="00C33753" w:rsidP="00C3375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28928" r:id="rId8"/>
        </w:object>
      </w:r>
      <w:r>
        <w:t xml:space="preserve"> </w:t>
      </w:r>
      <w:r>
        <w:ptab w:relativeTo="margin" w:alignment="right" w:leader="none"/>
      </w:r>
    </w:p>
    <w:p w:rsidR="00C33753" w:rsidRDefault="00C33753" w:rsidP="00C33753">
      <w:pPr>
        <w:pStyle w:val="Header"/>
      </w:pPr>
    </w:p>
    <w:p w:rsidR="00C33753" w:rsidRPr="001E12E2" w:rsidRDefault="00C33753" w:rsidP="00C33753">
      <w:pPr>
        <w:jc w:val="center"/>
        <w:rPr>
          <w:b/>
        </w:rPr>
      </w:pPr>
      <w:r w:rsidRPr="001E12E2">
        <w:rPr>
          <w:b/>
        </w:rPr>
        <w:t>COUR SUPRÊME DU CANADA</w:t>
      </w:r>
    </w:p>
    <w:p w:rsidR="00C33753" w:rsidRDefault="00C33753" w:rsidP="00C3375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C33753" w:rsidRPr="001E12E2" w:rsidTr="00865118">
        <w:trPr>
          <w:cantSplit/>
        </w:trPr>
        <w:tc>
          <w:tcPr>
            <w:tcW w:w="6768" w:type="dxa"/>
          </w:tcPr>
          <w:p w:rsidR="00C33753" w:rsidRPr="00C33753" w:rsidRDefault="00C33753" w:rsidP="00865118">
            <w:pPr>
              <w:rPr>
                <w:lang w:val="fr-CA"/>
              </w:rPr>
            </w:pPr>
            <w:r w:rsidRPr="00C33753">
              <w:rPr>
                <w:b/>
                <w:smallCaps/>
                <w:lang w:val="fr-CA"/>
              </w:rPr>
              <w:t>Référence :</w:t>
            </w:r>
            <w:r w:rsidRPr="00C33753">
              <w:rPr>
                <w:lang w:val="fr-CA"/>
              </w:rPr>
              <w:t xml:space="preserve"> R. </w:t>
            </w:r>
            <w:r w:rsidRPr="00C33753">
              <w:rPr>
                <w:i/>
                <w:lang w:val="fr-CA"/>
              </w:rPr>
              <w:t>c.</w:t>
            </w:r>
            <w:r w:rsidRPr="00C33753">
              <w:rPr>
                <w:lang w:val="fr-CA"/>
              </w:rPr>
              <w:t xml:space="preserve"> Smith, 2015 CSC 34, [2015] 2 R.C.S. 602</w:t>
            </w:r>
            <w:bookmarkStart w:id="0" w:name="_GoBack"/>
            <w:bookmarkEnd w:id="0"/>
          </w:p>
        </w:tc>
        <w:tc>
          <w:tcPr>
            <w:tcW w:w="2808" w:type="dxa"/>
          </w:tcPr>
          <w:p w:rsidR="00C33753" w:rsidRPr="001E12E2" w:rsidRDefault="00C33753" w:rsidP="00865118">
            <w:r w:rsidRPr="001E12E2">
              <w:rPr>
                <w:b/>
                <w:smallCaps/>
              </w:rPr>
              <w:t>Date</w:t>
            </w:r>
            <w:r>
              <w:rPr>
                <w:b/>
                <w:smallCaps/>
              </w:rPr>
              <w:t> :</w:t>
            </w:r>
            <w:r w:rsidRPr="001E12E2">
              <w:t xml:space="preserve"> </w:t>
            </w:r>
            <w:r>
              <w:t>20150611</w:t>
            </w:r>
          </w:p>
          <w:p w:rsidR="00C33753" w:rsidRPr="001E12E2" w:rsidRDefault="00C33753" w:rsidP="00865118">
            <w:r w:rsidRPr="001E12E2">
              <w:rPr>
                <w:b/>
                <w:smallCaps/>
              </w:rPr>
              <w:t>Do</w:t>
            </w:r>
            <w:r>
              <w:rPr>
                <w:b/>
                <w:smallCaps/>
              </w:rPr>
              <w:t>ssier :</w:t>
            </w:r>
            <w:r w:rsidRPr="001E12E2">
              <w:t xml:space="preserve"> </w:t>
            </w:r>
            <w:r>
              <w:t>36059</w:t>
            </w:r>
          </w:p>
        </w:tc>
      </w:tr>
    </w:tbl>
    <w:p w:rsidR="00C33753" w:rsidRPr="001E12E2" w:rsidRDefault="00C33753" w:rsidP="00C33753"/>
    <w:p w:rsidR="00C33753" w:rsidRDefault="00C33753" w:rsidP="00C33753">
      <w:pPr>
        <w:pStyle w:val="SCCLsocPrefix"/>
      </w:pPr>
      <w:r>
        <w:t>Entre :</w:t>
      </w:r>
    </w:p>
    <w:p w:rsidR="00C33753" w:rsidRDefault="00C33753" w:rsidP="00C33753">
      <w:pPr>
        <w:pStyle w:val="SCCLsocParty"/>
        <w:jc w:val="center"/>
      </w:pPr>
      <w:r>
        <w:t xml:space="preserve">Sa </w:t>
      </w:r>
      <w:proofErr w:type="spellStart"/>
      <w:r>
        <w:t>Majesté</w:t>
      </w:r>
      <w:proofErr w:type="spellEnd"/>
      <w:r>
        <w:t xml:space="preserve"> la </w:t>
      </w:r>
      <w:proofErr w:type="spellStart"/>
      <w:r>
        <w:t>Reine</w:t>
      </w:r>
      <w:proofErr w:type="spellEnd"/>
    </w:p>
    <w:p w:rsidR="00C33753" w:rsidRDefault="00C33753" w:rsidP="00C33753">
      <w:pPr>
        <w:jc w:val="center"/>
      </w:pPr>
      <w:proofErr w:type="spellStart"/>
      <w:r>
        <w:t>Appelante</w:t>
      </w:r>
      <w:proofErr w:type="spellEnd"/>
    </w:p>
    <w:p w:rsidR="00C33753" w:rsidRPr="00C33753" w:rsidRDefault="00C33753" w:rsidP="00C33753">
      <w:pPr>
        <w:pStyle w:val="SCCLsocVersus"/>
        <w:spacing w:after="0"/>
        <w:jc w:val="center"/>
        <w:rPr>
          <w:i w:val="0"/>
        </w:rPr>
      </w:pPr>
      <w:proofErr w:type="gramStart"/>
      <w:r w:rsidRPr="00C33753">
        <w:rPr>
          <w:i w:val="0"/>
        </w:rPr>
        <w:t>et</w:t>
      </w:r>
      <w:proofErr w:type="gramEnd"/>
    </w:p>
    <w:p w:rsidR="00C33753" w:rsidRDefault="00C33753" w:rsidP="00C33753">
      <w:pPr>
        <w:pStyle w:val="SCCLsocParty"/>
        <w:jc w:val="center"/>
      </w:pPr>
      <w:r>
        <w:t>Owen Edward Smith</w:t>
      </w:r>
    </w:p>
    <w:p w:rsidR="00C33753" w:rsidRDefault="00C33753" w:rsidP="00C33753">
      <w:pPr>
        <w:jc w:val="center"/>
      </w:pPr>
      <w:proofErr w:type="spellStart"/>
      <w:r>
        <w:t>Intimé</w:t>
      </w:r>
      <w:proofErr w:type="spellEnd"/>
    </w:p>
    <w:p w:rsidR="00C33753" w:rsidRDefault="00C33753" w:rsidP="00C33753">
      <w:pPr>
        <w:pStyle w:val="SCCLsocOtherPartySeparator"/>
        <w:spacing w:after="0"/>
        <w:jc w:val="center"/>
      </w:pPr>
      <w:r>
        <w:t xml:space="preserve">- </w:t>
      </w:r>
      <w:proofErr w:type="gramStart"/>
      <w:r>
        <w:t>et</w:t>
      </w:r>
      <w:proofErr w:type="gramEnd"/>
      <w:r>
        <w:t xml:space="preserve"> -</w:t>
      </w:r>
    </w:p>
    <w:p w:rsidR="00C33753" w:rsidRPr="00C33753" w:rsidRDefault="00C33753" w:rsidP="00C33753">
      <w:pPr>
        <w:pStyle w:val="SCCLsocParty"/>
        <w:jc w:val="center"/>
        <w:rPr>
          <w:lang w:val="fr-CA"/>
        </w:rPr>
      </w:pPr>
      <w:r w:rsidRPr="00C33753">
        <w:rPr>
          <w:lang w:val="fr-CA"/>
        </w:rPr>
        <w:t xml:space="preserve">Santé Cannabis, </w:t>
      </w:r>
      <w:proofErr w:type="spellStart"/>
      <w:r w:rsidRPr="00C33753">
        <w:rPr>
          <w:lang w:val="fr-CA"/>
        </w:rPr>
        <w:t>Criminal</w:t>
      </w:r>
      <w:proofErr w:type="spellEnd"/>
      <w:r w:rsidRPr="00C33753">
        <w:rPr>
          <w:lang w:val="fr-CA"/>
        </w:rPr>
        <w:t xml:space="preserve"> </w:t>
      </w:r>
      <w:proofErr w:type="spellStart"/>
      <w:r w:rsidRPr="00C33753">
        <w:rPr>
          <w:lang w:val="fr-CA"/>
        </w:rPr>
        <w:t>Lawyers</w:t>
      </w:r>
      <w:proofErr w:type="spellEnd"/>
      <w:r w:rsidRPr="00C33753">
        <w:rPr>
          <w:lang w:val="fr-CA"/>
        </w:rPr>
        <w:t>’ Association (Ontario),</w:t>
      </w:r>
    </w:p>
    <w:p w:rsidR="00C33753" w:rsidRPr="00C33753" w:rsidRDefault="00C33753" w:rsidP="00C33753">
      <w:pPr>
        <w:pStyle w:val="SCCLsocParty"/>
        <w:jc w:val="center"/>
        <w:rPr>
          <w:lang w:val="fr-CA"/>
        </w:rPr>
      </w:pPr>
      <w:r w:rsidRPr="00C33753">
        <w:rPr>
          <w:lang w:val="fr-CA"/>
        </w:rPr>
        <w:t>Association canadienne des libertés civiles, Association des libertés</w:t>
      </w:r>
    </w:p>
    <w:p w:rsidR="00C33753" w:rsidRPr="00C33753" w:rsidRDefault="00C33753" w:rsidP="00C33753">
      <w:pPr>
        <w:pStyle w:val="SCCLsocParty"/>
        <w:jc w:val="center"/>
        <w:rPr>
          <w:lang w:val="fr-CA"/>
        </w:rPr>
      </w:pPr>
      <w:proofErr w:type="gramStart"/>
      <w:r w:rsidRPr="00C33753">
        <w:rPr>
          <w:lang w:val="fr-CA"/>
        </w:rPr>
        <w:t>civiles</w:t>
      </w:r>
      <w:proofErr w:type="gramEnd"/>
      <w:r w:rsidRPr="00C33753">
        <w:rPr>
          <w:lang w:val="fr-CA"/>
        </w:rPr>
        <w:t xml:space="preserve"> de la Colombie</w:t>
      </w:r>
      <w:r w:rsidRPr="00C33753">
        <w:rPr>
          <w:lang w:val="fr-CA"/>
        </w:rPr>
        <w:noBreakHyphen/>
        <w:t>Britannique, Société canadienne du sida,</w:t>
      </w:r>
    </w:p>
    <w:p w:rsidR="00C33753" w:rsidRPr="00C33753" w:rsidRDefault="00C33753" w:rsidP="00C33753">
      <w:pPr>
        <w:pStyle w:val="SCCLsocParty"/>
        <w:jc w:val="center"/>
        <w:rPr>
          <w:lang w:val="fr-CA"/>
        </w:rPr>
      </w:pPr>
      <w:r w:rsidRPr="00C33753">
        <w:rPr>
          <w:lang w:val="fr-CA"/>
        </w:rPr>
        <w:t xml:space="preserve">Réseau juridique canadien VIH/sida et HIV &amp; AIDS </w:t>
      </w:r>
      <w:proofErr w:type="spellStart"/>
      <w:r w:rsidRPr="00C33753">
        <w:rPr>
          <w:lang w:val="fr-CA"/>
        </w:rPr>
        <w:t>Legal</w:t>
      </w:r>
      <w:proofErr w:type="spellEnd"/>
      <w:r w:rsidRPr="00C33753">
        <w:rPr>
          <w:lang w:val="fr-CA"/>
        </w:rPr>
        <w:t xml:space="preserve"> Clinic Ontario</w:t>
      </w:r>
    </w:p>
    <w:p w:rsidR="00C33753" w:rsidRPr="00C33753" w:rsidRDefault="00C33753" w:rsidP="00C33753">
      <w:pPr>
        <w:jc w:val="center"/>
        <w:rPr>
          <w:lang w:val="fr-CA"/>
        </w:rPr>
      </w:pPr>
      <w:r w:rsidRPr="00C33753">
        <w:rPr>
          <w:lang w:val="fr-CA"/>
        </w:rPr>
        <w:t>Intervenants</w:t>
      </w:r>
    </w:p>
    <w:p w:rsidR="00C33753" w:rsidRPr="00C33753" w:rsidRDefault="00C33753" w:rsidP="00C33753">
      <w:pPr>
        <w:rPr>
          <w:lang w:val="fr-CA"/>
        </w:rPr>
      </w:pPr>
    </w:p>
    <w:p w:rsidR="00C33753" w:rsidRPr="00C33753" w:rsidRDefault="00C33753" w:rsidP="00C33753">
      <w:pPr>
        <w:jc w:val="center"/>
        <w:rPr>
          <w:b/>
          <w:smallCaps/>
          <w:lang w:val="fr-CA"/>
        </w:rPr>
      </w:pPr>
      <w:r w:rsidRPr="00C33753">
        <w:rPr>
          <w:b/>
          <w:smallCaps/>
          <w:lang w:val="fr-CA"/>
        </w:rPr>
        <w:t>Traduction française officielle</w:t>
      </w:r>
    </w:p>
    <w:p w:rsidR="00C33753" w:rsidRPr="00C33753" w:rsidRDefault="00C33753" w:rsidP="00C33753">
      <w:pPr>
        <w:rPr>
          <w:lang w:val="fr-CA"/>
        </w:rPr>
      </w:pPr>
    </w:p>
    <w:p w:rsidR="00C33753" w:rsidRPr="00C33753" w:rsidRDefault="00C33753" w:rsidP="00C33753">
      <w:pPr>
        <w:rPr>
          <w:lang w:val="fr-CA"/>
        </w:rPr>
      </w:pPr>
      <w:r w:rsidRPr="00C33753">
        <w:rPr>
          <w:b/>
          <w:smallCaps/>
          <w:lang w:val="fr-CA"/>
        </w:rPr>
        <w:t>Coram :</w:t>
      </w:r>
      <w:r w:rsidRPr="00C33753">
        <w:rPr>
          <w:lang w:val="fr-CA"/>
        </w:rPr>
        <w:t xml:space="preserve"> La juge en chef </w:t>
      </w:r>
      <w:proofErr w:type="spellStart"/>
      <w:r w:rsidRPr="00C33753">
        <w:rPr>
          <w:lang w:val="fr-CA"/>
        </w:rPr>
        <w:t>McLachlin</w:t>
      </w:r>
      <w:proofErr w:type="spellEnd"/>
      <w:r w:rsidRPr="00C33753">
        <w:rPr>
          <w:lang w:val="fr-CA"/>
        </w:rPr>
        <w:t xml:space="preserve"> et les juges Abella, Cromwell, </w:t>
      </w:r>
      <w:proofErr w:type="spellStart"/>
      <w:r w:rsidRPr="00C33753">
        <w:rPr>
          <w:lang w:val="fr-CA"/>
        </w:rPr>
        <w:t>Karakatsanis</w:t>
      </w:r>
      <w:proofErr w:type="spellEnd"/>
      <w:r w:rsidRPr="00C33753">
        <w:rPr>
          <w:lang w:val="fr-CA"/>
        </w:rPr>
        <w:t>, Wagner, Gascon et Côté</w:t>
      </w:r>
    </w:p>
    <w:p w:rsidR="00C33753" w:rsidRPr="00C33753" w:rsidRDefault="00C33753" w:rsidP="00C3375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33753" w:rsidRPr="001E12E2" w:rsidTr="00865118">
        <w:trPr>
          <w:cantSplit/>
        </w:trPr>
        <w:tc>
          <w:tcPr>
            <w:tcW w:w="3618" w:type="dxa"/>
          </w:tcPr>
          <w:p w:rsidR="00C33753" w:rsidRPr="00C33753" w:rsidRDefault="00C33753" w:rsidP="00865118">
            <w:pPr>
              <w:rPr>
                <w:b/>
                <w:smallCaps/>
                <w:lang w:val="fr-CA"/>
              </w:rPr>
            </w:pPr>
            <w:r w:rsidRPr="00C33753">
              <w:rPr>
                <w:b/>
                <w:smallCaps/>
                <w:lang w:val="fr-CA"/>
              </w:rPr>
              <w:t>Motifs de jugement :</w:t>
            </w:r>
          </w:p>
          <w:p w:rsidR="00C33753" w:rsidRPr="00C33753" w:rsidRDefault="00C33753" w:rsidP="00865118">
            <w:pPr>
              <w:rPr>
                <w:lang w:val="fr-CA"/>
              </w:rPr>
            </w:pPr>
            <w:r w:rsidRPr="00C33753">
              <w:rPr>
                <w:lang w:val="fr-CA"/>
              </w:rPr>
              <w:t>(par. 1 à 34)</w:t>
            </w:r>
          </w:p>
        </w:tc>
        <w:tc>
          <w:tcPr>
            <w:tcW w:w="5958" w:type="dxa"/>
          </w:tcPr>
          <w:p w:rsidR="00C33753" w:rsidRPr="001E12E2" w:rsidRDefault="00C33753" w:rsidP="00865118">
            <w:r>
              <w:t xml:space="preserve">La </w:t>
            </w:r>
            <w:proofErr w:type="spellStart"/>
            <w:r>
              <w:t>Cour</w:t>
            </w:r>
            <w:proofErr w:type="spellEnd"/>
          </w:p>
        </w:tc>
      </w:tr>
    </w:tbl>
    <w:p w:rsidR="00C33753" w:rsidRDefault="00C33753" w:rsidP="00C33753"/>
    <w:p w:rsidR="00C33753" w:rsidRPr="00C33753" w:rsidRDefault="00C33753" w:rsidP="00C33753">
      <w:pPr>
        <w:rPr>
          <w:lang w:val="fr-CA"/>
        </w:rPr>
      </w:pPr>
    </w:p>
    <w:p w:rsidR="00C33753" w:rsidRPr="00C33753" w:rsidRDefault="00C33753" w:rsidP="00C33753">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C33753" w:rsidRPr="00C33753" w:rsidRDefault="00C33753" w:rsidP="00535610">
      <w:pPr>
        <w:widowControl w:val="0"/>
        <w:spacing w:after="720"/>
        <w:jc w:val="both"/>
        <w:rPr>
          <w:rStyle w:val="SCCAppellantForRunningHeadChar"/>
          <w:smallCaps w:val="0"/>
          <w:lang w:val="fr-CA"/>
        </w:rPr>
      </w:pPr>
    </w:p>
    <w:p w:rsidR="004D7D95" w:rsidRPr="00C33753" w:rsidRDefault="00E71C02" w:rsidP="00535610">
      <w:pPr>
        <w:widowControl w:val="0"/>
        <w:spacing w:after="720"/>
        <w:jc w:val="both"/>
        <w:rPr>
          <w:smallCaps/>
          <w:lang w:val="en-US"/>
        </w:rPr>
      </w:pPr>
      <w:r w:rsidRPr="00C33753">
        <w:rPr>
          <w:rStyle w:val="SCCAppellantForRunningHeadChar"/>
          <w:smallCaps w:val="0"/>
          <w:lang w:val="en-US"/>
        </w:rPr>
        <w:t>R</w:t>
      </w:r>
      <w:r w:rsidR="00EC47BB" w:rsidRPr="00C33753">
        <w:rPr>
          <w:rStyle w:val="SCCAppellantForRunningHeadChar"/>
          <w:smallCaps w:val="0"/>
          <w:lang w:val="en-US"/>
        </w:rPr>
        <w:t xml:space="preserve">. </w:t>
      </w:r>
      <w:r w:rsidR="004D7D95" w:rsidRPr="00C33753">
        <w:rPr>
          <w:i/>
          <w:lang w:val="en-US"/>
        </w:rPr>
        <w:t>c</w:t>
      </w:r>
      <w:r w:rsidR="00EC47BB" w:rsidRPr="00C33753">
        <w:rPr>
          <w:i/>
          <w:smallCaps/>
          <w:lang w:val="en-US"/>
        </w:rPr>
        <w:t xml:space="preserve">. </w:t>
      </w:r>
      <w:r w:rsidRPr="00C33753">
        <w:rPr>
          <w:rStyle w:val="SCCRespondentForRunningHeadChar"/>
          <w:smallCaps w:val="0"/>
          <w:lang w:val="en-US"/>
        </w:rPr>
        <w:t>S</w:t>
      </w:r>
      <w:r w:rsidR="004D7D95" w:rsidRPr="00C33753">
        <w:rPr>
          <w:rStyle w:val="SCCRespondentForRunningHeadChar"/>
          <w:smallCaps w:val="0"/>
          <w:lang w:val="en-US"/>
        </w:rPr>
        <w:t>mith</w:t>
      </w:r>
      <w:r w:rsidRPr="00C33753">
        <w:rPr>
          <w:rStyle w:val="SCCRespondentForRunningHeadChar"/>
          <w:smallCaps w:val="0"/>
          <w:lang w:val="en-US"/>
        </w:rPr>
        <w:t xml:space="preserve">, </w:t>
      </w:r>
      <w:r w:rsidRPr="00C33753">
        <w:rPr>
          <w:lang w:val="en-US"/>
        </w:rPr>
        <w:t>2015 CSC 34, [2015] 2 R.C.S. 602</w:t>
      </w:r>
    </w:p>
    <w:p w:rsidR="00170270" w:rsidRPr="00391F6E" w:rsidRDefault="004336F0" w:rsidP="00535610">
      <w:pPr>
        <w:pStyle w:val="SCCLsocLastPartyInRole"/>
        <w:widowControl w:val="0"/>
        <w:rPr>
          <w:lang w:val="fr-CA"/>
        </w:rPr>
      </w:pPr>
      <w:r w:rsidRPr="00391F6E">
        <w:rPr>
          <w:lang w:val="fr-CA"/>
        </w:rPr>
        <w:t>Sa Majesté la Reine</w:t>
      </w:r>
      <w:r w:rsidRPr="00391F6E">
        <w:rPr>
          <w:rStyle w:val="SCCLsocPartyRole"/>
          <w:lang w:val="fr-CA"/>
        </w:rPr>
        <w:tab/>
        <w:t>Appelante</w:t>
      </w:r>
    </w:p>
    <w:p w:rsidR="00170270" w:rsidRPr="00004C87" w:rsidRDefault="004336F0" w:rsidP="00535610">
      <w:pPr>
        <w:pStyle w:val="SCCLsocVersus"/>
        <w:widowControl w:val="0"/>
        <w:rPr>
          <w:lang w:val="fr-CA"/>
        </w:rPr>
      </w:pPr>
      <w:proofErr w:type="gramStart"/>
      <w:r w:rsidRPr="00004C87">
        <w:rPr>
          <w:lang w:val="fr-CA"/>
        </w:rPr>
        <w:t>c</w:t>
      </w:r>
      <w:proofErr w:type="gramEnd"/>
      <w:r w:rsidRPr="00004C87">
        <w:rPr>
          <w:lang w:val="fr-CA"/>
        </w:rPr>
        <w:t>.</w:t>
      </w:r>
    </w:p>
    <w:p w:rsidR="00170270" w:rsidRPr="00004C87" w:rsidRDefault="004336F0" w:rsidP="00535610">
      <w:pPr>
        <w:pStyle w:val="SCCLsocLastPartyInRole"/>
        <w:widowControl w:val="0"/>
        <w:rPr>
          <w:lang w:val="fr-CA"/>
        </w:rPr>
      </w:pPr>
      <w:r w:rsidRPr="00004C87">
        <w:rPr>
          <w:lang w:val="fr-CA"/>
        </w:rPr>
        <w:lastRenderedPageBreak/>
        <w:t>Owen Edward Smith</w:t>
      </w:r>
      <w:r w:rsidRPr="00004C87">
        <w:rPr>
          <w:rStyle w:val="SCCLsocPartyRole"/>
          <w:lang w:val="fr-CA"/>
        </w:rPr>
        <w:tab/>
        <w:t>Intimé</w:t>
      </w:r>
    </w:p>
    <w:p w:rsidR="00170270" w:rsidRPr="00004C87" w:rsidRDefault="004336F0" w:rsidP="00535610">
      <w:pPr>
        <w:pStyle w:val="SCCLsocOtherPartySeparator"/>
        <w:widowControl w:val="0"/>
        <w:rPr>
          <w:lang w:val="fr-CA"/>
        </w:rPr>
      </w:pPr>
      <w:proofErr w:type="gramStart"/>
      <w:r w:rsidRPr="00004C87">
        <w:rPr>
          <w:lang w:val="fr-CA"/>
        </w:rPr>
        <w:t>et</w:t>
      </w:r>
      <w:proofErr w:type="gramEnd"/>
    </w:p>
    <w:p w:rsidR="00170270" w:rsidRPr="00391F6E" w:rsidRDefault="004336F0" w:rsidP="00535610">
      <w:pPr>
        <w:pStyle w:val="SCCLsocParty"/>
        <w:widowControl w:val="0"/>
        <w:rPr>
          <w:lang w:val="fr-CA"/>
        </w:rPr>
      </w:pPr>
      <w:r w:rsidRPr="00391F6E">
        <w:rPr>
          <w:lang w:val="fr-CA"/>
        </w:rPr>
        <w:t>Santé Cannabis,</w:t>
      </w:r>
    </w:p>
    <w:p w:rsidR="00170270" w:rsidRPr="00391F6E" w:rsidRDefault="004336F0" w:rsidP="00535610">
      <w:pPr>
        <w:pStyle w:val="SCCLsocParty"/>
        <w:widowControl w:val="0"/>
        <w:rPr>
          <w:lang w:val="fr-CA"/>
        </w:rPr>
      </w:pPr>
      <w:proofErr w:type="spellStart"/>
      <w:r w:rsidRPr="00391F6E">
        <w:rPr>
          <w:lang w:val="fr-CA"/>
        </w:rPr>
        <w:t>Criminal</w:t>
      </w:r>
      <w:proofErr w:type="spellEnd"/>
      <w:r w:rsidRPr="00391F6E">
        <w:rPr>
          <w:lang w:val="fr-CA"/>
        </w:rPr>
        <w:t xml:space="preserve"> </w:t>
      </w:r>
      <w:proofErr w:type="spellStart"/>
      <w:r w:rsidRPr="00391F6E">
        <w:rPr>
          <w:lang w:val="fr-CA"/>
        </w:rPr>
        <w:t>Lawyers</w:t>
      </w:r>
      <w:proofErr w:type="spellEnd"/>
      <w:r w:rsidR="002E42A5" w:rsidRPr="00391F6E">
        <w:rPr>
          <w:lang w:val="fr-CA"/>
        </w:rPr>
        <w:t>’</w:t>
      </w:r>
      <w:r w:rsidRPr="00391F6E">
        <w:rPr>
          <w:lang w:val="fr-CA"/>
        </w:rPr>
        <w:t xml:space="preserve"> Association (Ontario),</w:t>
      </w:r>
    </w:p>
    <w:p w:rsidR="00170270" w:rsidRPr="00391F6E" w:rsidRDefault="002E42A5" w:rsidP="00535610">
      <w:pPr>
        <w:pStyle w:val="SCCLsocParty"/>
        <w:widowControl w:val="0"/>
        <w:rPr>
          <w:lang w:val="fr-CA"/>
        </w:rPr>
      </w:pPr>
      <w:r w:rsidRPr="00391F6E">
        <w:rPr>
          <w:lang w:val="fr-CA"/>
        </w:rPr>
        <w:t>Association canadienne des libertés civiles</w:t>
      </w:r>
      <w:r w:rsidR="004336F0" w:rsidRPr="00391F6E">
        <w:rPr>
          <w:lang w:val="fr-CA"/>
        </w:rPr>
        <w:t>,</w:t>
      </w:r>
    </w:p>
    <w:p w:rsidR="00170270" w:rsidRPr="00391F6E" w:rsidRDefault="002E42A5" w:rsidP="00535610">
      <w:pPr>
        <w:pStyle w:val="SCCLsocParty"/>
        <w:widowControl w:val="0"/>
        <w:rPr>
          <w:lang w:val="fr-CA"/>
        </w:rPr>
      </w:pPr>
      <w:r w:rsidRPr="00391F6E">
        <w:rPr>
          <w:lang w:val="fr-CA"/>
        </w:rPr>
        <w:t>Association des libertés civiles de la Colombie</w:t>
      </w:r>
      <w:r w:rsidR="00147051">
        <w:rPr>
          <w:lang w:val="fr-CA"/>
        </w:rPr>
        <w:t>-</w:t>
      </w:r>
      <w:r w:rsidRPr="00391F6E">
        <w:rPr>
          <w:lang w:val="fr-CA"/>
        </w:rPr>
        <w:t>Britannique</w:t>
      </w:r>
      <w:r w:rsidR="004336F0" w:rsidRPr="00391F6E">
        <w:rPr>
          <w:lang w:val="fr-CA"/>
        </w:rPr>
        <w:t>,</w:t>
      </w:r>
    </w:p>
    <w:p w:rsidR="005532D8" w:rsidRDefault="002E42A5" w:rsidP="00535610">
      <w:pPr>
        <w:pStyle w:val="SCCLsocParty"/>
        <w:widowControl w:val="0"/>
        <w:rPr>
          <w:lang w:val="fr-CA"/>
        </w:rPr>
      </w:pPr>
      <w:r w:rsidRPr="00391F6E">
        <w:rPr>
          <w:lang w:val="fr-CA"/>
        </w:rPr>
        <w:t>Société canadienne du sida</w:t>
      </w:r>
      <w:r w:rsidR="004336F0" w:rsidRPr="00391F6E">
        <w:rPr>
          <w:lang w:val="fr-CA"/>
        </w:rPr>
        <w:t xml:space="preserve">, </w:t>
      </w:r>
      <w:r w:rsidRPr="00391F6E">
        <w:rPr>
          <w:lang w:val="fr-CA"/>
        </w:rPr>
        <w:t xml:space="preserve">Réseau juridique canadien </w:t>
      </w:r>
    </w:p>
    <w:p w:rsidR="00170270" w:rsidRPr="00391F6E" w:rsidRDefault="002E42A5" w:rsidP="005532D8">
      <w:pPr>
        <w:pStyle w:val="SCCLsocParty"/>
        <w:widowControl w:val="0"/>
        <w:spacing w:after="720"/>
        <w:rPr>
          <w:lang w:val="fr-CA"/>
        </w:rPr>
      </w:pPr>
      <w:r w:rsidRPr="00391F6E">
        <w:rPr>
          <w:lang w:val="fr-CA"/>
        </w:rPr>
        <w:t xml:space="preserve">VIH/sida et </w:t>
      </w:r>
      <w:r w:rsidR="004336F0" w:rsidRPr="00391F6E">
        <w:rPr>
          <w:lang w:val="fr-CA"/>
        </w:rPr>
        <w:t xml:space="preserve">HIV &amp; AIDS </w:t>
      </w:r>
      <w:proofErr w:type="spellStart"/>
      <w:r w:rsidR="004336F0" w:rsidRPr="00391F6E">
        <w:rPr>
          <w:lang w:val="fr-CA"/>
        </w:rPr>
        <w:t>Legal</w:t>
      </w:r>
      <w:proofErr w:type="spellEnd"/>
      <w:r w:rsidR="004336F0" w:rsidRPr="00391F6E">
        <w:rPr>
          <w:lang w:val="fr-CA"/>
        </w:rPr>
        <w:t xml:space="preserve"> Clinic Ontario</w:t>
      </w:r>
      <w:r w:rsidR="004336F0" w:rsidRPr="00391F6E">
        <w:rPr>
          <w:rStyle w:val="SCCLsocPartyRole"/>
          <w:lang w:val="fr-CA"/>
        </w:rPr>
        <w:tab/>
        <w:t>Intervenants</w:t>
      </w:r>
    </w:p>
    <w:p w:rsidR="004D7D95" w:rsidRPr="00391F6E" w:rsidRDefault="004D7D95" w:rsidP="00535610">
      <w:pPr>
        <w:widowControl w:val="0"/>
        <w:spacing w:after="720"/>
        <w:jc w:val="both"/>
        <w:rPr>
          <w:b/>
          <w:lang w:val="fr-CA"/>
        </w:rPr>
      </w:pPr>
      <w:r w:rsidRPr="00391F6E">
        <w:rPr>
          <w:b/>
          <w:lang w:val="fr-CA"/>
        </w:rPr>
        <w:t>Répertorié</w:t>
      </w:r>
      <w:r w:rsidR="00C13434">
        <w:rPr>
          <w:b/>
          <w:lang w:val="fr-CA"/>
        </w:rPr>
        <w:t> </w:t>
      </w:r>
      <w:r w:rsidR="006E5B9E">
        <w:rPr>
          <w:b/>
          <w:lang w:val="fr-CA"/>
        </w:rPr>
        <w:t xml:space="preserve">: </w:t>
      </w:r>
      <w:r w:rsidRPr="00391F6E">
        <w:rPr>
          <w:rStyle w:val="SCCAppellantForIndexChar"/>
          <w:lang w:val="fr-CA"/>
        </w:rPr>
        <w:t>R</w:t>
      </w:r>
      <w:r w:rsidR="00EC47BB">
        <w:rPr>
          <w:rStyle w:val="SCCAppellantForIndexChar"/>
          <w:lang w:val="fr-CA"/>
        </w:rPr>
        <w:t xml:space="preserve">. </w:t>
      </w:r>
      <w:r w:rsidRPr="00391F6E">
        <w:rPr>
          <w:b/>
          <w:i/>
          <w:lang w:val="fr-CA"/>
        </w:rPr>
        <w:t>c</w:t>
      </w:r>
      <w:r w:rsidR="00EC47BB">
        <w:rPr>
          <w:b/>
          <w:i/>
          <w:lang w:val="fr-CA"/>
        </w:rPr>
        <w:t xml:space="preserve">. </w:t>
      </w:r>
      <w:r w:rsidRPr="00391F6E">
        <w:rPr>
          <w:rStyle w:val="SCCRespondentForIndexChar"/>
          <w:lang w:val="fr-CA"/>
        </w:rPr>
        <w:t>Smith</w:t>
      </w:r>
    </w:p>
    <w:p w:rsidR="004D7D95" w:rsidRPr="00391F6E" w:rsidRDefault="00F62639" w:rsidP="00535610">
      <w:pPr>
        <w:pStyle w:val="SCCSystemYear"/>
        <w:widowControl w:val="0"/>
        <w:spacing w:after="720"/>
        <w:jc w:val="both"/>
        <w:rPr>
          <w:lang w:val="fr-CA"/>
        </w:rPr>
      </w:pPr>
      <w:r w:rsidRPr="00391F6E">
        <w:rPr>
          <w:lang w:val="fr-CA"/>
        </w:rPr>
        <w:t>2015</w:t>
      </w:r>
      <w:r w:rsidR="00AB43A2" w:rsidRPr="00391F6E">
        <w:rPr>
          <w:lang w:val="fr-CA"/>
        </w:rPr>
        <w:t xml:space="preserve"> CSC</w:t>
      </w:r>
      <w:r w:rsidR="006E5B9E">
        <w:rPr>
          <w:lang w:val="fr-CA"/>
        </w:rPr>
        <w:t xml:space="preserve"> </w:t>
      </w:r>
      <w:r w:rsidR="00AB43A2" w:rsidRPr="00391F6E">
        <w:rPr>
          <w:lang w:val="fr-CA"/>
        </w:rPr>
        <w:t>34</w:t>
      </w:r>
    </w:p>
    <w:p w:rsidR="004D7D95" w:rsidRPr="00391F6E" w:rsidRDefault="004D7D95" w:rsidP="00535610">
      <w:pPr>
        <w:widowControl w:val="0"/>
        <w:spacing w:after="720"/>
        <w:jc w:val="both"/>
        <w:rPr>
          <w:lang w:val="fr-CA"/>
        </w:rPr>
      </w:pPr>
      <w:r w:rsidRPr="00391F6E">
        <w:rPr>
          <w:lang w:val="fr-CA"/>
        </w:rPr>
        <w:t>N</w:t>
      </w:r>
      <w:r w:rsidRPr="00391F6E">
        <w:rPr>
          <w:vertAlign w:val="superscript"/>
          <w:lang w:val="fr-CA"/>
        </w:rPr>
        <w:t>o</w:t>
      </w:r>
      <w:r w:rsidRPr="00391F6E">
        <w:rPr>
          <w:lang w:val="fr-CA"/>
        </w:rPr>
        <w:t xml:space="preserve"> du greffe</w:t>
      </w:r>
      <w:r w:rsidR="00C13434">
        <w:rPr>
          <w:lang w:val="fr-CA"/>
        </w:rPr>
        <w:t> </w:t>
      </w:r>
      <w:r w:rsidR="006E5B9E">
        <w:rPr>
          <w:lang w:val="fr-CA"/>
        </w:rPr>
        <w:t xml:space="preserve">: </w:t>
      </w:r>
      <w:r w:rsidRPr="00391F6E">
        <w:rPr>
          <w:lang w:val="fr-CA"/>
        </w:rPr>
        <w:t>36059.</w:t>
      </w:r>
    </w:p>
    <w:p w:rsidR="004D7D95" w:rsidRPr="00391F6E" w:rsidRDefault="00F949C3" w:rsidP="00535610">
      <w:pPr>
        <w:widowControl w:val="0"/>
        <w:spacing w:after="720"/>
        <w:jc w:val="both"/>
        <w:rPr>
          <w:lang w:val="fr-CA"/>
        </w:rPr>
      </w:pPr>
      <w:r w:rsidRPr="00391F6E">
        <w:rPr>
          <w:lang w:val="fr-CA"/>
        </w:rPr>
        <w:t>2015</w:t>
      </w:r>
      <w:r w:rsidR="00C13434">
        <w:rPr>
          <w:lang w:val="fr-CA"/>
        </w:rPr>
        <w:t> </w:t>
      </w:r>
      <w:r w:rsidR="006E5B9E">
        <w:rPr>
          <w:lang w:val="fr-CA"/>
        </w:rPr>
        <w:t xml:space="preserve">: </w:t>
      </w:r>
      <w:r w:rsidR="00EF6253" w:rsidRPr="00391F6E">
        <w:rPr>
          <w:lang w:val="fr-CA"/>
        </w:rPr>
        <w:t>20</w:t>
      </w:r>
      <w:r w:rsidR="006E5B9E">
        <w:rPr>
          <w:lang w:val="fr-CA"/>
        </w:rPr>
        <w:t xml:space="preserve"> </w:t>
      </w:r>
      <w:r w:rsidR="00EF6253" w:rsidRPr="00391F6E">
        <w:rPr>
          <w:lang w:val="fr-CA"/>
        </w:rPr>
        <w:t>mars</w:t>
      </w:r>
      <w:r w:rsidRPr="00391F6E">
        <w:rPr>
          <w:lang w:val="fr-CA"/>
        </w:rPr>
        <w:t>; 2015</w:t>
      </w:r>
      <w:r w:rsidR="00C13434">
        <w:rPr>
          <w:lang w:val="fr-CA"/>
        </w:rPr>
        <w:t> </w:t>
      </w:r>
      <w:r w:rsidR="006E5B9E">
        <w:rPr>
          <w:lang w:val="fr-CA"/>
        </w:rPr>
        <w:t xml:space="preserve">: 11 </w:t>
      </w:r>
      <w:r w:rsidR="006653FD" w:rsidRPr="00391F6E">
        <w:rPr>
          <w:lang w:val="fr-CA"/>
        </w:rPr>
        <w:t>juin</w:t>
      </w:r>
      <w:r w:rsidR="004D7D95" w:rsidRPr="00391F6E">
        <w:rPr>
          <w:lang w:val="fr-CA"/>
        </w:rPr>
        <w:t>.</w:t>
      </w:r>
    </w:p>
    <w:p w:rsidR="004D7D95" w:rsidRPr="00391F6E" w:rsidRDefault="004D7D95" w:rsidP="00535610">
      <w:pPr>
        <w:widowControl w:val="0"/>
        <w:spacing w:after="720"/>
        <w:jc w:val="both"/>
        <w:rPr>
          <w:lang w:val="fr-CA"/>
        </w:rPr>
      </w:pPr>
      <w:r w:rsidRPr="00391F6E">
        <w:rPr>
          <w:lang w:val="fr-CA"/>
        </w:rPr>
        <w:t>Présents</w:t>
      </w:r>
      <w:r w:rsidR="00C13434">
        <w:rPr>
          <w:lang w:val="fr-CA"/>
        </w:rPr>
        <w:t> </w:t>
      </w:r>
      <w:r w:rsidR="006E5B9E">
        <w:rPr>
          <w:lang w:val="fr-CA"/>
        </w:rPr>
        <w:t xml:space="preserve">: </w:t>
      </w:r>
      <w:r w:rsidRPr="00391F6E">
        <w:rPr>
          <w:lang w:val="fr-CA"/>
        </w:rPr>
        <w:t xml:space="preserve">La juge en chef McLachlin et les juges Abella, Cromwell, </w:t>
      </w:r>
      <w:proofErr w:type="spellStart"/>
      <w:r w:rsidRPr="00391F6E">
        <w:rPr>
          <w:lang w:val="fr-CA"/>
        </w:rPr>
        <w:t>Karakatsanis</w:t>
      </w:r>
      <w:proofErr w:type="spellEnd"/>
      <w:r w:rsidRPr="00391F6E">
        <w:rPr>
          <w:lang w:val="fr-CA"/>
        </w:rPr>
        <w:t>, Wagner, Gascon et Côté.</w:t>
      </w:r>
    </w:p>
    <w:p w:rsidR="004D7D95" w:rsidRPr="00391F6E" w:rsidRDefault="004D7D95" w:rsidP="00535610">
      <w:pPr>
        <w:widowControl w:val="0"/>
        <w:spacing w:after="720"/>
        <w:jc w:val="both"/>
        <w:rPr>
          <w:smallCaps/>
          <w:lang w:val="fr-CA"/>
        </w:rPr>
      </w:pPr>
      <w:r w:rsidRPr="00391F6E">
        <w:rPr>
          <w:smallCaps/>
          <w:lang w:val="fr-CA"/>
        </w:rPr>
        <w:t>en appel de la cour d</w:t>
      </w:r>
      <w:r w:rsidR="002E42A5" w:rsidRPr="00391F6E">
        <w:rPr>
          <w:smallCaps/>
          <w:lang w:val="fr-CA"/>
        </w:rPr>
        <w:t>’</w:t>
      </w:r>
      <w:r w:rsidRPr="00391F6E">
        <w:rPr>
          <w:smallCaps/>
          <w:lang w:val="fr-CA"/>
        </w:rPr>
        <w:t xml:space="preserve">appel de la </w:t>
      </w:r>
      <w:proofErr w:type="spellStart"/>
      <w:r w:rsidRPr="00391F6E">
        <w:rPr>
          <w:smallCaps/>
          <w:lang w:val="fr-CA"/>
        </w:rPr>
        <w:t>colombie</w:t>
      </w:r>
      <w:r w:rsidR="00147051">
        <w:rPr>
          <w:smallCaps/>
          <w:lang w:val="fr-CA"/>
        </w:rPr>
        <w:t>-</w:t>
      </w:r>
      <w:r w:rsidRPr="00391F6E">
        <w:rPr>
          <w:smallCaps/>
          <w:lang w:val="fr-CA"/>
        </w:rPr>
        <w:t>britannique</w:t>
      </w:r>
      <w:proofErr w:type="spellEnd"/>
    </w:p>
    <w:p w:rsidR="006F027B" w:rsidRPr="00391F6E" w:rsidRDefault="004D7D95" w:rsidP="00535610">
      <w:pPr>
        <w:pStyle w:val="SCCNormalDoubleSpacing"/>
        <w:widowControl w:val="0"/>
        <w:spacing w:before="480" w:after="480"/>
        <w:rPr>
          <w:i/>
          <w:lang w:val="fr-CA"/>
        </w:rPr>
      </w:pPr>
      <w:r w:rsidRPr="00391F6E">
        <w:rPr>
          <w:lang w:val="fr-CA"/>
        </w:rPr>
        <w:tab/>
      </w:r>
      <w:r w:rsidR="006F027B" w:rsidRPr="00391F6E">
        <w:rPr>
          <w:i/>
          <w:lang w:val="fr-CA"/>
        </w:rPr>
        <w:t>Droit constitutionnel — Charte des droits — Qualité pour agir — Accusé incul</w:t>
      </w:r>
      <w:r w:rsidR="00EC79C5" w:rsidRPr="00391F6E">
        <w:rPr>
          <w:i/>
          <w:lang w:val="fr-CA"/>
        </w:rPr>
        <w:t xml:space="preserve">pé de possession de cannabis et de possession </w:t>
      </w:r>
      <w:r w:rsidR="00B413FC" w:rsidRPr="00391F6E">
        <w:rPr>
          <w:i/>
          <w:lang w:val="fr-CA"/>
        </w:rPr>
        <w:t>de cannabis</w:t>
      </w:r>
      <w:r w:rsidR="00EC79C5" w:rsidRPr="00391F6E">
        <w:rPr>
          <w:i/>
          <w:lang w:val="fr-CA"/>
        </w:rPr>
        <w:t xml:space="preserve"> en vue d’en faire le trafic — Règlement restreignant la possession légale de </w:t>
      </w:r>
      <w:r w:rsidR="005532D8">
        <w:rPr>
          <w:i/>
          <w:lang w:val="fr-CA"/>
        </w:rPr>
        <w:t>marihuana</w:t>
      </w:r>
      <w:r w:rsidR="00EC79C5" w:rsidRPr="00391F6E">
        <w:rPr>
          <w:i/>
          <w:lang w:val="fr-CA"/>
        </w:rPr>
        <w:t xml:space="preserve"> à des fins médicales à sa forme séchée — Accusé </w:t>
      </w:r>
      <w:r w:rsidR="00535626" w:rsidRPr="00391F6E">
        <w:rPr>
          <w:i/>
          <w:lang w:val="fr-CA"/>
        </w:rPr>
        <w:t xml:space="preserve">non consommateur de </w:t>
      </w:r>
      <w:r w:rsidR="005532D8">
        <w:rPr>
          <w:i/>
          <w:lang w:val="fr-CA"/>
        </w:rPr>
        <w:t>marihuana</w:t>
      </w:r>
      <w:r w:rsidR="00535626" w:rsidRPr="00391F6E">
        <w:rPr>
          <w:i/>
          <w:lang w:val="fr-CA"/>
        </w:rPr>
        <w:t xml:space="preserve"> à des fins </w:t>
      </w:r>
      <w:r w:rsidR="00535626" w:rsidRPr="00391F6E">
        <w:rPr>
          <w:i/>
          <w:lang w:val="fr-CA"/>
        </w:rPr>
        <w:lastRenderedPageBreak/>
        <w:t xml:space="preserve">médicales, mais producteur de produits dérivés en vue de leur vente en dehors du régime réglementaire — </w:t>
      </w:r>
      <w:r w:rsidR="00B413FC" w:rsidRPr="00391F6E">
        <w:rPr>
          <w:i/>
          <w:lang w:val="fr-CA"/>
        </w:rPr>
        <w:t>L’a</w:t>
      </w:r>
      <w:r w:rsidR="00535626" w:rsidRPr="00391F6E">
        <w:rPr>
          <w:i/>
          <w:lang w:val="fr-CA"/>
        </w:rPr>
        <w:t>ccusé a</w:t>
      </w:r>
      <w:r w:rsidR="00147051">
        <w:rPr>
          <w:i/>
          <w:lang w:val="fr-CA"/>
        </w:rPr>
        <w:t>-</w:t>
      </w:r>
      <w:r w:rsidR="00535626" w:rsidRPr="00391F6E">
        <w:rPr>
          <w:i/>
          <w:lang w:val="fr-CA"/>
        </w:rPr>
        <w:t>t</w:t>
      </w:r>
      <w:r w:rsidR="00147051">
        <w:rPr>
          <w:i/>
          <w:lang w:val="fr-CA"/>
        </w:rPr>
        <w:t>-</w:t>
      </w:r>
      <w:r w:rsidR="00535626" w:rsidRPr="00391F6E">
        <w:rPr>
          <w:i/>
          <w:lang w:val="fr-CA"/>
        </w:rPr>
        <w:t>il qualité pour contester la valid</w:t>
      </w:r>
      <w:r w:rsidR="008A1248" w:rsidRPr="00391F6E">
        <w:rPr>
          <w:i/>
          <w:lang w:val="fr-CA"/>
        </w:rPr>
        <w:t>ité constitutionnelle du régime</w:t>
      </w:r>
      <w:r w:rsidR="00535626" w:rsidRPr="00391F6E">
        <w:rPr>
          <w:i/>
          <w:lang w:val="fr-CA"/>
        </w:rPr>
        <w:t xml:space="preserve">? — Loi </w:t>
      </w:r>
      <w:r w:rsidR="00535626" w:rsidRPr="00391F6E">
        <w:rPr>
          <w:bCs/>
          <w:i/>
          <w:kern w:val="36"/>
          <w:szCs w:val="24"/>
          <w:lang w:val="fr-CA"/>
        </w:rPr>
        <w:t>réglementant certaines drogues et autres substances</w:t>
      </w:r>
      <w:r w:rsidR="00A03AF9" w:rsidRPr="00391F6E">
        <w:rPr>
          <w:i/>
          <w:lang w:val="fr-CA"/>
        </w:rPr>
        <w:t>, L.C</w:t>
      </w:r>
      <w:r w:rsidR="00EC47BB">
        <w:rPr>
          <w:i/>
          <w:lang w:val="fr-CA"/>
        </w:rPr>
        <w:t xml:space="preserve">. </w:t>
      </w:r>
      <w:r w:rsidR="00004C87">
        <w:rPr>
          <w:i/>
          <w:lang w:val="fr-CA"/>
        </w:rPr>
        <w:t>1996, c</w:t>
      </w:r>
      <w:r w:rsidR="00EC47BB">
        <w:rPr>
          <w:i/>
          <w:lang w:val="fr-CA"/>
        </w:rPr>
        <w:t xml:space="preserve">. </w:t>
      </w:r>
      <w:r w:rsidR="00535626" w:rsidRPr="00391F6E">
        <w:rPr>
          <w:i/>
          <w:lang w:val="fr-CA"/>
        </w:rPr>
        <w:t xml:space="preserve">19, </w:t>
      </w:r>
      <w:r w:rsidR="00C13434">
        <w:rPr>
          <w:i/>
          <w:lang w:val="fr-CA"/>
        </w:rPr>
        <w:t>art</w:t>
      </w:r>
      <w:r w:rsidR="00EC47BB">
        <w:rPr>
          <w:i/>
          <w:lang w:val="fr-CA"/>
        </w:rPr>
        <w:t xml:space="preserve">. </w:t>
      </w:r>
      <w:r w:rsidR="00535626" w:rsidRPr="00391F6E">
        <w:rPr>
          <w:i/>
          <w:lang w:val="fr-CA"/>
        </w:rPr>
        <w:t xml:space="preserve">4(1), 5(2) — Règlement sur l’accès à la </w:t>
      </w:r>
      <w:r w:rsidR="005532D8">
        <w:rPr>
          <w:i/>
          <w:lang w:val="fr-CA"/>
        </w:rPr>
        <w:t>marihuana</w:t>
      </w:r>
      <w:r w:rsidR="00535626" w:rsidRPr="00391F6E">
        <w:rPr>
          <w:i/>
          <w:lang w:val="fr-CA"/>
        </w:rPr>
        <w:t xml:space="preserve"> à des fins médicales, DORS/2001</w:t>
      </w:r>
      <w:r w:rsidR="00147051">
        <w:rPr>
          <w:i/>
          <w:lang w:val="fr-CA"/>
        </w:rPr>
        <w:t>-</w:t>
      </w:r>
      <w:r w:rsidR="00535626" w:rsidRPr="00391F6E">
        <w:rPr>
          <w:i/>
          <w:lang w:val="fr-CA"/>
        </w:rPr>
        <w:t>227.</w:t>
      </w:r>
    </w:p>
    <w:p w:rsidR="006F027B" w:rsidRPr="00004C87" w:rsidRDefault="00810B3F" w:rsidP="00535610">
      <w:pPr>
        <w:pStyle w:val="SCCNormalDoubleSpacing"/>
        <w:widowControl w:val="0"/>
        <w:spacing w:before="480" w:after="480"/>
        <w:rPr>
          <w:i/>
          <w:lang w:val="fr-CA"/>
        </w:rPr>
      </w:pPr>
      <w:r w:rsidRPr="00004C87">
        <w:rPr>
          <w:i/>
          <w:lang w:val="fr-CA"/>
        </w:rPr>
        <w:tab/>
      </w:r>
      <w:r w:rsidR="00535626" w:rsidRPr="00004C87">
        <w:rPr>
          <w:i/>
          <w:lang w:val="fr-CA"/>
        </w:rPr>
        <w:t xml:space="preserve">Droit constitutionnel — Charte des droits — Droit à la vie, à la liberté et à la sécurité de la personne — Justice fondamentale — Accusé inculpé de possession de cannabis et de possession </w:t>
      </w:r>
      <w:r w:rsidR="00B413FC" w:rsidRPr="00004C87">
        <w:rPr>
          <w:i/>
          <w:lang w:val="fr-CA"/>
        </w:rPr>
        <w:t>de cannabis</w:t>
      </w:r>
      <w:r w:rsidR="00535626" w:rsidRPr="00004C87">
        <w:rPr>
          <w:i/>
          <w:lang w:val="fr-CA"/>
        </w:rPr>
        <w:t xml:space="preserve"> en vue d’en faire le trafic — Règlement restreignant la possession légale de </w:t>
      </w:r>
      <w:r w:rsidR="005532D8">
        <w:rPr>
          <w:i/>
          <w:lang w:val="fr-CA"/>
        </w:rPr>
        <w:t>marihuana</w:t>
      </w:r>
      <w:r w:rsidR="00535626" w:rsidRPr="00004C87">
        <w:rPr>
          <w:i/>
          <w:lang w:val="fr-CA"/>
        </w:rPr>
        <w:t xml:space="preserve"> à des fins médicales à sa forme séchée — La restriction porte</w:t>
      </w:r>
      <w:r w:rsidR="00147051">
        <w:rPr>
          <w:i/>
          <w:lang w:val="fr-CA"/>
        </w:rPr>
        <w:t>-</w:t>
      </w:r>
      <w:r w:rsidR="00535626" w:rsidRPr="00004C87">
        <w:rPr>
          <w:i/>
          <w:lang w:val="fr-CA"/>
        </w:rPr>
        <w:t>t</w:t>
      </w:r>
      <w:r w:rsidR="00147051">
        <w:rPr>
          <w:i/>
          <w:lang w:val="fr-CA"/>
        </w:rPr>
        <w:t>-</w:t>
      </w:r>
      <w:r w:rsidR="00535626" w:rsidRPr="00004C87">
        <w:rPr>
          <w:i/>
          <w:lang w:val="fr-CA"/>
        </w:rPr>
        <w:t>elle atteinte au droit garanti par l’</w:t>
      </w:r>
      <w:r w:rsidR="00C13434" w:rsidRPr="00004C87">
        <w:rPr>
          <w:i/>
          <w:lang w:val="fr-CA"/>
        </w:rPr>
        <w:t>art</w:t>
      </w:r>
      <w:r w:rsidR="00EC47BB">
        <w:rPr>
          <w:i/>
          <w:lang w:val="fr-CA"/>
        </w:rPr>
        <w:t xml:space="preserve">. </w:t>
      </w:r>
      <w:r w:rsidR="00535626" w:rsidRPr="00004C87">
        <w:rPr>
          <w:i/>
          <w:lang w:val="fr-CA"/>
        </w:rPr>
        <w:t xml:space="preserve">7 de la Charte </w:t>
      </w:r>
      <w:r w:rsidR="00B413FC" w:rsidRPr="00004C87">
        <w:rPr>
          <w:i/>
          <w:lang w:val="fr-CA"/>
        </w:rPr>
        <w:t xml:space="preserve">canadienne </w:t>
      </w:r>
      <w:r w:rsidR="00535626" w:rsidRPr="00004C87">
        <w:rPr>
          <w:i/>
          <w:lang w:val="fr-CA"/>
        </w:rPr>
        <w:t>des droits et libertés</w:t>
      </w:r>
      <w:r w:rsidR="00D27565" w:rsidRPr="00004C87">
        <w:rPr>
          <w:i/>
          <w:lang w:val="fr-CA"/>
        </w:rPr>
        <w:t>?</w:t>
      </w:r>
      <w:r w:rsidR="00535626" w:rsidRPr="00004C87">
        <w:rPr>
          <w:i/>
          <w:lang w:val="fr-CA"/>
        </w:rPr>
        <w:t xml:space="preserve"> — Si oui, l’atteinte est</w:t>
      </w:r>
      <w:r w:rsidR="00147051">
        <w:rPr>
          <w:i/>
          <w:lang w:val="fr-CA"/>
        </w:rPr>
        <w:t>-</w:t>
      </w:r>
      <w:r w:rsidR="00535626" w:rsidRPr="00004C87">
        <w:rPr>
          <w:i/>
          <w:lang w:val="fr-CA"/>
        </w:rPr>
        <w:t>elle justifiable au regard de l’article premier de la Charte?</w:t>
      </w:r>
      <w:r w:rsidR="00D27565" w:rsidRPr="00004C87">
        <w:rPr>
          <w:i/>
          <w:lang w:val="fr-CA"/>
        </w:rPr>
        <w:t xml:space="preserve"> —</w:t>
      </w:r>
      <w:r w:rsidR="00535626" w:rsidRPr="00004C87">
        <w:rPr>
          <w:i/>
          <w:lang w:val="fr-CA"/>
        </w:rPr>
        <w:t xml:space="preserve"> </w:t>
      </w:r>
      <w:r w:rsidR="00B413FC" w:rsidRPr="00004C87">
        <w:rPr>
          <w:i/>
          <w:lang w:val="fr-CA"/>
        </w:rPr>
        <w:t xml:space="preserve">Réparation appropriée — </w:t>
      </w:r>
      <w:r w:rsidR="00535626" w:rsidRPr="00004C87">
        <w:rPr>
          <w:i/>
          <w:lang w:val="fr-CA"/>
        </w:rPr>
        <w:t xml:space="preserve">Loi </w:t>
      </w:r>
      <w:r w:rsidR="00535626" w:rsidRPr="00004C87">
        <w:rPr>
          <w:bCs/>
          <w:i/>
          <w:kern w:val="36"/>
          <w:szCs w:val="24"/>
          <w:lang w:val="fr-CA"/>
        </w:rPr>
        <w:t>réglementant certaines drogues et autres substances</w:t>
      </w:r>
      <w:r w:rsidR="00535626" w:rsidRPr="00004C87">
        <w:rPr>
          <w:i/>
          <w:lang w:val="fr-CA"/>
        </w:rPr>
        <w:t>, L.C</w:t>
      </w:r>
      <w:r w:rsidR="00EC47BB">
        <w:rPr>
          <w:i/>
          <w:lang w:val="fr-CA"/>
        </w:rPr>
        <w:t xml:space="preserve">. </w:t>
      </w:r>
      <w:r w:rsidR="00004C87">
        <w:rPr>
          <w:i/>
          <w:lang w:val="fr-CA"/>
        </w:rPr>
        <w:t>1996, c</w:t>
      </w:r>
      <w:r w:rsidR="00EC47BB">
        <w:rPr>
          <w:i/>
          <w:lang w:val="fr-CA"/>
        </w:rPr>
        <w:t xml:space="preserve">. </w:t>
      </w:r>
      <w:r w:rsidR="00535626" w:rsidRPr="00004C87">
        <w:rPr>
          <w:i/>
          <w:lang w:val="fr-CA"/>
        </w:rPr>
        <w:t xml:space="preserve">19, </w:t>
      </w:r>
      <w:r w:rsidR="00C13434" w:rsidRPr="00004C87">
        <w:rPr>
          <w:i/>
          <w:lang w:val="fr-CA"/>
        </w:rPr>
        <w:t>art</w:t>
      </w:r>
      <w:r w:rsidR="00EC47BB">
        <w:rPr>
          <w:i/>
          <w:lang w:val="fr-CA"/>
        </w:rPr>
        <w:t xml:space="preserve">. </w:t>
      </w:r>
      <w:r w:rsidR="00535626" w:rsidRPr="00004C87">
        <w:rPr>
          <w:i/>
          <w:lang w:val="fr-CA"/>
        </w:rPr>
        <w:t xml:space="preserve">4(1), 5(2) — Règlement sur l’accès à la </w:t>
      </w:r>
      <w:r w:rsidR="005532D8">
        <w:rPr>
          <w:i/>
          <w:lang w:val="fr-CA"/>
        </w:rPr>
        <w:t>marihuana</w:t>
      </w:r>
      <w:r w:rsidR="00535626" w:rsidRPr="00004C87">
        <w:rPr>
          <w:i/>
          <w:lang w:val="fr-CA"/>
        </w:rPr>
        <w:t xml:space="preserve"> à des fins médicales, DORS/2001</w:t>
      </w:r>
      <w:r w:rsidR="00147051">
        <w:rPr>
          <w:i/>
          <w:lang w:val="fr-CA"/>
        </w:rPr>
        <w:t>-</w:t>
      </w:r>
      <w:r w:rsidR="00535626" w:rsidRPr="00004C87">
        <w:rPr>
          <w:i/>
          <w:lang w:val="fr-CA"/>
        </w:rPr>
        <w:t>227.</w:t>
      </w:r>
    </w:p>
    <w:p w:rsidR="006F027B" w:rsidRPr="00391F6E" w:rsidRDefault="00A03AF9" w:rsidP="00535610">
      <w:pPr>
        <w:pStyle w:val="SCCNormalDoubleSpacing"/>
        <w:widowControl w:val="0"/>
        <w:spacing w:before="480" w:after="480"/>
        <w:rPr>
          <w:lang w:val="fr-CA"/>
        </w:rPr>
      </w:pPr>
      <w:r w:rsidRPr="00391F6E">
        <w:rPr>
          <w:i/>
          <w:lang w:val="fr-CA"/>
        </w:rPr>
        <w:tab/>
      </w:r>
      <w:r w:rsidR="00D75030" w:rsidRPr="00391F6E">
        <w:rPr>
          <w:lang w:val="fr-CA"/>
        </w:rPr>
        <w:t xml:space="preserve">S fabriquait, en vue de leur vente, des produits comestibles et des produits topiques à partir de la </w:t>
      </w:r>
      <w:r w:rsidR="005532D8">
        <w:rPr>
          <w:lang w:val="fr-CA"/>
        </w:rPr>
        <w:t>marihuana</w:t>
      </w:r>
      <w:r w:rsidR="00D75030" w:rsidRPr="00391F6E">
        <w:rPr>
          <w:lang w:val="fr-CA"/>
        </w:rPr>
        <w:t xml:space="preserve"> par l’extraction des composés actifs de la plante de cannabis</w:t>
      </w:r>
      <w:r w:rsidR="00EC47BB">
        <w:rPr>
          <w:lang w:val="fr-CA"/>
        </w:rPr>
        <w:t xml:space="preserve">. </w:t>
      </w:r>
      <w:r w:rsidR="00D75030" w:rsidRPr="00391F6E">
        <w:rPr>
          <w:lang w:val="fr-CA"/>
        </w:rPr>
        <w:t xml:space="preserve">Il exerçait ses activités en dehors du cadre du régime établi par le </w:t>
      </w:r>
      <w:r w:rsidR="00D75030" w:rsidRPr="00391F6E">
        <w:rPr>
          <w:i/>
          <w:iCs/>
          <w:lang w:val="fr-CA"/>
        </w:rPr>
        <w:t xml:space="preserve">Règlement sur </w:t>
      </w:r>
      <w:r w:rsidR="00B413FC" w:rsidRPr="00391F6E">
        <w:rPr>
          <w:i/>
          <w:iCs/>
          <w:lang w:val="fr-CA"/>
        </w:rPr>
        <w:t xml:space="preserve">l’accès à </w:t>
      </w:r>
      <w:r w:rsidR="00D75030" w:rsidRPr="00391F6E">
        <w:rPr>
          <w:i/>
          <w:iCs/>
          <w:lang w:val="fr-CA"/>
        </w:rPr>
        <w:t xml:space="preserve">la </w:t>
      </w:r>
      <w:r w:rsidR="005532D8">
        <w:rPr>
          <w:i/>
          <w:iCs/>
          <w:lang w:val="fr-CA"/>
        </w:rPr>
        <w:t>marihuana</w:t>
      </w:r>
      <w:r w:rsidR="00D75030" w:rsidRPr="00391F6E">
        <w:rPr>
          <w:i/>
          <w:iCs/>
          <w:lang w:val="fr-CA"/>
        </w:rPr>
        <w:t xml:space="preserve"> à des fins médicales </w:t>
      </w:r>
      <w:r w:rsidR="00D75030" w:rsidRPr="00391F6E">
        <w:rPr>
          <w:lang w:val="fr-CA"/>
        </w:rPr>
        <w:t>(le « </w:t>
      </w:r>
      <w:r w:rsidR="00D75030" w:rsidRPr="00391F6E">
        <w:rPr>
          <w:i/>
          <w:lang w:val="fr-CA"/>
        </w:rPr>
        <w:t>R</w:t>
      </w:r>
      <w:r w:rsidR="00B413FC" w:rsidRPr="00391F6E">
        <w:rPr>
          <w:i/>
          <w:lang w:val="fr-CA"/>
        </w:rPr>
        <w:t>A</w:t>
      </w:r>
      <w:r w:rsidR="00D75030" w:rsidRPr="00391F6E">
        <w:rPr>
          <w:i/>
          <w:lang w:val="fr-CA"/>
        </w:rPr>
        <w:t>MFM</w:t>
      </w:r>
      <w:r w:rsidR="00D75030" w:rsidRPr="00391F6E">
        <w:rPr>
          <w:lang w:val="fr-CA"/>
        </w:rPr>
        <w:t> »)</w:t>
      </w:r>
      <w:r w:rsidR="006F027B" w:rsidRPr="00391F6E">
        <w:rPr>
          <w:lang w:val="fr-CA"/>
        </w:rPr>
        <w:t xml:space="preserve"> </w:t>
      </w:r>
      <w:r w:rsidR="00D75030" w:rsidRPr="00391F6E">
        <w:rPr>
          <w:lang w:val="fr-CA"/>
        </w:rPr>
        <w:t>qui limite à la « </w:t>
      </w:r>
      <w:r w:rsidR="005532D8">
        <w:rPr>
          <w:lang w:val="fr-CA"/>
        </w:rPr>
        <w:t>marihuana</w:t>
      </w:r>
      <w:r w:rsidR="00D75030" w:rsidRPr="00391F6E">
        <w:rPr>
          <w:lang w:val="fr-CA"/>
        </w:rPr>
        <w:t xml:space="preserve"> séchée » </w:t>
      </w:r>
      <w:r w:rsidR="00D75030" w:rsidRPr="00391F6E">
        <w:rPr>
          <w:iCs/>
          <w:lang w:val="fr-CA"/>
        </w:rPr>
        <w:t>la possession légitime de</w:t>
      </w:r>
      <w:r w:rsidR="00D75030" w:rsidRPr="00391F6E">
        <w:rPr>
          <w:lang w:val="fr-CA"/>
        </w:rPr>
        <w:t xml:space="preserve"> </w:t>
      </w:r>
      <w:r w:rsidR="005532D8">
        <w:rPr>
          <w:lang w:val="fr-CA"/>
        </w:rPr>
        <w:t>marihuana</w:t>
      </w:r>
      <w:r w:rsidR="00D75030" w:rsidRPr="00391F6E">
        <w:rPr>
          <w:lang w:val="fr-CA"/>
        </w:rPr>
        <w:t xml:space="preserve"> à des fins médicales</w:t>
      </w:r>
      <w:r w:rsidR="00EC47BB">
        <w:rPr>
          <w:lang w:val="fr-CA"/>
        </w:rPr>
        <w:t xml:space="preserve">. </w:t>
      </w:r>
      <w:r w:rsidR="00D75030" w:rsidRPr="00391F6E">
        <w:rPr>
          <w:lang w:val="fr-CA"/>
        </w:rPr>
        <w:t>S</w:t>
      </w:r>
      <w:r w:rsidR="00D27565" w:rsidRPr="00391F6E">
        <w:rPr>
          <w:lang w:val="fr-CA"/>
        </w:rPr>
        <w:t> </w:t>
      </w:r>
      <w:r w:rsidR="00D75030" w:rsidRPr="00391F6E">
        <w:rPr>
          <w:lang w:val="fr-CA"/>
        </w:rPr>
        <w:t>ne consomme pas lui</w:t>
      </w:r>
      <w:r w:rsidR="00147051">
        <w:rPr>
          <w:lang w:val="fr-CA"/>
        </w:rPr>
        <w:t>-</w:t>
      </w:r>
      <w:r w:rsidR="00D75030" w:rsidRPr="00391F6E">
        <w:rPr>
          <w:lang w:val="fr-CA"/>
        </w:rPr>
        <w:t xml:space="preserve">même de </w:t>
      </w:r>
      <w:r w:rsidR="005532D8">
        <w:rPr>
          <w:lang w:val="fr-CA"/>
        </w:rPr>
        <w:t>marihuana</w:t>
      </w:r>
      <w:r w:rsidR="00D75030" w:rsidRPr="00391F6E">
        <w:rPr>
          <w:lang w:val="fr-CA"/>
        </w:rPr>
        <w:t xml:space="preserve"> à des fins médicales</w:t>
      </w:r>
      <w:r w:rsidR="00EC47BB">
        <w:rPr>
          <w:lang w:val="fr-CA"/>
        </w:rPr>
        <w:t xml:space="preserve">. </w:t>
      </w:r>
      <w:r w:rsidR="00A54074" w:rsidRPr="00391F6E">
        <w:rPr>
          <w:lang w:val="fr-CA"/>
        </w:rPr>
        <w:t xml:space="preserve">La police a </w:t>
      </w:r>
      <w:r w:rsidR="00B413FC" w:rsidRPr="00391F6E">
        <w:rPr>
          <w:lang w:val="fr-CA"/>
        </w:rPr>
        <w:t>inculpé</w:t>
      </w:r>
      <w:r w:rsidR="00A54074" w:rsidRPr="00391F6E">
        <w:rPr>
          <w:lang w:val="fr-CA"/>
        </w:rPr>
        <w:t xml:space="preserve"> S</w:t>
      </w:r>
      <w:r w:rsidR="00D27565" w:rsidRPr="00391F6E">
        <w:rPr>
          <w:lang w:val="fr-CA"/>
        </w:rPr>
        <w:t> </w:t>
      </w:r>
      <w:r w:rsidR="00A54074" w:rsidRPr="00391F6E">
        <w:rPr>
          <w:lang w:val="fr-CA"/>
        </w:rPr>
        <w:t xml:space="preserve">de possession de </w:t>
      </w:r>
      <w:r w:rsidR="00B413FC" w:rsidRPr="00391F6E">
        <w:rPr>
          <w:lang w:val="fr-CA"/>
        </w:rPr>
        <w:t>cannabis</w:t>
      </w:r>
      <w:r w:rsidR="00A54074" w:rsidRPr="00391F6E">
        <w:rPr>
          <w:lang w:val="fr-CA"/>
        </w:rPr>
        <w:t xml:space="preserve"> et de possession </w:t>
      </w:r>
      <w:r w:rsidR="00B413FC" w:rsidRPr="00391F6E">
        <w:rPr>
          <w:lang w:val="fr-CA"/>
        </w:rPr>
        <w:t>de cannabis</w:t>
      </w:r>
      <w:r w:rsidR="00A54074" w:rsidRPr="00391F6E">
        <w:rPr>
          <w:lang w:val="fr-CA"/>
        </w:rPr>
        <w:t xml:space="preserve"> en vue d’en faire le trafic, infractions décrites </w:t>
      </w:r>
      <w:r w:rsidR="00B413FC" w:rsidRPr="00391F6E">
        <w:rPr>
          <w:lang w:val="fr-CA"/>
        </w:rPr>
        <w:t xml:space="preserve">respectivement </w:t>
      </w:r>
      <w:r w:rsidR="00A54074" w:rsidRPr="00391F6E">
        <w:rPr>
          <w:lang w:val="fr-CA"/>
        </w:rPr>
        <w:t xml:space="preserve">aux </w:t>
      </w:r>
      <w:r w:rsidR="00C13434">
        <w:rPr>
          <w:lang w:val="fr-CA"/>
        </w:rPr>
        <w:t>par</w:t>
      </w:r>
      <w:r w:rsidR="00EC47BB">
        <w:rPr>
          <w:lang w:val="fr-CA"/>
        </w:rPr>
        <w:t xml:space="preserve">. </w:t>
      </w:r>
      <w:r w:rsidR="00A54074" w:rsidRPr="00391F6E">
        <w:rPr>
          <w:lang w:val="fr-CA"/>
        </w:rPr>
        <w:t xml:space="preserve">4(1) et 5(2) de la </w:t>
      </w:r>
      <w:r w:rsidR="00A54074" w:rsidRPr="00391F6E">
        <w:rPr>
          <w:i/>
          <w:lang w:val="fr-CA"/>
        </w:rPr>
        <w:t xml:space="preserve">Loi </w:t>
      </w:r>
      <w:r w:rsidR="00A54074" w:rsidRPr="00391F6E">
        <w:rPr>
          <w:bCs/>
          <w:i/>
          <w:kern w:val="36"/>
          <w:szCs w:val="24"/>
          <w:lang w:val="fr-CA"/>
        </w:rPr>
        <w:lastRenderedPageBreak/>
        <w:t>réglementant certaines drogues et autres substances</w:t>
      </w:r>
      <w:r w:rsidR="00A54074" w:rsidRPr="00391F6E">
        <w:rPr>
          <w:lang w:val="fr-CA"/>
        </w:rPr>
        <w:t xml:space="preserve"> (la « </w:t>
      </w:r>
      <w:r w:rsidR="00A54074" w:rsidRPr="00391F6E">
        <w:rPr>
          <w:i/>
          <w:lang w:val="fr-CA"/>
        </w:rPr>
        <w:t>LRCDAS</w:t>
      </w:r>
      <w:r w:rsidR="00A54074" w:rsidRPr="00391F6E">
        <w:rPr>
          <w:lang w:val="fr-CA"/>
        </w:rPr>
        <w:t> »)</w:t>
      </w:r>
      <w:r w:rsidR="00EC47BB">
        <w:rPr>
          <w:lang w:val="fr-CA"/>
        </w:rPr>
        <w:t xml:space="preserve">. </w:t>
      </w:r>
      <w:r w:rsidR="00A54074" w:rsidRPr="00391F6E">
        <w:rPr>
          <w:lang w:val="fr-CA"/>
        </w:rPr>
        <w:t xml:space="preserve">Le juge du procès a conclu que l’interdiction touchant </w:t>
      </w:r>
      <w:r w:rsidR="00B413FC" w:rsidRPr="00391F6E">
        <w:rPr>
          <w:lang w:val="fr-CA"/>
        </w:rPr>
        <w:t>les</w:t>
      </w:r>
      <w:r w:rsidR="00A54074" w:rsidRPr="00391F6E">
        <w:rPr>
          <w:lang w:val="fr-CA"/>
        </w:rPr>
        <w:t xml:space="preserve"> formes non séchées de </w:t>
      </w:r>
      <w:r w:rsidR="005532D8">
        <w:rPr>
          <w:lang w:val="fr-CA"/>
        </w:rPr>
        <w:t>marihuana</w:t>
      </w:r>
      <w:r w:rsidR="00A54074" w:rsidRPr="00391F6E">
        <w:rPr>
          <w:lang w:val="fr-CA"/>
        </w:rPr>
        <w:t xml:space="preserve"> </w:t>
      </w:r>
      <w:r w:rsidR="00D27565" w:rsidRPr="00391F6E">
        <w:rPr>
          <w:lang w:val="fr-CA"/>
        </w:rPr>
        <w:t xml:space="preserve">utilisées </w:t>
      </w:r>
      <w:r w:rsidR="00A54074" w:rsidRPr="00391F6E">
        <w:rPr>
          <w:lang w:val="fr-CA"/>
        </w:rPr>
        <w:t>à des fins médicales</w:t>
      </w:r>
      <w:r w:rsidR="00696766" w:rsidRPr="00391F6E">
        <w:rPr>
          <w:lang w:val="fr-CA"/>
        </w:rPr>
        <w:t xml:space="preserve"> portait atteinte de façon injustifiable au droit protégé par l’</w:t>
      </w:r>
      <w:r w:rsidR="00C13434">
        <w:rPr>
          <w:lang w:val="fr-CA"/>
        </w:rPr>
        <w:t>art</w:t>
      </w:r>
      <w:r w:rsidR="00EC47BB">
        <w:rPr>
          <w:lang w:val="fr-CA"/>
        </w:rPr>
        <w:t xml:space="preserve">. </w:t>
      </w:r>
      <w:r w:rsidR="00696766" w:rsidRPr="00391F6E">
        <w:rPr>
          <w:lang w:val="fr-CA"/>
        </w:rPr>
        <w:t xml:space="preserve">7 de la </w:t>
      </w:r>
      <w:r w:rsidR="00696766" w:rsidRPr="00391F6E">
        <w:rPr>
          <w:i/>
          <w:lang w:val="fr-CA"/>
        </w:rPr>
        <w:t>Charte</w:t>
      </w:r>
      <w:r w:rsidR="00696766" w:rsidRPr="00391F6E">
        <w:rPr>
          <w:lang w:val="fr-CA"/>
        </w:rPr>
        <w:t xml:space="preserve"> et les juges majoritaires de la Cour d’appel ont rejeté l’appel</w:t>
      </w:r>
      <w:r w:rsidR="00EC47BB">
        <w:rPr>
          <w:lang w:val="fr-CA"/>
        </w:rPr>
        <w:t xml:space="preserve">. </w:t>
      </w:r>
    </w:p>
    <w:p w:rsidR="006F027B" w:rsidRPr="00391F6E" w:rsidRDefault="00A03AF9" w:rsidP="00535610">
      <w:pPr>
        <w:pStyle w:val="SCCNormalDoubleSpacing"/>
        <w:widowControl w:val="0"/>
        <w:spacing w:before="480" w:after="480"/>
        <w:rPr>
          <w:lang w:val="fr-CA"/>
        </w:rPr>
      </w:pPr>
      <w:r w:rsidRPr="00391F6E">
        <w:rPr>
          <w:lang w:val="fr-CA"/>
        </w:rPr>
        <w:tab/>
      </w:r>
      <w:r w:rsidR="00950B48" w:rsidRPr="00391F6E">
        <w:rPr>
          <w:i/>
          <w:lang w:val="fr-CA"/>
        </w:rPr>
        <w:t>Arrêt</w:t>
      </w:r>
      <w:r w:rsidR="00C13434">
        <w:rPr>
          <w:i/>
          <w:lang w:val="fr-CA"/>
        </w:rPr>
        <w:t> </w:t>
      </w:r>
      <w:r w:rsidR="006E5B9E" w:rsidRPr="005532D8">
        <w:rPr>
          <w:lang w:val="fr-CA"/>
        </w:rPr>
        <w:t>:</w:t>
      </w:r>
      <w:r w:rsidR="006E5B9E">
        <w:rPr>
          <w:i/>
          <w:lang w:val="fr-CA"/>
        </w:rPr>
        <w:t xml:space="preserve"> </w:t>
      </w:r>
      <w:r w:rsidR="00950B48" w:rsidRPr="00391F6E">
        <w:rPr>
          <w:lang w:val="fr-CA"/>
        </w:rPr>
        <w:t>L’appel est rejeté, la suspension de la déclaration d’invalidité prononcée par la Cour d’appel est supprimée et l’acquittement de S est confirmé.</w:t>
      </w:r>
    </w:p>
    <w:p w:rsidR="00CD7205" w:rsidRPr="00391F6E" w:rsidRDefault="00A03AF9" w:rsidP="00535610">
      <w:pPr>
        <w:pStyle w:val="SCCNormalDoubleSpacing"/>
        <w:widowControl w:val="0"/>
        <w:spacing w:before="480" w:after="480"/>
        <w:rPr>
          <w:lang w:val="fr-CA"/>
        </w:rPr>
      </w:pPr>
      <w:r w:rsidRPr="00391F6E">
        <w:rPr>
          <w:lang w:val="fr-CA"/>
        </w:rPr>
        <w:tab/>
      </w:r>
      <w:r w:rsidR="00CD7205" w:rsidRPr="00391F6E">
        <w:rPr>
          <w:lang w:val="fr-CA"/>
        </w:rPr>
        <w:t xml:space="preserve">S a qualité pour contester la constitutionnalité du </w:t>
      </w:r>
      <w:r w:rsidR="00CD7205" w:rsidRPr="00391F6E">
        <w:rPr>
          <w:i/>
          <w:lang w:val="fr-CA"/>
        </w:rPr>
        <w:t>RAMFM</w:t>
      </w:r>
      <w:r w:rsidR="00EC47BB">
        <w:rPr>
          <w:lang w:val="fr-CA"/>
        </w:rPr>
        <w:t xml:space="preserve">. </w:t>
      </w:r>
      <w:r w:rsidR="00CD7205" w:rsidRPr="00391F6E">
        <w:rPr>
          <w:lang w:val="fr-CA"/>
        </w:rPr>
        <w:t>Tout accusé a qualité pour contester la constitutionnalité de la loi en vertu de laquelle il est inculpé, même si les effets inconstitutionnels allégués ne le visent pas personnellement et même si toute réparation possible à l’égard d’un vice constitutionnel ne mettra pas automatiquement fin aux accusations portées contre lui.</w:t>
      </w:r>
    </w:p>
    <w:p w:rsidR="006F027B" w:rsidRPr="00391F6E" w:rsidRDefault="00A03AF9" w:rsidP="00535610">
      <w:pPr>
        <w:pStyle w:val="SCCNormalDoubleSpacing"/>
        <w:widowControl w:val="0"/>
        <w:spacing w:before="480" w:after="480"/>
        <w:rPr>
          <w:lang w:val="fr-CA"/>
        </w:rPr>
      </w:pPr>
      <w:r w:rsidRPr="00391F6E">
        <w:rPr>
          <w:lang w:val="fr-CA"/>
        </w:rPr>
        <w:tab/>
      </w:r>
      <w:r w:rsidR="00CD7205" w:rsidRPr="00391F6E">
        <w:rPr>
          <w:lang w:val="fr-CA"/>
        </w:rPr>
        <w:t xml:space="preserve">L’interdiction frappant la possession de formes non séchées de </w:t>
      </w:r>
      <w:r w:rsidR="005532D8">
        <w:rPr>
          <w:lang w:val="fr-CA"/>
        </w:rPr>
        <w:t>marihuana</w:t>
      </w:r>
      <w:r w:rsidR="00CD7205" w:rsidRPr="00391F6E">
        <w:rPr>
          <w:lang w:val="fr-CA"/>
        </w:rPr>
        <w:t xml:space="preserve"> à des fins médicales limite </w:t>
      </w:r>
      <w:r w:rsidR="00CF0D37" w:rsidRPr="00391F6E">
        <w:rPr>
          <w:lang w:val="fr-CA"/>
        </w:rPr>
        <w:t xml:space="preserve">de deux façons </w:t>
      </w:r>
      <w:r w:rsidR="00CD7205" w:rsidRPr="00391F6E">
        <w:rPr>
          <w:lang w:val="fr-CA"/>
        </w:rPr>
        <w:t xml:space="preserve">le droit à la liberté de la personne </w:t>
      </w:r>
      <w:r w:rsidR="00CF0D37" w:rsidRPr="00391F6E">
        <w:rPr>
          <w:lang w:val="fr-CA"/>
        </w:rPr>
        <w:t>garanti par</w:t>
      </w:r>
      <w:r w:rsidR="00CD7205" w:rsidRPr="00391F6E">
        <w:rPr>
          <w:lang w:val="fr-CA"/>
        </w:rPr>
        <w:t xml:space="preserve"> l’</w:t>
      </w:r>
      <w:r w:rsidR="00C13434">
        <w:rPr>
          <w:lang w:val="fr-CA"/>
        </w:rPr>
        <w:t>art</w:t>
      </w:r>
      <w:r w:rsidR="00EC47BB">
        <w:rPr>
          <w:lang w:val="fr-CA"/>
        </w:rPr>
        <w:t xml:space="preserve">. </w:t>
      </w:r>
      <w:r w:rsidR="00CD7205" w:rsidRPr="00391F6E">
        <w:rPr>
          <w:lang w:val="fr-CA"/>
        </w:rPr>
        <w:t xml:space="preserve">7 de la </w:t>
      </w:r>
      <w:r w:rsidR="00CD7205" w:rsidRPr="00391F6E">
        <w:rPr>
          <w:i/>
          <w:lang w:val="fr-CA"/>
        </w:rPr>
        <w:t>Charte</w:t>
      </w:r>
      <w:r w:rsidR="00EC47BB">
        <w:rPr>
          <w:lang w:val="fr-CA"/>
        </w:rPr>
        <w:t xml:space="preserve">. </w:t>
      </w:r>
      <w:r w:rsidR="00CF0D37" w:rsidRPr="00391F6E">
        <w:rPr>
          <w:lang w:val="fr-CA"/>
        </w:rPr>
        <w:t>Premièrement, elle prive</w:t>
      </w:r>
      <w:r w:rsidRPr="00391F6E">
        <w:rPr>
          <w:lang w:val="fr-CA"/>
        </w:rPr>
        <w:t xml:space="preserve"> </w:t>
      </w:r>
      <w:r w:rsidR="00CF0D37" w:rsidRPr="00391F6E">
        <w:rPr>
          <w:lang w:val="fr-CA"/>
        </w:rPr>
        <w:t xml:space="preserve">S et les consommateurs de </w:t>
      </w:r>
      <w:r w:rsidR="005532D8">
        <w:rPr>
          <w:lang w:val="fr-CA"/>
        </w:rPr>
        <w:t>marihuana</w:t>
      </w:r>
      <w:r w:rsidR="00CF0D37" w:rsidRPr="00391F6E">
        <w:rPr>
          <w:lang w:val="fr-CA"/>
        </w:rPr>
        <w:t xml:space="preserve"> à des fins médicales de leur liberté en les exposant au risque d’être incarcéré</w:t>
      </w:r>
      <w:r w:rsidR="00D27565" w:rsidRPr="00391F6E">
        <w:rPr>
          <w:lang w:val="fr-CA"/>
        </w:rPr>
        <w:t>s</w:t>
      </w:r>
      <w:r w:rsidR="00CF0D37" w:rsidRPr="00391F6E">
        <w:rPr>
          <w:lang w:val="fr-CA"/>
        </w:rPr>
        <w:t xml:space="preserve"> s’ils sont reconnus coupables en application du </w:t>
      </w:r>
      <w:r w:rsidR="00C13434">
        <w:rPr>
          <w:lang w:val="fr-CA"/>
        </w:rPr>
        <w:t>par</w:t>
      </w:r>
      <w:r w:rsidR="00EC47BB">
        <w:rPr>
          <w:lang w:val="fr-CA"/>
        </w:rPr>
        <w:t xml:space="preserve">. </w:t>
      </w:r>
      <w:r w:rsidR="00CF0D37" w:rsidRPr="00391F6E">
        <w:rPr>
          <w:lang w:val="fr-CA"/>
        </w:rPr>
        <w:t xml:space="preserve">4(1) ou du </w:t>
      </w:r>
      <w:r w:rsidR="00C13434">
        <w:rPr>
          <w:lang w:val="fr-CA"/>
        </w:rPr>
        <w:t>par</w:t>
      </w:r>
      <w:r w:rsidR="00EC47BB">
        <w:rPr>
          <w:lang w:val="fr-CA"/>
        </w:rPr>
        <w:t xml:space="preserve">. </w:t>
      </w:r>
      <w:r w:rsidR="00CF0D37" w:rsidRPr="00391F6E">
        <w:rPr>
          <w:lang w:val="fr-CA"/>
        </w:rPr>
        <w:t xml:space="preserve">5(2) de la </w:t>
      </w:r>
      <w:r w:rsidR="00CF0D37" w:rsidRPr="00391F6E">
        <w:rPr>
          <w:i/>
          <w:lang w:val="fr-CA"/>
        </w:rPr>
        <w:t>LRCDAS</w:t>
      </w:r>
      <w:r w:rsidR="00EC47BB">
        <w:rPr>
          <w:lang w:val="fr-CA"/>
        </w:rPr>
        <w:t xml:space="preserve">. </w:t>
      </w:r>
      <w:r w:rsidR="00CF0D37" w:rsidRPr="00391F6E">
        <w:rPr>
          <w:lang w:val="fr-CA"/>
        </w:rPr>
        <w:t xml:space="preserve">Deuxièmement, l’interdiction limite le droit à la liberté des </w:t>
      </w:r>
      <w:r w:rsidR="00ED2C01" w:rsidRPr="00391F6E">
        <w:rPr>
          <w:lang w:val="fr-CA"/>
        </w:rPr>
        <w:t xml:space="preserve">consommateurs de </w:t>
      </w:r>
      <w:r w:rsidR="005532D8">
        <w:rPr>
          <w:lang w:val="fr-CA"/>
        </w:rPr>
        <w:t>marihuana</w:t>
      </w:r>
      <w:r w:rsidR="00ED2C01" w:rsidRPr="00391F6E">
        <w:rPr>
          <w:lang w:val="fr-CA"/>
        </w:rPr>
        <w:t xml:space="preserve"> à des fins médicales en les privant de choix médicaux raisonnables </w:t>
      </w:r>
      <w:r w:rsidR="00B413FC" w:rsidRPr="00391F6E">
        <w:rPr>
          <w:lang w:val="fr-CA"/>
        </w:rPr>
        <w:t>puisque certains de ceux</w:t>
      </w:r>
      <w:r w:rsidR="00147051">
        <w:rPr>
          <w:lang w:val="fr-CA"/>
        </w:rPr>
        <w:t>-</w:t>
      </w:r>
      <w:r w:rsidR="00B413FC" w:rsidRPr="00391F6E">
        <w:rPr>
          <w:lang w:val="fr-CA"/>
        </w:rPr>
        <w:t>ci les expose</w:t>
      </w:r>
      <w:r w:rsidR="00ED2C01" w:rsidRPr="00391F6E">
        <w:rPr>
          <w:lang w:val="fr-CA"/>
        </w:rPr>
        <w:t>nt au risque d’une poursuite pénale</w:t>
      </w:r>
      <w:r w:rsidR="00EC47BB">
        <w:rPr>
          <w:lang w:val="fr-CA"/>
        </w:rPr>
        <w:t xml:space="preserve">. </w:t>
      </w:r>
      <w:r w:rsidR="00D27565" w:rsidRPr="00391F6E">
        <w:rPr>
          <w:lang w:val="fr-CA"/>
        </w:rPr>
        <w:t>En outre</w:t>
      </w:r>
      <w:r w:rsidR="00ED2C01" w:rsidRPr="00391F6E">
        <w:rPr>
          <w:lang w:val="fr-CA"/>
        </w:rPr>
        <w:t xml:space="preserve">, en contraignant ces personnes à choisir entre, d’une part, un traitement légal, mais inadéquat et, d’autre part, une solution illégale, mais plus </w:t>
      </w:r>
      <w:r w:rsidR="00ED2C01" w:rsidRPr="00391F6E">
        <w:rPr>
          <w:lang w:val="fr-CA"/>
        </w:rPr>
        <w:lastRenderedPageBreak/>
        <w:t>efficace, la loi porte également atteinte à la sécurité de la personne</w:t>
      </w:r>
      <w:r w:rsidR="00EC47BB">
        <w:rPr>
          <w:lang w:val="fr-CA"/>
        </w:rPr>
        <w:t xml:space="preserve">. </w:t>
      </w:r>
      <w:r w:rsidR="006F027B" w:rsidRPr="00391F6E">
        <w:rPr>
          <w:lang w:val="fr-CA"/>
        </w:rPr>
        <w:t xml:space="preserve"> </w:t>
      </w:r>
    </w:p>
    <w:p w:rsidR="006F027B" w:rsidRPr="00391F6E" w:rsidRDefault="00A03AF9" w:rsidP="00535610">
      <w:pPr>
        <w:pStyle w:val="SCCNormalDoubleSpacing"/>
        <w:widowControl w:val="0"/>
        <w:spacing w:before="480" w:after="480"/>
        <w:rPr>
          <w:lang w:val="fr-CA"/>
        </w:rPr>
      </w:pPr>
      <w:r w:rsidRPr="00391F6E">
        <w:rPr>
          <w:lang w:val="fr-CA"/>
        </w:rPr>
        <w:tab/>
      </w:r>
      <w:r w:rsidR="00ED2C01" w:rsidRPr="00391F6E">
        <w:rPr>
          <w:lang w:val="fr-CA"/>
        </w:rPr>
        <w:t>Ces limites sont contraires aux principes de justice fondamentale parce qu’elles sont arbitraires</w:t>
      </w:r>
      <w:r w:rsidR="00EC47BB">
        <w:rPr>
          <w:lang w:val="fr-CA"/>
        </w:rPr>
        <w:t xml:space="preserve">. </w:t>
      </w:r>
      <w:r w:rsidR="00ED2C01" w:rsidRPr="00391F6E">
        <w:rPr>
          <w:lang w:val="fr-CA"/>
        </w:rPr>
        <w:t>Les effets de l’interdiction sont contraires à l’objectif de protection de la santé et de la sécurité</w:t>
      </w:r>
      <w:r w:rsidR="00EC47BB">
        <w:rPr>
          <w:lang w:val="fr-CA"/>
        </w:rPr>
        <w:t xml:space="preserve">. </w:t>
      </w:r>
      <w:r w:rsidR="00ED2C01" w:rsidRPr="00391F6E">
        <w:rPr>
          <w:lang w:val="fr-CA"/>
        </w:rPr>
        <w:t xml:space="preserve">La preuve appuie amplement les conclusions qu’a tirées le juge de première instance suivant lesquelles inhaler de la </w:t>
      </w:r>
      <w:r w:rsidR="005532D8">
        <w:rPr>
          <w:lang w:val="fr-CA"/>
        </w:rPr>
        <w:t>marihuana</w:t>
      </w:r>
      <w:r w:rsidR="00ED2C01" w:rsidRPr="00391F6E">
        <w:rPr>
          <w:lang w:val="fr-CA"/>
        </w:rPr>
        <w:t xml:space="preserve"> peut présenter des risques pour la santé et est moins efficace dans le cas de certaines affections que l’administration de dérivés du cannabis</w:t>
      </w:r>
      <w:r w:rsidR="00EC47BB">
        <w:rPr>
          <w:lang w:val="fr-CA"/>
        </w:rPr>
        <w:t xml:space="preserve">. </w:t>
      </w:r>
      <w:r w:rsidR="00ED2C01" w:rsidRPr="00391F6E">
        <w:rPr>
          <w:lang w:val="fr-CA"/>
        </w:rPr>
        <w:t xml:space="preserve">Autrement dit, il n’y a pas de lien entre l’interdiction frappant les formes non séchées de </w:t>
      </w:r>
      <w:r w:rsidR="005532D8">
        <w:rPr>
          <w:lang w:val="fr-CA"/>
        </w:rPr>
        <w:t>marihuana</w:t>
      </w:r>
      <w:r w:rsidR="00ED2C01" w:rsidRPr="00391F6E">
        <w:rPr>
          <w:lang w:val="fr-CA"/>
        </w:rPr>
        <w:t xml:space="preserve"> utilisées à des fins médicales et la santé et la sécurité des patients qui satisfont aux conditions prévues par la loi pour avoir accès à de la </w:t>
      </w:r>
      <w:r w:rsidR="005532D8">
        <w:rPr>
          <w:lang w:val="fr-CA"/>
        </w:rPr>
        <w:t>marihuana</w:t>
      </w:r>
      <w:r w:rsidR="00ED2C01" w:rsidRPr="00391F6E">
        <w:rPr>
          <w:lang w:val="fr-CA"/>
        </w:rPr>
        <w:t xml:space="preserve"> à des fins médicales</w:t>
      </w:r>
      <w:r w:rsidR="00EC47BB">
        <w:rPr>
          <w:lang w:val="fr-CA"/>
        </w:rPr>
        <w:t xml:space="preserve">. </w:t>
      </w:r>
    </w:p>
    <w:p w:rsidR="006F027B" w:rsidRPr="00391F6E" w:rsidRDefault="00A03AF9" w:rsidP="00535610">
      <w:pPr>
        <w:pStyle w:val="SCCNormalDoubleSpacing"/>
        <w:widowControl w:val="0"/>
        <w:spacing w:before="480" w:after="480"/>
        <w:rPr>
          <w:lang w:val="fr-CA"/>
        </w:rPr>
      </w:pPr>
      <w:r w:rsidRPr="00391F6E">
        <w:rPr>
          <w:lang w:val="fr-CA"/>
        </w:rPr>
        <w:tab/>
      </w:r>
      <w:r w:rsidR="00DD1B8C" w:rsidRPr="00391F6E">
        <w:rPr>
          <w:lang w:val="fr-CA"/>
        </w:rPr>
        <w:t>En l’espèce, l’objectif de l’interdiction est le même</w:t>
      </w:r>
      <w:r w:rsidR="006F027B" w:rsidRPr="00391F6E">
        <w:rPr>
          <w:lang w:val="fr-CA"/>
        </w:rPr>
        <w:t xml:space="preserve"> </w:t>
      </w:r>
      <w:r w:rsidR="00423E4B" w:rsidRPr="00391F6E">
        <w:rPr>
          <w:lang w:val="fr-CA"/>
        </w:rPr>
        <w:t>dans les analyses fondées tant sur l’</w:t>
      </w:r>
      <w:r w:rsidR="00C13434">
        <w:rPr>
          <w:lang w:val="fr-CA"/>
        </w:rPr>
        <w:t>art</w:t>
      </w:r>
      <w:r w:rsidR="00EC47BB">
        <w:rPr>
          <w:lang w:val="fr-CA"/>
        </w:rPr>
        <w:t xml:space="preserve">. </w:t>
      </w:r>
      <w:r w:rsidR="00423E4B" w:rsidRPr="00391F6E">
        <w:rPr>
          <w:lang w:val="fr-CA"/>
        </w:rPr>
        <w:t xml:space="preserve">7 que sur l’article premier de la </w:t>
      </w:r>
      <w:r w:rsidR="00423E4B" w:rsidRPr="00391F6E">
        <w:rPr>
          <w:i/>
          <w:lang w:val="fr-CA"/>
        </w:rPr>
        <w:t>Charte</w:t>
      </w:r>
      <w:r w:rsidR="00C13434">
        <w:rPr>
          <w:lang w:val="fr-CA"/>
        </w:rPr>
        <w:t> </w:t>
      </w:r>
      <w:r w:rsidR="006E5B9E">
        <w:rPr>
          <w:lang w:val="fr-CA"/>
        </w:rPr>
        <w:t xml:space="preserve">: </w:t>
      </w:r>
      <w:r w:rsidR="00423E4B" w:rsidRPr="00391F6E">
        <w:rPr>
          <w:lang w:val="fr-CA"/>
        </w:rPr>
        <w:t>la protection de la santé et de la sécurité</w:t>
      </w:r>
      <w:r w:rsidR="00EC47BB">
        <w:rPr>
          <w:lang w:val="fr-CA"/>
        </w:rPr>
        <w:t xml:space="preserve">. </w:t>
      </w:r>
      <w:r w:rsidR="00423E4B" w:rsidRPr="00391F6E">
        <w:rPr>
          <w:lang w:val="fr-CA"/>
        </w:rPr>
        <w:t>Par conséquent, l</w:t>
      </w:r>
      <w:r w:rsidR="00423E4B" w:rsidRPr="00391F6E">
        <w:rPr>
          <w:iCs/>
          <w:lang w:val="fr-CA"/>
        </w:rPr>
        <w:t xml:space="preserve">a même absence de lien entre l’interdiction et son objet qui rend l’interdiction arbitraire pour </w:t>
      </w:r>
      <w:r w:rsidR="00004C87">
        <w:rPr>
          <w:iCs/>
          <w:lang w:val="fr-CA"/>
        </w:rPr>
        <w:t>l’</w:t>
      </w:r>
      <w:r w:rsidR="00423E4B" w:rsidRPr="00391F6E">
        <w:rPr>
          <w:iCs/>
          <w:lang w:val="fr-CA"/>
        </w:rPr>
        <w:t xml:space="preserve">application de </w:t>
      </w:r>
      <w:r w:rsidR="00423E4B" w:rsidRPr="00391F6E">
        <w:rPr>
          <w:lang w:val="fr-CA"/>
        </w:rPr>
        <w:t>l’</w:t>
      </w:r>
      <w:r w:rsidR="00C13434">
        <w:rPr>
          <w:lang w:val="fr-CA"/>
        </w:rPr>
        <w:t>art</w:t>
      </w:r>
      <w:r w:rsidR="00EC47BB">
        <w:rPr>
          <w:lang w:val="fr-CA"/>
        </w:rPr>
        <w:t xml:space="preserve">. </w:t>
      </w:r>
      <w:r w:rsidR="00423E4B" w:rsidRPr="00391F6E">
        <w:rPr>
          <w:lang w:val="fr-CA"/>
        </w:rPr>
        <w:t xml:space="preserve">7 </w:t>
      </w:r>
      <w:proofErr w:type="gramStart"/>
      <w:r w:rsidR="00423E4B" w:rsidRPr="00391F6E">
        <w:rPr>
          <w:lang w:val="fr-CA"/>
        </w:rPr>
        <w:t>fait</w:t>
      </w:r>
      <w:proofErr w:type="gramEnd"/>
      <w:r w:rsidR="00423E4B" w:rsidRPr="00391F6E">
        <w:rPr>
          <w:lang w:val="fr-CA"/>
        </w:rPr>
        <w:t xml:space="preserve"> échec à l’exigence de l’article premier selon laquelle il doit exister un lien rationnel entre la restriction du droit et un objectif urgent</w:t>
      </w:r>
      <w:r w:rsidR="00EC47BB">
        <w:rPr>
          <w:lang w:val="fr-CA"/>
        </w:rPr>
        <w:t xml:space="preserve">. </w:t>
      </w:r>
      <w:r w:rsidR="00423E4B" w:rsidRPr="00391F6E">
        <w:rPr>
          <w:lang w:val="fr-CA"/>
        </w:rPr>
        <w:t>L’atteinte portée à l’</w:t>
      </w:r>
      <w:r w:rsidR="00C13434">
        <w:rPr>
          <w:lang w:val="fr-CA"/>
        </w:rPr>
        <w:t>art</w:t>
      </w:r>
      <w:r w:rsidR="00EC47BB">
        <w:rPr>
          <w:lang w:val="fr-CA"/>
        </w:rPr>
        <w:t xml:space="preserve">. </w:t>
      </w:r>
      <w:r w:rsidR="00423E4B" w:rsidRPr="00391F6E">
        <w:rPr>
          <w:lang w:val="fr-CA"/>
        </w:rPr>
        <w:t>7 n’est donc pas justifiée au regard de l’article premier.</w:t>
      </w:r>
    </w:p>
    <w:p w:rsidR="00423E4B" w:rsidRPr="00391F6E" w:rsidRDefault="00A03AF9" w:rsidP="00535610">
      <w:pPr>
        <w:pStyle w:val="SCCNormalDoubleSpacing"/>
        <w:widowControl w:val="0"/>
        <w:spacing w:before="480" w:after="480"/>
        <w:rPr>
          <w:lang w:val="fr-CA"/>
        </w:rPr>
      </w:pPr>
      <w:r w:rsidRPr="00391F6E">
        <w:rPr>
          <w:lang w:val="fr-CA"/>
        </w:rPr>
        <w:tab/>
      </w:r>
      <w:r w:rsidR="00E400E9" w:rsidRPr="00391F6E">
        <w:rPr>
          <w:lang w:val="fr-CA"/>
        </w:rPr>
        <w:t xml:space="preserve">Les </w:t>
      </w:r>
      <w:r w:rsidRPr="00391F6E">
        <w:rPr>
          <w:lang w:val="fr-CA"/>
        </w:rPr>
        <w:t>articles</w:t>
      </w:r>
      <w:r w:rsidR="006E5B9E">
        <w:rPr>
          <w:lang w:val="fr-CA"/>
        </w:rPr>
        <w:t xml:space="preserve"> </w:t>
      </w:r>
      <w:r w:rsidR="00E400E9" w:rsidRPr="00391F6E">
        <w:rPr>
          <w:lang w:val="fr-CA"/>
        </w:rPr>
        <w:t xml:space="preserve">4 et 5 de la </w:t>
      </w:r>
      <w:r w:rsidR="00E400E9" w:rsidRPr="00391F6E">
        <w:rPr>
          <w:i/>
          <w:lang w:val="fr-CA"/>
        </w:rPr>
        <w:t xml:space="preserve">LRCDAS </w:t>
      </w:r>
      <w:r w:rsidR="00E400E9" w:rsidRPr="00391F6E">
        <w:rPr>
          <w:iCs/>
          <w:lang w:val="fr-CA"/>
        </w:rPr>
        <w:t>ne devraient toutefois pas être invalidés en entier</w:t>
      </w:r>
      <w:r w:rsidR="00EC47BB">
        <w:rPr>
          <w:iCs/>
          <w:lang w:val="fr-CA"/>
        </w:rPr>
        <w:t xml:space="preserve">. </w:t>
      </w:r>
      <w:r w:rsidR="003012D7" w:rsidRPr="00391F6E">
        <w:rPr>
          <w:iCs/>
          <w:lang w:val="fr-CA"/>
        </w:rPr>
        <w:t xml:space="preserve">La réparation appropriée consiste à déclarer ces dispositions inopérantes </w:t>
      </w:r>
      <w:r w:rsidR="003012D7" w:rsidRPr="00391F6E">
        <w:rPr>
          <w:lang w:val="fr-CA"/>
        </w:rPr>
        <w:t xml:space="preserve">dans la mesure où elles interdisent à une personne munie d’une autorisation médicale de posséder des dérivés du cannabis à des fins médicales; cette déclaration n’est </w:t>
      </w:r>
      <w:r w:rsidR="003012D7" w:rsidRPr="00391F6E">
        <w:rPr>
          <w:lang w:val="fr-CA"/>
        </w:rPr>
        <w:lastRenderedPageBreak/>
        <w:t>toutefois pas suspendue parce que la suspendre ferait en sorte que les patients se retrouveraient sans traitement médical légal et que la loi et son application seraient laissées dans le flou.</w:t>
      </w:r>
    </w:p>
    <w:p w:rsidR="004D7D95" w:rsidRPr="00391F6E" w:rsidRDefault="004D7D95" w:rsidP="00535610">
      <w:pPr>
        <w:pStyle w:val="SCCNormalDoubleSpacing"/>
        <w:widowControl w:val="0"/>
        <w:spacing w:after="720" w:line="240" w:lineRule="auto"/>
        <w:rPr>
          <w:b/>
          <w:lang w:val="fr-CA"/>
        </w:rPr>
      </w:pPr>
      <w:r w:rsidRPr="00391F6E">
        <w:rPr>
          <w:b/>
          <w:lang w:val="fr-CA"/>
        </w:rPr>
        <w:t>Jurisprudence</w:t>
      </w:r>
    </w:p>
    <w:p w:rsidR="004D7D95" w:rsidRPr="00391F6E" w:rsidRDefault="004D7D95" w:rsidP="00535610">
      <w:pPr>
        <w:pStyle w:val="SCCNormalDoubleSpacing"/>
        <w:widowControl w:val="0"/>
        <w:spacing w:before="480" w:after="480"/>
        <w:rPr>
          <w:b/>
          <w:lang w:val="fr-CA"/>
        </w:rPr>
      </w:pPr>
      <w:r w:rsidRPr="00391F6E">
        <w:rPr>
          <w:lang w:val="fr-CA"/>
        </w:rPr>
        <w:tab/>
      </w:r>
      <w:r w:rsidRPr="00391F6E">
        <w:rPr>
          <w:b/>
          <w:lang w:val="fr-CA"/>
        </w:rPr>
        <w:t>Arrêts mentionnés</w:t>
      </w:r>
      <w:r w:rsidR="00C13434">
        <w:rPr>
          <w:b/>
          <w:lang w:val="fr-CA"/>
        </w:rPr>
        <w:t> </w:t>
      </w:r>
      <w:r w:rsidR="006E5B9E">
        <w:rPr>
          <w:b/>
          <w:lang w:val="fr-CA"/>
        </w:rPr>
        <w:t xml:space="preserve">: </w:t>
      </w:r>
      <w:r w:rsidR="008F300E" w:rsidRPr="00391F6E">
        <w:rPr>
          <w:i/>
          <w:lang w:val="fr-CA"/>
        </w:rPr>
        <w:t>R</w:t>
      </w:r>
      <w:r w:rsidR="00EC47BB">
        <w:rPr>
          <w:i/>
          <w:lang w:val="fr-CA"/>
        </w:rPr>
        <w:t xml:space="preserve">. </w:t>
      </w:r>
      <w:r w:rsidR="008F300E" w:rsidRPr="00391F6E">
        <w:rPr>
          <w:i/>
          <w:lang w:val="fr-CA"/>
        </w:rPr>
        <w:t>c</w:t>
      </w:r>
      <w:r w:rsidR="00EC47BB">
        <w:rPr>
          <w:i/>
          <w:lang w:val="fr-CA"/>
        </w:rPr>
        <w:t xml:space="preserve">. </w:t>
      </w:r>
      <w:r w:rsidR="008F300E" w:rsidRPr="00391F6E">
        <w:rPr>
          <w:i/>
          <w:lang w:val="fr-CA"/>
        </w:rPr>
        <w:t>Parker</w:t>
      </w:r>
      <w:r w:rsidR="008F300E" w:rsidRPr="00391F6E">
        <w:rPr>
          <w:lang w:val="fr-CA"/>
        </w:rPr>
        <w:t xml:space="preserve"> (2000), 146 C.C.C</w:t>
      </w:r>
      <w:r w:rsidR="00EC47BB">
        <w:rPr>
          <w:lang w:val="fr-CA"/>
        </w:rPr>
        <w:t xml:space="preserve">. </w:t>
      </w:r>
      <w:r w:rsidR="008F300E" w:rsidRPr="00391F6E">
        <w:rPr>
          <w:lang w:val="fr-CA"/>
        </w:rPr>
        <w:t xml:space="preserve">(3d) 193; </w:t>
      </w:r>
      <w:r w:rsidR="00EA789F" w:rsidRPr="00391F6E">
        <w:rPr>
          <w:i/>
          <w:lang w:val="fr-CA"/>
        </w:rPr>
        <w:t>R</w:t>
      </w:r>
      <w:r w:rsidR="00EC47BB">
        <w:rPr>
          <w:i/>
          <w:lang w:val="fr-CA"/>
        </w:rPr>
        <w:t xml:space="preserve">. </w:t>
      </w:r>
      <w:r w:rsidR="00EA789F" w:rsidRPr="00391F6E">
        <w:rPr>
          <w:i/>
          <w:lang w:val="fr-CA"/>
        </w:rPr>
        <w:t>c</w:t>
      </w:r>
      <w:r w:rsidR="00EC47BB">
        <w:rPr>
          <w:i/>
          <w:lang w:val="fr-CA"/>
        </w:rPr>
        <w:t xml:space="preserve">. </w:t>
      </w:r>
      <w:proofErr w:type="spellStart"/>
      <w:r w:rsidR="00EA789F" w:rsidRPr="00391F6E">
        <w:rPr>
          <w:i/>
          <w:lang w:val="fr-CA"/>
        </w:rPr>
        <w:t>Big</w:t>
      </w:r>
      <w:proofErr w:type="spellEnd"/>
      <w:r w:rsidR="00EA789F" w:rsidRPr="00391F6E">
        <w:rPr>
          <w:i/>
          <w:lang w:val="fr-CA"/>
        </w:rPr>
        <w:t xml:space="preserve"> M Drug </w:t>
      </w:r>
      <w:proofErr w:type="spellStart"/>
      <w:r w:rsidR="00EA789F" w:rsidRPr="00391F6E">
        <w:rPr>
          <w:i/>
          <w:lang w:val="fr-CA"/>
        </w:rPr>
        <w:t>Mart</w:t>
      </w:r>
      <w:proofErr w:type="spellEnd"/>
      <w:r w:rsidR="00EA789F" w:rsidRPr="00391F6E">
        <w:rPr>
          <w:i/>
          <w:lang w:val="fr-CA"/>
        </w:rPr>
        <w:t xml:space="preserve"> Ltd.</w:t>
      </w:r>
      <w:r w:rsidR="00EA789F" w:rsidRPr="00391F6E">
        <w:rPr>
          <w:lang w:val="fr-CA"/>
        </w:rPr>
        <w:t>, [1985] 1 R.C.S</w:t>
      </w:r>
      <w:r w:rsidR="00EC47BB">
        <w:rPr>
          <w:lang w:val="fr-CA"/>
        </w:rPr>
        <w:t xml:space="preserve">. </w:t>
      </w:r>
      <w:r w:rsidR="00EA789F" w:rsidRPr="00391F6E">
        <w:rPr>
          <w:lang w:val="fr-CA"/>
        </w:rPr>
        <w:t xml:space="preserve">295; </w:t>
      </w:r>
      <w:r w:rsidR="008F300E" w:rsidRPr="00391F6E">
        <w:rPr>
          <w:i/>
          <w:lang w:val="fr-CA"/>
        </w:rPr>
        <w:t>R</w:t>
      </w:r>
      <w:r w:rsidR="00EC47BB">
        <w:rPr>
          <w:i/>
          <w:lang w:val="fr-CA"/>
        </w:rPr>
        <w:t xml:space="preserve">. </w:t>
      </w:r>
      <w:r w:rsidR="008F300E" w:rsidRPr="00391F6E">
        <w:rPr>
          <w:i/>
          <w:lang w:val="fr-CA"/>
        </w:rPr>
        <w:t>c</w:t>
      </w:r>
      <w:r w:rsidR="00EC47BB">
        <w:rPr>
          <w:i/>
          <w:lang w:val="fr-CA"/>
        </w:rPr>
        <w:t xml:space="preserve">. </w:t>
      </w:r>
      <w:r w:rsidR="008F300E" w:rsidRPr="00391F6E">
        <w:rPr>
          <w:i/>
          <w:lang w:val="fr-CA"/>
        </w:rPr>
        <w:t>Morgentaler</w:t>
      </w:r>
      <w:r w:rsidR="008F300E" w:rsidRPr="00391F6E">
        <w:rPr>
          <w:lang w:val="fr-CA"/>
        </w:rPr>
        <w:t>, [1988] 1 R.C.S</w:t>
      </w:r>
      <w:r w:rsidR="00EC47BB">
        <w:rPr>
          <w:lang w:val="fr-CA"/>
        </w:rPr>
        <w:t xml:space="preserve">. </w:t>
      </w:r>
      <w:r w:rsidR="008F300E" w:rsidRPr="00391F6E">
        <w:rPr>
          <w:lang w:val="fr-CA"/>
        </w:rPr>
        <w:t xml:space="preserve">30; </w:t>
      </w:r>
      <w:r w:rsidR="008F300E" w:rsidRPr="00391F6E">
        <w:rPr>
          <w:i/>
          <w:lang w:val="fr-CA"/>
        </w:rPr>
        <w:t>R</w:t>
      </w:r>
      <w:r w:rsidR="00EC47BB">
        <w:rPr>
          <w:i/>
          <w:lang w:val="fr-CA"/>
        </w:rPr>
        <w:t xml:space="preserve">. </w:t>
      </w:r>
      <w:r w:rsidR="008F300E" w:rsidRPr="00391F6E">
        <w:rPr>
          <w:i/>
          <w:lang w:val="fr-CA"/>
        </w:rPr>
        <w:t>c</w:t>
      </w:r>
      <w:r w:rsidR="00EC47BB">
        <w:rPr>
          <w:i/>
          <w:lang w:val="fr-CA"/>
        </w:rPr>
        <w:t xml:space="preserve">. </w:t>
      </w:r>
      <w:proofErr w:type="spellStart"/>
      <w:r w:rsidR="008F300E" w:rsidRPr="00391F6E">
        <w:rPr>
          <w:i/>
          <w:lang w:val="fr-CA"/>
        </w:rPr>
        <w:t>Latchmana</w:t>
      </w:r>
      <w:proofErr w:type="spellEnd"/>
      <w:r w:rsidR="008F300E" w:rsidRPr="00391F6E">
        <w:rPr>
          <w:lang w:val="fr-CA"/>
        </w:rPr>
        <w:t>, 2008 ONCJ 187, 170 C.R.R</w:t>
      </w:r>
      <w:r w:rsidR="00EC47BB">
        <w:rPr>
          <w:lang w:val="fr-CA"/>
        </w:rPr>
        <w:t xml:space="preserve">. </w:t>
      </w:r>
      <w:r w:rsidR="008F300E" w:rsidRPr="00391F6E">
        <w:rPr>
          <w:lang w:val="fr-CA"/>
        </w:rPr>
        <w:t xml:space="preserve">(2d) 128; </w:t>
      </w:r>
      <w:r w:rsidR="008F300E" w:rsidRPr="00391F6E">
        <w:rPr>
          <w:i/>
          <w:lang w:val="fr-CA"/>
        </w:rPr>
        <w:t>R</w:t>
      </w:r>
      <w:r w:rsidR="00EC47BB">
        <w:rPr>
          <w:i/>
          <w:lang w:val="fr-CA"/>
        </w:rPr>
        <w:t xml:space="preserve">. </w:t>
      </w:r>
      <w:r w:rsidR="008F300E" w:rsidRPr="00391F6E">
        <w:rPr>
          <w:i/>
          <w:lang w:val="fr-CA"/>
        </w:rPr>
        <w:t>c</w:t>
      </w:r>
      <w:r w:rsidR="00EC47BB">
        <w:rPr>
          <w:i/>
          <w:lang w:val="fr-CA"/>
        </w:rPr>
        <w:t xml:space="preserve">. </w:t>
      </w:r>
      <w:r w:rsidR="008F300E" w:rsidRPr="00391F6E">
        <w:rPr>
          <w:i/>
          <w:lang w:val="fr-CA"/>
        </w:rPr>
        <w:t>Clay</w:t>
      </w:r>
      <w:r w:rsidR="008F300E" w:rsidRPr="00391F6E">
        <w:rPr>
          <w:lang w:val="fr-CA"/>
        </w:rPr>
        <w:t xml:space="preserve"> (2000), 49 O.R</w:t>
      </w:r>
      <w:r w:rsidR="00EC47BB">
        <w:rPr>
          <w:lang w:val="fr-CA"/>
        </w:rPr>
        <w:t xml:space="preserve">. </w:t>
      </w:r>
      <w:r w:rsidR="008F300E" w:rsidRPr="00391F6E">
        <w:rPr>
          <w:lang w:val="fr-CA"/>
        </w:rPr>
        <w:t xml:space="preserve">(3d) 577; </w:t>
      </w:r>
      <w:r w:rsidR="008F300E" w:rsidRPr="00391F6E">
        <w:rPr>
          <w:i/>
          <w:lang w:val="fr-CA"/>
        </w:rPr>
        <w:t xml:space="preserve">Renvoi sur la </w:t>
      </w:r>
      <w:proofErr w:type="spellStart"/>
      <w:r w:rsidR="008F300E" w:rsidRPr="00391F6E">
        <w:rPr>
          <w:i/>
          <w:lang w:val="fr-CA"/>
        </w:rPr>
        <w:t>Motor</w:t>
      </w:r>
      <w:proofErr w:type="spellEnd"/>
      <w:r w:rsidR="008F300E" w:rsidRPr="00391F6E">
        <w:rPr>
          <w:i/>
          <w:lang w:val="fr-CA"/>
        </w:rPr>
        <w:t xml:space="preserve"> </w:t>
      </w:r>
      <w:proofErr w:type="spellStart"/>
      <w:r w:rsidR="008F300E" w:rsidRPr="00391F6E">
        <w:rPr>
          <w:i/>
          <w:lang w:val="fr-CA"/>
        </w:rPr>
        <w:t>Vehicle</w:t>
      </w:r>
      <w:proofErr w:type="spellEnd"/>
      <w:r w:rsidR="008F300E" w:rsidRPr="00391F6E">
        <w:rPr>
          <w:i/>
          <w:lang w:val="fr-CA"/>
        </w:rPr>
        <w:t xml:space="preserve"> </w:t>
      </w:r>
      <w:proofErr w:type="spellStart"/>
      <w:r w:rsidR="008F300E" w:rsidRPr="00391F6E">
        <w:rPr>
          <w:i/>
          <w:lang w:val="fr-CA"/>
        </w:rPr>
        <w:t>Act</w:t>
      </w:r>
      <w:proofErr w:type="spellEnd"/>
      <w:r w:rsidR="008F300E" w:rsidRPr="00391F6E">
        <w:rPr>
          <w:i/>
          <w:lang w:val="fr-CA"/>
        </w:rPr>
        <w:t xml:space="preserve"> (C.</w:t>
      </w:r>
      <w:r w:rsidR="00147051">
        <w:rPr>
          <w:i/>
          <w:lang w:val="fr-CA"/>
        </w:rPr>
        <w:t>-</w:t>
      </w:r>
      <w:r w:rsidR="008F300E" w:rsidRPr="00391F6E">
        <w:rPr>
          <w:i/>
          <w:lang w:val="fr-CA"/>
        </w:rPr>
        <w:t>B.)</w:t>
      </w:r>
      <w:r w:rsidR="008F300E" w:rsidRPr="00391F6E">
        <w:rPr>
          <w:lang w:val="fr-CA"/>
        </w:rPr>
        <w:t>, [1985] 2 R.C.S</w:t>
      </w:r>
      <w:r w:rsidR="00EC47BB">
        <w:rPr>
          <w:lang w:val="fr-CA"/>
        </w:rPr>
        <w:t xml:space="preserve">. </w:t>
      </w:r>
      <w:r w:rsidR="008F300E" w:rsidRPr="00391F6E">
        <w:rPr>
          <w:lang w:val="fr-CA"/>
        </w:rPr>
        <w:t xml:space="preserve">486; </w:t>
      </w:r>
      <w:proofErr w:type="spellStart"/>
      <w:r w:rsidR="008F300E" w:rsidRPr="00391F6E">
        <w:rPr>
          <w:i/>
          <w:lang w:val="fr-CA"/>
        </w:rPr>
        <w:t>Hitzig</w:t>
      </w:r>
      <w:proofErr w:type="spellEnd"/>
      <w:r w:rsidR="008F300E" w:rsidRPr="00391F6E">
        <w:rPr>
          <w:i/>
          <w:lang w:val="fr-CA"/>
        </w:rPr>
        <w:t xml:space="preserve"> c</w:t>
      </w:r>
      <w:r w:rsidR="00EC47BB">
        <w:rPr>
          <w:i/>
          <w:lang w:val="fr-CA"/>
        </w:rPr>
        <w:t xml:space="preserve">. </w:t>
      </w:r>
      <w:r w:rsidR="008F300E" w:rsidRPr="00391F6E">
        <w:rPr>
          <w:i/>
          <w:lang w:val="fr-CA"/>
        </w:rPr>
        <w:t>Canada</w:t>
      </w:r>
      <w:r w:rsidR="008F300E" w:rsidRPr="00391F6E">
        <w:rPr>
          <w:lang w:val="fr-CA"/>
        </w:rPr>
        <w:t xml:space="preserve"> (2003), 231 D.L.R</w:t>
      </w:r>
      <w:r w:rsidR="00EC47BB">
        <w:rPr>
          <w:lang w:val="fr-CA"/>
        </w:rPr>
        <w:t xml:space="preserve">. </w:t>
      </w:r>
      <w:r w:rsidR="008F300E" w:rsidRPr="00391F6E">
        <w:rPr>
          <w:lang w:val="fr-CA"/>
        </w:rPr>
        <w:t xml:space="preserve">(4th) 104; </w:t>
      </w:r>
      <w:proofErr w:type="spellStart"/>
      <w:r w:rsidR="008F300E" w:rsidRPr="00391F6E">
        <w:rPr>
          <w:i/>
          <w:lang w:val="fr-CA"/>
        </w:rPr>
        <w:t>Housen</w:t>
      </w:r>
      <w:proofErr w:type="spellEnd"/>
      <w:r w:rsidR="008F300E" w:rsidRPr="00391F6E">
        <w:rPr>
          <w:i/>
          <w:lang w:val="fr-CA"/>
        </w:rPr>
        <w:t xml:space="preserve"> c</w:t>
      </w:r>
      <w:r w:rsidR="00EC47BB">
        <w:rPr>
          <w:i/>
          <w:lang w:val="fr-CA"/>
        </w:rPr>
        <w:t xml:space="preserve">. </w:t>
      </w:r>
      <w:proofErr w:type="spellStart"/>
      <w:r w:rsidR="008F300E" w:rsidRPr="00391F6E">
        <w:rPr>
          <w:i/>
          <w:lang w:val="fr-CA"/>
        </w:rPr>
        <w:t>Nikolaisen</w:t>
      </w:r>
      <w:proofErr w:type="spellEnd"/>
      <w:r w:rsidR="008F300E" w:rsidRPr="00391F6E">
        <w:rPr>
          <w:lang w:val="fr-CA"/>
        </w:rPr>
        <w:t>, 2002 CSC 33, [2002] 2 R.C.S</w:t>
      </w:r>
      <w:r w:rsidR="00EC47BB">
        <w:rPr>
          <w:lang w:val="fr-CA"/>
        </w:rPr>
        <w:t xml:space="preserve">. </w:t>
      </w:r>
      <w:r w:rsidR="008F300E" w:rsidRPr="00391F6E">
        <w:rPr>
          <w:lang w:val="fr-CA"/>
        </w:rPr>
        <w:t xml:space="preserve">235; </w:t>
      </w:r>
      <w:r w:rsidR="008F300E" w:rsidRPr="00391F6E">
        <w:rPr>
          <w:i/>
          <w:lang w:val="fr-CA"/>
        </w:rPr>
        <w:t>Canada (Procureur général) c</w:t>
      </w:r>
      <w:r w:rsidR="00EC47BB">
        <w:rPr>
          <w:i/>
          <w:lang w:val="fr-CA"/>
        </w:rPr>
        <w:t xml:space="preserve">. </w:t>
      </w:r>
      <w:r w:rsidR="008F300E" w:rsidRPr="00391F6E">
        <w:rPr>
          <w:i/>
          <w:lang w:val="fr-CA"/>
        </w:rPr>
        <w:t xml:space="preserve">PHS </w:t>
      </w:r>
      <w:proofErr w:type="spellStart"/>
      <w:r w:rsidR="008F300E" w:rsidRPr="00391F6E">
        <w:rPr>
          <w:i/>
          <w:lang w:val="fr-CA"/>
        </w:rPr>
        <w:t>Community</w:t>
      </w:r>
      <w:proofErr w:type="spellEnd"/>
      <w:r w:rsidR="008F300E" w:rsidRPr="00391F6E">
        <w:rPr>
          <w:i/>
          <w:lang w:val="fr-CA"/>
        </w:rPr>
        <w:t xml:space="preserve"> Services Society</w:t>
      </w:r>
      <w:r w:rsidR="008F300E" w:rsidRPr="00391F6E">
        <w:rPr>
          <w:lang w:val="fr-CA"/>
        </w:rPr>
        <w:t>, 2011 CSC 44, [2011] 3 R.C.S</w:t>
      </w:r>
      <w:r w:rsidR="00EC47BB">
        <w:rPr>
          <w:lang w:val="fr-CA"/>
        </w:rPr>
        <w:t xml:space="preserve">. </w:t>
      </w:r>
      <w:r w:rsidR="008F300E" w:rsidRPr="00391F6E">
        <w:rPr>
          <w:lang w:val="fr-CA"/>
        </w:rPr>
        <w:t xml:space="preserve">134; </w:t>
      </w:r>
      <w:r w:rsidR="008F300E" w:rsidRPr="00391F6E">
        <w:rPr>
          <w:i/>
          <w:lang w:val="fr-CA"/>
        </w:rPr>
        <w:t>Canada (Procureur général) c</w:t>
      </w:r>
      <w:r w:rsidR="00EC47BB">
        <w:rPr>
          <w:i/>
          <w:lang w:val="fr-CA"/>
        </w:rPr>
        <w:t xml:space="preserve">. </w:t>
      </w:r>
      <w:r w:rsidR="008F300E" w:rsidRPr="00391F6E">
        <w:rPr>
          <w:i/>
          <w:lang w:val="fr-CA"/>
        </w:rPr>
        <w:t>Bedford</w:t>
      </w:r>
      <w:r w:rsidR="008F300E" w:rsidRPr="00391F6E">
        <w:rPr>
          <w:lang w:val="fr-CA"/>
        </w:rPr>
        <w:t>, 2013 CSC 72, [2013] 3 R.C.S</w:t>
      </w:r>
      <w:r w:rsidR="00EC47BB">
        <w:rPr>
          <w:lang w:val="fr-CA"/>
        </w:rPr>
        <w:t xml:space="preserve">. </w:t>
      </w:r>
      <w:r w:rsidR="008F300E" w:rsidRPr="00391F6E">
        <w:rPr>
          <w:lang w:val="fr-CA"/>
        </w:rPr>
        <w:t xml:space="preserve">1101; </w:t>
      </w:r>
      <w:r w:rsidR="008F300E" w:rsidRPr="00391F6E">
        <w:rPr>
          <w:i/>
          <w:lang w:val="fr-CA"/>
        </w:rPr>
        <w:t>Carter c</w:t>
      </w:r>
      <w:r w:rsidR="00EC47BB">
        <w:rPr>
          <w:i/>
          <w:lang w:val="fr-CA"/>
        </w:rPr>
        <w:t xml:space="preserve">. </w:t>
      </w:r>
      <w:r w:rsidR="008F300E" w:rsidRPr="00391F6E">
        <w:rPr>
          <w:i/>
          <w:lang w:val="fr-CA"/>
        </w:rPr>
        <w:t>Canada (Procureur général)</w:t>
      </w:r>
      <w:r w:rsidR="008F300E" w:rsidRPr="00391F6E">
        <w:rPr>
          <w:lang w:val="fr-CA"/>
        </w:rPr>
        <w:t>, 2015 CSC 5, [2015] 1 R.C.S</w:t>
      </w:r>
      <w:r w:rsidR="00EC47BB">
        <w:rPr>
          <w:lang w:val="fr-CA"/>
        </w:rPr>
        <w:t xml:space="preserve">. </w:t>
      </w:r>
      <w:r w:rsidR="008F300E" w:rsidRPr="00391F6E">
        <w:rPr>
          <w:lang w:val="fr-CA"/>
        </w:rPr>
        <w:t xml:space="preserve">331; </w:t>
      </w:r>
      <w:r w:rsidR="008F300E" w:rsidRPr="00391F6E">
        <w:rPr>
          <w:i/>
          <w:lang w:val="fr-CA"/>
        </w:rPr>
        <w:t>R</w:t>
      </w:r>
      <w:r w:rsidR="00EC47BB">
        <w:rPr>
          <w:i/>
          <w:lang w:val="fr-CA"/>
        </w:rPr>
        <w:t xml:space="preserve">. </w:t>
      </w:r>
      <w:r w:rsidR="008F300E" w:rsidRPr="00391F6E">
        <w:rPr>
          <w:i/>
          <w:lang w:val="fr-CA"/>
        </w:rPr>
        <w:t>c</w:t>
      </w:r>
      <w:r w:rsidR="00EC47BB">
        <w:rPr>
          <w:i/>
          <w:lang w:val="fr-CA"/>
        </w:rPr>
        <w:t xml:space="preserve">. </w:t>
      </w:r>
      <w:proofErr w:type="spellStart"/>
      <w:r w:rsidR="008F300E" w:rsidRPr="00391F6E">
        <w:rPr>
          <w:i/>
          <w:lang w:val="fr-CA"/>
        </w:rPr>
        <w:t>Oakes</w:t>
      </w:r>
      <w:proofErr w:type="spellEnd"/>
      <w:r w:rsidR="008F300E" w:rsidRPr="00391F6E">
        <w:rPr>
          <w:lang w:val="fr-CA"/>
        </w:rPr>
        <w:t>, [1986] 1 R.C.S</w:t>
      </w:r>
      <w:r w:rsidR="00EC47BB">
        <w:rPr>
          <w:lang w:val="fr-CA"/>
        </w:rPr>
        <w:t xml:space="preserve">. </w:t>
      </w:r>
      <w:r w:rsidR="008F300E" w:rsidRPr="00391F6E">
        <w:rPr>
          <w:lang w:val="fr-CA"/>
        </w:rPr>
        <w:t>103.</w:t>
      </w:r>
    </w:p>
    <w:p w:rsidR="004D7D95" w:rsidRPr="00391F6E" w:rsidRDefault="004D7D95" w:rsidP="00535610">
      <w:pPr>
        <w:pStyle w:val="SCCNormalDoubleSpacing"/>
        <w:widowControl w:val="0"/>
        <w:spacing w:after="720" w:line="240" w:lineRule="auto"/>
        <w:rPr>
          <w:b/>
          <w:lang w:val="fr-CA"/>
        </w:rPr>
      </w:pPr>
      <w:r w:rsidRPr="00391F6E">
        <w:rPr>
          <w:b/>
          <w:lang w:val="fr-CA"/>
        </w:rPr>
        <w:t>Lois et règlements cités</w:t>
      </w:r>
    </w:p>
    <w:p w:rsidR="00784F6E" w:rsidRPr="00391F6E" w:rsidRDefault="00784F6E" w:rsidP="00535610">
      <w:pPr>
        <w:pStyle w:val="SCCNormalDoubleSpacing"/>
        <w:widowControl w:val="0"/>
        <w:spacing w:after="240" w:line="240" w:lineRule="auto"/>
        <w:ind w:left="547" w:hanging="547"/>
        <w:rPr>
          <w:lang w:val="fr-CA"/>
        </w:rPr>
      </w:pPr>
      <w:r w:rsidRPr="00391F6E">
        <w:rPr>
          <w:i/>
          <w:lang w:val="fr-CA"/>
        </w:rPr>
        <w:t>Charte canadienne des droits et libertés</w:t>
      </w:r>
      <w:r w:rsidRPr="00391F6E">
        <w:rPr>
          <w:lang w:val="fr-CA"/>
        </w:rPr>
        <w:t xml:space="preserve">, </w:t>
      </w:r>
      <w:r w:rsidR="00C13434">
        <w:rPr>
          <w:lang w:val="fr-CA"/>
        </w:rPr>
        <w:t>art</w:t>
      </w:r>
      <w:r w:rsidR="00EC47BB">
        <w:rPr>
          <w:lang w:val="fr-CA"/>
        </w:rPr>
        <w:t xml:space="preserve">. </w:t>
      </w:r>
      <w:r w:rsidRPr="00391F6E">
        <w:rPr>
          <w:lang w:val="fr-CA"/>
        </w:rPr>
        <w:t>1, 7.</w:t>
      </w:r>
    </w:p>
    <w:p w:rsidR="00784F6E" w:rsidRPr="00391F6E" w:rsidRDefault="00784F6E" w:rsidP="00535610">
      <w:pPr>
        <w:pStyle w:val="SCCNormalDoubleSpacing"/>
        <w:widowControl w:val="0"/>
        <w:spacing w:after="240" w:line="240" w:lineRule="auto"/>
        <w:ind w:left="547" w:hanging="547"/>
        <w:rPr>
          <w:lang w:val="fr-CA"/>
        </w:rPr>
      </w:pPr>
      <w:r w:rsidRPr="00391F6E">
        <w:rPr>
          <w:i/>
          <w:lang w:val="fr-CA"/>
        </w:rPr>
        <w:t>Loi constitutionnelle de 1982</w:t>
      </w:r>
      <w:r w:rsidRPr="00391F6E">
        <w:rPr>
          <w:lang w:val="fr-CA"/>
        </w:rPr>
        <w:t xml:space="preserve">, </w:t>
      </w:r>
      <w:r w:rsidR="00C13434">
        <w:rPr>
          <w:lang w:val="fr-CA"/>
        </w:rPr>
        <w:t>art</w:t>
      </w:r>
      <w:r w:rsidR="00EC47BB">
        <w:rPr>
          <w:lang w:val="fr-CA"/>
        </w:rPr>
        <w:t xml:space="preserve">. </w:t>
      </w:r>
      <w:r w:rsidRPr="00391F6E">
        <w:rPr>
          <w:lang w:val="fr-CA"/>
        </w:rPr>
        <w:t>52.</w:t>
      </w:r>
    </w:p>
    <w:p w:rsidR="00784F6E" w:rsidRPr="00391F6E" w:rsidRDefault="00784F6E" w:rsidP="00535610">
      <w:pPr>
        <w:pStyle w:val="SCCNormalDoubleSpacing"/>
        <w:widowControl w:val="0"/>
        <w:spacing w:after="240" w:line="240" w:lineRule="auto"/>
        <w:ind w:left="547" w:hanging="547"/>
        <w:rPr>
          <w:lang w:val="fr-CA"/>
        </w:rPr>
      </w:pPr>
      <w:r w:rsidRPr="00391F6E">
        <w:rPr>
          <w:i/>
          <w:lang w:val="fr-CA"/>
        </w:rPr>
        <w:t>Loi réglementant certaines drogues et autres substances</w:t>
      </w:r>
      <w:r w:rsidRPr="00391F6E">
        <w:rPr>
          <w:lang w:val="fr-CA"/>
        </w:rPr>
        <w:t>, L.C</w:t>
      </w:r>
      <w:r w:rsidR="00EC47BB">
        <w:rPr>
          <w:lang w:val="fr-CA"/>
        </w:rPr>
        <w:t xml:space="preserve">. </w:t>
      </w:r>
      <w:r w:rsidRPr="00391F6E">
        <w:rPr>
          <w:lang w:val="fr-CA"/>
        </w:rPr>
        <w:t>1996, c</w:t>
      </w:r>
      <w:r w:rsidR="00EC47BB">
        <w:rPr>
          <w:lang w:val="fr-CA"/>
        </w:rPr>
        <w:t xml:space="preserve">. </w:t>
      </w:r>
      <w:r w:rsidRPr="00391F6E">
        <w:rPr>
          <w:lang w:val="fr-CA"/>
        </w:rPr>
        <w:t xml:space="preserve">19, </w:t>
      </w:r>
      <w:r w:rsidR="00C13434">
        <w:rPr>
          <w:lang w:val="fr-CA"/>
        </w:rPr>
        <w:t>art</w:t>
      </w:r>
      <w:r w:rsidR="00EC47BB">
        <w:rPr>
          <w:lang w:val="fr-CA"/>
        </w:rPr>
        <w:t xml:space="preserve">. </w:t>
      </w:r>
      <w:r w:rsidRPr="00391F6E">
        <w:rPr>
          <w:lang w:val="fr-CA"/>
        </w:rPr>
        <w:t>4, 5, 55.</w:t>
      </w:r>
    </w:p>
    <w:p w:rsidR="00784F6E" w:rsidRPr="00391F6E" w:rsidRDefault="00B85907" w:rsidP="00535610">
      <w:pPr>
        <w:pStyle w:val="SCCNormalDoubleSpacing"/>
        <w:widowControl w:val="0"/>
        <w:spacing w:after="240" w:line="240" w:lineRule="auto"/>
        <w:ind w:left="547" w:hanging="547"/>
        <w:rPr>
          <w:lang w:val="fr-CA"/>
        </w:rPr>
      </w:pPr>
      <w:r w:rsidRPr="00391F6E">
        <w:rPr>
          <w:i/>
          <w:lang w:val="fr-CA"/>
        </w:rPr>
        <w:t>Loi sur les aliments et drogues</w:t>
      </w:r>
      <w:r w:rsidR="0024135E" w:rsidRPr="00391F6E">
        <w:rPr>
          <w:lang w:val="fr-CA"/>
        </w:rPr>
        <w:t>, L.R.C</w:t>
      </w:r>
      <w:r w:rsidR="00EC47BB">
        <w:rPr>
          <w:lang w:val="fr-CA"/>
        </w:rPr>
        <w:t xml:space="preserve">. </w:t>
      </w:r>
      <w:r w:rsidR="00784F6E" w:rsidRPr="00391F6E">
        <w:rPr>
          <w:lang w:val="fr-CA"/>
        </w:rPr>
        <w:t>1985, c</w:t>
      </w:r>
      <w:r w:rsidR="00EC47BB">
        <w:rPr>
          <w:lang w:val="fr-CA"/>
        </w:rPr>
        <w:t xml:space="preserve">. </w:t>
      </w:r>
      <w:r w:rsidR="00784F6E" w:rsidRPr="00391F6E">
        <w:rPr>
          <w:lang w:val="fr-CA"/>
        </w:rPr>
        <w:t>F</w:t>
      </w:r>
      <w:r w:rsidR="00147051">
        <w:rPr>
          <w:lang w:val="fr-CA"/>
        </w:rPr>
        <w:t>-</w:t>
      </w:r>
      <w:r w:rsidR="00784F6E" w:rsidRPr="00391F6E">
        <w:rPr>
          <w:lang w:val="fr-CA"/>
        </w:rPr>
        <w:t>27.</w:t>
      </w:r>
    </w:p>
    <w:p w:rsidR="00B85907" w:rsidRPr="00391F6E" w:rsidRDefault="00B85907" w:rsidP="00535610">
      <w:pPr>
        <w:pStyle w:val="SCCNormalDoubleSpacing"/>
        <w:widowControl w:val="0"/>
        <w:spacing w:after="240" w:line="240" w:lineRule="auto"/>
        <w:ind w:left="547" w:hanging="547"/>
        <w:rPr>
          <w:lang w:val="fr-CA"/>
        </w:rPr>
      </w:pPr>
      <w:r w:rsidRPr="00391F6E">
        <w:rPr>
          <w:i/>
          <w:lang w:val="fr-CA"/>
        </w:rPr>
        <w:t>Règlement sur l’accès à la marihuana à des fins médicales</w:t>
      </w:r>
      <w:r w:rsidRPr="00391F6E">
        <w:rPr>
          <w:lang w:val="fr-CA"/>
        </w:rPr>
        <w:t>, DORS/2001</w:t>
      </w:r>
      <w:r w:rsidR="00147051">
        <w:rPr>
          <w:lang w:val="fr-CA"/>
        </w:rPr>
        <w:t>-</w:t>
      </w:r>
      <w:r w:rsidRPr="00391F6E">
        <w:rPr>
          <w:lang w:val="fr-CA"/>
        </w:rPr>
        <w:t>227 [</w:t>
      </w:r>
      <w:proofErr w:type="spellStart"/>
      <w:r w:rsidRPr="00391F6E">
        <w:rPr>
          <w:lang w:val="fr-CA"/>
        </w:rPr>
        <w:t>abr</w:t>
      </w:r>
      <w:proofErr w:type="spellEnd"/>
      <w:r w:rsidR="00EC47BB">
        <w:rPr>
          <w:lang w:val="fr-CA"/>
        </w:rPr>
        <w:t xml:space="preserve">. </w:t>
      </w:r>
      <w:r w:rsidRPr="00391F6E">
        <w:rPr>
          <w:lang w:val="fr-CA"/>
        </w:rPr>
        <w:t>2013</w:t>
      </w:r>
      <w:r w:rsidR="00147051">
        <w:rPr>
          <w:lang w:val="fr-CA"/>
        </w:rPr>
        <w:t>-</w:t>
      </w:r>
      <w:r w:rsidRPr="00391F6E">
        <w:rPr>
          <w:lang w:val="fr-CA"/>
        </w:rPr>
        <w:t xml:space="preserve">119, </w:t>
      </w:r>
      <w:r w:rsidR="00C13434">
        <w:rPr>
          <w:lang w:val="fr-CA"/>
        </w:rPr>
        <w:t>art</w:t>
      </w:r>
      <w:r w:rsidR="00EC47BB">
        <w:rPr>
          <w:lang w:val="fr-CA"/>
        </w:rPr>
        <w:t xml:space="preserve">. </w:t>
      </w:r>
      <w:r w:rsidRPr="00391F6E">
        <w:rPr>
          <w:lang w:val="fr-CA"/>
        </w:rPr>
        <w:t xml:space="preserve">267], </w:t>
      </w:r>
      <w:r w:rsidR="00C13434">
        <w:rPr>
          <w:lang w:val="fr-CA"/>
        </w:rPr>
        <w:t>art</w:t>
      </w:r>
      <w:r w:rsidR="00EC47BB">
        <w:rPr>
          <w:lang w:val="fr-CA"/>
        </w:rPr>
        <w:t xml:space="preserve">. </w:t>
      </w:r>
      <w:r w:rsidRPr="00391F6E">
        <w:rPr>
          <w:lang w:val="fr-CA"/>
        </w:rPr>
        <w:t>1 « marihuana séchée », 24, 34.</w:t>
      </w:r>
    </w:p>
    <w:p w:rsidR="00784F6E" w:rsidRPr="00391F6E" w:rsidRDefault="00B85907" w:rsidP="00535610">
      <w:pPr>
        <w:pStyle w:val="SCCNormalDoubleSpacing"/>
        <w:widowControl w:val="0"/>
        <w:spacing w:after="720" w:line="240" w:lineRule="auto"/>
        <w:ind w:left="547" w:hanging="547"/>
        <w:rPr>
          <w:lang w:val="fr-CA"/>
        </w:rPr>
      </w:pPr>
      <w:r w:rsidRPr="00391F6E">
        <w:rPr>
          <w:i/>
          <w:lang w:val="fr-CA"/>
        </w:rPr>
        <w:t>Règlement sur la marihuana à des fins médicales</w:t>
      </w:r>
      <w:r w:rsidR="00784F6E" w:rsidRPr="00391F6E">
        <w:rPr>
          <w:lang w:val="fr-CA"/>
        </w:rPr>
        <w:t>, DORS/2013</w:t>
      </w:r>
      <w:r w:rsidR="00147051">
        <w:rPr>
          <w:lang w:val="fr-CA"/>
        </w:rPr>
        <w:t>-</w:t>
      </w:r>
      <w:r w:rsidR="00784F6E" w:rsidRPr="00391F6E">
        <w:rPr>
          <w:lang w:val="fr-CA"/>
        </w:rPr>
        <w:t>119.</w:t>
      </w:r>
    </w:p>
    <w:p w:rsidR="004D7D95" w:rsidRPr="00391F6E" w:rsidRDefault="002E42A5" w:rsidP="00535610">
      <w:pPr>
        <w:pStyle w:val="SCCNormalDoubleSpacing"/>
        <w:widowControl w:val="0"/>
        <w:spacing w:before="480" w:after="480"/>
        <w:rPr>
          <w:lang w:val="fr-CA"/>
        </w:rPr>
      </w:pPr>
      <w:r w:rsidRPr="00391F6E">
        <w:rPr>
          <w:lang w:val="fr-CA"/>
        </w:rPr>
        <w:lastRenderedPageBreak/>
        <w:tab/>
      </w:r>
      <w:r w:rsidR="004D7D95" w:rsidRPr="00391F6E">
        <w:rPr>
          <w:lang w:val="fr-CA"/>
        </w:rPr>
        <w:t>POURVOI contre un arrêt de la Cour d</w:t>
      </w:r>
      <w:r w:rsidRPr="00391F6E">
        <w:rPr>
          <w:lang w:val="fr-CA"/>
        </w:rPr>
        <w:t>’</w:t>
      </w:r>
      <w:r w:rsidR="004D7D95" w:rsidRPr="00391F6E">
        <w:rPr>
          <w:lang w:val="fr-CA"/>
        </w:rPr>
        <w:t>appel de la Colombie</w:t>
      </w:r>
      <w:r w:rsidR="00147051">
        <w:rPr>
          <w:lang w:val="fr-CA"/>
        </w:rPr>
        <w:t>-</w:t>
      </w:r>
      <w:r w:rsidR="004D7D95" w:rsidRPr="00391F6E">
        <w:rPr>
          <w:lang w:val="fr-CA"/>
        </w:rPr>
        <w:t>Britannique</w:t>
      </w:r>
      <w:r w:rsidR="004336F0" w:rsidRPr="00391F6E">
        <w:rPr>
          <w:lang w:val="fr-CA"/>
        </w:rPr>
        <w:t xml:space="preserve"> (les juges </w:t>
      </w:r>
      <w:proofErr w:type="spellStart"/>
      <w:r w:rsidR="004336F0" w:rsidRPr="00391F6E">
        <w:rPr>
          <w:lang w:val="fr-CA"/>
        </w:rPr>
        <w:t>Levine</w:t>
      </w:r>
      <w:proofErr w:type="spellEnd"/>
      <w:r w:rsidR="004336F0" w:rsidRPr="00391F6E">
        <w:rPr>
          <w:lang w:val="fr-CA"/>
        </w:rPr>
        <w:t xml:space="preserve">, Chiasson et </w:t>
      </w:r>
      <w:proofErr w:type="spellStart"/>
      <w:r w:rsidR="004336F0" w:rsidRPr="00391F6E">
        <w:rPr>
          <w:lang w:val="fr-CA"/>
        </w:rPr>
        <w:t>Garson</w:t>
      </w:r>
      <w:proofErr w:type="spellEnd"/>
      <w:r w:rsidR="004336F0" w:rsidRPr="00391F6E">
        <w:rPr>
          <w:lang w:val="fr-CA"/>
        </w:rPr>
        <w:t>), 2014 BCCA 322, 360 B.C.A.C</w:t>
      </w:r>
      <w:r w:rsidR="00EC47BB">
        <w:rPr>
          <w:lang w:val="fr-CA"/>
        </w:rPr>
        <w:t xml:space="preserve">. </w:t>
      </w:r>
      <w:r w:rsidR="004336F0" w:rsidRPr="00391F6E">
        <w:rPr>
          <w:lang w:val="fr-CA"/>
        </w:rPr>
        <w:t>66, 617 W.A.C</w:t>
      </w:r>
      <w:r w:rsidR="00EC47BB">
        <w:rPr>
          <w:lang w:val="fr-CA"/>
        </w:rPr>
        <w:t xml:space="preserve">. </w:t>
      </w:r>
      <w:r w:rsidR="004336F0" w:rsidRPr="00391F6E">
        <w:rPr>
          <w:lang w:val="fr-CA"/>
        </w:rPr>
        <w:t>66, 315 C.C.C</w:t>
      </w:r>
      <w:r w:rsidR="00EC47BB">
        <w:rPr>
          <w:lang w:val="fr-CA"/>
        </w:rPr>
        <w:t xml:space="preserve">. </w:t>
      </w:r>
      <w:r w:rsidR="004336F0" w:rsidRPr="00391F6E">
        <w:rPr>
          <w:lang w:val="fr-CA"/>
        </w:rPr>
        <w:t>(3d) 36, 316 C.R</w:t>
      </w:r>
      <w:r w:rsidR="0024135E" w:rsidRPr="00391F6E">
        <w:rPr>
          <w:lang w:val="fr-CA"/>
        </w:rPr>
        <w:t>.R</w:t>
      </w:r>
      <w:r w:rsidR="00EC47BB">
        <w:rPr>
          <w:lang w:val="fr-CA"/>
        </w:rPr>
        <w:t xml:space="preserve">. </w:t>
      </w:r>
      <w:r w:rsidR="0024135E" w:rsidRPr="00391F6E">
        <w:rPr>
          <w:lang w:val="fr-CA"/>
        </w:rPr>
        <w:t xml:space="preserve">(2d) 205, </w:t>
      </w:r>
      <w:r w:rsidR="00836391" w:rsidRPr="00391F6E">
        <w:rPr>
          <w:lang w:val="fr-CA"/>
        </w:rPr>
        <w:t>14 C.R</w:t>
      </w:r>
      <w:r w:rsidR="00EC47BB">
        <w:rPr>
          <w:lang w:val="fr-CA"/>
        </w:rPr>
        <w:t xml:space="preserve">. </w:t>
      </w:r>
      <w:r w:rsidR="00836391" w:rsidRPr="00391F6E">
        <w:rPr>
          <w:lang w:val="fr-CA"/>
        </w:rPr>
        <w:t xml:space="preserve">(7th) 81, </w:t>
      </w:r>
      <w:r w:rsidR="0024135E" w:rsidRPr="00391F6E">
        <w:rPr>
          <w:lang w:val="fr-CA"/>
        </w:rPr>
        <w:t>[2014] B.C.J</w:t>
      </w:r>
      <w:r w:rsidR="00EC47BB">
        <w:rPr>
          <w:lang w:val="fr-CA"/>
        </w:rPr>
        <w:t xml:space="preserve">. </w:t>
      </w:r>
      <w:r w:rsidR="00C13434">
        <w:rPr>
          <w:lang w:val="fr-CA"/>
        </w:rPr>
        <w:t>No</w:t>
      </w:r>
      <w:r w:rsidR="00EC47BB">
        <w:rPr>
          <w:lang w:val="fr-CA"/>
        </w:rPr>
        <w:t xml:space="preserve">. </w:t>
      </w:r>
      <w:r w:rsidR="004336F0" w:rsidRPr="00391F6E">
        <w:rPr>
          <w:lang w:val="fr-CA"/>
        </w:rPr>
        <w:t xml:space="preserve">2097 (QL), 2014 </w:t>
      </w:r>
      <w:proofErr w:type="spellStart"/>
      <w:r w:rsidR="004336F0" w:rsidRPr="00391F6E">
        <w:rPr>
          <w:lang w:val="fr-CA"/>
        </w:rPr>
        <w:t>CarswellBC</w:t>
      </w:r>
      <w:proofErr w:type="spellEnd"/>
      <w:r w:rsidR="004336F0" w:rsidRPr="00391F6E">
        <w:rPr>
          <w:lang w:val="fr-CA"/>
        </w:rPr>
        <w:t xml:space="preserve"> 2383 (WL Can.), qui a infirmé en partie une décision du juge Johnston, 2012 BCSC 544, 290 C.C.C</w:t>
      </w:r>
      <w:r w:rsidR="00EC47BB">
        <w:rPr>
          <w:lang w:val="fr-CA"/>
        </w:rPr>
        <w:t xml:space="preserve">. </w:t>
      </w:r>
      <w:r w:rsidR="004336F0" w:rsidRPr="00391F6E">
        <w:rPr>
          <w:lang w:val="fr-CA"/>
        </w:rPr>
        <w:t>(3d) 91, 257 C.R</w:t>
      </w:r>
      <w:r w:rsidR="0024135E" w:rsidRPr="00391F6E">
        <w:rPr>
          <w:lang w:val="fr-CA"/>
        </w:rPr>
        <w:t>.R</w:t>
      </w:r>
      <w:r w:rsidR="00EC47BB">
        <w:rPr>
          <w:lang w:val="fr-CA"/>
        </w:rPr>
        <w:t xml:space="preserve">. </w:t>
      </w:r>
      <w:r w:rsidR="0024135E" w:rsidRPr="00391F6E">
        <w:rPr>
          <w:lang w:val="fr-CA"/>
        </w:rPr>
        <w:t>(2d) 129, [2012] B.C.J</w:t>
      </w:r>
      <w:r w:rsidR="00EC47BB">
        <w:rPr>
          <w:lang w:val="fr-CA"/>
        </w:rPr>
        <w:t xml:space="preserve">. </w:t>
      </w:r>
      <w:r w:rsidR="00C13434">
        <w:rPr>
          <w:lang w:val="fr-CA"/>
        </w:rPr>
        <w:t>No</w:t>
      </w:r>
      <w:r w:rsidR="00EC47BB">
        <w:rPr>
          <w:lang w:val="fr-CA"/>
        </w:rPr>
        <w:t xml:space="preserve">. </w:t>
      </w:r>
      <w:r w:rsidR="004336F0" w:rsidRPr="00391F6E">
        <w:rPr>
          <w:lang w:val="fr-CA"/>
        </w:rPr>
        <w:t xml:space="preserve">730 (QL), 2012 </w:t>
      </w:r>
      <w:proofErr w:type="spellStart"/>
      <w:r w:rsidR="004336F0" w:rsidRPr="00391F6E">
        <w:rPr>
          <w:lang w:val="fr-CA"/>
        </w:rPr>
        <w:t>CarswellBC</w:t>
      </w:r>
      <w:proofErr w:type="spellEnd"/>
      <w:r w:rsidR="004336F0" w:rsidRPr="00391F6E">
        <w:rPr>
          <w:lang w:val="fr-CA"/>
        </w:rPr>
        <w:t xml:space="preserve"> 1043 (WL Can.)</w:t>
      </w:r>
      <w:r w:rsidR="00EC47BB">
        <w:rPr>
          <w:lang w:val="fr-CA"/>
        </w:rPr>
        <w:t xml:space="preserve">. </w:t>
      </w:r>
      <w:r w:rsidRPr="00391F6E">
        <w:rPr>
          <w:lang w:val="fr-CA"/>
        </w:rPr>
        <w:t xml:space="preserve">Pourvoi </w:t>
      </w:r>
      <w:r w:rsidR="006653FD" w:rsidRPr="00391F6E">
        <w:rPr>
          <w:lang w:val="fr-CA"/>
        </w:rPr>
        <w:t>rejeté</w:t>
      </w:r>
      <w:r w:rsidRPr="00391F6E">
        <w:rPr>
          <w:lang w:val="fr-CA"/>
        </w:rPr>
        <w:t>.</w:t>
      </w:r>
    </w:p>
    <w:p w:rsidR="00170270" w:rsidRPr="00391F6E" w:rsidRDefault="004336F0" w:rsidP="00535610">
      <w:pPr>
        <w:pStyle w:val="SCCNormalDoubleSpacing"/>
        <w:widowControl w:val="0"/>
        <w:spacing w:before="480" w:after="480"/>
        <w:rPr>
          <w:lang w:val="fr-CA"/>
        </w:rPr>
      </w:pPr>
      <w:r w:rsidRPr="00391F6E">
        <w:rPr>
          <w:rStyle w:val="SCCCounselNameChar"/>
          <w:i w:val="0"/>
          <w:lang w:val="fr-CA"/>
        </w:rPr>
        <w:tab/>
      </w:r>
      <w:r w:rsidR="002E42A5" w:rsidRPr="00391F6E">
        <w:rPr>
          <w:rStyle w:val="SCCCounselNameChar"/>
          <w:lang w:val="fr-CA"/>
        </w:rPr>
        <w:t>W</w:t>
      </w:r>
      <w:r w:rsidR="00EC47BB">
        <w:rPr>
          <w:rStyle w:val="SCCCounselNameChar"/>
          <w:lang w:val="fr-CA"/>
        </w:rPr>
        <w:t xml:space="preserve">. </w:t>
      </w:r>
      <w:r w:rsidRPr="00391F6E">
        <w:rPr>
          <w:rStyle w:val="SCCCounselNameChar"/>
          <w:lang w:val="fr-CA"/>
        </w:rPr>
        <w:t>Paul Riley</w:t>
      </w:r>
      <w:r w:rsidR="002E42A5" w:rsidRPr="00391F6E">
        <w:rPr>
          <w:rStyle w:val="SCCCounselSeparatorChar"/>
          <w:lang w:val="fr-CA"/>
        </w:rPr>
        <w:t xml:space="preserve">, </w:t>
      </w:r>
      <w:proofErr w:type="gramStart"/>
      <w:r w:rsidR="002E42A5" w:rsidRPr="00391F6E">
        <w:rPr>
          <w:rStyle w:val="SCCCounselSeparatorChar"/>
          <w:i/>
          <w:lang w:val="fr-CA"/>
        </w:rPr>
        <w:t>c.r.</w:t>
      </w:r>
      <w:r w:rsidR="002E42A5" w:rsidRPr="00391F6E">
        <w:rPr>
          <w:rStyle w:val="SCCCounselSeparatorChar"/>
          <w:lang w:val="fr-CA"/>
        </w:rPr>
        <w:t>,</w:t>
      </w:r>
      <w:proofErr w:type="gramEnd"/>
      <w:r w:rsidR="002E42A5" w:rsidRPr="00391F6E">
        <w:rPr>
          <w:rStyle w:val="SCCCounselSeparatorChar"/>
          <w:lang w:val="fr-CA"/>
        </w:rPr>
        <w:t xml:space="preserve"> </w:t>
      </w:r>
      <w:r w:rsidRPr="00391F6E">
        <w:rPr>
          <w:rStyle w:val="SCCCounselSeparatorChar"/>
          <w:lang w:val="fr-CA"/>
        </w:rPr>
        <w:t xml:space="preserve">et </w:t>
      </w:r>
      <w:r w:rsidRPr="00391F6E">
        <w:rPr>
          <w:rStyle w:val="SCCCounselNameChar"/>
          <w:lang w:val="fr-CA"/>
        </w:rPr>
        <w:t>Kevin Wilson</w:t>
      </w:r>
      <w:r w:rsidRPr="00391F6E">
        <w:rPr>
          <w:rStyle w:val="SCCCounselPartyRoleChar"/>
          <w:lang w:val="fr-CA"/>
        </w:rPr>
        <w:t>, pour l</w:t>
      </w:r>
      <w:r w:rsidR="002E42A5" w:rsidRPr="00391F6E">
        <w:rPr>
          <w:rStyle w:val="SCCCounselPartyRoleChar"/>
          <w:lang w:val="fr-CA"/>
        </w:rPr>
        <w:t>’</w:t>
      </w:r>
      <w:r w:rsidRPr="00391F6E">
        <w:rPr>
          <w:rStyle w:val="SCCCounselPartyRoleChar"/>
          <w:lang w:val="fr-CA"/>
        </w:rPr>
        <w:t>appelante.</w:t>
      </w:r>
    </w:p>
    <w:p w:rsidR="00170270" w:rsidRPr="00391F6E" w:rsidRDefault="004336F0" w:rsidP="00535610">
      <w:pPr>
        <w:pStyle w:val="SCCNormalDoubleSpacing"/>
        <w:widowControl w:val="0"/>
        <w:spacing w:before="480" w:after="480"/>
        <w:rPr>
          <w:lang w:val="fr-CA"/>
        </w:rPr>
      </w:pPr>
      <w:r w:rsidRPr="00391F6E">
        <w:rPr>
          <w:rStyle w:val="SCCCounselNameChar"/>
          <w:i w:val="0"/>
          <w:lang w:val="fr-CA"/>
        </w:rPr>
        <w:tab/>
      </w:r>
      <w:r w:rsidR="002E42A5" w:rsidRPr="00391F6E">
        <w:rPr>
          <w:rStyle w:val="SCCCounselNameChar"/>
          <w:lang w:val="fr-CA"/>
        </w:rPr>
        <w:t>Kirk </w:t>
      </w:r>
      <w:r w:rsidRPr="00391F6E">
        <w:rPr>
          <w:rStyle w:val="SCCCounselNameChar"/>
          <w:lang w:val="fr-CA"/>
        </w:rPr>
        <w:t>I</w:t>
      </w:r>
      <w:r w:rsidR="00EC47BB">
        <w:rPr>
          <w:rStyle w:val="SCCCounselNameChar"/>
          <w:lang w:val="fr-CA"/>
        </w:rPr>
        <w:t xml:space="preserve">. </w:t>
      </w:r>
      <w:proofErr w:type="spellStart"/>
      <w:r w:rsidRPr="00391F6E">
        <w:rPr>
          <w:rStyle w:val="SCCCounselNameChar"/>
          <w:lang w:val="fr-CA"/>
        </w:rPr>
        <w:t>Tousaw</w:t>
      </w:r>
      <w:proofErr w:type="spellEnd"/>
      <w:r w:rsidRPr="00391F6E">
        <w:rPr>
          <w:rStyle w:val="SCCCounselSeparatorChar"/>
          <w:lang w:val="fr-CA"/>
        </w:rPr>
        <w:t xml:space="preserve">, </w:t>
      </w:r>
      <w:r w:rsidR="002E42A5" w:rsidRPr="00391F6E">
        <w:rPr>
          <w:rStyle w:val="SCCCounselNameChar"/>
          <w:lang w:val="fr-CA"/>
        </w:rPr>
        <w:t>John </w:t>
      </w:r>
      <w:r w:rsidRPr="00391F6E">
        <w:rPr>
          <w:rStyle w:val="SCCCounselNameChar"/>
          <w:lang w:val="fr-CA"/>
        </w:rPr>
        <w:t>W</w:t>
      </w:r>
      <w:r w:rsidR="00EC47BB">
        <w:rPr>
          <w:rStyle w:val="SCCCounselNameChar"/>
          <w:lang w:val="fr-CA"/>
        </w:rPr>
        <w:t xml:space="preserve">. </w:t>
      </w:r>
      <w:proofErr w:type="spellStart"/>
      <w:r w:rsidRPr="00391F6E">
        <w:rPr>
          <w:rStyle w:val="SCCCounselNameChar"/>
          <w:lang w:val="fr-CA"/>
        </w:rPr>
        <w:t>Conroy</w:t>
      </w:r>
      <w:proofErr w:type="spellEnd"/>
      <w:r w:rsidRPr="00391F6E">
        <w:rPr>
          <w:rStyle w:val="SCCCounselNameChar"/>
          <w:i w:val="0"/>
          <w:lang w:val="fr-CA"/>
        </w:rPr>
        <w:t xml:space="preserve">, </w:t>
      </w:r>
      <w:proofErr w:type="spellStart"/>
      <w:proofErr w:type="gramStart"/>
      <w:r w:rsidR="002E42A5" w:rsidRPr="00391F6E">
        <w:rPr>
          <w:rStyle w:val="SCCCounselNameChar"/>
          <w:lang w:val="fr-CA"/>
        </w:rPr>
        <w:t>c.r</w:t>
      </w:r>
      <w:proofErr w:type="spellEnd"/>
      <w:r w:rsidR="002E42A5" w:rsidRPr="00391F6E">
        <w:rPr>
          <w:rStyle w:val="SCCCounselNameChar"/>
          <w:lang w:val="fr-CA"/>
        </w:rPr>
        <w:t>.</w:t>
      </w:r>
      <w:r w:rsidR="002E42A5" w:rsidRPr="00391F6E">
        <w:rPr>
          <w:rStyle w:val="SCCCounselNameChar"/>
          <w:i w:val="0"/>
          <w:lang w:val="fr-CA"/>
        </w:rPr>
        <w:t>,</w:t>
      </w:r>
      <w:proofErr w:type="gramEnd"/>
      <w:r w:rsidR="002E42A5" w:rsidRPr="00391F6E">
        <w:rPr>
          <w:rStyle w:val="SCCCounselNameChar"/>
          <w:i w:val="0"/>
          <w:lang w:val="fr-CA"/>
        </w:rPr>
        <w:t xml:space="preserve"> </w:t>
      </w:r>
      <w:r w:rsidR="002E42A5" w:rsidRPr="00391F6E">
        <w:rPr>
          <w:rStyle w:val="SCCCounselNameChar"/>
          <w:lang w:val="fr-CA"/>
        </w:rPr>
        <w:t>Matthew </w:t>
      </w:r>
      <w:r w:rsidRPr="00391F6E">
        <w:rPr>
          <w:rStyle w:val="SCCCounselNameChar"/>
          <w:lang w:val="fr-CA"/>
        </w:rPr>
        <w:t>J</w:t>
      </w:r>
      <w:r w:rsidR="00EC47BB">
        <w:rPr>
          <w:rStyle w:val="SCCCounselNameChar"/>
          <w:lang w:val="fr-CA"/>
        </w:rPr>
        <w:t xml:space="preserve">. </w:t>
      </w:r>
      <w:r w:rsidRPr="00391F6E">
        <w:rPr>
          <w:rStyle w:val="SCCCounselNameChar"/>
          <w:lang w:val="fr-CA"/>
        </w:rPr>
        <w:t>Jackson</w:t>
      </w:r>
      <w:r w:rsidRPr="00391F6E">
        <w:rPr>
          <w:rStyle w:val="SCCCounselSeparatorChar"/>
          <w:lang w:val="fr-CA"/>
        </w:rPr>
        <w:t xml:space="preserve"> et </w:t>
      </w:r>
      <w:proofErr w:type="spellStart"/>
      <w:r w:rsidR="002E42A5" w:rsidRPr="00391F6E">
        <w:rPr>
          <w:rStyle w:val="SCCCounselNameChar"/>
          <w:lang w:val="fr-CA"/>
        </w:rPr>
        <w:t>Bibhas</w:t>
      </w:r>
      <w:proofErr w:type="spellEnd"/>
      <w:r w:rsidR="002E42A5" w:rsidRPr="00391F6E">
        <w:rPr>
          <w:rStyle w:val="SCCCounselNameChar"/>
          <w:lang w:val="fr-CA"/>
        </w:rPr>
        <w:t> </w:t>
      </w:r>
      <w:r w:rsidRPr="00391F6E">
        <w:rPr>
          <w:rStyle w:val="SCCCounselNameChar"/>
          <w:lang w:val="fr-CA"/>
        </w:rPr>
        <w:t>D</w:t>
      </w:r>
      <w:r w:rsidR="00EC47BB">
        <w:rPr>
          <w:rStyle w:val="SCCCounselNameChar"/>
          <w:lang w:val="fr-CA"/>
        </w:rPr>
        <w:t xml:space="preserve">. </w:t>
      </w:r>
      <w:proofErr w:type="spellStart"/>
      <w:r w:rsidRPr="00391F6E">
        <w:rPr>
          <w:rStyle w:val="SCCCounselNameChar"/>
          <w:lang w:val="fr-CA"/>
        </w:rPr>
        <w:t>Vaze</w:t>
      </w:r>
      <w:proofErr w:type="spellEnd"/>
      <w:r w:rsidRPr="00391F6E">
        <w:rPr>
          <w:rStyle w:val="SCCCounselPartyRoleChar"/>
          <w:lang w:val="fr-CA"/>
        </w:rPr>
        <w:t>, pour l</w:t>
      </w:r>
      <w:r w:rsidR="002E42A5" w:rsidRPr="00391F6E">
        <w:rPr>
          <w:rStyle w:val="SCCCounselPartyRoleChar"/>
          <w:lang w:val="fr-CA"/>
        </w:rPr>
        <w:t>’</w:t>
      </w:r>
      <w:r w:rsidRPr="00391F6E">
        <w:rPr>
          <w:rStyle w:val="SCCCounselPartyRoleChar"/>
          <w:lang w:val="fr-CA"/>
        </w:rPr>
        <w:t>intimé.</w:t>
      </w:r>
    </w:p>
    <w:p w:rsidR="00170270" w:rsidRPr="00391F6E" w:rsidRDefault="004336F0" w:rsidP="00535610">
      <w:pPr>
        <w:pStyle w:val="SCCNormalDoubleSpacing"/>
        <w:widowControl w:val="0"/>
        <w:spacing w:before="480" w:after="480"/>
        <w:rPr>
          <w:lang w:val="fr-CA"/>
        </w:rPr>
      </w:pPr>
      <w:r w:rsidRPr="00391F6E">
        <w:rPr>
          <w:rStyle w:val="SCCCounselNameChar"/>
          <w:i w:val="0"/>
          <w:lang w:val="fr-CA"/>
        </w:rPr>
        <w:tab/>
      </w:r>
      <w:r w:rsidR="002E42A5" w:rsidRPr="00391F6E">
        <w:rPr>
          <w:rStyle w:val="SCCCounselNameChar"/>
          <w:lang w:val="fr-CA"/>
        </w:rPr>
        <w:t>Julius</w:t>
      </w:r>
      <w:r w:rsidR="006E5B9E">
        <w:rPr>
          <w:rStyle w:val="SCCCounselNameChar"/>
          <w:lang w:val="fr-CA"/>
        </w:rPr>
        <w:t xml:space="preserve"> </w:t>
      </w:r>
      <w:r w:rsidRPr="00391F6E">
        <w:rPr>
          <w:rStyle w:val="SCCCounselNameChar"/>
          <w:lang w:val="fr-CA"/>
        </w:rPr>
        <w:t>H</w:t>
      </w:r>
      <w:r w:rsidR="00EC47BB">
        <w:rPr>
          <w:rStyle w:val="SCCCounselNameChar"/>
          <w:lang w:val="fr-CA"/>
        </w:rPr>
        <w:t xml:space="preserve">. </w:t>
      </w:r>
      <w:r w:rsidRPr="00391F6E">
        <w:rPr>
          <w:rStyle w:val="SCCCounselNameChar"/>
          <w:lang w:val="fr-CA"/>
        </w:rPr>
        <w:t>Grey</w:t>
      </w:r>
      <w:r w:rsidRPr="00391F6E">
        <w:rPr>
          <w:rStyle w:val="SCCCounselSeparatorChar"/>
          <w:lang w:val="fr-CA"/>
        </w:rPr>
        <w:t xml:space="preserve"> et </w:t>
      </w:r>
      <w:r w:rsidRPr="00391F6E">
        <w:rPr>
          <w:rStyle w:val="SCCCounselNameChar"/>
          <w:lang w:val="fr-CA"/>
        </w:rPr>
        <w:t>Geneviève Grey</w:t>
      </w:r>
      <w:r w:rsidRPr="00391F6E">
        <w:rPr>
          <w:rStyle w:val="SCCCounselPartyRoleChar"/>
          <w:lang w:val="fr-CA"/>
        </w:rPr>
        <w:t>, pour l</w:t>
      </w:r>
      <w:r w:rsidR="002E42A5" w:rsidRPr="00391F6E">
        <w:rPr>
          <w:rStyle w:val="SCCCounselPartyRoleChar"/>
          <w:lang w:val="fr-CA"/>
        </w:rPr>
        <w:t>’</w:t>
      </w:r>
      <w:r w:rsidRPr="00391F6E">
        <w:rPr>
          <w:rStyle w:val="SCCCounselPartyRoleChar"/>
          <w:lang w:val="fr-CA"/>
        </w:rPr>
        <w:t>intervenante Santé Cannabis.</w:t>
      </w:r>
    </w:p>
    <w:p w:rsidR="00170270" w:rsidRPr="00391F6E" w:rsidRDefault="004336F0" w:rsidP="00535610">
      <w:pPr>
        <w:pStyle w:val="SCCNormalDoubleSpacing"/>
        <w:widowControl w:val="0"/>
        <w:spacing w:before="480" w:after="480"/>
        <w:rPr>
          <w:lang w:val="fr-CA"/>
        </w:rPr>
      </w:pPr>
      <w:r w:rsidRPr="00391F6E">
        <w:rPr>
          <w:rStyle w:val="SCCCounselNameChar"/>
          <w:i w:val="0"/>
          <w:lang w:val="fr-CA"/>
        </w:rPr>
        <w:tab/>
      </w:r>
      <w:r w:rsidR="002E42A5" w:rsidRPr="00391F6E">
        <w:rPr>
          <w:rStyle w:val="SCCCounselNameChar"/>
          <w:lang w:val="fr-CA"/>
        </w:rPr>
        <w:t>Gerald Chan</w:t>
      </w:r>
      <w:r w:rsidR="002E42A5" w:rsidRPr="00391F6E">
        <w:rPr>
          <w:rStyle w:val="SCCCounselNameChar"/>
          <w:i w:val="0"/>
          <w:lang w:val="fr-CA"/>
        </w:rPr>
        <w:t xml:space="preserve"> </w:t>
      </w:r>
      <w:r w:rsidR="002E42A5" w:rsidRPr="00391F6E">
        <w:rPr>
          <w:rStyle w:val="SCCCounselSeparatorChar"/>
          <w:lang w:val="fr-CA"/>
        </w:rPr>
        <w:t>et</w:t>
      </w:r>
      <w:r w:rsidR="002E42A5" w:rsidRPr="00391F6E">
        <w:rPr>
          <w:rStyle w:val="SCCCounselNameChar"/>
          <w:i w:val="0"/>
          <w:lang w:val="fr-CA"/>
        </w:rPr>
        <w:t xml:space="preserve"> </w:t>
      </w:r>
      <w:r w:rsidR="002E42A5" w:rsidRPr="00391F6E">
        <w:rPr>
          <w:rStyle w:val="SCCCounselNameChar"/>
          <w:lang w:val="fr-CA"/>
        </w:rPr>
        <w:t>Nader</w:t>
      </w:r>
      <w:r w:rsidR="006E5B9E">
        <w:rPr>
          <w:rStyle w:val="SCCCounselNameChar"/>
          <w:lang w:val="fr-CA"/>
        </w:rPr>
        <w:t xml:space="preserve"> </w:t>
      </w:r>
      <w:r w:rsidR="002E42A5" w:rsidRPr="00391F6E">
        <w:rPr>
          <w:rStyle w:val="SCCCounselNameChar"/>
          <w:lang w:val="fr-CA"/>
        </w:rPr>
        <w:t>R</w:t>
      </w:r>
      <w:r w:rsidR="00EC47BB">
        <w:rPr>
          <w:rStyle w:val="SCCCounselNameChar"/>
          <w:lang w:val="fr-CA"/>
        </w:rPr>
        <w:t xml:space="preserve">. </w:t>
      </w:r>
      <w:r w:rsidR="002E42A5" w:rsidRPr="00391F6E">
        <w:rPr>
          <w:rStyle w:val="SCCCounselNameChar"/>
          <w:lang w:val="fr-CA"/>
        </w:rPr>
        <w:t>Hasan</w:t>
      </w:r>
      <w:r w:rsidRPr="00391F6E">
        <w:rPr>
          <w:rStyle w:val="SCCCounselPartyRoleChar"/>
          <w:lang w:val="fr-CA"/>
        </w:rPr>
        <w:t>, pour l</w:t>
      </w:r>
      <w:r w:rsidR="002E42A5" w:rsidRPr="00391F6E">
        <w:rPr>
          <w:rStyle w:val="SCCCounselPartyRoleChar"/>
          <w:lang w:val="fr-CA"/>
        </w:rPr>
        <w:t>’</w:t>
      </w:r>
      <w:r w:rsidRPr="00391F6E">
        <w:rPr>
          <w:rStyle w:val="SCCCounselPartyRoleChar"/>
          <w:lang w:val="fr-CA"/>
        </w:rPr>
        <w:t xml:space="preserve">intervenante </w:t>
      </w:r>
      <w:proofErr w:type="spellStart"/>
      <w:r w:rsidRPr="00391F6E">
        <w:rPr>
          <w:rStyle w:val="SCCCounselPartyRoleChar"/>
          <w:lang w:val="fr-CA"/>
        </w:rPr>
        <w:t>Criminal</w:t>
      </w:r>
      <w:proofErr w:type="spellEnd"/>
      <w:r w:rsidRPr="00391F6E">
        <w:rPr>
          <w:rStyle w:val="SCCCounselPartyRoleChar"/>
          <w:lang w:val="fr-CA"/>
        </w:rPr>
        <w:t xml:space="preserve"> </w:t>
      </w:r>
      <w:proofErr w:type="spellStart"/>
      <w:r w:rsidRPr="00391F6E">
        <w:rPr>
          <w:rStyle w:val="SCCCounselPartyRoleChar"/>
          <w:lang w:val="fr-CA"/>
        </w:rPr>
        <w:t>Lawyers</w:t>
      </w:r>
      <w:proofErr w:type="spellEnd"/>
      <w:r w:rsidR="002E42A5" w:rsidRPr="00391F6E">
        <w:rPr>
          <w:rStyle w:val="SCCCounselPartyRoleChar"/>
          <w:lang w:val="fr-CA"/>
        </w:rPr>
        <w:t>’</w:t>
      </w:r>
      <w:r w:rsidRPr="00391F6E">
        <w:rPr>
          <w:rStyle w:val="SCCCounselPartyRoleChar"/>
          <w:lang w:val="fr-CA"/>
        </w:rPr>
        <w:t xml:space="preserve"> Association (Ontario).</w:t>
      </w:r>
    </w:p>
    <w:p w:rsidR="00170270" w:rsidRPr="00391F6E" w:rsidRDefault="004336F0" w:rsidP="00535610">
      <w:pPr>
        <w:pStyle w:val="SCCNormalDoubleSpacing"/>
        <w:widowControl w:val="0"/>
        <w:spacing w:before="480" w:after="480"/>
        <w:rPr>
          <w:lang w:val="fr-CA"/>
        </w:rPr>
      </w:pPr>
      <w:r w:rsidRPr="00391F6E">
        <w:rPr>
          <w:rStyle w:val="SCCCounselNameChar"/>
          <w:i w:val="0"/>
          <w:lang w:val="fr-CA"/>
        </w:rPr>
        <w:tab/>
      </w:r>
      <w:r w:rsidR="002E42A5" w:rsidRPr="00391F6E">
        <w:rPr>
          <w:rStyle w:val="SCCCounselNameChar"/>
          <w:lang w:val="fr-CA"/>
        </w:rPr>
        <w:t>Andrew</w:t>
      </w:r>
      <w:r w:rsidR="006E5B9E">
        <w:rPr>
          <w:rStyle w:val="SCCCounselNameChar"/>
          <w:lang w:val="fr-CA"/>
        </w:rPr>
        <w:t xml:space="preserve"> </w:t>
      </w:r>
      <w:r w:rsidRPr="00391F6E">
        <w:rPr>
          <w:rStyle w:val="SCCCounselNameChar"/>
          <w:lang w:val="fr-CA"/>
        </w:rPr>
        <w:t>K</w:t>
      </w:r>
      <w:r w:rsidR="00EC47BB">
        <w:rPr>
          <w:rStyle w:val="SCCCounselNameChar"/>
          <w:lang w:val="fr-CA"/>
        </w:rPr>
        <w:t xml:space="preserve">. </w:t>
      </w:r>
      <w:proofErr w:type="spellStart"/>
      <w:r w:rsidRPr="00391F6E">
        <w:rPr>
          <w:rStyle w:val="SCCCounselNameChar"/>
          <w:lang w:val="fr-CA"/>
        </w:rPr>
        <w:t>Lokan</w:t>
      </w:r>
      <w:proofErr w:type="spellEnd"/>
      <w:r w:rsidRPr="00391F6E">
        <w:rPr>
          <w:rStyle w:val="SCCCounselSeparatorChar"/>
          <w:lang w:val="fr-CA"/>
        </w:rPr>
        <w:t xml:space="preserve"> et </w:t>
      </w:r>
      <w:r w:rsidRPr="00391F6E">
        <w:rPr>
          <w:rStyle w:val="SCCCounselNameChar"/>
          <w:lang w:val="fr-CA"/>
        </w:rPr>
        <w:t xml:space="preserve">Debra </w:t>
      </w:r>
      <w:proofErr w:type="spellStart"/>
      <w:r w:rsidRPr="00391F6E">
        <w:rPr>
          <w:rStyle w:val="SCCCounselNameChar"/>
          <w:lang w:val="fr-CA"/>
        </w:rPr>
        <w:t>McKenna</w:t>
      </w:r>
      <w:proofErr w:type="spellEnd"/>
      <w:r w:rsidRPr="00391F6E">
        <w:rPr>
          <w:rStyle w:val="SCCCounselPartyRoleChar"/>
          <w:lang w:val="fr-CA"/>
        </w:rPr>
        <w:t>, pour l</w:t>
      </w:r>
      <w:r w:rsidR="002E42A5" w:rsidRPr="00391F6E">
        <w:rPr>
          <w:rStyle w:val="SCCCounselPartyRoleChar"/>
          <w:lang w:val="fr-CA"/>
        </w:rPr>
        <w:t>’</w:t>
      </w:r>
      <w:r w:rsidRPr="00391F6E">
        <w:rPr>
          <w:rStyle w:val="SCCCounselPartyRoleChar"/>
          <w:lang w:val="fr-CA"/>
        </w:rPr>
        <w:t xml:space="preserve">intervenante </w:t>
      </w:r>
      <w:r w:rsidR="002E42A5" w:rsidRPr="00391F6E">
        <w:rPr>
          <w:rStyle w:val="SCCCounselPartyRoleChar"/>
          <w:lang w:val="fr-CA"/>
        </w:rPr>
        <w:t>l’</w:t>
      </w:r>
      <w:r w:rsidR="002E42A5" w:rsidRPr="00391F6E">
        <w:rPr>
          <w:lang w:val="fr-CA"/>
        </w:rPr>
        <w:t>Association canadienne des libertés civiles</w:t>
      </w:r>
      <w:r w:rsidRPr="00391F6E">
        <w:rPr>
          <w:rStyle w:val="SCCCounselPartyRoleChar"/>
          <w:lang w:val="fr-CA"/>
        </w:rPr>
        <w:t>.</w:t>
      </w:r>
    </w:p>
    <w:p w:rsidR="00170270" w:rsidRPr="00391F6E" w:rsidRDefault="004336F0" w:rsidP="00535610">
      <w:pPr>
        <w:pStyle w:val="SCCNormalDoubleSpacing"/>
        <w:widowControl w:val="0"/>
        <w:spacing w:before="480" w:after="480"/>
        <w:rPr>
          <w:lang w:val="fr-CA"/>
        </w:rPr>
      </w:pPr>
      <w:r w:rsidRPr="00391F6E">
        <w:rPr>
          <w:rStyle w:val="SCCCounselNameChar"/>
          <w:i w:val="0"/>
          <w:lang w:val="fr-CA"/>
        </w:rPr>
        <w:tab/>
      </w:r>
      <w:r w:rsidR="006E5B9E">
        <w:rPr>
          <w:rStyle w:val="SCCCounselNameChar"/>
          <w:lang w:val="fr-CA"/>
        </w:rPr>
        <w:t xml:space="preserve">Jason </w:t>
      </w:r>
      <w:r w:rsidRPr="00391F6E">
        <w:rPr>
          <w:rStyle w:val="SCCCounselNameChar"/>
          <w:lang w:val="fr-CA"/>
        </w:rPr>
        <w:t>B</w:t>
      </w:r>
      <w:r w:rsidR="00EC47BB">
        <w:rPr>
          <w:rStyle w:val="SCCCounselNameChar"/>
          <w:lang w:val="fr-CA"/>
        </w:rPr>
        <w:t xml:space="preserve">. </w:t>
      </w:r>
      <w:proofErr w:type="spellStart"/>
      <w:r w:rsidRPr="00391F6E">
        <w:rPr>
          <w:rStyle w:val="SCCCounselNameChar"/>
          <w:lang w:val="fr-CA"/>
        </w:rPr>
        <w:t>Gratl</w:t>
      </w:r>
      <w:proofErr w:type="spellEnd"/>
      <w:r w:rsidRPr="00391F6E">
        <w:rPr>
          <w:rStyle w:val="SCCCounselPartyRoleChar"/>
          <w:lang w:val="fr-CA"/>
        </w:rPr>
        <w:t>, pour l</w:t>
      </w:r>
      <w:r w:rsidR="002E42A5" w:rsidRPr="00391F6E">
        <w:rPr>
          <w:rStyle w:val="SCCCounselPartyRoleChar"/>
          <w:lang w:val="fr-CA"/>
        </w:rPr>
        <w:t>’</w:t>
      </w:r>
      <w:r w:rsidRPr="00391F6E">
        <w:rPr>
          <w:rStyle w:val="SCCCounselPartyRoleChar"/>
          <w:lang w:val="fr-CA"/>
        </w:rPr>
        <w:t xml:space="preserve">intervenante </w:t>
      </w:r>
      <w:r w:rsidR="002E42A5" w:rsidRPr="00391F6E">
        <w:rPr>
          <w:rStyle w:val="SCCCounselPartyRoleChar"/>
          <w:lang w:val="fr-CA"/>
        </w:rPr>
        <w:t>l’</w:t>
      </w:r>
      <w:r w:rsidR="002E42A5" w:rsidRPr="00391F6E">
        <w:rPr>
          <w:lang w:val="fr-CA"/>
        </w:rPr>
        <w:t>Association des libertés civiles de la Colombie</w:t>
      </w:r>
      <w:r w:rsidR="00147051">
        <w:rPr>
          <w:lang w:val="fr-CA"/>
        </w:rPr>
        <w:t>-</w:t>
      </w:r>
      <w:r w:rsidR="002E42A5" w:rsidRPr="00391F6E">
        <w:rPr>
          <w:lang w:val="fr-CA"/>
        </w:rPr>
        <w:t>Britannique</w:t>
      </w:r>
      <w:r w:rsidRPr="00391F6E">
        <w:rPr>
          <w:rStyle w:val="SCCCounselPartyRoleChar"/>
          <w:lang w:val="fr-CA"/>
        </w:rPr>
        <w:t>.</w:t>
      </w:r>
    </w:p>
    <w:p w:rsidR="00170270" w:rsidRPr="00391F6E" w:rsidRDefault="004336F0" w:rsidP="00535610">
      <w:pPr>
        <w:pStyle w:val="SCCNormalDoubleSpacing"/>
        <w:widowControl w:val="0"/>
        <w:spacing w:before="480" w:after="480"/>
        <w:rPr>
          <w:lang w:val="fr-CA"/>
        </w:rPr>
      </w:pPr>
      <w:r w:rsidRPr="00391F6E">
        <w:rPr>
          <w:rStyle w:val="SCCCounselNameChar"/>
          <w:i w:val="0"/>
          <w:lang w:val="fr-CA"/>
        </w:rPr>
        <w:tab/>
      </w:r>
      <w:r w:rsidR="002E42A5" w:rsidRPr="00391F6E">
        <w:rPr>
          <w:rStyle w:val="SCCCounselNameChar"/>
          <w:i w:val="0"/>
          <w:lang w:val="fr-CA"/>
        </w:rPr>
        <w:t xml:space="preserve">Argumentation écrite seulement par </w:t>
      </w:r>
      <w:r w:rsidRPr="00391F6E">
        <w:rPr>
          <w:rStyle w:val="SCCCounselNameChar"/>
          <w:lang w:val="fr-CA"/>
        </w:rPr>
        <w:t xml:space="preserve">Paul </w:t>
      </w:r>
      <w:proofErr w:type="spellStart"/>
      <w:r w:rsidRPr="00391F6E">
        <w:rPr>
          <w:rStyle w:val="SCCCounselNameChar"/>
          <w:lang w:val="fr-CA"/>
        </w:rPr>
        <w:t>Burstein</w:t>
      </w:r>
      <w:proofErr w:type="spellEnd"/>
      <w:r w:rsidRPr="00391F6E">
        <w:rPr>
          <w:rStyle w:val="SCCCounselSeparatorChar"/>
          <w:lang w:val="fr-CA"/>
        </w:rPr>
        <w:t xml:space="preserve">, </w:t>
      </w:r>
      <w:r w:rsidRPr="00391F6E">
        <w:rPr>
          <w:rStyle w:val="SCCCounselNameChar"/>
          <w:lang w:val="fr-CA"/>
        </w:rPr>
        <w:t>Ryan Peck</w:t>
      </w:r>
      <w:r w:rsidRPr="00391F6E">
        <w:rPr>
          <w:rStyle w:val="SCCCounselSeparatorChar"/>
          <w:lang w:val="fr-CA"/>
        </w:rPr>
        <w:t xml:space="preserve"> et </w:t>
      </w:r>
      <w:r w:rsidRPr="00391F6E">
        <w:rPr>
          <w:rStyle w:val="SCCCounselNameChar"/>
          <w:lang w:val="fr-CA"/>
        </w:rPr>
        <w:t>Richard Elliott</w:t>
      </w:r>
      <w:r w:rsidRPr="00391F6E">
        <w:rPr>
          <w:rStyle w:val="SCCCounselPartyRoleChar"/>
          <w:lang w:val="fr-CA"/>
        </w:rPr>
        <w:t>, pour l</w:t>
      </w:r>
      <w:r w:rsidR="002E42A5" w:rsidRPr="00391F6E">
        <w:rPr>
          <w:rStyle w:val="SCCCounselPartyRoleChar"/>
          <w:lang w:val="fr-CA"/>
        </w:rPr>
        <w:t xml:space="preserve">es </w:t>
      </w:r>
      <w:r w:rsidRPr="00391F6E">
        <w:rPr>
          <w:rStyle w:val="SCCCounselPartyRoleChar"/>
          <w:lang w:val="fr-CA"/>
        </w:rPr>
        <w:t>intervenant</w:t>
      </w:r>
      <w:r w:rsidR="002E42A5" w:rsidRPr="00391F6E">
        <w:rPr>
          <w:rStyle w:val="SCCCounselPartyRoleChar"/>
          <w:lang w:val="fr-CA"/>
        </w:rPr>
        <w:t>s</w:t>
      </w:r>
      <w:r w:rsidRPr="00391F6E">
        <w:rPr>
          <w:rStyle w:val="SCCCounselPartyRoleChar"/>
          <w:lang w:val="fr-CA"/>
        </w:rPr>
        <w:t xml:space="preserve"> </w:t>
      </w:r>
      <w:r w:rsidR="002E42A5" w:rsidRPr="00391F6E">
        <w:rPr>
          <w:rStyle w:val="SCCCounselPartyRoleChar"/>
          <w:lang w:val="fr-CA"/>
        </w:rPr>
        <w:t xml:space="preserve">la </w:t>
      </w:r>
      <w:r w:rsidR="002E42A5" w:rsidRPr="00391F6E">
        <w:rPr>
          <w:lang w:val="fr-CA"/>
        </w:rPr>
        <w:t xml:space="preserve">Société canadienne du sida, le Réseau juridique </w:t>
      </w:r>
      <w:r w:rsidR="002E42A5" w:rsidRPr="00391F6E">
        <w:rPr>
          <w:lang w:val="fr-CA"/>
        </w:rPr>
        <w:lastRenderedPageBreak/>
        <w:t xml:space="preserve">canadien VIH/sida et </w:t>
      </w:r>
      <w:r w:rsidRPr="00391F6E">
        <w:rPr>
          <w:rStyle w:val="SCCCounselPartyRoleChar"/>
          <w:lang w:val="fr-CA"/>
        </w:rPr>
        <w:t xml:space="preserve">HIV &amp; AIDS </w:t>
      </w:r>
      <w:proofErr w:type="spellStart"/>
      <w:r w:rsidRPr="00391F6E">
        <w:rPr>
          <w:rStyle w:val="SCCCounselPartyRoleChar"/>
          <w:lang w:val="fr-CA"/>
        </w:rPr>
        <w:t>Legal</w:t>
      </w:r>
      <w:proofErr w:type="spellEnd"/>
      <w:r w:rsidRPr="00391F6E">
        <w:rPr>
          <w:rStyle w:val="SCCCounselPartyRoleChar"/>
          <w:lang w:val="fr-CA"/>
        </w:rPr>
        <w:t xml:space="preserve"> Clinic Ontario.</w:t>
      </w:r>
    </w:p>
    <w:p w:rsidR="007027F8" w:rsidRDefault="005532D8" w:rsidP="005532D8">
      <w:pPr>
        <w:widowControl w:val="0"/>
        <w:tabs>
          <w:tab w:val="left" w:pos="1170"/>
        </w:tabs>
        <w:spacing w:before="480" w:after="480" w:line="480" w:lineRule="auto"/>
        <w:rPr>
          <w:lang w:val="fr-CA"/>
        </w:rPr>
      </w:pPr>
      <w:r>
        <w:rPr>
          <w:lang w:val="fr-CA"/>
        </w:rPr>
        <w:tab/>
      </w:r>
      <w:r w:rsidR="007027F8" w:rsidRPr="000D1D38">
        <w:rPr>
          <w:lang w:val="fr-CA"/>
        </w:rPr>
        <w:t>Version française du jugement rendu par</w:t>
      </w:r>
    </w:p>
    <w:p w:rsidR="007027F8" w:rsidRPr="00D50054" w:rsidRDefault="00535610" w:rsidP="00535610">
      <w:pPr>
        <w:pStyle w:val="ParaNoNdepar-AltN"/>
        <w:widowControl w:val="0"/>
        <w:tabs>
          <w:tab w:val="clear" w:pos="1166"/>
          <w:tab w:val="num" w:pos="1152"/>
        </w:tabs>
        <w:rPr>
          <w:rFonts w:cs="Times New Roman"/>
        </w:rPr>
      </w:pPr>
      <w:r w:rsidRPr="00535610">
        <w:rPr>
          <w:smallCaps/>
        </w:rPr>
        <w:t>La Cour</w:t>
      </w:r>
      <w:r w:rsidRPr="00D50054">
        <w:t xml:space="preserve"> — </w:t>
      </w:r>
      <w:r w:rsidR="007027F8" w:rsidRPr="00D50054">
        <w:rPr>
          <w:rFonts w:cs="Times New Roman"/>
        </w:rPr>
        <w:t xml:space="preserve">Le règlement pris en vertu de la </w:t>
      </w:r>
      <w:r w:rsidR="007027F8" w:rsidRPr="00D50054">
        <w:rPr>
          <w:rFonts w:cs="Times New Roman"/>
          <w:i/>
        </w:rPr>
        <w:t xml:space="preserve">Loi </w:t>
      </w:r>
      <w:r w:rsidR="007027F8" w:rsidRPr="00D50054">
        <w:rPr>
          <w:rFonts w:cs="Times New Roman"/>
          <w:bCs/>
          <w:i/>
          <w:kern w:val="36"/>
          <w:szCs w:val="24"/>
        </w:rPr>
        <w:t>réglementant certaines drogues et autres substances</w:t>
      </w:r>
      <w:r w:rsidR="007027F8" w:rsidRPr="00D50054">
        <w:rPr>
          <w:rFonts w:cs="Times New Roman"/>
        </w:rPr>
        <w:t>, L.C</w:t>
      </w:r>
      <w:r w:rsidR="00EC47BB">
        <w:rPr>
          <w:rFonts w:cs="Times New Roman"/>
        </w:rPr>
        <w:t xml:space="preserve">. </w:t>
      </w:r>
      <w:r w:rsidR="007027F8" w:rsidRPr="00D50054">
        <w:rPr>
          <w:rFonts w:cs="Times New Roman"/>
        </w:rPr>
        <w:t xml:space="preserve">1996, </w:t>
      </w:r>
      <w:r w:rsidR="007027F8">
        <w:rPr>
          <w:rFonts w:cs="Times New Roman"/>
        </w:rPr>
        <w:t>c</w:t>
      </w:r>
      <w:r w:rsidR="00EC47BB">
        <w:rPr>
          <w:rFonts w:cs="Times New Roman"/>
        </w:rPr>
        <w:t xml:space="preserve">. </w:t>
      </w:r>
      <w:r w:rsidR="007027F8" w:rsidRPr="00D50054">
        <w:rPr>
          <w:rFonts w:cs="Times New Roman"/>
        </w:rPr>
        <w:t>19 (la « </w:t>
      </w:r>
      <w:r w:rsidR="007027F8" w:rsidRPr="00D50054">
        <w:rPr>
          <w:rFonts w:cs="Times New Roman"/>
          <w:i/>
        </w:rPr>
        <w:t>LRCDAS</w:t>
      </w:r>
      <w:r w:rsidR="007027F8" w:rsidRPr="00D50054">
        <w:rPr>
          <w:rFonts w:cs="Times New Roman"/>
        </w:rPr>
        <w:t xml:space="preserve"> »), permet la consommation de la </w:t>
      </w:r>
      <w:r w:rsidR="005532D8">
        <w:rPr>
          <w:rFonts w:cs="Times New Roman"/>
        </w:rPr>
        <w:t>marihuana</w:t>
      </w:r>
      <w:r w:rsidR="007027F8" w:rsidRPr="00D50054">
        <w:rPr>
          <w:rFonts w:cs="Times New Roman"/>
        </w:rPr>
        <w:t xml:space="preserve"> pour le traitement d’un état pathologique</w:t>
      </w:r>
      <w:r w:rsidR="00EC47BB">
        <w:rPr>
          <w:rFonts w:cs="Times New Roman"/>
        </w:rPr>
        <w:t xml:space="preserve">. </w:t>
      </w:r>
      <w:r w:rsidR="007027F8" w:rsidRPr="00D50054">
        <w:rPr>
          <w:rFonts w:cs="Times New Roman"/>
        </w:rPr>
        <w:t>Toutefois, seule la « </w:t>
      </w:r>
      <w:r w:rsidR="005532D8">
        <w:rPr>
          <w:rFonts w:cs="Times New Roman"/>
        </w:rPr>
        <w:t>marihuana</w:t>
      </w:r>
      <w:r w:rsidR="007027F8" w:rsidRPr="00D50054">
        <w:rPr>
          <w:rFonts w:cs="Times New Roman"/>
        </w:rPr>
        <w:t xml:space="preserve"> séchée » peut être utilisée à cette fin, de sorte qu’il est toujours interdit aux personnes légalement autorisées à posséder de la </w:t>
      </w:r>
      <w:r w:rsidR="005532D8">
        <w:rPr>
          <w:rFonts w:cs="Times New Roman"/>
        </w:rPr>
        <w:t>marihuana</w:t>
      </w:r>
      <w:r w:rsidR="007027F8" w:rsidRPr="00D50054">
        <w:rPr>
          <w:rFonts w:cs="Times New Roman"/>
        </w:rPr>
        <w:t xml:space="preserve"> à des fins médicales de posséder des produits du cannabis extraits des composés médicinaux actifs présents dans la plante de cannabis</w:t>
      </w:r>
      <w:r w:rsidR="00EC47BB">
        <w:rPr>
          <w:rFonts w:cs="Times New Roman"/>
        </w:rPr>
        <w:t xml:space="preserve">. </w:t>
      </w:r>
      <w:r w:rsidR="007027F8" w:rsidRPr="00D50054">
        <w:rPr>
          <w:rFonts w:cs="Times New Roman"/>
        </w:rPr>
        <w:t xml:space="preserve">Il s’ensuit que les patients qui obtiennent de la </w:t>
      </w:r>
      <w:r w:rsidR="005532D8">
        <w:rPr>
          <w:rFonts w:cs="Times New Roman"/>
        </w:rPr>
        <w:t>marihuana</w:t>
      </w:r>
      <w:r w:rsidR="007027F8" w:rsidRPr="00D50054">
        <w:rPr>
          <w:rFonts w:cs="Times New Roman"/>
        </w:rPr>
        <w:t xml:space="preserve"> séchée conformément à une telle autorisation ne peuvent choisir de l’administrer au moyen d’un traitement oral ou topique et qu’ils doivent l’inhaler, habituellement en la fumant</w:t>
      </w:r>
      <w:r w:rsidR="00EC47BB">
        <w:rPr>
          <w:rFonts w:cs="Times New Roman"/>
        </w:rPr>
        <w:t xml:space="preserve">. </w:t>
      </w:r>
      <w:r w:rsidR="007027F8" w:rsidRPr="00D50054">
        <w:rPr>
          <w:rFonts w:cs="Times New Roman"/>
        </w:rPr>
        <w:t xml:space="preserve">Or, inhaler de la </w:t>
      </w:r>
      <w:r w:rsidR="005532D8">
        <w:rPr>
          <w:rFonts w:cs="Times New Roman"/>
        </w:rPr>
        <w:t>marihuana</w:t>
      </w:r>
      <w:r w:rsidR="007027F8" w:rsidRPr="00D50054">
        <w:rPr>
          <w:rFonts w:cs="Times New Roman"/>
        </w:rPr>
        <w:t xml:space="preserve"> peut présenter des risques pour la santé et est moins efficace dans le cas de certaines affections que l’administration de dérivés du cannabis</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Les parties acceptent la conclusion de la Cour d’appel de l’Ontario dans </w:t>
      </w:r>
      <w:r w:rsidRPr="00D50054">
        <w:rPr>
          <w:rFonts w:cs="Times New Roman"/>
          <w:i/>
        </w:rPr>
        <w:t>R</w:t>
      </w:r>
      <w:r w:rsidR="00EC47BB">
        <w:rPr>
          <w:rFonts w:cs="Times New Roman"/>
          <w:i/>
        </w:rPr>
        <w:t xml:space="preserve">. </w:t>
      </w:r>
      <w:r w:rsidRPr="00D50054">
        <w:rPr>
          <w:rFonts w:cs="Times New Roman"/>
          <w:i/>
        </w:rPr>
        <w:t>c</w:t>
      </w:r>
      <w:r w:rsidR="00EC47BB">
        <w:rPr>
          <w:rFonts w:cs="Times New Roman"/>
          <w:i/>
        </w:rPr>
        <w:t xml:space="preserve">. </w:t>
      </w:r>
      <w:r w:rsidRPr="00D50054">
        <w:rPr>
          <w:rFonts w:cs="Times New Roman"/>
          <w:i/>
        </w:rPr>
        <w:t xml:space="preserve">Parker </w:t>
      </w:r>
      <w:r w:rsidRPr="00D50054">
        <w:rPr>
          <w:rFonts w:cs="Times New Roman"/>
        </w:rPr>
        <w:t>(2000), 146 C.C.C</w:t>
      </w:r>
      <w:r w:rsidR="00EC47BB">
        <w:rPr>
          <w:rFonts w:cs="Times New Roman"/>
        </w:rPr>
        <w:t xml:space="preserve">. </w:t>
      </w:r>
      <w:r w:rsidRPr="00D50054">
        <w:rPr>
          <w:rFonts w:cs="Times New Roman"/>
        </w:rPr>
        <w:t xml:space="preserve">(3d) 193, selon laquelle une interdiction totale frappant l’accès médical à la </w:t>
      </w:r>
      <w:r w:rsidR="005532D8">
        <w:rPr>
          <w:rFonts w:cs="Times New Roman"/>
        </w:rPr>
        <w:t>marihuana</w:t>
      </w:r>
      <w:r w:rsidRPr="00D50054">
        <w:rPr>
          <w:rFonts w:cs="Times New Roman"/>
        </w:rPr>
        <w:t xml:space="preserve"> porte atteinte à la </w:t>
      </w:r>
      <w:r w:rsidRPr="00D50054">
        <w:rPr>
          <w:rFonts w:cs="Times New Roman"/>
          <w:i/>
        </w:rPr>
        <w:t>Charte canadienne des droits et libertés</w:t>
      </w:r>
      <w:r w:rsidR="00EC47BB">
        <w:rPr>
          <w:rFonts w:cs="Times New Roman"/>
          <w:i/>
        </w:rPr>
        <w:t xml:space="preserve">. </w:t>
      </w:r>
      <w:r w:rsidRPr="00D50054">
        <w:rPr>
          <w:rFonts w:cs="Times New Roman"/>
        </w:rPr>
        <w:t xml:space="preserve">En l’espèce, nous sommes toutefois appelés à décider si un régime d’accès médical qui restreint l’accès à la </w:t>
      </w:r>
      <w:r w:rsidR="005532D8">
        <w:rPr>
          <w:rFonts w:cs="Times New Roman"/>
        </w:rPr>
        <w:t>marihuana</w:t>
      </w:r>
      <w:r w:rsidRPr="00D50054">
        <w:rPr>
          <w:rFonts w:cs="Times New Roman"/>
        </w:rPr>
        <w:t xml:space="preserve"> uniquement </w:t>
      </w:r>
      <w:r w:rsidR="00B45A6B">
        <w:rPr>
          <w:rFonts w:cs="Times New Roman"/>
        </w:rPr>
        <w:t>à</w:t>
      </w:r>
      <w:r w:rsidRPr="00D50054">
        <w:rPr>
          <w:rFonts w:cs="Times New Roman"/>
        </w:rPr>
        <w:t xml:space="preserve"> sa forme séchée porte atteinte de façon injustifiable au droit à la vie, à la liberté et à la sécurité de la personne reconnu à l’art</w:t>
      </w:r>
      <w:r w:rsidR="00EC47BB">
        <w:rPr>
          <w:rFonts w:cs="Times New Roman"/>
        </w:rPr>
        <w:t xml:space="preserve">. </w:t>
      </w:r>
      <w:r w:rsidRPr="00D50054">
        <w:rPr>
          <w:rFonts w:cs="Times New Roman"/>
        </w:rPr>
        <w:t xml:space="preserve">7 de la </w:t>
      </w:r>
      <w:r w:rsidRPr="00D50054">
        <w:rPr>
          <w:rFonts w:cs="Times New Roman"/>
          <w:i/>
        </w:rPr>
        <w:t>Charte</w:t>
      </w:r>
      <w:r w:rsidR="00EC47BB">
        <w:rPr>
          <w:rFonts w:cs="Times New Roman"/>
        </w:rPr>
        <w:t xml:space="preserve">. </w:t>
      </w:r>
      <w:r w:rsidRPr="00D50054">
        <w:rPr>
          <w:rFonts w:cs="Times New Roman"/>
        </w:rPr>
        <w:t>Les tribunaux de la Colombie</w:t>
      </w:r>
      <w:r w:rsidR="00147051">
        <w:rPr>
          <w:rFonts w:cs="Times New Roman"/>
        </w:rPr>
        <w:t>-</w:t>
      </w:r>
      <w:r w:rsidRPr="00D50054">
        <w:rPr>
          <w:rFonts w:cs="Times New Roman"/>
        </w:rPr>
        <w:t xml:space="preserve">Britannique </w:t>
      </w:r>
      <w:r w:rsidRPr="00D50054">
        <w:rPr>
          <w:rFonts w:cs="Times New Roman"/>
        </w:rPr>
        <w:lastRenderedPageBreak/>
        <w:t>ont répondu par l’affirmative à cette question et nous abondons dans leur sens.</w:t>
      </w:r>
    </w:p>
    <w:p w:rsidR="007027F8" w:rsidRPr="00D50054" w:rsidRDefault="007027F8" w:rsidP="00103926">
      <w:pPr>
        <w:pStyle w:val="Title1LevelTitre1Niveau-AltL"/>
        <w:widowControl w:val="0"/>
        <w:numPr>
          <w:ilvl w:val="0"/>
          <w:numId w:val="8"/>
        </w:numPr>
        <w:tabs>
          <w:tab w:val="clear" w:pos="576"/>
        </w:tabs>
        <w:ind w:left="540" w:hanging="540"/>
        <w:rPr>
          <w:rFonts w:cs="Times New Roman"/>
          <w:lang w:val="fr-CA"/>
        </w:rPr>
      </w:pPr>
      <w:r w:rsidRPr="00D50054">
        <w:rPr>
          <w:rFonts w:cs="Times New Roman"/>
          <w:lang w:val="fr-CA"/>
        </w:rPr>
        <w:t>Contexte</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La </w:t>
      </w:r>
      <w:r w:rsidRPr="00D50054">
        <w:rPr>
          <w:rFonts w:cs="Times New Roman"/>
          <w:bCs/>
          <w:i/>
          <w:kern w:val="36"/>
          <w:szCs w:val="24"/>
        </w:rPr>
        <w:t>LRCDAS</w:t>
      </w:r>
      <w:r w:rsidRPr="00D50054">
        <w:rPr>
          <w:rFonts w:cs="Times New Roman"/>
        </w:rPr>
        <w:t xml:space="preserve"> interdit la possession, la production et la distribution du cannabis, de ses composés actifs et de ses dérivés</w:t>
      </w:r>
      <w:r w:rsidR="00EC47BB">
        <w:rPr>
          <w:rFonts w:cs="Times New Roman"/>
        </w:rPr>
        <w:t xml:space="preserve">. </w:t>
      </w:r>
      <w:r w:rsidRPr="00D50054">
        <w:rPr>
          <w:rFonts w:cs="Times New Roman"/>
        </w:rPr>
        <w:t xml:space="preserve">Reconnaissant le fait que certaines substances désignées peuvent avoir des usages bénéfiques, la </w:t>
      </w:r>
      <w:r w:rsidRPr="00D50054">
        <w:rPr>
          <w:rFonts w:cs="Times New Roman"/>
          <w:i/>
        </w:rPr>
        <w:t>LRCDAS</w:t>
      </w:r>
      <w:r w:rsidRPr="00D50054">
        <w:rPr>
          <w:rFonts w:cs="Times New Roman"/>
        </w:rPr>
        <w:t xml:space="preserve"> habilite par ailleurs le gouvernement à créer par règlement des exemptions à des fins médicales, scientifiques ou industrielles (art</w:t>
      </w:r>
      <w:r w:rsidR="00EC47BB">
        <w:rPr>
          <w:rFonts w:cs="Times New Roman"/>
        </w:rPr>
        <w:t xml:space="preserve">. </w:t>
      </w:r>
      <w:r w:rsidRPr="00D50054">
        <w:rPr>
          <w:rFonts w:cs="Times New Roman"/>
        </w:rPr>
        <w:t>55)</w:t>
      </w:r>
      <w:r w:rsidR="00EC47BB">
        <w:rPr>
          <w:rFonts w:cs="Times New Roman"/>
        </w:rPr>
        <w:t xml:space="preserve">. </w:t>
      </w:r>
      <w:r w:rsidRPr="00D50054">
        <w:rPr>
          <w:rFonts w:cs="Times New Roman"/>
        </w:rPr>
        <w:t xml:space="preserve">Le </w:t>
      </w:r>
      <w:r w:rsidRPr="00D50054">
        <w:rPr>
          <w:rFonts w:cs="Times New Roman"/>
          <w:i/>
        </w:rPr>
        <w:t xml:space="preserve">Règlement sur l’accès à la </w:t>
      </w:r>
      <w:r w:rsidR="005532D8">
        <w:rPr>
          <w:rFonts w:cs="Times New Roman"/>
          <w:i/>
        </w:rPr>
        <w:t>marihuana</w:t>
      </w:r>
      <w:r w:rsidRPr="00D50054">
        <w:rPr>
          <w:rFonts w:cs="Times New Roman"/>
          <w:i/>
        </w:rPr>
        <w:t xml:space="preserve"> à des fins médicales</w:t>
      </w:r>
      <w:r w:rsidRPr="00D50054">
        <w:rPr>
          <w:rFonts w:cs="Times New Roman"/>
        </w:rPr>
        <w:t>, DORS/2001</w:t>
      </w:r>
      <w:r w:rsidR="00147051">
        <w:rPr>
          <w:rFonts w:cs="Times New Roman"/>
        </w:rPr>
        <w:t>-</w:t>
      </w:r>
      <w:r w:rsidRPr="00D50054">
        <w:rPr>
          <w:rFonts w:cs="Times New Roman"/>
        </w:rPr>
        <w:t>227 (le « </w:t>
      </w:r>
      <w:r w:rsidRPr="00D50054">
        <w:rPr>
          <w:rFonts w:cs="Times New Roman"/>
          <w:i/>
        </w:rPr>
        <w:t>RAMFM</w:t>
      </w:r>
      <w:r w:rsidRPr="00D50054">
        <w:rPr>
          <w:rFonts w:cs="Times New Roman"/>
        </w:rPr>
        <w:t> »), créait une telle exemption à l’égard des personnes qui étaient en mesure de démontrer qu’elles avaient besoin de cannabis à des fins médicales</w:t>
      </w:r>
      <w:r w:rsidR="00EC47BB">
        <w:rPr>
          <w:rFonts w:cs="Times New Roman"/>
        </w:rPr>
        <w:t xml:space="preserve">. </w:t>
      </w:r>
      <w:r w:rsidRPr="00D50054">
        <w:rPr>
          <w:rFonts w:cs="Times New Roman"/>
        </w:rPr>
        <w:t>Le demandeur devait produire une déclaration fournie par un médecin certifiant que les traitements conventionnels s’étaient révélés inefficaces ou ne convenaient pas dans son cas</w:t>
      </w:r>
      <w:r w:rsidR="00EC47BB">
        <w:rPr>
          <w:rFonts w:cs="Times New Roman"/>
        </w:rPr>
        <w:t xml:space="preserve">. </w:t>
      </w:r>
      <w:r w:rsidRPr="00D50054">
        <w:rPr>
          <w:rFonts w:cs="Times New Roman"/>
        </w:rPr>
        <w:t>Après avoir satisfait à toutes les exigences réglementaires, le patient était légalement autorisé à posséder de la « </w:t>
      </w:r>
      <w:r w:rsidR="005532D8">
        <w:rPr>
          <w:rFonts w:cs="Times New Roman"/>
        </w:rPr>
        <w:t>marihuana</w:t>
      </w:r>
      <w:r w:rsidRPr="00D50054">
        <w:rPr>
          <w:rFonts w:cs="Times New Roman"/>
        </w:rPr>
        <w:t xml:space="preserve"> séchée », définie comme suit </w:t>
      </w:r>
      <w:r w:rsidR="006E5B9E">
        <w:rPr>
          <w:rFonts w:cs="Times New Roman"/>
        </w:rPr>
        <w:t xml:space="preserve">: </w:t>
      </w:r>
      <w:r w:rsidRPr="00D50054">
        <w:rPr>
          <w:rFonts w:cs="Times New Roman"/>
        </w:rPr>
        <w:t>« [m]</w:t>
      </w:r>
      <w:proofErr w:type="spellStart"/>
      <w:r w:rsidRPr="00D50054">
        <w:rPr>
          <w:rFonts w:cs="Times New Roman"/>
        </w:rPr>
        <w:t>arihuana</w:t>
      </w:r>
      <w:proofErr w:type="spellEnd"/>
      <w:r w:rsidRPr="00D50054">
        <w:rPr>
          <w:rFonts w:cs="Times New Roman"/>
        </w:rPr>
        <w:t xml:space="preserve"> qui a été récoltée et soumise à un processus de séchage » (art</w:t>
      </w:r>
      <w:r w:rsidR="00EC47BB">
        <w:rPr>
          <w:rFonts w:cs="Times New Roman"/>
        </w:rPr>
        <w:t xml:space="preserve">. </w:t>
      </w:r>
      <w:r w:rsidRPr="00D50054">
        <w:rPr>
          <w:rFonts w:cs="Times New Roman"/>
        </w:rPr>
        <w:t>1)</w:t>
      </w:r>
      <w:r w:rsidR="00EC47BB">
        <w:rPr>
          <w:rFonts w:cs="Times New Roman"/>
        </w:rPr>
        <w:t xml:space="preserve">. </w:t>
      </w:r>
      <w:r w:rsidRPr="00D50054">
        <w:rPr>
          <w:rFonts w:cs="Times New Roman"/>
        </w:rPr>
        <w:t xml:space="preserve">Certains patients étaient autorisés à cultiver leur propre </w:t>
      </w:r>
      <w:r w:rsidR="005532D8">
        <w:rPr>
          <w:rFonts w:cs="Times New Roman"/>
        </w:rPr>
        <w:t>marihuana</w:t>
      </w:r>
      <w:r w:rsidRPr="00D50054">
        <w:rPr>
          <w:rFonts w:cs="Times New Roman"/>
        </w:rPr>
        <w:t xml:space="preserve"> en vertu d’une l</w:t>
      </w:r>
      <w:r w:rsidRPr="00D50054">
        <w:rPr>
          <w:rStyle w:val="htitletext21"/>
        </w:rPr>
        <w:t xml:space="preserve">icence de production à des fins personnelles </w:t>
      </w:r>
      <w:r w:rsidRPr="00D50054">
        <w:rPr>
          <w:rFonts w:cs="Times New Roman"/>
        </w:rPr>
        <w:t>(art</w:t>
      </w:r>
      <w:r w:rsidR="00EC47BB">
        <w:rPr>
          <w:rFonts w:cs="Times New Roman"/>
        </w:rPr>
        <w:t xml:space="preserve">. </w:t>
      </w:r>
      <w:r w:rsidRPr="00D50054">
        <w:rPr>
          <w:rFonts w:cs="Times New Roman"/>
        </w:rPr>
        <w:t>24), alors que d’autres pouvaient se la procurer auprès du titulaire d’une licence de production à titre de personne désignée (art</w:t>
      </w:r>
      <w:r w:rsidR="00EC47BB">
        <w:rPr>
          <w:rFonts w:cs="Times New Roman"/>
        </w:rPr>
        <w:t xml:space="preserve">. </w:t>
      </w:r>
      <w:r w:rsidRPr="00D50054">
        <w:rPr>
          <w:rFonts w:cs="Times New Roman"/>
        </w:rPr>
        <w:t>34)</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Le </w:t>
      </w:r>
      <w:r w:rsidRPr="00D50054">
        <w:rPr>
          <w:rFonts w:cs="Times New Roman"/>
          <w:i/>
        </w:rPr>
        <w:t>RAMFM</w:t>
      </w:r>
      <w:r w:rsidRPr="00D50054">
        <w:rPr>
          <w:rFonts w:cs="Times New Roman"/>
        </w:rPr>
        <w:t xml:space="preserve"> a été remplacé en 2013 par le </w:t>
      </w:r>
      <w:r w:rsidRPr="00D50054">
        <w:rPr>
          <w:rFonts w:cs="Times New Roman"/>
          <w:i/>
          <w:iCs/>
        </w:rPr>
        <w:t xml:space="preserve">Règlement sur la </w:t>
      </w:r>
      <w:r w:rsidR="005532D8">
        <w:rPr>
          <w:rFonts w:cs="Times New Roman"/>
          <w:i/>
          <w:iCs/>
        </w:rPr>
        <w:t>marihuana</w:t>
      </w:r>
      <w:r w:rsidRPr="00D50054">
        <w:rPr>
          <w:rFonts w:cs="Times New Roman"/>
          <w:i/>
          <w:iCs/>
        </w:rPr>
        <w:t xml:space="preserve"> à des fins médicales</w:t>
      </w:r>
      <w:r w:rsidRPr="00D50054">
        <w:rPr>
          <w:rFonts w:cs="Times New Roman"/>
        </w:rPr>
        <w:t>, DORS/2013</w:t>
      </w:r>
      <w:r w:rsidR="00147051">
        <w:rPr>
          <w:rFonts w:cs="Times New Roman"/>
        </w:rPr>
        <w:t>-</w:t>
      </w:r>
      <w:r w:rsidRPr="00D50054">
        <w:rPr>
          <w:rFonts w:cs="Times New Roman"/>
        </w:rPr>
        <w:t>119 (le « </w:t>
      </w:r>
      <w:r w:rsidRPr="00D50054">
        <w:rPr>
          <w:rFonts w:cs="Times New Roman"/>
          <w:i/>
        </w:rPr>
        <w:t>RMFM</w:t>
      </w:r>
      <w:r w:rsidRPr="00D50054">
        <w:rPr>
          <w:rFonts w:cs="Times New Roman"/>
        </w:rPr>
        <w:t> »)</w:t>
      </w:r>
      <w:r w:rsidR="00EC47BB">
        <w:rPr>
          <w:rFonts w:cs="Times New Roman"/>
        </w:rPr>
        <w:t xml:space="preserve">. </w:t>
      </w:r>
      <w:r w:rsidRPr="00D50054">
        <w:rPr>
          <w:rFonts w:cs="Times New Roman"/>
        </w:rPr>
        <w:t xml:space="preserve">Le nouveau régime remplace le système de production de </w:t>
      </w:r>
      <w:r w:rsidR="005532D8">
        <w:rPr>
          <w:rFonts w:cs="Times New Roman"/>
        </w:rPr>
        <w:t>marihuana</w:t>
      </w:r>
      <w:r w:rsidRPr="00D50054">
        <w:rPr>
          <w:rFonts w:cs="Times New Roman"/>
        </w:rPr>
        <w:t xml:space="preserve"> que prévoyait le </w:t>
      </w:r>
      <w:r w:rsidRPr="00D50054">
        <w:rPr>
          <w:rFonts w:cs="Times New Roman"/>
          <w:i/>
        </w:rPr>
        <w:t xml:space="preserve">RAMFM </w:t>
      </w:r>
      <w:r w:rsidRPr="00D50054">
        <w:rPr>
          <w:rFonts w:cs="Times New Roman"/>
          <w:iCs/>
        </w:rPr>
        <w:t xml:space="preserve">par </w:t>
      </w:r>
      <w:r w:rsidRPr="00D50054">
        <w:rPr>
          <w:rFonts w:cs="Times New Roman"/>
        </w:rPr>
        <w:t xml:space="preserve">un système de </w:t>
      </w:r>
      <w:r w:rsidRPr="00D50054">
        <w:rPr>
          <w:rFonts w:cs="Times New Roman"/>
        </w:rPr>
        <w:lastRenderedPageBreak/>
        <w:t>producteurs autorisés par le gouvernement</w:t>
      </w:r>
      <w:r w:rsidR="00EC47BB">
        <w:rPr>
          <w:rFonts w:cs="Times New Roman"/>
        </w:rPr>
        <w:t xml:space="preserve">. </w:t>
      </w:r>
      <w:r w:rsidRPr="00D50054">
        <w:rPr>
          <w:rFonts w:cs="Times New Roman"/>
        </w:rPr>
        <w:t>Toutefois, aux fins du présent appel, la situation reste inchangée </w:t>
      </w:r>
      <w:r w:rsidR="006E5B9E">
        <w:rPr>
          <w:rFonts w:cs="Times New Roman"/>
        </w:rPr>
        <w:t xml:space="preserve">: </w:t>
      </w:r>
      <w:r w:rsidRPr="00D50054">
        <w:rPr>
          <w:rFonts w:cs="Times New Roman"/>
        </w:rPr>
        <w:t xml:space="preserve">pour les patients qui font usage de </w:t>
      </w:r>
      <w:r w:rsidR="005532D8">
        <w:rPr>
          <w:rFonts w:cs="Times New Roman"/>
        </w:rPr>
        <w:t>marihuana</w:t>
      </w:r>
      <w:r w:rsidRPr="00D50054">
        <w:rPr>
          <w:rFonts w:cs="Times New Roman"/>
        </w:rPr>
        <w:t xml:space="preserve"> à des fins médicales, l’exception à l’infraction prévue par la </w:t>
      </w:r>
      <w:r w:rsidRPr="00D50054">
        <w:rPr>
          <w:rFonts w:cs="Times New Roman"/>
          <w:i/>
        </w:rPr>
        <w:t>LRCDAS</w:t>
      </w:r>
      <w:r w:rsidRPr="00D50054">
        <w:rPr>
          <w:rFonts w:cs="Times New Roman"/>
        </w:rPr>
        <w:t xml:space="preserve"> se limite toujours à la </w:t>
      </w:r>
      <w:r w:rsidR="005532D8">
        <w:rPr>
          <w:rFonts w:cs="Times New Roman"/>
        </w:rPr>
        <w:t>marihuana</w:t>
      </w:r>
      <w:r w:rsidRPr="00D50054">
        <w:rPr>
          <w:rFonts w:cs="Times New Roman"/>
        </w:rPr>
        <w:t xml:space="preserve"> séchée.</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L’accusé, Owen Edward Smith, travaillait pour le Cannabis </w:t>
      </w:r>
      <w:proofErr w:type="spellStart"/>
      <w:r w:rsidRPr="00D50054">
        <w:rPr>
          <w:rFonts w:cs="Times New Roman"/>
        </w:rPr>
        <w:t>Buyers</w:t>
      </w:r>
      <w:proofErr w:type="spellEnd"/>
      <w:r w:rsidRPr="00D50054">
        <w:rPr>
          <w:rFonts w:cs="Times New Roman"/>
        </w:rPr>
        <w:t xml:space="preserve"> Club of Canada, situé sur l’île de Vancouver, en Colombie</w:t>
      </w:r>
      <w:r w:rsidR="00147051">
        <w:rPr>
          <w:rFonts w:cs="Times New Roman"/>
        </w:rPr>
        <w:t>-</w:t>
      </w:r>
      <w:r w:rsidRPr="00D50054">
        <w:rPr>
          <w:rFonts w:cs="Times New Roman"/>
        </w:rPr>
        <w:t>Britannique</w:t>
      </w:r>
      <w:r w:rsidR="00EC47BB">
        <w:rPr>
          <w:rFonts w:cs="Times New Roman"/>
        </w:rPr>
        <w:t xml:space="preserve">. </w:t>
      </w:r>
      <w:r w:rsidRPr="00D50054">
        <w:rPr>
          <w:rFonts w:cs="Times New Roman"/>
        </w:rPr>
        <w:t xml:space="preserve">Le club vendait de la </w:t>
      </w:r>
      <w:r w:rsidR="005532D8">
        <w:rPr>
          <w:rFonts w:cs="Times New Roman"/>
        </w:rPr>
        <w:t>marihuana</w:t>
      </w:r>
      <w:r w:rsidRPr="00D50054">
        <w:rPr>
          <w:rFonts w:cs="Times New Roman"/>
        </w:rPr>
        <w:t xml:space="preserve"> et des produits dérivés du cannabis à ses membres, des personnes dont le club était convaincu qu’elles souffraient de véritables problèmes de santé pouvant être soulagés par la </w:t>
      </w:r>
      <w:r w:rsidR="005532D8">
        <w:rPr>
          <w:rFonts w:cs="Times New Roman"/>
        </w:rPr>
        <w:t>marihuana</w:t>
      </w:r>
      <w:r w:rsidRPr="00D50054">
        <w:rPr>
          <w:rFonts w:cs="Times New Roman"/>
        </w:rPr>
        <w:t>, selon un diagnostic posé par un médecin ou des tests de laboratoire</w:t>
      </w:r>
      <w:r w:rsidR="00EC47BB">
        <w:rPr>
          <w:rFonts w:cs="Times New Roman"/>
        </w:rPr>
        <w:t xml:space="preserve">. </w:t>
      </w:r>
      <w:r w:rsidRPr="00D50054">
        <w:rPr>
          <w:rFonts w:cs="Times New Roman"/>
        </w:rPr>
        <w:t xml:space="preserve">Le club vendait non seulement de la </w:t>
      </w:r>
      <w:r w:rsidR="005532D8">
        <w:rPr>
          <w:rFonts w:cs="Times New Roman"/>
        </w:rPr>
        <w:t>marihuana</w:t>
      </w:r>
      <w:r w:rsidRPr="00D50054">
        <w:rPr>
          <w:rFonts w:cs="Times New Roman"/>
        </w:rPr>
        <w:t xml:space="preserve"> séchée à fumer, mais également des produits du cannabis comestibles et topiques — des biscuits, des gélules, de l’huile à friction, des timbres transdermiques, du beurre et du baume à lèvres</w:t>
      </w:r>
      <w:r w:rsidR="00EC47BB">
        <w:rPr>
          <w:rFonts w:cs="Times New Roman"/>
        </w:rPr>
        <w:t xml:space="preserve">. </w:t>
      </w:r>
      <w:r w:rsidRPr="00D50054">
        <w:rPr>
          <w:rFonts w:cs="Times New Roman"/>
        </w:rPr>
        <w:t xml:space="preserve">Il fournissait également à ses membres des livres de recettes expliquant comment fabriquer les produits en question par l’extraction des composés actifs de la </w:t>
      </w:r>
      <w:r w:rsidR="005532D8">
        <w:rPr>
          <w:rFonts w:cs="Times New Roman"/>
        </w:rPr>
        <w:t>marihuana</w:t>
      </w:r>
      <w:r w:rsidRPr="00D50054">
        <w:rPr>
          <w:rFonts w:cs="Times New Roman"/>
        </w:rPr>
        <w:t xml:space="preserve"> séchée</w:t>
      </w:r>
      <w:r w:rsidR="00EC47BB">
        <w:rPr>
          <w:rFonts w:cs="Times New Roman"/>
        </w:rPr>
        <w:t xml:space="preserve">. </w:t>
      </w:r>
      <w:r w:rsidRPr="00D50054">
        <w:rPr>
          <w:rFonts w:cs="Times New Roman"/>
        </w:rPr>
        <w:t>Le travail de M</w:t>
      </w:r>
      <w:r w:rsidR="00EC47BB">
        <w:rPr>
          <w:rFonts w:cs="Times New Roman"/>
        </w:rPr>
        <w:t xml:space="preserve">. </w:t>
      </w:r>
      <w:r w:rsidRPr="00D50054">
        <w:rPr>
          <w:rFonts w:cs="Times New Roman"/>
        </w:rPr>
        <w:t>Smith consistait à fabriquer, en vue de leur vente, des produits comestibles et des produits topiques à partir du cannabis par l’extraction des composés actifs de la plante de cannabis</w:t>
      </w:r>
      <w:r w:rsidR="00EC47BB">
        <w:rPr>
          <w:rFonts w:cs="Times New Roman"/>
        </w:rPr>
        <w:t xml:space="preserve">. </w:t>
      </w:r>
      <w:r w:rsidRPr="00D50054">
        <w:rPr>
          <w:rFonts w:cs="Times New Roman"/>
        </w:rPr>
        <w:t>M</w:t>
      </w:r>
      <w:r w:rsidR="00EC47BB">
        <w:rPr>
          <w:rFonts w:cs="Times New Roman"/>
        </w:rPr>
        <w:t xml:space="preserve">. </w:t>
      </w:r>
      <w:r w:rsidRPr="00D50054">
        <w:rPr>
          <w:rFonts w:cs="Times New Roman"/>
        </w:rPr>
        <w:t xml:space="preserve">Smith ne consomme pas personnellement de </w:t>
      </w:r>
      <w:r w:rsidR="005532D8">
        <w:rPr>
          <w:rFonts w:cs="Times New Roman"/>
        </w:rPr>
        <w:t>marihuana</w:t>
      </w:r>
      <w:r w:rsidRPr="00D50054">
        <w:rPr>
          <w:rFonts w:cs="Times New Roman"/>
        </w:rPr>
        <w:t xml:space="preserve"> à des fins médicales et le club ne possédait pas de permis de production délivré sous le régime du </w:t>
      </w:r>
      <w:r w:rsidRPr="00D50054">
        <w:rPr>
          <w:rFonts w:cs="Times New Roman"/>
          <w:i/>
        </w:rPr>
        <w:t>RAMFM</w:t>
      </w:r>
      <w:r w:rsidR="00EC47BB">
        <w:rPr>
          <w:rFonts w:cs="Times New Roman"/>
        </w:rPr>
        <w:t xml:space="preserve">. </w:t>
      </w:r>
    </w:p>
    <w:p w:rsidR="007027F8" w:rsidRPr="00D50054" w:rsidRDefault="007027F8" w:rsidP="00535610">
      <w:pPr>
        <w:pStyle w:val="ParaNoNdepar-AltN"/>
        <w:widowControl w:val="0"/>
        <w:tabs>
          <w:tab w:val="clear" w:pos="1166"/>
          <w:tab w:val="num" w:pos="1152"/>
        </w:tabs>
        <w:spacing w:before="0" w:after="0"/>
        <w:rPr>
          <w:rFonts w:cs="Times New Roman"/>
        </w:rPr>
      </w:pPr>
      <w:r w:rsidRPr="00D50054">
        <w:rPr>
          <w:rFonts w:cs="Times New Roman"/>
        </w:rPr>
        <w:t>Le 3 décembre 2009, répondant à une plainte faisant état d’une odeur désagréable, des policiers se sont présentés à l’appartement de M</w:t>
      </w:r>
      <w:r w:rsidR="00EC47BB">
        <w:rPr>
          <w:rFonts w:cs="Times New Roman"/>
        </w:rPr>
        <w:t xml:space="preserve">. </w:t>
      </w:r>
      <w:r w:rsidRPr="00D50054">
        <w:rPr>
          <w:rFonts w:cs="Times New Roman"/>
        </w:rPr>
        <w:t xml:space="preserve">Smith à Victoria et ont constaté la présence de </w:t>
      </w:r>
      <w:r w:rsidR="005532D8">
        <w:rPr>
          <w:rFonts w:cs="Times New Roman"/>
        </w:rPr>
        <w:t>marihuana</w:t>
      </w:r>
      <w:r w:rsidRPr="00D50054">
        <w:rPr>
          <w:rFonts w:cs="Times New Roman"/>
        </w:rPr>
        <w:t xml:space="preserve"> sur une table</w:t>
      </w:r>
      <w:r w:rsidR="00EC47BB">
        <w:rPr>
          <w:rFonts w:cs="Times New Roman"/>
        </w:rPr>
        <w:t xml:space="preserve">. </w:t>
      </w:r>
      <w:r w:rsidRPr="00D50054">
        <w:rPr>
          <w:rFonts w:cs="Times New Roman"/>
        </w:rPr>
        <w:t xml:space="preserve">Ils ont obtenu un mandat de </w:t>
      </w:r>
      <w:r w:rsidRPr="00D50054">
        <w:rPr>
          <w:rFonts w:cs="Times New Roman"/>
        </w:rPr>
        <w:lastRenderedPageBreak/>
        <w:t xml:space="preserve">perquisition et ont saisi l’inventaire de l’appartement, dont 211 biscuits à base de cannabis, un sac de </w:t>
      </w:r>
      <w:r w:rsidR="005532D8">
        <w:rPr>
          <w:rFonts w:cs="Times New Roman"/>
        </w:rPr>
        <w:t>marihuana</w:t>
      </w:r>
      <w:r w:rsidRPr="00D50054">
        <w:rPr>
          <w:rFonts w:cs="Times New Roman"/>
        </w:rPr>
        <w:t xml:space="preserve"> séchée et 26 contenants de liquide étiquetés notamment [</w:t>
      </w:r>
      <w:r w:rsidRPr="00D50054">
        <w:rPr>
          <w:rFonts w:eastAsia="MS Mincho" w:cs="Times New Roman"/>
          <w:smallCaps/>
          <w:szCs w:val="24"/>
        </w:rPr>
        <w:t>traduction</w:t>
      </w:r>
      <w:r w:rsidRPr="00D50054">
        <w:rPr>
          <w:rFonts w:cs="Times New Roman"/>
        </w:rPr>
        <w:t>] « huile à massage » et « baume à lèvres »</w:t>
      </w:r>
      <w:r w:rsidR="00EC47BB">
        <w:rPr>
          <w:rFonts w:cs="Times New Roman"/>
        </w:rPr>
        <w:t xml:space="preserve">. </w:t>
      </w:r>
      <w:r w:rsidRPr="00D50054">
        <w:rPr>
          <w:rFonts w:cs="Times New Roman"/>
        </w:rPr>
        <w:t xml:space="preserve">Des tests de laboratoire ont démontré que les biscuits et le liquide présents dans les contenants renfermaient du </w:t>
      </w:r>
      <w:proofErr w:type="spellStart"/>
      <w:r w:rsidRPr="00D50054">
        <w:rPr>
          <w:rFonts w:cs="Times New Roman"/>
        </w:rPr>
        <w:t>tétrahydrocannabinol</w:t>
      </w:r>
      <w:proofErr w:type="spellEnd"/>
      <w:r w:rsidRPr="00D50054">
        <w:rPr>
          <w:rFonts w:cs="Times New Roman"/>
        </w:rPr>
        <w:t xml:space="preserve"> (du « THC »), le principal composé actif du cannabis</w:t>
      </w:r>
      <w:r w:rsidR="00EC47BB">
        <w:rPr>
          <w:rFonts w:cs="Times New Roman"/>
        </w:rPr>
        <w:t xml:space="preserve">. </w:t>
      </w:r>
      <w:r w:rsidRPr="00D50054">
        <w:rPr>
          <w:rFonts w:cs="Times New Roman"/>
        </w:rPr>
        <w:t xml:space="preserve">À l’instar des autres composés actifs du cannabis, le THC ne tombe pas sous le coup de l’exemption du </w:t>
      </w:r>
      <w:r w:rsidRPr="00D50054">
        <w:rPr>
          <w:rFonts w:cs="Times New Roman"/>
          <w:i/>
        </w:rPr>
        <w:t>RAMFM</w:t>
      </w:r>
      <w:r w:rsidRPr="00D50054">
        <w:rPr>
          <w:rFonts w:cs="Times New Roman"/>
        </w:rPr>
        <w:t xml:space="preserve"> applicable à la </w:t>
      </w:r>
      <w:r w:rsidR="005532D8">
        <w:rPr>
          <w:rFonts w:cs="Times New Roman"/>
        </w:rPr>
        <w:t>marihuana</w:t>
      </w:r>
      <w:r w:rsidRPr="00D50054">
        <w:rPr>
          <w:rFonts w:cs="Times New Roman"/>
        </w:rPr>
        <w:t xml:space="preserve"> séchée</w:t>
      </w:r>
      <w:r w:rsidR="00EC47BB">
        <w:rPr>
          <w:rFonts w:cs="Times New Roman"/>
        </w:rPr>
        <w:t xml:space="preserve">. </w:t>
      </w:r>
      <w:r w:rsidRPr="00D50054">
        <w:rPr>
          <w:rFonts w:cs="Times New Roman"/>
        </w:rPr>
        <w:t>La police a accusé M</w:t>
      </w:r>
      <w:r w:rsidR="00EC47BB">
        <w:rPr>
          <w:rFonts w:cs="Times New Roman"/>
        </w:rPr>
        <w:t xml:space="preserve">. </w:t>
      </w:r>
      <w:r w:rsidRPr="00D50054">
        <w:rPr>
          <w:rFonts w:cs="Times New Roman"/>
        </w:rPr>
        <w:t>Smith de possession de THC en vue d’en faire le trafic, infraction décrite au par</w:t>
      </w:r>
      <w:r w:rsidR="00EC47BB">
        <w:rPr>
          <w:rFonts w:cs="Times New Roman"/>
        </w:rPr>
        <w:t xml:space="preserve">. </w:t>
      </w:r>
      <w:r w:rsidRPr="00D50054">
        <w:rPr>
          <w:rFonts w:cs="Times New Roman"/>
        </w:rPr>
        <w:t xml:space="preserve">5(2) de la </w:t>
      </w:r>
      <w:r w:rsidRPr="00D50054">
        <w:rPr>
          <w:rFonts w:cs="Times New Roman"/>
          <w:i/>
        </w:rPr>
        <w:t>LRCDAS</w:t>
      </w:r>
      <w:r w:rsidRPr="00D50054">
        <w:rPr>
          <w:rFonts w:cs="Times New Roman"/>
        </w:rPr>
        <w:t>, et de possession de cannabis, infraction décrite au par</w:t>
      </w:r>
      <w:r w:rsidR="00EC47BB">
        <w:rPr>
          <w:rFonts w:cs="Times New Roman"/>
        </w:rPr>
        <w:t xml:space="preserve">. </w:t>
      </w:r>
      <w:r w:rsidRPr="00D50054">
        <w:rPr>
          <w:rFonts w:cs="Times New Roman"/>
        </w:rPr>
        <w:t xml:space="preserve">4(1) de la </w:t>
      </w:r>
      <w:r w:rsidRPr="00D50054">
        <w:rPr>
          <w:rFonts w:cs="Times New Roman"/>
          <w:i/>
        </w:rPr>
        <w:t>LRCDAS</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Lors de son procès devant le juge Johnston, M</w:t>
      </w:r>
      <w:r w:rsidR="00EC47BB">
        <w:rPr>
          <w:rFonts w:cs="Times New Roman"/>
        </w:rPr>
        <w:t xml:space="preserve">. </w:t>
      </w:r>
      <w:r w:rsidRPr="00D50054">
        <w:rPr>
          <w:rFonts w:cs="Times New Roman"/>
        </w:rPr>
        <w:t xml:space="preserve">Smith a soutenu que, combinée à l’exemption accordée dans le </w:t>
      </w:r>
      <w:r w:rsidRPr="00D50054">
        <w:rPr>
          <w:rFonts w:cs="Times New Roman"/>
          <w:i/>
        </w:rPr>
        <w:t>RAMFM</w:t>
      </w:r>
      <w:r w:rsidRPr="00D50054">
        <w:rPr>
          <w:rFonts w:cs="Times New Roman"/>
          <w:iCs/>
        </w:rPr>
        <w:t xml:space="preserve">, l’interdiction de posséder de la </w:t>
      </w:r>
      <w:r w:rsidR="005532D8">
        <w:rPr>
          <w:rFonts w:cs="Times New Roman"/>
          <w:iCs/>
        </w:rPr>
        <w:t>marihuana</w:t>
      </w:r>
      <w:r w:rsidRPr="00D50054">
        <w:rPr>
          <w:rFonts w:cs="Times New Roman"/>
          <w:iCs/>
        </w:rPr>
        <w:t xml:space="preserve"> prévue par la </w:t>
      </w:r>
      <w:r w:rsidRPr="00D50054">
        <w:rPr>
          <w:rFonts w:cs="Times New Roman"/>
          <w:i/>
        </w:rPr>
        <w:t>LRCDAS</w:t>
      </w:r>
      <w:r w:rsidRPr="00D50054">
        <w:rPr>
          <w:rFonts w:cs="Times New Roman"/>
          <w:iCs/>
        </w:rPr>
        <w:t xml:space="preserve"> </w:t>
      </w:r>
      <w:r w:rsidRPr="00D50054">
        <w:rPr>
          <w:rFonts w:cs="Times New Roman"/>
        </w:rPr>
        <w:t>contrevenait à l’art</w:t>
      </w:r>
      <w:r w:rsidR="00EC47BB">
        <w:rPr>
          <w:rFonts w:cs="Times New Roman"/>
        </w:rPr>
        <w:t xml:space="preserve">. </w:t>
      </w:r>
      <w:r w:rsidRPr="00D50054">
        <w:rPr>
          <w:rFonts w:cs="Times New Roman"/>
        </w:rPr>
        <w:t xml:space="preserve">7 de la </w:t>
      </w:r>
      <w:r w:rsidRPr="00D50054">
        <w:rPr>
          <w:rFonts w:cs="Times New Roman"/>
          <w:i/>
        </w:rPr>
        <w:t xml:space="preserve">Charte </w:t>
      </w:r>
      <w:r w:rsidRPr="00D50054">
        <w:rPr>
          <w:rFonts w:cs="Times New Roman"/>
          <w:iCs/>
        </w:rPr>
        <w:t xml:space="preserve">et était inconstitutionnelle parce qu’elle limitait </w:t>
      </w:r>
      <w:r w:rsidRPr="00D50054">
        <w:rPr>
          <w:rFonts w:cs="Times New Roman"/>
        </w:rPr>
        <w:t>à la « </w:t>
      </w:r>
      <w:r w:rsidR="005532D8">
        <w:rPr>
          <w:rFonts w:cs="Times New Roman"/>
        </w:rPr>
        <w:t>marihuana</w:t>
      </w:r>
      <w:r w:rsidRPr="00D50054">
        <w:rPr>
          <w:rFonts w:cs="Times New Roman"/>
        </w:rPr>
        <w:t xml:space="preserve"> séchée » </w:t>
      </w:r>
      <w:r w:rsidRPr="00D50054">
        <w:rPr>
          <w:rFonts w:cs="Times New Roman"/>
          <w:iCs/>
        </w:rPr>
        <w:t>la possession légitime de</w:t>
      </w:r>
      <w:r w:rsidRPr="00D50054">
        <w:rPr>
          <w:rFonts w:cs="Times New Roman"/>
        </w:rPr>
        <w:t xml:space="preserve"> </w:t>
      </w:r>
      <w:r w:rsidR="005532D8">
        <w:rPr>
          <w:rFonts w:cs="Times New Roman"/>
        </w:rPr>
        <w:t>marihuana</w:t>
      </w:r>
      <w:r w:rsidRPr="00D50054">
        <w:rPr>
          <w:rFonts w:cs="Times New Roman"/>
        </w:rPr>
        <w:t xml:space="preserve"> à des fins médicales</w:t>
      </w:r>
      <w:r w:rsidR="00EC47BB">
        <w:rPr>
          <w:rFonts w:cs="Times New Roman"/>
        </w:rPr>
        <w:t xml:space="preserve">. </w:t>
      </w:r>
      <w:r w:rsidRPr="00D50054">
        <w:rPr>
          <w:rFonts w:cs="Times New Roman"/>
        </w:rPr>
        <w:t>De nombreux témoins, tant experts que profanes, ont été appelés à la barre</w:t>
      </w:r>
      <w:r w:rsidR="00EC47BB">
        <w:rPr>
          <w:rFonts w:cs="Times New Roman"/>
        </w:rPr>
        <w:t xml:space="preserve">. </w:t>
      </w:r>
      <w:r w:rsidRPr="00D50054">
        <w:rPr>
          <w:rFonts w:cs="Times New Roman"/>
        </w:rPr>
        <w:t>À la fin du voir</w:t>
      </w:r>
      <w:r w:rsidR="00147051">
        <w:rPr>
          <w:rFonts w:cs="Times New Roman"/>
        </w:rPr>
        <w:t>-</w:t>
      </w:r>
      <w:r w:rsidRPr="00D50054">
        <w:rPr>
          <w:rFonts w:cs="Times New Roman"/>
        </w:rPr>
        <w:t>dire, le juge a tiré les conclusions suivantes (2012 BCSC 544, 290 C.C.C</w:t>
      </w:r>
      <w:r w:rsidR="00EC47BB">
        <w:rPr>
          <w:rFonts w:cs="Times New Roman"/>
        </w:rPr>
        <w:t xml:space="preserve">. </w:t>
      </w:r>
      <w:r w:rsidRPr="00D50054">
        <w:rPr>
          <w:rFonts w:cs="Times New Roman"/>
        </w:rPr>
        <w:t>(3d) 91) </w:t>
      </w:r>
      <w:r w:rsidR="006E5B9E">
        <w:rPr>
          <w:rFonts w:cs="Times New Roman"/>
        </w:rPr>
        <w:t xml:space="preserve">: </w:t>
      </w:r>
    </w:p>
    <w:p w:rsidR="007027F8" w:rsidRPr="00D50054" w:rsidRDefault="005532D8" w:rsidP="005532D8">
      <w:pPr>
        <w:pStyle w:val="Citation-AltC"/>
        <w:widowControl w:val="0"/>
        <w:spacing w:before="480" w:after="480" w:line="480" w:lineRule="auto"/>
        <w:ind w:left="720" w:hanging="720"/>
        <w:contextualSpacing w:val="0"/>
        <w:rPr>
          <w:lang w:val="fr-CA"/>
        </w:rPr>
      </w:pPr>
      <w:r>
        <w:rPr>
          <w:lang w:val="fr-CA"/>
        </w:rPr>
        <w:t>(</w:t>
      </w:r>
      <w:r w:rsidR="007027F8" w:rsidRPr="00D50054">
        <w:rPr>
          <w:lang w:val="fr-CA"/>
        </w:rPr>
        <w:t>1)</w:t>
      </w:r>
      <w:r w:rsidR="007027F8" w:rsidRPr="00D50054">
        <w:rPr>
          <w:lang w:val="fr-CA"/>
        </w:rPr>
        <w:tab/>
        <w:t xml:space="preserve">Il a été démontré que les composés actifs de la plante de cannabis, tels que le THC et le </w:t>
      </w:r>
      <w:proofErr w:type="spellStart"/>
      <w:r w:rsidR="007027F8" w:rsidRPr="00D50054">
        <w:rPr>
          <w:lang w:val="fr-CA"/>
        </w:rPr>
        <w:t>cannabidiol</w:t>
      </w:r>
      <w:proofErr w:type="spellEnd"/>
      <w:r w:rsidR="007027F8" w:rsidRPr="00D50054">
        <w:rPr>
          <w:lang w:val="fr-CA"/>
        </w:rPr>
        <w:t>, ont des effets médicaux bénéfiques et leur effet thérapeutique est généralement admis, bien que le fondement précis de ces effets bénéfiques n’ait pas encore été établi</w:t>
      </w:r>
      <w:r w:rsidR="00EC47BB">
        <w:rPr>
          <w:lang w:val="fr-CA"/>
        </w:rPr>
        <w:t xml:space="preserve">. </w:t>
      </w:r>
    </w:p>
    <w:p w:rsidR="007027F8" w:rsidRPr="00D50054" w:rsidRDefault="005532D8" w:rsidP="005532D8">
      <w:pPr>
        <w:pStyle w:val="Citation-AltC"/>
        <w:widowControl w:val="0"/>
        <w:spacing w:before="480" w:after="480" w:line="480" w:lineRule="auto"/>
        <w:ind w:left="720" w:hanging="720"/>
        <w:contextualSpacing w:val="0"/>
        <w:rPr>
          <w:lang w:val="fr-CA"/>
        </w:rPr>
      </w:pPr>
      <w:r>
        <w:rPr>
          <w:lang w:val="fr-CA"/>
        </w:rPr>
        <w:lastRenderedPageBreak/>
        <w:t>(</w:t>
      </w:r>
      <w:r w:rsidR="007027F8" w:rsidRPr="00D50054">
        <w:rPr>
          <w:lang w:val="fr-CA"/>
        </w:rPr>
        <w:t>2)</w:t>
      </w:r>
      <w:r w:rsidR="007027F8" w:rsidRPr="00D50054">
        <w:rPr>
          <w:lang w:val="fr-CA"/>
        </w:rPr>
        <w:tab/>
        <w:t xml:space="preserve">Les divers modes d’administration de la </w:t>
      </w:r>
      <w:r>
        <w:rPr>
          <w:lang w:val="fr-CA"/>
        </w:rPr>
        <w:t>marihuana</w:t>
      </w:r>
      <w:r w:rsidR="007027F8" w:rsidRPr="00D50054">
        <w:rPr>
          <w:lang w:val="fr-CA"/>
        </w:rPr>
        <w:t xml:space="preserve"> présentent différents avantages sur le plan médical</w:t>
      </w:r>
      <w:r w:rsidR="00EC47BB">
        <w:rPr>
          <w:lang w:val="fr-CA"/>
        </w:rPr>
        <w:t xml:space="preserve">. </w:t>
      </w:r>
      <w:r w:rsidR="007027F8" w:rsidRPr="00D50054">
        <w:rPr>
          <w:lang w:val="fr-CA"/>
        </w:rPr>
        <w:t>Par exemple, l’ingestion orale des composés actifs, que ce soit sous forme de produits cuits avec de l’huile contenant du THC ou avec du beurre ou sous forme de gélules remplies des composés actifs en question, peut soulager des problèmes gastro</w:t>
      </w:r>
      <w:r w:rsidR="00147051">
        <w:rPr>
          <w:lang w:val="fr-CA"/>
        </w:rPr>
        <w:t>-</w:t>
      </w:r>
      <w:r w:rsidR="007027F8" w:rsidRPr="00D50054">
        <w:rPr>
          <w:lang w:val="fr-CA"/>
        </w:rPr>
        <w:t>intestinaux parce que ces composés sont acheminés directement vers le site même de la pathologie</w:t>
      </w:r>
      <w:r w:rsidR="00EC47BB">
        <w:rPr>
          <w:lang w:val="fr-CA"/>
        </w:rPr>
        <w:t xml:space="preserve">. </w:t>
      </w:r>
      <w:r w:rsidR="007027F8" w:rsidRPr="00D50054">
        <w:rPr>
          <w:lang w:val="fr-CA"/>
        </w:rPr>
        <w:t>De plus, l’administration par voie orale favorise une accumulation plus lente et une rétention plus longue des composés actifs dans le système que l’inhalation, ce qui permet aux effets médicaux bénéfiques de durer plus longtemps, notamment pendant le sommeil du patient</w:t>
      </w:r>
      <w:r w:rsidR="00EC47BB">
        <w:rPr>
          <w:lang w:val="fr-CA"/>
        </w:rPr>
        <w:t xml:space="preserve">. </w:t>
      </w:r>
      <w:r w:rsidR="007027F8" w:rsidRPr="00D50054">
        <w:rPr>
          <w:lang w:val="fr-CA"/>
        </w:rPr>
        <w:t>Ce mode d’administration convient donc davantage dans le cas de maladies chroniques.</w:t>
      </w:r>
    </w:p>
    <w:p w:rsidR="007027F8" w:rsidRPr="00D50054" w:rsidRDefault="005532D8" w:rsidP="005532D8">
      <w:pPr>
        <w:pStyle w:val="Citation-AltC"/>
        <w:widowControl w:val="0"/>
        <w:spacing w:before="480" w:after="480" w:line="480" w:lineRule="auto"/>
        <w:ind w:left="720" w:hanging="720"/>
        <w:contextualSpacing w:val="0"/>
        <w:rPr>
          <w:lang w:val="fr-CA"/>
        </w:rPr>
      </w:pPr>
      <w:r>
        <w:rPr>
          <w:lang w:val="fr-CA"/>
        </w:rPr>
        <w:t>(</w:t>
      </w:r>
      <w:r w:rsidR="007027F8" w:rsidRPr="00D50054">
        <w:rPr>
          <w:lang w:val="fr-CA"/>
        </w:rPr>
        <w:t>3)</w:t>
      </w:r>
      <w:r w:rsidR="007027F8" w:rsidRPr="00D50054">
        <w:rPr>
          <w:lang w:val="fr-CA"/>
        </w:rPr>
        <w:tab/>
        <w:t xml:space="preserve">Le fait d’inhaler la </w:t>
      </w:r>
      <w:r>
        <w:rPr>
          <w:lang w:val="fr-CA"/>
        </w:rPr>
        <w:t>marihuana</w:t>
      </w:r>
      <w:r w:rsidR="007027F8" w:rsidRPr="00D50054">
        <w:rPr>
          <w:lang w:val="fr-CA"/>
        </w:rPr>
        <w:t>, habituellement en la fumant, permet de profiter rapidement des effets bénéfiques du cannabis, mais comporte aussi des effets secondaires dommageables</w:t>
      </w:r>
      <w:r w:rsidR="00EC47BB">
        <w:rPr>
          <w:lang w:val="fr-CA"/>
        </w:rPr>
        <w:t xml:space="preserve">. </w:t>
      </w:r>
      <w:r w:rsidR="007027F8" w:rsidRPr="00D50054">
        <w:rPr>
          <w:lang w:val="fr-CA"/>
        </w:rPr>
        <w:t xml:space="preserve">Bien que moins nocif que l’usage du tabac, le fait de fumer de la </w:t>
      </w:r>
      <w:r>
        <w:rPr>
          <w:lang w:val="fr-CA"/>
        </w:rPr>
        <w:t>marihuana</w:t>
      </w:r>
      <w:r w:rsidR="007027F8" w:rsidRPr="00D50054">
        <w:rPr>
          <w:lang w:val="fr-CA"/>
        </w:rPr>
        <w:t xml:space="preserve"> présente des risques reconnus, parce qu’il expose les patients à des produits chimiques cancérigènes et qu’il est associé à des troubles bronchiques</w:t>
      </w:r>
      <w:r w:rsidR="00EC47BB">
        <w:rPr>
          <w:lang w:val="fr-CA"/>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Le juge de première instance a conclu que la restriction de l’accès à la </w:t>
      </w:r>
      <w:r w:rsidR="005532D8">
        <w:rPr>
          <w:rFonts w:cs="Times New Roman"/>
        </w:rPr>
        <w:t>marihuana</w:t>
      </w:r>
      <w:r w:rsidRPr="00D50054">
        <w:rPr>
          <w:rFonts w:cs="Times New Roman"/>
        </w:rPr>
        <w:t xml:space="preserve"> uniquement sous forme de plante séchée privait M</w:t>
      </w:r>
      <w:r w:rsidR="00EC47BB">
        <w:rPr>
          <w:rFonts w:cs="Times New Roman"/>
        </w:rPr>
        <w:t xml:space="preserve">. </w:t>
      </w:r>
      <w:r w:rsidRPr="00D50054">
        <w:rPr>
          <w:rFonts w:cs="Times New Roman"/>
        </w:rPr>
        <w:t xml:space="preserve">Smith et les consommateurs de </w:t>
      </w:r>
      <w:r w:rsidR="005532D8">
        <w:rPr>
          <w:rFonts w:cs="Times New Roman"/>
        </w:rPr>
        <w:t>marihuana</w:t>
      </w:r>
      <w:r w:rsidRPr="00D50054">
        <w:rPr>
          <w:rFonts w:cs="Times New Roman"/>
        </w:rPr>
        <w:t xml:space="preserve"> à des fins médicales de leur liberté en les exposant à des menaces de poursuites et d’incarcération pour possession des composés actifs du cannabis</w:t>
      </w:r>
      <w:r w:rsidR="00EC47BB">
        <w:rPr>
          <w:rFonts w:cs="Times New Roman"/>
        </w:rPr>
        <w:t xml:space="preserve">. </w:t>
      </w:r>
      <w:r w:rsidRPr="00D50054">
        <w:rPr>
          <w:rFonts w:cs="Times New Roman"/>
        </w:rPr>
        <w:t xml:space="preserve">Il a ajouté que cette restriction privait les consommateurs de </w:t>
      </w:r>
      <w:r w:rsidR="005532D8">
        <w:rPr>
          <w:rFonts w:cs="Times New Roman"/>
        </w:rPr>
        <w:t>marihuana</w:t>
      </w:r>
      <w:r w:rsidRPr="00D50054">
        <w:rPr>
          <w:rFonts w:cs="Times New Roman"/>
        </w:rPr>
        <w:t xml:space="preserve"> à </w:t>
      </w:r>
      <w:r w:rsidRPr="00D50054">
        <w:rPr>
          <w:rFonts w:cs="Times New Roman"/>
        </w:rPr>
        <w:lastRenderedPageBreak/>
        <w:t>des fins médicales de la liberté de choisir le mode d’administration d’un médicament qu’ils étaient autorisés à posséder — une décision qui, à son sens, revêtait [</w:t>
      </w:r>
      <w:r w:rsidRPr="00D50054">
        <w:rPr>
          <w:rFonts w:eastAsia="MS Mincho" w:cs="Times New Roman"/>
          <w:smallCaps/>
          <w:szCs w:val="24"/>
        </w:rPr>
        <w:t>traduction</w:t>
      </w:r>
      <w:r w:rsidRPr="00D50054">
        <w:rPr>
          <w:rFonts w:cs="Times New Roman"/>
        </w:rPr>
        <w:t>] « une importance fondamentale sur le plan personnel » —, en contravention de l’art</w:t>
      </w:r>
      <w:r w:rsidR="00EC47BB">
        <w:rPr>
          <w:rFonts w:cs="Times New Roman"/>
        </w:rPr>
        <w:t xml:space="preserve">. </w:t>
      </w:r>
      <w:r w:rsidRPr="00D50054">
        <w:rPr>
          <w:rFonts w:cs="Times New Roman"/>
        </w:rPr>
        <w:t xml:space="preserve">7 de la </w:t>
      </w:r>
      <w:r w:rsidRPr="00D50054">
        <w:rPr>
          <w:rFonts w:cs="Times New Roman"/>
          <w:i/>
        </w:rPr>
        <w:t xml:space="preserve">Charte </w:t>
      </w:r>
      <w:r w:rsidRPr="00D50054">
        <w:rPr>
          <w:rFonts w:cs="Times New Roman"/>
        </w:rPr>
        <w:t>(par</w:t>
      </w:r>
      <w:r w:rsidR="00EC47BB">
        <w:rPr>
          <w:rFonts w:cs="Times New Roman"/>
        </w:rPr>
        <w:t xml:space="preserve">. </w:t>
      </w:r>
      <w:r w:rsidRPr="00D50054">
        <w:rPr>
          <w:rFonts w:cs="Times New Roman"/>
        </w:rPr>
        <w:t>88)</w:t>
      </w:r>
      <w:r w:rsidR="00EC47BB">
        <w:rPr>
          <w:rFonts w:cs="Times New Roman"/>
          <w:i/>
        </w:rPr>
        <w:t xml:space="preserve">. </w:t>
      </w:r>
      <w:r w:rsidRPr="00D50054">
        <w:rPr>
          <w:rFonts w:cs="Times New Roman"/>
        </w:rPr>
        <w:t>En outre, à son avis, l</w:t>
      </w:r>
      <w:r w:rsidRPr="00D50054">
        <w:rPr>
          <w:rFonts w:cs="Times New Roman"/>
          <w:iCs/>
        </w:rPr>
        <w:t xml:space="preserve">a restriction en question violait les principes de justice </w:t>
      </w:r>
      <w:r w:rsidRPr="00D50054">
        <w:rPr>
          <w:rFonts w:cs="Times New Roman"/>
        </w:rPr>
        <w:t xml:space="preserve">fondamentale en raison de son caractère arbitraire; limiter l’exemption médicale à la </w:t>
      </w:r>
      <w:r w:rsidR="005532D8">
        <w:rPr>
          <w:rFonts w:cs="Times New Roman"/>
        </w:rPr>
        <w:t>marihuana</w:t>
      </w:r>
      <w:r w:rsidRPr="00D50054">
        <w:rPr>
          <w:rFonts w:cs="Times New Roman"/>
        </w:rPr>
        <w:t xml:space="preserve"> séchée ne faisait « que peu ou rien » pour promouvoir l’intérêt de l’État à empêcher le détournement de drogues vers le marché illégal ou pour contrôler les </w:t>
      </w:r>
      <w:r w:rsidR="003946DF">
        <w:rPr>
          <w:rFonts w:cs="Times New Roman"/>
        </w:rPr>
        <w:t>prétentions fausses ou</w:t>
      </w:r>
      <w:r w:rsidRPr="00D50054">
        <w:rPr>
          <w:rFonts w:cs="Times New Roman"/>
        </w:rPr>
        <w:t xml:space="preserve"> trompeuses</w:t>
      </w:r>
      <w:r w:rsidR="003946DF">
        <w:rPr>
          <w:rFonts w:cs="Times New Roman"/>
        </w:rPr>
        <w:t xml:space="preserve"> de bénéfices pour la santé</w:t>
      </w:r>
      <w:r w:rsidRPr="00D50054">
        <w:rPr>
          <w:rFonts w:cs="Times New Roman"/>
        </w:rPr>
        <w:t xml:space="preserve"> (par</w:t>
      </w:r>
      <w:r w:rsidR="00EC47BB">
        <w:rPr>
          <w:rFonts w:cs="Times New Roman"/>
        </w:rPr>
        <w:t xml:space="preserve">. </w:t>
      </w:r>
      <w:r w:rsidRPr="00D50054">
        <w:rPr>
          <w:rFonts w:cs="Times New Roman"/>
        </w:rPr>
        <w:t>114)</w:t>
      </w:r>
      <w:r w:rsidR="00EC47BB">
        <w:rPr>
          <w:rFonts w:cs="Times New Roman"/>
        </w:rPr>
        <w:t xml:space="preserve">. </w:t>
      </w:r>
      <w:r w:rsidRPr="00D50054">
        <w:rPr>
          <w:rFonts w:cs="Times New Roman"/>
        </w:rPr>
        <w:t xml:space="preserve">Pour la même raison, le juge de première instance a estimé qu’il n’existait pas de lien rationnel entre la restriction et les objectifs qu’elle visait, et que la restriction n’était donc pas justifiée au regard de l’article premier de la </w:t>
      </w:r>
      <w:r w:rsidRPr="00D50054">
        <w:rPr>
          <w:rFonts w:cs="Times New Roman"/>
          <w:i/>
        </w:rPr>
        <w:t>Charte</w:t>
      </w:r>
      <w:r w:rsidR="00EC47BB">
        <w:rPr>
          <w:rFonts w:cs="Times New Roman"/>
          <w:i/>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Les juges majoritaires de la Cour d’appel ont confirmé les conclusions tirées par le juge de première instance relativement à la preuve et aux questions constitutionnelles; ils ont toutefois décrit d’une manière plus générale l’objet de l’interdiction, qui visait selon eux la protection de la santé et de la sécurité (2014 BCCA 322, 360 B.C.A.C</w:t>
      </w:r>
      <w:r w:rsidR="00EC47BB">
        <w:rPr>
          <w:rFonts w:cs="Times New Roman"/>
        </w:rPr>
        <w:t xml:space="preserve">. </w:t>
      </w:r>
      <w:r w:rsidRPr="00D50054">
        <w:rPr>
          <w:rFonts w:cs="Times New Roman"/>
        </w:rPr>
        <w:t>66)</w:t>
      </w:r>
      <w:r w:rsidR="00EC47BB">
        <w:rPr>
          <w:rFonts w:cs="Times New Roman"/>
        </w:rPr>
        <w:t xml:space="preserve">. </w:t>
      </w:r>
      <w:r w:rsidRPr="00D50054">
        <w:rPr>
          <w:rFonts w:cs="Times New Roman"/>
        </w:rPr>
        <w:t>Le juge Chiasson, dissident, a estimé que M</w:t>
      </w:r>
      <w:r w:rsidR="00EC47BB">
        <w:rPr>
          <w:rFonts w:cs="Times New Roman"/>
        </w:rPr>
        <w:t xml:space="preserve">. </w:t>
      </w:r>
      <w:r w:rsidRPr="00D50054">
        <w:rPr>
          <w:rFonts w:cs="Times New Roman"/>
        </w:rPr>
        <w:t>Smith n’avait pas qualité pour soulever la question constitutionnelle et qu’en tout état de cause, la restriction ne violait pas l’art</w:t>
      </w:r>
      <w:r w:rsidR="00EC47BB">
        <w:rPr>
          <w:rFonts w:cs="Times New Roman"/>
        </w:rPr>
        <w:t xml:space="preserve">. </w:t>
      </w:r>
      <w:r w:rsidRPr="00D50054">
        <w:rPr>
          <w:rFonts w:cs="Times New Roman"/>
        </w:rPr>
        <w:t xml:space="preserve">7 parce que les consommateurs de </w:t>
      </w:r>
      <w:r w:rsidR="005532D8">
        <w:rPr>
          <w:rFonts w:cs="Times New Roman"/>
        </w:rPr>
        <w:t>marihuana</w:t>
      </w:r>
      <w:r w:rsidRPr="00D50054">
        <w:rPr>
          <w:rFonts w:cs="Times New Roman"/>
        </w:rPr>
        <w:t xml:space="preserve"> à des fins médicales pouvaient légalement transformer la </w:t>
      </w:r>
      <w:r w:rsidR="005532D8">
        <w:rPr>
          <w:rFonts w:cs="Times New Roman"/>
        </w:rPr>
        <w:t>marihuana</w:t>
      </w:r>
      <w:r w:rsidRPr="00D50054">
        <w:rPr>
          <w:rFonts w:cs="Times New Roman"/>
        </w:rPr>
        <w:t xml:space="preserve"> séchée en d’autres formes.</w:t>
      </w:r>
    </w:p>
    <w:p w:rsidR="007027F8" w:rsidRPr="00D50054" w:rsidRDefault="007027F8" w:rsidP="00103926">
      <w:pPr>
        <w:pStyle w:val="Title1LevelTitre1Niveau-AltL"/>
        <w:widowControl w:val="0"/>
        <w:numPr>
          <w:ilvl w:val="0"/>
          <w:numId w:val="8"/>
        </w:numPr>
        <w:tabs>
          <w:tab w:val="clear" w:pos="576"/>
        </w:tabs>
        <w:ind w:left="540" w:hanging="540"/>
        <w:rPr>
          <w:rFonts w:cs="Times New Roman"/>
          <w:lang w:val="fr-CA"/>
        </w:rPr>
      </w:pPr>
      <w:r w:rsidRPr="00D50054">
        <w:rPr>
          <w:rFonts w:cs="Times New Roman"/>
          <w:lang w:val="fr-CA"/>
        </w:rPr>
        <w:t>Analyse</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lastRenderedPageBreak/>
        <w:t>Le présent pourvoi soulève trois questions </w:t>
      </w:r>
      <w:r w:rsidR="006E5B9E">
        <w:rPr>
          <w:rFonts w:cs="Times New Roman"/>
        </w:rPr>
        <w:t xml:space="preserve">: </w:t>
      </w:r>
      <w:r w:rsidRPr="00D50054">
        <w:rPr>
          <w:rFonts w:cs="Times New Roman"/>
        </w:rPr>
        <w:t>la qualité de M</w:t>
      </w:r>
      <w:r w:rsidR="00EC47BB">
        <w:rPr>
          <w:rFonts w:cs="Times New Roman"/>
        </w:rPr>
        <w:t xml:space="preserve">. </w:t>
      </w:r>
      <w:r w:rsidRPr="00D50054">
        <w:rPr>
          <w:rFonts w:cs="Times New Roman"/>
        </w:rPr>
        <w:t>Smith pour contester la constitutionnalité de l’interdiction, la constitutionnalité de l’interdiction et la réparation appropriée</w:t>
      </w:r>
      <w:r w:rsidR="00EC47BB">
        <w:rPr>
          <w:rFonts w:cs="Times New Roman"/>
        </w:rPr>
        <w:t xml:space="preserve">. </w:t>
      </w:r>
    </w:p>
    <w:p w:rsidR="007027F8" w:rsidRPr="00D50054" w:rsidRDefault="007027F8" w:rsidP="00103926">
      <w:pPr>
        <w:pStyle w:val="Title2LevelTitre2Niveau"/>
        <w:widowControl w:val="0"/>
        <w:numPr>
          <w:ilvl w:val="1"/>
          <w:numId w:val="8"/>
        </w:numPr>
        <w:tabs>
          <w:tab w:val="clear" w:pos="576"/>
        </w:tabs>
        <w:ind w:left="540" w:hanging="540"/>
        <w:rPr>
          <w:rFonts w:cs="Times New Roman"/>
          <w:lang w:val="fr-CA"/>
        </w:rPr>
      </w:pPr>
      <w:r w:rsidRPr="00D50054">
        <w:rPr>
          <w:rFonts w:cs="Times New Roman"/>
          <w:lang w:val="fr-CA"/>
        </w:rPr>
        <w:t>Qualité pour agir</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La première question est celle de savoir si M</w:t>
      </w:r>
      <w:r w:rsidR="00EC47BB">
        <w:rPr>
          <w:rFonts w:cs="Times New Roman"/>
        </w:rPr>
        <w:t xml:space="preserve">. </w:t>
      </w:r>
      <w:r w:rsidRPr="00D50054">
        <w:rPr>
          <w:rFonts w:cs="Times New Roman"/>
        </w:rPr>
        <w:t>Smith a qualité pour contester la constitutionnalité de l’interdiction</w:t>
      </w:r>
      <w:r w:rsidR="00EC47BB">
        <w:rPr>
          <w:rFonts w:cs="Times New Roman"/>
        </w:rPr>
        <w:t xml:space="preserve">. </w:t>
      </w:r>
      <w:r w:rsidRPr="00D50054">
        <w:rPr>
          <w:rFonts w:cs="Times New Roman"/>
        </w:rPr>
        <w:t>Nous concluons qu’il a effectivement cette qualité</w:t>
      </w:r>
      <w:r w:rsidR="00EC47BB">
        <w:rPr>
          <w:rFonts w:cs="Times New Roman"/>
        </w:rPr>
        <w:t xml:space="preserve">. </w:t>
      </w:r>
      <w:r w:rsidRPr="00D50054">
        <w:rPr>
          <w:rFonts w:cs="Times New Roman"/>
        </w:rPr>
        <w:t>Le ministère public ne s’est pas opposé au procès à la qualité pour agir de M</w:t>
      </w:r>
      <w:r w:rsidR="00EC47BB">
        <w:rPr>
          <w:rFonts w:cs="Times New Roman"/>
        </w:rPr>
        <w:t xml:space="preserve">. </w:t>
      </w:r>
      <w:r w:rsidRPr="00D50054">
        <w:rPr>
          <w:rFonts w:cs="Times New Roman"/>
        </w:rPr>
        <w:t>Smith</w:t>
      </w:r>
      <w:r w:rsidR="00EC47BB">
        <w:rPr>
          <w:rFonts w:cs="Times New Roman"/>
        </w:rPr>
        <w:t xml:space="preserve">. </w:t>
      </w:r>
      <w:r w:rsidRPr="00D50054">
        <w:rPr>
          <w:rFonts w:cs="Times New Roman"/>
        </w:rPr>
        <w:t>En appel, bien que la question ait été évoquée lors de sa plaidoirie orale, le ministère public a reconnu que le principe selon lequel « nul ne peut être déclaré coupable d’une infraction à une loi inconstitutionnelle » s’applique à M</w:t>
      </w:r>
      <w:r w:rsidR="00EC47BB">
        <w:rPr>
          <w:rFonts w:cs="Times New Roman"/>
        </w:rPr>
        <w:t xml:space="preserve">. </w:t>
      </w:r>
      <w:r w:rsidRPr="00D50054">
        <w:rPr>
          <w:rFonts w:cs="Times New Roman"/>
        </w:rPr>
        <w:t>Smith (</w:t>
      </w:r>
      <w:r w:rsidRPr="00D50054">
        <w:rPr>
          <w:rFonts w:cs="Times New Roman"/>
          <w:i/>
        </w:rPr>
        <w:t>R</w:t>
      </w:r>
      <w:r w:rsidR="00EC47BB">
        <w:rPr>
          <w:rFonts w:cs="Times New Roman"/>
          <w:i/>
        </w:rPr>
        <w:t xml:space="preserve">. </w:t>
      </w:r>
      <w:r w:rsidRPr="00D50054">
        <w:rPr>
          <w:rFonts w:cs="Times New Roman"/>
          <w:i/>
        </w:rPr>
        <w:t>c</w:t>
      </w:r>
      <w:r w:rsidR="00EC47BB">
        <w:rPr>
          <w:rFonts w:cs="Times New Roman"/>
          <w:i/>
        </w:rPr>
        <w:t xml:space="preserve">. </w:t>
      </w:r>
      <w:proofErr w:type="spellStart"/>
      <w:r w:rsidRPr="00D50054">
        <w:rPr>
          <w:rFonts w:cs="Times New Roman"/>
          <w:i/>
        </w:rPr>
        <w:t>Big</w:t>
      </w:r>
      <w:proofErr w:type="spellEnd"/>
      <w:r w:rsidRPr="00D50054">
        <w:rPr>
          <w:rFonts w:cs="Times New Roman"/>
          <w:i/>
        </w:rPr>
        <w:t xml:space="preserve"> M Drug </w:t>
      </w:r>
      <w:proofErr w:type="spellStart"/>
      <w:r w:rsidRPr="00D50054">
        <w:rPr>
          <w:rFonts w:cs="Times New Roman"/>
          <w:i/>
        </w:rPr>
        <w:t>Mart</w:t>
      </w:r>
      <w:proofErr w:type="spellEnd"/>
      <w:r w:rsidRPr="00D50054">
        <w:rPr>
          <w:rFonts w:cs="Times New Roman"/>
          <w:i/>
        </w:rPr>
        <w:t xml:space="preserve"> Ltd.</w:t>
      </w:r>
      <w:r w:rsidRPr="00D50054">
        <w:rPr>
          <w:rFonts w:cs="Times New Roman"/>
        </w:rPr>
        <w:t>, [1985] 1 R.C.S</w:t>
      </w:r>
      <w:r w:rsidR="00EC47BB">
        <w:rPr>
          <w:rFonts w:cs="Times New Roman"/>
        </w:rPr>
        <w:t xml:space="preserve">. </w:t>
      </w:r>
      <w:r w:rsidRPr="00D50054">
        <w:rPr>
          <w:rFonts w:cs="Times New Roman"/>
        </w:rPr>
        <w:t>295, p</w:t>
      </w:r>
      <w:r w:rsidR="00EC47BB">
        <w:rPr>
          <w:rFonts w:cs="Times New Roman"/>
        </w:rPr>
        <w:t xml:space="preserve">. </w:t>
      </w:r>
      <w:r w:rsidRPr="00D50054">
        <w:rPr>
          <w:rFonts w:cs="Times New Roman"/>
        </w:rPr>
        <w:t>313</w:t>
      </w:r>
      <w:r>
        <w:rPr>
          <w:rFonts w:cs="Times New Roman"/>
        </w:rPr>
        <w:t>;</w:t>
      </w:r>
      <w:r w:rsidRPr="00D50054">
        <w:rPr>
          <w:rFonts w:cs="Times New Roman"/>
        </w:rPr>
        <w:t xml:space="preserve"> motifs de la C.A., par</w:t>
      </w:r>
      <w:r w:rsidR="00EC47BB">
        <w:rPr>
          <w:rFonts w:cs="Times New Roman"/>
        </w:rPr>
        <w:t xml:space="preserve">. </w:t>
      </w:r>
      <w:r w:rsidRPr="00D50054">
        <w:rPr>
          <w:rFonts w:cs="Times New Roman"/>
        </w:rPr>
        <w:t>147)</w:t>
      </w:r>
      <w:r w:rsidR="00EC47BB">
        <w:rPr>
          <w:rFonts w:cs="Times New Roman"/>
        </w:rPr>
        <w:t xml:space="preserve">. </w:t>
      </w:r>
      <w:r w:rsidRPr="00D50054">
        <w:rPr>
          <w:rFonts w:cs="Times New Roman"/>
        </w:rPr>
        <w:t>Devant la Cour, le ministère public a repris la position dissidente du juge Chiasson en faisant valoir que M</w:t>
      </w:r>
      <w:r w:rsidR="00EC47BB">
        <w:rPr>
          <w:rFonts w:cs="Times New Roman"/>
        </w:rPr>
        <w:t xml:space="preserve">. </w:t>
      </w:r>
      <w:r w:rsidRPr="00D50054">
        <w:rPr>
          <w:rFonts w:cs="Times New Roman"/>
        </w:rPr>
        <w:t>Smith n’avait pas qualité pour agir parce qu’il ne consomme pas lui</w:t>
      </w:r>
      <w:r w:rsidR="00147051">
        <w:rPr>
          <w:rFonts w:cs="Times New Roman"/>
        </w:rPr>
        <w:t>-</w:t>
      </w:r>
      <w:r w:rsidRPr="00D50054">
        <w:rPr>
          <w:rFonts w:cs="Times New Roman"/>
        </w:rPr>
        <w:t xml:space="preserve">même de </w:t>
      </w:r>
      <w:r w:rsidR="005532D8">
        <w:rPr>
          <w:rFonts w:cs="Times New Roman"/>
        </w:rPr>
        <w:t>marihuana</w:t>
      </w:r>
      <w:r w:rsidRPr="00D50054">
        <w:rPr>
          <w:rFonts w:cs="Times New Roman"/>
        </w:rPr>
        <w:t xml:space="preserve"> à des fins médicales et qu’il exerçait ses activités en dehors du cadre du régime de réglementation</w:t>
      </w:r>
      <w:r w:rsidR="00EC47BB">
        <w:rPr>
          <w:rFonts w:cs="Times New Roman"/>
        </w:rPr>
        <w:t xml:space="preserve">. </w:t>
      </w:r>
      <w:r w:rsidRPr="00D50054">
        <w:rPr>
          <w:rFonts w:cs="Times New Roman"/>
        </w:rPr>
        <w:t xml:space="preserve">Le fait que l’exemption se restreigne à la </w:t>
      </w:r>
      <w:r w:rsidR="005532D8">
        <w:rPr>
          <w:rFonts w:cs="Times New Roman"/>
        </w:rPr>
        <w:t>marihuana</w:t>
      </w:r>
      <w:r w:rsidRPr="00D50054">
        <w:rPr>
          <w:rFonts w:cs="Times New Roman"/>
        </w:rPr>
        <w:t xml:space="preserve"> séchée n’a donc [</w:t>
      </w:r>
      <w:r w:rsidRPr="00D50054">
        <w:rPr>
          <w:rFonts w:eastAsia="MS Mincho" w:cs="Times New Roman"/>
          <w:smallCaps/>
          <w:szCs w:val="24"/>
        </w:rPr>
        <w:t>traduction</w:t>
      </w:r>
      <w:r w:rsidRPr="00D50054">
        <w:rPr>
          <w:rFonts w:cs="Times New Roman"/>
        </w:rPr>
        <w:t>] « rien à voir avec lui » (motifs de la C.A., par</w:t>
      </w:r>
      <w:r w:rsidR="00EC47BB">
        <w:rPr>
          <w:rFonts w:cs="Times New Roman"/>
        </w:rPr>
        <w:t xml:space="preserve">. </w:t>
      </w:r>
      <w:r w:rsidRPr="00D50054">
        <w:rPr>
          <w:rFonts w:cs="Times New Roman"/>
        </w:rPr>
        <w:t>151)</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Cette thèse ne tient pas compte du rôle que joue le </w:t>
      </w:r>
      <w:r w:rsidRPr="00D50054">
        <w:rPr>
          <w:rFonts w:cs="Times New Roman"/>
          <w:i/>
        </w:rPr>
        <w:t>RAMFM</w:t>
      </w:r>
      <w:r w:rsidRPr="00D50054">
        <w:rPr>
          <w:rFonts w:cs="Times New Roman"/>
        </w:rPr>
        <w:t xml:space="preserve"> dans le régime législatif</w:t>
      </w:r>
      <w:r w:rsidR="00EC47BB">
        <w:rPr>
          <w:rFonts w:cs="Times New Roman"/>
        </w:rPr>
        <w:t xml:space="preserve">. </w:t>
      </w:r>
      <w:r w:rsidRPr="00D50054">
        <w:rPr>
          <w:rFonts w:cs="Times New Roman"/>
        </w:rPr>
        <w:t xml:space="preserve">Le </w:t>
      </w:r>
      <w:r w:rsidRPr="00D50054">
        <w:rPr>
          <w:rFonts w:cs="Times New Roman"/>
          <w:i/>
        </w:rPr>
        <w:t>RAMFM</w:t>
      </w:r>
      <w:r w:rsidRPr="00D50054">
        <w:rPr>
          <w:rFonts w:cs="Times New Roman"/>
        </w:rPr>
        <w:t xml:space="preserve"> constitue une exception aux dispositions pénales en vertu desquelles M</w:t>
      </w:r>
      <w:r w:rsidR="00EC47BB">
        <w:rPr>
          <w:rFonts w:cs="Times New Roman"/>
        </w:rPr>
        <w:t xml:space="preserve">. </w:t>
      </w:r>
      <w:r w:rsidRPr="00D50054">
        <w:rPr>
          <w:rFonts w:cs="Times New Roman"/>
        </w:rPr>
        <w:t xml:space="preserve">Smith a été accusé, en l’occurrence </w:t>
      </w:r>
      <w:proofErr w:type="gramStart"/>
      <w:r w:rsidRPr="00D50054">
        <w:rPr>
          <w:rFonts w:cs="Times New Roman"/>
        </w:rPr>
        <w:t>les art</w:t>
      </w:r>
      <w:proofErr w:type="gramEnd"/>
      <w:r w:rsidR="00EC47BB">
        <w:rPr>
          <w:rFonts w:cs="Times New Roman"/>
        </w:rPr>
        <w:t xml:space="preserve">. </w:t>
      </w:r>
      <w:r w:rsidRPr="00D50054">
        <w:rPr>
          <w:rFonts w:cs="Times New Roman"/>
        </w:rPr>
        <w:t xml:space="preserve">4 et 5 de la </w:t>
      </w:r>
      <w:r w:rsidRPr="00D50054">
        <w:rPr>
          <w:rFonts w:cs="Times New Roman"/>
          <w:i/>
        </w:rPr>
        <w:t>LRCDAS</w:t>
      </w:r>
      <w:r w:rsidR="00EC47BB">
        <w:rPr>
          <w:rFonts w:cs="Times New Roman"/>
        </w:rPr>
        <w:t xml:space="preserve">. </w:t>
      </w:r>
      <w:r w:rsidRPr="00D50054">
        <w:rPr>
          <w:rFonts w:cs="Times New Roman"/>
          <w:iCs/>
        </w:rPr>
        <w:t xml:space="preserve">Comme l’ont expliqué les juges majoritaires de la </w:t>
      </w:r>
      <w:r w:rsidRPr="00D50054">
        <w:rPr>
          <w:rFonts w:cs="Times New Roman"/>
        </w:rPr>
        <w:t xml:space="preserve">Cour d’appel, il faut déterminer si </w:t>
      </w:r>
      <w:r w:rsidRPr="00D50054">
        <w:rPr>
          <w:rFonts w:cs="Times New Roman"/>
        </w:rPr>
        <w:lastRenderedPageBreak/>
        <w:t xml:space="preserve">ces dispositions de la </w:t>
      </w:r>
      <w:r w:rsidRPr="00D50054">
        <w:rPr>
          <w:rFonts w:cs="Times New Roman"/>
          <w:i/>
        </w:rPr>
        <w:t>LRCDAS</w:t>
      </w:r>
      <w:r w:rsidRPr="00D50054">
        <w:rPr>
          <w:rFonts w:cs="Times New Roman"/>
        </w:rPr>
        <w:t>, [</w:t>
      </w:r>
      <w:r w:rsidRPr="00D50054">
        <w:rPr>
          <w:rFonts w:eastAsia="MS Mincho" w:cs="Times New Roman"/>
          <w:smallCaps/>
          <w:szCs w:val="24"/>
        </w:rPr>
        <w:t>traduction</w:t>
      </w:r>
      <w:r w:rsidRPr="00D50054">
        <w:rPr>
          <w:rFonts w:cs="Times New Roman"/>
        </w:rPr>
        <w:t xml:space="preserve">] « telles qu’elles sont modifiées par le </w:t>
      </w:r>
      <w:r w:rsidRPr="00D50054">
        <w:rPr>
          <w:rFonts w:cs="Times New Roman"/>
          <w:i/>
        </w:rPr>
        <w:t>RAMFM</w:t>
      </w:r>
      <w:r w:rsidRPr="00D50054">
        <w:rPr>
          <w:rFonts w:cs="Times New Roman"/>
        </w:rPr>
        <w:t xml:space="preserve">, privent les personnes autorisées à posséder de la </w:t>
      </w:r>
      <w:r w:rsidR="005532D8">
        <w:rPr>
          <w:rFonts w:cs="Times New Roman"/>
        </w:rPr>
        <w:t>marihuana</w:t>
      </w:r>
      <w:r w:rsidRPr="00D50054">
        <w:rPr>
          <w:rFonts w:cs="Times New Roman"/>
        </w:rPr>
        <w:t xml:space="preserve"> d’un droit qui leur est garanti par la Constitution en limitant leur protection contre des poursuites criminelles aux seuls cas où elles possèdent de la </w:t>
      </w:r>
      <w:r w:rsidR="005532D8">
        <w:rPr>
          <w:rFonts w:cs="Times New Roman"/>
        </w:rPr>
        <w:t>marihuana</w:t>
      </w:r>
      <w:r w:rsidRPr="00D50054">
        <w:rPr>
          <w:rFonts w:cs="Times New Roman"/>
        </w:rPr>
        <w:t xml:space="preserve"> séchée » (par</w:t>
      </w:r>
      <w:r w:rsidR="00EC47BB">
        <w:rPr>
          <w:rFonts w:cs="Times New Roman"/>
        </w:rPr>
        <w:t xml:space="preserve">. </w:t>
      </w:r>
      <w:r w:rsidRPr="00D50054">
        <w:rPr>
          <w:rFonts w:cs="Times New Roman"/>
        </w:rPr>
        <w:t>85)</w:t>
      </w:r>
      <w:r w:rsidR="00EC47BB">
        <w:rPr>
          <w:rFonts w:cs="Times New Roman"/>
        </w:rPr>
        <w:t xml:space="preserve">. </w:t>
      </w:r>
      <w:r w:rsidRPr="00D50054">
        <w:rPr>
          <w:rFonts w:cs="Times New Roman"/>
        </w:rPr>
        <w:t>Le fait que M</w:t>
      </w:r>
      <w:r w:rsidR="00EC47BB">
        <w:rPr>
          <w:rFonts w:cs="Times New Roman"/>
        </w:rPr>
        <w:t xml:space="preserve">. </w:t>
      </w:r>
      <w:r w:rsidRPr="00D50054">
        <w:rPr>
          <w:rFonts w:cs="Times New Roman"/>
        </w:rPr>
        <w:t xml:space="preserve">Smith ne soit pas un consommateur de </w:t>
      </w:r>
      <w:r w:rsidR="005532D8">
        <w:rPr>
          <w:rFonts w:cs="Times New Roman"/>
        </w:rPr>
        <w:t>marihuana</w:t>
      </w:r>
      <w:r w:rsidRPr="00D50054">
        <w:rPr>
          <w:rFonts w:cs="Times New Roman"/>
        </w:rPr>
        <w:t xml:space="preserve"> à des fins médicales et qu’il ne soit pas titulaire d’une licence de production conformément au régime ne signifie pas non plus qu’il n’a pas qualité pour agir</w:t>
      </w:r>
      <w:r w:rsidR="00EC47BB">
        <w:rPr>
          <w:rFonts w:cs="Times New Roman"/>
        </w:rPr>
        <w:t xml:space="preserve">. </w:t>
      </w:r>
      <w:r w:rsidRPr="00D50054">
        <w:rPr>
          <w:rFonts w:cs="Times New Roman"/>
        </w:rPr>
        <w:t xml:space="preserve">Tout accusé a qualité pour contester la constitutionnalité de la loi en vertu de laquelle il est inculpé, même si les effets inconstitutionnels allégués ne le visent pas personnellement (voir </w:t>
      </w:r>
      <w:r w:rsidRPr="00D50054">
        <w:rPr>
          <w:rFonts w:cs="Times New Roman"/>
          <w:i/>
        </w:rPr>
        <w:t>R</w:t>
      </w:r>
      <w:r w:rsidR="00EC47BB">
        <w:rPr>
          <w:rFonts w:cs="Times New Roman"/>
          <w:i/>
        </w:rPr>
        <w:t xml:space="preserve">. </w:t>
      </w:r>
      <w:r w:rsidRPr="00D50054">
        <w:rPr>
          <w:rFonts w:cs="Times New Roman"/>
          <w:i/>
        </w:rPr>
        <w:t>c</w:t>
      </w:r>
      <w:r w:rsidR="00EC47BB">
        <w:rPr>
          <w:rFonts w:cs="Times New Roman"/>
          <w:i/>
        </w:rPr>
        <w:t xml:space="preserve">. </w:t>
      </w:r>
      <w:r w:rsidRPr="00D50054">
        <w:rPr>
          <w:rFonts w:cs="Times New Roman"/>
          <w:i/>
        </w:rPr>
        <w:t>Morgentaler</w:t>
      </w:r>
      <w:r w:rsidRPr="00D50054">
        <w:rPr>
          <w:rFonts w:cs="Times New Roman"/>
        </w:rPr>
        <w:t>,</w:t>
      </w:r>
      <w:r w:rsidRPr="00D50054">
        <w:rPr>
          <w:rFonts w:cs="Times New Roman"/>
          <w:i/>
        </w:rPr>
        <w:t xml:space="preserve"> </w:t>
      </w:r>
      <w:r w:rsidRPr="00D50054">
        <w:rPr>
          <w:rFonts w:cs="Times New Roman"/>
          <w:spacing w:val="-3"/>
        </w:rPr>
        <w:t>[1988] 1 R.C.S</w:t>
      </w:r>
      <w:r w:rsidR="00EC47BB">
        <w:rPr>
          <w:rFonts w:cs="Times New Roman"/>
          <w:spacing w:val="-3"/>
        </w:rPr>
        <w:t xml:space="preserve">. </w:t>
      </w:r>
      <w:r w:rsidRPr="00D50054">
        <w:rPr>
          <w:rFonts w:cs="Times New Roman"/>
          <w:spacing w:val="-3"/>
        </w:rPr>
        <w:t>30;</w:t>
      </w:r>
      <w:r w:rsidRPr="00D50054">
        <w:rPr>
          <w:rFonts w:cs="Times New Roman"/>
          <w:i/>
        </w:rPr>
        <w:t xml:space="preserve"> </w:t>
      </w:r>
      <w:proofErr w:type="spellStart"/>
      <w:r w:rsidRPr="00D50054">
        <w:rPr>
          <w:rFonts w:cs="Times New Roman"/>
          <w:i/>
        </w:rPr>
        <w:t>Big</w:t>
      </w:r>
      <w:proofErr w:type="spellEnd"/>
      <w:r w:rsidRPr="00D50054">
        <w:rPr>
          <w:rFonts w:cs="Times New Roman"/>
          <w:i/>
        </w:rPr>
        <w:t xml:space="preserve"> M Drug </w:t>
      </w:r>
      <w:proofErr w:type="spellStart"/>
      <w:r w:rsidRPr="00D50054">
        <w:rPr>
          <w:rFonts w:cs="Times New Roman"/>
          <w:i/>
        </w:rPr>
        <w:t>Mart</w:t>
      </w:r>
      <w:proofErr w:type="spellEnd"/>
      <w:r w:rsidRPr="00D50054">
        <w:rPr>
          <w:rFonts w:cs="Times New Roman"/>
          <w:spacing w:val="-3"/>
        </w:rPr>
        <w:t>)</w:t>
      </w:r>
      <w:r w:rsidR="00EC47BB">
        <w:rPr>
          <w:rFonts w:cs="Times New Roman"/>
          <w:spacing w:val="-3"/>
        </w:rPr>
        <w:t xml:space="preserve">. </w:t>
      </w:r>
      <w:r w:rsidRPr="00D50054">
        <w:rPr>
          <w:rFonts w:cs="Times New Roman"/>
          <w:spacing w:val="-3"/>
        </w:rPr>
        <w:t xml:space="preserve">Il n’est pas non plus nécessaire que l’accusé démontre </w:t>
      </w:r>
      <w:r w:rsidRPr="00D50054">
        <w:rPr>
          <w:rFonts w:cs="Times New Roman"/>
        </w:rPr>
        <w:t>que toute réparation possible à l’égard d’un vice constitutionnel mettra automatiquement fin aux accusations portées contre lui</w:t>
      </w:r>
      <w:r w:rsidR="00EC47BB">
        <w:rPr>
          <w:rFonts w:cs="Times New Roman"/>
        </w:rPr>
        <w:t xml:space="preserve">. </w:t>
      </w:r>
      <w:r w:rsidRPr="00D50054">
        <w:rPr>
          <w:rFonts w:cs="Times New Roman"/>
        </w:rPr>
        <w:t xml:space="preserve">Lorsqu’un demandeur conteste une loi en faisant valoir que son incidence à l’égard d’autres personnes est incompatible avec la </w:t>
      </w:r>
      <w:r w:rsidRPr="00D50054">
        <w:rPr>
          <w:rFonts w:cs="Times New Roman"/>
          <w:i/>
        </w:rPr>
        <w:t>Charte</w:t>
      </w:r>
      <w:r w:rsidRPr="00D50054">
        <w:rPr>
          <w:rFonts w:cs="Times New Roman"/>
        </w:rPr>
        <w:t>, il est toujours possible qu’une réparation accordée en application de l’art</w:t>
      </w:r>
      <w:r w:rsidR="00EC47BB">
        <w:rPr>
          <w:rFonts w:cs="Times New Roman"/>
        </w:rPr>
        <w:t xml:space="preserve">. </w:t>
      </w:r>
      <w:r w:rsidRPr="00D50054">
        <w:rPr>
          <w:rFonts w:cs="Times New Roman"/>
        </w:rPr>
        <w:t xml:space="preserve">52 de la </w:t>
      </w:r>
      <w:r w:rsidRPr="00D50054">
        <w:rPr>
          <w:rFonts w:cs="Times New Roman"/>
          <w:i/>
        </w:rPr>
        <w:t>Loi constitutionnelle de 1982</w:t>
      </w:r>
      <w:r w:rsidRPr="00D50054">
        <w:rPr>
          <w:rFonts w:cs="Times New Roman"/>
        </w:rPr>
        <w:t xml:space="preserve"> ne porte pas sur la situation particulière du demandeur (voir </w:t>
      </w:r>
      <w:r w:rsidRPr="00D50054">
        <w:rPr>
          <w:rFonts w:cs="Times New Roman"/>
          <w:i/>
        </w:rPr>
        <w:t>R</w:t>
      </w:r>
      <w:r w:rsidR="00EC47BB">
        <w:rPr>
          <w:rFonts w:cs="Times New Roman"/>
          <w:i/>
        </w:rPr>
        <w:t xml:space="preserve">. </w:t>
      </w:r>
      <w:r w:rsidRPr="00D50054">
        <w:rPr>
          <w:rFonts w:cs="Times New Roman"/>
          <w:i/>
        </w:rPr>
        <w:t>c</w:t>
      </w:r>
      <w:r w:rsidR="00EC47BB">
        <w:rPr>
          <w:rFonts w:cs="Times New Roman"/>
          <w:i/>
        </w:rPr>
        <w:t xml:space="preserve">. </w:t>
      </w:r>
      <w:proofErr w:type="spellStart"/>
      <w:r w:rsidRPr="00D50054">
        <w:rPr>
          <w:rFonts w:cs="Times New Roman"/>
          <w:i/>
        </w:rPr>
        <w:t>Latchmana</w:t>
      </w:r>
      <w:proofErr w:type="spellEnd"/>
      <w:r w:rsidRPr="00D50054">
        <w:rPr>
          <w:rFonts w:cs="Times New Roman"/>
        </w:rPr>
        <w:t>,</w:t>
      </w:r>
      <w:r w:rsidRPr="00D50054">
        <w:rPr>
          <w:rFonts w:cs="Times New Roman"/>
          <w:i/>
        </w:rPr>
        <w:t xml:space="preserve"> </w:t>
      </w:r>
      <w:r w:rsidRPr="00D50054">
        <w:rPr>
          <w:rFonts w:cs="Times New Roman"/>
        </w:rPr>
        <w:t>2008 ONCJ 187, 170 C.R.R</w:t>
      </w:r>
      <w:r w:rsidR="00EC47BB">
        <w:rPr>
          <w:rFonts w:cs="Times New Roman"/>
        </w:rPr>
        <w:t xml:space="preserve">. </w:t>
      </w:r>
      <w:r w:rsidRPr="00D50054">
        <w:rPr>
          <w:rFonts w:cs="Times New Roman"/>
        </w:rPr>
        <w:t>(2d) 128, par</w:t>
      </w:r>
      <w:r w:rsidR="00EC47BB">
        <w:rPr>
          <w:rFonts w:cs="Times New Roman"/>
        </w:rPr>
        <w:t xml:space="preserve">. </w:t>
      </w:r>
      <w:r w:rsidRPr="00D50054">
        <w:rPr>
          <w:rFonts w:cs="Times New Roman"/>
        </w:rPr>
        <w:t xml:space="preserve">16; </w:t>
      </w:r>
      <w:r w:rsidRPr="00D50054">
        <w:rPr>
          <w:rFonts w:cs="Times New Roman"/>
          <w:i/>
        </w:rPr>
        <w:t>R</w:t>
      </w:r>
      <w:r w:rsidR="00EC47BB">
        <w:rPr>
          <w:rFonts w:cs="Times New Roman"/>
          <w:i/>
        </w:rPr>
        <w:t xml:space="preserve">. </w:t>
      </w:r>
      <w:r w:rsidRPr="00D50054">
        <w:rPr>
          <w:rFonts w:cs="Times New Roman"/>
          <w:i/>
        </w:rPr>
        <w:t>c</w:t>
      </w:r>
      <w:r w:rsidR="00EC47BB">
        <w:rPr>
          <w:rFonts w:cs="Times New Roman"/>
          <w:i/>
        </w:rPr>
        <w:t xml:space="preserve">. </w:t>
      </w:r>
      <w:r w:rsidRPr="00D50054">
        <w:rPr>
          <w:rFonts w:cs="Times New Roman"/>
          <w:i/>
        </w:rPr>
        <w:t xml:space="preserve">Clay </w:t>
      </w:r>
      <w:r w:rsidRPr="00D50054">
        <w:rPr>
          <w:rFonts w:cs="Times New Roman"/>
        </w:rPr>
        <w:t>(2000), 49 O.R</w:t>
      </w:r>
      <w:r w:rsidR="00EC47BB">
        <w:rPr>
          <w:rFonts w:cs="Times New Roman"/>
        </w:rPr>
        <w:t xml:space="preserve">. </w:t>
      </w:r>
      <w:r w:rsidRPr="00D50054">
        <w:rPr>
          <w:rFonts w:cs="Times New Roman"/>
        </w:rPr>
        <w:t>(3d) 577 (C.A.))</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En l’espèce, la constitutionnalité de la disposition législative en application de laquelle M</w:t>
      </w:r>
      <w:r w:rsidR="00EC47BB">
        <w:rPr>
          <w:rFonts w:cs="Times New Roman"/>
        </w:rPr>
        <w:t xml:space="preserve">. </w:t>
      </w:r>
      <w:r w:rsidRPr="00D50054">
        <w:rPr>
          <w:rFonts w:cs="Times New Roman"/>
        </w:rPr>
        <w:t xml:space="preserve">Smith est accusé dépend directement de la constitutionnalité de l’exemption médicale prévue par le </w:t>
      </w:r>
      <w:r w:rsidRPr="00D50054">
        <w:rPr>
          <w:rFonts w:cs="Times New Roman"/>
          <w:i/>
        </w:rPr>
        <w:t>RAMFM</w:t>
      </w:r>
      <w:r w:rsidRPr="00D50054">
        <w:rPr>
          <w:rFonts w:cs="Times New Roman"/>
        </w:rPr>
        <w:t xml:space="preserve"> (voir </w:t>
      </w:r>
      <w:r w:rsidRPr="00D50054">
        <w:rPr>
          <w:rFonts w:cs="Times New Roman"/>
          <w:i/>
        </w:rPr>
        <w:t>Parker</w:t>
      </w:r>
      <w:r w:rsidRPr="00D50054">
        <w:rPr>
          <w:rFonts w:cs="Times New Roman"/>
        </w:rPr>
        <w:t>)</w:t>
      </w:r>
      <w:r w:rsidR="00EC47BB">
        <w:rPr>
          <w:rFonts w:cs="Times New Roman"/>
        </w:rPr>
        <w:t xml:space="preserve">. </w:t>
      </w:r>
      <w:r w:rsidRPr="00D50054">
        <w:rPr>
          <w:rFonts w:cs="Times New Roman"/>
        </w:rPr>
        <w:t>Il est donc autorisé à la contester.</w:t>
      </w:r>
    </w:p>
    <w:p w:rsidR="007027F8" w:rsidRPr="00D50054" w:rsidRDefault="007027F8" w:rsidP="00103926">
      <w:pPr>
        <w:pStyle w:val="Title2LevelTitre2Niveau"/>
        <w:widowControl w:val="0"/>
        <w:numPr>
          <w:ilvl w:val="1"/>
          <w:numId w:val="8"/>
        </w:numPr>
        <w:tabs>
          <w:tab w:val="clear" w:pos="576"/>
        </w:tabs>
        <w:ind w:left="540" w:hanging="540"/>
        <w:rPr>
          <w:rFonts w:cs="Times New Roman"/>
          <w:lang w:val="fr-CA"/>
        </w:rPr>
      </w:pPr>
      <w:r w:rsidRPr="00D50054">
        <w:rPr>
          <w:rFonts w:cs="Times New Roman"/>
          <w:lang w:val="fr-CA"/>
        </w:rPr>
        <w:t>Constitutionnalité de l’interdiction</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lastRenderedPageBreak/>
        <w:t xml:space="preserve">Dans le cadre du présent pourvoi, la Cour est appelée à décider si le fait de restreindre l’accès médical à la </w:t>
      </w:r>
      <w:r w:rsidR="005532D8">
        <w:rPr>
          <w:rFonts w:cs="Times New Roman"/>
        </w:rPr>
        <w:t>marihuana</w:t>
      </w:r>
      <w:r w:rsidRPr="00D50054">
        <w:rPr>
          <w:rFonts w:cs="Times New Roman"/>
        </w:rPr>
        <w:t xml:space="preserve"> uniquement à sa forme séchée viole l’art</w:t>
      </w:r>
      <w:r w:rsidR="00EC47BB">
        <w:rPr>
          <w:rFonts w:cs="Times New Roman"/>
        </w:rPr>
        <w:t xml:space="preserve">. </w:t>
      </w:r>
      <w:r w:rsidRPr="00D50054">
        <w:rPr>
          <w:rFonts w:cs="Times New Roman"/>
        </w:rPr>
        <w:t xml:space="preserve">7 de la </w:t>
      </w:r>
      <w:r w:rsidRPr="00D50054">
        <w:rPr>
          <w:rFonts w:cs="Times New Roman"/>
          <w:i/>
        </w:rPr>
        <w:t>Charte</w:t>
      </w:r>
      <w:r w:rsidRPr="00D50054">
        <w:rPr>
          <w:rFonts w:cs="Times New Roman"/>
        </w:rPr>
        <w:t> :</w:t>
      </w:r>
    </w:p>
    <w:p w:rsidR="007027F8" w:rsidRPr="00D50054" w:rsidRDefault="007027F8" w:rsidP="00103926">
      <w:pPr>
        <w:pStyle w:val="Citation-AltC"/>
        <w:widowControl w:val="0"/>
        <w:ind w:firstLine="454"/>
        <w:contextualSpacing w:val="0"/>
        <w:rPr>
          <w:lang w:val="fr-CA"/>
        </w:rPr>
      </w:pPr>
      <w:r w:rsidRPr="00D50054">
        <w:rPr>
          <w:rStyle w:val="sectionlabel"/>
          <w:szCs w:val="24"/>
          <w:lang w:val="fr-CA"/>
        </w:rPr>
        <w:t>7</w:t>
      </w:r>
      <w:r w:rsidR="00EC47BB">
        <w:rPr>
          <w:rStyle w:val="sectionlabel"/>
          <w:szCs w:val="24"/>
          <w:lang w:val="fr-CA"/>
        </w:rPr>
        <w:t xml:space="preserve">. </w:t>
      </w:r>
      <w:r w:rsidRPr="00D50054">
        <w:rPr>
          <w:lang w:val="fr-CA"/>
        </w:rPr>
        <w:t>Chacun a droit à la vie, à la liberté et à la sécurité de sa personne; il ne peut être porté atteinte à ce droit qu’en conformité avec les principes de justice fondamentale.</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L’article 7 permet au législateur de limiter le droit à la vie, à la liberté et à la sécurité de la personne, à condition de le faire en conformité avec les principes de justice fondamentale</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La première question à se poser dans le cadre de l’analyse fondée sur l’art</w:t>
      </w:r>
      <w:r w:rsidR="00EC47BB">
        <w:rPr>
          <w:rFonts w:cs="Times New Roman"/>
        </w:rPr>
        <w:t xml:space="preserve">. </w:t>
      </w:r>
      <w:r w:rsidRPr="00D50054">
        <w:rPr>
          <w:rFonts w:cs="Times New Roman"/>
        </w:rPr>
        <w:t>7 est celle de savoir si la loi limite le droit à la vie, à la liberté ou à la sécurité de la personne</w:t>
      </w:r>
      <w:r w:rsidR="00EC47BB">
        <w:rPr>
          <w:rFonts w:cs="Times New Roman"/>
        </w:rPr>
        <w:t xml:space="preserve">. </w:t>
      </w:r>
      <w:r w:rsidRPr="00D50054">
        <w:rPr>
          <w:rFonts w:cs="Times New Roman"/>
        </w:rPr>
        <w:t>À notre avis, c’est effectivement le cas</w:t>
      </w:r>
      <w:r w:rsidR="00EC47BB">
        <w:rPr>
          <w:rFonts w:cs="Times New Roman"/>
        </w:rPr>
        <w:t xml:space="preserve">. </w:t>
      </w:r>
      <w:r w:rsidRPr="00D50054">
        <w:rPr>
          <w:rFonts w:cs="Times New Roman"/>
        </w:rPr>
        <w:t xml:space="preserve">Le fait que le régime législatif restreigne l’accès à la </w:t>
      </w:r>
      <w:r w:rsidR="005532D8">
        <w:rPr>
          <w:rFonts w:cs="Times New Roman"/>
        </w:rPr>
        <w:t>marihuana</w:t>
      </w:r>
      <w:r w:rsidRPr="00D50054">
        <w:rPr>
          <w:rFonts w:cs="Times New Roman"/>
        </w:rPr>
        <w:t xml:space="preserve"> à des fins médicales uniquement </w:t>
      </w:r>
      <w:r w:rsidR="00B45A6B">
        <w:rPr>
          <w:rFonts w:cs="Times New Roman"/>
        </w:rPr>
        <w:t xml:space="preserve">à </w:t>
      </w:r>
      <w:r w:rsidRPr="00D50054">
        <w:rPr>
          <w:rFonts w:cs="Times New Roman"/>
        </w:rPr>
        <w:t>sa forme séchée limite de deux façons les droits garantis à l’art</w:t>
      </w:r>
      <w:r w:rsidR="00EC47BB">
        <w:rPr>
          <w:rFonts w:cs="Times New Roman"/>
        </w:rPr>
        <w:t xml:space="preserve">. </w:t>
      </w:r>
      <w:r w:rsidRPr="00D50054">
        <w:rPr>
          <w:rFonts w:cs="Times New Roman"/>
        </w:rPr>
        <w:t>7</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En premier lieu, l’interdiction de posséder des dérivés du cannabis porte atteinte au droit à la liberté de M</w:t>
      </w:r>
      <w:r w:rsidR="00EC47BB">
        <w:rPr>
          <w:rFonts w:cs="Times New Roman"/>
        </w:rPr>
        <w:t xml:space="preserve">. </w:t>
      </w:r>
      <w:r w:rsidRPr="00D50054">
        <w:rPr>
          <w:rFonts w:cs="Times New Roman"/>
        </w:rPr>
        <w:t>Smith en l’exposant au risque d’être incarcéré s’il est reconnu coupable en application du par</w:t>
      </w:r>
      <w:r w:rsidR="00EC47BB">
        <w:rPr>
          <w:rFonts w:cs="Times New Roman"/>
        </w:rPr>
        <w:t xml:space="preserve">. </w:t>
      </w:r>
      <w:r w:rsidRPr="00D50054">
        <w:rPr>
          <w:rFonts w:cs="Times New Roman"/>
        </w:rPr>
        <w:t>4(1) ou du par</w:t>
      </w:r>
      <w:r w:rsidR="00EC47BB">
        <w:rPr>
          <w:rFonts w:cs="Times New Roman"/>
        </w:rPr>
        <w:t xml:space="preserve">. </w:t>
      </w:r>
      <w:r w:rsidRPr="00D50054">
        <w:rPr>
          <w:rFonts w:cs="Times New Roman"/>
        </w:rPr>
        <w:t xml:space="preserve">5(2) de la </w:t>
      </w:r>
      <w:r w:rsidRPr="00D50054">
        <w:rPr>
          <w:rFonts w:cs="Times New Roman"/>
          <w:i/>
        </w:rPr>
        <w:t>LRCDAS</w:t>
      </w:r>
      <w:r w:rsidR="00EC47BB">
        <w:rPr>
          <w:rFonts w:cs="Times New Roman"/>
        </w:rPr>
        <w:t xml:space="preserve">. </w:t>
      </w:r>
      <w:r w:rsidRPr="00D50054">
        <w:rPr>
          <w:rFonts w:cs="Times New Roman"/>
        </w:rPr>
        <w:t>Toute infraction dont l’incarcération constitue l’une des sanctions possibles fait intervenir le droit à la liberté (</w:t>
      </w:r>
      <w:r w:rsidRPr="00D50054">
        <w:rPr>
          <w:rFonts w:cs="Times New Roman"/>
          <w:i/>
        </w:rPr>
        <w:t xml:space="preserve">Renvoi sur la </w:t>
      </w:r>
      <w:proofErr w:type="spellStart"/>
      <w:r w:rsidRPr="00D50054">
        <w:rPr>
          <w:rFonts w:cs="Times New Roman"/>
          <w:i/>
        </w:rPr>
        <w:t>Motor</w:t>
      </w:r>
      <w:proofErr w:type="spellEnd"/>
      <w:r w:rsidRPr="00D50054">
        <w:rPr>
          <w:rFonts w:cs="Times New Roman"/>
          <w:i/>
        </w:rPr>
        <w:t xml:space="preserve"> </w:t>
      </w:r>
      <w:proofErr w:type="spellStart"/>
      <w:r w:rsidRPr="00D50054">
        <w:rPr>
          <w:rFonts w:cs="Times New Roman"/>
          <w:i/>
        </w:rPr>
        <w:t>Vehicle</w:t>
      </w:r>
      <w:proofErr w:type="spellEnd"/>
      <w:r w:rsidRPr="00D50054">
        <w:rPr>
          <w:rFonts w:cs="Times New Roman"/>
          <w:i/>
        </w:rPr>
        <w:t xml:space="preserve"> </w:t>
      </w:r>
      <w:proofErr w:type="spellStart"/>
      <w:r w:rsidRPr="00D50054">
        <w:rPr>
          <w:rFonts w:cs="Times New Roman"/>
          <w:i/>
        </w:rPr>
        <w:t>Act</w:t>
      </w:r>
      <w:proofErr w:type="spellEnd"/>
      <w:r w:rsidRPr="00D50054">
        <w:rPr>
          <w:rFonts w:cs="Times New Roman"/>
          <w:i/>
        </w:rPr>
        <w:t xml:space="preserve"> (C.</w:t>
      </w:r>
      <w:r w:rsidR="00147051">
        <w:rPr>
          <w:rFonts w:cs="Times New Roman"/>
          <w:i/>
        </w:rPr>
        <w:t>-</w:t>
      </w:r>
      <w:r w:rsidRPr="00D50054">
        <w:rPr>
          <w:rFonts w:cs="Times New Roman"/>
          <w:i/>
        </w:rPr>
        <w:t>B.)</w:t>
      </w:r>
      <w:r w:rsidRPr="00D50054">
        <w:rPr>
          <w:rFonts w:cs="Times New Roman"/>
        </w:rPr>
        <w:t>, [1985] 2 R.C.S</w:t>
      </w:r>
      <w:r w:rsidR="00EC47BB">
        <w:rPr>
          <w:rFonts w:cs="Times New Roman"/>
        </w:rPr>
        <w:t xml:space="preserve">. </w:t>
      </w:r>
      <w:r w:rsidRPr="00D50054">
        <w:rPr>
          <w:rFonts w:cs="Times New Roman"/>
        </w:rPr>
        <w:t>486, p</w:t>
      </w:r>
      <w:r w:rsidR="00EC47BB">
        <w:rPr>
          <w:rFonts w:cs="Times New Roman"/>
        </w:rPr>
        <w:t xml:space="preserve">. </w:t>
      </w:r>
      <w:r w:rsidRPr="00D50054">
        <w:rPr>
          <w:rFonts w:cs="Times New Roman"/>
        </w:rPr>
        <w:t>515)</w:t>
      </w:r>
      <w:r w:rsidR="00EC47BB">
        <w:rPr>
          <w:rFonts w:cs="Times New Roman"/>
        </w:rPr>
        <w:t xml:space="preserve">. </w:t>
      </w:r>
      <w:r w:rsidRPr="00D50054">
        <w:rPr>
          <w:rFonts w:cs="Times New Roman"/>
        </w:rPr>
        <w:t xml:space="preserve">L’interdiction en question fait également intervenir le droit à la liberté des consommateurs de </w:t>
      </w:r>
      <w:r w:rsidR="005532D8">
        <w:rPr>
          <w:rFonts w:cs="Times New Roman"/>
        </w:rPr>
        <w:t>marihuana</w:t>
      </w:r>
      <w:r w:rsidRPr="00D50054">
        <w:rPr>
          <w:rFonts w:cs="Times New Roman"/>
        </w:rPr>
        <w:t xml:space="preserve"> à des fins médicales, car ces personnes s’exposent à </w:t>
      </w:r>
      <w:r w:rsidRPr="00D50054">
        <w:rPr>
          <w:rFonts w:cs="Times New Roman"/>
        </w:rPr>
        <w:lastRenderedPageBreak/>
        <w:t xml:space="preserve">des sanctions criminelles si elles produisent ou possèdent des produits du cannabis autres que de la </w:t>
      </w:r>
      <w:r w:rsidR="005532D8">
        <w:rPr>
          <w:rFonts w:cs="Times New Roman"/>
        </w:rPr>
        <w:t>marihuana</w:t>
      </w:r>
      <w:r w:rsidRPr="00D50054">
        <w:rPr>
          <w:rFonts w:cs="Times New Roman"/>
        </w:rPr>
        <w:t xml:space="preserve"> séchée</w:t>
      </w:r>
      <w:r w:rsidR="00EC47BB">
        <w:rPr>
          <w:rFonts w:cs="Times New Roman"/>
        </w:rPr>
        <w:t xml:space="preserve">. </w:t>
      </w:r>
      <w:r w:rsidRPr="00D50054">
        <w:rPr>
          <w:rFonts w:cs="Times New Roman"/>
        </w:rPr>
        <w:t>Nous ne pouvons souscrire au point de vue exprimé par le juge dissident sur ce point </w:t>
      </w:r>
      <w:r w:rsidR="006E5B9E">
        <w:rPr>
          <w:rFonts w:cs="Times New Roman"/>
        </w:rPr>
        <w:t xml:space="preserve">: </w:t>
      </w:r>
      <w:r w:rsidRPr="00D50054">
        <w:rPr>
          <w:rFonts w:cs="Times New Roman"/>
        </w:rPr>
        <w:t xml:space="preserve">le </w:t>
      </w:r>
      <w:r w:rsidRPr="00D50054">
        <w:rPr>
          <w:rFonts w:cs="Times New Roman"/>
          <w:i/>
        </w:rPr>
        <w:t>RAMFM</w:t>
      </w:r>
      <w:r w:rsidRPr="00D50054">
        <w:rPr>
          <w:rFonts w:cs="Times New Roman"/>
        </w:rPr>
        <w:t xml:space="preserve"> n’autorise pas les consommateurs de </w:t>
      </w:r>
      <w:r w:rsidR="005532D8">
        <w:rPr>
          <w:rFonts w:cs="Times New Roman"/>
        </w:rPr>
        <w:t>marihuana</w:t>
      </w:r>
      <w:r w:rsidRPr="00D50054">
        <w:rPr>
          <w:rFonts w:cs="Times New Roman"/>
        </w:rPr>
        <w:t xml:space="preserve"> à des fins médicales à transformer la </w:t>
      </w:r>
      <w:r w:rsidR="005532D8">
        <w:rPr>
          <w:rFonts w:cs="Times New Roman"/>
        </w:rPr>
        <w:t>marihuana</w:t>
      </w:r>
      <w:r w:rsidRPr="00D50054">
        <w:rPr>
          <w:rFonts w:cs="Times New Roman"/>
        </w:rPr>
        <w:t xml:space="preserve"> séchée en ses composés actifs</w:t>
      </w:r>
      <w:r w:rsidR="00EC47BB">
        <w:rPr>
          <w:rFonts w:cs="Times New Roman"/>
        </w:rPr>
        <w:t xml:space="preserve">. </w:t>
      </w:r>
      <w:r w:rsidRPr="00D50054">
        <w:rPr>
          <w:rFonts w:cs="Times New Roman"/>
        </w:rPr>
        <w:t xml:space="preserve">L’autorisation de posséder de la </w:t>
      </w:r>
      <w:r w:rsidR="005532D8">
        <w:rPr>
          <w:rFonts w:cs="Times New Roman"/>
        </w:rPr>
        <w:t>marihuana</w:t>
      </w:r>
      <w:r w:rsidRPr="00D50054">
        <w:rPr>
          <w:rFonts w:cs="Times New Roman"/>
        </w:rPr>
        <w:t xml:space="preserve"> à des fins médicales ne peut être invoquée comme moyen de défense par un patient ayant en sa possession une autre forme médicamenteuse de cette drogue, comme des biscuits au cannabis, de l’huile de massage contenant du THC ou des gélules remplies de THC</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En second lieu, l’interdiction frappant la possession des composés actifs du cannabis à des fins médicales limite le droit à la liberté des patients en les privant de la possibilité de faire des choix médicaux raisonnables en raison de la menace de poursuites pénales (</w:t>
      </w:r>
      <w:r w:rsidRPr="00D50054">
        <w:rPr>
          <w:rFonts w:cs="Times New Roman"/>
          <w:i/>
        </w:rPr>
        <w:t>Parker</w:t>
      </w:r>
      <w:r w:rsidRPr="00D50054">
        <w:rPr>
          <w:rFonts w:cs="Times New Roman"/>
        </w:rPr>
        <w:t>, par</w:t>
      </w:r>
      <w:r w:rsidR="00EC47BB">
        <w:rPr>
          <w:rFonts w:cs="Times New Roman"/>
        </w:rPr>
        <w:t xml:space="preserve">. </w:t>
      </w:r>
      <w:r w:rsidRPr="00D50054">
        <w:rPr>
          <w:rFonts w:cs="Times New Roman"/>
        </w:rPr>
        <w:t>92)</w:t>
      </w:r>
      <w:r w:rsidR="00EC47BB">
        <w:rPr>
          <w:rFonts w:cs="Times New Roman"/>
        </w:rPr>
        <w:t xml:space="preserve">. </w:t>
      </w:r>
      <w:r w:rsidRPr="00D50054">
        <w:rPr>
          <w:rFonts w:cs="Times New Roman"/>
        </w:rPr>
        <w:t xml:space="preserve">En l’espèce, l’État refuse aux gens qui ont déjà démontré leur besoin légitime de </w:t>
      </w:r>
      <w:r w:rsidR="005532D8">
        <w:rPr>
          <w:rFonts w:cs="Times New Roman"/>
        </w:rPr>
        <w:t>marihuana</w:t>
      </w:r>
      <w:r w:rsidRPr="00D50054">
        <w:rPr>
          <w:rFonts w:cs="Times New Roman"/>
        </w:rPr>
        <w:t xml:space="preserve"> — un besoin auquel le régime législatif est censé répondre — la possibilité de choisir le mode d’administration de la drogue</w:t>
      </w:r>
      <w:r w:rsidR="00EC47BB">
        <w:rPr>
          <w:rFonts w:cs="Times New Roman"/>
        </w:rPr>
        <w:t xml:space="preserve">. </w:t>
      </w:r>
      <w:r w:rsidRPr="00D50054">
        <w:rPr>
          <w:rFonts w:cs="Times New Roman"/>
        </w:rPr>
        <w:t xml:space="preserve">Suivant la preuve acceptée par le juge de première instance, ce refus n’est pas banal; il expose les personnes visées aux risques de contracter un cancer ou des infections des bronches qui sont associés au fait de fumer de la </w:t>
      </w:r>
      <w:r w:rsidR="005532D8">
        <w:rPr>
          <w:rFonts w:cs="Times New Roman"/>
        </w:rPr>
        <w:t>marihuana</w:t>
      </w:r>
      <w:r w:rsidRPr="00D50054">
        <w:rPr>
          <w:rFonts w:cs="Times New Roman"/>
        </w:rPr>
        <w:t xml:space="preserve"> sèche, et les empêche de choisir un traitement plus efficace</w:t>
      </w:r>
      <w:r w:rsidR="00EC47BB">
        <w:rPr>
          <w:rFonts w:cs="Times New Roman"/>
        </w:rPr>
        <w:t xml:space="preserve">. </w:t>
      </w:r>
      <w:r>
        <w:rPr>
          <w:rFonts w:cs="Times New Roman"/>
        </w:rPr>
        <w:t>En outre</w:t>
      </w:r>
      <w:r w:rsidRPr="00D50054">
        <w:rPr>
          <w:rFonts w:cs="Times New Roman"/>
        </w:rPr>
        <w:t>, en contraignant ces personnes à choisir entre, d’une part, un traitement légal, mais inadéquat et, d’autre part, une solution illégale, mais plus efficace, la loi porte également atteinte à la sécurité de la personne (</w:t>
      </w:r>
      <w:r w:rsidRPr="00D50054">
        <w:rPr>
          <w:rFonts w:cs="Times New Roman"/>
          <w:i/>
        </w:rPr>
        <w:t>Morgentaler</w:t>
      </w:r>
      <w:r w:rsidRPr="00D50054">
        <w:rPr>
          <w:rFonts w:cs="Times New Roman"/>
        </w:rPr>
        <w:t>;</w:t>
      </w:r>
      <w:r w:rsidRPr="00D50054">
        <w:rPr>
          <w:rFonts w:cs="Times New Roman"/>
          <w:i/>
        </w:rPr>
        <w:t xml:space="preserve"> </w:t>
      </w:r>
      <w:proofErr w:type="spellStart"/>
      <w:r w:rsidRPr="00D50054">
        <w:rPr>
          <w:rFonts w:cs="Times New Roman"/>
          <w:i/>
        </w:rPr>
        <w:t>Hitzig</w:t>
      </w:r>
      <w:proofErr w:type="spellEnd"/>
      <w:r w:rsidRPr="00D50054">
        <w:rPr>
          <w:rFonts w:cs="Times New Roman"/>
          <w:i/>
        </w:rPr>
        <w:t xml:space="preserve"> c</w:t>
      </w:r>
      <w:r w:rsidR="00EC47BB">
        <w:rPr>
          <w:rFonts w:cs="Times New Roman"/>
          <w:i/>
        </w:rPr>
        <w:t xml:space="preserve">. </w:t>
      </w:r>
      <w:r w:rsidRPr="00D50054">
        <w:rPr>
          <w:rFonts w:cs="Times New Roman"/>
          <w:i/>
        </w:rPr>
        <w:t>Canada</w:t>
      </w:r>
      <w:r w:rsidRPr="00D50054">
        <w:rPr>
          <w:rFonts w:cs="Times New Roman"/>
        </w:rPr>
        <w:t xml:space="preserve"> (2003), 231 D.L.R</w:t>
      </w:r>
      <w:r w:rsidR="00EC47BB">
        <w:rPr>
          <w:rFonts w:cs="Times New Roman"/>
        </w:rPr>
        <w:t xml:space="preserve">. </w:t>
      </w:r>
      <w:r w:rsidRPr="00D50054">
        <w:rPr>
          <w:rFonts w:cs="Times New Roman"/>
        </w:rPr>
        <w:t>(4th) 104 (C.A.</w:t>
      </w:r>
      <w:r w:rsidR="005532D8">
        <w:rPr>
          <w:rFonts w:cs="Times New Roman"/>
        </w:rPr>
        <w:t xml:space="preserve"> </w:t>
      </w:r>
      <w:r w:rsidRPr="00D50054">
        <w:rPr>
          <w:rFonts w:cs="Times New Roman"/>
        </w:rPr>
        <w:t>Ont.)).</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Le ministère public a affirmé que la preuve présentée lors du voir</w:t>
      </w:r>
      <w:r w:rsidR="00147051">
        <w:rPr>
          <w:rFonts w:cs="Times New Roman"/>
        </w:rPr>
        <w:t>-</w:t>
      </w:r>
      <w:r w:rsidRPr="00D50054">
        <w:rPr>
          <w:rFonts w:cs="Times New Roman"/>
        </w:rPr>
        <w:t xml:space="preserve">dire </w:t>
      </w:r>
      <w:r w:rsidRPr="00D50054">
        <w:rPr>
          <w:rFonts w:cs="Times New Roman"/>
        </w:rPr>
        <w:lastRenderedPageBreak/>
        <w:t>n’avait pas établi que l’interdiction des autres formes de cannabis contrevenait à un quelconque droit garanti à l’art</w:t>
      </w:r>
      <w:r w:rsidR="00EC47BB">
        <w:rPr>
          <w:rFonts w:cs="Times New Roman"/>
        </w:rPr>
        <w:t xml:space="preserve">. </w:t>
      </w:r>
      <w:r w:rsidRPr="00D50054">
        <w:rPr>
          <w:rFonts w:cs="Times New Roman"/>
        </w:rPr>
        <w:t>7, si l’on faisait abstraction de la privation de liberté découlant de la sanction criminelle</w:t>
      </w:r>
      <w:r w:rsidR="00EC47BB">
        <w:rPr>
          <w:rFonts w:cs="Times New Roman"/>
        </w:rPr>
        <w:t xml:space="preserve">. </w:t>
      </w:r>
      <w:r w:rsidRPr="00D50054">
        <w:rPr>
          <w:rFonts w:cs="Times New Roman"/>
        </w:rPr>
        <w:t xml:space="preserve">Selon lui, la preuve n’a pas démontré que les autres formes d’utilisation médicale de la </w:t>
      </w:r>
      <w:r w:rsidR="005532D8">
        <w:rPr>
          <w:rFonts w:cs="Times New Roman"/>
        </w:rPr>
        <w:t>marihuana</w:t>
      </w:r>
      <w:r w:rsidRPr="00D50054">
        <w:rPr>
          <w:rFonts w:cs="Times New Roman"/>
        </w:rPr>
        <w:t xml:space="preserve"> avaient quelque effet thérapeutique que ce soit; elle établissait tout au plus que les patients qui avaient témoigné préféraient les produits du cannabis à d’autres options de traitement</w:t>
      </w:r>
      <w:r w:rsidR="00EC47BB">
        <w:rPr>
          <w:rFonts w:cs="Times New Roman"/>
        </w:rPr>
        <w:t xml:space="preserve">. </w:t>
      </w:r>
      <w:r w:rsidRPr="00D50054">
        <w:rPr>
          <w:rFonts w:cs="Times New Roman"/>
        </w:rPr>
        <w:t>Cet argument va à l’encontre des conclusions de fait tirées par le juge de première instance</w:t>
      </w:r>
      <w:r w:rsidR="00EC47BB">
        <w:rPr>
          <w:rFonts w:cs="Times New Roman"/>
        </w:rPr>
        <w:t xml:space="preserve">. </w:t>
      </w:r>
      <w:r w:rsidRPr="00D50054">
        <w:rPr>
          <w:rFonts w:cs="Times New Roman"/>
        </w:rPr>
        <w:t xml:space="preserve">Après avoir analysé soigneusement les nombreux témoignages d’experts et témoignages personnels, le juge de première instance a conclu que, dans certaines circonstances, l’utilisation de dérivés du cannabis était plus efficace et moins dangereuse que le fait de fumer ou d’inhaler sous une autre forme de la </w:t>
      </w:r>
      <w:r w:rsidR="005532D8">
        <w:rPr>
          <w:rFonts w:cs="Times New Roman"/>
        </w:rPr>
        <w:t>marihuana</w:t>
      </w:r>
      <w:r w:rsidRPr="00D50054">
        <w:rPr>
          <w:rFonts w:cs="Times New Roman"/>
        </w:rPr>
        <w:t xml:space="preserve"> séchée</w:t>
      </w:r>
      <w:r w:rsidR="00EC47BB">
        <w:rPr>
          <w:rFonts w:cs="Times New Roman"/>
        </w:rPr>
        <w:t xml:space="preserve">. </w:t>
      </w:r>
      <w:r w:rsidRPr="00D50054">
        <w:rPr>
          <w:rFonts w:cs="Times New Roman"/>
        </w:rPr>
        <w:t>Les conclusions tirées par le juge de première instance sur des questions de fait ne peuvent être écartées que si elles ne reposent pas sur la preuve ou si elles sont manifestement erronées (</w:t>
      </w:r>
      <w:proofErr w:type="spellStart"/>
      <w:r w:rsidRPr="00D50054">
        <w:rPr>
          <w:rFonts w:cs="Times New Roman"/>
          <w:i/>
        </w:rPr>
        <w:t>Housen</w:t>
      </w:r>
      <w:proofErr w:type="spellEnd"/>
      <w:r w:rsidRPr="00D50054">
        <w:rPr>
          <w:rFonts w:cs="Times New Roman"/>
          <w:i/>
        </w:rPr>
        <w:t xml:space="preserve"> </w:t>
      </w:r>
      <w:r w:rsidRPr="00D50054">
        <w:rPr>
          <w:rFonts w:cs="Times New Roman"/>
          <w:i/>
          <w:iCs/>
        </w:rPr>
        <w:t>c</w:t>
      </w:r>
      <w:r w:rsidR="00EC47BB">
        <w:rPr>
          <w:rFonts w:cs="Times New Roman"/>
          <w:i/>
        </w:rPr>
        <w:t xml:space="preserve">. </w:t>
      </w:r>
      <w:proofErr w:type="spellStart"/>
      <w:r w:rsidRPr="00D50054">
        <w:rPr>
          <w:rFonts w:cs="Times New Roman"/>
          <w:i/>
        </w:rPr>
        <w:t>Nikolaisen</w:t>
      </w:r>
      <w:proofErr w:type="spellEnd"/>
      <w:r w:rsidRPr="00D50054">
        <w:rPr>
          <w:rFonts w:cs="Times New Roman"/>
        </w:rPr>
        <w:t>, 2002 CSC 33, [2002] 2 R.C.S</w:t>
      </w:r>
      <w:r w:rsidR="00EC47BB">
        <w:rPr>
          <w:rFonts w:cs="Times New Roman"/>
        </w:rPr>
        <w:t xml:space="preserve">. </w:t>
      </w:r>
      <w:r w:rsidRPr="00D50054">
        <w:rPr>
          <w:rFonts w:cs="Times New Roman"/>
        </w:rPr>
        <w:t>235)</w:t>
      </w:r>
      <w:r w:rsidR="00EC47BB">
        <w:rPr>
          <w:rFonts w:cs="Times New Roman"/>
        </w:rPr>
        <w:t xml:space="preserve">. </w:t>
      </w:r>
      <w:r w:rsidRPr="00D50054">
        <w:rPr>
          <w:rFonts w:cs="Times New Roman"/>
        </w:rPr>
        <w:t xml:space="preserve">Or, la preuve appuie amplement les conclusions qu’a tirées le juge de première instance au sujet des avantages que comportent les autres formes de traitement à la </w:t>
      </w:r>
      <w:r w:rsidR="005532D8">
        <w:rPr>
          <w:rFonts w:cs="Times New Roman"/>
        </w:rPr>
        <w:t>marihuana</w:t>
      </w:r>
      <w:r w:rsidRPr="00D50054">
        <w:rPr>
          <w:rFonts w:cs="Times New Roman"/>
        </w:rPr>
        <w:t>; d’ailleurs, même la documentation de Santé Canada déposée par le témoin expert du ministère public indique que l’ingestion orale de cannabis peut être appropriée ou bénéfique dans le cas de certaines affections.</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Les témoignages d’experts, ainsi que les témoignages anecdotiques de patients consommant de la </w:t>
      </w:r>
      <w:r w:rsidR="005532D8">
        <w:rPr>
          <w:rFonts w:cs="Times New Roman"/>
        </w:rPr>
        <w:t>marihuana</w:t>
      </w:r>
      <w:r w:rsidRPr="00D50054">
        <w:rPr>
          <w:rFonts w:cs="Times New Roman"/>
        </w:rPr>
        <w:t xml:space="preserve"> à des fins thérapeutiques, établissent davantage qu’une préférence subjective pour les formes de traitement par voie orale ou topique</w:t>
      </w:r>
      <w:r w:rsidR="00EC47BB">
        <w:rPr>
          <w:rFonts w:cs="Times New Roman"/>
        </w:rPr>
        <w:t xml:space="preserve">. </w:t>
      </w:r>
      <w:r w:rsidRPr="00D50054">
        <w:rPr>
          <w:rFonts w:cs="Times New Roman"/>
        </w:rPr>
        <w:t xml:space="preserve">Le fait que les témoins profanes n’aient pas soumis de rapports médicaux affirmant </w:t>
      </w:r>
      <w:r w:rsidRPr="00D50054">
        <w:rPr>
          <w:rFonts w:cs="Times New Roman"/>
        </w:rPr>
        <w:lastRenderedPageBreak/>
        <w:t>qu’il est nécessaire, sur le plan médical, de recourir à une autre forme de cannabis n’est pas, contrairement à ce que prétend le ministère public, déterminant dans le cas de l’analyse effectuée pour l’application de l’art</w:t>
      </w:r>
      <w:r w:rsidR="00EC47BB">
        <w:rPr>
          <w:rFonts w:cs="Times New Roman"/>
        </w:rPr>
        <w:t xml:space="preserve">. </w:t>
      </w:r>
      <w:r w:rsidRPr="00D50054">
        <w:rPr>
          <w:rFonts w:cs="Times New Roman"/>
        </w:rPr>
        <w:t>7</w:t>
      </w:r>
      <w:r w:rsidR="00EC47BB">
        <w:rPr>
          <w:rFonts w:cs="Times New Roman"/>
        </w:rPr>
        <w:t xml:space="preserve">. </w:t>
      </w:r>
      <w:r w:rsidRPr="00D50054">
        <w:rPr>
          <w:rFonts w:cs="Times New Roman"/>
        </w:rPr>
        <w:t>Bien qu’il ne soit pas nécessaire de déterminer de manière concluante le seuil justifiant l’application de l’art</w:t>
      </w:r>
      <w:r w:rsidR="00EC47BB">
        <w:rPr>
          <w:rFonts w:cs="Times New Roman"/>
        </w:rPr>
        <w:t xml:space="preserve">. </w:t>
      </w:r>
      <w:r w:rsidRPr="00D50054">
        <w:rPr>
          <w:rFonts w:cs="Times New Roman"/>
        </w:rPr>
        <w:t>7 dans le contexte médical, nous convenons avec les juges majoritaires de la Cour d’appel que ce seuil est atteint eu égard aux faits de l’espèce</w:t>
      </w:r>
      <w:r w:rsidR="00EC47BB">
        <w:rPr>
          <w:rFonts w:cs="Times New Roman"/>
        </w:rPr>
        <w:t xml:space="preserve">. </w:t>
      </w:r>
      <w:r w:rsidRPr="00D50054">
        <w:rPr>
          <w:rFonts w:cs="Times New Roman"/>
        </w:rPr>
        <w:t xml:space="preserve">La preuve a démontré que la décision d’utiliser des formes non séchées de </w:t>
      </w:r>
      <w:r w:rsidR="005532D8">
        <w:rPr>
          <w:rFonts w:cs="Times New Roman"/>
        </w:rPr>
        <w:t>marihuana</w:t>
      </w:r>
      <w:r w:rsidRPr="00D50054">
        <w:rPr>
          <w:rFonts w:cs="Times New Roman"/>
        </w:rPr>
        <w:t xml:space="preserve"> pour le traitement de pathologies graves est raisonnable sur le plan médical</w:t>
      </w:r>
      <w:r w:rsidR="00EC47BB">
        <w:rPr>
          <w:rFonts w:cs="Times New Roman"/>
        </w:rPr>
        <w:t xml:space="preserve">. </w:t>
      </w:r>
      <w:r w:rsidRPr="00D50054">
        <w:rPr>
          <w:rFonts w:cs="Times New Roman"/>
        </w:rPr>
        <w:t>Autrement dit, il y a des cas où d’autres formes de cannabis seront [</w:t>
      </w:r>
      <w:r w:rsidRPr="00D50054">
        <w:rPr>
          <w:rFonts w:cs="Times New Roman"/>
          <w:smallCaps/>
        </w:rPr>
        <w:t>traduction</w:t>
      </w:r>
      <w:r w:rsidRPr="00D50054">
        <w:rPr>
          <w:rFonts w:cs="Times New Roman"/>
        </w:rPr>
        <w:t>] « raisonnablement nécessaires » pour le traitement de maladies graves (motifs de la C.A., par</w:t>
      </w:r>
      <w:r w:rsidR="00EC47BB">
        <w:rPr>
          <w:rFonts w:cs="Times New Roman"/>
        </w:rPr>
        <w:t xml:space="preserve">. </w:t>
      </w:r>
      <w:r w:rsidRPr="00D50054">
        <w:rPr>
          <w:rFonts w:cs="Times New Roman"/>
        </w:rPr>
        <w:t>103)</w:t>
      </w:r>
      <w:r w:rsidR="00EC47BB">
        <w:rPr>
          <w:rFonts w:cs="Times New Roman"/>
        </w:rPr>
        <w:t xml:space="preserve">. </w:t>
      </w:r>
      <w:r w:rsidRPr="00D50054">
        <w:rPr>
          <w:rFonts w:cs="Times New Roman"/>
        </w:rPr>
        <w:t>À notre avis, en pareilles circonstances, la criminalisation de l’accès au traitement en question porte atteinte à la liberté et à la sécurité de la personne.</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Nous concluons que l’interdiction frappant la possession de formes non séchées de </w:t>
      </w:r>
      <w:r w:rsidR="005532D8">
        <w:rPr>
          <w:rFonts w:cs="Times New Roman"/>
        </w:rPr>
        <w:t>marihuana</w:t>
      </w:r>
      <w:r w:rsidRPr="00D50054">
        <w:rPr>
          <w:rFonts w:cs="Times New Roman"/>
        </w:rPr>
        <w:t xml:space="preserve"> à des fins médicales limite le droit à la liberté et à la sécurité de la personne et fait intervenir l’art</w:t>
      </w:r>
      <w:r w:rsidR="00EC47BB">
        <w:rPr>
          <w:rFonts w:cs="Times New Roman"/>
        </w:rPr>
        <w:t xml:space="preserve">. </w:t>
      </w:r>
      <w:r w:rsidRPr="00D50054">
        <w:rPr>
          <w:rFonts w:cs="Times New Roman"/>
        </w:rPr>
        <w:t xml:space="preserve">7 de la </w:t>
      </w:r>
      <w:r w:rsidRPr="00D50054">
        <w:rPr>
          <w:rFonts w:cs="Times New Roman"/>
          <w:i/>
        </w:rPr>
        <w:t>Charte</w:t>
      </w:r>
      <w:r w:rsidR="00EC47BB">
        <w:rPr>
          <w:rFonts w:cs="Times New Roman"/>
        </w:rPr>
        <w:t xml:space="preserve">. </w:t>
      </w:r>
      <w:r w:rsidRPr="00D50054">
        <w:rPr>
          <w:rFonts w:cs="Times New Roman"/>
        </w:rPr>
        <w:t>Il nous faut maintenant répondre à la seconde question, celle de savoir si cette limite est contraire aux principes de justice fondamentale</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Le juge de première instance a conclu que la limite imposée par la loi à la liberté et à la sécurité de la personne n’était pas conforme aux principes de justice fondamentale parce que la restriction était arbitraire et ne faisait [</w:t>
      </w:r>
      <w:r w:rsidRPr="00D50054">
        <w:rPr>
          <w:rFonts w:cs="Times New Roman"/>
          <w:smallCaps/>
        </w:rPr>
        <w:t>traduction</w:t>
      </w:r>
      <w:r w:rsidRPr="00D50054">
        <w:rPr>
          <w:rFonts w:cs="Times New Roman"/>
        </w:rPr>
        <w:t xml:space="preserve">] « que peu ou rien » pour promouvoir les objectifs de la loi, lesquels consistaient selon lui à contrôler les drogues illégales ou les prétentions d’ordre médical fausses et </w:t>
      </w:r>
      <w:r w:rsidRPr="00D50054">
        <w:rPr>
          <w:rFonts w:cs="Times New Roman"/>
        </w:rPr>
        <w:lastRenderedPageBreak/>
        <w:t>trompeuses</w:t>
      </w:r>
      <w:r w:rsidR="00EC47BB">
        <w:rPr>
          <w:rFonts w:cs="Times New Roman"/>
        </w:rPr>
        <w:t xml:space="preserve">. </w:t>
      </w:r>
      <w:r w:rsidRPr="00D50054">
        <w:rPr>
          <w:rFonts w:cs="Times New Roman"/>
        </w:rPr>
        <w:t xml:space="preserve">Les juges majoritaires de la Cour d’appel, estimant que l’objet de l’interdiction était la protection de la santé et de la sécurité du public (en se fondant sur les arrêts </w:t>
      </w:r>
      <w:proofErr w:type="spellStart"/>
      <w:r w:rsidRPr="00D50054">
        <w:rPr>
          <w:rFonts w:cs="Times New Roman"/>
          <w:i/>
        </w:rPr>
        <w:t>Hitzig</w:t>
      </w:r>
      <w:proofErr w:type="spellEnd"/>
      <w:r w:rsidRPr="00D50054">
        <w:rPr>
          <w:rFonts w:cs="Times New Roman"/>
        </w:rPr>
        <w:t xml:space="preserve"> et </w:t>
      </w:r>
      <w:r w:rsidRPr="00D50054">
        <w:rPr>
          <w:rFonts w:cs="Times New Roman"/>
          <w:i/>
        </w:rPr>
        <w:t>Canada (Procureur général) c</w:t>
      </w:r>
      <w:r w:rsidR="00EC47BB">
        <w:rPr>
          <w:rFonts w:cs="Times New Roman"/>
          <w:i/>
        </w:rPr>
        <w:t xml:space="preserve">. </w:t>
      </w:r>
      <w:r w:rsidRPr="00D50054">
        <w:rPr>
          <w:rFonts w:cs="Times New Roman"/>
          <w:i/>
        </w:rPr>
        <w:t xml:space="preserve">PHS </w:t>
      </w:r>
      <w:proofErr w:type="spellStart"/>
      <w:r w:rsidRPr="00D50054">
        <w:rPr>
          <w:rFonts w:cs="Times New Roman"/>
          <w:i/>
        </w:rPr>
        <w:t>Community</w:t>
      </w:r>
      <w:proofErr w:type="spellEnd"/>
      <w:r w:rsidRPr="00D50054">
        <w:rPr>
          <w:rFonts w:cs="Times New Roman"/>
          <w:i/>
        </w:rPr>
        <w:t xml:space="preserve"> Services Society</w:t>
      </w:r>
      <w:r w:rsidRPr="00D50054">
        <w:rPr>
          <w:rFonts w:cs="Times New Roman"/>
        </w:rPr>
        <w:t>, 2011 CSC 44, [2011] 3 R.C.S</w:t>
      </w:r>
      <w:r w:rsidR="00EC47BB">
        <w:rPr>
          <w:rFonts w:cs="Times New Roman"/>
        </w:rPr>
        <w:t xml:space="preserve">. </w:t>
      </w:r>
      <w:r w:rsidRPr="00D50054">
        <w:rPr>
          <w:rFonts w:cs="Times New Roman"/>
        </w:rPr>
        <w:t>134), ont également conclu que l’interdiction ne favorisait pas cet objectif et qu’elle était donc arbitraire et contraire aux principes de justice fondamentale.</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Il est nécessaire de déterminer l’objet de l’interdiction, étant donné qu’une loi n’est arbitraire que si elle impose des limites à la liberté ou à la sécurité de la personne sans lien avec son objectif (</w:t>
      </w:r>
      <w:r w:rsidRPr="00D50054">
        <w:rPr>
          <w:rFonts w:cs="Times New Roman"/>
          <w:i/>
        </w:rPr>
        <w:t>Canada (Procureur général) c</w:t>
      </w:r>
      <w:r w:rsidR="00EC47BB">
        <w:rPr>
          <w:rFonts w:cs="Times New Roman"/>
          <w:i/>
        </w:rPr>
        <w:t xml:space="preserve">. </w:t>
      </w:r>
      <w:r w:rsidRPr="00D50054">
        <w:rPr>
          <w:rFonts w:cs="Times New Roman"/>
          <w:i/>
        </w:rPr>
        <w:t>Bedford</w:t>
      </w:r>
      <w:r w:rsidRPr="00D50054">
        <w:rPr>
          <w:rFonts w:cs="Times New Roman"/>
        </w:rPr>
        <w:t>, 2013 CSC 72, [2013] 3 R.C.S</w:t>
      </w:r>
      <w:r w:rsidR="00EC47BB">
        <w:rPr>
          <w:rFonts w:cs="Times New Roman"/>
        </w:rPr>
        <w:t xml:space="preserve">. </w:t>
      </w:r>
      <w:r w:rsidRPr="00D50054">
        <w:rPr>
          <w:rFonts w:cs="Times New Roman"/>
        </w:rPr>
        <w:t>1101, par</w:t>
      </w:r>
      <w:r w:rsidR="00EC47BB">
        <w:rPr>
          <w:rFonts w:cs="Times New Roman"/>
        </w:rPr>
        <w:t xml:space="preserve">. </w:t>
      </w:r>
      <w:r w:rsidRPr="00D50054">
        <w:rPr>
          <w:rFonts w:cs="Times New Roman"/>
        </w:rPr>
        <w:t>98)</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Le ministère public ne conteste pas la conclusion de la Cour d’appel suivant laquelle l’objet de l’interdiction frappant les formes non séchées de </w:t>
      </w:r>
      <w:r w:rsidR="005532D8">
        <w:rPr>
          <w:rFonts w:cs="Times New Roman"/>
        </w:rPr>
        <w:t>marihuana</w:t>
      </w:r>
      <w:r w:rsidRPr="00D50054">
        <w:rPr>
          <w:rFonts w:cs="Times New Roman"/>
        </w:rPr>
        <w:t xml:space="preserve"> utilisées à des fins médicales est la protection de la santé et de la sécurité</w:t>
      </w:r>
      <w:r w:rsidR="00EC47BB">
        <w:rPr>
          <w:rFonts w:cs="Times New Roman"/>
        </w:rPr>
        <w:t xml:space="preserve">. </w:t>
      </w:r>
      <w:r w:rsidRPr="00D50054">
        <w:rPr>
          <w:rFonts w:cs="Times New Roman"/>
        </w:rPr>
        <w:t xml:space="preserve">Il va toutefois plus loin en soutenant que la restriction en cause protège la santé et la sécurité en faisant en sorte que les drogues offertes à des fins thérapeutiques soient conformes aux exigences en matière d’innocuité, de qualité et d’efficacité énoncées dans la </w:t>
      </w:r>
      <w:r w:rsidRPr="00D50054">
        <w:rPr>
          <w:rFonts w:cs="Times New Roman"/>
          <w:i/>
        </w:rPr>
        <w:t>Loi sur les aliments et drogues</w:t>
      </w:r>
      <w:r w:rsidRPr="00D50054">
        <w:rPr>
          <w:rFonts w:cs="Times New Roman"/>
        </w:rPr>
        <w:t>, L.R.C</w:t>
      </w:r>
      <w:r w:rsidR="00EC47BB">
        <w:rPr>
          <w:rFonts w:cs="Times New Roman"/>
        </w:rPr>
        <w:t xml:space="preserve">. </w:t>
      </w:r>
      <w:r w:rsidRPr="00D50054">
        <w:rPr>
          <w:rFonts w:cs="Times New Roman"/>
        </w:rPr>
        <w:t>1985, c</w:t>
      </w:r>
      <w:r w:rsidR="00EC47BB">
        <w:rPr>
          <w:rFonts w:cs="Times New Roman"/>
        </w:rPr>
        <w:t xml:space="preserve">. </w:t>
      </w:r>
      <w:r w:rsidRPr="00D50054">
        <w:rPr>
          <w:rFonts w:cs="Times New Roman"/>
        </w:rPr>
        <w:t>F</w:t>
      </w:r>
      <w:r w:rsidR="00147051">
        <w:rPr>
          <w:rFonts w:cs="Times New Roman"/>
        </w:rPr>
        <w:t>-</w:t>
      </w:r>
      <w:r w:rsidRPr="00D50054">
        <w:rPr>
          <w:rFonts w:cs="Times New Roman"/>
        </w:rPr>
        <w:t>27, et ses règlements d’application</w:t>
      </w:r>
      <w:r w:rsidR="00EC47BB">
        <w:rPr>
          <w:rFonts w:cs="Times New Roman"/>
        </w:rPr>
        <w:t xml:space="preserve">. </w:t>
      </w:r>
      <w:r w:rsidRPr="00D50054">
        <w:rPr>
          <w:rFonts w:cs="Times New Roman"/>
        </w:rPr>
        <w:t>Cette nuance ne change en rien l’objet de l’interdiction; elle ne fait que décrire un des moyens utilisés par le gouvernement pour protéger la santé et la sécurité du public</w:t>
      </w:r>
      <w:r w:rsidR="00EC47BB">
        <w:rPr>
          <w:rFonts w:cs="Times New Roman"/>
        </w:rPr>
        <w:t xml:space="preserve">. </w:t>
      </w:r>
      <w:r w:rsidRPr="00D50054">
        <w:rPr>
          <w:rFonts w:cs="Times New Roman"/>
        </w:rPr>
        <w:t xml:space="preserve">De plus, le </w:t>
      </w:r>
      <w:r w:rsidRPr="00D50054">
        <w:rPr>
          <w:rFonts w:cs="Times New Roman"/>
          <w:i/>
        </w:rPr>
        <w:t>RAMFM</w:t>
      </w:r>
      <w:r w:rsidRPr="00D50054">
        <w:rPr>
          <w:rFonts w:cs="Times New Roman"/>
        </w:rPr>
        <w:t xml:space="preserve"> ne vise pas à assujettir la </w:t>
      </w:r>
      <w:r w:rsidR="005532D8">
        <w:rPr>
          <w:rFonts w:cs="Times New Roman"/>
        </w:rPr>
        <w:t>marihuana</w:t>
      </w:r>
      <w:r w:rsidRPr="00D50054">
        <w:rPr>
          <w:rFonts w:cs="Times New Roman"/>
        </w:rPr>
        <w:t xml:space="preserve"> séchée à ces exigences en matière d’innocuité, de qualité et d’efficacité, ce qui contredit l’affirmation du ministère public qu’il s’agit là de l’objet de l’interdiction</w:t>
      </w:r>
      <w:r w:rsidR="00EC47BB">
        <w:rPr>
          <w:rFonts w:cs="Times New Roman"/>
        </w:rPr>
        <w:t xml:space="preserve">. </w:t>
      </w:r>
      <w:r w:rsidRPr="00D50054">
        <w:rPr>
          <w:rFonts w:cs="Times New Roman"/>
        </w:rPr>
        <w:t xml:space="preserve">Nous </w:t>
      </w:r>
      <w:r w:rsidRPr="00D50054">
        <w:rPr>
          <w:rFonts w:cs="Times New Roman"/>
        </w:rPr>
        <w:lastRenderedPageBreak/>
        <w:t xml:space="preserve">concluons donc que l’objet de la restriction à la seule </w:t>
      </w:r>
      <w:r w:rsidR="005532D8">
        <w:rPr>
          <w:rFonts w:cs="Times New Roman"/>
        </w:rPr>
        <w:t>marihuana</w:t>
      </w:r>
      <w:r w:rsidRPr="00D50054">
        <w:rPr>
          <w:rFonts w:cs="Times New Roman"/>
        </w:rPr>
        <w:t xml:space="preserve"> séchée est simplement la protection de la santé et de la sécurité</w:t>
      </w:r>
      <w:r w:rsidR="00EC47BB">
        <w:rPr>
          <w:rFonts w:cs="Times New Roman"/>
        </w:rPr>
        <w:t xml:space="preserve">. </w:t>
      </w:r>
    </w:p>
    <w:p w:rsidR="007027F8" w:rsidRPr="00D50054" w:rsidRDefault="007027F8" w:rsidP="00535610">
      <w:pPr>
        <w:pStyle w:val="ParaNoNdepar-AltN"/>
        <w:widowControl w:val="0"/>
        <w:tabs>
          <w:tab w:val="clear" w:pos="1166"/>
          <w:tab w:val="num" w:pos="1152"/>
          <w:tab w:val="left" w:pos="7797"/>
        </w:tabs>
        <w:rPr>
          <w:rFonts w:cs="Times New Roman"/>
        </w:rPr>
      </w:pPr>
      <w:r w:rsidRPr="00D50054">
        <w:rPr>
          <w:rFonts w:cs="Times New Roman"/>
        </w:rPr>
        <w:t xml:space="preserve">Il s’agit de savoir s’il y a un lien entre l’interdiction frappant les formes non séchées de </w:t>
      </w:r>
      <w:r w:rsidR="005532D8">
        <w:rPr>
          <w:rFonts w:cs="Times New Roman"/>
        </w:rPr>
        <w:t>marihuana</w:t>
      </w:r>
      <w:r w:rsidRPr="00D50054">
        <w:rPr>
          <w:rFonts w:cs="Times New Roman"/>
        </w:rPr>
        <w:t xml:space="preserve"> utilisées à des fins médicales et la santé et la sécurité des patients qui satisfont aux conditions prévues par la loi pour avoir accès à de la </w:t>
      </w:r>
      <w:r w:rsidR="005532D8">
        <w:rPr>
          <w:rFonts w:cs="Times New Roman"/>
        </w:rPr>
        <w:t>marihuana</w:t>
      </w:r>
      <w:r w:rsidRPr="00D50054">
        <w:rPr>
          <w:rFonts w:cs="Times New Roman"/>
        </w:rPr>
        <w:t xml:space="preserve"> à des fins médicales</w:t>
      </w:r>
      <w:r w:rsidR="00EC47BB">
        <w:rPr>
          <w:rFonts w:cs="Times New Roman"/>
        </w:rPr>
        <w:t xml:space="preserve">. </w:t>
      </w:r>
      <w:r w:rsidRPr="00D50054">
        <w:rPr>
          <w:rFonts w:cs="Times New Roman"/>
        </w:rPr>
        <w:t xml:space="preserve">Le juge de première instance a conclu que, dans le cas de certains patients, l’administration sous d’autres formes utilisant des dérivés du cannabis était plus efficace que l’inhalation de la </w:t>
      </w:r>
      <w:r w:rsidR="005532D8">
        <w:rPr>
          <w:rFonts w:cs="Times New Roman"/>
        </w:rPr>
        <w:t>marihuana</w:t>
      </w:r>
      <w:r w:rsidR="00EC47BB">
        <w:rPr>
          <w:rFonts w:cs="Times New Roman"/>
        </w:rPr>
        <w:t xml:space="preserve">. </w:t>
      </w:r>
      <w:r w:rsidRPr="00D50054">
        <w:rPr>
          <w:rFonts w:cs="Times New Roman"/>
        </w:rPr>
        <w:t xml:space="preserve">Il a également estimé que l’interdiction forçait des personnes ayant un besoin légitime et légalement reconnu d’utiliser de la </w:t>
      </w:r>
      <w:r w:rsidR="005532D8">
        <w:rPr>
          <w:rFonts w:cs="Times New Roman"/>
        </w:rPr>
        <w:t>marihuana</w:t>
      </w:r>
      <w:r w:rsidRPr="00D50054">
        <w:rPr>
          <w:rFonts w:cs="Times New Roman"/>
        </w:rPr>
        <w:t xml:space="preserve"> à accepter le risque pour leur santé auquel pouvait les exposer le fait de fumer chroniquement de cette drogue</w:t>
      </w:r>
      <w:r w:rsidR="00EC47BB">
        <w:rPr>
          <w:rFonts w:cs="Times New Roman"/>
        </w:rPr>
        <w:t xml:space="preserve">. </w:t>
      </w:r>
      <w:r w:rsidRPr="00D50054">
        <w:rPr>
          <w:rFonts w:cs="Times New Roman"/>
        </w:rPr>
        <w:t xml:space="preserve">Il découle de ces conclusions que l’interdiction frappant l’usage de la </w:t>
      </w:r>
      <w:r w:rsidR="005532D8">
        <w:rPr>
          <w:rFonts w:cs="Times New Roman"/>
        </w:rPr>
        <w:t>marihuana</w:t>
      </w:r>
      <w:r w:rsidRPr="00D50054">
        <w:rPr>
          <w:rFonts w:cs="Times New Roman"/>
        </w:rPr>
        <w:t xml:space="preserve"> à des fins médicales sous une forme autre que séchée compromet la santé et la sécurité de ceux qui en consomment à ces fins en diminuant la qualité des soins médicaux qui leur sont offerts</w:t>
      </w:r>
      <w:r w:rsidR="00EC47BB">
        <w:rPr>
          <w:rFonts w:cs="Times New Roman"/>
        </w:rPr>
        <w:t xml:space="preserve">. </w:t>
      </w:r>
      <w:r w:rsidRPr="00D50054">
        <w:rPr>
          <w:rFonts w:cs="Times New Roman"/>
        </w:rPr>
        <w:t>Les effets de l’interdiction contredisent les objectifs qu’elle vise et la rendent donc arbitraire (</w:t>
      </w:r>
      <w:r w:rsidR="00103926">
        <w:rPr>
          <w:rFonts w:cs="Times New Roman"/>
        </w:rPr>
        <w:t xml:space="preserve">voir </w:t>
      </w:r>
      <w:r w:rsidRPr="00D50054">
        <w:rPr>
          <w:rFonts w:cs="Times New Roman"/>
          <w:i/>
        </w:rPr>
        <w:t>Bedford</w:t>
      </w:r>
      <w:r w:rsidRPr="00D50054">
        <w:rPr>
          <w:rFonts w:cs="Times New Roman"/>
        </w:rPr>
        <w:t>, par</w:t>
      </w:r>
      <w:r w:rsidR="00EC47BB">
        <w:rPr>
          <w:rFonts w:cs="Times New Roman"/>
        </w:rPr>
        <w:t xml:space="preserve">. </w:t>
      </w:r>
      <w:r w:rsidRPr="00D50054">
        <w:rPr>
          <w:rFonts w:cs="Times New Roman"/>
        </w:rPr>
        <w:t>98</w:t>
      </w:r>
      <w:r w:rsidR="00147051">
        <w:rPr>
          <w:rFonts w:cs="Times New Roman"/>
        </w:rPr>
        <w:t>-</w:t>
      </w:r>
      <w:r w:rsidRPr="00D50054">
        <w:rPr>
          <w:rFonts w:cs="Times New Roman"/>
        </w:rPr>
        <w:t>100)</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Le ministère public affirme qu’il y a des risques pour la santé associés à l’extraction des composés actifs présents dans la </w:t>
      </w:r>
      <w:r w:rsidR="005532D8">
        <w:rPr>
          <w:rFonts w:cs="Times New Roman"/>
        </w:rPr>
        <w:t>marihuana</w:t>
      </w:r>
      <w:r w:rsidRPr="00D50054">
        <w:rPr>
          <w:rFonts w:cs="Times New Roman"/>
        </w:rPr>
        <w:t xml:space="preserve"> en vue de leur administration au moyen de produits oraux ou topiques</w:t>
      </w:r>
      <w:r w:rsidR="00EC47BB">
        <w:rPr>
          <w:rFonts w:cs="Times New Roman"/>
        </w:rPr>
        <w:t xml:space="preserve">. </w:t>
      </w:r>
      <w:r w:rsidRPr="00D50054">
        <w:rPr>
          <w:rFonts w:cs="Times New Roman"/>
        </w:rPr>
        <w:t xml:space="preserve">Il soutient qu’il existe un lien rationnel entre l’objectif de protection de la santé et de la sécurité que poursuit l’État et l’existence d’un régime réglementaire qui ne permet l’accès qu’aux drogues dont il a été démontré par des études scientifiques qu’elles sont sans danger et efficaces sur </w:t>
      </w:r>
      <w:r w:rsidRPr="00D50054">
        <w:rPr>
          <w:rFonts w:cs="Times New Roman"/>
        </w:rPr>
        <w:lastRenderedPageBreak/>
        <w:t>le plan thérapeutique</w:t>
      </w:r>
      <w:r w:rsidR="00EC47BB">
        <w:rPr>
          <w:rFonts w:cs="Times New Roman"/>
        </w:rPr>
        <w:t xml:space="preserve">. </w:t>
      </w:r>
      <w:r w:rsidRPr="00D50054">
        <w:rPr>
          <w:rFonts w:cs="Times New Roman"/>
        </w:rPr>
        <w:t>Nous ne sommes pas de cet avis</w:t>
      </w:r>
      <w:r w:rsidR="00EC47BB">
        <w:rPr>
          <w:rFonts w:cs="Times New Roman"/>
        </w:rPr>
        <w:t xml:space="preserve">. </w:t>
      </w:r>
      <w:r w:rsidRPr="00D50054">
        <w:rPr>
          <w:rFonts w:cs="Times New Roman"/>
        </w:rPr>
        <w:t>La preuve qui a été acceptée au procès n’a pas établi de lien entre la restriction et la promotion de la santé et de la sécurité</w:t>
      </w:r>
      <w:r w:rsidR="00EC47BB">
        <w:rPr>
          <w:rFonts w:cs="Times New Roman"/>
        </w:rPr>
        <w:t xml:space="preserve">. </w:t>
      </w:r>
      <w:r w:rsidRPr="00D50054">
        <w:rPr>
          <w:rFonts w:cs="Times New Roman"/>
        </w:rPr>
        <w:t xml:space="preserve">Comme nous l’avons déjà expliqué, la </w:t>
      </w:r>
      <w:r w:rsidR="005532D8">
        <w:rPr>
          <w:rFonts w:cs="Times New Roman"/>
        </w:rPr>
        <w:t>marihuana</w:t>
      </w:r>
      <w:r w:rsidRPr="00D50054">
        <w:rPr>
          <w:rFonts w:cs="Times New Roman"/>
        </w:rPr>
        <w:t xml:space="preserve"> séchée n’est pas assujettie aux mécanismes de surveillance du régime de la </w:t>
      </w:r>
      <w:r w:rsidRPr="00D50054">
        <w:rPr>
          <w:rFonts w:cs="Times New Roman"/>
          <w:i/>
        </w:rPr>
        <w:t>Loi sur les aliments et drogues</w:t>
      </w:r>
      <w:r w:rsidR="00EC47BB">
        <w:rPr>
          <w:rFonts w:cs="Times New Roman"/>
        </w:rPr>
        <w:t xml:space="preserve">. </w:t>
      </w:r>
      <w:r w:rsidRPr="00D50054">
        <w:rPr>
          <w:rFonts w:cs="Times New Roman"/>
        </w:rPr>
        <w:t xml:space="preserve">Il est donc difficile de comprendre pourquoi le fait de permettre à des patients de transformer de la </w:t>
      </w:r>
      <w:r w:rsidR="005532D8">
        <w:rPr>
          <w:rFonts w:cs="Times New Roman"/>
        </w:rPr>
        <w:t>marihuana</w:t>
      </w:r>
      <w:r w:rsidRPr="00D50054">
        <w:rPr>
          <w:rFonts w:cs="Times New Roman"/>
        </w:rPr>
        <w:t xml:space="preserve"> séchée en huile à cuisson les exposerait à un risque plus élevé que le fait de leur permettre de fumer ou de vaporiser de la </w:t>
      </w:r>
      <w:r w:rsidR="005532D8">
        <w:rPr>
          <w:rFonts w:cs="Times New Roman"/>
        </w:rPr>
        <w:t>marihuana</w:t>
      </w:r>
      <w:r w:rsidRPr="00D50054">
        <w:rPr>
          <w:rFonts w:cs="Times New Roman"/>
        </w:rPr>
        <w:t xml:space="preserve"> séchée</w:t>
      </w:r>
      <w:r w:rsidR="00EC47BB">
        <w:rPr>
          <w:rFonts w:cs="Times New Roman"/>
        </w:rPr>
        <w:t xml:space="preserve">. </w:t>
      </w:r>
      <w:r w:rsidRPr="00D50054">
        <w:rPr>
          <w:rFonts w:cs="Times New Roman"/>
        </w:rPr>
        <w:t>En outre, le ministère public n’a soumis aucun élément de preuve tendant à démontrer l’existence d’un tel risque</w:t>
      </w:r>
      <w:r w:rsidR="00EC47BB">
        <w:rPr>
          <w:rFonts w:cs="Times New Roman"/>
        </w:rPr>
        <w:t xml:space="preserve">. </w:t>
      </w:r>
      <w:r w:rsidRPr="00D50054">
        <w:rPr>
          <w:rFonts w:cs="Times New Roman"/>
        </w:rPr>
        <w:t xml:space="preserve">De fait, comme nous l’avons déjà signalé, certains des documents déposés par le ministère public mentionnent l’ingestion orale de cannabis comme solution de rechange viable à celle consistant à fumer la </w:t>
      </w:r>
      <w:r w:rsidR="005532D8">
        <w:rPr>
          <w:rFonts w:cs="Times New Roman"/>
        </w:rPr>
        <w:t>marihuana</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Enfin, la preuve n’a démontré l’existence d’aucun lien entre la restriction contestée et les tentatives visant à mettre un frein au détournement de la </w:t>
      </w:r>
      <w:r w:rsidR="005532D8">
        <w:rPr>
          <w:rFonts w:cs="Times New Roman"/>
        </w:rPr>
        <w:t>marihuana</w:t>
      </w:r>
      <w:r w:rsidRPr="00D50054">
        <w:rPr>
          <w:rFonts w:cs="Times New Roman"/>
        </w:rPr>
        <w:t xml:space="preserve"> vers le marché illégal</w:t>
      </w:r>
      <w:r w:rsidR="00EC47BB">
        <w:rPr>
          <w:rFonts w:cs="Times New Roman"/>
        </w:rPr>
        <w:t xml:space="preserve">. </w:t>
      </w:r>
      <w:r w:rsidRPr="00D50054">
        <w:rPr>
          <w:rFonts w:cs="Times New Roman"/>
        </w:rPr>
        <w:t>Force nous est de constater l’absence totale de lien entre la limite que l’interdiction impose à la liberté et à la sécurité de la personne et l’objet de l’interdiction, ce qui rend celle</w:t>
      </w:r>
      <w:r w:rsidR="00147051">
        <w:rPr>
          <w:rFonts w:cs="Times New Roman"/>
        </w:rPr>
        <w:t>-</w:t>
      </w:r>
      <w:r w:rsidRPr="00D50054">
        <w:rPr>
          <w:rFonts w:cs="Times New Roman"/>
        </w:rPr>
        <w:t>ci arbitraire (</w:t>
      </w:r>
      <w:r w:rsidR="00103926">
        <w:rPr>
          <w:rFonts w:cs="Times New Roman"/>
        </w:rPr>
        <w:t xml:space="preserve">voir </w:t>
      </w:r>
      <w:r w:rsidRPr="00D50054">
        <w:rPr>
          <w:rFonts w:cs="Times New Roman"/>
          <w:i/>
        </w:rPr>
        <w:t>Carter c</w:t>
      </w:r>
      <w:r w:rsidR="00EC47BB">
        <w:rPr>
          <w:rFonts w:cs="Times New Roman"/>
          <w:i/>
        </w:rPr>
        <w:t xml:space="preserve">. </w:t>
      </w:r>
      <w:r w:rsidRPr="00D50054">
        <w:rPr>
          <w:rFonts w:cs="Times New Roman"/>
          <w:i/>
        </w:rPr>
        <w:t>Canada (Procureur général)</w:t>
      </w:r>
      <w:r w:rsidRPr="00D50054">
        <w:rPr>
          <w:rFonts w:cs="Times New Roman"/>
        </w:rPr>
        <w:t>, 2015 CSC 5, [2015] 1 R.C.S</w:t>
      </w:r>
      <w:r w:rsidR="00EC47BB">
        <w:rPr>
          <w:rFonts w:cs="Times New Roman"/>
        </w:rPr>
        <w:t xml:space="preserve">. </w:t>
      </w:r>
      <w:r w:rsidRPr="00D50054">
        <w:rPr>
          <w:rFonts w:cs="Times New Roman"/>
        </w:rPr>
        <w:t>331, par</w:t>
      </w:r>
      <w:r w:rsidR="00EC47BB">
        <w:rPr>
          <w:rFonts w:cs="Times New Roman"/>
        </w:rPr>
        <w:t xml:space="preserve">. </w:t>
      </w:r>
      <w:r w:rsidRPr="00D50054">
        <w:rPr>
          <w:rFonts w:cs="Times New Roman"/>
        </w:rPr>
        <w:t>83).</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Nous concluons que l’interdiction visant les formes non séchées de </w:t>
      </w:r>
      <w:r w:rsidR="005532D8">
        <w:rPr>
          <w:rFonts w:cs="Times New Roman"/>
        </w:rPr>
        <w:t>marihuana</w:t>
      </w:r>
      <w:r w:rsidRPr="00D50054">
        <w:rPr>
          <w:rFonts w:cs="Times New Roman"/>
        </w:rPr>
        <w:t xml:space="preserve"> utilisées à des fins médicales limite le droit à la liberté et à la sécurité de la personne d’une manière arbitraire, et n’est donc pas conforme aux principes de justice fondamentale</w:t>
      </w:r>
      <w:r w:rsidR="00EC47BB">
        <w:rPr>
          <w:rFonts w:cs="Times New Roman"/>
        </w:rPr>
        <w:t xml:space="preserve">. </w:t>
      </w:r>
      <w:r w:rsidRPr="00D50054">
        <w:rPr>
          <w:rFonts w:cs="Times New Roman"/>
        </w:rPr>
        <w:t>Elle viole donc l’art</w:t>
      </w:r>
      <w:r w:rsidR="00EC47BB">
        <w:rPr>
          <w:rFonts w:cs="Times New Roman"/>
        </w:rPr>
        <w:t xml:space="preserve">. </w:t>
      </w:r>
      <w:r w:rsidRPr="00D50054">
        <w:rPr>
          <w:rFonts w:cs="Times New Roman"/>
        </w:rPr>
        <w:t xml:space="preserve">7 de la </w:t>
      </w:r>
      <w:r w:rsidRPr="00D50054">
        <w:rPr>
          <w:rFonts w:cs="Times New Roman"/>
          <w:i/>
        </w:rPr>
        <w:t>Charte</w:t>
      </w:r>
      <w:r w:rsidRPr="00D50054">
        <w:rPr>
          <w:rFonts w:cs="Times New Roman"/>
        </w:rPr>
        <w:t>.</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lastRenderedPageBreak/>
        <w:t>Il nous reste à déterminer si le ministère public a démontré que cette violation de l’art</w:t>
      </w:r>
      <w:r w:rsidR="00EC47BB">
        <w:rPr>
          <w:rFonts w:cs="Times New Roman"/>
        </w:rPr>
        <w:t xml:space="preserve">. </w:t>
      </w:r>
      <w:r w:rsidRPr="00D50054">
        <w:rPr>
          <w:rFonts w:cs="Times New Roman"/>
        </w:rPr>
        <w:t xml:space="preserve">7 est raisonnable et si sa justification peut se démontrer au regard de l’article premier de la </w:t>
      </w:r>
      <w:r w:rsidRPr="00D50054">
        <w:rPr>
          <w:rFonts w:cs="Times New Roman"/>
          <w:i/>
        </w:rPr>
        <w:t>Charte</w:t>
      </w:r>
      <w:r w:rsidR="00EC47BB" w:rsidRPr="00103926">
        <w:rPr>
          <w:rFonts w:cs="Times New Roman"/>
        </w:rPr>
        <w:t>.</w:t>
      </w:r>
      <w:r w:rsidR="00EC47BB">
        <w:rPr>
          <w:rFonts w:cs="Times New Roman"/>
          <w:i/>
        </w:rPr>
        <w:t xml:space="preserve"> </w:t>
      </w:r>
      <w:r w:rsidRPr="00D50054">
        <w:rPr>
          <w:rFonts w:cs="Times New Roman"/>
        </w:rPr>
        <w:t xml:space="preserve">Comme nous l’avons expliqué dans l’arrêt </w:t>
      </w:r>
      <w:r w:rsidRPr="00D50054">
        <w:rPr>
          <w:rFonts w:cs="Times New Roman"/>
          <w:i/>
        </w:rPr>
        <w:t>Bedford</w:t>
      </w:r>
      <w:r w:rsidRPr="00D50054">
        <w:rPr>
          <w:rFonts w:cs="Times New Roman"/>
        </w:rPr>
        <w:t>, l’analyse fondée sur l’article premier se concentre sur la protection de l’intérêt public et diffère donc de l’analyse fondée sur l’art</w:t>
      </w:r>
      <w:r w:rsidR="00EC47BB">
        <w:rPr>
          <w:rFonts w:cs="Times New Roman"/>
        </w:rPr>
        <w:t xml:space="preserve">. </w:t>
      </w:r>
      <w:r w:rsidRPr="00D50054">
        <w:rPr>
          <w:rFonts w:cs="Times New Roman"/>
        </w:rPr>
        <w:t xml:space="preserve">7, qui </w:t>
      </w:r>
      <w:proofErr w:type="gramStart"/>
      <w:r w:rsidRPr="00D50054">
        <w:rPr>
          <w:rFonts w:cs="Times New Roman"/>
        </w:rPr>
        <w:t>est</w:t>
      </w:r>
      <w:proofErr w:type="gramEnd"/>
      <w:r w:rsidRPr="00D50054">
        <w:rPr>
          <w:rFonts w:cs="Times New Roman"/>
        </w:rPr>
        <w:t xml:space="preserve"> axée sur la violation de droits individuels </w:t>
      </w:r>
      <w:r w:rsidR="00103926">
        <w:rPr>
          <w:rFonts w:cs="Times New Roman"/>
        </w:rPr>
        <w:t>(</w:t>
      </w:r>
      <w:r w:rsidRPr="00D50054">
        <w:rPr>
          <w:rFonts w:cs="Times New Roman"/>
        </w:rPr>
        <w:t>par</w:t>
      </w:r>
      <w:r w:rsidR="00EC47BB">
        <w:rPr>
          <w:rFonts w:cs="Times New Roman"/>
        </w:rPr>
        <w:t xml:space="preserve">. </w:t>
      </w:r>
      <w:r w:rsidRPr="00D50054">
        <w:rPr>
          <w:rFonts w:cs="Times New Roman"/>
        </w:rPr>
        <w:t>125</w:t>
      </w:r>
      <w:r w:rsidR="00103926">
        <w:rPr>
          <w:rFonts w:cs="Times New Roman"/>
        </w:rPr>
        <w:t>)</w:t>
      </w:r>
      <w:r w:rsidR="00EC47BB">
        <w:rPr>
          <w:rFonts w:cs="Times New Roman"/>
        </w:rPr>
        <w:t xml:space="preserve">. </w:t>
      </w:r>
      <w:r w:rsidRPr="00D50054">
        <w:rPr>
          <w:rFonts w:cs="Times New Roman"/>
        </w:rPr>
        <w:t>Cependant, l’objectif de l’interdiction en l’espèce est le même dans les deux analyses </w:t>
      </w:r>
      <w:r w:rsidR="006E5B9E">
        <w:rPr>
          <w:rFonts w:cs="Times New Roman"/>
        </w:rPr>
        <w:t xml:space="preserve">: </w:t>
      </w:r>
      <w:r w:rsidRPr="00D50054">
        <w:rPr>
          <w:rFonts w:cs="Times New Roman"/>
        </w:rPr>
        <w:t>la protection de la santé et de la sécurité</w:t>
      </w:r>
      <w:r w:rsidR="00EC47BB">
        <w:rPr>
          <w:rFonts w:cs="Times New Roman"/>
        </w:rPr>
        <w:t xml:space="preserve">. </w:t>
      </w:r>
      <w:r w:rsidRPr="00D50054">
        <w:rPr>
          <w:rFonts w:cs="Times New Roman"/>
        </w:rPr>
        <w:t>Par conséquent, l</w:t>
      </w:r>
      <w:r w:rsidRPr="00D50054">
        <w:rPr>
          <w:rFonts w:cs="Times New Roman"/>
          <w:iCs/>
        </w:rPr>
        <w:t xml:space="preserve">a même absence de lien entre l’interdiction et son objet qui rend l’interdiction arbitraire pour application de </w:t>
      </w:r>
      <w:r w:rsidRPr="00D50054">
        <w:rPr>
          <w:rFonts w:cs="Times New Roman"/>
        </w:rPr>
        <w:t>l’art</w:t>
      </w:r>
      <w:r w:rsidR="00EC47BB">
        <w:rPr>
          <w:rFonts w:cs="Times New Roman"/>
        </w:rPr>
        <w:t xml:space="preserve">. </w:t>
      </w:r>
      <w:r w:rsidRPr="00D50054">
        <w:rPr>
          <w:rFonts w:cs="Times New Roman"/>
        </w:rPr>
        <w:t xml:space="preserve">7 </w:t>
      </w:r>
      <w:proofErr w:type="gramStart"/>
      <w:r w:rsidRPr="00D50054">
        <w:rPr>
          <w:rFonts w:cs="Times New Roman"/>
        </w:rPr>
        <w:t>fait</w:t>
      </w:r>
      <w:proofErr w:type="gramEnd"/>
      <w:r w:rsidRPr="00D50054">
        <w:rPr>
          <w:rFonts w:cs="Times New Roman"/>
        </w:rPr>
        <w:t xml:space="preserve"> échec à l’exigence de l’article premier selon laquelle il doit exister un lien rationnel entre la restriction du droit et un objectif urgent (</w:t>
      </w:r>
      <w:r w:rsidRPr="00D50054">
        <w:rPr>
          <w:rFonts w:cs="Times New Roman"/>
          <w:i/>
        </w:rPr>
        <w:t>R</w:t>
      </w:r>
      <w:r w:rsidR="00EC47BB">
        <w:rPr>
          <w:rFonts w:cs="Times New Roman"/>
          <w:i/>
        </w:rPr>
        <w:t xml:space="preserve">. </w:t>
      </w:r>
      <w:r w:rsidRPr="00D50054">
        <w:rPr>
          <w:rFonts w:cs="Times New Roman"/>
          <w:i/>
        </w:rPr>
        <w:t>c</w:t>
      </w:r>
      <w:r w:rsidR="00EC47BB">
        <w:rPr>
          <w:rFonts w:cs="Times New Roman"/>
          <w:i/>
        </w:rPr>
        <w:t xml:space="preserve">. </w:t>
      </w:r>
      <w:proofErr w:type="spellStart"/>
      <w:r w:rsidRPr="00D50054">
        <w:rPr>
          <w:rFonts w:cs="Times New Roman"/>
          <w:i/>
        </w:rPr>
        <w:t>Oakes</w:t>
      </w:r>
      <w:proofErr w:type="spellEnd"/>
      <w:r w:rsidRPr="00D50054">
        <w:rPr>
          <w:rFonts w:cs="Times New Roman"/>
        </w:rPr>
        <w:t>, [1986] 1 R.C.S</w:t>
      </w:r>
      <w:r w:rsidR="00EC47BB">
        <w:rPr>
          <w:rFonts w:cs="Times New Roman"/>
        </w:rPr>
        <w:t xml:space="preserve">. </w:t>
      </w:r>
      <w:r w:rsidRPr="00D50054">
        <w:rPr>
          <w:rFonts w:cs="Times New Roman"/>
        </w:rPr>
        <w:t>103)</w:t>
      </w:r>
      <w:r w:rsidR="00EC47BB">
        <w:rPr>
          <w:rFonts w:cs="Times New Roman"/>
        </w:rPr>
        <w:t xml:space="preserve">. </w:t>
      </w:r>
      <w:r w:rsidRPr="00D50054">
        <w:rPr>
          <w:rFonts w:cs="Times New Roman"/>
        </w:rPr>
        <w:t xml:space="preserve">À l’instar des juridictions inférieures, </w:t>
      </w:r>
      <w:proofErr w:type="gramStart"/>
      <w:r w:rsidRPr="00D50054">
        <w:rPr>
          <w:rFonts w:cs="Times New Roman"/>
        </w:rPr>
        <w:t>nous concluons</w:t>
      </w:r>
      <w:proofErr w:type="gramEnd"/>
      <w:r w:rsidRPr="00D50054">
        <w:rPr>
          <w:rFonts w:cs="Times New Roman"/>
        </w:rPr>
        <w:t xml:space="preserve"> que l’atteinte portée à l’art</w:t>
      </w:r>
      <w:r w:rsidR="00EC47BB">
        <w:rPr>
          <w:rFonts w:cs="Times New Roman"/>
        </w:rPr>
        <w:t xml:space="preserve">. </w:t>
      </w:r>
      <w:r w:rsidRPr="00D50054">
        <w:rPr>
          <w:rFonts w:cs="Times New Roman"/>
        </w:rPr>
        <w:t xml:space="preserve">7 n’est pas justifiée au regard de l’article premier de la </w:t>
      </w:r>
      <w:r w:rsidRPr="00D50054">
        <w:rPr>
          <w:rFonts w:cs="Times New Roman"/>
          <w:i/>
        </w:rPr>
        <w:t>Charte</w:t>
      </w:r>
      <w:r w:rsidR="00EC47BB">
        <w:rPr>
          <w:rFonts w:cs="Times New Roman"/>
        </w:rPr>
        <w:t xml:space="preserve">. </w:t>
      </w:r>
    </w:p>
    <w:p w:rsidR="007027F8" w:rsidRPr="00D50054" w:rsidRDefault="007027F8" w:rsidP="00103926">
      <w:pPr>
        <w:pStyle w:val="Title2LevelTitre2Niveau"/>
        <w:widowControl w:val="0"/>
        <w:numPr>
          <w:ilvl w:val="1"/>
          <w:numId w:val="8"/>
        </w:numPr>
        <w:tabs>
          <w:tab w:val="clear" w:pos="576"/>
        </w:tabs>
        <w:ind w:left="540" w:hanging="540"/>
        <w:rPr>
          <w:rFonts w:cs="Times New Roman"/>
          <w:lang w:val="fr-CA"/>
        </w:rPr>
      </w:pPr>
      <w:r w:rsidRPr="00D50054">
        <w:rPr>
          <w:rFonts w:cs="Times New Roman"/>
          <w:lang w:val="fr-CA"/>
        </w:rPr>
        <w:t>Réparation</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Toute règle de droit incompatible avec les droits garantis par la </w:t>
      </w:r>
      <w:r w:rsidRPr="00D50054">
        <w:rPr>
          <w:rFonts w:cs="Times New Roman"/>
          <w:i/>
          <w:iCs/>
        </w:rPr>
        <w:t xml:space="preserve">Charte </w:t>
      </w:r>
      <w:r w:rsidRPr="00D50054">
        <w:rPr>
          <w:rFonts w:cs="Times New Roman"/>
        </w:rPr>
        <w:t>est « inopérante » (</w:t>
      </w:r>
      <w:r w:rsidRPr="00D50054">
        <w:rPr>
          <w:rFonts w:cs="Times New Roman"/>
          <w:i/>
        </w:rPr>
        <w:t>Loi constitutionnelle de 1982</w:t>
      </w:r>
      <w:r w:rsidRPr="00D50054">
        <w:rPr>
          <w:rFonts w:cs="Times New Roman"/>
        </w:rPr>
        <w:t>, art</w:t>
      </w:r>
      <w:r w:rsidR="00EC47BB">
        <w:rPr>
          <w:rFonts w:cs="Times New Roman"/>
        </w:rPr>
        <w:t xml:space="preserve">. </w:t>
      </w:r>
      <w:r w:rsidRPr="00D50054">
        <w:rPr>
          <w:rFonts w:cs="Times New Roman"/>
        </w:rPr>
        <w:t>52)</w:t>
      </w:r>
      <w:r w:rsidR="00EC47BB">
        <w:rPr>
          <w:rFonts w:cs="Times New Roman"/>
        </w:rPr>
        <w:t xml:space="preserve">. </w:t>
      </w:r>
      <w:r w:rsidRPr="00D50054">
        <w:rPr>
          <w:rFonts w:cs="Times New Roman"/>
        </w:rPr>
        <w:t xml:space="preserve">Nous estimons que le fait de restreindre l’accès médical à la </w:t>
      </w:r>
      <w:r w:rsidR="005532D8">
        <w:rPr>
          <w:rFonts w:cs="Times New Roman"/>
        </w:rPr>
        <w:t>marihuana</w:t>
      </w:r>
      <w:r w:rsidRPr="00D50054">
        <w:rPr>
          <w:rFonts w:cs="Times New Roman"/>
        </w:rPr>
        <w:t xml:space="preserve"> uniquement à sa forme séchée est incompatible avec la </w:t>
      </w:r>
      <w:r w:rsidRPr="00D50054">
        <w:rPr>
          <w:rFonts w:cs="Times New Roman"/>
          <w:i/>
        </w:rPr>
        <w:t>Charte</w:t>
      </w:r>
      <w:r w:rsidR="00EC47BB" w:rsidRPr="00103926">
        <w:rPr>
          <w:rFonts w:cs="Times New Roman"/>
        </w:rPr>
        <w:t>.</w:t>
      </w:r>
      <w:r w:rsidR="00EC47BB">
        <w:rPr>
          <w:rFonts w:cs="Times New Roman"/>
          <w:i/>
        </w:rPr>
        <w:t xml:space="preserve"> </w:t>
      </w:r>
      <w:r w:rsidRPr="00D50054">
        <w:rPr>
          <w:rFonts w:cs="Times New Roman"/>
        </w:rPr>
        <w:t>Cette restriction est donc inopérante dans la mesure de cette incompatibilité.</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 xml:space="preserve">La forme exacte que l’ordonnance devrait revêtir se complique du fait que l’inconstitutionnalité découle de la combinaison des dispositions pénales en question </w:t>
      </w:r>
      <w:r w:rsidRPr="00D50054">
        <w:rPr>
          <w:rFonts w:cs="Times New Roman"/>
        </w:rPr>
        <w:lastRenderedPageBreak/>
        <w:t>et de l’exemption</w:t>
      </w:r>
      <w:r w:rsidR="00EC47BB">
        <w:rPr>
          <w:rFonts w:cs="Times New Roman"/>
        </w:rPr>
        <w:t xml:space="preserve">. </w:t>
      </w:r>
      <w:r w:rsidRPr="00D50054">
        <w:rPr>
          <w:rFonts w:cs="Times New Roman"/>
        </w:rPr>
        <w:t xml:space="preserve">Les dispositions pénales de la </w:t>
      </w:r>
      <w:r w:rsidRPr="00D50054">
        <w:rPr>
          <w:rFonts w:cs="Times New Roman"/>
          <w:i/>
        </w:rPr>
        <w:t xml:space="preserve">LRCDAS </w:t>
      </w:r>
      <w:r w:rsidRPr="00D50054">
        <w:rPr>
          <w:rFonts w:cs="Times New Roman"/>
          <w:iCs/>
        </w:rPr>
        <w:t>ne devraient pas être invalidées en entier</w:t>
      </w:r>
      <w:r w:rsidR="00EC47BB">
        <w:rPr>
          <w:rFonts w:cs="Times New Roman"/>
          <w:iCs/>
        </w:rPr>
        <w:t xml:space="preserve">. </w:t>
      </w:r>
      <w:r w:rsidRPr="00D50054">
        <w:rPr>
          <w:rFonts w:cs="Times New Roman"/>
          <w:iCs/>
        </w:rPr>
        <w:t>L’exemption n’est pas non plus, à strictement parler, problématique; le problème est qu’elle est trop étroite ou trop limitative</w:t>
      </w:r>
      <w:r w:rsidR="00EC47BB">
        <w:rPr>
          <w:rFonts w:cs="Times New Roman"/>
          <w:iCs/>
        </w:rPr>
        <w:t xml:space="preserve">. </w:t>
      </w:r>
      <w:r w:rsidRPr="00D50054">
        <w:rPr>
          <w:rFonts w:cs="Times New Roman"/>
          <w:iCs/>
        </w:rPr>
        <w:t xml:space="preserve">Nous concluons que la réparation appropriée consiste à déclarer inopérants </w:t>
      </w:r>
      <w:proofErr w:type="gramStart"/>
      <w:r w:rsidRPr="00D50054">
        <w:rPr>
          <w:rFonts w:cs="Times New Roman"/>
          <w:iCs/>
        </w:rPr>
        <w:t>les art</w:t>
      </w:r>
      <w:proofErr w:type="gramEnd"/>
      <w:r w:rsidR="00EC47BB">
        <w:rPr>
          <w:rFonts w:cs="Times New Roman"/>
          <w:iCs/>
        </w:rPr>
        <w:t xml:space="preserve">. </w:t>
      </w:r>
      <w:r w:rsidRPr="00D50054">
        <w:rPr>
          <w:rFonts w:cs="Times New Roman"/>
        </w:rPr>
        <w:t xml:space="preserve">4 et 5 de la </w:t>
      </w:r>
      <w:r w:rsidRPr="00D50054">
        <w:rPr>
          <w:rFonts w:cs="Times New Roman"/>
          <w:i/>
        </w:rPr>
        <w:t>LRCDAS</w:t>
      </w:r>
      <w:r w:rsidRPr="00D50054">
        <w:rPr>
          <w:rFonts w:cs="Times New Roman"/>
        </w:rPr>
        <w:t xml:space="preserve"> dans la mesure où ils interdisent à une personne munie d’une autorisation médicale de posséder des dérivés du cannabis à des fins médicales</w:t>
      </w:r>
      <w:r w:rsidR="00EC47BB">
        <w:rPr>
          <w:rFonts w:cs="Times New Roman"/>
        </w:rPr>
        <w:t xml:space="preserve">. </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Nous sommes d’avis de rejeter la demande du ministère public visant à faire suspendre la déclaration d’invalidité pour que l’interdiction reste en vigueur en attendant une éventuelle réponse du législateur</w:t>
      </w:r>
      <w:r w:rsidR="00EC47BB">
        <w:rPr>
          <w:rFonts w:cs="Times New Roman"/>
        </w:rPr>
        <w:t xml:space="preserve">. </w:t>
      </w:r>
      <w:r w:rsidRPr="00D50054">
        <w:rPr>
          <w:rFonts w:cs="Times New Roman"/>
        </w:rPr>
        <w:t xml:space="preserve">(Ce que le législateur pourra choisir de faire ou de ne pas faire se complique par les diverses solutions qui s’offrent à lui ainsi que par le fait que le </w:t>
      </w:r>
      <w:r w:rsidRPr="00D50054">
        <w:rPr>
          <w:rFonts w:cs="Times New Roman"/>
          <w:i/>
        </w:rPr>
        <w:t>RAMFM</w:t>
      </w:r>
      <w:r w:rsidRPr="00D50054">
        <w:rPr>
          <w:rFonts w:cs="Times New Roman"/>
        </w:rPr>
        <w:t xml:space="preserve"> a été depuis remplacé par un nouveau régime.) Suspendre la déclaration d’invalidité ferait en sorte que les patients se retrouveraient sans traitement médical légal et que la loi et son application seraient laissées dans le flou</w:t>
      </w:r>
      <w:r w:rsidR="00EC47BB">
        <w:rPr>
          <w:rFonts w:cs="Times New Roman"/>
        </w:rPr>
        <w:t xml:space="preserve">. </w:t>
      </w:r>
      <w:r w:rsidRPr="00D50054">
        <w:rPr>
          <w:rFonts w:cs="Times New Roman"/>
        </w:rPr>
        <w:t xml:space="preserve">Nous faisons nôtres les propos formulés par la Cour d’appel de l’Ontario dans l’arrêt </w:t>
      </w:r>
      <w:proofErr w:type="spellStart"/>
      <w:r w:rsidRPr="00D50054">
        <w:rPr>
          <w:rFonts w:cs="Times New Roman"/>
          <w:i/>
        </w:rPr>
        <w:t>Hitzig</w:t>
      </w:r>
      <w:proofErr w:type="spellEnd"/>
      <w:r w:rsidRPr="00D50054">
        <w:rPr>
          <w:rFonts w:cs="Times New Roman"/>
        </w:rPr>
        <w:t>, par</w:t>
      </w:r>
      <w:r w:rsidR="00EC47BB">
        <w:rPr>
          <w:rFonts w:cs="Times New Roman"/>
        </w:rPr>
        <w:t xml:space="preserve">. </w:t>
      </w:r>
      <w:r w:rsidRPr="00D50054">
        <w:rPr>
          <w:rFonts w:cs="Times New Roman"/>
        </w:rPr>
        <w:t>170 </w:t>
      </w:r>
      <w:r w:rsidR="006E5B9E">
        <w:rPr>
          <w:rFonts w:cs="Times New Roman"/>
        </w:rPr>
        <w:t xml:space="preserve">: </w:t>
      </w:r>
      <w:r w:rsidRPr="00D50054">
        <w:rPr>
          <w:rFonts w:cs="Times New Roman"/>
        </w:rPr>
        <w:t>[</w:t>
      </w:r>
      <w:r w:rsidRPr="00D50054">
        <w:rPr>
          <w:rFonts w:eastAsia="MS Mincho" w:cs="Times New Roman"/>
          <w:smallCaps/>
          <w:szCs w:val="24"/>
        </w:rPr>
        <w:t>traduction</w:t>
      </w:r>
      <w:r w:rsidRPr="00D50054">
        <w:rPr>
          <w:rFonts w:cs="Times New Roman"/>
        </w:rPr>
        <w:t xml:space="preserve">] « Le fait de suspendre l’application de la réparation que nous ordonnons </w:t>
      </w:r>
      <w:r>
        <w:rPr>
          <w:rFonts w:cs="Times New Roman"/>
        </w:rPr>
        <w:t>[</w:t>
      </w:r>
      <w:r w:rsidRPr="00D50054">
        <w:rPr>
          <w:rFonts w:cs="Times New Roman"/>
        </w:rPr>
        <w:t>ne ferait que</w:t>
      </w:r>
      <w:r>
        <w:rPr>
          <w:rFonts w:cs="Times New Roman"/>
        </w:rPr>
        <w:t>]</w:t>
      </w:r>
      <w:r w:rsidRPr="00D50054">
        <w:rPr>
          <w:rFonts w:cs="Times New Roman"/>
        </w:rPr>
        <w:t xml:space="preserve"> prolonger encore une incertitude indésirable</w:t>
      </w:r>
      <w:r w:rsidR="00EC47BB">
        <w:rPr>
          <w:rFonts w:cs="Times New Roman"/>
        </w:rPr>
        <w:t>.</w:t>
      </w:r>
      <w:r w:rsidR="00103926" w:rsidRPr="00103926">
        <w:rPr>
          <w:rFonts w:cs="Times New Roman"/>
        </w:rPr>
        <w:t xml:space="preserve"> </w:t>
      </w:r>
      <w:r w:rsidR="00103926" w:rsidRPr="00D50054">
        <w:rPr>
          <w:rFonts w:cs="Times New Roman"/>
        </w:rPr>
        <w:t>»</w:t>
      </w:r>
      <w:r w:rsidR="00EC47BB">
        <w:rPr>
          <w:rFonts w:cs="Times New Roman"/>
        </w:rPr>
        <w:t xml:space="preserve"> </w:t>
      </w:r>
    </w:p>
    <w:p w:rsidR="007027F8" w:rsidRPr="0003046B" w:rsidRDefault="007027F8" w:rsidP="00103926">
      <w:pPr>
        <w:pStyle w:val="Title1LevelTitre1Niveau-AltL"/>
        <w:widowControl w:val="0"/>
        <w:numPr>
          <w:ilvl w:val="0"/>
          <w:numId w:val="8"/>
        </w:numPr>
        <w:tabs>
          <w:tab w:val="clear" w:pos="576"/>
        </w:tabs>
        <w:ind w:left="540" w:hanging="540"/>
        <w:rPr>
          <w:rFonts w:cs="Times New Roman"/>
          <w:lang w:val="fr-CA"/>
        </w:rPr>
      </w:pPr>
      <w:r w:rsidRPr="0003046B">
        <w:rPr>
          <w:rFonts w:cs="Times New Roman"/>
          <w:lang w:val="fr-CA"/>
        </w:rPr>
        <w:t>Dispositif</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Nous sommes d’avis de rejeter le pourvoi</w:t>
      </w:r>
      <w:r w:rsidRPr="00D50054">
        <w:rPr>
          <w:rFonts w:cs="Times New Roman"/>
          <w:szCs w:val="24"/>
        </w:rPr>
        <w:t xml:space="preserve">, mais de modifier l’ordonnance rendue par la Cour d’appel en supprimant la suspension de sa déclaration d’invalidité et en déclarant plutôt que </w:t>
      </w:r>
      <w:proofErr w:type="gramStart"/>
      <w:r w:rsidRPr="00D50054">
        <w:rPr>
          <w:rFonts w:cs="Times New Roman"/>
        </w:rPr>
        <w:t>les art</w:t>
      </w:r>
      <w:proofErr w:type="gramEnd"/>
      <w:r w:rsidR="00EC47BB">
        <w:rPr>
          <w:rFonts w:cs="Times New Roman"/>
        </w:rPr>
        <w:t xml:space="preserve">. </w:t>
      </w:r>
      <w:r w:rsidRPr="00D50054">
        <w:rPr>
          <w:rFonts w:cs="Times New Roman"/>
        </w:rPr>
        <w:t xml:space="preserve">4 et 5 de la </w:t>
      </w:r>
      <w:r w:rsidRPr="00D50054">
        <w:rPr>
          <w:rFonts w:cs="Times New Roman"/>
          <w:i/>
        </w:rPr>
        <w:t>LRCDAS</w:t>
      </w:r>
      <w:r w:rsidRPr="00D50054">
        <w:rPr>
          <w:rFonts w:cs="Times New Roman"/>
        </w:rPr>
        <w:t xml:space="preserve"> sont inopérants dans la mesure </w:t>
      </w:r>
      <w:r w:rsidRPr="00D50054">
        <w:rPr>
          <w:rFonts w:cs="Times New Roman"/>
        </w:rPr>
        <w:lastRenderedPageBreak/>
        <w:t>où ils interdisent à une personne munie d’une autorisation médicale de posséder des dérivés du cannabis à des fins médicales.</w:t>
      </w:r>
    </w:p>
    <w:p w:rsidR="007027F8" w:rsidRPr="00D50054" w:rsidRDefault="007027F8" w:rsidP="00535610">
      <w:pPr>
        <w:pStyle w:val="ParaNoNdepar-AltN"/>
        <w:widowControl w:val="0"/>
        <w:tabs>
          <w:tab w:val="clear" w:pos="1166"/>
          <w:tab w:val="num" w:pos="1152"/>
        </w:tabs>
        <w:rPr>
          <w:rFonts w:cs="Times New Roman"/>
        </w:rPr>
      </w:pPr>
      <w:r w:rsidRPr="00D50054">
        <w:rPr>
          <w:rFonts w:cs="Times New Roman"/>
        </w:rPr>
        <w:t>À aucun moment dans le cadre de la présente instance, les tribunaux de la Colombie</w:t>
      </w:r>
      <w:r w:rsidR="00147051">
        <w:rPr>
          <w:rFonts w:cs="Times New Roman"/>
        </w:rPr>
        <w:t>-</w:t>
      </w:r>
      <w:r w:rsidRPr="00D50054">
        <w:rPr>
          <w:rFonts w:cs="Times New Roman"/>
        </w:rPr>
        <w:t>Britannique ou la Cour n’ont déclaré inconstitutionnelles les accusations portées contre M</w:t>
      </w:r>
      <w:r w:rsidR="00EC47BB">
        <w:rPr>
          <w:rFonts w:cs="Times New Roman"/>
        </w:rPr>
        <w:t xml:space="preserve">. </w:t>
      </w:r>
      <w:r w:rsidRPr="00D50054">
        <w:rPr>
          <w:rFonts w:cs="Times New Roman"/>
        </w:rPr>
        <w:t>Smith</w:t>
      </w:r>
      <w:r w:rsidR="00EC47BB">
        <w:rPr>
          <w:rFonts w:cs="Times New Roman"/>
        </w:rPr>
        <w:t xml:space="preserve">. </w:t>
      </w:r>
      <w:r w:rsidRPr="00D50054">
        <w:rPr>
          <w:rFonts w:cs="Times New Roman"/>
        </w:rPr>
        <w:t>En fait, à la suite du voir</w:t>
      </w:r>
      <w:r w:rsidR="00147051">
        <w:rPr>
          <w:rFonts w:cs="Times New Roman"/>
        </w:rPr>
        <w:t>-</w:t>
      </w:r>
      <w:r w:rsidRPr="00D50054">
        <w:rPr>
          <w:rFonts w:cs="Times New Roman"/>
        </w:rPr>
        <w:t>dire, le juge de première instance a refusé d’ordonner l’arrêt des procédures</w:t>
      </w:r>
      <w:r w:rsidR="00EC47BB">
        <w:rPr>
          <w:rFonts w:cs="Times New Roman"/>
        </w:rPr>
        <w:t xml:space="preserve">. </w:t>
      </w:r>
      <w:r w:rsidRPr="00D50054">
        <w:rPr>
          <w:rFonts w:cs="Times New Roman"/>
        </w:rPr>
        <w:t>Malgré cela, le ministère public a choisi de ne présenter aucune preuve au procès</w:t>
      </w:r>
      <w:r w:rsidR="00EC47BB">
        <w:rPr>
          <w:rFonts w:cs="Times New Roman"/>
        </w:rPr>
        <w:t xml:space="preserve">. </w:t>
      </w:r>
      <w:r w:rsidRPr="00D50054">
        <w:rPr>
          <w:rFonts w:cs="Times New Roman"/>
        </w:rPr>
        <w:t>M</w:t>
      </w:r>
      <w:r w:rsidR="00EC47BB">
        <w:rPr>
          <w:rFonts w:cs="Times New Roman"/>
        </w:rPr>
        <w:t xml:space="preserve">. </w:t>
      </w:r>
      <w:r w:rsidRPr="00D50054">
        <w:rPr>
          <w:rFonts w:cs="Times New Roman"/>
        </w:rPr>
        <w:t>Smith a été acquitté en raison de ce choix</w:t>
      </w:r>
      <w:r w:rsidR="00EC47BB">
        <w:rPr>
          <w:rFonts w:cs="Times New Roman"/>
        </w:rPr>
        <w:t xml:space="preserve">. </w:t>
      </w:r>
      <w:r w:rsidRPr="00D50054">
        <w:rPr>
          <w:rFonts w:cs="Times New Roman"/>
        </w:rPr>
        <w:t>Nous ne voyons pas pourquoi il faudrait autoriser le ministère public à rouvrir le dossier à l’issue du présent pourvoi</w:t>
      </w:r>
      <w:r w:rsidR="00EC47BB">
        <w:rPr>
          <w:rFonts w:cs="Times New Roman"/>
        </w:rPr>
        <w:t xml:space="preserve">. </w:t>
      </w:r>
      <w:r w:rsidRPr="00D50054">
        <w:rPr>
          <w:rFonts w:cs="Times New Roman"/>
        </w:rPr>
        <w:t>L’acquittement de M</w:t>
      </w:r>
      <w:r w:rsidR="00EC47BB">
        <w:rPr>
          <w:rFonts w:cs="Times New Roman"/>
        </w:rPr>
        <w:t xml:space="preserve">. </w:t>
      </w:r>
      <w:r w:rsidRPr="00D50054">
        <w:rPr>
          <w:rFonts w:cs="Times New Roman"/>
        </w:rPr>
        <w:t>Smith est confirmé.</w:t>
      </w:r>
    </w:p>
    <w:p w:rsidR="004D7D95" w:rsidRPr="00391F6E" w:rsidRDefault="004D7D95" w:rsidP="00535610">
      <w:pPr>
        <w:pStyle w:val="SCCNormalDoubleSpacing"/>
        <w:widowControl w:val="0"/>
        <w:spacing w:before="480" w:after="480"/>
        <w:rPr>
          <w:lang w:val="fr-CA"/>
        </w:rPr>
      </w:pPr>
      <w:r w:rsidRPr="00391F6E">
        <w:rPr>
          <w:lang w:val="fr-CA"/>
        </w:rPr>
        <w:tab/>
      </w:r>
      <w:r w:rsidR="00296055" w:rsidRPr="00391F6E">
        <w:rPr>
          <w:i/>
          <w:lang w:val="fr-CA"/>
        </w:rPr>
        <w:t xml:space="preserve">Pourvoi </w:t>
      </w:r>
      <w:r w:rsidR="006653FD" w:rsidRPr="00391F6E">
        <w:rPr>
          <w:i/>
          <w:lang w:val="fr-CA"/>
        </w:rPr>
        <w:t>rejeté</w:t>
      </w:r>
      <w:r w:rsidR="00296055" w:rsidRPr="00391F6E">
        <w:rPr>
          <w:i/>
          <w:lang w:val="fr-CA"/>
        </w:rPr>
        <w:t>.</w:t>
      </w:r>
    </w:p>
    <w:p w:rsidR="00296055" w:rsidRPr="00391F6E" w:rsidRDefault="00296055" w:rsidP="00535610">
      <w:pPr>
        <w:pStyle w:val="SCCLawFirm"/>
        <w:widowControl w:val="0"/>
        <w:spacing w:before="480" w:after="480"/>
        <w:rPr>
          <w:lang w:val="fr-CA"/>
        </w:rPr>
      </w:pPr>
      <w:r w:rsidRPr="00391F6E">
        <w:rPr>
          <w:lang w:val="fr-CA"/>
        </w:rPr>
        <w:tab/>
        <w:t>Procureur de l’appelante</w:t>
      </w:r>
      <w:r w:rsidR="00C13434">
        <w:rPr>
          <w:lang w:val="fr-CA"/>
        </w:rPr>
        <w:t> </w:t>
      </w:r>
      <w:r w:rsidR="006E5B9E">
        <w:rPr>
          <w:lang w:val="fr-CA"/>
        </w:rPr>
        <w:t xml:space="preserve">: </w:t>
      </w:r>
      <w:r w:rsidRPr="00391F6E">
        <w:rPr>
          <w:lang w:val="fr-CA"/>
        </w:rPr>
        <w:t>Service des poursuites pénales du Canada, Vancouver.</w:t>
      </w:r>
    </w:p>
    <w:p w:rsidR="00296055" w:rsidRPr="00391F6E" w:rsidRDefault="00296055" w:rsidP="00535610">
      <w:pPr>
        <w:pStyle w:val="SCCLawFirm"/>
        <w:widowControl w:val="0"/>
        <w:spacing w:before="480" w:after="480"/>
        <w:rPr>
          <w:lang w:val="fr-CA"/>
        </w:rPr>
      </w:pPr>
      <w:r w:rsidRPr="00391F6E">
        <w:rPr>
          <w:lang w:val="fr-CA"/>
        </w:rPr>
        <w:tab/>
        <w:t>Procureurs de l’intimé</w:t>
      </w:r>
      <w:r w:rsidR="00C13434">
        <w:rPr>
          <w:lang w:val="fr-CA"/>
        </w:rPr>
        <w:t> </w:t>
      </w:r>
      <w:r w:rsidR="006E5B9E">
        <w:rPr>
          <w:lang w:val="fr-CA"/>
        </w:rPr>
        <w:t xml:space="preserve">: </w:t>
      </w:r>
      <w:proofErr w:type="spellStart"/>
      <w:r w:rsidRPr="00391F6E">
        <w:rPr>
          <w:lang w:val="fr-CA"/>
        </w:rPr>
        <w:t>Tousaw</w:t>
      </w:r>
      <w:proofErr w:type="spellEnd"/>
      <w:r w:rsidRPr="00391F6E">
        <w:rPr>
          <w:lang w:val="fr-CA"/>
        </w:rPr>
        <w:t xml:space="preserve"> Law Corporation, Duncan, </w:t>
      </w:r>
      <w:r w:rsidR="00855340" w:rsidRPr="00391F6E">
        <w:rPr>
          <w:lang w:val="fr-CA"/>
        </w:rPr>
        <w:t>Colombie</w:t>
      </w:r>
      <w:r w:rsidR="00147051">
        <w:rPr>
          <w:lang w:val="fr-CA"/>
        </w:rPr>
        <w:t>-</w:t>
      </w:r>
      <w:r w:rsidR="00855340" w:rsidRPr="00391F6E">
        <w:rPr>
          <w:lang w:val="fr-CA"/>
        </w:rPr>
        <w:t>Britannique</w:t>
      </w:r>
      <w:r w:rsidRPr="00391F6E">
        <w:rPr>
          <w:lang w:val="fr-CA"/>
        </w:rPr>
        <w:t xml:space="preserve">; </w:t>
      </w:r>
      <w:proofErr w:type="spellStart"/>
      <w:r w:rsidRPr="00391F6E">
        <w:rPr>
          <w:lang w:val="fr-CA"/>
        </w:rPr>
        <w:t>Conroy</w:t>
      </w:r>
      <w:proofErr w:type="spellEnd"/>
      <w:r w:rsidRPr="00391F6E">
        <w:rPr>
          <w:lang w:val="fr-CA"/>
        </w:rPr>
        <w:t xml:space="preserve"> and </w:t>
      </w:r>
      <w:proofErr w:type="spellStart"/>
      <w:r w:rsidRPr="00391F6E">
        <w:rPr>
          <w:lang w:val="fr-CA"/>
        </w:rPr>
        <w:t>Company</w:t>
      </w:r>
      <w:proofErr w:type="spellEnd"/>
      <w:r w:rsidRPr="00391F6E">
        <w:rPr>
          <w:lang w:val="fr-CA"/>
        </w:rPr>
        <w:t xml:space="preserve">, </w:t>
      </w:r>
      <w:proofErr w:type="spellStart"/>
      <w:r w:rsidRPr="00391F6E">
        <w:rPr>
          <w:lang w:val="fr-CA"/>
        </w:rPr>
        <w:t>Abbotsford</w:t>
      </w:r>
      <w:proofErr w:type="spellEnd"/>
      <w:r w:rsidRPr="00391F6E">
        <w:rPr>
          <w:lang w:val="fr-CA"/>
        </w:rPr>
        <w:t xml:space="preserve">; </w:t>
      </w:r>
      <w:proofErr w:type="spellStart"/>
      <w:r w:rsidRPr="00391F6E">
        <w:rPr>
          <w:lang w:val="fr-CA"/>
        </w:rPr>
        <w:t>Hens</w:t>
      </w:r>
      <w:r w:rsidR="006E5B9E">
        <w:rPr>
          <w:lang w:val="fr-CA"/>
        </w:rPr>
        <w:t>hall</w:t>
      </w:r>
      <w:proofErr w:type="spellEnd"/>
      <w:r w:rsidR="006E5B9E">
        <w:rPr>
          <w:lang w:val="fr-CA"/>
        </w:rPr>
        <w:t xml:space="preserve"> </w:t>
      </w:r>
      <w:proofErr w:type="spellStart"/>
      <w:r w:rsidR="006E5B9E">
        <w:rPr>
          <w:lang w:val="fr-CA"/>
        </w:rPr>
        <w:t>Scouten</w:t>
      </w:r>
      <w:proofErr w:type="spellEnd"/>
      <w:r w:rsidR="006E5B9E">
        <w:rPr>
          <w:lang w:val="fr-CA"/>
        </w:rPr>
        <w:t xml:space="preserve">, Vancouver; </w:t>
      </w:r>
      <w:proofErr w:type="spellStart"/>
      <w:r w:rsidR="006E5B9E">
        <w:rPr>
          <w:lang w:val="fr-CA"/>
        </w:rPr>
        <w:t>Bibhas</w:t>
      </w:r>
      <w:proofErr w:type="spellEnd"/>
      <w:r w:rsidR="006E5B9E">
        <w:rPr>
          <w:lang w:val="fr-CA"/>
        </w:rPr>
        <w:t xml:space="preserve"> </w:t>
      </w:r>
      <w:r w:rsidRPr="00391F6E">
        <w:rPr>
          <w:lang w:val="fr-CA"/>
        </w:rPr>
        <w:t>D</w:t>
      </w:r>
      <w:r w:rsidR="00EC47BB">
        <w:rPr>
          <w:lang w:val="fr-CA"/>
        </w:rPr>
        <w:t xml:space="preserve">. </w:t>
      </w:r>
      <w:proofErr w:type="spellStart"/>
      <w:r w:rsidRPr="00391F6E">
        <w:rPr>
          <w:lang w:val="fr-CA"/>
        </w:rPr>
        <w:t>Vaze</w:t>
      </w:r>
      <w:proofErr w:type="spellEnd"/>
      <w:r w:rsidRPr="00391F6E">
        <w:rPr>
          <w:lang w:val="fr-CA"/>
        </w:rPr>
        <w:t>, Vancouver.</w:t>
      </w:r>
    </w:p>
    <w:p w:rsidR="00296055" w:rsidRPr="00391F6E" w:rsidRDefault="00296055" w:rsidP="00535610">
      <w:pPr>
        <w:pStyle w:val="SCCLawFirm"/>
        <w:widowControl w:val="0"/>
        <w:spacing w:before="480" w:after="480"/>
        <w:rPr>
          <w:lang w:val="fr-CA"/>
        </w:rPr>
      </w:pPr>
      <w:r w:rsidRPr="00391F6E">
        <w:rPr>
          <w:lang w:val="fr-CA"/>
        </w:rPr>
        <w:tab/>
        <w:t>Procureurs de l’intervenante Santé Cannabis</w:t>
      </w:r>
      <w:r w:rsidR="00C13434">
        <w:rPr>
          <w:lang w:val="fr-CA"/>
        </w:rPr>
        <w:t> </w:t>
      </w:r>
      <w:r w:rsidR="006E5B9E">
        <w:rPr>
          <w:lang w:val="fr-CA"/>
        </w:rPr>
        <w:t xml:space="preserve">: </w:t>
      </w:r>
      <w:r w:rsidRPr="00391F6E">
        <w:rPr>
          <w:lang w:val="fr-CA"/>
        </w:rPr>
        <w:t>Grey Casgrain, Montréal.</w:t>
      </w:r>
    </w:p>
    <w:p w:rsidR="00296055" w:rsidRPr="00391F6E" w:rsidRDefault="00296055" w:rsidP="00535610">
      <w:pPr>
        <w:pStyle w:val="SCCLawFirm"/>
        <w:widowControl w:val="0"/>
        <w:spacing w:before="480" w:after="480"/>
        <w:rPr>
          <w:lang w:val="fr-CA"/>
        </w:rPr>
      </w:pPr>
      <w:r w:rsidRPr="00391F6E">
        <w:rPr>
          <w:lang w:val="fr-CA"/>
        </w:rPr>
        <w:tab/>
        <w:t xml:space="preserve">Procureurs de l’intervenante </w:t>
      </w:r>
      <w:proofErr w:type="spellStart"/>
      <w:r w:rsidRPr="00391F6E">
        <w:rPr>
          <w:lang w:val="fr-CA"/>
        </w:rPr>
        <w:t>Criminal</w:t>
      </w:r>
      <w:proofErr w:type="spellEnd"/>
      <w:r w:rsidRPr="00391F6E">
        <w:rPr>
          <w:lang w:val="fr-CA"/>
        </w:rPr>
        <w:t xml:space="preserve"> </w:t>
      </w:r>
      <w:proofErr w:type="spellStart"/>
      <w:r w:rsidRPr="00391F6E">
        <w:rPr>
          <w:lang w:val="fr-CA"/>
        </w:rPr>
        <w:t>Lawyers</w:t>
      </w:r>
      <w:proofErr w:type="spellEnd"/>
      <w:r w:rsidRPr="00391F6E">
        <w:rPr>
          <w:lang w:val="fr-CA"/>
        </w:rPr>
        <w:t>’ Association (Ontario)</w:t>
      </w:r>
      <w:r w:rsidR="00C13434">
        <w:rPr>
          <w:lang w:val="fr-CA"/>
        </w:rPr>
        <w:t> </w:t>
      </w:r>
      <w:r w:rsidR="006E5B9E">
        <w:rPr>
          <w:lang w:val="fr-CA"/>
        </w:rPr>
        <w:t xml:space="preserve">: </w:t>
      </w:r>
      <w:r w:rsidRPr="00391F6E">
        <w:rPr>
          <w:lang w:val="fr-CA"/>
        </w:rPr>
        <w:t xml:space="preserve">Ruby </w:t>
      </w:r>
      <w:proofErr w:type="spellStart"/>
      <w:r w:rsidRPr="00391F6E">
        <w:rPr>
          <w:lang w:val="fr-CA"/>
        </w:rPr>
        <w:t>Shiller</w:t>
      </w:r>
      <w:proofErr w:type="spellEnd"/>
      <w:r w:rsidRPr="00391F6E">
        <w:rPr>
          <w:lang w:val="fr-CA"/>
        </w:rPr>
        <w:t xml:space="preserve"> Chan Hasan, Toronto.</w:t>
      </w:r>
    </w:p>
    <w:p w:rsidR="00296055" w:rsidRPr="00391F6E" w:rsidRDefault="00296055" w:rsidP="00535610">
      <w:pPr>
        <w:pStyle w:val="SCCLawFirm"/>
        <w:widowControl w:val="0"/>
        <w:spacing w:before="480" w:after="480"/>
        <w:rPr>
          <w:lang w:val="fr-CA"/>
        </w:rPr>
      </w:pPr>
      <w:r w:rsidRPr="00391F6E">
        <w:rPr>
          <w:lang w:val="fr-CA"/>
        </w:rPr>
        <w:lastRenderedPageBreak/>
        <w:tab/>
        <w:t xml:space="preserve">Procureurs de </w:t>
      </w:r>
      <w:r w:rsidRPr="00391F6E">
        <w:rPr>
          <w:rStyle w:val="SCCCounselPartyRoleChar"/>
          <w:lang w:val="fr-CA"/>
        </w:rPr>
        <w:t>l’intervenante l’</w:t>
      </w:r>
      <w:r w:rsidRPr="00391F6E">
        <w:rPr>
          <w:lang w:val="fr-CA"/>
        </w:rPr>
        <w:t>Association canadienne des libertés civiles</w:t>
      </w:r>
      <w:r w:rsidR="00C13434">
        <w:rPr>
          <w:lang w:val="fr-CA"/>
        </w:rPr>
        <w:t> </w:t>
      </w:r>
      <w:r w:rsidR="006E5B9E">
        <w:rPr>
          <w:lang w:val="fr-CA"/>
        </w:rPr>
        <w:t xml:space="preserve">: </w:t>
      </w:r>
      <w:proofErr w:type="spellStart"/>
      <w:r w:rsidRPr="00391F6E">
        <w:rPr>
          <w:lang w:val="fr-CA"/>
        </w:rPr>
        <w:t>Paliare</w:t>
      </w:r>
      <w:proofErr w:type="spellEnd"/>
      <w:r w:rsidRPr="00391F6E">
        <w:rPr>
          <w:lang w:val="fr-CA"/>
        </w:rPr>
        <w:t xml:space="preserve"> Roland Rosenberg </w:t>
      </w:r>
      <w:proofErr w:type="spellStart"/>
      <w:r w:rsidRPr="00391F6E">
        <w:rPr>
          <w:lang w:val="fr-CA"/>
        </w:rPr>
        <w:t>Rothstein</w:t>
      </w:r>
      <w:proofErr w:type="spellEnd"/>
      <w:r w:rsidRPr="00391F6E">
        <w:rPr>
          <w:lang w:val="fr-CA"/>
        </w:rPr>
        <w:t>, Toronto.</w:t>
      </w:r>
    </w:p>
    <w:p w:rsidR="00296055" w:rsidRPr="00391F6E" w:rsidRDefault="00296055" w:rsidP="00535610">
      <w:pPr>
        <w:pStyle w:val="SCCLawFirm"/>
        <w:widowControl w:val="0"/>
        <w:spacing w:before="480" w:after="480"/>
        <w:rPr>
          <w:lang w:val="fr-CA"/>
        </w:rPr>
      </w:pPr>
      <w:r w:rsidRPr="00391F6E">
        <w:rPr>
          <w:lang w:val="fr-CA"/>
        </w:rPr>
        <w:tab/>
        <w:t xml:space="preserve">Procureurs de </w:t>
      </w:r>
      <w:r w:rsidRPr="00391F6E">
        <w:rPr>
          <w:rStyle w:val="SCCCounselPartyRoleChar"/>
          <w:lang w:val="fr-CA"/>
        </w:rPr>
        <w:t>l’intervenante l’</w:t>
      </w:r>
      <w:r w:rsidRPr="00391F6E">
        <w:rPr>
          <w:lang w:val="fr-CA"/>
        </w:rPr>
        <w:t>Association des libertés civiles de la Colombie</w:t>
      </w:r>
      <w:r w:rsidR="00147051">
        <w:rPr>
          <w:lang w:val="fr-CA"/>
        </w:rPr>
        <w:t>-</w:t>
      </w:r>
      <w:r w:rsidRPr="00391F6E">
        <w:rPr>
          <w:lang w:val="fr-CA"/>
        </w:rPr>
        <w:t>Britannique</w:t>
      </w:r>
      <w:r w:rsidR="00C13434">
        <w:rPr>
          <w:lang w:val="fr-CA"/>
        </w:rPr>
        <w:t> </w:t>
      </w:r>
      <w:r w:rsidR="006E5B9E">
        <w:rPr>
          <w:lang w:val="fr-CA"/>
        </w:rPr>
        <w:t xml:space="preserve">: </w:t>
      </w:r>
      <w:proofErr w:type="spellStart"/>
      <w:r w:rsidRPr="00391F6E">
        <w:rPr>
          <w:lang w:val="fr-CA"/>
        </w:rPr>
        <w:t>Gratl</w:t>
      </w:r>
      <w:proofErr w:type="spellEnd"/>
      <w:r w:rsidRPr="00391F6E">
        <w:rPr>
          <w:lang w:val="fr-CA"/>
        </w:rPr>
        <w:t xml:space="preserve"> &amp; </w:t>
      </w:r>
      <w:proofErr w:type="spellStart"/>
      <w:r w:rsidRPr="00391F6E">
        <w:rPr>
          <w:lang w:val="fr-CA"/>
        </w:rPr>
        <w:t>Company</w:t>
      </w:r>
      <w:proofErr w:type="spellEnd"/>
      <w:r w:rsidRPr="00391F6E">
        <w:rPr>
          <w:lang w:val="fr-CA"/>
        </w:rPr>
        <w:t>, Vancouver.</w:t>
      </w:r>
    </w:p>
    <w:p w:rsidR="004D7D95" w:rsidRPr="00391F6E" w:rsidRDefault="00296055" w:rsidP="00535610">
      <w:pPr>
        <w:pStyle w:val="SCCLawFirm"/>
        <w:widowControl w:val="0"/>
        <w:spacing w:before="480" w:after="480"/>
        <w:rPr>
          <w:lang w:val="fr-CA"/>
        </w:rPr>
      </w:pPr>
      <w:r w:rsidRPr="00391F6E">
        <w:rPr>
          <w:lang w:val="fr-CA"/>
        </w:rPr>
        <w:tab/>
        <w:t xml:space="preserve">Procureurs des intervenants </w:t>
      </w:r>
      <w:r w:rsidRPr="00391F6E">
        <w:rPr>
          <w:rStyle w:val="SCCCounselPartyRoleChar"/>
          <w:lang w:val="fr-CA"/>
        </w:rPr>
        <w:t xml:space="preserve">la </w:t>
      </w:r>
      <w:r w:rsidRPr="00391F6E">
        <w:rPr>
          <w:lang w:val="fr-CA"/>
        </w:rPr>
        <w:t xml:space="preserve">Société canadienne du sida, le Réseau juridique canadien VIH/sida et </w:t>
      </w:r>
      <w:r w:rsidRPr="00391F6E">
        <w:rPr>
          <w:rStyle w:val="SCCCounselPartyRoleChar"/>
          <w:lang w:val="fr-CA"/>
        </w:rPr>
        <w:t xml:space="preserve">HIV &amp; AIDS </w:t>
      </w:r>
      <w:proofErr w:type="spellStart"/>
      <w:r w:rsidRPr="00391F6E">
        <w:rPr>
          <w:rStyle w:val="SCCCounselPartyRoleChar"/>
          <w:lang w:val="fr-CA"/>
        </w:rPr>
        <w:t>Legal</w:t>
      </w:r>
      <w:proofErr w:type="spellEnd"/>
      <w:r w:rsidRPr="00391F6E">
        <w:rPr>
          <w:rStyle w:val="SCCCounselPartyRoleChar"/>
          <w:lang w:val="fr-CA"/>
        </w:rPr>
        <w:t xml:space="preserve"> Clinic Ontario</w:t>
      </w:r>
      <w:r w:rsidR="00C13434">
        <w:rPr>
          <w:lang w:val="fr-CA"/>
        </w:rPr>
        <w:t> </w:t>
      </w:r>
      <w:r w:rsidR="006E5B9E">
        <w:rPr>
          <w:lang w:val="fr-CA"/>
        </w:rPr>
        <w:t xml:space="preserve">: </w:t>
      </w:r>
      <w:proofErr w:type="spellStart"/>
      <w:r w:rsidRPr="00391F6E">
        <w:rPr>
          <w:lang w:val="fr-CA"/>
        </w:rPr>
        <w:t>Burstein</w:t>
      </w:r>
      <w:proofErr w:type="spellEnd"/>
      <w:r w:rsidRPr="00391F6E">
        <w:rPr>
          <w:lang w:val="fr-CA"/>
        </w:rPr>
        <w:t xml:space="preserve"> Bryant </w:t>
      </w:r>
      <w:proofErr w:type="spellStart"/>
      <w:r w:rsidRPr="00391F6E">
        <w:rPr>
          <w:lang w:val="fr-CA"/>
        </w:rPr>
        <w:t>Barristers</w:t>
      </w:r>
      <w:proofErr w:type="spellEnd"/>
      <w:r w:rsidRPr="00391F6E">
        <w:rPr>
          <w:lang w:val="fr-CA"/>
        </w:rPr>
        <w:t xml:space="preserve">, Toronto; </w:t>
      </w:r>
      <w:r w:rsidRPr="00391F6E">
        <w:rPr>
          <w:rStyle w:val="SCCCounselPartyRoleChar"/>
          <w:lang w:val="fr-CA"/>
        </w:rPr>
        <w:t xml:space="preserve">HIV &amp; AIDS </w:t>
      </w:r>
      <w:proofErr w:type="spellStart"/>
      <w:r w:rsidRPr="00391F6E">
        <w:rPr>
          <w:rStyle w:val="SCCCounselPartyRoleChar"/>
          <w:lang w:val="fr-CA"/>
        </w:rPr>
        <w:t>Legal</w:t>
      </w:r>
      <w:proofErr w:type="spellEnd"/>
      <w:r w:rsidRPr="00391F6E">
        <w:rPr>
          <w:rStyle w:val="SCCCounselPartyRoleChar"/>
          <w:lang w:val="fr-CA"/>
        </w:rPr>
        <w:t xml:space="preserve"> Clinic Ontario, Toronto; </w:t>
      </w:r>
      <w:r w:rsidRPr="00391F6E">
        <w:rPr>
          <w:lang w:val="fr-CA"/>
        </w:rPr>
        <w:t>Réseau juridique canadien VIH/sida, Toronto.</w:t>
      </w:r>
    </w:p>
    <w:sectPr w:rsidR="004D7D95" w:rsidRPr="00391F6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D8" w:rsidRDefault="005532D8">
      <w:r>
        <w:separator/>
      </w:r>
    </w:p>
  </w:endnote>
  <w:endnote w:type="continuationSeparator" w:id="0">
    <w:p w:rsidR="005532D8" w:rsidRDefault="0055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D8" w:rsidRDefault="005532D8">
      <w:r>
        <w:separator/>
      </w:r>
    </w:p>
  </w:footnote>
  <w:footnote w:type="continuationSeparator" w:id="0">
    <w:p w:rsidR="005532D8" w:rsidRDefault="00553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D8" w:rsidRPr="00450352" w:rsidRDefault="005532D8"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07F5E"/>
    <w:multiLevelType w:val="hybridMultilevel"/>
    <w:tmpl w:val="FA508CBA"/>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5C18DE"/>
    <w:multiLevelType w:val="multilevel"/>
    <w:tmpl w:val="6B3A16D0"/>
    <w:lvl w:ilvl="0">
      <w:start w:val="1"/>
      <w:numFmt w:val="decimal"/>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FA40CA"/>
    <w:multiLevelType w:val="hybridMultilevel"/>
    <w:tmpl w:val="F3743236"/>
    <w:lvl w:ilvl="0" w:tplc="CB7E578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DA261F"/>
    <w:multiLevelType w:val="hybridMultilevel"/>
    <w:tmpl w:val="80FA83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21"/>
  </w:num>
  <w:num w:numId="3">
    <w:abstractNumId w:val="12"/>
  </w:num>
  <w:num w:numId="4">
    <w:abstractNumId w:val="11"/>
  </w:num>
  <w:num w:numId="5">
    <w:abstractNumId w:val="16"/>
  </w:num>
  <w:num w:numId="6">
    <w:abstractNumId w:val="18"/>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cs="Times New Roman"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cs="Times New Roman" w:hint="default"/>
          <w:b w:val="0"/>
          <w:i w:val="0"/>
        </w:rPr>
      </w:lvl>
    </w:lvlOverride>
    <w:lvlOverride w:ilvl="4">
      <w:lvl w:ilvl="4">
        <w:start w:val="1"/>
        <w:numFmt w:val="lowerRoman"/>
        <w:pStyle w:val="Title5LevelTitre5Niveau"/>
        <w:lvlText w:val="(%5)"/>
        <w:lvlJc w:val="left"/>
        <w:pPr>
          <w:tabs>
            <w:tab w:val="num" w:pos="1728"/>
          </w:tabs>
          <w:ind w:left="1728" w:hanging="576"/>
        </w:pPr>
        <w:rPr>
          <w:rFonts w:cs="Times New Roman" w:hint="default"/>
        </w:rPr>
      </w:lvl>
    </w:lvlOverride>
    <w:lvlOverride w:ilvl="5">
      <w:lvl w:ilvl="5">
        <w:start w:val="1"/>
        <w:numFmt w:val="decimal"/>
        <w:pStyle w:val="Title6LevelTitre6Niveau"/>
        <w:lvlText w:val="%6."/>
        <w:lvlJc w:val="left"/>
        <w:pPr>
          <w:tabs>
            <w:tab w:val="num" w:pos="1728"/>
          </w:tabs>
          <w:ind w:left="1728" w:hanging="576"/>
        </w:pPr>
        <w:rPr>
          <w:rFonts w:cs="Times New Roman" w:hint="default"/>
          <w:b w:val="0"/>
          <w:i w:val="0"/>
        </w:rPr>
      </w:lvl>
    </w:lvlOverride>
    <w:lvlOverride w:ilvl="6">
      <w:lvl w:ilvl="6">
        <w:start w:val="1"/>
        <w:numFmt w:val="decimal"/>
        <w:lvlText w:val="%7."/>
        <w:lvlJc w:val="left"/>
        <w:pPr>
          <w:ind w:left="8208" w:hanging="432"/>
        </w:pPr>
        <w:rPr>
          <w:rFonts w:cs="Times New Roman" w:hint="default"/>
        </w:rPr>
      </w:lvl>
    </w:lvlOverride>
    <w:lvlOverride w:ilvl="7">
      <w:lvl w:ilvl="7">
        <w:start w:val="1"/>
        <w:numFmt w:val="lowerLetter"/>
        <w:lvlText w:val="%8."/>
        <w:lvlJc w:val="left"/>
        <w:pPr>
          <w:ind w:left="8640" w:hanging="432"/>
        </w:pPr>
        <w:rPr>
          <w:rFonts w:cs="Times New Roman" w:hint="default"/>
        </w:rPr>
      </w:lvl>
    </w:lvlOverride>
    <w:lvlOverride w:ilvl="8">
      <w:lvl w:ilvl="8">
        <w:start w:val="1"/>
        <w:numFmt w:val="lowerRoman"/>
        <w:lvlText w:val="%9."/>
        <w:lvlJc w:val="left"/>
        <w:pPr>
          <w:ind w:left="9072" w:hanging="432"/>
        </w:pPr>
        <w:rPr>
          <w:rFonts w:cs="Times New Roman" w:hint="default"/>
        </w:rPr>
      </w:lvl>
    </w:lvlOverride>
  </w:num>
  <w:num w:numId="9">
    <w:abstractNumId w:val="14"/>
    <w:lvlOverride w:ilvl="0">
      <w:lvl w:ilvl="0">
        <w:start w:val="1"/>
        <w:numFmt w:val="upperRoman"/>
        <w:pStyle w:val="Title1LevelTitre1Niveau-AltL"/>
        <w:lvlText w:val="%1."/>
        <w:lvlJc w:val="left"/>
        <w:pPr>
          <w:tabs>
            <w:tab w:val="num" w:pos="576"/>
          </w:tabs>
          <w:ind w:left="576" w:hanging="576"/>
        </w:pPr>
        <w:rPr>
          <w:rFonts w:cs="Times New Roman" w:hint="default"/>
          <w:sz w:val="24"/>
        </w:rPr>
      </w:lvl>
    </w:lvlOverride>
    <w:lvlOverride w:ilvl="1">
      <w:lvl w:ilvl="1">
        <w:start w:val="1"/>
        <w:numFmt w:val="upperLetter"/>
        <w:pStyle w:val="Title2LevelTitre2Niveau"/>
        <w:lvlText w:val="%2."/>
        <w:lvlJc w:val="left"/>
        <w:pPr>
          <w:tabs>
            <w:tab w:val="num" w:pos="666"/>
          </w:tabs>
          <w:ind w:left="66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cs="Times New Roman" w:hint="default"/>
          <w:b w:val="0"/>
          <w:i w:val="0"/>
          <w:strike w:val="0"/>
          <w:color w:val="auto"/>
        </w:rPr>
      </w:lvl>
    </w:lvlOverride>
    <w:lvlOverride w:ilvl="4">
      <w:lvl w:ilvl="4">
        <w:start w:val="1"/>
        <w:numFmt w:val="lowerRoman"/>
        <w:pStyle w:val="Title5LevelTitre5Niveau"/>
        <w:lvlText w:val="(%5)"/>
        <w:lvlJc w:val="left"/>
        <w:pPr>
          <w:tabs>
            <w:tab w:val="num" w:pos="1728"/>
          </w:tabs>
          <w:ind w:left="1728" w:hanging="576"/>
        </w:pPr>
        <w:rPr>
          <w:rFonts w:cs="Times New Roman" w:hint="default"/>
        </w:rPr>
      </w:lvl>
    </w:lvlOverride>
    <w:lvlOverride w:ilvl="5">
      <w:lvl w:ilvl="5">
        <w:start w:val="1"/>
        <w:numFmt w:val="decimal"/>
        <w:pStyle w:val="Title6LevelTitre6Niveau"/>
        <w:lvlText w:val="%6."/>
        <w:lvlJc w:val="left"/>
        <w:pPr>
          <w:tabs>
            <w:tab w:val="num" w:pos="1728"/>
          </w:tabs>
          <w:ind w:left="1728" w:hanging="576"/>
        </w:pPr>
        <w:rPr>
          <w:rFonts w:cs="Times New Roman" w:hint="default"/>
          <w:b w:val="0"/>
          <w:i w:val="0"/>
        </w:rPr>
      </w:lvl>
    </w:lvlOverride>
    <w:lvlOverride w:ilvl="6">
      <w:lvl w:ilvl="6">
        <w:start w:val="1"/>
        <w:numFmt w:val="decimal"/>
        <w:lvlText w:val="%7."/>
        <w:lvlJc w:val="left"/>
        <w:pPr>
          <w:ind w:left="8208" w:hanging="432"/>
        </w:pPr>
        <w:rPr>
          <w:rFonts w:cs="Times New Roman" w:hint="default"/>
        </w:rPr>
      </w:lvl>
    </w:lvlOverride>
    <w:lvlOverride w:ilvl="7">
      <w:lvl w:ilvl="7">
        <w:start w:val="1"/>
        <w:numFmt w:val="lowerLetter"/>
        <w:lvlText w:val="%8."/>
        <w:lvlJc w:val="left"/>
        <w:pPr>
          <w:ind w:left="8640" w:hanging="432"/>
        </w:pPr>
        <w:rPr>
          <w:rFonts w:cs="Times New Roman" w:hint="default"/>
        </w:rPr>
      </w:lvl>
    </w:lvlOverride>
    <w:lvlOverride w:ilvl="8">
      <w:lvl w:ilvl="8">
        <w:start w:val="1"/>
        <w:numFmt w:val="lowerRoman"/>
        <w:lvlText w:val="%9."/>
        <w:lvlJc w:val="left"/>
        <w:pPr>
          <w:ind w:left="9072" w:hanging="432"/>
        </w:pPr>
        <w:rPr>
          <w:rFonts w:cs="Times New Roman" w:hint="default"/>
        </w:rPr>
      </w:lvl>
    </w:lvlOverride>
  </w:num>
  <w:num w:numId="10">
    <w:abstractNumId w:val="19"/>
  </w:num>
  <w:num w:numId="11">
    <w:abstractNumId w:val="22"/>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4C87"/>
    <w:rsid w:val="00023FC7"/>
    <w:rsid w:val="00025198"/>
    <w:rsid w:val="000578A3"/>
    <w:rsid w:val="000648CC"/>
    <w:rsid w:val="000C59B8"/>
    <w:rsid w:val="000C6AF0"/>
    <w:rsid w:val="000D0A77"/>
    <w:rsid w:val="000F7993"/>
    <w:rsid w:val="00103926"/>
    <w:rsid w:val="00104F33"/>
    <w:rsid w:val="00111DE2"/>
    <w:rsid w:val="00116B38"/>
    <w:rsid w:val="00135406"/>
    <w:rsid w:val="00135972"/>
    <w:rsid w:val="001426A9"/>
    <w:rsid w:val="00147051"/>
    <w:rsid w:val="00154D7C"/>
    <w:rsid w:val="001570B0"/>
    <w:rsid w:val="0015752C"/>
    <w:rsid w:val="00157737"/>
    <w:rsid w:val="00165277"/>
    <w:rsid w:val="00170270"/>
    <w:rsid w:val="00170592"/>
    <w:rsid w:val="001720F7"/>
    <w:rsid w:val="0018561D"/>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135E"/>
    <w:rsid w:val="00243EC8"/>
    <w:rsid w:val="00270D93"/>
    <w:rsid w:val="002745CC"/>
    <w:rsid w:val="00296055"/>
    <w:rsid w:val="00297F6E"/>
    <w:rsid w:val="002B6FBE"/>
    <w:rsid w:val="002B7924"/>
    <w:rsid w:val="002C10A6"/>
    <w:rsid w:val="002D28C3"/>
    <w:rsid w:val="002D39A4"/>
    <w:rsid w:val="002E42A5"/>
    <w:rsid w:val="002E6705"/>
    <w:rsid w:val="003012D7"/>
    <w:rsid w:val="0030329A"/>
    <w:rsid w:val="0031086F"/>
    <w:rsid w:val="0031414C"/>
    <w:rsid w:val="00314E01"/>
    <w:rsid w:val="0032089D"/>
    <w:rsid w:val="003310DE"/>
    <w:rsid w:val="003323B0"/>
    <w:rsid w:val="00340A49"/>
    <w:rsid w:val="0035169A"/>
    <w:rsid w:val="0035259D"/>
    <w:rsid w:val="00364B18"/>
    <w:rsid w:val="00374710"/>
    <w:rsid w:val="00391F6E"/>
    <w:rsid w:val="003935AA"/>
    <w:rsid w:val="003946DF"/>
    <w:rsid w:val="00396F38"/>
    <w:rsid w:val="003A125D"/>
    <w:rsid w:val="003A4C70"/>
    <w:rsid w:val="003B215F"/>
    <w:rsid w:val="003C799C"/>
    <w:rsid w:val="003D0399"/>
    <w:rsid w:val="003E1C71"/>
    <w:rsid w:val="003F2F78"/>
    <w:rsid w:val="003F327B"/>
    <w:rsid w:val="00406166"/>
    <w:rsid w:val="0040704B"/>
    <w:rsid w:val="00410A55"/>
    <w:rsid w:val="00411300"/>
    <w:rsid w:val="00413F17"/>
    <w:rsid w:val="00415417"/>
    <w:rsid w:val="00423E4B"/>
    <w:rsid w:val="00426659"/>
    <w:rsid w:val="004336F0"/>
    <w:rsid w:val="00450352"/>
    <w:rsid w:val="00454BDB"/>
    <w:rsid w:val="004640A8"/>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35610"/>
    <w:rsid w:val="00535626"/>
    <w:rsid w:val="0054696D"/>
    <w:rsid w:val="005532D8"/>
    <w:rsid w:val="00555291"/>
    <w:rsid w:val="00566AD1"/>
    <w:rsid w:val="00583EDE"/>
    <w:rsid w:val="005A6079"/>
    <w:rsid w:val="005E4698"/>
    <w:rsid w:val="00603924"/>
    <w:rsid w:val="00610539"/>
    <w:rsid w:val="00613969"/>
    <w:rsid w:val="00625C35"/>
    <w:rsid w:val="00647E49"/>
    <w:rsid w:val="00656313"/>
    <w:rsid w:val="006565F4"/>
    <w:rsid w:val="006653FD"/>
    <w:rsid w:val="00684EEA"/>
    <w:rsid w:val="00696766"/>
    <w:rsid w:val="0069689B"/>
    <w:rsid w:val="006B5FF5"/>
    <w:rsid w:val="006E30B8"/>
    <w:rsid w:val="006E5B9E"/>
    <w:rsid w:val="006F027B"/>
    <w:rsid w:val="006F30AF"/>
    <w:rsid w:val="006F3361"/>
    <w:rsid w:val="00701759"/>
    <w:rsid w:val="007027F8"/>
    <w:rsid w:val="00705C15"/>
    <w:rsid w:val="007110F6"/>
    <w:rsid w:val="007208D1"/>
    <w:rsid w:val="00744518"/>
    <w:rsid w:val="00747288"/>
    <w:rsid w:val="00747DD3"/>
    <w:rsid w:val="007549C8"/>
    <w:rsid w:val="00766D14"/>
    <w:rsid w:val="00767A0F"/>
    <w:rsid w:val="00784F6E"/>
    <w:rsid w:val="00791272"/>
    <w:rsid w:val="007A05F6"/>
    <w:rsid w:val="007B295D"/>
    <w:rsid w:val="007B6F4A"/>
    <w:rsid w:val="007E1C47"/>
    <w:rsid w:val="007E337A"/>
    <w:rsid w:val="007E5C70"/>
    <w:rsid w:val="007F2FF5"/>
    <w:rsid w:val="007F3F08"/>
    <w:rsid w:val="00804CC6"/>
    <w:rsid w:val="00810B3F"/>
    <w:rsid w:val="00817190"/>
    <w:rsid w:val="008260E2"/>
    <w:rsid w:val="008322BD"/>
    <w:rsid w:val="00834F73"/>
    <w:rsid w:val="00836391"/>
    <w:rsid w:val="00855340"/>
    <w:rsid w:val="00864C8A"/>
    <w:rsid w:val="00864CF8"/>
    <w:rsid w:val="00874914"/>
    <w:rsid w:val="00880FA6"/>
    <w:rsid w:val="00891422"/>
    <w:rsid w:val="00892E1A"/>
    <w:rsid w:val="008A1248"/>
    <w:rsid w:val="008B660A"/>
    <w:rsid w:val="008C01DA"/>
    <w:rsid w:val="008F2674"/>
    <w:rsid w:val="008F300E"/>
    <w:rsid w:val="008F78E9"/>
    <w:rsid w:val="009179F9"/>
    <w:rsid w:val="00917C7A"/>
    <w:rsid w:val="00933E5E"/>
    <w:rsid w:val="00935218"/>
    <w:rsid w:val="00937C52"/>
    <w:rsid w:val="009403F3"/>
    <w:rsid w:val="00950B48"/>
    <w:rsid w:val="009555B7"/>
    <w:rsid w:val="009567AA"/>
    <w:rsid w:val="009602C9"/>
    <w:rsid w:val="00967374"/>
    <w:rsid w:val="009A343A"/>
    <w:rsid w:val="009B2F23"/>
    <w:rsid w:val="009B57B3"/>
    <w:rsid w:val="009C3FBA"/>
    <w:rsid w:val="009D2920"/>
    <w:rsid w:val="009D5AEB"/>
    <w:rsid w:val="009F0E33"/>
    <w:rsid w:val="00A03AF9"/>
    <w:rsid w:val="00A149DF"/>
    <w:rsid w:val="00A1755C"/>
    <w:rsid w:val="00A21B90"/>
    <w:rsid w:val="00A22AAC"/>
    <w:rsid w:val="00A41805"/>
    <w:rsid w:val="00A51882"/>
    <w:rsid w:val="00A52AFB"/>
    <w:rsid w:val="00A54074"/>
    <w:rsid w:val="00A548CB"/>
    <w:rsid w:val="00A5521C"/>
    <w:rsid w:val="00A643E7"/>
    <w:rsid w:val="00A73C38"/>
    <w:rsid w:val="00AB43A2"/>
    <w:rsid w:val="00AB670D"/>
    <w:rsid w:val="00AF03C5"/>
    <w:rsid w:val="00B000D8"/>
    <w:rsid w:val="00B00F75"/>
    <w:rsid w:val="00B145B6"/>
    <w:rsid w:val="00B16104"/>
    <w:rsid w:val="00B279EB"/>
    <w:rsid w:val="00B413FC"/>
    <w:rsid w:val="00B45A6B"/>
    <w:rsid w:val="00B50C81"/>
    <w:rsid w:val="00B557F8"/>
    <w:rsid w:val="00B601AA"/>
    <w:rsid w:val="00B815FC"/>
    <w:rsid w:val="00B85907"/>
    <w:rsid w:val="00B93FBC"/>
    <w:rsid w:val="00BA572B"/>
    <w:rsid w:val="00BA7DA0"/>
    <w:rsid w:val="00BB2EE4"/>
    <w:rsid w:val="00BB4C92"/>
    <w:rsid w:val="00BC2108"/>
    <w:rsid w:val="00BD0E9E"/>
    <w:rsid w:val="00BD1BEC"/>
    <w:rsid w:val="00BD32FF"/>
    <w:rsid w:val="00BF6FE9"/>
    <w:rsid w:val="00C02092"/>
    <w:rsid w:val="00C13434"/>
    <w:rsid w:val="00C24D91"/>
    <w:rsid w:val="00C26DB2"/>
    <w:rsid w:val="00C33753"/>
    <w:rsid w:val="00C53F14"/>
    <w:rsid w:val="00C600CF"/>
    <w:rsid w:val="00C6084F"/>
    <w:rsid w:val="00C62A66"/>
    <w:rsid w:val="00C66359"/>
    <w:rsid w:val="00C71458"/>
    <w:rsid w:val="00C77613"/>
    <w:rsid w:val="00C828E7"/>
    <w:rsid w:val="00C86719"/>
    <w:rsid w:val="00C921DD"/>
    <w:rsid w:val="00CA6391"/>
    <w:rsid w:val="00CD7205"/>
    <w:rsid w:val="00CE036E"/>
    <w:rsid w:val="00CE3171"/>
    <w:rsid w:val="00CF0D37"/>
    <w:rsid w:val="00CF1601"/>
    <w:rsid w:val="00D0172F"/>
    <w:rsid w:val="00D01E33"/>
    <w:rsid w:val="00D068A7"/>
    <w:rsid w:val="00D17476"/>
    <w:rsid w:val="00D27565"/>
    <w:rsid w:val="00D32086"/>
    <w:rsid w:val="00D37A3F"/>
    <w:rsid w:val="00D4431D"/>
    <w:rsid w:val="00D4667A"/>
    <w:rsid w:val="00D63A1C"/>
    <w:rsid w:val="00D75030"/>
    <w:rsid w:val="00D7516F"/>
    <w:rsid w:val="00D95F8E"/>
    <w:rsid w:val="00DA0590"/>
    <w:rsid w:val="00DC1739"/>
    <w:rsid w:val="00DC1788"/>
    <w:rsid w:val="00DC57EE"/>
    <w:rsid w:val="00DD1B8C"/>
    <w:rsid w:val="00DE319C"/>
    <w:rsid w:val="00DF0CA8"/>
    <w:rsid w:val="00DF2B48"/>
    <w:rsid w:val="00DF49A7"/>
    <w:rsid w:val="00E07EE2"/>
    <w:rsid w:val="00E07FD1"/>
    <w:rsid w:val="00E24573"/>
    <w:rsid w:val="00E25E1E"/>
    <w:rsid w:val="00E27EE7"/>
    <w:rsid w:val="00E35404"/>
    <w:rsid w:val="00E400E9"/>
    <w:rsid w:val="00E45109"/>
    <w:rsid w:val="00E47B7A"/>
    <w:rsid w:val="00E56A44"/>
    <w:rsid w:val="00E60269"/>
    <w:rsid w:val="00E71C02"/>
    <w:rsid w:val="00E97830"/>
    <w:rsid w:val="00EA789F"/>
    <w:rsid w:val="00EC47BB"/>
    <w:rsid w:val="00EC79C5"/>
    <w:rsid w:val="00ED2C01"/>
    <w:rsid w:val="00EE0830"/>
    <w:rsid w:val="00EE6CB8"/>
    <w:rsid w:val="00EF0683"/>
    <w:rsid w:val="00EF6253"/>
    <w:rsid w:val="00F0070C"/>
    <w:rsid w:val="00F00EB7"/>
    <w:rsid w:val="00F11FC6"/>
    <w:rsid w:val="00F235F8"/>
    <w:rsid w:val="00F36AB6"/>
    <w:rsid w:val="00F37A09"/>
    <w:rsid w:val="00F409CE"/>
    <w:rsid w:val="00F4379D"/>
    <w:rsid w:val="00F50D2D"/>
    <w:rsid w:val="00F56C8B"/>
    <w:rsid w:val="00F62639"/>
    <w:rsid w:val="00F66810"/>
    <w:rsid w:val="00F84DF4"/>
    <w:rsid w:val="00F85C97"/>
    <w:rsid w:val="00F949C3"/>
    <w:rsid w:val="00FA73E5"/>
    <w:rsid w:val="00FB32BF"/>
    <w:rsid w:val="00FB37D2"/>
    <w:rsid w:val="00FC4EFB"/>
    <w:rsid w:val="00FD068D"/>
    <w:rsid w:val="00FD4F28"/>
    <w:rsid w:val="00FE0B1B"/>
    <w:rsid w:val="00FE4CD3"/>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27F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027F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027F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027F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027F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027F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027F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6F027B"/>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character" w:customStyle="1" w:styleId="Heading3Char">
    <w:name w:val="Heading 3 Char"/>
    <w:basedOn w:val="DefaultParagraphFont"/>
    <w:link w:val="Heading3"/>
    <w:uiPriority w:val="9"/>
    <w:semiHidden/>
    <w:rsid w:val="007027F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027F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027F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027F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027F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027F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027F8"/>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7027F8"/>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7027F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027F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027F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027F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027F8"/>
    <w:rPr>
      <w:b/>
      <w:sz w:val="24"/>
    </w:rPr>
  </w:style>
  <w:style w:type="table" w:styleId="TableGrid">
    <w:name w:val="Table Grid"/>
    <w:basedOn w:val="TableNormal"/>
    <w:uiPriority w:val="59"/>
    <w:rsid w:val="007027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027F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027F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027F8"/>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7027F8"/>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027F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027F8"/>
    <w:pPr>
      <w:numPr>
        <w:ilvl w:val="2"/>
      </w:numPr>
    </w:pPr>
  </w:style>
  <w:style w:type="paragraph" w:customStyle="1" w:styleId="Title4LevelTitre4Niveau">
    <w:name w:val="Title 4 Level / Titre 4 Niveau"/>
    <w:basedOn w:val="Title3LevelTitre3Niveau"/>
    <w:next w:val="ParaNoNdepar-AltN"/>
    <w:uiPriority w:val="4"/>
    <w:qFormat/>
    <w:rsid w:val="007027F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027F8"/>
    <w:pPr>
      <w:numPr>
        <w:ilvl w:val="4"/>
      </w:numPr>
    </w:pPr>
  </w:style>
  <w:style w:type="paragraph" w:customStyle="1" w:styleId="TitleTitre-AltT">
    <w:name w:val="Title / Titre - Alt T"/>
    <w:next w:val="ParaNoNdepar-AltN"/>
    <w:uiPriority w:val="3"/>
    <w:qFormat/>
    <w:rsid w:val="007027F8"/>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027F8"/>
    <w:pPr>
      <w:numPr>
        <w:ilvl w:val="5"/>
      </w:numPr>
    </w:pPr>
    <w:rPr>
      <w:i/>
      <w:u w:val="none"/>
    </w:rPr>
  </w:style>
  <w:style w:type="paragraph" w:customStyle="1" w:styleId="section">
    <w:name w:val="section"/>
    <w:basedOn w:val="Normal"/>
    <w:uiPriority w:val="99"/>
    <w:rsid w:val="007027F8"/>
    <w:pPr>
      <w:spacing w:before="168" w:after="120"/>
      <w:ind w:firstLine="360"/>
    </w:pPr>
    <w:rPr>
      <w:rFonts w:eastAsiaTheme="minorHAnsi" w:cstheme="minorBidi"/>
      <w:szCs w:val="24"/>
      <w:lang w:eastAsia="en-US" w:bidi="en-US"/>
    </w:rPr>
  </w:style>
  <w:style w:type="character" w:customStyle="1" w:styleId="sectionlabel">
    <w:name w:val="sectionlabel"/>
    <w:basedOn w:val="DefaultParagraphFont"/>
    <w:uiPriority w:val="99"/>
    <w:rsid w:val="007027F8"/>
    <w:rPr>
      <w:rFonts w:cs="Times New Roman"/>
      <w:b/>
      <w:bCs/>
    </w:rPr>
  </w:style>
  <w:style w:type="character" w:styleId="CommentReference">
    <w:name w:val="annotation reference"/>
    <w:basedOn w:val="DefaultParagraphFont"/>
    <w:uiPriority w:val="99"/>
    <w:semiHidden/>
    <w:unhideWhenUsed/>
    <w:rsid w:val="007027F8"/>
    <w:rPr>
      <w:sz w:val="16"/>
      <w:szCs w:val="16"/>
    </w:rPr>
  </w:style>
  <w:style w:type="paragraph" w:styleId="CommentText">
    <w:name w:val="annotation text"/>
    <w:basedOn w:val="Normal"/>
    <w:link w:val="CommentTextChar"/>
    <w:uiPriority w:val="99"/>
    <w:semiHidden/>
    <w:unhideWhenUsed/>
    <w:rsid w:val="007027F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027F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027F8"/>
    <w:rPr>
      <w:b/>
      <w:bCs/>
    </w:rPr>
  </w:style>
  <w:style w:type="character" w:customStyle="1" w:styleId="CommentSubjectChar">
    <w:name w:val="Comment Subject Char"/>
    <w:basedOn w:val="CommentTextChar"/>
    <w:link w:val="CommentSubject"/>
    <w:uiPriority w:val="99"/>
    <w:semiHidden/>
    <w:rsid w:val="007027F8"/>
    <w:rPr>
      <w:rFonts w:eastAsiaTheme="minorHAnsi" w:cstheme="minorBidi"/>
      <w:b/>
      <w:bCs/>
      <w:szCs w:val="22"/>
      <w:lang w:val="en-US" w:eastAsia="en-US" w:bidi="en-US"/>
    </w:rPr>
  </w:style>
  <w:style w:type="character" w:customStyle="1" w:styleId="htitletext21">
    <w:name w:val="htitletext21"/>
    <w:basedOn w:val="DefaultParagraphFont"/>
    <w:uiPriority w:val="99"/>
    <w:rsid w:val="007027F8"/>
    <w:rPr>
      <w:rFonts w:cs="Times New Roman"/>
    </w:rPr>
  </w:style>
  <w:style w:type="character" w:customStyle="1" w:styleId="JudgeJugeChar">
    <w:name w:val="Judge / Juge Char"/>
    <w:basedOn w:val="DefaultParagraphFont"/>
    <w:link w:val="JudgeJuge"/>
    <w:uiPriority w:val="3"/>
    <w:rsid w:val="007027F8"/>
    <w:rPr>
      <w:smallCaps/>
      <w:sz w:val="24"/>
    </w:rPr>
  </w:style>
  <w:style w:type="paragraph" w:styleId="TOCHeading">
    <w:name w:val="TOC Heading"/>
    <w:basedOn w:val="Heading1"/>
    <w:next w:val="Normal"/>
    <w:uiPriority w:val="39"/>
    <w:semiHidden/>
    <w:unhideWhenUsed/>
    <w:qFormat/>
    <w:rsid w:val="007027F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027F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027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027F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027F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027F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027F8"/>
    <w:rPr>
      <w:i/>
      <w:iCs/>
    </w:rPr>
  </w:style>
  <w:style w:type="paragraph" w:styleId="ListParagraph">
    <w:name w:val="List Paragraph"/>
    <w:basedOn w:val="Normal"/>
    <w:uiPriority w:val="34"/>
    <w:rsid w:val="007027F8"/>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7027F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027F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027F8"/>
    <w:rPr>
      <w:i/>
      <w:iCs/>
      <w:color w:val="808080" w:themeColor="text1" w:themeTint="7F"/>
    </w:rPr>
  </w:style>
  <w:style w:type="character" w:styleId="IntenseEmphasis">
    <w:name w:val="Intense Emphasis"/>
    <w:basedOn w:val="DefaultParagraphFont"/>
    <w:uiPriority w:val="21"/>
    <w:rsid w:val="007027F8"/>
    <w:rPr>
      <w:b/>
      <w:bCs/>
      <w:i/>
      <w:iCs/>
      <w:color w:val="4F81BD" w:themeColor="accent1"/>
    </w:rPr>
  </w:style>
  <w:style w:type="character" w:styleId="SubtleReference">
    <w:name w:val="Subtle Reference"/>
    <w:basedOn w:val="DefaultParagraphFont"/>
    <w:uiPriority w:val="31"/>
    <w:rsid w:val="007027F8"/>
    <w:rPr>
      <w:smallCaps/>
      <w:color w:val="C0504D" w:themeColor="accent2"/>
      <w:u w:val="single"/>
    </w:rPr>
  </w:style>
  <w:style w:type="character" w:styleId="IntenseReference">
    <w:name w:val="Intense Reference"/>
    <w:basedOn w:val="DefaultParagraphFont"/>
    <w:uiPriority w:val="32"/>
    <w:rsid w:val="007027F8"/>
    <w:rPr>
      <w:b/>
      <w:bCs/>
      <w:smallCaps/>
      <w:color w:val="C0504D" w:themeColor="accent2"/>
      <w:spacing w:val="5"/>
      <w:u w:val="single"/>
    </w:rPr>
  </w:style>
  <w:style w:type="character" w:styleId="BookTitle">
    <w:name w:val="Book Title"/>
    <w:basedOn w:val="DefaultParagraphFont"/>
    <w:uiPriority w:val="33"/>
    <w:rsid w:val="007027F8"/>
    <w:rPr>
      <w:b/>
      <w:bCs/>
      <w:smallCaps/>
      <w:spacing w:val="5"/>
    </w:rPr>
  </w:style>
  <w:style w:type="paragraph" w:styleId="Revision">
    <w:name w:val="Revision"/>
    <w:hidden/>
    <w:uiPriority w:val="99"/>
    <w:semiHidden/>
    <w:rsid w:val="007027F8"/>
    <w:rPr>
      <w:rFonts w:eastAsiaTheme="minorHAnsi" w:cstheme="minorBidi"/>
      <w:sz w:val="24"/>
      <w:szCs w:val="22"/>
      <w:lang w:val="en-US" w:eastAsia="en-US" w:bidi="en-US"/>
    </w:rPr>
  </w:style>
  <w:style w:type="character" w:styleId="Hyperlink">
    <w:name w:val="Hyperlink"/>
    <w:basedOn w:val="DefaultParagraphFont"/>
    <w:uiPriority w:val="99"/>
    <w:unhideWhenUsed/>
    <w:rsid w:val="007027F8"/>
    <w:rPr>
      <w:color w:val="0000FF" w:themeColor="hyperlink"/>
      <w:u w:val="single"/>
    </w:rPr>
  </w:style>
  <w:style w:type="table" w:customStyle="1" w:styleId="TableGrid1">
    <w:name w:val="Table Grid1"/>
    <w:basedOn w:val="TableNormal"/>
    <w:next w:val="TableGrid"/>
    <w:uiPriority w:val="59"/>
    <w:rsid w:val="007027F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33753"/>
    <w:rPr>
      <w:lang w:val="fr-CA"/>
    </w:rPr>
  </w:style>
  <w:style w:type="paragraph" w:customStyle="1" w:styleId="SCCLsocPrefix">
    <w:name w:val="SCC.Lsoc.Prefix"/>
    <w:basedOn w:val="Normal"/>
    <w:next w:val="Normal"/>
    <w:link w:val="SCCLsocPrefixChar"/>
    <w:rsid w:val="00C3375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33753"/>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2015-06-11T20:08:00Z</dcterms:created>
  <dcterms:modified xsi:type="dcterms:W3CDTF">2015-11-12T15:21:00Z</dcterms:modified>
</cp:coreProperties>
</file>