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0D" w:rsidRDefault="00264B0D" w:rsidP="00264B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7916301" r:id="rId8"/>
        </w:object>
      </w:r>
      <w:r>
        <w:t xml:space="preserve"> </w:t>
      </w:r>
      <w:r>
        <w:ptab w:relativeTo="margin" w:alignment="right" w:leader="none"/>
      </w:r>
    </w:p>
    <w:p w:rsidR="00264B0D" w:rsidRDefault="00264B0D" w:rsidP="00264B0D">
      <w:pPr>
        <w:pStyle w:val="Header"/>
      </w:pPr>
    </w:p>
    <w:p w:rsidR="00264B0D" w:rsidRPr="001E12E2" w:rsidRDefault="00264B0D" w:rsidP="00264B0D">
      <w:pPr>
        <w:jc w:val="center"/>
        <w:rPr>
          <w:b/>
        </w:rPr>
      </w:pPr>
      <w:r w:rsidRPr="001E12E2">
        <w:rPr>
          <w:b/>
        </w:rPr>
        <w:t>COUR SUPRÊME DU CANADA</w:t>
      </w:r>
    </w:p>
    <w:p w:rsidR="00264B0D" w:rsidRDefault="00264B0D" w:rsidP="00264B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64B0D" w:rsidRPr="001E12E2" w:rsidTr="009D2786">
        <w:trPr>
          <w:cantSplit/>
        </w:trPr>
        <w:tc>
          <w:tcPr>
            <w:tcW w:w="6768" w:type="dxa"/>
          </w:tcPr>
          <w:p w:rsidR="00264B0D" w:rsidRPr="001E12E2" w:rsidRDefault="00264B0D" w:rsidP="009D2786">
            <w:r>
              <w:rPr>
                <w:b/>
                <w:smallCaps/>
              </w:rPr>
              <w:t>Référence :</w:t>
            </w:r>
            <w:r w:rsidRPr="001E12E2">
              <w:t xml:space="preserve"> </w:t>
            </w:r>
            <w:r w:rsidRPr="009E41EF">
              <w:t xml:space="preserve">ATCO Gas and Pipelines Ltd. </w:t>
            </w:r>
            <w:r w:rsidRPr="009E41EF">
              <w:rPr>
                <w:i/>
              </w:rPr>
              <w:t>c.</w:t>
            </w:r>
            <w:r w:rsidRPr="009E41EF">
              <w:t xml:space="preserve"> Alberta (Utilities Commission)</w:t>
            </w:r>
            <w:r>
              <w:t>, 2015 CSC 45</w:t>
            </w:r>
            <w:r>
              <w:rPr>
                <w:lang w:val="en-US"/>
              </w:rPr>
              <w:t>, [2015] 3 R.C.S. 219</w:t>
            </w:r>
          </w:p>
        </w:tc>
        <w:tc>
          <w:tcPr>
            <w:tcW w:w="2808" w:type="dxa"/>
          </w:tcPr>
          <w:p w:rsidR="00264B0D" w:rsidRPr="001E12E2" w:rsidRDefault="00264B0D" w:rsidP="009D2786">
            <w:r w:rsidRPr="001E12E2">
              <w:rPr>
                <w:b/>
                <w:smallCaps/>
              </w:rPr>
              <w:t>Date</w:t>
            </w:r>
            <w:r>
              <w:rPr>
                <w:b/>
                <w:smallCaps/>
              </w:rPr>
              <w:t> :</w:t>
            </w:r>
            <w:r w:rsidRPr="001E12E2">
              <w:t xml:space="preserve"> </w:t>
            </w:r>
            <w:r>
              <w:t>20150925</w:t>
            </w:r>
          </w:p>
          <w:p w:rsidR="00264B0D" w:rsidRPr="001E12E2" w:rsidRDefault="00264B0D" w:rsidP="009D2786">
            <w:r w:rsidRPr="001E12E2">
              <w:rPr>
                <w:b/>
                <w:smallCaps/>
              </w:rPr>
              <w:t>Do</w:t>
            </w:r>
            <w:r>
              <w:rPr>
                <w:b/>
                <w:smallCaps/>
              </w:rPr>
              <w:t>ssier :</w:t>
            </w:r>
            <w:r w:rsidRPr="001E12E2">
              <w:t xml:space="preserve"> </w:t>
            </w:r>
            <w:r>
              <w:t>35624</w:t>
            </w:r>
          </w:p>
        </w:tc>
      </w:tr>
    </w:tbl>
    <w:p w:rsidR="00264B0D" w:rsidRPr="001E12E2" w:rsidRDefault="00264B0D" w:rsidP="00264B0D"/>
    <w:p w:rsidR="00264B0D" w:rsidRPr="009E41EF" w:rsidRDefault="00264B0D" w:rsidP="00264B0D">
      <w:pPr>
        <w:pStyle w:val="SCCLsocPrefix"/>
        <w:rPr>
          <w:lang w:val="en-CA"/>
        </w:rPr>
      </w:pPr>
      <w:r w:rsidRPr="009E41EF">
        <w:rPr>
          <w:lang w:val="en-CA"/>
        </w:rPr>
        <w:t>Entre</w:t>
      </w:r>
      <w:r>
        <w:rPr>
          <w:lang w:val="en-CA"/>
        </w:rPr>
        <w:t> </w:t>
      </w:r>
      <w:r w:rsidRPr="009E41EF">
        <w:rPr>
          <w:lang w:val="en-CA"/>
        </w:rPr>
        <w:t>:</w:t>
      </w:r>
    </w:p>
    <w:p w:rsidR="00264B0D" w:rsidRPr="009E41EF" w:rsidRDefault="00264B0D" w:rsidP="00264B0D">
      <w:pPr>
        <w:pStyle w:val="SCCLsocParty"/>
        <w:jc w:val="center"/>
      </w:pPr>
      <w:r w:rsidRPr="009E41EF">
        <w:t>ATCO Gas and Pipelines Ltd.</w:t>
      </w:r>
      <w:r>
        <w:t xml:space="preserve"> et</w:t>
      </w:r>
      <w:r w:rsidRPr="009E41EF">
        <w:t xml:space="preserve"> ATCO Electric Ltd.</w:t>
      </w:r>
    </w:p>
    <w:p w:rsidR="00264B0D" w:rsidRPr="00264B0D" w:rsidRDefault="00264B0D" w:rsidP="00264B0D">
      <w:pPr>
        <w:jc w:val="center"/>
        <w:rPr>
          <w:lang w:val="fr-CA"/>
        </w:rPr>
      </w:pPr>
      <w:r w:rsidRPr="00264B0D">
        <w:rPr>
          <w:lang w:val="fr-CA"/>
        </w:rPr>
        <w:t>Appelantes</w:t>
      </w:r>
    </w:p>
    <w:p w:rsidR="00264B0D" w:rsidRPr="00264B0D" w:rsidRDefault="00264B0D" w:rsidP="00264B0D">
      <w:pPr>
        <w:pStyle w:val="SCCLsocVersus"/>
        <w:spacing w:after="0"/>
        <w:jc w:val="center"/>
        <w:rPr>
          <w:i w:val="0"/>
          <w:lang w:val="fr-CA"/>
        </w:rPr>
      </w:pPr>
      <w:r w:rsidRPr="00264B0D">
        <w:rPr>
          <w:i w:val="0"/>
          <w:lang w:val="fr-CA"/>
        </w:rPr>
        <w:t>et</w:t>
      </w:r>
    </w:p>
    <w:p w:rsidR="00264B0D" w:rsidRPr="00264B0D" w:rsidRDefault="00264B0D" w:rsidP="00264B0D">
      <w:pPr>
        <w:pStyle w:val="SCCLsocParty"/>
        <w:jc w:val="center"/>
        <w:rPr>
          <w:lang w:val="fr-CA"/>
        </w:rPr>
      </w:pPr>
      <w:r w:rsidRPr="00264B0D">
        <w:rPr>
          <w:lang w:val="fr-CA"/>
        </w:rPr>
        <w:t>Alberta Utilities Commission et</w:t>
      </w:r>
    </w:p>
    <w:p w:rsidR="00264B0D" w:rsidRPr="009E41EF" w:rsidRDefault="00264B0D" w:rsidP="00264B0D">
      <w:pPr>
        <w:pStyle w:val="SCCLsocParty"/>
        <w:jc w:val="center"/>
      </w:pPr>
      <w:r w:rsidRPr="009E41EF">
        <w:t>Office of the Utilities Consumer Advocate of Alberta</w:t>
      </w:r>
    </w:p>
    <w:p w:rsidR="00264B0D" w:rsidRPr="00264B0D" w:rsidRDefault="00264B0D" w:rsidP="00264B0D">
      <w:pPr>
        <w:jc w:val="center"/>
        <w:rPr>
          <w:lang w:val="fr-CA"/>
        </w:rPr>
      </w:pPr>
      <w:r w:rsidRPr="00264B0D">
        <w:rPr>
          <w:lang w:val="fr-CA"/>
        </w:rPr>
        <w:t>Intimés</w:t>
      </w:r>
    </w:p>
    <w:p w:rsidR="00264B0D" w:rsidRPr="00264B0D" w:rsidRDefault="00264B0D" w:rsidP="00264B0D">
      <w:pPr>
        <w:jc w:val="center"/>
        <w:rPr>
          <w:lang w:val="fr-CA"/>
        </w:rPr>
      </w:pPr>
      <w:bookmarkStart w:id="0" w:name="_GoBack"/>
      <w:bookmarkEnd w:id="0"/>
    </w:p>
    <w:p w:rsidR="00264B0D" w:rsidRPr="00264B0D" w:rsidRDefault="00264B0D" w:rsidP="00264B0D">
      <w:pPr>
        <w:jc w:val="center"/>
        <w:rPr>
          <w:b/>
          <w:smallCaps/>
          <w:lang w:val="fr-CA"/>
        </w:rPr>
      </w:pPr>
      <w:r w:rsidRPr="00264B0D">
        <w:rPr>
          <w:b/>
          <w:smallCaps/>
          <w:lang w:val="fr-CA"/>
        </w:rPr>
        <w:t>Traduction française officielle</w:t>
      </w:r>
    </w:p>
    <w:p w:rsidR="00264B0D" w:rsidRPr="00264B0D" w:rsidRDefault="00264B0D" w:rsidP="00264B0D">
      <w:pPr>
        <w:rPr>
          <w:lang w:val="fr-CA"/>
        </w:rPr>
      </w:pPr>
    </w:p>
    <w:p w:rsidR="00264B0D" w:rsidRPr="00264B0D" w:rsidRDefault="00264B0D" w:rsidP="00264B0D">
      <w:pPr>
        <w:rPr>
          <w:lang w:val="fr-CA"/>
        </w:rPr>
      </w:pPr>
      <w:r w:rsidRPr="00264B0D">
        <w:rPr>
          <w:b/>
          <w:smallCaps/>
          <w:lang w:val="fr-CA"/>
        </w:rPr>
        <w:t>Coram :</w:t>
      </w:r>
      <w:r w:rsidRPr="00264B0D">
        <w:rPr>
          <w:lang w:val="fr-CA"/>
        </w:rPr>
        <w:t xml:space="preserve"> La juge en chef McLachlin et les juges Abella, Rothstein, Cromwell, Moldaver, Karakatsanis et Gascon</w:t>
      </w:r>
    </w:p>
    <w:p w:rsidR="00264B0D" w:rsidRPr="00264B0D" w:rsidRDefault="00264B0D" w:rsidP="00264B0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64B0D" w:rsidRPr="00264B0D" w:rsidTr="009D2786">
        <w:trPr>
          <w:cantSplit/>
        </w:trPr>
        <w:tc>
          <w:tcPr>
            <w:tcW w:w="3618" w:type="dxa"/>
          </w:tcPr>
          <w:p w:rsidR="00264B0D" w:rsidRPr="00264B0D" w:rsidRDefault="00264B0D" w:rsidP="009D2786">
            <w:pPr>
              <w:rPr>
                <w:b/>
                <w:smallCaps/>
                <w:lang w:val="fr-CA"/>
              </w:rPr>
            </w:pPr>
            <w:r w:rsidRPr="00264B0D">
              <w:rPr>
                <w:b/>
                <w:smallCaps/>
                <w:lang w:val="fr-CA"/>
              </w:rPr>
              <w:t>Motifs de jugement :</w:t>
            </w:r>
          </w:p>
          <w:p w:rsidR="00264B0D" w:rsidRPr="00264B0D" w:rsidRDefault="00264B0D" w:rsidP="009D2786">
            <w:pPr>
              <w:rPr>
                <w:b/>
                <w:smallCaps/>
                <w:lang w:val="fr-CA"/>
              </w:rPr>
            </w:pPr>
            <w:r w:rsidRPr="00264B0D">
              <w:rPr>
                <w:lang w:val="fr-CA"/>
              </w:rPr>
              <w:t>(par. 1 à 66)</w:t>
            </w:r>
          </w:p>
          <w:p w:rsidR="00264B0D" w:rsidRPr="00264B0D" w:rsidRDefault="00264B0D" w:rsidP="009D2786">
            <w:pPr>
              <w:rPr>
                <w:lang w:val="fr-CA"/>
              </w:rPr>
            </w:pPr>
          </w:p>
        </w:tc>
        <w:tc>
          <w:tcPr>
            <w:tcW w:w="5958" w:type="dxa"/>
          </w:tcPr>
          <w:p w:rsidR="00264B0D" w:rsidRPr="00264B0D" w:rsidRDefault="00264B0D" w:rsidP="009D2786">
            <w:pPr>
              <w:rPr>
                <w:lang w:val="fr-CA"/>
              </w:rPr>
            </w:pPr>
            <w:r w:rsidRPr="00264B0D">
              <w:rPr>
                <w:lang w:val="fr-CA"/>
              </w:rPr>
              <w:t>Le juge Rothstein (avec l’accord de la juge en chef McLachlin et des juges Abella, Cromwell, Moldaver, Karakatsanis et Gascon)</w:t>
            </w:r>
          </w:p>
        </w:tc>
      </w:tr>
    </w:tbl>
    <w:p w:rsidR="00264B0D" w:rsidRPr="00264B0D" w:rsidRDefault="00264B0D" w:rsidP="00264B0D">
      <w:pPr>
        <w:rPr>
          <w:lang w:val="fr-CA"/>
        </w:rPr>
      </w:pPr>
    </w:p>
    <w:p w:rsidR="00264B0D" w:rsidRPr="00264B0D" w:rsidRDefault="00264B0D" w:rsidP="00264B0D">
      <w:pPr>
        <w:rPr>
          <w:lang w:val="fr-CA"/>
        </w:rPr>
      </w:pPr>
      <w:r>
        <w:rPr>
          <w:noProof/>
          <w:lang w:val="en-US"/>
        </w:rPr>
        <mc:AlternateContent>
          <mc:Choice Requires="wps">
            <w:drawing>
              <wp:anchor distT="0" distB="0" distL="114300" distR="114300" simplePos="0" relativeHeight="251659264" behindDoc="0" locked="0" layoutInCell="1" allowOverlap="1" wp14:anchorId="52111466" wp14:editId="7448644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2932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64B0D" w:rsidRPr="00264B0D" w:rsidRDefault="00264B0D" w:rsidP="0017514B">
      <w:pPr>
        <w:widowControl w:val="0"/>
        <w:spacing w:after="720"/>
        <w:jc w:val="both"/>
        <w:rPr>
          <w:lang w:val="fr-CA"/>
        </w:rPr>
      </w:pPr>
    </w:p>
    <w:p w:rsidR="00304E3F" w:rsidRPr="001C7CA3" w:rsidRDefault="001C7CA3" w:rsidP="0017514B">
      <w:pPr>
        <w:widowControl w:val="0"/>
        <w:spacing w:after="720"/>
        <w:jc w:val="both"/>
        <w:rPr>
          <w:lang w:val="en-US"/>
        </w:rPr>
      </w:pPr>
      <w:r>
        <w:t>ATCO Gas and P</w:t>
      </w:r>
      <w:r w:rsidR="00304E3F" w:rsidRPr="001C7CA3">
        <w:t>ipelines</w:t>
      </w:r>
      <w:r>
        <w:t xml:space="preserve"> Ltd.</w:t>
      </w:r>
      <w:r w:rsidR="00304E3F" w:rsidRPr="001C7CA3">
        <w:rPr>
          <w:lang w:val="en-US"/>
        </w:rPr>
        <w:t xml:space="preserve"> </w:t>
      </w:r>
      <w:r w:rsidR="00304E3F" w:rsidRPr="001C7CA3">
        <w:rPr>
          <w:i/>
          <w:lang w:val="en-US"/>
        </w:rPr>
        <w:t>c.</w:t>
      </w:r>
      <w:r w:rsidR="00304E3F" w:rsidRPr="001C7CA3">
        <w:rPr>
          <w:lang w:val="en-US"/>
        </w:rPr>
        <w:t xml:space="preserve"> </w:t>
      </w:r>
      <w:r>
        <w:t>A</w:t>
      </w:r>
      <w:r w:rsidR="00304E3F" w:rsidRPr="001C7CA3">
        <w:t>lb</w:t>
      </w:r>
      <w:r w:rsidR="00E72A10" w:rsidRPr="001C7CA3">
        <w:t>erta</w:t>
      </w:r>
      <w:r>
        <w:t xml:space="preserve"> (Utilities Commission), </w:t>
      </w:r>
      <w:r w:rsidRPr="001C7CA3">
        <w:rPr>
          <w:lang w:val="en-US"/>
        </w:rPr>
        <w:t>2015 CSC 45</w:t>
      </w:r>
      <w:r>
        <w:rPr>
          <w:lang w:val="en-US"/>
        </w:rPr>
        <w:t>, [2015] 3 R.C.S. 219</w:t>
      </w:r>
    </w:p>
    <w:p w:rsidR="00304E3F" w:rsidRPr="001F002B" w:rsidRDefault="00304E3F" w:rsidP="0017514B">
      <w:pPr>
        <w:pStyle w:val="SCCLsocParty"/>
        <w:widowControl w:val="0"/>
      </w:pPr>
      <w:r w:rsidRPr="001F002B">
        <w:t>ATCO Gas and Pipelines Ltd. et</w:t>
      </w:r>
    </w:p>
    <w:p w:rsidR="00304E3F" w:rsidRPr="001F002B" w:rsidRDefault="00304E3F" w:rsidP="0017514B">
      <w:pPr>
        <w:pStyle w:val="SCCLsocLastPartyInRole"/>
        <w:widowControl w:val="0"/>
      </w:pPr>
      <w:r w:rsidRPr="001F002B">
        <w:t>ATCO Electric Ltd.</w:t>
      </w:r>
      <w:r w:rsidRPr="001F002B">
        <w:rPr>
          <w:rStyle w:val="SCCLsocPartyRole"/>
        </w:rPr>
        <w:tab/>
        <w:t>Appelantes</w:t>
      </w:r>
    </w:p>
    <w:p w:rsidR="00304E3F" w:rsidRPr="001F002B" w:rsidRDefault="00304E3F" w:rsidP="0017514B">
      <w:pPr>
        <w:pStyle w:val="SCCLsocVersus"/>
        <w:widowControl w:val="0"/>
      </w:pPr>
      <w:r w:rsidRPr="001F002B">
        <w:t>c.</w:t>
      </w:r>
    </w:p>
    <w:p w:rsidR="00304E3F" w:rsidRPr="001F002B" w:rsidRDefault="00304E3F" w:rsidP="0017514B">
      <w:pPr>
        <w:pStyle w:val="SCCLsocParty"/>
        <w:widowControl w:val="0"/>
      </w:pPr>
      <w:r w:rsidRPr="001F002B">
        <w:t>Alberta Utilities Commission et</w:t>
      </w:r>
    </w:p>
    <w:p w:rsidR="00304E3F" w:rsidRPr="001F002B" w:rsidRDefault="00304E3F" w:rsidP="0017514B">
      <w:pPr>
        <w:pStyle w:val="SCCLsocLastPartyInRole"/>
        <w:widowControl w:val="0"/>
      </w:pPr>
      <w:r w:rsidRPr="001F002B">
        <w:lastRenderedPageBreak/>
        <w:t>Office of the Utilities Consumer Advocate of Alberta</w:t>
      </w:r>
      <w:r w:rsidRPr="001F002B">
        <w:rPr>
          <w:rStyle w:val="SCCLsocPartyRole"/>
        </w:rPr>
        <w:tab/>
        <w:t>Intimés</w:t>
      </w:r>
    </w:p>
    <w:p w:rsidR="00304E3F" w:rsidRPr="001F002B" w:rsidRDefault="00304E3F" w:rsidP="0017514B">
      <w:pPr>
        <w:widowControl w:val="0"/>
        <w:spacing w:after="720"/>
        <w:jc w:val="both"/>
        <w:rPr>
          <w:b/>
          <w:lang w:val="fr-CA"/>
        </w:rPr>
      </w:pPr>
      <w:r w:rsidRPr="001F002B">
        <w:rPr>
          <w:b/>
          <w:lang w:val="fr-CA"/>
        </w:rPr>
        <w:t xml:space="preserve">Répertorié : ATCO Gas and Pipelines Ltd. </w:t>
      </w:r>
      <w:r w:rsidRPr="001F002B">
        <w:rPr>
          <w:b/>
          <w:i/>
          <w:lang w:val="fr-CA"/>
        </w:rPr>
        <w:t>c.</w:t>
      </w:r>
      <w:r w:rsidRPr="001F002B">
        <w:rPr>
          <w:b/>
          <w:lang w:val="fr-CA"/>
        </w:rPr>
        <w:t xml:space="preserve"> Alberta (Utilities Commission)</w:t>
      </w:r>
    </w:p>
    <w:p w:rsidR="00304E3F" w:rsidRPr="001F002B" w:rsidRDefault="00304E3F" w:rsidP="0017514B">
      <w:pPr>
        <w:pStyle w:val="SCCSystemYear"/>
        <w:widowControl w:val="0"/>
        <w:spacing w:after="720"/>
        <w:jc w:val="both"/>
        <w:rPr>
          <w:lang w:val="fr-CA"/>
        </w:rPr>
      </w:pPr>
      <w:r w:rsidRPr="001F002B">
        <w:rPr>
          <w:lang w:val="fr-CA"/>
        </w:rPr>
        <w:t>2015 CSC 45</w:t>
      </w:r>
    </w:p>
    <w:p w:rsidR="00304E3F" w:rsidRPr="001F002B" w:rsidRDefault="00304E3F" w:rsidP="0017514B">
      <w:pPr>
        <w:widowControl w:val="0"/>
        <w:spacing w:after="720"/>
        <w:jc w:val="both"/>
        <w:rPr>
          <w:lang w:val="fr-CA"/>
        </w:rPr>
      </w:pPr>
      <w:r w:rsidRPr="001F002B">
        <w:rPr>
          <w:lang w:val="fr-CA"/>
        </w:rPr>
        <w:t>N</w:t>
      </w:r>
      <w:r w:rsidRPr="001F002B">
        <w:rPr>
          <w:vertAlign w:val="superscript"/>
          <w:lang w:val="fr-CA"/>
        </w:rPr>
        <w:t>o</w:t>
      </w:r>
      <w:r w:rsidRPr="001F002B">
        <w:rPr>
          <w:lang w:val="fr-CA"/>
        </w:rPr>
        <w:t xml:space="preserve"> du greffe : 35624.</w:t>
      </w:r>
    </w:p>
    <w:p w:rsidR="00304E3F" w:rsidRPr="001F002B" w:rsidRDefault="00304E3F" w:rsidP="0017514B">
      <w:pPr>
        <w:widowControl w:val="0"/>
        <w:spacing w:after="720"/>
        <w:jc w:val="both"/>
        <w:rPr>
          <w:lang w:val="fr-CA"/>
        </w:rPr>
      </w:pPr>
      <w:r w:rsidRPr="001F002B">
        <w:rPr>
          <w:lang w:val="fr-CA"/>
        </w:rPr>
        <w:t>2014 : 3 décembre; 2015 : 25 septembre.</w:t>
      </w:r>
    </w:p>
    <w:p w:rsidR="00304E3F" w:rsidRPr="001F002B" w:rsidRDefault="00304E3F" w:rsidP="0017514B">
      <w:pPr>
        <w:widowControl w:val="0"/>
        <w:spacing w:after="720"/>
        <w:jc w:val="both"/>
        <w:rPr>
          <w:lang w:val="fr-CA"/>
        </w:rPr>
      </w:pPr>
      <w:r w:rsidRPr="001F002B">
        <w:rPr>
          <w:lang w:val="fr-CA"/>
        </w:rPr>
        <w:t>Présents : La juge en chef McLachlin et les juges Abella, Rothstein, Cromwell, Moldaver, Karakatsanis et Gascon.</w:t>
      </w:r>
    </w:p>
    <w:p w:rsidR="00304E3F" w:rsidRPr="001F002B" w:rsidRDefault="00304E3F" w:rsidP="0017514B">
      <w:pPr>
        <w:widowControl w:val="0"/>
        <w:spacing w:after="720"/>
        <w:jc w:val="both"/>
        <w:rPr>
          <w:smallCaps/>
          <w:lang w:val="fr-CA"/>
        </w:rPr>
      </w:pPr>
      <w:r w:rsidRPr="001F002B">
        <w:rPr>
          <w:smallCaps/>
          <w:lang w:val="fr-CA"/>
        </w:rPr>
        <w:t>en appel de la cour d’appel de l’alberta</w:t>
      </w:r>
    </w:p>
    <w:p w:rsidR="00304E3F" w:rsidRPr="001F002B" w:rsidRDefault="00304E3F" w:rsidP="0017514B">
      <w:pPr>
        <w:pStyle w:val="SCCNormalDoubleSpacing"/>
        <w:widowControl w:val="0"/>
        <w:spacing w:before="480" w:after="480"/>
        <w:rPr>
          <w:rFonts w:eastAsiaTheme="minorHAnsi"/>
          <w:i/>
          <w:szCs w:val="24"/>
          <w:lang w:val="fr-CA" w:eastAsia="en-US"/>
        </w:rPr>
      </w:pPr>
      <w:r w:rsidRPr="001F002B">
        <w:rPr>
          <w:lang w:val="fr-CA"/>
        </w:rPr>
        <w:tab/>
      </w:r>
      <w:r w:rsidRPr="001F002B">
        <w:rPr>
          <w:rFonts w:eastAsiaTheme="minorHAnsi"/>
          <w:i/>
          <w:szCs w:val="24"/>
          <w:lang w:val="fr-CA" w:eastAsia="en-US"/>
        </w:rPr>
        <w:t>Services publics — Gaz — Électricité — Décision d’un organisme de réglementation des services publics relativement à l’établissement des tarifs — Demande de services publics en vue de recouvrer certaines charges de retraite grâce aux tarifs établis par l’Alberta Utilities Commission — Le régime réglementaire impose</w:t>
      </w:r>
      <w:r w:rsidRPr="001F002B">
        <w:rPr>
          <w:rFonts w:eastAsiaTheme="minorHAnsi"/>
          <w:i/>
          <w:szCs w:val="24"/>
          <w:lang w:val="fr-CA" w:eastAsia="en-US"/>
        </w:rPr>
        <w:noBreakHyphen/>
        <w:t>t</w:t>
      </w:r>
      <w:r w:rsidRPr="001F002B">
        <w:rPr>
          <w:rFonts w:eastAsiaTheme="minorHAnsi"/>
          <w:i/>
          <w:szCs w:val="24"/>
          <w:lang w:val="fr-CA" w:eastAsia="en-US"/>
        </w:rPr>
        <w:noBreakHyphen/>
        <w:t>il une méthode en particulier pour apprécier le caractère prudent des dépenses? — L’interprétation par la Commission de son pouvoir en matière d’établissement des tarifs et l’exercice de ce pouvoir étaient</w:t>
      </w:r>
      <w:r w:rsidRPr="001F002B">
        <w:rPr>
          <w:rFonts w:eastAsiaTheme="minorHAnsi"/>
          <w:i/>
          <w:szCs w:val="24"/>
          <w:lang w:val="fr-CA" w:eastAsia="en-US"/>
        </w:rPr>
        <w:noBreakHyphen/>
        <w:t>ils raisonnables? — Electric Utilities Act, S.A. 2003, c. E</w:t>
      </w:r>
      <w:r w:rsidRPr="001F002B">
        <w:rPr>
          <w:rFonts w:eastAsiaTheme="minorHAnsi"/>
          <w:i/>
          <w:szCs w:val="24"/>
          <w:lang w:val="fr-CA" w:eastAsia="en-US"/>
        </w:rPr>
        <w:noBreakHyphen/>
        <w:t>5.1, art. 102, 121</w:t>
      </w:r>
      <w:r w:rsidR="00EB47C9">
        <w:rPr>
          <w:rFonts w:eastAsiaTheme="minorHAnsi"/>
          <w:i/>
          <w:szCs w:val="24"/>
          <w:lang w:val="fr-CA" w:eastAsia="en-US"/>
        </w:rPr>
        <w:t>,</w:t>
      </w:r>
      <w:r w:rsidRPr="001F002B">
        <w:rPr>
          <w:rFonts w:eastAsiaTheme="minorHAnsi"/>
          <w:i/>
          <w:szCs w:val="24"/>
          <w:lang w:val="fr-CA" w:eastAsia="en-US"/>
        </w:rPr>
        <w:t xml:space="preserve"> 122 — Gas Utilities Act, R.S.A. 2000, c. G</w:t>
      </w:r>
      <w:r w:rsidRPr="001F002B">
        <w:rPr>
          <w:rFonts w:eastAsiaTheme="minorHAnsi"/>
          <w:i/>
          <w:szCs w:val="24"/>
          <w:lang w:val="fr-CA" w:eastAsia="en-US"/>
        </w:rPr>
        <w:noBreakHyphen/>
        <w:t>5, art. 36.</w:t>
      </w:r>
    </w:p>
    <w:p w:rsidR="00304E3F" w:rsidRPr="001F002B" w:rsidRDefault="00304E3F" w:rsidP="0017514B">
      <w:pPr>
        <w:pStyle w:val="SCCNormalDoubleSpacing"/>
        <w:widowControl w:val="0"/>
        <w:spacing w:before="480" w:after="480"/>
        <w:rPr>
          <w:rFonts w:eastAsiaTheme="minorHAnsi"/>
          <w:szCs w:val="24"/>
          <w:lang w:val="fr-CA" w:eastAsia="en-US"/>
        </w:rPr>
      </w:pPr>
      <w:r w:rsidRPr="001F002B">
        <w:rPr>
          <w:rFonts w:eastAsiaTheme="minorHAnsi"/>
          <w:szCs w:val="24"/>
          <w:lang w:val="fr-CA" w:eastAsia="en-US"/>
        </w:rPr>
        <w:tab/>
        <w:t>L’Alberta Utili</w:t>
      </w:r>
      <w:r>
        <w:rPr>
          <w:rFonts w:eastAsiaTheme="minorHAnsi"/>
          <w:szCs w:val="24"/>
          <w:lang w:val="fr-CA" w:eastAsia="en-US"/>
        </w:rPr>
        <w:t xml:space="preserve">ties Commission </w:t>
      </w:r>
      <w:r w:rsidRPr="001F002B">
        <w:rPr>
          <w:rFonts w:eastAsiaTheme="minorHAnsi"/>
          <w:szCs w:val="24"/>
          <w:lang w:val="fr-CA" w:eastAsia="en-US"/>
        </w:rPr>
        <w:t xml:space="preserve">a rejeté la demande présentée par ATCO </w:t>
      </w:r>
      <w:r w:rsidRPr="001F002B">
        <w:rPr>
          <w:rFonts w:eastAsiaTheme="minorHAnsi"/>
          <w:szCs w:val="24"/>
          <w:lang w:val="fr-CA" w:eastAsia="en-US"/>
        </w:rPr>
        <w:lastRenderedPageBreak/>
        <w:t>Gas and Pipelines Ltd. et ATCO Electric Ltd. (les « services publics ATCO ») en vue de recouvrer, selon les taux approuvés, certaines charges de retraite correspondant à l’ajustement annuel au coût de la vie (« AACV ») pour l’année 2012. Au lieu d’approuver ce recouvrement à raison de 100 p. </w:t>
      </w:r>
      <w:r w:rsidR="00A41D1C">
        <w:rPr>
          <w:rFonts w:eastAsiaTheme="minorHAnsi"/>
          <w:szCs w:val="24"/>
          <w:lang w:val="fr-CA" w:eastAsia="en-US"/>
        </w:rPr>
        <w:t>100</w:t>
      </w:r>
      <w:r w:rsidRPr="001F002B">
        <w:rPr>
          <w:rFonts w:eastAsiaTheme="minorHAnsi"/>
          <w:szCs w:val="24"/>
          <w:lang w:val="fr-CA" w:eastAsia="en-US"/>
        </w:rPr>
        <w:t xml:space="preserve"> de l’indice des prix à la consommation (« IPC ») de l’année (</w:t>
      </w:r>
      <w:r>
        <w:rPr>
          <w:rFonts w:eastAsiaTheme="minorHAnsi"/>
          <w:szCs w:val="24"/>
          <w:lang w:val="fr-CA" w:eastAsia="en-US"/>
        </w:rPr>
        <w:t>AACV d’</w:t>
      </w:r>
      <w:r w:rsidRPr="001F002B">
        <w:rPr>
          <w:rFonts w:eastAsiaTheme="minorHAnsi"/>
          <w:szCs w:val="24"/>
          <w:lang w:val="fr-CA" w:eastAsia="en-US"/>
        </w:rPr>
        <w:t>au plus 3 p. </w:t>
      </w:r>
      <w:r w:rsidR="00A41D1C">
        <w:rPr>
          <w:rFonts w:eastAsiaTheme="minorHAnsi"/>
          <w:szCs w:val="24"/>
          <w:lang w:val="fr-CA" w:eastAsia="en-US"/>
        </w:rPr>
        <w:t>100</w:t>
      </w:r>
      <w:r w:rsidRPr="001F002B">
        <w:rPr>
          <w:rFonts w:eastAsiaTheme="minorHAnsi"/>
          <w:szCs w:val="24"/>
          <w:lang w:val="fr-CA" w:eastAsia="en-US"/>
        </w:rPr>
        <w:t>), la Commission a jugé raisonnable le recouvrement de seulement 50 p. </w:t>
      </w:r>
      <w:r w:rsidR="00A41D1C">
        <w:rPr>
          <w:rFonts w:eastAsiaTheme="minorHAnsi"/>
          <w:szCs w:val="24"/>
          <w:lang w:val="fr-CA" w:eastAsia="en-US"/>
        </w:rPr>
        <w:t>100</w:t>
      </w:r>
      <w:r w:rsidRPr="001F002B">
        <w:rPr>
          <w:rFonts w:eastAsiaTheme="minorHAnsi"/>
          <w:szCs w:val="24"/>
          <w:lang w:val="fr-CA" w:eastAsia="en-US"/>
        </w:rPr>
        <w:t xml:space="preserve"> de l’IPC annuel. La Cour d’appel de l’Alberta a rejeté l’appel de cette décision par les services publics ATCO.</w:t>
      </w:r>
    </w:p>
    <w:p w:rsidR="00304E3F" w:rsidRPr="001F002B" w:rsidRDefault="00304E3F" w:rsidP="0017514B">
      <w:pPr>
        <w:pStyle w:val="SCCNormalDoubleSpacing"/>
        <w:widowControl w:val="0"/>
        <w:spacing w:before="480" w:after="480"/>
        <w:rPr>
          <w:rFonts w:eastAsiaTheme="minorHAnsi"/>
          <w:szCs w:val="24"/>
          <w:lang w:val="fr-CA" w:eastAsia="en-US"/>
        </w:rPr>
      </w:pPr>
      <w:r w:rsidRPr="001F002B">
        <w:rPr>
          <w:rFonts w:eastAsiaTheme="minorHAnsi"/>
          <w:szCs w:val="24"/>
          <w:lang w:val="fr-CA" w:eastAsia="en-US"/>
        </w:rPr>
        <w:tab/>
      </w:r>
      <w:r w:rsidRPr="001F002B">
        <w:rPr>
          <w:rFonts w:eastAsiaTheme="minorHAnsi"/>
          <w:i/>
          <w:szCs w:val="24"/>
          <w:lang w:val="fr-CA" w:eastAsia="en-US"/>
        </w:rPr>
        <w:t>Arrêt</w:t>
      </w:r>
      <w:r w:rsidRPr="001F002B">
        <w:rPr>
          <w:rFonts w:eastAsiaTheme="minorHAnsi"/>
          <w:szCs w:val="24"/>
          <w:lang w:val="fr-CA" w:eastAsia="en-US"/>
        </w:rPr>
        <w:t> : Le pourvoi est rejeté.</w:t>
      </w:r>
    </w:p>
    <w:p w:rsidR="00304E3F" w:rsidRPr="001F002B" w:rsidRDefault="00304E3F" w:rsidP="0017514B">
      <w:pPr>
        <w:pStyle w:val="SCCNormalDoubleSpacing"/>
        <w:widowControl w:val="0"/>
        <w:spacing w:before="480" w:after="480"/>
        <w:rPr>
          <w:rFonts w:eastAsiaTheme="minorHAnsi"/>
          <w:szCs w:val="24"/>
          <w:lang w:val="fr-CA" w:eastAsia="en-US"/>
        </w:rPr>
      </w:pPr>
      <w:r w:rsidRPr="001F002B">
        <w:rPr>
          <w:rFonts w:eastAsiaTheme="minorHAnsi"/>
          <w:szCs w:val="24"/>
          <w:lang w:val="fr-CA" w:eastAsia="en-US"/>
        </w:rPr>
        <w:tab/>
        <w:t>Un principe clé du droit réglementaire canadien veut qu’un service public réglementé ait la possibilité de recouvrer ses dépenses d’exploitation et ses coûts en capital grâce à sa tarification. C’est ce qui ressort de l’</w:t>
      </w:r>
      <w:r w:rsidRPr="001F002B">
        <w:rPr>
          <w:rFonts w:eastAsiaTheme="minorHAnsi"/>
          <w:i/>
          <w:szCs w:val="24"/>
          <w:lang w:val="fr-CA" w:eastAsia="en-US"/>
        </w:rPr>
        <w:t xml:space="preserve">Electric Utilities Act </w:t>
      </w:r>
      <w:r w:rsidRPr="001F002B">
        <w:rPr>
          <w:rFonts w:eastAsiaTheme="minorHAnsi"/>
          <w:szCs w:val="24"/>
          <w:lang w:val="fr-CA" w:eastAsia="en-US"/>
        </w:rPr>
        <w:t xml:space="preserve">et de la </w:t>
      </w:r>
      <w:r w:rsidRPr="001F002B">
        <w:rPr>
          <w:rFonts w:eastAsiaTheme="minorHAnsi"/>
          <w:i/>
          <w:szCs w:val="24"/>
          <w:lang w:val="fr-CA" w:eastAsia="en-US"/>
        </w:rPr>
        <w:t>Gas Utilities Act</w:t>
      </w:r>
      <w:r>
        <w:rPr>
          <w:rFonts w:eastAsiaTheme="minorHAnsi"/>
          <w:i/>
          <w:szCs w:val="24"/>
          <w:lang w:val="fr-CA" w:eastAsia="en-US"/>
        </w:rPr>
        <w:t xml:space="preserve"> </w:t>
      </w:r>
      <w:r>
        <w:rPr>
          <w:rFonts w:eastAsiaTheme="minorHAnsi"/>
          <w:szCs w:val="24"/>
          <w:lang w:val="fr-CA" w:eastAsia="en-US"/>
        </w:rPr>
        <w:t>de l’Alberta</w:t>
      </w:r>
      <w:r w:rsidRPr="001F002B">
        <w:rPr>
          <w:rFonts w:eastAsiaTheme="minorHAnsi"/>
          <w:szCs w:val="24"/>
          <w:lang w:val="fr-CA" w:eastAsia="en-US"/>
        </w:rPr>
        <w:t>, lesquelles renvoient à une possibilité raisonnable de recouvrer les dépenses et les charges dans la mesure où elles sont prudentes. La Commission doit donc déterminer si les dépenses du service public peuvent être recouvrées parce qu’elles sont raisonnables ou, sous le régime de l’</w:t>
      </w:r>
      <w:r w:rsidRPr="001F002B">
        <w:rPr>
          <w:rFonts w:eastAsiaTheme="minorHAnsi"/>
          <w:i/>
          <w:szCs w:val="24"/>
          <w:lang w:val="fr-CA" w:eastAsia="en-US"/>
        </w:rPr>
        <w:t xml:space="preserve">Electric Utilities Act </w:t>
      </w:r>
      <w:r w:rsidRPr="001F002B">
        <w:rPr>
          <w:rFonts w:eastAsiaTheme="minorHAnsi"/>
          <w:szCs w:val="24"/>
          <w:lang w:val="fr-CA" w:eastAsia="en-US"/>
        </w:rPr>
        <w:t xml:space="preserve">et de la </w:t>
      </w:r>
      <w:r w:rsidRPr="001F002B">
        <w:rPr>
          <w:rFonts w:eastAsiaTheme="minorHAnsi"/>
          <w:i/>
          <w:szCs w:val="24"/>
          <w:lang w:val="fr-CA" w:eastAsia="en-US"/>
        </w:rPr>
        <w:t>Gas Utilities Act</w:t>
      </w:r>
      <w:r w:rsidRPr="001F002B">
        <w:rPr>
          <w:rFonts w:eastAsiaTheme="minorHAnsi"/>
          <w:szCs w:val="24"/>
          <w:lang w:val="fr-CA" w:eastAsia="en-US"/>
        </w:rPr>
        <w:t xml:space="preserve">, parce qu’elles sont « prudentes ». Lorsque les dépenses sont jugées prudentes, la Commission doit permettre au service public de les recouvrer grâce à sa tarification. </w:t>
      </w:r>
    </w:p>
    <w:p w:rsidR="00304E3F" w:rsidRPr="001F002B" w:rsidRDefault="00304E3F" w:rsidP="0017514B">
      <w:pPr>
        <w:pStyle w:val="SCCNormalDoubleSpacing"/>
        <w:widowControl w:val="0"/>
        <w:spacing w:before="480" w:after="480"/>
        <w:rPr>
          <w:rFonts w:eastAsiaTheme="minorEastAsia"/>
          <w:szCs w:val="22"/>
          <w:lang w:val="fr-CA" w:eastAsia="en-US"/>
        </w:rPr>
      </w:pPr>
      <w:r w:rsidRPr="001F002B">
        <w:rPr>
          <w:rFonts w:eastAsiaTheme="minorHAnsi"/>
          <w:szCs w:val="24"/>
          <w:lang w:val="fr-CA" w:eastAsia="en-US"/>
        </w:rPr>
        <w:tab/>
        <w:t>L’</w:t>
      </w:r>
      <w:r w:rsidRPr="001F002B">
        <w:rPr>
          <w:rFonts w:eastAsiaTheme="minorEastAsia"/>
          <w:szCs w:val="22"/>
          <w:lang w:val="fr-CA" w:eastAsia="en-US"/>
        </w:rPr>
        <w:t xml:space="preserve">exigence de la prudence doit s’interpréter selon le sens ordinaire de ce mot : pour justifier l’octroi d’une possibilité raisonnable de recouvrement, les dépenses et les charges énumérées doivent résulter d’une décision sage ou bonne; autrement dit, </w:t>
      </w:r>
      <w:r w:rsidRPr="001F002B">
        <w:rPr>
          <w:rFonts w:eastAsiaTheme="minorEastAsia"/>
          <w:szCs w:val="22"/>
          <w:lang w:val="fr-CA" w:eastAsia="en-US"/>
        </w:rPr>
        <w:lastRenderedPageBreak/>
        <w:t>elles doivent être raisonnables.</w:t>
      </w:r>
      <w:r w:rsidRPr="001F002B">
        <w:rPr>
          <w:rFonts w:eastAsiaTheme="minorEastAsia"/>
          <w:szCs w:val="24"/>
          <w:lang w:val="fr-CA" w:eastAsia="en-US"/>
        </w:rPr>
        <w:t xml:space="preserve"> </w:t>
      </w:r>
      <w:r w:rsidRPr="001F002B">
        <w:rPr>
          <w:rFonts w:eastAsiaTheme="minorEastAsia"/>
          <w:szCs w:val="22"/>
          <w:lang w:val="fr-CA" w:eastAsia="en-US"/>
        </w:rPr>
        <w:t>Ni le sens ordinaire du mot « prudentes », ni son emploi en tant que condition autonome dans la loi ne permettent de déterminer le moment en fonction duquel la prudence doit être appréciée. En conséquence, ni le sens ordinaire du mot « prudentes », ni le texte de la loi n’indiquent que la Commission est tenue de se prononcer sur les dépenses en cause sans recul; la loi n’impose pas non plus de présomption de prudence en pareilles circonstances. Dans le contexte de la réglementation de services publics, il n’existe aucune différence entre des dépenses « prudentes » au sens ordinaire de ce terme et des dépenses que l’on pourrait qualifier de raisonnables.</w:t>
      </w:r>
      <w:r w:rsidRPr="001F002B">
        <w:rPr>
          <w:rFonts w:eastAsiaTheme="minorEastAsia"/>
          <w:szCs w:val="24"/>
          <w:lang w:val="fr-CA" w:eastAsia="en-US"/>
        </w:rPr>
        <w:t xml:space="preserve"> </w:t>
      </w:r>
      <w:r w:rsidRPr="001F002B">
        <w:rPr>
          <w:rFonts w:eastAsiaTheme="minorEastAsia"/>
          <w:szCs w:val="22"/>
          <w:lang w:val="fr-CA" w:eastAsia="en-US"/>
        </w:rPr>
        <w:t>Il ne serait pas imprudent de faire des dépenses raisonnables, pas plus qu’il ne serait prudent de faire des dépenses déraisonnables</w:t>
      </w:r>
      <w:r w:rsidRPr="001F002B">
        <w:rPr>
          <w:rFonts w:eastAsiaTheme="minorEastAsia"/>
          <w:szCs w:val="24"/>
          <w:lang w:val="fr-CA" w:eastAsia="en-US"/>
        </w:rPr>
        <w:t xml:space="preserve">. De plus, </w:t>
      </w:r>
      <w:r w:rsidRPr="001F002B">
        <w:rPr>
          <w:rFonts w:eastAsiaTheme="minorEastAsia"/>
          <w:szCs w:val="22"/>
          <w:lang w:val="fr-CA" w:eastAsia="en-US"/>
        </w:rPr>
        <w:t>il incombe au service public de démontrer que la tarification qu’il propose est juste et raisonnable</w:t>
      </w:r>
      <w:r w:rsidRPr="001F002B">
        <w:rPr>
          <w:rFonts w:eastAsiaTheme="minorEastAsia"/>
          <w:szCs w:val="24"/>
          <w:lang w:val="fr-CA" w:eastAsia="en-US"/>
        </w:rPr>
        <w:t xml:space="preserve">, ce qui </w:t>
      </w:r>
      <w:r w:rsidRPr="001F002B">
        <w:rPr>
          <w:rFonts w:eastAsiaTheme="minorEastAsia"/>
          <w:szCs w:val="22"/>
          <w:lang w:val="fr-CA" w:eastAsia="en-US"/>
        </w:rPr>
        <w:t>l’oblige nécessairement à démontrer que ses dépenses sont prudentes</w:t>
      </w:r>
      <w:r w:rsidRPr="001F002B">
        <w:rPr>
          <w:rFonts w:eastAsiaTheme="minorEastAsia"/>
          <w:szCs w:val="24"/>
          <w:lang w:val="fr-CA" w:eastAsia="en-US"/>
        </w:rPr>
        <w:t xml:space="preserve">. </w:t>
      </w:r>
      <w:r w:rsidRPr="001F002B">
        <w:rPr>
          <w:rFonts w:eastAsiaTheme="minorEastAsia"/>
          <w:szCs w:val="22"/>
          <w:lang w:val="fr-CA" w:eastAsia="en-US"/>
        </w:rPr>
        <w:t>L’incidence de l’augmentation des tarifs sur le consommateur ne saurait justifier la Commission de refuser le recouvrement des dépenses. Cela ne veut pas dire pour autant que la Commission n’a pas à prendre en considération les intérêts des consommateurs. La réglementation tarifaire les prend en considération en ne permettant que le recouvrement des dépenses raisonnables ou prudentes que le service public fait pour la prestation efficace du service. Autrement dit, l’organisme de réglementation s’assure que le consommateur ne paie pas plus que ce qui est raisonnablement nécessaire.</w:t>
      </w:r>
    </w:p>
    <w:p w:rsidR="00304E3F" w:rsidRPr="001F002B" w:rsidRDefault="00304E3F" w:rsidP="0017514B">
      <w:pPr>
        <w:pStyle w:val="SCCNormalDoubleSpacing"/>
        <w:widowControl w:val="0"/>
        <w:spacing w:before="480" w:after="480"/>
        <w:rPr>
          <w:rFonts w:eastAsiaTheme="minorEastAsia"/>
          <w:szCs w:val="22"/>
          <w:lang w:val="fr-CA" w:eastAsia="en-US"/>
        </w:rPr>
      </w:pPr>
      <w:r w:rsidRPr="001F002B">
        <w:rPr>
          <w:rFonts w:eastAsiaTheme="minorEastAsia"/>
          <w:szCs w:val="24"/>
          <w:lang w:val="fr-CA" w:eastAsia="en-US"/>
        </w:rPr>
        <w:tab/>
        <w:t>Même si le libellé de leurs dispositions permet le recouvrement de dépenses « prudentes », l’</w:t>
      </w:r>
      <w:r w:rsidRPr="001F002B">
        <w:rPr>
          <w:rFonts w:eastAsiaTheme="minorEastAsia"/>
          <w:i/>
          <w:szCs w:val="24"/>
          <w:lang w:val="fr-CA" w:eastAsia="en-US"/>
        </w:rPr>
        <w:t>Electric Utilities Act</w:t>
      </w:r>
      <w:r w:rsidRPr="001F002B">
        <w:rPr>
          <w:rFonts w:eastAsiaTheme="minorEastAsia"/>
          <w:szCs w:val="24"/>
          <w:lang w:val="fr-CA" w:eastAsia="en-US"/>
        </w:rPr>
        <w:t xml:space="preserve"> et la </w:t>
      </w:r>
      <w:r w:rsidRPr="001F002B">
        <w:rPr>
          <w:rFonts w:eastAsiaTheme="minorEastAsia"/>
          <w:i/>
          <w:szCs w:val="24"/>
          <w:lang w:val="fr-CA" w:eastAsia="en-US"/>
        </w:rPr>
        <w:t>Gas Utilities Act</w:t>
      </w:r>
      <w:r w:rsidRPr="001F002B">
        <w:rPr>
          <w:rFonts w:eastAsiaTheme="minorEastAsia"/>
          <w:szCs w:val="24"/>
          <w:lang w:val="fr-CA" w:eastAsia="en-US"/>
        </w:rPr>
        <w:t xml:space="preserve"> n’imposent pas expressément à la Commission une méthode d’analyse donnée chaque fois que la notion de « prudence » est invoquée. </w:t>
      </w:r>
      <w:r w:rsidRPr="001F002B">
        <w:rPr>
          <w:rFonts w:eastAsiaTheme="minorEastAsia"/>
          <w:szCs w:val="22"/>
          <w:lang w:val="fr-CA" w:eastAsia="en-US"/>
        </w:rPr>
        <w:t xml:space="preserve">La Commission peut donc s’en remettre à son </w:t>
      </w:r>
      <w:r w:rsidRPr="001F002B">
        <w:rPr>
          <w:rFonts w:eastAsiaTheme="minorEastAsia"/>
          <w:szCs w:val="22"/>
          <w:lang w:val="fr-CA" w:eastAsia="en-US"/>
        </w:rPr>
        <w:lastRenderedPageBreak/>
        <w:t xml:space="preserve">expertise pour décider si les dépenses sont prudentes (au sens ordinaire de </w:t>
      </w:r>
      <w:r w:rsidRPr="00EE7254">
        <w:rPr>
          <w:rFonts w:eastAsiaTheme="minorEastAsia"/>
          <w:szCs w:val="22"/>
          <w:lang w:val="fr-CA" w:eastAsia="en-US"/>
        </w:rPr>
        <w:t>raisonnables</w:t>
      </w:r>
      <w:r w:rsidRPr="001F002B">
        <w:rPr>
          <w:rFonts w:eastAsiaTheme="minorEastAsia"/>
          <w:szCs w:val="22"/>
          <w:lang w:val="fr-CA" w:eastAsia="en-US"/>
        </w:rPr>
        <w:t>) et tenir alors compte de divers outils d’analyse et éléments de preuve à condition, au final, que les tarifs fixés soient justes et raisonnables tant pour le consommateur que pour le service public.</w:t>
      </w:r>
    </w:p>
    <w:p w:rsidR="00304E3F" w:rsidRPr="001F002B" w:rsidRDefault="00304E3F" w:rsidP="0017514B">
      <w:pPr>
        <w:pStyle w:val="SCCNormalDoubleSpacing"/>
        <w:widowControl w:val="0"/>
        <w:spacing w:before="480" w:after="480"/>
        <w:rPr>
          <w:rFonts w:eastAsiaTheme="minorEastAsia"/>
          <w:szCs w:val="24"/>
          <w:lang w:val="fr-CA" w:eastAsia="en-US"/>
        </w:rPr>
      </w:pPr>
      <w:r w:rsidRPr="001F002B">
        <w:rPr>
          <w:rFonts w:eastAsiaTheme="minorEastAsia"/>
          <w:szCs w:val="24"/>
          <w:lang w:val="fr-CA" w:eastAsia="en-US"/>
        </w:rPr>
        <w:tab/>
        <w:t>La norme de contrôle applicable à la décision de la Commission lorsque celle</w:t>
      </w:r>
      <w:r w:rsidRPr="001F002B">
        <w:rPr>
          <w:rFonts w:eastAsiaTheme="minorEastAsia"/>
          <w:szCs w:val="24"/>
          <w:lang w:val="fr-CA" w:eastAsia="en-US"/>
        </w:rPr>
        <w:noBreakHyphen/>
        <w:t>ci met son expertise à contribution pour fixer les tarifs et approuver les paiements</w:t>
      </w:r>
      <w:r w:rsidRPr="001F002B">
        <w:rPr>
          <w:rFonts w:eastAsiaTheme="minorEastAsia"/>
          <w:i/>
          <w:szCs w:val="24"/>
          <w:lang w:val="fr-CA" w:eastAsia="en-US"/>
        </w:rPr>
        <w:t xml:space="preserve"> </w:t>
      </w:r>
      <w:r w:rsidRPr="001F002B">
        <w:rPr>
          <w:rFonts w:eastAsiaTheme="minorEastAsia"/>
          <w:szCs w:val="24"/>
          <w:lang w:val="fr-CA" w:eastAsia="en-US"/>
        </w:rPr>
        <w:t>est celle de la décision raisonnable. Suivant cette norme de contrôle, l’interprétation de sa loi constitutive par la Commission commande la déférence. Dans la présente affaire, il n’était pas déraisonnable que la Commission décide, sans recourir à une méthode excluant le recul, que 50 p. </w:t>
      </w:r>
      <w:r w:rsidR="00A41D1C">
        <w:rPr>
          <w:rFonts w:eastAsiaTheme="minorEastAsia"/>
          <w:szCs w:val="24"/>
          <w:lang w:val="fr-CA" w:eastAsia="en-US"/>
        </w:rPr>
        <w:t>100</w:t>
      </w:r>
      <w:r w:rsidRPr="001F002B">
        <w:rPr>
          <w:rFonts w:eastAsiaTheme="minorEastAsia"/>
          <w:szCs w:val="24"/>
          <w:lang w:val="fr-CA" w:eastAsia="en-US"/>
        </w:rPr>
        <w:t xml:space="preserve"> de l’IPC (</w:t>
      </w:r>
      <w:r>
        <w:rPr>
          <w:rFonts w:eastAsiaTheme="minorEastAsia"/>
          <w:szCs w:val="24"/>
          <w:lang w:val="fr-CA" w:eastAsia="en-US"/>
        </w:rPr>
        <w:t>AACV d’</w:t>
      </w:r>
      <w:r w:rsidRPr="001F002B">
        <w:rPr>
          <w:rFonts w:eastAsiaTheme="minorEastAsia"/>
          <w:szCs w:val="24"/>
          <w:lang w:val="fr-CA" w:eastAsia="en-US"/>
        </w:rPr>
        <w:t>au plus 3 p. </w:t>
      </w:r>
      <w:r w:rsidR="00A41D1C">
        <w:rPr>
          <w:rFonts w:eastAsiaTheme="minorEastAsia"/>
          <w:szCs w:val="24"/>
          <w:lang w:val="fr-CA" w:eastAsia="en-US"/>
        </w:rPr>
        <w:t>100</w:t>
      </w:r>
      <w:r w:rsidRPr="001F002B">
        <w:rPr>
          <w:rFonts w:eastAsiaTheme="minorEastAsia"/>
          <w:szCs w:val="24"/>
          <w:lang w:val="fr-CA" w:eastAsia="en-US"/>
        </w:rPr>
        <w:t xml:space="preserve">) représentait un taux raisonnable d’AACV pour les besoins de la détermination de la charge de retraite à des fins réglementaires : </w:t>
      </w:r>
      <w:r w:rsidRPr="001F002B">
        <w:rPr>
          <w:rFonts w:eastAsiaTheme="minorEastAsia"/>
          <w:szCs w:val="22"/>
          <w:lang w:val="fr-CA" w:eastAsia="en-US"/>
        </w:rPr>
        <w:t xml:space="preserve">la Commission n’était pas légalement tenue d’appliquer une méthode précise pour apprécier les dépenses en cause; on ne peut considérer que, à lui seul, l’emploi du mot « prudentes » dans </w:t>
      </w:r>
      <w:r w:rsidRPr="001F002B">
        <w:rPr>
          <w:rFonts w:eastAsiaTheme="minorEastAsia"/>
          <w:szCs w:val="24"/>
          <w:lang w:val="fr-CA" w:eastAsia="en-US"/>
        </w:rPr>
        <w:t>l’</w:t>
      </w:r>
      <w:r w:rsidRPr="001F002B">
        <w:rPr>
          <w:rFonts w:eastAsiaTheme="minorEastAsia"/>
          <w:i/>
          <w:szCs w:val="24"/>
          <w:lang w:val="fr-CA" w:eastAsia="en-US"/>
        </w:rPr>
        <w:t>Electric Utilities Act</w:t>
      </w:r>
      <w:r w:rsidRPr="001F002B">
        <w:rPr>
          <w:rFonts w:eastAsiaTheme="minorEastAsia"/>
          <w:szCs w:val="24"/>
          <w:lang w:val="fr-CA" w:eastAsia="en-US"/>
        </w:rPr>
        <w:t xml:space="preserve"> et dans la </w:t>
      </w:r>
      <w:r w:rsidRPr="001F002B">
        <w:rPr>
          <w:rFonts w:eastAsiaTheme="minorEastAsia"/>
          <w:i/>
          <w:szCs w:val="24"/>
          <w:lang w:val="fr-CA" w:eastAsia="en-US"/>
        </w:rPr>
        <w:t>Gas Utilities Act</w:t>
      </w:r>
      <w:r w:rsidRPr="001F002B">
        <w:rPr>
          <w:rFonts w:eastAsiaTheme="minorEastAsia"/>
          <w:szCs w:val="24"/>
          <w:lang w:val="fr-CA" w:eastAsia="en-US"/>
        </w:rPr>
        <w:t xml:space="preserve"> </w:t>
      </w:r>
      <w:r w:rsidRPr="001F002B">
        <w:rPr>
          <w:rFonts w:eastAsiaTheme="minorEastAsia"/>
          <w:szCs w:val="22"/>
          <w:lang w:val="fr-CA" w:eastAsia="en-US"/>
        </w:rPr>
        <w:t>oblige la Commission à recourir à une méthode particulière excluant le recul; les dépenses refusées étaient des dépenses prévues. Il était donc raisonnable que la Commission se penche sur les recettes jugées nécessaires par les services publics ATCO à la lumière de toutes les circonstances pertinentes. De plus, comme la Commission n’a pas eu recours à une méthode injustifiée, il n’était pas déraisonnable qu’elle ordonne aux services publics ATCO de réduire la charge de retraite répercutée sur les recettes nécessaires en abaissant l’AACV</w:t>
      </w:r>
      <w:r w:rsidRPr="001F002B">
        <w:rPr>
          <w:rFonts w:eastAsiaTheme="minorEastAsia"/>
          <w:szCs w:val="24"/>
          <w:lang w:val="fr-CA" w:eastAsia="en-US"/>
        </w:rPr>
        <w:t>.</w:t>
      </w:r>
    </w:p>
    <w:p w:rsidR="00304E3F" w:rsidRPr="001F002B" w:rsidRDefault="00304E3F" w:rsidP="0017514B">
      <w:pPr>
        <w:pStyle w:val="SCCNormalDoubleSpacing"/>
        <w:widowControl w:val="0"/>
        <w:spacing w:after="720" w:line="240" w:lineRule="auto"/>
        <w:rPr>
          <w:b/>
          <w:lang w:val="en-US"/>
        </w:rPr>
      </w:pPr>
      <w:r w:rsidRPr="001F002B">
        <w:rPr>
          <w:b/>
          <w:lang w:val="en-US"/>
        </w:rPr>
        <w:t>Jurisprudence</w:t>
      </w:r>
    </w:p>
    <w:p w:rsidR="00304E3F" w:rsidRPr="001F002B" w:rsidRDefault="00304E3F" w:rsidP="0017514B">
      <w:pPr>
        <w:pStyle w:val="SCCNormalDoubleSpacing"/>
        <w:widowControl w:val="0"/>
        <w:spacing w:before="480" w:after="480"/>
        <w:rPr>
          <w:b/>
          <w:lang w:val="fr-CA"/>
        </w:rPr>
      </w:pPr>
      <w:r w:rsidRPr="001F002B">
        <w:rPr>
          <w:lang w:val="en-US"/>
        </w:rPr>
        <w:lastRenderedPageBreak/>
        <w:tab/>
      </w:r>
      <w:r w:rsidRPr="001F002B">
        <w:rPr>
          <w:b/>
          <w:lang w:val="en-US"/>
        </w:rPr>
        <w:t>Arrêts mentionnés :</w:t>
      </w:r>
      <w:r w:rsidRPr="001F002B">
        <w:rPr>
          <w:lang w:val="en-US"/>
        </w:rPr>
        <w:t xml:space="preserve"> </w:t>
      </w:r>
      <w:r w:rsidRPr="001F002B">
        <w:rPr>
          <w:i/>
        </w:rPr>
        <w:t>Ontario (Commission de l’énergie) c. Ontario Power Generation Inc.</w:t>
      </w:r>
      <w:r w:rsidRPr="001F002B">
        <w:t>, 2015 CSC 44</w:t>
      </w:r>
      <w:r w:rsidR="00A41D1C">
        <w:t xml:space="preserve">, [2015] 3 R.C.S. </w:t>
      </w:r>
      <w:r w:rsidR="00E72A10">
        <w:t>147</w:t>
      </w:r>
      <w:r w:rsidRPr="001F002B">
        <w:t xml:space="preserve">; </w:t>
      </w:r>
      <w:r w:rsidRPr="001F002B">
        <w:rPr>
          <w:i/>
        </w:rPr>
        <w:t>Northwestern Utilities Ltd. c. City of Edmonton</w:t>
      </w:r>
      <w:r w:rsidRPr="001F002B">
        <w:t xml:space="preserve">, [1929] R.C.S. 186; </w:t>
      </w:r>
      <w:r w:rsidRPr="001F002B">
        <w:rPr>
          <w:i/>
        </w:rPr>
        <w:t>Dunsmuir c. Nouveau</w:t>
      </w:r>
      <w:r w:rsidRPr="001F002B">
        <w:rPr>
          <w:i/>
        </w:rPr>
        <w:noBreakHyphen/>
        <w:t>Brunswick</w:t>
      </w:r>
      <w:r w:rsidRPr="001F002B">
        <w:t xml:space="preserve">, 2008 CSC 9, [2008] 1 R.C.S. 190; </w:t>
      </w:r>
      <w:r w:rsidRPr="001F002B">
        <w:rPr>
          <w:i/>
        </w:rPr>
        <w:t>ATCO Gas and Pipelines Ltd. c. Alberta (Energy and Utilities Board)</w:t>
      </w:r>
      <w:r w:rsidRPr="001F002B">
        <w:t xml:space="preserve">, 2006 CSC 4, [2006] 1 R.C.S. 140; </w:t>
      </w:r>
      <w:r w:rsidRPr="001F002B">
        <w:rPr>
          <w:i/>
        </w:rPr>
        <w:t>Shaw c. Alberta Utilities Commission</w:t>
      </w:r>
      <w:r w:rsidRPr="001F002B">
        <w:t xml:space="preserve">, 2012 ABCA 378, 539 A.R. 315; </w:t>
      </w:r>
      <w:r w:rsidRPr="001F002B">
        <w:rPr>
          <w:i/>
        </w:rPr>
        <w:t>ATCO Gas and Pipelines Ltd. c. Alberta Utilities Commission</w:t>
      </w:r>
      <w:r w:rsidRPr="001F002B">
        <w:t xml:space="preserve">, 2009 ABCA 246, 464 A.R. 275; </w:t>
      </w:r>
      <w:r w:rsidRPr="001F002B">
        <w:rPr>
          <w:i/>
        </w:rPr>
        <w:t>Alberta (Information and Privacy Commissioner) c. Alberta Teachers’ Association</w:t>
      </w:r>
      <w:r w:rsidRPr="001F002B">
        <w:t xml:space="preserve">, 2011 CSC 61, [2011] 3 R.C.S. 654; </w:t>
      </w:r>
      <w:r w:rsidRPr="001F002B">
        <w:rPr>
          <w:i/>
        </w:rPr>
        <w:t>Power Workers’ Union, Canadian Union of Public Employees, Local 1000 c. Ontario Energy Board</w:t>
      </w:r>
      <w:r w:rsidRPr="001F002B">
        <w:t xml:space="preserve">, 2013 ONCA 359, 116 O.R. (3d) 793; </w:t>
      </w:r>
      <w:r w:rsidRPr="001F002B">
        <w:rPr>
          <w:i/>
        </w:rPr>
        <w:t>Enbridge Gas Distribution Inc. c. Ontario Energy Board</w:t>
      </w:r>
      <w:r w:rsidRPr="001F002B">
        <w:t xml:space="preserve"> (2006), 210 O.A.C. 4; </w:t>
      </w:r>
      <w:r w:rsidRPr="001F002B">
        <w:rPr>
          <w:i/>
        </w:rPr>
        <w:t>McLean c. Colombie</w:t>
      </w:r>
      <w:r w:rsidRPr="001F002B">
        <w:rPr>
          <w:i/>
        </w:rPr>
        <w:noBreakHyphen/>
        <w:t>Britannique (Securities Commission)</w:t>
      </w:r>
      <w:r w:rsidRPr="001F002B">
        <w:t xml:space="preserve">, 2013 CSC 67, [2013] 3 R.C.S. 895; </w:t>
      </w:r>
      <w:r w:rsidRPr="001F002B">
        <w:rPr>
          <w:i/>
        </w:rPr>
        <w:t xml:space="preserve">Rizzo &amp; Rizzo Shoes Ltd. </w:t>
      </w:r>
      <w:r w:rsidRPr="001F002B">
        <w:rPr>
          <w:i/>
          <w:lang w:val="fr-CA"/>
        </w:rPr>
        <w:t>(Re)</w:t>
      </w:r>
      <w:r w:rsidRPr="001F002B">
        <w:rPr>
          <w:lang w:val="fr-CA"/>
        </w:rPr>
        <w:t xml:space="preserve">, [1998] 1 R.C.S. 27; </w:t>
      </w:r>
      <w:r w:rsidRPr="001F002B">
        <w:rPr>
          <w:i/>
          <w:lang w:val="fr-CA"/>
        </w:rPr>
        <w:t>TransCanada Pipeline</w:t>
      </w:r>
      <w:r w:rsidR="00555356">
        <w:rPr>
          <w:i/>
          <w:lang w:val="fr-CA"/>
        </w:rPr>
        <w:t>s Ltd. c. Office national de l’é</w:t>
      </w:r>
      <w:r w:rsidRPr="001F002B">
        <w:rPr>
          <w:i/>
          <w:lang w:val="fr-CA"/>
        </w:rPr>
        <w:t>nergie</w:t>
      </w:r>
      <w:r w:rsidRPr="001F002B">
        <w:rPr>
          <w:lang w:val="fr-CA"/>
        </w:rPr>
        <w:t>, 2004 CAF 149.</w:t>
      </w:r>
    </w:p>
    <w:p w:rsidR="00304E3F" w:rsidRPr="001F002B" w:rsidRDefault="00304E3F" w:rsidP="0017514B">
      <w:pPr>
        <w:pStyle w:val="SCCNormalDoubleSpacing"/>
        <w:widowControl w:val="0"/>
        <w:spacing w:after="720" w:line="240" w:lineRule="auto"/>
        <w:rPr>
          <w:b/>
          <w:lang w:val="fr-CA"/>
        </w:rPr>
      </w:pPr>
      <w:r w:rsidRPr="001F002B">
        <w:rPr>
          <w:b/>
          <w:lang w:val="fr-CA"/>
        </w:rPr>
        <w:t>Lois et règlements cités</w:t>
      </w:r>
    </w:p>
    <w:p w:rsidR="00304E3F" w:rsidRPr="001F002B" w:rsidRDefault="00304E3F" w:rsidP="0017514B">
      <w:pPr>
        <w:pStyle w:val="SCCNormalDoubleSpacing"/>
        <w:widowControl w:val="0"/>
        <w:spacing w:after="240" w:line="240" w:lineRule="auto"/>
        <w:ind w:left="539" w:hanging="539"/>
        <w:rPr>
          <w:lang w:val="fr-CA"/>
        </w:rPr>
      </w:pPr>
      <w:r w:rsidRPr="001F002B">
        <w:rPr>
          <w:i/>
          <w:lang w:val="fr-CA"/>
        </w:rPr>
        <w:t>Electric Utilities Act</w:t>
      </w:r>
      <w:r w:rsidRPr="001F002B">
        <w:rPr>
          <w:lang w:val="fr-CA"/>
        </w:rPr>
        <w:t>, S.A. 2003, c. E</w:t>
      </w:r>
      <w:r w:rsidRPr="001F002B">
        <w:rPr>
          <w:lang w:val="fr-CA"/>
        </w:rPr>
        <w:noBreakHyphen/>
        <w:t>5.1, art. 102, 121, 122.</w:t>
      </w:r>
    </w:p>
    <w:p w:rsidR="00304E3F" w:rsidRPr="001F002B" w:rsidRDefault="00304E3F" w:rsidP="0017514B">
      <w:pPr>
        <w:pStyle w:val="SCCNormalDoubleSpacing"/>
        <w:widowControl w:val="0"/>
        <w:spacing w:after="240" w:line="240" w:lineRule="auto"/>
        <w:ind w:left="539" w:hanging="539"/>
      </w:pPr>
      <w:r w:rsidRPr="001F002B">
        <w:rPr>
          <w:i/>
        </w:rPr>
        <w:t>Employment Pension Plans Act</w:t>
      </w:r>
      <w:r w:rsidRPr="001F002B">
        <w:t>, R.S.A. 2000, c. E</w:t>
      </w:r>
      <w:r w:rsidRPr="001F002B">
        <w:noBreakHyphen/>
        <w:t>8, art. 13, 14, 48(3).</w:t>
      </w:r>
    </w:p>
    <w:p w:rsidR="00304E3F" w:rsidRPr="001F002B" w:rsidRDefault="00304E3F" w:rsidP="0017514B">
      <w:pPr>
        <w:pStyle w:val="SCCNormalDoubleSpacing"/>
        <w:widowControl w:val="0"/>
        <w:spacing w:after="240" w:line="240" w:lineRule="auto"/>
        <w:ind w:left="539" w:hanging="539"/>
      </w:pPr>
      <w:r w:rsidRPr="001F002B">
        <w:rPr>
          <w:i/>
        </w:rPr>
        <w:t>Employment Pension Plans Act</w:t>
      </w:r>
      <w:r w:rsidRPr="001F002B">
        <w:t>, S.A. 2012, c. E</w:t>
      </w:r>
      <w:r w:rsidRPr="001F002B">
        <w:noBreakHyphen/>
        <w:t>8.1, art. 13, 35(2), 52(2)(b).</w:t>
      </w:r>
    </w:p>
    <w:p w:rsidR="00304E3F" w:rsidRPr="001F002B" w:rsidRDefault="00304E3F" w:rsidP="0017514B">
      <w:pPr>
        <w:pStyle w:val="SCCNormalDoubleSpacing"/>
        <w:widowControl w:val="0"/>
        <w:spacing w:after="240" w:line="240" w:lineRule="auto"/>
        <w:ind w:left="539" w:hanging="539"/>
      </w:pPr>
      <w:r w:rsidRPr="001F002B">
        <w:rPr>
          <w:i/>
        </w:rPr>
        <w:t>Employment Pension Plans Regulation</w:t>
      </w:r>
      <w:r w:rsidRPr="001F002B">
        <w:t>, Alta. Reg. 35/2000, art. 9, 10, 48(3).</w:t>
      </w:r>
    </w:p>
    <w:p w:rsidR="00304E3F" w:rsidRPr="001F002B" w:rsidRDefault="00304E3F" w:rsidP="0017514B">
      <w:pPr>
        <w:pStyle w:val="SCCNormalDoubleSpacing"/>
        <w:widowControl w:val="0"/>
        <w:spacing w:after="240" w:line="240" w:lineRule="auto"/>
        <w:ind w:left="539" w:hanging="539"/>
      </w:pPr>
      <w:r w:rsidRPr="001F002B">
        <w:rPr>
          <w:i/>
        </w:rPr>
        <w:t>Employment Pension Plans Regulation</w:t>
      </w:r>
      <w:r w:rsidRPr="001F002B">
        <w:t>, Alta. Reg. 154/2014, art. 48, 49, 60(2)(b), (3).</w:t>
      </w:r>
    </w:p>
    <w:p w:rsidR="00304E3F" w:rsidRPr="001F002B" w:rsidRDefault="00304E3F" w:rsidP="0017514B">
      <w:pPr>
        <w:pStyle w:val="SCCNormalDoubleSpacing"/>
        <w:widowControl w:val="0"/>
        <w:spacing w:after="240" w:line="240" w:lineRule="auto"/>
        <w:ind w:left="539" w:hanging="539"/>
      </w:pPr>
      <w:r w:rsidRPr="001F002B">
        <w:rPr>
          <w:i/>
        </w:rPr>
        <w:t>Gas Utilities Act</w:t>
      </w:r>
      <w:r w:rsidRPr="001F002B">
        <w:t>, R.S.A. 2000, c. G</w:t>
      </w:r>
      <w:r w:rsidRPr="001F002B">
        <w:noBreakHyphen/>
        <w:t>5, art. 36, 37(3), 44(1), (3).</w:t>
      </w:r>
    </w:p>
    <w:p w:rsidR="00304E3F" w:rsidRPr="001F002B" w:rsidRDefault="00304E3F" w:rsidP="0017514B">
      <w:pPr>
        <w:pStyle w:val="SCCNormalDoubleSpacing"/>
        <w:widowControl w:val="0"/>
        <w:spacing w:after="240" w:line="240" w:lineRule="auto"/>
        <w:ind w:left="539" w:hanging="539"/>
      </w:pPr>
      <w:r w:rsidRPr="001F002B">
        <w:rPr>
          <w:i/>
          <w:lang w:val="fr-CA"/>
        </w:rPr>
        <w:t>Loi de 1998 sur la Commission de l’énergie de l’Ontario</w:t>
      </w:r>
      <w:r w:rsidRPr="001F002B">
        <w:rPr>
          <w:lang w:val="fr-CA"/>
        </w:rPr>
        <w:t xml:space="preserve">, L.O. 1998, c. 15, ann. </w:t>
      </w:r>
      <w:r w:rsidRPr="001F002B">
        <w:t>B.</w:t>
      </w:r>
    </w:p>
    <w:p w:rsidR="00304E3F" w:rsidRPr="001F002B" w:rsidRDefault="00304E3F" w:rsidP="0017514B">
      <w:pPr>
        <w:pStyle w:val="SCCNormalDoubleSpacing"/>
        <w:widowControl w:val="0"/>
        <w:spacing w:after="720" w:line="240" w:lineRule="auto"/>
        <w:ind w:left="539" w:hanging="539"/>
      </w:pPr>
      <w:r w:rsidRPr="001F002B">
        <w:rPr>
          <w:i/>
        </w:rPr>
        <w:lastRenderedPageBreak/>
        <w:t>Roles, Relationships and Responsibilities Regulation</w:t>
      </w:r>
      <w:r w:rsidRPr="001F002B">
        <w:t>, Alta. Reg. 186/2003, art. 4(3).</w:t>
      </w:r>
    </w:p>
    <w:p w:rsidR="00304E3F" w:rsidRPr="001F002B" w:rsidRDefault="00304E3F" w:rsidP="0017514B">
      <w:pPr>
        <w:pStyle w:val="SCCNormalDoubleSpacing"/>
        <w:widowControl w:val="0"/>
        <w:spacing w:after="720" w:line="240" w:lineRule="auto"/>
        <w:rPr>
          <w:b/>
          <w:lang w:val="en-US"/>
        </w:rPr>
      </w:pPr>
      <w:r w:rsidRPr="001F002B">
        <w:rPr>
          <w:b/>
          <w:lang w:val="en-US"/>
        </w:rPr>
        <w:t>Doctrine et autres documents cités</w:t>
      </w:r>
    </w:p>
    <w:p w:rsidR="00304E3F" w:rsidRPr="001F002B" w:rsidRDefault="00304E3F" w:rsidP="0017514B">
      <w:pPr>
        <w:pStyle w:val="SCCNormalDoubleSpacing"/>
        <w:widowControl w:val="0"/>
        <w:spacing w:after="240" w:line="240" w:lineRule="auto"/>
        <w:ind w:left="539" w:hanging="539"/>
      </w:pPr>
      <w:r w:rsidRPr="001F002B">
        <w:rPr>
          <w:i/>
        </w:rPr>
        <w:t>Concise Oxford English Dictionary</w:t>
      </w:r>
      <w:r w:rsidRPr="001F002B">
        <w:t>, 12th ed., by Angus Stevenson and Maurice Waite, eds., Oxford, Oxford University Press, 2011, « </w:t>
      </w:r>
      <w:r w:rsidRPr="001F002B">
        <w:rPr>
          <w:i/>
        </w:rPr>
        <w:t>prudent</w:t>
      </w:r>
      <w:r w:rsidRPr="001F002B">
        <w:t> ».</w:t>
      </w:r>
    </w:p>
    <w:p w:rsidR="00304E3F" w:rsidRPr="001F002B" w:rsidRDefault="00304E3F" w:rsidP="0017514B">
      <w:pPr>
        <w:pStyle w:val="SCCNormalDoubleSpacing"/>
        <w:widowControl w:val="0"/>
        <w:spacing w:after="240" w:line="240" w:lineRule="auto"/>
        <w:ind w:left="539" w:hanging="539"/>
      </w:pPr>
      <w:r w:rsidRPr="001F002B">
        <w:t xml:space="preserve">Driedger, Elmer A. </w:t>
      </w:r>
      <w:r w:rsidRPr="001F002B">
        <w:rPr>
          <w:i/>
        </w:rPr>
        <w:t>Construction of Statutes</w:t>
      </w:r>
      <w:r w:rsidRPr="001F002B">
        <w:t>, 2nd ed., Toronto, Butterworths, 1983.</w:t>
      </w:r>
    </w:p>
    <w:p w:rsidR="00304E3F" w:rsidRPr="001F002B" w:rsidRDefault="00304E3F" w:rsidP="0017514B">
      <w:pPr>
        <w:pStyle w:val="SCCNormalDoubleSpacing"/>
        <w:widowControl w:val="0"/>
        <w:spacing w:after="240" w:line="240" w:lineRule="auto"/>
        <w:ind w:left="539" w:hanging="539"/>
      </w:pPr>
      <w:r w:rsidRPr="001F002B">
        <w:rPr>
          <w:i/>
        </w:rPr>
        <w:t>Merriam</w:t>
      </w:r>
      <w:r w:rsidRPr="001F002B">
        <w:rPr>
          <w:i/>
        </w:rPr>
        <w:noBreakHyphen/>
        <w:t>Webster’s Collegiate Dictionary</w:t>
      </w:r>
      <w:r w:rsidRPr="001F002B">
        <w:t>, 11th ed., Springfield (Mass.), Merriam</w:t>
      </w:r>
      <w:r w:rsidRPr="001F002B">
        <w:noBreakHyphen/>
        <w:t>Webster, 2003, « </w:t>
      </w:r>
      <w:r w:rsidRPr="001F002B">
        <w:rPr>
          <w:i/>
        </w:rPr>
        <w:t>prudent</w:t>
      </w:r>
      <w:r w:rsidRPr="001F002B">
        <w:t> ».</w:t>
      </w:r>
    </w:p>
    <w:p w:rsidR="00304E3F" w:rsidRPr="001F002B" w:rsidRDefault="00304E3F" w:rsidP="0017514B">
      <w:pPr>
        <w:pStyle w:val="SCCNormalDoubleSpacing"/>
        <w:widowControl w:val="0"/>
        <w:spacing w:after="240" w:line="240" w:lineRule="auto"/>
        <w:ind w:left="539" w:hanging="539"/>
      </w:pPr>
      <w:r w:rsidRPr="001F002B">
        <w:rPr>
          <w:i/>
        </w:rPr>
        <w:t>Oxford English Dictionary</w:t>
      </w:r>
      <w:r w:rsidRPr="001F002B">
        <w:t>, 2nd ed., Oxford, Clarendon Press, 1989, « </w:t>
      </w:r>
      <w:r w:rsidRPr="001F002B">
        <w:rPr>
          <w:i/>
        </w:rPr>
        <w:t>prudent</w:t>
      </w:r>
      <w:r w:rsidRPr="001F002B">
        <w:t> ».</w:t>
      </w:r>
    </w:p>
    <w:p w:rsidR="00304E3F" w:rsidRPr="001F002B" w:rsidRDefault="00304E3F" w:rsidP="0017514B">
      <w:pPr>
        <w:pStyle w:val="SCCNormalDoubleSpacing"/>
        <w:widowControl w:val="0"/>
        <w:spacing w:after="720" w:line="240" w:lineRule="auto"/>
        <w:ind w:left="539" w:hanging="539"/>
      </w:pPr>
      <w:r w:rsidRPr="001F002B">
        <w:t xml:space="preserve">Reid, Laurie, and John Todd. « New Developments in Rate Design for Electricity Distributors », in Gordon Kaiser and Bob Heggie, eds., </w:t>
      </w:r>
      <w:r w:rsidRPr="001F002B">
        <w:rPr>
          <w:i/>
        </w:rPr>
        <w:t>Energy Law and Policy</w:t>
      </w:r>
      <w:r w:rsidRPr="001F002B">
        <w:t>, Toronto, Carswell, 2011, 519.</w:t>
      </w:r>
    </w:p>
    <w:p w:rsidR="00304E3F" w:rsidRPr="001F002B" w:rsidRDefault="00304E3F" w:rsidP="0017514B">
      <w:pPr>
        <w:pStyle w:val="SCCNormalDoubleSpacing"/>
        <w:widowControl w:val="0"/>
        <w:spacing w:before="480" w:after="480"/>
        <w:rPr>
          <w:lang w:val="fr-CA"/>
        </w:rPr>
      </w:pPr>
      <w:r w:rsidRPr="001F002B">
        <w:rPr>
          <w:lang w:val="en-US"/>
        </w:rPr>
        <w:tab/>
      </w:r>
      <w:r w:rsidRPr="001F002B">
        <w:rPr>
          <w:lang w:val="fr-CA"/>
        </w:rPr>
        <w:t xml:space="preserve">POURVOI contre un arrêt de la Cour d’appel de l’Alberta (les juges Costigan, Martin et Slatter), 2013 ABCA 310, 93 Alta. L.R. (5th) 234, 556 A.R. 376, </w:t>
      </w:r>
      <w:r w:rsidR="00CB42B8" w:rsidRPr="001F002B">
        <w:rPr>
          <w:lang w:val="fr-CA"/>
        </w:rPr>
        <w:t xml:space="preserve">584 W.A.C. 376, </w:t>
      </w:r>
      <w:r w:rsidRPr="001F002B">
        <w:rPr>
          <w:lang w:val="fr-CA"/>
        </w:rPr>
        <w:t>7 C.C.P.B. (2d) 171, [2013] A.J. No. 989 (QL), 2013 CarswellAlta 1984 (WL Can.), qui a confirmé une décision de l’Alberta Utilities Commission, [2011] A.E.U.B.D. No. 506 (QL)</w:t>
      </w:r>
      <w:r w:rsidR="00E40785" w:rsidRPr="001F002B">
        <w:rPr>
          <w:lang w:val="fr-CA"/>
        </w:rPr>
        <w:t>, 2011 CarswellAlta 1646 (WL Can.)</w:t>
      </w:r>
      <w:r w:rsidRPr="001F002B">
        <w:rPr>
          <w:lang w:val="fr-CA"/>
        </w:rPr>
        <w:t>. Pourvoi rejeté.</w:t>
      </w:r>
    </w:p>
    <w:p w:rsidR="00304E3F" w:rsidRPr="001F002B" w:rsidRDefault="00304E3F" w:rsidP="0017514B">
      <w:pPr>
        <w:pStyle w:val="SCCNormalDoubleSpacing"/>
        <w:widowControl w:val="0"/>
        <w:spacing w:before="480" w:after="480"/>
        <w:rPr>
          <w:lang w:val="fr-CA"/>
        </w:rPr>
      </w:pPr>
      <w:r w:rsidRPr="001F002B">
        <w:rPr>
          <w:i/>
          <w:lang w:val="fr-CA"/>
        </w:rPr>
        <w:tab/>
        <w:t>John N. Craig</w:t>
      </w:r>
      <w:r w:rsidRPr="00E40785">
        <w:rPr>
          <w:lang w:val="fr-CA"/>
        </w:rPr>
        <w:t>,</w:t>
      </w:r>
      <w:r w:rsidRPr="001F002B">
        <w:rPr>
          <w:i/>
          <w:lang w:val="fr-CA"/>
        </w:rPr>
        <w:t xml:space="preserve"> c.r.</w:t>
      </w:r>
      <w:r w:rsidRPr="00E40785">
        <w:rPr>
          <w:lang w:val="fr-CA"/>
        </w:rPr>
        <w:t>,</w:t>
      </w:r>
      <w:r w:rsidRPr="001F002B">
        <w:rPr>
          <w:i/>
          <w:lang w:val="fr-CA"/>
        </w:rPr>
        <w:t xml:space="preserve"> Loyola G. Keough</w:t>
      </w:r>
      <w:r w:rsidRPr="001F002B">
        <w:rPr>
          <w:lang w:val="fr-CA"/>
        </w:rPr>
        <w:t xml:space="preserve"> et </w:t>
      </w:r>
      <w:r w:rsidRPr="001F002B">
        <w:rPr>
          <w:i/>
          <w:lang w:val="fr-CA"/>
        </w:rPr>
        <w:t>E. Bruce Mellett</w:t>
      </w:r>
      <w:r w:rsidRPr="001F002B">
        <w:rPr>
          <w:lang w:val="fr-CA"/>
        </w:rPr>
        <w:t>, pour les appelantes.</w:t>
      </w:r>
    </w:p>
    <w:p w:rsidR="00304E3F" w:rsidRPr="001F002B" w:rsidRDefault="00304E3F" w:rsidP="0017514B">
      <w:pPr>
        <w:pStyle w:val="SCCNormalDoubleSpacing"/>
        <w:widowControl w:val="0"/>
        <w:spacing w:before="480" w:after="480"/>
      </w:pPr>
      <w:r w:rsidRPr="001F002B">
        <w:rPr>
          <w:i/>
          <w:lang w:val="fr-CA"/>
        </w:rPr>
        <w:tab/>
      </w:r>
      <w:r w:rsidRPr="001F002B">
        <w:rPr>
          <w:i/>
        </w:rPr>
        <w:t>Catherine M. Wall</w:t>
      </w:r>
      <w:r w:rsidRPr="001F002B">
        <w:t xml:space="preserve"> et </w:t>
      </w:r>
      <w:r w:rsidRPr="001F002B">
        <w:rPr>
          <w:i/>
        </w:rPr>
        <w:t>Brian C. McNulty</w:t>
      </w:r>
      <w:r w:rsidRPr="001F002B">
        <w:t>, pour l’intimée Alberta Utilities Commission.</w:t>
      </w:r>
    </w:p>
    <w:p w:rsidR="00304E3F" w:rsidRDefault="00304E3F" w:rsidP="0017514B">
      <w:pPr>
        <w:pStyle w:val="SCCNormalDoubleSpacing"/>
        <w:widowControl w:val="0"/>
        <w:spacing w:before="480" w:after="480"/>
      </w:pPr>
      <w:r w:rsidRPr="001F002B">
        <w:rPr>
          <w:i/>
        </w:rPr>
        <w:tab/>
        <w:t>Todd A. Shipley</w:t>
      </w:r>
      <w:r w:rsidRPr="001F002B">
        <w:t xml:space="preserve">, </w:t>
      </w:r>
      <w:r w:rsidRPr="001F002B">
        <w:rPr>
          <w:i/>
        </w:rPr>
        <w:t>C. Randall McCreary</w:t>
      </w:r>
      <w:r w:rsidRPr="00E40785">
        <w:t>,</w:t>
      </w:r>
      <w:r w:rsidRPr="001F002B">
        <w:rPr>
          <w:i/>
        </w:rPr>
        <w:t xml:space="preserve"> Michael Sobkin</w:t>
      </w:r>
      <w:r w:rsidRPr="001F002B">
        <w:t xml:space="preserve"> et </w:t>
      </w:r>
      <w:r w:rsidRPr="001F002B">
        <w:rPr>
          <w:i/>
        </w:rPr>
        <w:t xml:space="preserve">Breanne </w:t>
      </w:r>
      <w:r w:rsidRPr="001F002B">
        <w:rPr>
          <w:i/>
        </w:rPr>
        <w:lastRenderedPageBreak/>
        <w:t>Schwanak</w:t>
      </w:r>
      <w:r w:rsidRPr="001F002B">
        <w:t>, pour l’intimé Office of the Utilities Consumer Advocate of Alberta.</w:t>
      </w:r>
    </w:p>
    <w:p w:rsidR="007427DC" w:rsidRPr="00E40785" w:rsidRDefault="00E40785" w:rsidP="0017514B">
      <w:pPr>
        <w:pStyle w:val="SCCNormalDoubleSpacing"/>
        <w:widowControl w:val="0"/>
        <w:spacing w:before="480" w:after="480"/>
        <w:rPr>
          <w:lang w:val="fr-CA"/>
        </w:rPr>
      </w:pPr>
      <w:r>
        <w:tab/>
      </w:r>
      <w:r w:rsidRPr="00E40785">
        <w:rPr>
          <w:lang w:val="fr-CA"/>
        </w:rPr>
        <w:t>Version française du jugement de la Cour rendu par</w:t>
      </w:r>
    </w:p>
    <w:p w:rsidR="007427DC" w:rsidRPr="008268F4" w:rsidRDefault="00E40785" w:rsidP="0017514B">
      <w:pPr>
        <w:pStyle w:val="ParaNoNdepar-AltN"/>
        <w:widowControl w:val="0"/>
        <w:rPr>
          <w:rFonts w:cs="Times New Roman"/>
          <w:lang w:val="fr-CA"/>
        </w:rPr>
      </w:pPr>
      <w:r w:rsidRPr="00E40785">
        <w:rPr>
          <w:smallCaps/>
          <w:lang w:val="fr-CA"/>
        </w:rPr>
        <w:t>Le juge Rothstein</w:t>
      </w:r>
      <w:r w:rsidRPr="008268F4">
        <w:rPr>
          <w:lang w:val="fr-CA"/>
        </w:rPr>
        <w:t xml:space="preserve"> —</w:t>
      </w:r>
      <w:r>
        <w:rPr>
          <w:lang w:val="fr-CA"/>
        </w:rPr>
        <w:t xml:space="preserve"> </w:t>
      </w:r>
      <w:r w:rsidR="007427DC" w:rsidRPr="008268F4">
        <w:rPr>
          <w:rFonts w:cs="Times New Roman"/>
          <w:lang w:val="fr-CA"/>
        </w:rPr>
        <w:t>Dans sa décision</w:t>
      </w:r>
      <w:r w:rsidR="007427DC" w:rsidRPr="008268F4">
        <w:rPr>
          <w:rFonts w:cs="Times New Roman"/>
          <w:i/>
          <w:iCs/>
          <w:lang w:val="fr-CA"/>
        </w:rPr>
        <w:t xml:space="preserve"> </w:t>
      </w:r>
      <w:r w:rsidR="007427DC" w:rsidRPr="008268F4">
        <w:rPr>
          <w:rFonts w:cs="Times New Roman"/>
          <w:lang w:val="fr-CA"/>
        </w:rPr>
        <w:t>du 27 septembre 2011</w:t>
      </w:r>
      <w:r w:rsidR="007427DC">
        <w:rPr>
          <w:rFonts w:cs="Times New Roman"/>
          <w:lang w:val="fr-CA"/>
        </w:rPr>
        <w:t xml:space="preserve">, </w:t>
      </w:r>
      <w:r w:rsidR="007427DC" w:rsidRPr="008268F4">
        <w:rPr>
          <w:rFonts w:cs="Times New Roman"/>
          <w:lang w:val="fr-CA"/>
        </w:rPr>
        <w:t>l’Alberta Utilities Commission a refusé la demande présentée par ATCO Gas and Pipelines Ltd. et ATCO Electric Ltd. (collectivement, les « services publics ATCO ») en vue de recouvrer, selon les taux approuvés, certaines charges de retraite correspondant à l’ajustement annuel au coût de la vie (« AACV ») pour l’année 2012. Au lieu d’approuver ce recouvrement à raison de 100 p. </w:t>
      </w:r>
      <w:r w:rsidR="00A41D1C">
        <w:rPr>
          <w:rFonts w:cs="Times New Roman"/>
          <w:lang w:val="fr-CA"/>
        </w:rPr>
        <w:t>100</w:t>
      </w:r>
      <w:r w:rsidR="007427DC" w:rsidRPr="008268F4">
        <w:rPr>
          <w:rFonts w:cs="Times New Roman"/>
          <w:lang w:val="fr-CA"/>
        </w:rPr>
        <w:t xml:space="preserve"> de l’indice des prix à la consommation (« IPC ») de l’année (</w:t>
      </w:r>
      <w:r w:rsidR="007427DC">
        <w:rPr>
          <w:rFonts w:cs="Times New Roman"/>
          <w:lang w:val="fr-CA"/>
        </w:rPr>
        <w:t>AACV d’</w:t>
      </w:r>
      <w:r w:rsidR="007427DC" w:rsidRPr="008268F4">
        <w:rPr>
          <w:rFonts w:cs="Times New Roman"/>
          <w:lang w:val="fr-CA"/>
        </w:rPr>
        <w:t>au plus 3 p. </w:t>
      </w:r>
      <w:r w:rsidR="00A41D1C">
        <w:rPr>
          <w:rFonts w:cs="Times New Roman"/>
          <w:lang w:val="fr-CA"/>
        </w:rPr>
        <w:t>100</w:t>
      </w:r>
      <w:r w:rsidR="007427DC" w:rsidRPr="008268F4">
        <w:rPr>
          <w:rFonts w:cs="Times New Roman"/>
          <w:lang w:val="fr-CA"/>
        </w:rPr>
        <w:t>), la Commission a jugé raisonnable le recouvrement de seulement 50 p. </w:t>
      </w:r>
      <w:r w:rsidR="00A41D1C">
        <w:rPr>
          <w:rFonts w:cs="Times New Roman"/>
          <w:lang w:val="fr-CA"/>
        </w:rPr>
        <w:t>100</w:t>
      </w:r>
      <w:r w:rsidR="007427DC" w:rsidRPr="008268F4">
        <w:rPr>
          <w:rFonts w:cs="Times New Roman"/>
          <w:lang w:val="fr-CA"/>
        </w:rPr>
        <w:t xml:space="preserve"> de l’IPC annuel (</w:t>
      </w:r>
      <w:r w:rsidR="007427DC">
        <w:rPr>
          <w:rFonts w:cs="Times New Roman"/>
          <w:lang w:val="fr-CA"/>
        </w:rPr>
        <w:t>AACV d’</w:t>
      </w:r>
      <w:r w:rsidR="007427DC" w:rsidRPr="008268F4">
        <w:rPr>
          <w:rFonts w:cs="Times New Roman"/>
          <w:lang w:val="fr-CA"/>
        </w:rPr>
        <w:t>au plus 3 p. </w:t>
      </w:r>
      <w:r w:rsidR="00A41D1C">
        <w:rPr>
          <w:rFonts w:cs="Times New Roman"/>
          <w:lang w:val="fr-CA"/>
        </w:rPr>
        <w:t>100</w:t>
      </w:r>
      <w:r w:rsidR="007427DC" w:rsidRPr="008268F4">
        <w:rPr>
          <w:rFonts w:cs="Times New Roman"/>
          <w:lang w:val="fr-CA"/>
        </w:rPr>
        <w:t xml:space="preserve">). La Cour d’appel de l’Alberta a rejeté l’appel des services publics ATCO, lesquels se pourvoient aujourd’hui devant notre Cour. </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 présente affaire et </w:t>
      </w:r>
      <w:r w:rsidRPr="008268F4">
        <w:rPr>
          <w:rFonts w:cs="Times New Roman"/>
          <w:i/>
          <w:lang w:val="fr-CA"/>
        </w:rPr>
        <w:t>Ontario (Commission de l’énergie) c. Ontario Power Generation Inc.</w:t>
      </w:r>
      <w:r w:rsidRPr="008268F4">
        <w:rPr>
          <w:rFonts w:cs="Times New Roman"/>
          <w:lang w:val="fr-CA"/>
        </w:rPr>
        <w:t>, 2015 CSC 44</w:t>
      </w:r>
      <w:r w:rsidR="00A455BA">
        <w:rPr>
          <w:rFonts w:cs="Times New Roman"/>
          <w:lang w:val="fr-CA"/>
        </w:rPr>
        <w:t xml:space="preserve">, [2015] 3 R.C.S. </w:t>
      </w:r>
      <w:r w:rsidR="00E72A10">
        <w:rPr>
          <w:rFonts w:cs="Times New Roman"/>
          <w:lang w:val="fr-CA"/>
        </w:rPr>
        <w:t>147</w:t>
      </w:r>
      <w:r w:rsidRPr="008268F4">
        <w:rPr>
          <w:rFonts w:cs="Times New Roman"/>
          <w:lang w:val="fr-CA"/>
        </w:rPr>
        <w:t xml:space="preserve"> (« </w:t>
      </w:r>
      <w:r w:rsidRPr="008268F4">
        <w:rPr>
          <w:rFonts w:cs="Times New Roman"/>
          <w:i/>
          <w:lang w:val="fr-CA"/>
        </w:rPr>
        <w:t>CÉO</w:t>
      </w:r>
      <w:r w:rsidRPr="008268F4">
        <w:rPr>
          <w:rFonts w:cs="Times New Roman"/>
          <w:lang w:val="fr-CA"/>
        </w:rPr>
        <w:t> »), qui concerne également le contrôle de la décision d’un organisme de réglementation relative à l’établissement des tarifs, ont fait l’objet d’une audition commune. Bien que les faits diffèrent dans l’une et l’autre, les deux affaires soulèvent les mêmes questions en ce qui a trait à la méthode à appliquer et, notamment, aux conditions auxquelles un organisme de réglementation pourrait, le cas échéant, être tenu d’appliquer ce qu’on appelle le « critère de l’investissement prudent » pour apprécier les dépenses d’un service public.</w:t>
      </w:r>
    </w:p>
    <w:p w:rsidR="007427DC" w:rsidRPr="008268F4" w:rsidRDefault="007427DC" w:rsidP="0017514B">
      <w:pPr>
        <w:pStyle w:val="ParaNoNdepar-AltN"/>
        <w:widowControl w:val="0"/>
        <w:rPr>
          <w:rFonts w:cs="Times New Roman"/>
          <w:lang w:val="fr-CA"/>
        </w:rPr>
      </w:pPr>
      <w:r w:rsidRPr="008268F4">
        <w:rPr>
          <w:rFonts w:cs="Times New Roman"/>
          <w:lang w:val="fr-CA"/>
        </w:rPr>
        <w:lastRenderedPageBreak/>
        <w:t>Les services publics ATCO soutiennent que la Commission doit d’abord se prononcer sur la prudence des dépenses invoquées par le service public et que les dépenses faites avec prudence doivent être approuvées aux fins de leur prise en compte dans les « recettes nécessaires » de l’entreprise. Ce poste s’entend des [</w:t>
      </w:r>
      <w:r w:rsidRPr="008268F4">
        <w:rPr>
          <w:rFonts w:cs="Times New Roman"/>
          <w:smallCaps/>
          <w:lang w:val="fr-CA"/>
        </w:rPr>
        <w:t>traduction</w:t>
      </w:r>
      <w:r w:rsidRPr="008268F4">
        <w:rPr>
          <w:rFonts w:cs="Times New Roman"/>
          <w:lang w:val="fr-CA"/>
        </w:rPr>
        <w:t>] « recettes dont l’entreprise a besoin au total pour le paiement de toutes ses dépenses susceptibles d’approbation et, également, pour recouvrer tous les coûts liés aux capitaux investis » (L. Reid et J. Todd, « New Developments in Rate Design for Electricity Distributors »</w:t>
      </w:r>
      <w:r w:rsidR="00422D15">
        <w:rPr>
          <w:rFonts w:cs="Times New Roman"/>
          <w:lang w:val="fr-CA"/>
        </w:rPr>
        <w:t>,</w:t>
      </w:r>
      <w:r w:rsidRPr="008268F4">
        <w:rPr>
          <w:rFonts w:cs="Times New Roman"/>
          <w:lang w:val="fr-CA"/>
        </w:rPr>
        <w:t xml:space="preserve"> dans G. Kaiser et B. Heggie, dir., </w:t>
      </w:r>
      <w:r w:rsidRPr="008268F4">
        <w:rPr>
          <w:rFonts w:cs="Times New Roman"/>
          <w:i/>
          <w:lang w:val="fr-CA"/>
        </w:rPr>
        <w:t>Energy Law and Policy</w:t>
      </w:r>
      <w:r w:rsidRPr="008268F4">
        <w:rPr>
          <w:rFonts w:cs="Times New Roman"/>
          <w:lang w:val="fr-CA"/>
        </w:rPr>
        <w:t xml:space="preserve"> (2011), 519, p. 521). Les recettes nécessaires approuvées sont ensuite imputées aux clients au moyen d’une tarification juste et raisonnable. Les services publics ATCO soutiennent que la Commission n’a pas dûment apprécié le caractère prudent de ces dépenses. Selon eux, une dépense est présumée prudente faute de conclusion explicite contraire. Ils ajoutent que la prudence doit être appréciée en fonction du contexte au moment de la décision — et non avec le recul et à partir de renseignements dont ne disposait pas l’entreprise lorsqu’elle a décidé de faire la dépense.</w:t>
      </w:r>
    </w:p>
    <w:p w:rsidR="007427DC" w:rsidRPr="008268F4" w:rsidRDefault="007427DC" w:rsidP="0017514B">
      <w:pPr>
        <w:pStyle w:val="ParaNoNdepar-AltN"/>
        <w:widowControl w:val="0"/>
        <w:rPr>
          <w:rFonts w:cs="Times New Roman"/>
          <w:lang w:val="fr-CA"/>
        </w:rPr>
      </w:pPr>
      <w:r w:rsidRPr="008268F4">
        <w:rPr>
          <w:rFonts w:cs="Times New Roman"/>
          <w:szCs w:val="24"/>
          <w:lang w:val="fr-CA"/>
        </w:rPr>
        <w:t>Le bureau du défenseur des droit</w:t>
      </w:r>
      <w:r w:rsidR="0084690C">
        <w:rPr>
          <w:rFonts w:cs="Times New Roman"/>
          <w:szCs w:val="24"/>
          <w:lang w:val="fr-CA"/>
        </w:rPr>
        <w:t>s</w:t>
      </w:r>
      <w:r w:rsidRPr="008268F4">
        <w:rPr>
          <w:rFonts w:cs="Times New Roman"/>
          <w:szCs w:val="24"/>
          <w:lang w:val="fr-CA"/>
        </w:rPr>
        <w:t xml:space="preserve"> des clients des services </w:t>
      </w:r>
      <w:r w:rsidRPr="00A66E4E">
        <w:rPr>
          <w:rFonts w:cs="Times New Roman"/>
          <w:szCs w:val="24"/>
          <w:lang w:val="fr-CA"/>
        </w:rPr>
        <w:t>publics (Office of the Utilities Consumer Advocate)</w:t>
      </w:r>
      <w:r w:rsidRPr="008268F4">
        <w:rPr>
          <w:rFonts w:cs="Times New Roman"/>
          <w:i/>
          <w:szCs w:val="24"/>
          <w:lang w:val="fr-CA"/>
        </w:rPr>
        <w:t xml:space="preserve"> </w:t>
      </w:r>
      <w:r w:rsidRPr="008268F4">
        <w:rPr>
          <w:rFonts w:cs="Times New Roman"/>
          <w:szCs w:val="24"/>
          <w:lang w:val="fr-CA"/>
        </w:rPr>
        <w:t xml:space="preserve">de l’Alberta fait valoir que le régime réglementaire albertain n’impose pas à la Commission de méthode précise pour l’établissement des tarifs; c’est à la Commission qu’il appartient de décider du critère et de la méthode à appliquer. Plus particulièrement, il soutient que la Commission n’est pas tenue de recourir à une méthode particulière fondée sur le principe de la prudence lorsqu’elle examine des dépenses sur une base prévisionnelle. Il n’existe pas non plus de présomption de prudence. Au contraire, il incombe au service public de démontrer que </w:t>
      </w:r>
      <w:r w:rsidRPr="008268F4">
        <w:rPr>
          <w:rFonts w:cs="Times New Roman"/>
          <w:szCs w:val="24"/>
          <w:lang w:val="fr-CA"/>
        </w:rPr>
        <w:lastRenderedPageBreak/>
        <w:t xml:space="preserve">la tarification proposée est juste et raisonnable. </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Comme dans </w:t>
      </w:r>
      <w:r w:rsidRPr="008268F4">
        <w:rPr>
          <w:rFonts w:cs="Times New Roman"/>
          <w:i/>
          <w:lang w:val="fr-CA"/>
        </w:rPr>
        <w:t>CÉO</w:t>
      </w:r>
      <w:r w:rsidRPr="008268F4">
        <w:rPr>
          <w:rFonts w:cs="Times New Roman"/>
          <w:lang w:val="fr-CA"/>
        </w:rPr>
        <w:t xml:space="preserve">, le régime législatif applicable n’impose pas à la Commission la méthode fondée sur la « prudence » que préconisent les services publics ATCO. De plus, suivant l’approche énoncée dans </w:t>
      </w:r>
      <w:r w:rsidRPr="008268F4">
        <w:rPr>
          <w:rFonts w:cs="Times New Roman"/>
          <w:i/>
          <w:lang w:val="fr-CA"/>
        </w:rPr>
        <w:t>CÉO</w:t>
      </w:r>
      <w:r w:rsidRPr="008268F4">
        <w:rPr>
          <w:rFonts w:cs="Times New Roman"/>
          <w:lang w:val="fr-CA"/>
        </w:rPr>
        <w:t>, la méthode adoptée par la Commission et l’application de cette méthode par cette dernière étaient raisonnables eu égard à la nature des dépenses en cause. Je suis d’avis de rejeter le pourvoi.</w:t>
      </w:r>
    </w:p>
    <w:p w:rsidR="007427DC" w:rsidRPr="008268F4" w:rsidRDefault="007427DC" w:rsidP="0017514B">
      <w:pPr>
        <w:pStyle w:val="Title1LevelTitre1Niveau-AltL"/>
        <w:widowControl w:val="0"/>
        <w:rPr>
          <w:rFonts w:cs="Times New Roman"/>
          <w:lang w:val="fr-CA"/>
        </w:rPr>
      </w:pPr>
      <w:r w:rsidRPr="008268F4">
        <w:rPr>
          <w:rFonts w:cs="Times New Roman"/>
          <w:lang w:val="fr-CA"/>
        </w:rPr>
        <w:t>Régime réglementaire</w:t>
      </w:r>
    </w:p>
    <w:p w:rsidR="007427DC" w:rsidRPr="008268F4" w:rsidRDefault="007427DC" w:rsidP="0017514B">
      <w:pPr>
        <w:pStyle w:val="ParaNoNdepar-AltN"/>
        <w:widowControl w:val="0"/>
        <w:rPr>
          <w:rFonts w:cs="Times New Roman"/>
          <w:lang w:val="fr-CA"/>
        </w:rPr>
      </w:pPr>
      <w:r w:rsidRPr="008268F4">
        <w:rPr>
          <w:rFonts w:cs="Times New Roman"/>
          <w:lang w:val="fr-CA"/>
        </w:rPr>
        <w:t>En Alberta, la Commission établit la tarification [</w:t>
      </w:r>
      <w:r w:rsidRPr="008268F4">
        <w:rPr>
          <w:rFonts w:cs="Times New Roman"/>
          <w:smallCaps/>
          <w:lang w:val="fr-CA"/>
        </w:rPr>
        <w:t>traduction</w:t>
      </w:r>
      <w:r w:rsidRPr="008268F4">
        <w:rPr>
          <w:rFonts w:cs="Times New Roman"/>
          <w:lang w:val="fr-CA"/>
        </w:rPr>
        <w:t>] « juste et raisonnable » des services publics d’électricité ou de gaz désireux de recouvrer les dépenses et les charges prudentes (al. 121(2)</w:t>
      </w:r>
      <w:r w:rsidR="0084690C">
        <w:rPr>
          <w:rFonts w:cs="Times New Roman"/>
          <w:lang w:val="fr-CA"/>
        </w:rPr>
        <w:t>(</w:t>
      </w:r>
      <w:r w:rsidRPr="0084690C">
        <w:rPr>
          <w:rFonts w:cs="Times New Roman"/>
          <w:lang w:val="fr-CA"/>
        </w:rPr>
        <w:t>a</w:t>
      </w:r>
      <w:r w:rsidRPr="008268F4">
        <w:rPr>
          <w:rFonts w:cs="Times New Roman"/>
          <w:lang w:val="fr-CA"/>
        </w:rPr>
        <w:t>) de l’</w:t>
      </w:r>
      <w:r w:rsidRPr="008268F4">
        <w:rPr>
          <w:rFonts w:cs="Times New Roman"/>
          <w:i/>
          <w:lang w:val="fr-CA"/>
        </w:rPr>
        <w:t>Electric Utilities Act</w:t>
      </w:r>
      <w:r w:rsidRPr="008268F4">
        <w:rPr>
          <w:rFonts w:cs="Times New Roman"/>
          <w:lang w:val="fr-CA"/>
        </w:rPr>
        <w:t>, S.A. 2003, c. E</w:t>
      </w:r>
      <w:r w:rsidRPr="008268F4">
        <w:rPr>
          <w:rFonts w:cs="Times New Roman"/>
          <w:lang w:val="fr-CA"/>
        </w:rPr>
        <w:noBreakHyphen/>
        <w:t>5.1 (« </w:t>
      </w:r>
      <w:r w:rsidRPr="008268F4">
        <w:rPr>
          <w:rFonts w:cs="Times New Roman"/>
          <w:i/>
          <w:lang w:val="fr-CA"/>
        </w:rPr>
        <w:t>EUA</w:t>
      </w:r>
      <w:r w:rsidRPr="008268F4">
        <w:rPr>
          <w:rFonts w:cs="Times New Roman"/>
          <w:lang w:val="fr-CA"/>
        </w:rPr>
        <w:t> »)</w:t>
      </w:r>
      <w:r w:rsidR="0084690C">
        <w:rPr>
          <w:rFonts w:cs="Times New Roman"/>
          <w:lang w:val="fr-CA"/>
        </w:rPr>
        <w:t>,</w:t>
      </w:r>
      <w:r w:rsidRPr="008268F4">
        <w:rPr>
          <w:rFonts w:cs="Times New Roman"/>
          <w:lang w:val="fr-CA"/>
        </w:rPr>
        <w:t xml:space="preserve"> et al. 36</w:t>
      </w:r>
      <w:r w:rsidR="0084690C">
        <w:rPr>
          <w:rFonts w:cs="Times New Roman"/>
          <w:lang w:val="fr-CA"/>
        </w:rPr>
        <w:t>(</w:t>
      </w:r>
      <w:r w:rsidRPr="0084690C">
        <w:rPr>
          <w:rFonts w:cs="Times New Roman"/>
          <w:lang w:val="fr-CA"/>
        </w:rPr>
        <w:t>a</w:t>
      </w:r>
      <w:r w:rsidRPr="008268F4">
        <w:rPr>
          <w:rFonts w:cs="Times New Roman"/>
          <w:lang w:val="fr-CA"/>
        </w:rPr>
        <w:t xml:space="preserve">) de la </w:t>
      </w:r>
      <w:r w:rsidRPr="008268F4">
        <w:rPr>
          <w:rFonts w:cs="Times New Roman"/>
          <w:i/>
          <w:lang w:val="fr-CA"/>
        </w:rPr>
        <w:t>Gas Utilities Act</w:t>
      </w:r>
      <w:r w:rsidRPr="008268F4">
        <w:rPr>
          <w:rFonts w:cs="Times New Roman"/>
          <w:lang w:val="fr-CA"/>
        </w:rPr>
        <w:t>, R.S.A. 2000, c. G</w:t>
      </w:r>
      <w:r w:rsidRPr="008268F4">
        <w:rPr>
          <w:rFonts w:cs="Times New Roman"/>
          <w:lang w:val="fr-CA"/>
        </w:rPr>
        <w:noBreakHyphen/>
        <w:t>5 (« </w:t>
      </w:r>
      <w:r w:rsidRPr="008268F4">
        <w:rPr>
          <w:rFonts w:cs="Times New Roman"/>
          <w:i/>
          <w:lang w:val="fr-CA"/>
        </w:rPr>
        <w:t>GUA</w:t>
      </w:r>
      <w:r w:rsidRPr="008268F4">
        <w:rPr>
          <w:rFonts w:cs="Times New Roman"/>
          <w:lang w:val="fr-CA"/>
        </w:rPr>
        <w:t> »)</w:t>
      </w:r>
      <w:r w:rsidR="00A65939">
        <w:rPr>
          <w:rFonts w:cs="Times New Roman"/>
          <w:lang w:val="fr-CA"/>
        </w:rPr>
        <w:t>)</w:t>
      </w:r>
      <w:r w:rsidRPr="008268F4">
        <w:rPr>
          <w:rFonts w:cs="Times New Roman"/>
          <w:lang w:val="fr-CA"/>
        </w:rPr>
        <w:t>.</w:t>
      </w:r>
    </w:p>
    <w:p w:rsidR="007427DC" w:rsidRPr="008268F4" w:rsidRDefault="007427DC" w:rsidP="0017514B">
      <w:pPr>
        <w:pStyle w:val="ParaNoNdepar-AltN"/>
        <w:widowControl w:val="0"/>
        <w:rPr>
          <w:rFonts w:cs="Times New Roman"/>
          <w:lang w:val="fr-CA"/>
        </w:rPr>
      </w:pPr>
      <w:r w:rsidRPr="008268F4">
        <w:rPr>
          <w:rFonts w:cs="Times New Roman"/>
          <w:lang w:val="fr-CA"/>
        </w:rPr>
        <w:t>En droit canadien, la tarification « juste et raisonnable » est celle qui est équitable tant pour le consommateur que pour le service public (</w:t>
      </w:r>
      <w:r w:rsidRPr="008268F4">
        <w:rPr>
          <w:rFonts w:cs="Times New Roman"/>
          <w:i/>
          <w:lang w:val="fr-CA"/>
        </w:rPr>
        <w:t>Northwestern Utilities Ltd. c. City of Edmonton</w:t>
      </w:r>
      <w:r w:rsidRPr="008268F4">
        <w:rPr>
          <w:rFonts w:cs="Times New Roman"/>
          <w:lang w:val="fr-CA"/>
        </w:rPr>
        <w:t xml:space="preserve">, [1929] </w:t>
      </w:r>
      <w:r w:rsidR="0084690C">
        <w:rPr>
          <w:rFonts w:cs="Times New Roman"/>
          <w:lang w:val="fr-CA"/>
        </w:rPr>
        <w:t>R.C.S</w:t>
      </w:r>
      <w:r w:rsidRPr="008268F4">
        <w:rPr>
          <w:rFonts w:cs="Times New Roman"/>
          <w:lang w:val="fr-CA"/>
        </w:rPr>
        <w:t>. 186, p. 192</w:t>
      </w:r>
      <w:r w:rsidRPr="008268F4">
        <w:rPr>
          <w:rFonts w:cs="Times New Roman"/>
          <w:lang w:val="fr-CA"/>
        </w:rPr>
        <w:noBreakHyphen/>
        <w:t>193</w:t>
      </w:r>
      <w:r w:rsidR="00A65939">
        <w:rPr>
          <w:rFonts w:cs="Times New Roman"/>
          <w:lang w:val="fr-CA"/>
        </w:rPr>
        <w:t xml:space="preserve">, </w:t>
      </w:r>
      <w:r w:rsidR="0084690C">
        <w:rPr>
          <w:rFonts w:cs="Times New Roman"/>
          <w:lang w:val="fr-CA"/>
        </w:rPr>
        <w:t xml:space="preserve">le </w:t>
      </w:r>
      <w:r w:rsidR="00A65939">
        <w:rPr>
          <w:rFonts w:cs="Times New Roman"/>
          <w:lang w:val="fr-CA"/>
        </w:rPr>
        <w:t>juge Lamont</w:t>
      </w:r>
      <w:r w:rsidRPr="008268F4">
        <w:rPr>
          <w:rFonts w:cs="Times New Roman"/>
          <w:lang w:val="fr-CA"/>
        </w:rPr>
        <w:t>). Selon un modèle fondé sur le coût du service, la tarification doit permettre à l’entreprise de recouvrer, à long terme, ses dépenses d’exploitation et son coût en capital. Grâce au recouvrement de ceux</w:t>
      </w:r>
      <w:r w:rsidRPr="008268F4">
        <w:rPr>
          <w:rFonts w:cs="Times New Roman"/>
          <w:lang w:val="fr-CA"/>
        </w:rPr>
        <w:noBreakHyphen/>
        <w:t>ci, le service public peut continuer d’exercer ses activités et obtenir l’équivalent du coût du capital de manière à susciter l’investissement et à le maintenir (</w:t>
      </w:r>
      <w:r w:rsidRPr="008268F4">
        <w:rPr>
          <w:rFonts w:cs="Times New Roman"/>
          <w:i/>
          <w:lang w:val="fr-CA"/>
        </w:rPr>
        <w:t>CÉO</w:t>
      </w:r>
      <w:r w:rsidRPr="008268F4">
        <w:rPr>
          <w:rFonts w:cs="Times New Roman"/>
          <w:lang w:val="fr-CA"/>
        </w:rPr>
        <w:t xml:space="preserve">, par. 16). Le consommateur doit payer ce que la Commission « prévoit qu’il en coûtera pour la prestation efficace du service » de sorte que, « globalement, il </w:t>
      </w:r>
      <w:r w:rsidRPr="008268F4">
        <w:rPr>
          <w:rFonts w:cs="Times New Roman"/>
          <w:lang w:val="fr-CA"/>
        </w:rPr>
        <w:lastRenderedPageBreak/>
        <w:t>ne paie pas plus que ce qui est nécessaire pour obtenir le service » (</w:t>
      </w:r>
      <w:r w:rsidRPr="008268F4">
        <w:rPr>
          <w:rFonts w:cs="Times New Roman"/>
          <w:i/>
          <w:lang w:val="fr-CA"/>
        </w:rPr>
        <w:t>CÉO</w:t>
      </w:r>
      <w:r w:rsidRPr="008268F4">
        <w:rPr>
          <w:rFonts w:cs="Times New Roman"/>
          <w:lang w:val="fr-CA"/>
        </w:rPr>
        <w:t>, par. 20).</w:t>
      </w:r>
    </w:p>
    <w:p w:rsidR="007427DC" w:rsidRPr="008268F4" w:rsidRDefault="007427DC" w:rsidP="0017514B">
      <w:pPr>
        <w:pStyle w:val="Title1LevelTitre1Niveau-AltL"/>
        <w:widowControl w:val="0"/>
        <w:spacing w:before="0"/>
        <w:rPr>
          <w:rFonts w:cs="Times New Roman"/>
          <w:lang w:val="fr-CA"/>
        </w:rPr>
      </w:pPr>
      <w:r w:rsidRPr="008268F4">
        <w:rPr>
          <w:rFonts w:cs="Times New Roman"/>
          <w:lang w:val="fr-CA"/>
        </w:rPr>
        <w:t>Faits</w:t>
      </w:r>
    </w:p>
    <w:p w:rsidR="007427DC" w:rsidRPr="008268F4" w:rsidRDefault="007427DC" w:rsidP="0017514B">
      <w:pPr>
        <w:pStyle w:val="Title2LevelTitre2Niveau"/>
        <w:widowControl w:val="0"/>
        <w:spacing w:before="0"/>
        <w:rPr>
          <w:rFonts w:cs="Times New Roman"/>
          <w:lang w:val="fr-CA"/>
        </w:rPr>
      </w:pPr>
      <w:r w:rsidRPr="008268F4">
        <w:rPr>
          <w:rFonts w:cs="Times New Roman"/>
          <w:lang w:val="fr-CA"/>
        </w:rPr>
        <w:t>Le régime de pension</w:t>
      </w:r>
    </w:p>
    <w:p w:rsidR="007427DC" w:rsidRPr="008268F4" w:rsidRDefault="007427DC" w:rsidP="0017514B">
      <w:pPr>
        <w:pStyle w:val="ParaNoNdepar-AltN"/>
        <w:widowControl w:val="0"/>
        <w:rPr>
          <w:rFonts w:cs="Times New Roman"/>
          <w:szCs w:val="24"/>
          <w:lang w:val="fr-CA"/>
        </w:rPr>
      </w:pPr>
      <w:r w:rsidRPr="008268F4">
        <w:rPr>
          <w:rFonts w:cs="Times New Roman"/>
          <w:lang w:val="fr-CA"/>
        </w:rPr>
        <w:t>Les employés des services publics ATCO bénéficient du régime de retraite des employés de la société mère des services publics ATCO, Canadian Utilities Limited (« </w:t>
      </w:r>
      <w:r w:rsidR="00A41D1C">
        <w:rPr>
          <w:rFonts w:cs="Times New Roman"/>
          <w:lang w:val="fr-CA"/>
        </w:rPr>
        <w:t>Canadian Utilities</w:t>
      </w:r>
      <w:r w:rsidRPr="008268F4">
        <w:rPr>
          <w:rFonts w:cs="Times New Roman"/>
          <w:lang w:val="fr-CA"/>
        </w:rPr>
        <w:t> »), et de sociétés participantes (le « régime de pension »). Le régime est administré par C</w:t>
      </w:r>
      <w:r w:rsidR="00A41D1C">
        <w:rPr>
          <w:rFonts w:cs="Times New Roman"/>
          <w:lang w:val="fr-CA"/>
        </w:rPr>
        <w:t>anadian Utilities</w:t>
      </w:r>
      <w:r w:rsidRPr="008268F4">
        <w:rPr>
          <w:rFonts w:cs="Times New Roman"/>
          <w:lang w:val="fr-CA"/>
        </w:rPr>
        <w:t>, qui n’est pas elle</w:t>
      </w:r>
      <w:r w:rsidRPr="008268F4">
        <w:rPr>
          <w:rFonts w:cs="Times New Roman"/>
          <w:lang w:val="fr-CA"/>
        </w:rPr>
        <w:noBreakHyphen/>
        <w:t xml:space="preserve">même réglementée par la Commission. En tant qu’administratrice du régime, </w:t>
      </w:r>
      <w:r w:rsidR="00A41D1C">
        <w:rPr>
          <w:rFonts w:cs="Times New Roman"/>
          <w:lang w:val="fr-CA"/>
        </w:rPr>
        <w:t>Canadian Utilities</w:t>
      </w:r>
      <w:r w:rsidRPr="008268F4">
        <w:rPr>
          <w:rFonts w:cs="Times New Roman"/>
          <w:lang w:val="fr-CA"/>
        </w:rPr>
        <w:t xml:space="preserve"> exerce la fonction de fiduciaire vis</w:t>
      </w:r>
      <w:r w:rsidRPr="008268F4">
        <w:rPr>
          <w:rFonts w:cs="Times New Roman"/>
          <w:lang w:val="fr-CA"/>
        </w:rPr>
        <w:noBreakHyphen/>
        <w:t>à</w:t>
      </w:r>
      <w:r w:rsidRPr="008268F4">
        <w:rPr>
          <w:rFonts w:cs="Times New Roman"/>
          <w:lang w:val="fr-CA"/>
        </w:rPr>
        <w:noBreakHyphen/>
        <w:t>vis des participants et des autres bénéficiaires (par. 13(5) de l’</w:t>
      </w:r>
      <w:r w:rsidRPr="008268F4">
        <w:rPr>
          <w:rFonts w:cs="Times New Roman"/>
          <w:i/>
          <w:lang w:val="fr-CA"/>
        </w:rPr>
        <w:t>Employment Pension Plans Act</w:t>
      </w:r>
      <w:r w:rsidRPr="008268F4">
        <w:rPr>
          <w:rFonts w:cs="Times New Roman"/>
          <w:lang w:val="fr-CA"/>
        </w:rPr>
        <w:t>, R.S.A. 2000, c. E</w:t>
      </w:r>
      <w:r w:rsidRPr="008268F4">
        <w:rPr>
          <w:rFonts w:cs="Times New Roman"/>
          <w:lang w:val="fr-CA"/>
        </w:rPr>
        <w:noBreakHyphen/>
        <w:t>8</w:t>
      </w:r>
      <w:r w:rsidRPr="008268F4">
        <w:rPr>
          <w:rStyle w:val="FootnoteReference"/>
          <w:rFonts w:cs="Times New Roman"/>
          <w:lang w:val="fr-CA"/>
        </w:rPr>
        <w:footnoteReference w:id="1"/>
      </w:r>
      <w:r w:rsidRPr="008268F4">
        <w:rPr>
          <w:rFonts w:cs="Times New Roman"/>
          <w:lang w:val="fr-CA"/>
        </w:rPr>
        <w:t>).</w:t>
      </w:r>
    </w:p>
    <w:p w:rsidR="007427DC" w:rsidRPr="008268F4" w:rsidRDefault="007427DC" w:rsidP="0017514B">
      <w:pPr>
        <w:pStyle w:val="ParaNoNdepar-AltN"/>
        <w:widowControl w:val="0"/>
        <w:rPr>
          <w:rFonts w:cs="Times New Roman"/>
          <w:lang w:val="fr-CA"/>
        </w:rPr>
      </w:pPr>
      <w:r w:rsidRPr="008268F4">
        <w:rPr>
          <w:rFonts w:cs="Times New Roman"/>
          <w:lang w:val="fr-CA"/>
        </w:rPr>
        <w:t>Le régime de pension comporte un volet à prestations déterminées (le « régime APD »), lequel n’est plus offert aux nouveaux employés depuis le 1</w:t>
      </w:r>
      <w:r w:rsidRPr="008268F4">
        <w:rPr>
          <w:rFonts w:cs="Times New Roman"/>
          <w:vertAlign w:val="superscript"/>
          <w:lang w:val="fr-CA"/>
        </w:rPr>
        <w:t>er</w:t>
      </w:r>
      <w:r w:rsidRPr="008268F4">
        <w:rPr>
          <w:rFonts w:cs="Times New Roman"/>
          <w:lang w:val="fr-CA"/>
        </w:rPr>
        <w:t> janvier 1997, et un volet à cotisations déterminées. L’AACV s’applique uniquement au régime APD. L’</w:t>
      </w:r>
      <w:r w:rsidRPr="008268F4">
        <w:rPr>
          <w:rFonts w:cs="Times New Roman"/>
          <w:i/>
          <w:lang w:val="fr-CA"/>
        </w:rPr>
        <w:t>Employment Pension Plans Act</w:t>
      </w:r>
      <w:r w:rsidRPr="008268F4">
        <w:rPr>
          <w:rFonts w:cs="Times New Roman"/>
          <w:lang w:val="fr-CA"/>
        </w:rPr>
        <w:t xml:space="preserve"> dispose que le régime APD fait l’objet de calculs actuariels présentés périodiquement au surintendant des pensions de l’Alberta (art. 13 et 14</w:t>
      </w:r>
      <w:r w:rsidRPr="008268F4">
        <w:rPr>
          <w:rStyle w:val="FootnoteReference"/>
          <w:rFonts w:cs="Times New Roman"/>
          <w:lang w:val="fr-CA"/>
        </w:rPr>
        <w:footnoteReference w:id="2"/>
      </w:r>
      <w:r w:rsidRPr="008268F4">
        <w:rPr>
          <w:rFonts w:cs="Times New Roman"/>
          <w:lang w:val="fr-CA"/>
        </w:rPr>
        <w:t>; art. 9 et 10 de l’</w:t>
      </w:r>
      <w:r w:rsidRPr="008268F4">
        <w:rPr>
          <w:rFonts w:cs="Times New Roman"/>
          <w:i/>
          <w:lang w:val="fr-CA"/>
        </w:rPr>
        <w:t>Employment Pension Plans Regulation</w:t>
      </w:r>
      <w:r w:rsidRPr="008268F4">
        <w:rPr>
          <w:rFonts w:cs="Times New Roman"/>
          <w:lang w:val="fr-CA"/>
        </w:rPr>
        <w:t>, Alta. Reg.</w:t>
      </w:r>
      <w:r>
        <w:rPr>
          <w:rFonts w:cs="Times New Roman"/>
          <w:lang w:val="fr-CA"/>
        </w:rPr>
        <w:t> </w:t>
      </w:r>
      <w:r w:rsidRPr="008268F4">
        <w:rPr>
          <w:rFonts w:cs="Times New Roman"/>
          <w:lang w:val="fr-CA"/>
        </w:rPr>
        <w:t>35/2000</w:t>
      </w:r>
      <w:r w:rsidRPr="008268F4">
        <w:rPr>
          <w:rStyle w:val="FootnoteReference"/>
          <w:rFonts w:cs="Times New Roman"/>
          <w:lang w:val="fr-CA"/>
        </w:rPr>
        <w:footnoteReference w:id="3"/>
      </w:r>
      <w:r w:rsidRPr="008268F4">
        <w:rPr>
          <w:rFonts w:cs="Times New Roman"/>
          <w:lang w:val="fr-CA"/>
        </w:rPr>
        <w:t xml:space="preserve">). Les calculs actuariels permettent notamment de déterminer les </w:t>
      </w:r>
      <w:r w:rsidRPr="008268F4">
        <w:rPr>
          <w:rFonts w:cs="Times New Roman"/>
          <w:lang w:val="fr-CA"/>
        </w:rPr>
        <w:lastRenderedPageBreak/>
        <w:t>cotisations que doit verser l’employeur pour combler le passif du régime APD.</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L’actif du régime de pension de </w:t>
      </w:r>
      <w:r w:rsidR="00A41D1C">
        <w:rPr>
          <w:rFonts w:cs="Times New Roman"/>
          <w:lang w:val="fr-CA"/>
        </w:rPr>
        <w:t>Canadian Utilities</w:t>
      </w:r>
      <w:r w:rsidRPr="008268F4">
        <w:rPr>
          <w:rFonts w:cs="Times New Roman"/>
          <w:lang w:val="fr-CA"/>
        </w:rPr>
        <w:t xml:space="preserve"> est commun à toutes les sociétés participantes, qu’elles soient ou non des services publics réglementés (comme les services publics ATCO). Le financement par l’employeur est déterminé globalement. Lorsque des paiements spéciaux doivent être effectués pour combler un déficit actuariel, le financement global requis est réparti entre les entités participantes.</w:t>
      </w:r>
    </w:p>
    <w:p w:rsidR="007427DC" w:rsidRPr="008268F4" w:rsidRDefault="007427DC" w:rsidP="0017514B">
      <w:pPr>
        <w:pStyle w:val="ParaNoNdepar-AltN"/>
        <w:widowControl w:val="0"/>
        <w:rPr>
          <w:rFonts w:cs="Times New Roman"/>
          <w:lang w:val="fr-CA"/>
        </w:rPr>
      </w:pPr>
      <w:r w:rsidRPr="008268F4">
        <w:rPr>
          <w:rFonts w:cs="Times New Roman"/>
          <w:szCs w:val="24"/>
          <w:lang w:val="fr-CA"/>
        </w:rPr>
        <w:t xml:space="preserve">Comme le régime affichait un excédent actuariel, l’employeur n’a pas eu à verser de cotisations entre 1996 et la fin de l’année 2009. Les services publics ATCO n’ont donc pas eu à tenir compte de telles cotisations dans les demandes relatives aux recettes nécessaires qu’ils ont soumises à la Commission. Après la crise financière de 2008, la valeur au marché de l’actif du régime a chuté, ce qui a donné lieu à un important déficit actuariel et forcé les employeurs participants, y compris les services publics ATCO, à verser à nouveau des cotisations en 2010. </w:t>
      </w:r>
    </w:p>
    <w:p w:rsidR="007427DC" w:rsidRPr="008268F4" w:rsidRDefault="007427DC" w:rsidP="0017514B">
      <w:pPr>
        <w:pStyle w:val="Title2LevelTitre2Niveau"/>
        <w:widowControl w:val="0"/>
        <w:ind w:left="578" w:hanging="578"/>
        <w:rPr>
          <w:rFonts w:cs="Times New Roman"/>
          <w:lang w:val="fr-CA"/>
        </w:rPr>
      </w:pPr>
      <w:r w:rsidRPr="008268F4">
        <w:rPr>
          <w:rFonts w:cs="Times New Roman"/>
          <w:lang w:val="fr-CA"/>
        </w:rPr>
        <w:t>Les obligations relatives au financement du régime de pension</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Selon le </w:t>
      </w:r>
      <w:r w:rsidRPr="008268F4">
        <w:rPr>
          <w:rFonts w:cs="Times New Roman"/>
          <w:sz w:val="22"/>
          <w:lang w:val="fr-CA"/>
        </w:rPr>
        <w:t>par. 48</w:t>
      </w:r>
      <w:r w:rsidRPr="008268F4">
        <w:rPr>
          <w:rFonts w:cs="Times New Roman"/>
          <w:lang w:val="fr-CA"/>
        </w:rPr>
        <w:t xml:space="preserve">(3) de l’ancienne </w:t>
      </w:r>
      <w:r w:rsidRPr="008268F4">
        <w:rPr>
          <w:rFonts w:cs="Times New Roman"/>
          <w:i/>
          <w:lang w:val="fr-CA"/>
        </w:rPr>
        <w:t>Employment Pension Plans Act</w:t>
      </w:r>
      <w:r w:rsidRPr="008268F4">
        <w:rPr>
          <w:rFonts w:cs="Times New Roman"/>
          <w:lang w:val="fr-CA"/>
        </w:rPr>
        <w:t xml:space="preserve"> (2000)</w:t>
      </w:r>
      <w:r w:rsidRPr="008268F4">
        <w:rPr>
          <w:rStyle w:val="FootnoteReference"/>
          <w:rFonts w:cs="Times New Roman"/>
          <w:lang w:val="fr-CA"/>
        </w:rPr>
        <w:footnoteReference w:id="4"/>
      </w:r>
      <w:r w:rsidRPr="008268F4">
        <w:rPr>
          <w:rFonts w:cs="Times New Roman"/>
          <w:lang w:val="fr-CA"/>
        </w:rPr>
        <w:t xml:space="preserve">, le régime est financé en conformité avec les rapports d’évaluation actuarielle. Le 29 juin 2010, l’actuaire du régime, Mercer (Canada) Limited, a remis au surintendant des pensions de l’Alberta le rapport d’évaluation actuarielle pertinent en l’espèce (le « rapport actuariel de 2009 »). Le rapport indique que deux types de paiement </w:t>
      </w:r>
      <w:r w:rsidRPr="008268F4">
        <w:rPr>
          <w:rFonts w:cs="Times New Roman"/>
          <w:lang w:val="fr-CA"/>
        </w:rPr>
        <w:lastRenderedPageBreak/>
        <w:t xml:space="preserve">s’imposent. Premièrement, il établit les paiements estimatifs nécessaires pour permettre le versement des prestations projetées auxquelles auraient droit les bénéficiaires pour les années 2010, 2011 et 2012 (aussi appelés « coût des prestations pour service courant »). Deuxièmement, il précise que le régime à APD affiche un déficit actuariel de 157,1 millions de dollars pour toutes les entités membres de </w:t>
      </w:r>
      <w:r w:rsidR="00A41D1C">
        <w:rPr>
          <w:rFonts w:cs="Times New Roman"/>
          <w:lang w:val="fr-CA"/>
        </w:rPr>
        <w:t>Canadian Utilities</w:t>
      </w:r>
      <w:r w:rsidRPr="008268F4">
        <w:rPr>
          <w:rFonts w:cs="Times New Roman"/>
          <w:lang w:val="fr-CA"/>
        </w:rPr>
        <w:t>, de sorte que l’ensemble des employeurs qui participent au régime, y compris les services publics ATCO, doivent effectuer des paiements spéciaux annuels globaux d’au moins 16,4 millions de dollars jusqu’au 31 décembre 2024 pour combler le déficit. De ces montants annuels globaux, les services publics ATCO doivent payer à eux seuls environ 13,9 millions de dollars.</w:t>
      </w:r>
    </w:p>
    <w:p w:rsidR="007427DC" w:rsidRPr="008268F4" w:rsidRDefault="007427DC" w:rsidP="0017514B">
      <w:pPr>
        <w:pStyle w:val="ParaNoNdepar-AltN"/>
        <w:widowControl w:val="0"/>
        <w:rPr>
          <w:rFonts w:cs="Times New Roman"/>
          <w:lang w:val="fr-CA"/>
        </w:rPr>
      </w:pPr>
      <w:r w:rsidRPr="008268F4">
        <w:rPr>
          <w:rFonts w:cs="Times New Roman"/>
          <w:lang w:val="fr-CA"/>
        </w:rPr>
        <w:t>Les questions liées à l’ajustement au coût de la vie soulevées en l’espèce visent non seulement les cotisations que les services publics ATCO sont tenus de faire au régime APD, mais aussi les sommes prélevées sur ce régime pour verser des prestations aux retraités. Pour ce qui est des cotisations des services publics ATCO au régime, le rapport actuariel de 2009 prévoit [</w:t>
      </w:r>
      <w:r w:rsidRPr="008268F4">
        <w:rPr>
          <w:rFonts w:cs="Times New Roman"/>
          <w:smallCaps/>
          <w:lang w:val="fr-CA"/>
        </w:rPr>
        <w:t>traduction</w:t>
      </w:r>
      <w:r w:rsidRPr="008268F4">
        <w:rPr>
          <w:rFonts w:cs="Times New Roman"/>
          <w:lang w:val="fr-CA"/>
        </w:rPr>
        <w:t>] « </w:t>
      </w:r>
      <w:r w:rsidR="00296FB5" w:rsidRPr="008268F4">
        <w:rPr>
          <w:rFonts w:cs="Times New Roman"/>
          <w:lang w:val="fr-CA"/>
        </w:rPr>
        <w:t>l’</w:t>
      </w:r>
      <w:r w:rsidRPr="008268F4">
        <w:rPr>
          <w:rFonts w:cs="Times New Roman"/>
          <w:lang w:val="fr-CA"/>
        </w:rPr>
        <w:t>augmentation des prestations versées aux retraités » selon la formule d’AACV du régime APD et le taux d’inflation retenu. Cette clause a une incidence sur les sommes que les services publics ATCO doivent verser au régime APD pour la période de trois ans visée par le rapport. En l’espèce, l’augmentation est de 2,25 p. </w:t>
      </w:r>
      <w:r w:rsidR="00A41D1C">
        <w:rPr>
          <w:rFonts w:cs="Times New Roman"/>
          <w:lang w:val="fr-CA"/>
        </w:rPr>
        <w:t>100</w:t>
      </w:r>
      <w:r w:rsidRPr="008268F4">
        <w:rPr>
          <w:rFonts w:cs="Times New Roman"/>
          <w:lang w:val="fr-CA"/>
        </w:rPr>
        <w:t xml:space="preserve"> par année pour toute la période.</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En ce qui concerne le versement des prestations de retraite selon le régime APD, la société mère des services publics ATCO, </w:t>
      </w:r>
      <w:r w:rsidR="00A41D1C">
        <w:rPr>
          <w:rFonts w:cs="Times New Roman"/>
          <w:lang w:val="fr-CA"/>
        </w:rPr>
        <w:t>Canadian Utilities</w:t>
      </w:r>
      <w:r w:rsidRPr="008268F4">
        <w:rPr>
          <w:rFonts w:cs="Times New Roman"/>
          <w:lang w:val="fr-CA"/>
        </w:rPr>
        <w:t>, fixe annuellement l’</w:t>
      </w:r>
      <w:r>
        <w:rPr>
          <w:rFonts w:cs="Times New Roman"/>
          <w:lang w:val="fr-CA"/>
        </w:rPr>
        <w:t>AACV</w:t>
      </w:r>
      <w:r w:rsidRPr="008268F4">
        <w:rPr>
          <w:rFonts w:cs="Times New Roman"/>
          <w:lang w:val="fr-CA"/>
        </w:rPr>
        <w:t>. Suivant les al. 6.9</w:t>
      </w:r>
      <w:r w:rsidR="00835ACA">
        <w:rPr>
          <w:rFonts w:cs="Times New Roman"/>
          <w:lang w:val="fr-CA"/>
        </w:rPr>
        <w:t>(</w:t>
      </w:r>
      <w:r w:rsidRPr="00835ACA">
        <w:rPr>
          <w:rFonts w:cs="Times New Roman"/>
          <w:lang w:val="fr-CA"/>
        </w:rPr>
        <w:t>a</w:t>
      </w:r>
      <w:r w:rsidRPr="008268F4">
        <w:rPr>
          <w:rFonts w:cs="Times New Roman"/>
          <w:lang w:val="fr-CA"/>
        </w:rPr>
        <w:t>) et 6.12</w:t>
      </w:r>
      <w:r w:rsidR="00835ACA">
        <w:rPr>
          <w:rFonts w:cs="Times New Roman"/>
          <w:lang w:val="fr-CA"/>
        </w:rPr>
        <w:t>(</w:t>
      </w:r>
      <w:r w:rsidRPr="00835ACA">
        <w:rPr>
          <w:rFonts w:cs="Times New Roman"/>
          <w:lang w:val="fr-CA"/>
        </w:rPr>
        <w:t>a</w:t>
      </w:r>
      <w:r w:rsidRPr="008268F4">
        <w:rPr>
          <w:rFonts w:cs="Times New Roman"/>
          <w:lang w:val="fr-CA"/>
        </w:rPr>
        <w:t xml:space="preserve">) du régime APD, </w:t>
      </w:r>
      <w:r w:rsidR="00A41D1C">
        <w:rPr>
          <w:rFonts w:cs="Times New Roman"/>
          <w:lang w:val="fr-CA"/>
        </w:rPr>
        <w:t>Canadian Utilities</w:t>
      </w:r>
      <w:r w:rsidRPr="008268F4">
        <w:rPr>
          <w:rFonts w:cs="Times New Roman"/>
          <w:lang w:val="fr-CA"/>
        </w:rPr>
        <w:t xml:space="preserve"> établit </w:t>
      </w:r>
      <w:r w:rsidRPr="008268F4">
        <w:rPr>
          <w:rFonts w:cs="Times New Roman"/>
          <w:lang w:val="fr-CA"/>
        </w:rPr>
        <w:lastRenderedPageBreak/>
        <w:t>l’</w:t>
      </w:r>
      <w:r>
        <w:rPr>
          <w:rFonts w:cs="Times New Roman"/>
          <w:lang w:val="fr-CA"/>
        </w:rPr>
        <w:t>AACV</w:t>
      </w:r>
      <w:r w:rsidRPr="008268F4">
        <w:rPr>
          <w:rFonts w:cs="Times New Roman"/>
          <w:lang w:val="fr-CA"/>
        </w:rPr>
        <w:t xml:space="preserve"> en tenant compte du taux de variation annuelle de l’IPC au Canada et de tout autre ajustement déjà versé. Ces dispositions plafonnent cet ajustement à 3 p. </w:t>
      </w:r>
      <w:r w:rsidR="00A41D1C">
        <w:rPr>
          <w:rFonts w:cs="Times New Roman"/>
          <w:lang w:val="fr-CA"/>
        </w:rPr>
        <w:t>100</w:t>
      </w:r>
      <w:r w:rsidRPr="008268F4">
        <w:rPr>
          <w:rFonts w:cs="Times New Roman"/>
          <w:lang w:val="fr-CA"/>
        </w:rPr>
        <w:t xml:space="preserve"> par année.</w:t>
      </w:r>
    </w:p>
    <w:p w:rsidR="007427DC" w:rsidRPr="008268F4" w:rsidRDefault="007427DC" w:rsidP="0017514B">
      <w:pPr>
        <w:pStyle w:val="Title1LevelTitre1Niveau-AltL"/>
        <w:widowControl w:val="0"/>
        <w:rPr>
          <w:rFonts w:cs="Times New Roman"/>
          <w:lang w:val="fr-CA"/>
        </w:rPr>
      </w:pPr>
      <w:r w:rsidRPr="008268F4">
        <w:rPr>
          <w:rFonts w:cs="Times New Roman"/>
          <w:lang w:val="fr-CA"/>
        </w:rPr>
        <w:t>Décisions des juridictions inférieures</w:t>
      </w:r>
    </w:p>
    <w:p w:rsidR="007427DC" w:rsidRPr="008268F4" w:rsidRDefault="007427DC" w:rsidP="0017514B">
      <w:pPr>
        <w:pStyle w:val="Title2LevelTitre2Niveau"/>
        <w:widowControl w:val="0"/>
        <w:rPr>
          <w:rFonts w:cs="Times New Roman"/>
          <w:lang w:val="fr-CA"/>
        </w:rPr>
      </w:pPr>
      <w:r w:rsidRPr="008268F4">
        <w:rPr>
          <w:rFonts w:cs="Times New Roman"/>
          <w:lang w:val="fr-CA"/>
        </w:rPr>
        <w:t>Alberta Utilities Commission : ATCO Utilities</w:t>
      </w:r>
      <w:r w:rsidR="00835ACA">
        <w:rPr>
          <w:rFonts w:cs="Times New Roman"/>
          <w:lang w:val="fr-CA"/>
        </w:rPr>
        <w:t>,</w:t>
      </w:r>
      <w:r w:rsidRPr="008268F4">
        <w:rPr>
          <w:rFonts w:cs="Times New Roman"/>
          <w:lang w:val="fr-CA"/>
        </w:rPr>
        <w:t xml:space="preserve"> Re (2010), 84 C.C.P.B. 89 (« Décision 2010</w:t>
      </w:r>
      <w:r w:rsidRPr="008268F4">
        <w:rPr>
          <w:rFonts w:cs="Times New Roman"/>
          <w:lang w:val="fr-CA"/>
        </w:rPr>
        <w:noBreakHyphen/>
        <w:t>189 »)</w:t>
      </w:r>
    </w:p>
    <w:p w:rsidR="007427DC" w:rsidRPr="008268F4" w:rsidRDefault="007427DC" w:rsidP="0017514B">
      <w:pPr>
        <w:pStyle w:val="ParaNoNdepar-AltN"/>
        <w:widowControl w:val="0"/>
        <w:rPr>
          <w:rFonts w:cs="Times New Roman"/>
          <w:lang w:val="fr-CA"/>
        </w:rPr>
      </w:pPr>
      <w:r w:rsidRPr="008268F4">
        <w:rPr>
          <w:rFonts w:cs="Times New Roman"/>
          <w:lang w:val="fr-CA"/>
        </w:rPr>
        <w:t>Le 10 juillet 2009, les services publics ATCO ont demandé à la Commission de déterminer, entre autres, le montant des cotisations de l’employeur pouvant être prises en compte dans ses recettes nécessaires pour l’année 2010. Le montant proposé se fondait sur un AACV correspondant à 100 p. </w:t>
      </w:r>
      <w:r w:rsidR="00A41D1C">
        <w:rPr>
          <w:rFonts w:cs="Times New Roman"/>
          <w:lang w:val="fr-CA"/>
        </w:rPr>
        <w:t>100</w:t>
      </w:r>
      <w:r w:rsidRPr="008268F4">
        <w:rPr>
          <w:rFonts w:cs="Times New Roman"/>
          <w:lang w:val="fr-CA"/>
        </w:rPr>
        <w:t xml:space="preserve"> de l’IPC pour l’année au Canada (au plus 3 p. </w:t>
      </w:r>
      <w:r w:rsidR="00A41D1C">
        <w:rPr>
          <w:rFonts w:cs="Times New Roman"/>
          <w:lang w:val="fr-CA"/>
        </w:rPr>
        <w:t>100</w:t>
      </w:r>
      <w:r w:rsidRPr="008268F4">
        <w:rPr>
          <w:rFonts w:cs="Times New Roman"/>
          <w:lang w:val="fr-CA"/>
        </w:rPr>
        <w:t xml:space="preserve">) — soit la valeur utilisée par </w:t>
      </w:r>
      <w:r w:rsidR="00A41D1C">
        <w:rPr>
          <w:rFonts w:cs="Times New Roman"/>
          <w:lang w:val="fr-CA"/>
        </w:rPr>
        <w:t>Canadian Utilities</w:t>
      </w:r>
      <w:r w:rsidRPr="008268F4">
        <w:rPr>
          <w:rFonts w:cs="Times New Roman"/>
          <w:lang w:val="fr-CA"/>
        </w:rPr>
        <w:t xml:space="preserve"> depuis des années. Or, de l’avis de la Commission, le libellé du régime de pension n’exige pas que l’AACV soit fixé, année après année, à raison de 100 p. </w:t>
      </w:r>
      <w:r w:rsidR="00A41D1C">
        <w:rPr>
          <w:rFonts w:cs="Times New Roman"/>
          <w:lang w:val="fr-CA"/>
        </w:rPr>
        <w:t>100</w:t>
      </w:r>
      <w:r w:rsidRPr="008268F4">
        <w:rPr>
          <w:rFonts w:cs="Times New Roman"/>
          <w:lang w:val="fr-CA"/>
        </w:rPr>
        <w:t xml:space="preserve"> de l’IPC. Elle conclut [</w:t>
      </w:r>
      <w:r w:rsidRPr="008268F4">
        <w:rPr>
          <w:rFonts w:cs="Times New Roman"/>
          <w:smallCaps/>
          <w:lang w:val="fr-CA"/>
        </w:rPr>
        <w:t>traduction</w:t>
      </w:r>
      <w:r w:rsidRPr="008268F4">
        <w:rPr>
          <w:rFonts w:cs="Times New Roman"/>
          <w:lang w:val="fr-CA"/>
        </w:rPr>
        <w:t xml:space="preserve">] « que les contribuables ne doivent pas assumer le coût différentiel du financement d’un régime de pension » qui résulte de la manière dont </w:t>
      </w:r>
      <w:r w:rsidR="00A41D1C">
        <w:rPr>
          <w:rFonts w:cs="Times New Roman"/>
          <w:lang w:val="fr-CA"/>
        </w:rPr>
        <w:t>Canadian Utilities</w:t>
      </w:r>
      <w:r w:rsidRPr="008268F4">
        <w:rPr>
          <w:rFonts w:cs="Times New Roman"/>
          <w:lang w:val="fr-CA"/>
        </w:rPr>
        <w:t xml:space="preserve"> a </w:t>
      </w:r>
      <w:r w:rsidR="00835ACA">
        <w:rPr>
          <w:rFonts w:cs="Times New Roman"/>
          <w:lang w:val="fr-CA"/>
        </w:rPr>
        <w:t>déterminé l’AACV au fil des ans</w:t>
      </w:r>
      <w:r w:rsidRPr="008268F4">
        <w:rPr>
          <w:rFonts w:cs="Times New Roman"/>
          <w:lang w:val="fr-CA"/>
        </w:rPr>
        <w:t xml:space="preserve"> « lorsqu’il [est] démontré qu’un tel coût se révèle déraisonnable ou imprudent dans les circonstances » (par. 118). </w:t>
      </w:r>
    </w:p>
    <w:p w:rsidR="007427DC" w:rsidRPr="008268F4" w:rsidRDefault="007427DC" w:rsidP="0017514B">
      <w:pPr>
        <w:pStyle w:val="ParaNoNdepar-AltN"/>
        <w:widowControl w:val="0"/>
        <w:rPr>
          <w:rFonts w:cs="Times New Roman"/>
          <w:lang w:val="fr-CA"/>
        </w:rPr>
      </w:pPr>
      <w:r w:rsidRPr="008268F4">
        <w:rPr>
          <w:rFonts w:cs="Times New Roman"/>
          <w:lang w:val="fr-CA"/>
        </w:rPr>
        <w:t>Toutefois, la Commission ne juge pas la preuve suffisante pour tirer des conclusions quant à savoir si l’AACV était prudent ou non. Elle ne réduit donc pas l’ajustement correspondant à 100 p. </w:t>
      </w:r>
      <w:r w:rsidR="00A41D1C">
        <w:rPr>
          <w:rFonts w:cs="Times New Roman"/>
          <w:lang w:val="fr-CA"/>
        </w:rPr>
        <w:t>100</w:t>
      </w:r>
      <w:r w:rsidRPr="008268F4">
        <w:rPr>
          <w:rFonts w:cs="Times New Roman"/>
          <w:lang w:val="fr-CA"/>
        </w:rPr>
        <w:t xml:space="preserve"> de l’IPC de l’année (au plus 3 p. </w:t>
      </w:r>
      <w:r w:rsidR="00A41D1C">
        <w:rPr>
          <w:rFonts w:cs="Times New Roman"/>
          <w:lang w:val="fr-CA"/>
        </w:rPr>
        <w:t>100</w:t>
      </w:r>
      <w:r w:rsidRPr="008268F4">
        <w:rPr>
          <w:rFonts w:cs="Times New Roman"/>
          <w:lang w:val="fr-CA"/>
        </w:rPr>
        <w:t xml:space="preserve">) pour les besoins des recettes nécessaires des services publics ATCO pour l’année 2010. Elle dit </w:t>
      </w:r>
      <w:r w:rsidRPr="008268F4">
        <w:rPr>
          <w:rFonts w:cs="Times New Roman"/>
          <w:lang w:val="fr-CA"/>
        </w:rPr>
        <w:lastRenderedPageBreak/>
        <w:t>néanmoins [</w:t>
      </w:r>
      <w:r w:rsidRPr="008268F4">
        <w:rPr>
          <w:rFonts w:cs="Times New Roman"/>
          <w:smallCaps/>
          <w:lang w:val="fr-CA"/>
        </w:rPr>
        <w:t>traduction</w:t>
      </w:r>
      <w:r w:rsidRPr="008268F4">
        <w:rPr>
          <w:rFonts w:cs="Times New Roman"/>
          <w:lang w:val="fr-CA"/>
        </w:rPr>
        <w:t xml:space="preserve">] « vouloir examiner la possibilité de revoir l’AACV en tant que mécanisme de gestion prudente de la charge de retraite d’un service public » pour 2011 et les années suivantes (par. 123). Elle ordonne aux services publics ATCO de préparer une demande d’examen de questions communes relatives au régime de pension pour l’année 2011 qui traite des questions relatives à l’AACV et du pouvoir discrétionnaire de </w:t>
      </w:r>
      <w:r w:rsidR="00A41D1C">
        <w:rPr>
          <w:rFonts w:cs="Times New Roman"/>
          <w:lang w:val="fr-CA"/>
        </w:rPr>
        <w:t>Canadian Utilities</w:t>
      </w:r>
      <w:r w:rsidRPr="008268F4">
        <w:rPr>
          <w:rFonts w:cs="Times New Roman"/>
          <w:lang w:val="fr-CA"/>
        </w:rPr>
        <w:t xml:space="preserve"> dans l’établissement de l’AACV.</w:t>
      </w:r>
    </w:p>
    <w:p w:rsidR="007427DC" w:rsidRPr="008268F4" w:rsidRDefault="007427DC" w:rsidP="0017514B">
      <w:pPr>
        <w:pStyle w:val="Title2LevelTitre2Niveau"/>
        <w:widowControl w:val="0"/>
        <w:rPr>
          <w:rFonts w:cs="Times New Roman"/>
          <w:lang w:val="fr-CA"/>
        </w:rPr>
      </w:pPr>
      <w:r w:rsidRPr="008268F4">
        <w:rPr>
          <w:rFonts w:cs="Times New Roman"/>
          <w:lang w:val="en-US"/>
        </w:rPr>
        <w:t xml:space="preserve">Alberta Utilities Commission : 2011 CarswellAlta 1646 (WL Can.) </w:t>
      </w:r>
      <w:r w:rsidRPr="008268F4">
        <w:rPr>
          <w:rFonts w:cs="Times New Roman"/>
          <w:lang w:val="fr-CA"/>
        </w:rPr>
        <w:t>(« Décision 2011</w:t>
      </w:r>
      <w:r w:rsidRPr="008268F4">
        <w:rPr>
          <w:rFonts w:cs="Times New Roman"/>
          <w:lang w:val="fr-CA"/>
        </w:rPr>
        <w:noBreakHyphen/>
        <w:t>391 »)</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Le 15 décembre 2010, les services publics ATCO ont déposé une demande d’examen de questions communes relatives au régime de pension conformément à la directive de la Commission dans sa </w:t>
      </w:r>
      <w:r w:rsidRPr="008268F4">
        <w:rPr>
          <w:rFonts w:cs="Times New Roman"/>
          <w:i/>
          <w:lang w:val="fr-CA"/>
        </w:rPr>
        <w:t>Décision 2010</w:t>
      </w:r>
      <w:r w:rsidRPr="008268F4">
        <w:rPr>
          <w:rFonts w:cs="Times New Roman"/>
          <w:i/>
          <w:lang w:val="fr-CA"/>
        </w:rPr>
        <w:noBreakHyphen/>
        <w:t>189</w:t>
      </w:r>
      <w:r w:rsidRPr="008268F4">
        <w:rPr>
          <w:rFonts w:cs="Times New Roman"/>
          <w:lang w:val="fr-CA"/>
        </w:rPr>
        <w:t xml:space="preserve">. La Commission a rendu publique sa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xml:space="preserve"> le 27 septembre 2011. C’est cette décision que vise le pourvoi.</w:t>
      </w:r>
    </w:p>
    <w:p w:rsidR="007427DC" w:rsidRPr="008268F4" w:rsidRDefault="007427DC" w:rsidP="0017514B">
      <w:pPr>
        <w:pStyle w:val="ParaNoNdepar-AltN"/>
        <w:widowControl w:val="0"/>
        <w:rPr>
          <w:rFonts w:cs="Times New Roman"/>
          <w:lang w:val="fr-CA"/>
        </w:rPr>
      </w:pPr>
      <w:r w:rsidRPr="008268F4">
        <w:rPr>
          <w:rFonts w:cs="Times New Roman"/>
          <w:lang w:val="fr-CA"/>
        </w:rPr>
        <w:t>Dans son examen de l’AACV prévu dans la demande d’approbation des recettes nécessaires des services publics ATCO, la Commission opine que la question d</w:t>
      </w:r>
      <w:r w:rsidR="006260C3">
        <w:rPr>
          <w:rFonts w:cs="Times New Roman"/>
          <w:lang w:val="fr-CA"/>
        </w:rPr>
        <w:t>e savoir s’il est raisonnable ou</w:t>
      </w:r>
      <w:r w:rsidRPr="008268F4">
        <w:rPr>
          <w:rFonts w:cs="Times New Roman"/>
          <w:lang w:val="fr-CA"/>
        </w:rPr>
        <w:t xml:space="preserve"> non de le faire correspondre à 100 p. </w:t>
      </w:r>
      <w:r w:rsidR="00A41D1C">
        <w:rPr>
          <w:rFonts w:cs="Times New Roman"/>
          <w:lang w:val="fr-CA"/>
        </w:rPr>
        <w:t>100</w:t>
      </w:r>
      <w:r w:rsidRPr="008268F4">
        <w:rPr>
          <w:rFonts w:cs="Times New Roman"/>
          <w:lang w:val="fr-CA"/>
        </w:rPr>
        <w:t xml:space="preserve"> de l’IPC doit être tranchée [</w:t>
      </w:r>
      <w:r w:rsidRPr="008268F4">
        <w:rPr>
          <w:rFonts w:cs="Times New Roman"/>
          <w:smallCaps/>
          <w:lang w:val="fr-CA"/>
        </w:rPr>
        <w:t>traduction</w:t>
      </w:r>
      <w:r w:rsidRPr="008268F4">
        <w:rPr>
          <w:rFonts w:cs="Times New Roman"/>
          <w:lang w:val="fr-CA"/>
        </w:rPr>
        <w:t>] « eu égard aux circonstances en présence lorsque les services publics ATCO ont demandé d’inclure la charge de retraite dans ses recettes nécessaires »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xml:space="preserve">, par. 87). L’important déficit actuariel du régime de pension est l’une de ces circonstances. La Commission estime que le régime APD permettait à </w:t>
      </w:r>
      <w:r w:rsidR="00A41D1C">
        <w:rPr>
          <w:rFonts w:cs="Times New Roman"/>
          <w:lang w:val="fr-CA"/>
        </w:rPr>
        <w:t>Canadian Utilities</w:t>
      </w:r>
      <w:r w:rsidRPr="008268F4">
        <w:rPr>
          <w:rFonts w:cs="Times New Roman"/>
          <w:lang w:val="fr-CA"/>
        </w:rPr>
        <w:t xml:space="preserve"> d’exercer son pouvoir discrétionnaire dans l’établissement de </w:t>
      </w:r>
      <w:r w:rsidR="00047247">
        <w:rPr>
          <w:rFonts w:cs="Times New Roman"/>
          <w:lang w:val="fr-CA"/>
        </w:rPr>
        <w:t>l’AACV et que ce pouvoir est un</w:t>
      </w:r>
      <w:r w:rsidRPr="008268F4">
        <w:rPr>
          <w:rFonts w:cs="Times New Roman"/>
          <w:lang w:val="fr-CA"/>
        </w:rPr>
        <w:t xml:space="preserve"> « outil à la disposition » de cette </w:t>
      </w:r>
      <w:r w:rsidRPr="008268F4">
        <w:rPr>
          <w:rFonts w:cs="Times New Roman"/>
          <w:lang w:val="fr-CA"/>
        </w:rPr>
        <w:lastRenderedPageBreak/>
        <w:t>entreprise pour lui permettre de gérer activement l’important déficit actuariel du régime APD dans l’exercice de ses obligations fiduciaires et contractuelles (par. 83). « [L]’existence de ce pouvoir discrétionnaire et le fait de l’exercer ou non constitu</w:t>
      </w:r>
      <w:r w:rsidR="000B14EF">
        <w:rPr>
          <w:rFonts w:cs="Times New Roman"/>
          <w:lang w:val="fr-CA"/>
        </w:rPr>
        <w:t>[</w:t>
      </w:r>
      <w:r w:rsidRPr="008268F4">
        <w:rPr>
          <w:rFonts w:cs="Times New Roman"/>
          <w:lang w:val="fr-CA"/>
        </w:rPr>
        <w:t>ent</w:t>
      </w:r>
      <w:r w:rsidR="000B14EF">
        <w:rPr>
          <w:rFonts w:cs="Times New Roman"/>
          <w:lang w:val="fr-CA"/>
        </w:rPr>
        <w:t>]</w:t>
      </w:r>
      <w:r w:rsidRPr="008268F4">
        <w:rPr>
          <w:rFonts w:cs="Times New Roman"/>
          <w:lang w:val="fr-CA"/>
        </w:rPr>
        <w:t xml:space="preserve"> une considération pertinente et importante » pour déterminer si la charge de retraite des services publics ATCO est raisonnable et doit être prise en compte dans les recettes nécessaires (</w:t>
      </w:r>
      <w:r w:rsidR="000B14EF" w:rsidRPr="000B14EF">
        <w:rPr>
          <w:rFonts w:cs="Times New Roman"/>
          <w:i/>
          <w:lang w:val="fr-CA"/>
        </w:rPr>
        <w:t>ibid.</w:t>
      </w:r>
      <w:r w:rsidRPr="008268F4">
        <w:rPr>
          <w:rFonts w:cs="Times New Roman"/>
          <w:lang w:val="fr-CA"/>
        </w:rPr>
        <w:t>).</w:t>
      </w:r>
    </w:p>
    <w:p w:rsidR="007427DC" w:rsidRPr="008268F4" w:rsidRDefault="007427DC" w:rsidP="0017514B">
      <w:pPr>
        <w:pStyle w:val="ParaNoNdepar-AltN"/>
        <w:widowControl w:val="0"/>
        <w:rPr>
          <w:rFonts w:cs="Times New Roman"/>
          <w:lang w:val="fr-CA"/>
        </w:rPr>
      </w:pPr>
      <w:r w:rsidRPr="008268F4">
        <w:rPr>
          <w:rFonts w:cs="Times New Roman"/>
          <w:lang w:val="fr-CA"/>
        </w:rPr>
        <w:t>La Commission conclut que la fixation par les services publics ATCO d’un AACV à raison de 100 p. </w:t>
      </w:r>
      <w:r w:rsidR="00A41D1C">
        <w:rPr>
          <w:rFonts w:cs="Times New Roman"/>
          <w:lang w:val="fr-CA"/>
        </w:rPr>
        <w:t>100</w:t>
      </w:r>
      <w:r w:rsidRPr="008268F4">
        <w:rPr>
          <w:rFonts w:cs="Times New Roman"/>
          <w:lang w:val="fr-CA"/>
        </w:rPr>
        <w:t xml:space="preserve"> de l’IPC </w:t>
      </w:r>
      <w:r w:rsidR="000B14EF">
        <w:rPr>
          <w:rFonts w:cs="Times New Roman"/>
          <w:lang w:val="fr-CA"/>
        </w:rPr>
        <w:t xml:space="preserve">à chaque année </w:t>
      </w:r>
      <w:r w:rsidRPr="008268F4">
        <w:rPr>
          <w:rFonts w:cs="Times New Roman"/>
          <w:lang w:val="fr-CA"/>
        </w:rPr>
        <w:t>n’est pas une [</w:t>
      </w:r>
      <w:r w:rsidRPr="008268F4">
        <w:rPr>
          <w:rFonts w:cs="Times New Roman"/>
          <w:smallCaps/>
          <w:lang w:val="fr-CA"/>
        </w:rPr>
        <w:t>traduction</w:t>
      </w:r>
      <w:r w:rsidRPr="008268F4">
        <w:rPr>
          <w:rFonts w:cs="Times New Roman"/>
          <w:lang w:val="fr-CA"/>
        </w:rPr>
        <w:t>] « pratique courante reconnue » à la lumière de la preuve voulant que les régimes de pension APD d’autres entités d’un groupe de comparaison fassent correspondre l’AACV à des pourcentages très variables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par. 87). La majorité de ces autres entités font correspondre l’AACV à un pourcentage situé entre 50 p. </w:t>
      </w:r>
      <w:r w:rsidR="00A41D1C">
        <w:rPr>
          <w:rFonts w:cs="Times New Roman"/>
          <w:lang w:val="fr-CA"/>
        </w:rPr>
        <w:t>100</w:t>
      </w:r>
      <w:r w:rsidRPr="008268F4">
        <w:rPr>
          <w:rFonts w:cs="Times New Roman"/>
          <w:lang w:val="fr-CA"/>
        </w:rPr>
        <w:t xml:space="preserve"> et 75 p. </w:t>
      </w:r>
      <w:r w:rsidR="00A41D1C">
        <w:rPr>
          <w:rFonts w:cs="Times New Roman"/>
          <w:lang w:val="fr-CA"/>
        </w:rPr>
        <w:t>100</w:t>
      </w:r>
      <w:r w:rsidRPr="008268F4">
        <w:rPr>
          <w:rFonts w:cs="Times New Roman"/>
          <w:lang w:val="fr-CA"/>
        </w:rPr>
        <w:t xml:space="preserve"> de l’IPC. La Commission conclut également qu’une réduction de l’AACV ne nuirait pas au recrutement par les services publics ATCO de nouveaux employés et n’encouragerait pas non plus les employés actuels à quitter leur emploi.</w:t>
      </w:r>
    </w:p>
    <w:p w:rsidR="007427DC" w:rsidRPr="008268F4" w:rsidRDefault="007427DC" w:rsidP="0017514B">
      <w:pPr>
        <w:pStyle w:val="ParaNoNdepar-AltN"/>
        <w:widowControl w:val="0"/>
        <w:rPr>
          <w:rFonts w:cs="Times New Roman"/>
          <w:lang w:val="fr-CA"/>
        </w:rPr>
      </w:pPr>
      <w:r w:rsidRPr="008268F4">
        <w:rPr>
          <w:rFonts w:cs="Times New Roman"/>
          <w:lang w:val="fr-CA"/>
        </w:rPr>
        <w:t>Selon la Commission, l’AACV inclus dans le coût des prestations pour services courants à recouvrer grâce aux tarifs imposés après le 1</w:t>
      </w:r>
      <w:r w:rsidRPr="008268F4">
        <w:rPr>
          <w:rFonts w:cs="Times New Roman"/>
          <w:vertAlign w:val="superscript"/>
          <w:lang w:val="fr-CA"/>
        </w:rPr>
        <w:t>er</w:t>
      </w:r>
      <w:r w:rsidRPr="008268F4">
        <w:rPr>
          <w:rFonts w:cs="Times New Roman"/>
          <w:lang w:val="fr-CA"/>
        </w:rPr>
        <w:t> janvier 2012 et jusqu’à l’évaluation actuarielle suivante doit correspondre à 50 p. </w:t>
      </w:r>
      <w:r w:rsidR="00A41D1C">
        <w:rPr>
          <w:rFonts w:cs="Times New Roman"/>
          <w:lang w:val="fr-CA"/>
        </w:rPr>
        <w:t>100</w:t>
      </w:r>
      <w:r w:rsidRPr="008268F4">
        <w:rPr>
          <w:rFonts w:cs="Times New Roman"/>
          <w:lang w:val="fr-CA"/>
        </w:rPr>
        <w:t xml:space="preserve"> de l’IPC pour l’année au Canada (au plus 3 p. </w:t>
      </w:r>
      <w:r w:rsidR="00A41D1C">
        <w:rPr>
          <w:rFonts w:cs="Times New Roman"/>
          <w:lang w:val="fr-CA"/>
        </w:rPr>
        <w:t>100</w:t>
      </w:r>
      <w:r w:rsidRPr="008268F4">
        <w:rPr>
          <w:rFonts w:cs="Times New Roman"/>
          <w:lang w:val="fr-CA"/>
        </w:rPr>
        <w:t>). Les recettes nécessaires des services publics ATCO pour l’année 2012 doivent être réduites en conséquence.</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Cependant, pour ce qui est des paiements spéciaux destinés à combler le </w:t>
      </w:r>
      <w:r w:rsidRPr="008268F4">
        <w:rPr>
          <w:rFonts w:cs="Times New Roman"/>
          <w:lang w:val="fr-CA"/>
        </w:rPr>
        <w:lastRenderedPageBreak/>
        <w:t>déficit actuariel pour l’année 2012, la Commission affirme qu’elle n’obligerait pas les services publics ATCO à déposer un rapport actuariel actualisé faisant état d’un pourcentage d’AACV moindre et qu’elle commencerait uniquement par refuser que l’AACV corresponde à 100 p. </w:t>
      </w:r>
      <w:r w:rsidR="00A41D1C">
        <w:rPr>
          <w:rFonts w:cs="Times New Roman"/>
          <w:lang w:val="fr-CA"/>
        </w:rPr>
        <w:t>100</w:t>
      </w:r>
      <w:r w:rsidRPr="008268F4">
        <w:rPr>
          <w:rFonts w:cs="Times New Roman"/>
          <w:lang w:val="fr-CA"/>
        </w:rPr>
        <w:t xml:space="preserve"> de l’IPC à compter de 2013. Cette décision découle de sa conclusion selon laquelle le dépôt d’un nouveau rapport actuariel [</w:t>
      </w:r>
      <w:r w:rsidRPr="008268F4">
        <w:rPr>
          <w:rFonts w:cs="Times New Roman"/>
          <w:smallCaps/>
          <w:lang w:val="fr-CA"/>
        </w:rPr>
        <w:t>traduction</w:t>
      </w:r>
      <w:r w:rsidRPr="008268F4">
        <w:rPr>
          <w:rFonts w:cs="Times New Roman"/>
          <w:lang w:val="fr-CA"/>
        </w:rPr>
        <w:t>] « serait coûteux et exigerait trop de ressources de la part de la société, de la partie intervenante et de la Commission compte tenu du temps qui reste en 2011 pour établir un nouveau rapport et le soumettre à l’approbation de la Commission, puis du surintendant des pensions », d’autant plus qu’un nouveau rapport était censé être déposé au plus tard le 1</w:t>
      </w:r>
      <w:r w:rsidRPr="008268F4">
        <w:rPr>
          <w:rFonts w:cs="Times New Roman"/>
          <w:vertAlign w:val="superscript"/>
          <w:lang w:val="fr-CA"/>
        </w:rPr>
        <w:t>er</w:t>
      </w:r>
      <w:r w:rsidRPr="008268F4">
        <w:rPr>
          <w:rFonts w:cs="Times New Roman"/>
          <w:lang w:val="fr-CA"/>
        </w:rPr>
        <w:t> janvier 2013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xml:space="preserve">, par. 99). La Commission ne réduit pas les paiements spéciaux à recouvrer en 2012 parce qu’il n’est pas  « dans l’intérêt véritable des services publics ATCO, des clients et des retraités de modifier </w:t>
      </w:r>
      <w:r w:rsidR="000B14EF">
        <w:rPr>
          <w:rFonts w:cs="Times New Roman"/>
          <w:lang w:val="fr-CA"/>
        </w:rPr>
        <w:t>[</w:t>
      </w:r>
      <w:r w:rsidRPr="008268F4">
        <w:rPr>
          <w:rFonts w:cs="Times New Roman"/>
          <w:lang w:val="fr-CA"/>
        </w:rPr>
        <w:t>aujourd’hui</w:t>
      </w:r>
      <w:r w:rsidR="000B14EF">
        <w:rPr>
          <w:rFonts w:cs="Times New Roman"/>
          <w:lang w:val="fr-CA"/>
        </w:rPr>
        <w:t>]</w:t>
      </w:r>
      <w:r w:rsidRPr="008268F4">
        <w:rPr>
          <w:rFonts w:cs="Times New Roman"/>
          <w:lang w:val="fr-CA"/>
        </w:rPr>
        <w:t xml:space="preserve"> le calcul de l’AACV étant donné les répercussions incertaines sur le financement du régime de pension qu’auraient une nouvelle évaluation et un nouveau rapport actuariels » (par. 100). La réduction du déficit découlant de la réduction de l’AACV serait prise en compte dans les cotisations spéciales en cours pour 2013 et les années suivantes.</w:t>
      </w:r>
    </w:p>
    <w:p w:rsidR="007427DC" w:rsidRPr="008268F4" w:rsidRDefault="007427DC" w:rsidP="0017514B">
      <w:pPr>
        <w:pStyle w:val="Title2LevelTitre2Niveau"/>
        <w:widowControl w:val="0"/>
        <w:rPr>
          <w:rFonts w:cs="Times New Roman"/>
          <w:lang w:val="fr-CA"/>
        </w:rPr>
      </w:pPr>
      <w:r w:rsidRPr="008268F4">
        <w:rPr>
          <w:rFonts w:cs="Times New Roman"/>
          <w:lang w:val="fr-CA"/>
        </w:rPr>
        <w:t>Alberta Utilities Commission : ATCO Utilities</w:t>
      </w:r>
      <w:r w:rsidR="000B14EF">
        <w:rPr>
          <w:rFonts w:cs="Times New Roman"/>
          <w:lang w:val="fr-CA"/>
        </w:rPr>
        <w:t>,</w:t>
      </w:r>
      <w:r w:rsidRPr="008268F4">
        <w:rPr>
          <w:rFonts w:cs="Times New Roman"/>
          <w:lang w:val="fr-CA"/>
        </w:rPr>
        <w:t xml:space="preserve"> Re (2012), 97 C.C.P.B. 298 (« Décision 2012</w:t>
      </w:r>
      <w:r w:rsidRPr="008268F4">
        <w:rPr>
          <w:rFonts w:cs="Times New Roman"/>
          <w:lang w:val="fr-CA"/>
        </w:rPr>
        <w:noBreakHyphen/>
        <w:t>077 »)</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Le 2 novembre 2011, les services publics ATCO ont déposé une demande de révision et de modification de la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Ils ont demandé à la Commission d’annuler sa directive d’abaisser l’AACV à 50 p. </w:t>
      </w:r>
      <w:r w:rsidR="00A41D1C">
        <w:rPr>
          <w:rFonts w:cs="Times New Roman"/>
          <w:lang w:val="fr-CA"/>
        </w:rPr>
        <w:t>100</w:t>
      </w:r>
      <w:r w:rsidRPr="008268F4">
        <w:rPr>
          <w:rFonts w:cs="Times New Roman"/>
          <w:lang w:val="fr-CA"/>
        </w:rPr>
        <w:t xml:space="preserve"> de l’IPC à des fins </w:t>
      </w:r>
      <w:r w:rsidRPr="008268F4">
        <w:rPr>
          <w:rFonts w:cs="Times New Roman"/>
          <w:lang w:val="fr-CA"/>
        </w:rPr>
        <w:lastRenderedPageBreak/>
        <w:t>réglementaires.</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 Commission a conclu que les arguments des services publics ATCO ne permettaient pas de douter sérieusement de la justesse de la </w:t>
      </w:r>
      <w:r w:rsidRPr="008268F4">
        <w:rPr>
          <w:rFonts w:cs="Times New Roman"/>
          <w:i/>
          <w:lang w:val="fr-CA"/>
        </w:rPr>
        <w:t>Décision 2011</w:t>
      </w:r>
      <w:r w:rsidRPr="008268F4">
        <w:rPr>
          <w:rFonts w:cs="Times New Roman"/>
          <w:i/>
          <w:lang w:val="fr-CA"/>
        </w:rPr>
        <w:noBreakHyphen/>
        <w:t xml:space="preserve">391 </w:t>
      </w:r>
      <w:r w:rsidRPr="008268F4">
        <w:rPr>
          <w:rFonts w:cs="Times New Roman"/>
          <w:lang w:val="fr-CA"/>
        </w:rPr>
        <w:t>et elle a rejeté la demande de révision et de modification.</w:t>
      </w:r>
    </w:p>
    <w:p w:rsidR="007427DC" w:rsidRPr="008268F4" w:rsidRDefault="007427DC" w:rsidP="0017514B">
      <w:pPr>
        <w:pStyle w:val="Title2LevelTitre2Niveau"/>
        <w:widowControl w:val="0"/>
        <w:rPr>
          <w:rFonts w:cs="Times New Roman"/>
          <w:lang w:val="fr-CA"/>
        </w:rPr>
      </w:pPr>
      <w:r w:rsidRPr="008268F4">
        <w:rPr>
          <w:rFonts w:cs="Times New Roman"/>
          <w:lang w:val="fr-CA"/>
        </w:rPr>
        <w:t>Cour d’appel de l’Alberta</w:t>
      </w:r>
      <w:r w:rsidR="00FE0034">
        <w:rPr>
          <w:rFonts w:cs="Times New Roman"/>
          <w:lang w:val="fr-CA"/>
        </w:rPr>
        <w:t> :</w:t>
      </w:r>
      <w:r w:rsidRPr="008268F4">
        <w:rPr>
          <w:rFonts w:cs="Times New Roman"/>
          <w:lang w:val="fr-CA"/>
        </w:rPr>
        <w:t xml:space="preserve"> 2013 ABCA 310, 93 Alta. L.R. (5th) 234</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 Cour d’appel de l’Alberta a autorisé l’appel de la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Après s’être penchée sur le caractère raisonnable de celle</w:t>
      </w:r>
      <w:r w:rsidRPr="008268F4">
        <w:rPr>
          <w:rFonts w:cs="Times New Roman"/>
          <w:lang w:val="fr-CA"/>
        </w:rPr>
        <w:noBreakHyphen/>
        <w:t>ci, elle conclut qu’il était loisible à la Commission de réduire les recettes nécessaires des services publics ATCO de manière qu’elles tiennent compte d’un AACV correspondant à 50 p. </w:t>
      </w:r>
      <w:r w:rsidR="00A41D1C">
        <w:rPr>
          <w:rFonts w:cs="Times New Roman"/>
          <w:lang w:val="fr-CA"/>
        </w:rPr>
        <w:t>100</w:t>
      </w:r>
      <w:r w:rsidRPr="008268F4">
        <w:rPr>
          <w:rFonts w:cs="Times New Roman"/>
          <w:lang w:val="fr-CA"/>
        </w:rPr>
        <w:t xml:space="preserve"> de l’IPC. Elle rejette donc l’appel.</w:t>
      </w:r>
    </w:p>
    <w:p w:rsidR="007427DC" w:rsidRPr="008268F4" w:rsidRDefault="007427DC" w:rsidP="0017514B">
      <w:pPr>
        <w:pStyle w:val="Title1LevelTitre1Niveau-AltL"/>
        <w:widowControl w:val="0"/>
        <w:rPr>
          <w:rFonts w:cs="Times New Roman"/>
          <w:lang w:val="fr-CA"/>
        </w:rPr>
      </w:pPr>
      <w:r w:rsidRPr="008268F4">
        <w:rPr>
          <w:rFonts w:cs="Times New Roman"/>
          <w:lang w:val="fr-CA"/>
        </w:rPr>
        <w:t>Questions en litige</w:t>
      </w:r>
    </w:p>
    <w:p w:rsidR="007427DC" w:rsidRPr="008268F4" w:rsidRDefault="007427DC" w:rsidP="0017514B">
      <w:pPr>
        <w:pStyle w:val="ParaNoNdepar-AltN"/>
        <w:widowControl w:val="0"/>
        <w:rPr>
          <w:rFonts w:cs="Times New Roman"/>
          <w:lang w:val="fr-CA"/>
        </w:rPr>
      </w:pPr>
      <w:r w:rsidRPr="008268F4">
        <w:rPr>
          <w:rFonts w:cs="Times New Roman"/>
          <w:lang w:val="fr-CA"/>
        </w:rPr>
        <w:t>Le pourvoi soulève trois questions :</w:t>
      </w:r>
    </w:p>
    <w:p w:rsidR="007427DC" w:rsidRPr="008268F4" w:rsidRDefault="007427DC" w:rsidP="0017514B">
      <w:pPr>
        <w:pStyle w:val="Citation-AltC"/>
        <w:widowControl w:val="0"/>
        <w:tabs>
          <w:tab w:val="left" w:pos="720"/>
        </w:tabs>
        <w:spacing w:after="480" w:line="480" w:lineRule="auto"/>
        <w:ind w:left="720" w:hanging="720"/>
        <w:contextualSpacing w:val="0"/>
        <w:rPr>
          <w:lang w:val="fr-CA"/>
        </w:rPr>
      </w:pPr>
      <w:r w:rsidRPr="008268F4">
        <w:rPr>
          <w:lang w:val="fr-CA"/>
        </w:rPr>
        <w:t>1.</w:t>
      </w:r>
      <w:r w:rsidRPr="008268F4">
        <w:rPr>
          <w:lang w:val="fr-CA"/>
        </w:rPr>
        <w:tab/>
        <w:t>Quelle est la norme de contrôle applicable?</w:t>
      </w:r>
    </w:p>
    <w:p w:rsidR="007427DC" w:rsidRPr="008268F4" w:rsidRDefault="007427DC" w:rsidP="0017514B">
      <w:pPr>
        <w:pStyle w:val="Citation-AltC"/>
        <w:widowControl w:val="0"/>
        <w:tabs>
          <w:tab w:val="left" w:pos="720"/>
        </w:tabs>
        <w:spacing w:after="480" w:line="480" w:lineRule="auto"/>
        <w:ind w:left="720" w:hanging="720"/>
        <w:contextualSpacing w:val="0"/>
        <w:rPr>
          <w:lang w:val="fr-CA"/>
        </w:rPr>
      </w:pPr>
      <w:r w:rsidRPr="008268F4">
        <w:rPr>
          <w:lang w:val="fr-CA"/>
        </w:rPr>
        <w:t>2.</w:t>
      </w:r>
      <w:r w:rsidRPr="008268F4">
        <w:rPr>
          <w:lang w:val="fr-CA"/>
        </w:rPr>
        <w:tab/>
        <w:t>Le régime réglementaire impose</w:t>
      </w:r>
      <w:r w:rsidRPr="008268F4">
        <w:rPr>
          <w:lang w:val="fr-CA"/>
        </w:rPr>
        <w:noBreakHyphen/>
        <w:t>t</w:t>
      </w:r>
      <w:r w:rsidRPr="008268F4">
        <w:rPr>
          <w:lang w:val="fr-CA"/>
        </w:rPr>
        <w:noBreakHyphen/>
        <w:t>il une méthode en particulier pour apprécier le caractère prudent des dépenses?</w:t>
      </w:r>
    </w:p>
    <w:p w:rsidR="007427DC" w:rsidRPr="008268F4" w:rsidRDefault="007427DC" w:rsidP="0017514B">
      <w:pPr>
        <w:pStyle w:val="Citation-AltC"/>
        <w:widowControl w:val="0"/>
        <w:tabs>
          <w:tab w:val="left" w:pos="720"/>
        </w:tabs>
        <w:spacing w:after="480" w:line="480" w:lineRule="auto"/>
        <w:ind w:left="720" w:hanging="720"/>
        <w:contextualSpacing w:val="0"/>
        <w:rPr>
          <w:lang w:val="fr-CA"/>
        </w:rPr>
      </w:pPr>
      <w:r w:rsidRPr="008268F4">
        <w:rPr>
          <w:lang w:val="fr-CA"/>
        </w:rPr>
        <w:t xml:space="preserve">3. </w:t>
      </w:r>
      <w:r w:rsidR="005C13AA">
        <w:rPr>
          <w:lang w:val="fr-CA"/>
        </w:rPr>
        <w:tab/>
      </w:r>
      <w:r w:rsidRPr="008268F4">
        <w:rPr>
          <w:lang w:val="fr-CA"/>
        </w:rPr>
        <w:t>Était</w:t>
      </w:r>
      <w:r w:rsidRPr="008268F4">
        <w:rPr>
          <w:lang w:val="fr-CA"/>
        </w:rPr>
        <w:noBreakHyphen/>
        <w:t>il raisonnable que la Commission refuse de prendre en compte un AACV correspondant à 100 p. </w:t>
      </w:r>
      <w:r w:rsidR="00A41D1C">
        <w:rPr>
          <w:lang w:val="fr-CA"/>
        </w:rPr>
        <w:t>100</w:t>
      </w:r>
      <w:r w:rsidRPr="008268F4">
        <w:rPr>
          <w:lang w:val="fr-CA"/>
        </w:rPr>
        <w:t xml:space="preserve"> de l’IPC (</w:t>
      </w:r>
      <w:r>
        <w:rPr>
          <w:lang w:val="fr-CA"/>
        </w:rPr>
        <w:t>AACV d’</w:t>
      </w:r>
      <w:r w:rsidRPr="008268F4">
        <w:rPr>
          <w:lang w:val="fr-CA"/>
        </w:rPr>
        <w:t>au plus 3 p. </w:t>
      </w:r>
      <w:r w:rsidR="00A41D1C">
        <w:rPr>
          <w:lang w:val="fr-CA"/>
        </w:rPr>
        <w:t>100</w:t>
      </w:r>
      <w:r w:rsidRPr="008268F4">
        <w:rPr>
          <w:lang w:val="fr-CA"/>
        </w:rPr>
        <w:t xml:space="preserve">) pour </w:t>
      </w:r>
      <w:r w:rsidRPr="008268F4">
        <w:rPr>
          <w:lang w:val="fr-CA"/>
        </w:rPr>
        <w:lastRenderedPageBreak/>
        <w:t>déterminer les recettes nécessaires des services publics ATCO?</w:t>
      </w:r>
    </w:p>
    <w:p w:rsidR="007427DC" w:rsidRPr="008268F4" w:rsidRDefault="007427DC" w:rsidP="0017514B">
      <w:pPr>
        <w:pStyle w:val="Title1LevelTitre1Niveau-AltL"/>
        <w:widowControl w:val="0"/>
        <w:rPr>
          <w:rFonts w:cs="Times New Roman"/>
          <w:lang w:val="fr-CA"/>
        </w:rPr>
      </w:pPr>
      <w:r w:rsidRPr="008268F4">
        <w:rPr>
          <w:rFonts w:cs="Times New Roman"/>
          <w:lang w:val="fr-CA"/>
        </w:rPr>
        <w:t>Analyse</w:t>
      </w:r>
    </w:p>
    <w:p w:rsidR="007427DC" w:rsidRPr="008268F4" w:rsidRDefault="007427DC" w:rsidP="0017514B">
      <w:pPr>
        <w:pStyle w:val="Title2LevelTitre2Niveau"/>
        <w:widowControl w:val="0"/>
        <w:rPr>
          <w:rFonts w:cs="Times New Roman"/>
          <w:lang w:val="fr-CA"/>
        </w:rPr>
      </w:pPr>
      <w:r w:rsidRPr="008268F4">
        <w:rPr>
          <w:rFonts w:cs="Times New Roman"/>
          <w:lang w:val="fr-CA"/>
        </w:rPr>
        <w:t>Norme de contrôle</w:t>
      </w:r>
    </w:p>
    <w:p w:rsidR="007427DC" w:rsidRPr="008268F4" w:rsidRDefault="007427DC" w:rsidP="0017514B">
      <w:pPr>
        <w:pStyle w:val="ParaNoNdepar-AltN"/>
        <w:widowControl w:val="0"/>
        <w:rPr>
          <w:rFonts w:cs="Times New Roman"/>
          <w:lang w:val="fr-CA"/>
        </w:rPr>
      </w:pPr>
      <w:r w:rsidRPr="008268F4">
        <w:rPr>
          <w:rFonts w:cs="Times New Roman"/>
          <w:lang w:val="fr-CA"/>
        </w:rPr>
        <w:t>La norme de contrôle applicable à la décision de la Commission lorsque celle</w:t>
      </w:r>
      <w:r w:rsidRPr="008268F4">
        <w:rPr>
          <w:rFonts w:cs="Times New Roman"/>
          <w:lang w:val="fr-CA"/>
        </w:rPr>
        <w:noBreakHyphen/>
        <w:t>ci met son expertise à contribution pour fixer les tarifs et approuver les paiements conformément à l’</w:t>
      </w:r>
      <w:r w:rsidRPr="008268F4">
        <w:rPr>
          <w:rFonts w:cs="Times New Roman"/>
          <w:i/>
          <w:lang w:val="fr-CA"/>
        </w:rPr>
        <w:t>E</w:t>
      </w:r>
      <w:r w:rsidR="005C13AA">
        <w:rPr>
          <w:rFonts w:cs="Times New Roman"/>
          <w:i/>
          <w:lang w:val="fr-CA"/>
        </w:rPr>
        <w:t>lectric Utilities Act</w:t>
      </w:r>
      <w:r w:rsidRPr="008268F4">
        <w:rPr>
          <w:rFonts w:cs="Times New Roman"/>
          <w:i/>
          <w:lang w:val="fr-CA"/>
        </w:rPr>
        <w:t xml:space="preserve"> </w:t>
      </w:r>
      <w:r w:rsidRPr="008268F4">
        <w:rPr>
          <w:rFonts w:cs="Times New Roman"/>
          <w:lang w:val="fr-CA"/>
        </w:rPr>
        <w:t xml:space="preserve">et à la </w:t>
      </w:r>
      <w:r w:rsidRPr="008268F4">
        <w:rPr>
          <w:rFonts w:cs="Times New Roman"/>
          <w:i/>
          <w:lang w:val="fr-CA"/>
        </w:rPr>
        <w:t>G</w:t>
      </w:r>
      <w:r w:rsidR="005C13AA">
        <w:rPr>
          <w:rFonts w:cs="Times New Roman"/>
          <w:i/>
          <w:lang w:val="fr-CA"/>
        </w:rPr>
        <w:t xml:space="preserve">as Utilities Act </w:t>
      </w:r>
      <w:r w:rsidRPr="008268F4">
        <w:rPr>
          <w:rFonts w:cs="Times New Roman"/>
          <w:lang w:val="fr-CA"/>
        </w:rPr>
        <w:t>est celle de la décision raisonnable (</w:t>
      </w:r>
      <w:r w:rsidRPr="008268F4">
        <w:rPr>
          <w:rFonts w:cs="Times New Roman"/>
          <w:i/>
          <w:lang w:val="fr-CA"/>
        </w:rPr>
        <w:t>CÉO</w:t>
      </w:r>
      <w:r w:rsidRPr="008268F4">
        <w:rPr>
          <w:rFonts w:cs="Times New Roman"/>
          <w:lang w:val="fr-CA"/>
        </w:rPr>
        <w:t xml:space="preserve">, par. 73; voir </w:t>
      </w:r>
      <w:r w:rsidRPr="008268F4">
        <w:rPr>
          <w:rFonts w:cs="Times New Roman"/>
          <w:i/>
          <w:lang w:val="fr-CA"/>
        </w:rPr>
        <w:t>Dunsmuir c. Nouveau</w:t>
      </w:r>
      <w:r w:rsidRPr="008268F4">
        <w:rPr>
          <w:rFonts w:cs="Times New Roman"/>
          <w:i/>
          <w:lang w:val="fr-CA"/>
        </w:rPr>
        <w:noBreakHyphen/>
        <w:t>Brunswick</w:t>
      </w:r>
      <w:r w:rsidRPr="008268F4">
        <w:rPr>
          <w:rFonts w:cs="Times New Roman"/>
          <w:lang w:val="fr-CA"/>
        </w:rPr>
        <w:t>, 2008 CSC 9, [2008] 1 R.C.S. 190, par. 53</w:t>
      </w:r>
      <w:r w:rsidRPr="008268F4">
        <w:rPr>
          <w:rFonts w:cs="Times New Roman"/>
          <w:lang w:val="fr-CA"/>
        </w:rPr>
        <w:noBreakHyphen/>
        <w:t xml:space="preserve">54). </w:t>
      </w:r>
    </w:p>
    <w:p w:rsidR="007427DC" w:rsidRPr="008268F4" w:rsidRDefault="007427DC" w:rsidP="0017514B">
      <w:pPr>
        <w:pStyle w:val="ParaNoNdepar-AltN"/>
        <w:widowControl w:val="0"/>
        <w:rPr>
          <w:rFonts w:cs="Times New Roman"/>
          <w:lang w:val="fr-CA"/>
        </w:rPr>
      </w:pPr>
      <w:r w:rsidRPr="008268F4">
        <w:rPr>
          <w:rFonts w:cs="Times New Roman"/>
          <w:lang w:val="fr-CA"/>
        </w:rPr>
        <w:t>Les services publics ATCO soutiennent néanmoins que la jurisprudence privilégie l’application de la norme de la décision correcte.</w:t>
      </w:r>
      <w:r w:rsidR="005C13AA">
        <w:rPr>
          <w:rFonts w:cs="Times New Roman"/>
          <w:lang w:val="fr-CA"/>
        </w:rPr>
        <w:t xml:space="preserve"> </w:t>
      </w:r>
      <w:r w:rsidRPr="008268F4">
        <w:rPr>
          <w:rFonts w:cs="Times New Roman"/>
          <w:lang w:val="fr-CA"/>
        </w:rPr>
        <w:t>Or, les faits à l’origine des arrêts qu’ils citent (</w:t>
      </w:r>
      <w:r w:rsidRPr="008268F4">
        <w:rPr>
          <w:rFonts w:cs="Times New Roman"/>
          <w:i/>
          <w:lang w:val="fr-CA"/>
        </w:rPr>
        <w:t>ATCO Gas and Pipelines Ltd. c. Alberta (Energy and Utilities Board)</w:t>
      </w:r>
      <w:r w:rsidRPr="008268F4">
        <w:rPr>
          <w:rFonts w:cs="Times New Roman"/>
          <w:lang w:val="fr-CA"/>
        </w:rPr>
        <w:t>, 2006 CSC 4, [2006] 1 R.C.S. 140 (l’arrêt relatif au « </w:t>
      </w:r>
      <w:r w:rsidRPr="008268F4">
        <w:rPr>
          <w:rFonts w:cs="Times New Roman"/>
          <w:i/>
          <w:lang w:val="fr-CA"/>
        </w:rPr>
        <w:t>Calgary Stores Block</w:t>
      </w:r>
      <w:r w:rsidRPr="008268F4">
        <w:rPr>
          <w:rFonts w:cs="Times New Roman"/>
          <w:lang w:val="fr-CA"/>
        </w:rPr>
        <w:t xml:space="preserve"> »), </w:t>
      </w:r>
      <w:r w:rsidRPr="008268F4">
        <w:rPr>
          <w:rFonts w:cs="Times New Roman"/>
          <w:i/>
          <w:lang w:val="fr-CA"/>
        </w:rPr>
        <w:t>Shaw c. Alberta Utilities Commission</w:t>
      </w:r>
      <w:r w:rsidRPr="008268F4">
        <w:rPr>
          <w:rFonts w:cs="Times New Roman"/>
          <w:lang w:val="fr-CA"/>
        </w:rPr>
        <w:t xml:space="preserve">, 2012 ABCA 378, 539 A.R. 315, et </w:t>
      </w:r>
      <w:r w:rsidRPr="008268F4">
        <w:rPr>
          <w:rFonts w:cs="Times New Roman"/>
          <w:i/>
          <w:lang w:val="fr-CA"/>
        </w:rPr>
        <w:t>ATCO Gas and Pipelines Ltd. c. Alberta Utilities Commission</w:t>
      </w:r>
      <w:r w:rsidRPr="008268F4">
        <w:rPr>
          <w:rFonts w:cs="Times New Roman"/>
          <w:lang w:val="fr-CA"/>
        </w:rPr>
        <w:t>, 2009 ABCA 246, 464 A.R. 275) diffèrent de ceux de la présente espèce. Chacune de ces affaires soulevait, prétendait</w:t>
      </w:r>
      <w:r w:rsidRPr="008268F4">
        <w:rPr>
          <w:rFonts w:cs="Times New Roman"/>
          <w:lang w:val="fr-CA"/>
        </w:rPr>
        <w:noBreakHyphen/>
        <w:t xml:space="preserve">on, de « véritables questions de compétence », l’organisme de réglementation étant appelé à déterminer s’il avait le pouvoir légal de trancher une question donnée. Dans sa jurisprudence récente, la Cour insiste sur le fait que les véritables questions de compétence, à supposer qu’elles forment bel et bien une catégorie, ce sur quoi la Cour n’a pas encore statué, sont rares et exceptionnelles </w:t>
      </w:r>
      <w:r w:rsidRPr="008268F4">
        <w:rPr>
          <w:rFonts w:cs="Times New Roman"/>
          <w:lang w:val="fr-CA"/>
        </w:rPr>
        <w:lastRenderedPageBreak/>
        <w:t>(</w:t>
      </w:r>
      <w:r w:rsidRPr="008268F4">
        <w:rPr>
          <w:rFonts w:cs="Times New Roman"/>
          <w:i/>
          <w:lang w:val="fr-CA"/>
        </w:rPr>
        <w:t>Alberta (Information and Privacy Commissioner) c. Alberta Teachers’ Association</w:t>
      </w:r>
      <w:r w:rsidRPr="008268F4">
        <w:rPr>
          <w:rFonts w:cs="Times New Roman"/>
          <w:lang w:val="fr-CA"/>
        </w:rPr>
        <w:t xml:space="preserve">, 2011 CSC 61, [2011] 3 R.C.S. 654, par. 34). Quoi qu’il en soit, la présente affaire porte sur l’établissement de tarifs. Comme le souligne le juge Bastarache dans l’arrêt relatif au </w:t>
      </w:r>
      <w:r w:rsidRPr="008268F4">
        <w:rPr>
          <w:rFonts w:cs="Times New Roman"/>
          <w:i/>
          <w:lang w:val="fr-CA"/>
        </w:rPr>
        <w:t>Calgary Stores Block</w:t>
      </w:r>
      <w:r w:rsidRPr="008268F4">
        <w:rPr>
          <w:rFonts w:cs="Times New Roman"/>
          <w:lang w:val="fr-CA"/>
        </w:rPr>
        <w:t>, l’établissement des tarifs est au cœur de l’expertise d’un organisme de réglementation et commande donc une grande déférence (par. 30).</w:t>
      </w:r>
    </w:p>
    <w:p w:rsidR="007427DC" w:rsidRPr="008268F4" w:rsidRDefault="007427DC" w:rsidP="0017514B">
      <w:pPr>
        <w:pStyle w:val="ParaNoNdepar-AltN"/>
        <w:widowControl w:val="0"/>
        <w:rPr>
          <w:rFonts w:cs="Times New Roman"/>
          <w:lang w:val="fr-CA"/>
        </w:rPr>
      </w:pPr>
      <w:r w:rsidRPr="008268F4">
        <w:rPr>
          <w:rFonts w:cs="Times New Roman"/>
          <w:lang w:val="fr-CA"/>
        </w:rPr>
        <w:t>Lorsque l’appel porte également sur l’interprétation de sa loi constitutive par la Commission, l’application de la norme de la décision raisonnable est aussi présumée (</w:t>
      </w:r>
      <w:r w:rsidRPr="008268F4">
        <w:rPr>
          <w:rFonts w:cs="Times New Roman"/>
          <w:i/>
          <w:lang w:val="fr-CA"/>
        </w:rPr>
        <w:t>Alberta Teachers’ Association</w:t>
      </w:r>
      <w:r w:rsidRPr="008268F4">
        <w:rPr>
          <w:rFonts w:cs="Times New Roman"/>
          <w:lang w:val="fr-CA"/>
        </w:rPr>
        <w:t>, par. 30). Cette présomption n’est pas réfutée en l’espèce.</w:t>
      </w:r>
    </w:p>
    <w:p w:rsidR="007427DC" w:rsidRPr="008268F4" w:rsidRDefault="007427DC" w:rsidP="0017514B">
      <w:pPr>
        <w:pStyle w:val="Title2LevelTitre2Niveau"/>
        <w:widowControl w:val="0"/>
        <w:rPr>
          <w:rFonts w:cs="Times New Roman"/>
          <w:lang w:val="fr-CA"/>
        </w:rPr>
      </w:pPr>
      <w:r w:rsidRPr="008268F4">
        <w:rPr>
          <w:rFonts w:cs="Times New Roman"/>
          <w:lang w:val="fr-CA"/>
        </w:rPr>
        <w:t>Méthode d’appréciation des dépenses et d’établissement de tarifs justes et raisonnables sous le régime de l’Electric Utilities Act et de la Gas Utilities Act</w:t>
      </w:r>
    </w:p>
    <w:p w:rsidR="007427DC" w:rsidRPr="008268F4" w:rsidRDefault="007427DC" w:rsidP="0017514B">
      <w:pPr>
        <w:pStyle w:val="ParaNoNdepar-AltN"/>
        <w:widowControl w:val="0"/>
        <w:rPr>
          <w:rFonts w:cs="Times New Roman"/>
          <w:lang w:val="fr-CA"/>
        </w:rPr>
      </w:pPr>
      <w:r w:rsidRPr="008268F4">
        <w:rPr>
          <w:rFonts w:cs="Times New Roman"/>
          <w:lang w:val="fr-CA"/>
        </w:rPr>
        <w:t>La demande des services publics ATCO — l’un de ces services exerçant ses activités dans le secteur de l’électricité, l’autre dans celui du gaz — fait intervenir les deux lois à la fois. L’</w:t>
      </w:r>
      <w:r w:rsidRPr="008268F4">
        <w:rPr>
          <w:rFonts w:cs="Times New Roman"/>
          <w:i/>
          <w:lang w:val="fr-CA"/>
        </w:rPr>
        <w:t>EUA</w:t>
      </w:r>
      <w:r w:rsidRPr="008268F4">
        <w:rPr>
          <w:rFonts w:cs="Times New Roman"/>
          <w:lang w:val="fr-CA"/>
        </w:rPr>
        <w:t xml:space="preserve"> et la </w:t>
      </w:r>
      <w:r w:rsidRPr="008268F4">
        <w:rPr>
          <w:rFonts w:cs="Times New Roman"/>
          <w:i/>
          <w:lang w:val="fr-CA"/>
        </w:rPr>
        <w:t xml:space="preserve">GUA </w:t>
      </w:r>
      <w:r w:rsidRPr="008268F4">
        <w:rPr>
          <w:rFonts w:cs="Times New Roman"/>
          <w:lang w:val="fr-CA"/>
        </w:rPr>
        <w:t>enjoignent à la Commission de fixer des tarifs justes et raisonnables. L’</w:t>
      </w:r>
      <w:r w:rsidRPr="008268F4">
        <w:rPr>
          <w:rFonts w:cs="Times New Roman"/>
          <w:i/>
          <w:lang w:val="fr-CA"/>
        </w:rPr>
        <w:t>EUA</w:t>
      </w:r>
      <w:r w:rsidRPr="008268F4">
        <w:rPr>
          <w:rFonts w:cs="Times New Roman"/>
          <w:lang w:val="fr-CA"/>
        </w:rPr>
        <w:t xml:space="preserve"> contraint la Commission à</w:t>
      </w:r>
      <w:r>
        <w:rPr>
          <w:rFonts w:cs="Times New Roman"/>
          <w:lang w:val="fr-CA"/>
        </w:rPr>
        <w:t xml:space="preserve"> </w:t>
      </w:r>
      <w:r w:rsidRPr="008268F4">
        <w:rPr>
          <w:rFonts w:cs="Times New Roman"/>
          <w:lang w:val="fr-CA"/>
        </w:rPr>
        <w:t>[</w:t>
      </w:r>
      <w:r w:rsidRPr="008268F4">
        <w:rPr>
          <w:rFonts w:cs="Times New Roman"/>
          <w:smallCaps/>
          <w:lang w:val="fr-CA"/>
        </w:rPr>
        <w:t>traduction</w:t>
      </w:r>
      <w:r w:rsidRPr="008268F4">
        <w:rPr>
          <w:rFonts w:cs="Times New Roman"/>
          <w:lang w:val="fr-CA"/>
        </w:rPr>
        <w:t>] « tenir compte du principe selon lequel le tarif qu’elle approuve doit faire en sorte que le propriétaire des installations d’électricité ait la possibilité raisonnable de recouvrer » diverses dépenses « prudentes » ou « faites avec prudence » (art. 122; voir également art. 102). Quant au service public gazier, il [</w:t>
      </w:r>
      <w:r w:rsidRPr="008268F4">
        <w:rPr>
          <w:rFonts w:cs="Times New Roman"/>
          <w:smallCaps/>
          <w:lang w:val="fr-CA"/>
        </w:rPr>
        <w:t>traduction</w:t>
      </w:r>
      <w:r w:rsidRPr="008268F4">
        <w:rPr>
          <w:rFonts w:cs="Times New Roman"/>
          <w:lang w:val="fr-CA"/>
        </w:rPr>
        <w:t xml:space="preserve">] « peut recouvrer grâce à ses tarifs » les dépenses que la Commission juge « prudentes » (par. 4(3) du </w:t>
      </w:r>
      <w:r w:rsidRPr="008268F4">
        <w:rPr>
          <w:rFonts w:cs="Times New Roman"/>
          <w:i/>
          <w:lang w:val="fr-CA"/>
        </w:rPr>
        <w:t>Roles, Relationships and Responsibilities Regulation</w:t>
      </w:r>
      <w:r w:rsidRPr="008268F4">
        <w:rPr>
          <w:rFonts w:cs="Times New Roman"/>
          <w:lang w:val="fr-CA"/>
        </w:rPr>
        <w:t>, Alta. Reg. 186/2003</w:t>
      </w:r>
      <w:r w:rsidRPr="008268F4">
        <w:rPr>
          <w:rFonts w:cs="Times New Roman"/>
          <w:i/>
          <w:lang w:val="fr-CA"/>
        </w:rPr>
        <w:t xml:space="preserve"> </w:t>
      </w:r>
      <w:r w:rsidRPr="008268F4">
        <w:rPr>
          <w:rFonts w:cs="Times New Roman"/>
          <w:lang w:val="fr-CA"/>
        </w:rPr>
        <w:t>(le « </w:t>
      </w:r>
      <w:r w:rsidRPr="008268F4">
        <w:rPr>
          <w:rFonts w:cs="Times New Roman"/>
          <w:i/>
          <w:lang w:val="fr-CA"/>
        </w:rPr>
        <w:t>règlement RRR</w:t>
      </w:r>
      <w:r w:rsidRPr="008268F4">
        <w:rPr>
          <w:rFonts w:cs="Times New Roman"/>
          <w:lang w:val="fr-CA"/>
        </w:rPr>
        <w:t xml:space="preserve"> »); voir également l’art. 36 de la </w:t>
      </w:r>
      <w:r w:rsidRPr="008268F4">
        <w:rPr>
          <w:rFonts w:cs="Times New Roman"/>
          <w:i/>
          <w:lang w:val="fr-CA"/>
        </w:rPr>
        <w:t>GUA</w:t>
      </w:r>
      <w:r w:rsidRPr="008268F4">
        <w:rPr>
          <w:rFonts w:cs="Times New Roman"/>
          <w:lang w:val="fr-CA"/>
        </w:rPr>
        <w:t>).</w:t>
      </w:r>
    </w:p>
    <w:p w:rsidR="007427DC" w:rsidRPr="008268F4" w:rsidRDefault="007427DC" w:rsidP="0017514B">
      <w:pPr>
        <w:pStyle w:val="ParaNoNdepar-AltN"/>
        <w:widowControl w:val="0"/>
        <w:rPr>
          <w:rFonts w:cs="Times New Roman"/>
          <w:lang w:val="fr-CA"/>
        </w:rPr>
      </w:pPr>
      <w:r w:rsidRPr="008268F4">
        <w:rPr>
          <w:rFonts w:cs="Times New Roman"/>
          <w:lang w:val="fr-CA"/>
        </w:rPr>
        <w:lastRenderedPageBreak/>
        <w:t>Selon la thèse des services publics ATCO, pour qu’un service public soit assuré d’une possibilité raisonnable de recouvrer ses dépenses, la Commission doit d’abord se demander si la décision de faire les dépenses était prudente et présumer qu’elle l’était. Sauf si elle conclut à la non</w:t>
      </w:r>
      <w:r w:rsidRPr="008268F4">
        <w:rPr>
          <w:rFonts w:cs="Times New Roman"/>
          <w:lang w:val="fr-CA"/>
        </w:rPr>
        <w:noBreakHyphen/>
        <w:t xml:space="preserve">prudence, elle prend en compte les dépenses dans les recettes nécessaires de l’entreprise. Les services publics ATCO font valoir que la Commission doit, dans son appréciation de la prudence, appliquer le critère énoncé par la Cour d’appel de l’Ontario dans l’arrêt </w:t>
      </w:r>
      <w:r w:rsidRPr="008268F4">
        <w:rPr>
          <w:rFonts w:cs="Times New Roman"/>
          <w:i/>
          <w:lang w:val="fr-CA"/>
        </w:rPr>
        <w:t>Power Workers’ Union, Canadian Union of Public Employees, Local 1000 c. Ontario Energy Board</w:t>
      </w:r>
      <w:r w:rsidRPr="008268F4">
        <w:rPr>
          <w:rFonts w:cs="Times New Roman"/>
          <w:lang w:val="fr-CA"/>
        </w:rPr>
        <w:t xml:space="preserve">, 2013 ONCA 359, 116 O.R. (3d) 793, lequel fait l’objet du pourvoi connexe. Dans cette affaire, la Cour d’appel de l’Ontario fait siens les paramètres établis dans </w:t>
      </w:r>
      <w:r w:rsidRPr="008268F4">
        <w:rPr>
          <w:rFonts w:cs="Times New Roman"/>
          <w:i/>
          <w:lang w:val="fr-CA"/>
        </w:rPr>
        <w:t>Enbridge Gas Distribution Inc. c. Ontario Energy Board</w:t>
      </w:r>
      <w:r w:rsidRPr="008268F4">
        <w:rPr>
          <w:rFonts w:cs="Times New Roman"/>
          <w:lang w:val="fr-CA"/>
        </w:rPr>
        <w:t xml:space="preserve"> (2006), 210 O.A.C. 4, par. 10, pour statuer sur la prudence :</w:t>
      </w:r>
    </w:p>
    <w:p w:rsidR="007427DC" w:rsidRPr="008268F4" w:rsidRDefault="007427DC" w:rsidP="0017514B">
      <w:pPr>
        <w:pStyle w:val="Citation-AltC"/>
        <w:widowControl w:val="0"/>
        <w:tabs>
          <w:tab w:val="left" w:pos="1134"/>
        </w:tabs>
        <w:spacing w:after="240"/>
        <w:ind w:left="0"/>
        <w:contextualSpacing w:val="0"/>
        <w:rPr>
          <w:lang w:val="fr-CA"/>
        </w:rPr>
      </w:pPr>
      <w:r w:rsidRPr="008268F4">
        <w:rPr>
          <w:lang w:val="fr-CA"/>
        </w:rPr>
        <w:tab/>
        <w:t>[</w:t>
      </w:r>
      <w:r w:rsidRPr="008268F4">
        <w:rPr>
          <w:smallCaps/>
          <w:lang w:val="fr-CA"/>
        </w:rPr>
        <w:t>traduction</w:t>
      </w:r>
      <w:r w:rsidRPr="008268F4">
        <w:rPr>
          <w:lang w:val="fr-CA"/>
        </w:rPr>
        <w:t>]</w:t>
      </w:r>
    </w:p>
    <w:p w:rsidR="007427DC" w:rsidRDefault="007427DC" w:rsidP="0017514B">
      <w:pPr>
        <w:pStyle w:val="Citation-AltC"/>
        <w:widowControl w:val="0"/>
        <w:numPr>
          <w:ilvl w:val="0"/>
          <w:numId w:val="17"/>
        </w:numPr>
        <w:tabs>
          <w:tab w:val="left" w:pos="1710"/>
        </w:tabs>
        <w:ind w:left="1710" w:hanging="540"/>
        <w:rPr>
          <w:lang w:val="fr-CA"/>
        </w:rPr>
      </w:pPr>
      <w:r w:rsidRPr="008268F4">
        <w:rPr>
          <w:lang w:val="fr-CA"/>
        </w:rPr>
        <w:t>La décision de la direction du service public est généralement présumée prudente, sauf contestation pour motifs valables.</w:t>
      </w:r>
    </w:p>
    <w:p w:rsidR="0068524F" w:rsidRPr="008268F4" w:rsidRDefault="0068524F" w:rsidP="0017514B">
      <w:pPr>
        <w:pStyle w:val="Citation-AltC"/>
        <w:widowControl w:val="0"/>
        <w:ind w:left="1710"/>
        <w:rPr>
          <w:lang w:val="fr-CA"/>
        </w:rPr>
      </w:pPr>
    </w:p>
    <w:p w:rsidR="007427DC" w:rsidRDefault="007427DC" w:rsidP="0017514B">
      <w:pPr>
        <w:pStyle w:val="Citation-AltC"/>
        <w:widowControl w:val="0"/>
        <w:numPr>
          <w:ilvl w:val="0"/>
          <w:numId w:val="17"/>
        </w:numPr>
        <w:tabs>
          <w:tab w:val="left" w:pos="1710"/>
        </w:tabs>
        <w:ind w:left="1710" w:hanging="540"/>
        <w:rPr>
          <w:lang w:val="fr-CA"/>
        </w:rPr>
      </w:pPr>
      <w:r w:rsidRPr="008268F4">
        <w:rPr>
          <w:lang w:val="fr-CA"/>
        </w:rPr>
        <w:t xml:space="preserve">Pour </w:t>
      </w:r>
      <w:r w:rsidRPr="0068524F">
        <w:rPr>
          <w:lang w:val="fr-CA"/>
        </w:rPr>
        <w:t>qu’elle</w:t>
      </w:r>
      <w:r w:rsidRPr="008268F4">
        <w:rPr>
          <w:lang w:val="fr-CA"/>
        </w:rPr>
        <w:t xml:space="preserve"> soit prudente, la décision doit être raisonnable eu égard aux circonstances que connaissait ou qu’aurait dû connaître le service public au moment où il l’a prise.</w:t>
      </w:r>
    </w:p>
    <w:p w:rsidR="003A1CDB" w:rsidRPr="008268F4" w:rsidRDefault="003A1CDB" w:rsidP="0017514B">
      <w:pPr>
        <w:pStyle w:val="Citation-AltC"/>
        <w:widowControl w:val="0"/>
        <w:tabs>
          <w:tab w:val="left" w:pos="1710"/>
        </w:tabs>
        <w:ind w:left="1710"/>
        <w:rPr>
          <w:lang w:val="fr-CA"/>
        </w:rPr>
      </w:pPr>
    </w:p>
    <w:p w:rsidR="007427DC" w:rsidRDefault="007427DC" w:rsidP="0017514B">
      <w:pPr>
        <w:pStyle w:val="Citation-AltC"/>
        <w:widowControl w:val="0"/>
        <w:numPr>
          <w:ilvl w:val="0"/>
          <w:numId w:val="17"/>
        </w:numPr>
        <w:tabs>
          <w:tab w:val="left" w:pos="1710"/>
        </w:tabs>
        <w:ind w:left="1710" w:hanging="540"/>
        <w:rPr>
          <w:lang w:val="fr-CA"/>
        </w:rPr>
      </w:pPr>
      <w:r w:rsidRPr="008268F4">
        <w:rPr>
          <w:lang w:val="fr-CA"/>
        </w:rPr>
        <w:t xml:space="preserve">Le recul est </w:t>
      </w:r>
      <w:r w:rsidRPr="0068524F">
        <w:rPr>
          <w:lang w:val="fr-CA"/>
        </w:rPr>
        <w:t>exclu</w:t>
      </w:r>
      <w:r w:rsidRPr="008268F4">
        <w:rPr>
          <w:lang w:val="fr-CA"/>
        </w:rPr>
        <w:t xml:space="preserve"> de l’appréciation de la prudence, même lorsque les conséquences de la décision peuvent légitimement servir à réfuter la présomption de prudence.</w:t>
      </w:r>
    </w:p>
    <w:p w:rsidR="003A1CDB" w:rsidRPr="008268F4" w:rsidRDefault="003A1CDB" w:rsidP="0017514B">
      <w:pPr>
        <w:pStyle w:val="Citation-AltC"/>
        <w:widowControl w:val="0"/>
        <w:tabs>
          <w:tab w:val="left" w:pos="1710"/>
        </w:tabs>
        <w:ind w:left="1710"/>
        <w:rPr>
          <w:lang w:val="fr-CA"/>
        </w:rPr>
      </w:pPr>
    </w:p>
    <w:p w:rsidR="007427DC" w:rsidRPr="008268F4" w:rsidRDefault="007427DC" w:rsidP="0017514B">
      <w:pPr>
        <w:pStyle w:val="Citation-AltC"/>
        <w:widowControl w:val="0"/>
        <w:numPr>
          <w:ilvl w:val="0"/>
          <w:numId w:val="17"/>
        </w:numPr>
        <w:tabs>
          <w:tab w:val="left" w:pos="1710"/>
        </w:tabs>
        <w:ind w:left="1710" w:hanging="540"/>
        <w:rPr>
          <w:lang w:val="fr-CA"/>
        </w:rPr>
      </w:pPr>
      <w:r w:rsidRPr="008268F4">
        <w:rPr>
          <w:lang w:val="fr-CA"/>
        </w:rPr>
        <w:t>La prudence est appréciée dans le cadre d’une analyse factuelle rétrospective en ce que la preuve doit porter sur le moment où la décision a été prise et reposer sur des faits quant aux éléments qui ont pu entrer en ligne de compte ou qui sont effectivement entrés en ligne de compte dans la décision. [par. 16]</w:t>
      </w:r>
    </w:p>
    <w:p w:rsidR="007427DC" w:rsidRPr="008268F4" w:rsidRDefault="007427DC" w:rsidP="0017514B">
      <w:pPr>
        <w:pStyle w:val="ParaNoNdepar-AltN"/>
        <w:widowControl w:val="0"/>
        <w:rPr>
          <w:rFonts w:cs="Times New Roman"/>
          <w:lang w:val="fr-CA"/>
        </w:rPr>
      </w:pPr>
      <w:r w:rsidRPr="008268F4">
        <w:rPr>
          <w:rFonts w:cs="Times New Roman"/>
          <w:lang w:val="fr-CA"/>
        </w:rPr>
        <w:t>Selon les services publics ATCO, le fait que les deux lois renvoie</w:t>
      </w:r>
      <w:r w:rsidR="003A1CDB">
        <w:rPr>
          <w:rFonts w:cs="Times New Roman"/>
          <w:lang w:val="fr-CA"/>
        </w:rPr>
        <w:t xml:space="preserve">nt expressément à la notion de </w:t>
      </w:r>
      <w:r w:rsidRPr="008268F4">
        <w:rPr>
          <w:rFonts w:cs="Times New Roman"/>
          <w:lang w:val="fr-CA"/>
        </w:rPr>
        <w:t xml:space="preserve">« prudence » de pair avec les dépenses et les charges que </w:t>
      </w:r>
      <w:r w:rsidRPr="008268F4">
        <w:rPr>
          <w:rFonts w:cs="Times New Roman"/>
          <w:lang w:val="fr-CA"/>
        </w:rPr>
        <w:lastRenderedPageBreak/>
        <w:t>les fournisseurs d’électricité et de gaz sont autorisés à recouvrer commande nécessairement l’application de ces paramètres (ci</w:t>
      </w:r>
      <w:r w:rsidRPr="008268F4">
        <w:rPr>
          <w:rFonts w:cs="Times New Roman"/>
          <w:lang w:val="fr-CA"/>
        </w:rPr>
        <w:noBreakHyphen/>
        <w:t>après, le critère excluant le recul).</w:t>
      </w:r>
    </w:p>
    <w:p w:rsidR="007427DC" w:rsidRPr="008268F4" w:rsidRDefault="007427DC" w:rsidP="0017514B">
      <w:pPr>
        <w:pStyle w:val="ParaNoNdepar-AltN"/>
        <w:widowControl w:val="0"/>
        <w:rPr>
          <w:rFonts w:cs="Times New Roman"/>
          <w:lang w:val="fr-CA"/>
        </w:rPr>
      </w:pPr>
      <w:r w:rsidRPr="008268F4">
        <w:rPr>
          <w:rFonts w:cs="Times New Roman"/>
          <w:lang w:val="fr-CA"/>
        </w:rPr>
        <w:t>Le libellé des dispositions pertinentes de l’</w:t>
      </w:r>
      <w:r w:rsidRPr="008268F4">
        <w:rPr>
          <w:rFonts w:cs="Times New Roman"/>
          <w:i/>
          <w:lang w:val="fr-CA"/>
        </w:rPr>
        <w:t xml:space="preserve">EUA </w:t>
      </w:r>
      <w:r w:rsidRPr="008268F4">
        <w:rPr>
          <w:rFonts w:cs="Times New Roman"/>
          <w:lang w:val="fr-CA"/>
        </w:rPr>
        <w:t xml:space="preserve">et de la </w:t>
      </w:r>
      <w:r w:rsidRPr="008268F4">
        <w:rPr>
          <w:rFonts w:cs="Times New Roman"/>
          <w:i/>
          <w:lang w:val="fr-CA"/>
        </w:rPr>
        <w:t>GUA</w:t>
      </w:r>
      <w:r w:rsidRPr="008268F4">
        <w:rPr>
          <w:rFonts w:cs="Times New Roman"/>
          <w:lang w:val="fr-CA"/>
        </w:rPr>
        <w:t xml:space="preserve"> diffère de celui des dispositions de la </w:t>
      </w:r>
      <w:r w:rsidRPr="008268F4">
        <w:rPr>
          <w:rFonts w:cs="Times New Roman"/>
          <w:i/>
          <w:lang w:val="fr-CA"/>
        </w:rPr>
        <w:t>Loi de 1998 sur la Commission de l’énergie de l’Ontario</w:t>
      </w:r>
      <w:r w:rsidRPr="008268F4">
        <w:rPr>
          <w:rFonts w:cs="Times New Roman"/>
          <w:lang w:val="fr-CA"/>
        </w:rPr>
        <w:t xml:space="preserve">, L.O. 1998, c. 15, ann. B, considérées dans le pourvoi connexe </w:t>
      </w:r>
      <w:r w:rsidRPr="008268F4">
        <w:rPr>
          <w:rFonts w:cs="Times New Roman"/>
          <w:i/>
          <w:lang w:val="fr-CA"/>
        </w:rPr>
        <w:t>CÉO</w:t>
      </w:r>
      <w:r w:rsidRPr="008268F4">
        <w:rPr>
          <w:rFonts w:cs="Times New Roman"/>
          <w:lang w:val="fr-CA"/>
        </w:rPr>
        <w:t>. Alors que l’</w:t>
      </w:r>
      <w:r w:rsidRPr="008268F4">
        <w:rPr>
          <w:rFonts w:cs="Times New Roman"/>
          <w:i/>
          <w:lang w:val="fr-CA"/>
        </w:rPr>
        <w:t xml:space="preserve">EUA </w:t>
      </w:r>
      <w:r w:rsidRPr="008268F4">
        <w:rPr>
          <w:rFonts w:cs="Times New Roman"/>
          <w:lang w:val="fr-CA"/>
        </w:rPr>
        <w:t xml:space="preserve">et la </w:t>
      </w:r>
      <w:r w:rsidRPr="008268F4">
        <w:rPr>
          <w:rFonts w:cs="Times New Roman"/>
          <w:i/>
          <w:lang w:val="fr-CA"/>
        </w:rPr>
        <w:t>GUA</w:t>
      </w:r>
      <w:r w:rsidRPr="008268F4">
        <w:rPr>
          <w:rFonts w:cs="Times New Roman"/>
          <w:lang w:val="fr-CA"/>
        </w:rPr>
        <w:t xml:space="preserve"> y renvoient expressément, la </w:t>
      </w:r>
      <w:r w:rsidRPr="008268F4">
        <w:rPr>
          <w:rFonts w:cs="Times New Roman"/>
          <w:i/>
          <w:lang w:val="fr-CA"/>
        </w:rPr>
        <w:t>Loi de 1998 sur la Commission de l’énergie de l’Ontario</w:t>
      </w:r>
      <w:r w:rsidRPr="008268F4">
        <w:rPr>
          <w:rFonts w:cs="Times New Roman"/>
          <w:lang w:val="fr-CA"/>
        </w:rPr>
        <w:t xml:space="preserve"> ne comporte aucune mention de la notion de « prudence ». De plus, les règlements pris en vertu de la loi ontarienne autorisent expressément la Commission de l’énergie de l’Ontario à établir une méthode qui permet de déterminer si des recettes nécessaires sont justes et raisonnables. L’</w:t>
      </w:r>
      <w:r w:rsidRPr="008268F4">
        <w:rPr>
          <w:rFonts w:cs="Times New Roman"/>
          <w:i/>
          <w:lang w:val="fr-CA"/>
        </w:rPr>
        <w:t xml:space="preserve">EUA </w:t>
      </w:r>
      <w:r w:rsidRPr="008268F4">
        <w:rPr>
          <w:rFonts w:cs="Times New Roman"/>
          <w:lang w:val="fr-CA"/>
        </w:rPr>
        <w:t xml:space="preserve">et la </w:t>
      </w:r>
      <w:r w:rsidRPr="008268F4">
        <w:rPr>
          <w:rFonts w:cs="Times New Roman"/>
          <w:i/>
          <w:lang w:val="fr-CA"/>
        </w:rPr>
        <w:t xml:space="preserve">GUA </w:t>
      </w:r>
      <w:r w:rsidRPr="008268F4">
        <w:rPr>
          <w:rFonts w:cs="Times New Roman"/>
          <w:lang w:val="fr-CA"/>
        </w:rPr>
        <w:t xml:space="preserve">n’accordent pas directement un pouvoir discrétionnaire qui permet de choisir une méthode. Cependant, non plus que le régime législatif en cause dans le pourvoi </w:t>
      </w:r>
      <w:r w:rsidRPr="008268F4">
        <w:rPr>
          <w:rFonts w:cs="Times New Roman"/>
          <w:i/>
          <w:lang w:val="fr-CA"/>
        </w:rPr>
        <w:t>CÉO</w:t>
      </w:r>
      <w:r w:rsidRPr="008268F4">
        <w:rPr>
          <w:rFonts w:cs="Times New Roman"/>
          <w:lang w:val="fr-CA"/>
        </w:rPr>
        <w:t>, ni l’</w:t>
      </w:r>
      <w:r w:rsidRPr="008268F4">
        <w:rPr>
          <w:rFonts w:cs="Times New Roman"/>
          <w:i/>
          <w:lang w:val="fr-CA"/>
        </w:rPr>
        <w:t xml:space="preserve">EUA </w:t>
      </w:r>
      <w:r w:rsidRPr="008268F4">
        <w:rPr>
          <w:rFonts w:cs="Times New Roman"/>
          <w:lang w:val="fr-CA"/>
        </w:rPr>
        <w:t xml:space="preserve">ni la </w:t>
      </w:r>
      <w:r w:rsidRPr="008268F4">
        <w:rPr>
          <w:rFonts w:cs="Times New Roman"/>
          <w:i/>
          <w:lang w:val="fr-CA"/>
        </w:rPr>
        <w:t>GUA</w:t>
      </w:r>
      <w:r w:rsidRPr="008268F4">
        <w:rPr>
          <w:rFonts w:cs="Times New Roman"/>
          <w:lang w:val="fr-CA"/>
        </w:rPr>
        <w:t xml:space="preserve"> n’imposent une méthode précise</w:t>
      </w:r>
      <w:r w:rsidRPr="008268F4">
        <w:rPr>
          <w:rStyle w:val="FootnoteReference"/>
          <w:rFonts w:cs="Times New Roman"/>
          <w:lang w:val="fr-CA"/>
        </w:rPr>
        <w:footnoteReference w:id="5"/>
      </w:r>
      <w:r w:rsidRPr="008268F4">
        <w:rPr>
          <w:rFonts w:cs="Times New Roman"/>
          <w:lang w:val="fr-CA"/>
        </w:rPr>
        <w:t xml:space="preserve"> et, nous le verrons plus loin, le fait qu’elles recourent à la notion de « prudence » n’a pas pour effet d’imposer à la Commission la méthode que préconisent les services publics ATCO.</w:t>
      </w:r>
    </w:p>
    <w:p w:rsidR="007427DC" w:rsidRPr="008268F4" w:rsidRDefault="007427DC" w:rsidP="0017514B">
      <w:pPr>
        <w:pStyle w:val="Title3LevelTitre3Niveau"/>
        <w:widowControl w:val="0"/>
        <w:rPr>
          <w:rFonts w:cs="Times New Roman"/>
          <w:lang w:val="fr-CA"/>
        </w:rPr>
      </w:pPr>
      <w:r w:rsidRPr="008268F4">
        <w:rPr>
          <w:rFonts w:cs="Times New Roman"/>
          <w:lang w:val="fr-CA"/>
        </w:rPr>
        <w:t>La notion de prudence suivant l’</w:t>
      </w:r>
      <w:r w:rsidRPr="008268F4">
        <w:rPr>
          <w:rFonts w:cs="Times New Roman"/>
          <w:i/>
          <w:lang w:val="fr-CA"/>
        </w:rPr>
        <w:t>EUA</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 question que la Cour est appelée à trancher est celle de savoir si </w:t>
      </w:r>
      <w:r w:rsidRPr="008268F4">
        <w:rPr>
          <w:rFonts w:cs="Times New Roman"/>
          <w:lang w:val="fr-CA"/>
        </w:rPr>
        <w:lastRenderedPageBreak/>
        <w:t>l’interprétation par la Commission de son pouvoir en matière d’établissement des tarifs et son exercice de ce pouvoir étaient raisonnables ou non. Les services publics ATCO soutiennent que le cadre législatif étaye leur prétention selon laquelle ils avaient droit à un contrôle de la prudence excluant le recul. Suivant la norme de contrôle de la décision raisonnable, l’interprétation de sa loi constitutive par la Commission commande la déférence. Dans la présente affaire, la Commission ne s’est pas expressément demandé si le régime législatif commandait le recours à une démarche sans recul. Sa décision de ne pas effectuer un contrôle de la prudence excluant le recul permet plutôt de conclure que, selon son interprétation, les dispositions pertinentes ne l’obligeaient pas à employer la méthode souhaitée par les services publics ATCO. L’examen du libellé des dispositions en cause s’impose donc pour décider si l’approche de la Commission était raisonnable ou non. À cette fin, la Cour peut s’en remettre aux outils traditionnels d’interprétation des lois pour se prononcer sur le caractère raisonnable ou non de l’approche de la Commission (</w:t>
      </w:r>
      <w:r w:rsidR="003A1CDB">
        <w:rPr>
          <w:rFonts w:cs="Times New Roman"/>
          <w:lang w:val="fr-CA"/>
        </w:rPr>
        <w:t xml:space="preserve">voir </w:t>
      </w:r>
      <w:r w:rsidRPr="008268F4">
        <w:rPr>
          <w:rFonts w:cs="Times New Roman"/>
          <w:i/>
          <w:lang w:val="fr-CA"/>
        </w:rPr>
        <w:t>McLean</w:t>
      </w:r>
      <w:r w:rsidRPr="008268F4">
        <w:rPr>
          <w:rFonts w:cs="Times New Roman"/>
          <w:lang w:val="fr-CA"/>
        </w:rPr>
        <w:t xml:space="preserve"> </w:t>
      </w:r>
      <w:r w:rsidRPr="008268F4">
        <w:rPr>
          <w:rFonts w:cs="Times New Roman"/>
          <w:i/>
          <w:lang w:val="fr-CA"/>
        </w:rPr>
        <w:t>c.</w:t>
      </w:r>
      <w:r w:rsidRPr="008268F4">
        <w:rPr>
          <w:rFonts w:cs="Times New Roman"/>
          <w:lang w:val="fr-CA"/>
        </w:rPr>
        <w:t xml:space="preserve"> </w:t>
      </w:r>
      <w:r w:rsidR="003A1CDB">
        <w:rPr>
          <w:rFonts w:cs="Times New Roman"/>
          <w:i/>
          <w:lang w:val="fr-CA"/>
        </w:rPr>
        <w:t xml:space="preserve">Colombie-Britannique </w:t>
      </w:r>
      <w:r w:rsidRPr="008268F4">
        <w:rPr>
          <w:rFonts w:cs="Times New Roman"/>
          <w:i/>
          <w:lang w:val="fr-CA"/>
        </w:rPr>
        <w:t xml:space="preserve"> (Securities Commission)</w:t>
      </w:r>
      <w:r w:rsidRPr="008268F4">
        <w:rPr>
          <w:rFonts w:cs="Times New Roman"/>
          <w:lang w:val="fr-CA"/>
        </w:rPr>
        <w:t>, 2013 CSC 67, [2013] 3 R.C.S. 895, par. 37</w:t>
      </w:r>
      <w:r w:rsidRPr="008268F4">
        <w:rPr>
          <w:rFonts w:cs="Times New Roman"/>
          <w:lang w:val="fr-CA"/>
        </w:rPr>
        <w:noBreakHyphen/>
        <w:t>41).</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Il faut lire les termes d’une loi « dans leur contexte global en suivant le sens ordinaire et grammatical qui s’harmonise avec l’économie de la loi, </w:t>
      </w:r>
      <w:r w:rsidR="003A1CDB">
        <w:rPr>
          <w:rFonts w:cs="Times New Roman"/>
          <w:lang w:val="fr-CA"/>
        </w:rPr>
        <w:t>l’</w:t>
      </w:r>
      <w:r w:rsidRPr="008268F4">
        <w:rPr>
          <w:rFonts w:cs="Times New Roman"/>
          <w:lang w:val="fr-CA"/>
        </w:rPr>
        <w:t xml:space="preserve">objet </w:t>
      </w:r>
      <w:r w:rsidR="003A1CDB">
        <w:rPr>
          <w:rFonts w:cs="Times New Roman"/>
          <w:lang w:val="fr-CA"/>
        </w:rPr>
        <w:t xml:space="preserve">de la loi </w:t>
      </w:r>
      <w:r w:rsidRPr="008268F4">
        <w:rPr>
          <w:rFonts w:cs="Times New Roman"/>
          <w:lang w:val="fr-CA"/>
        </w:rPr>
        <w:t>et l’intention du législateur » (</w:t>
      </w:r>
      <w:r w:rsidRPr="008268F4">
        <w:rPr>
          <w:rFonts w:cs="Times New Roman"/>
          <w:i/>
          <w:lang w:val="fr-CA"/>
        </w:rPr>
        <w:t>Rizzo &amp; Rizzo Shoes Ltd. (Re)</w:t>
      </w:r>
      <w:r w:rsidRPr="008268F4">
        <w:rPr>
          <w:rFonts w:cs="Times New Roman"/>
          <w:lang w:val="fr-CA"/>
        </w:rPr>
        <w:t xml:space="preserve">, [1998] 1 R.C.S. 27, par. 21, citant E. A. Driedger, </w:t>
      </w:r>
      <w:r w:rsidRPr="008268F4">
        <w:rPr>
          <w:rFonts w:cs="Times New Roman"/>
          <w:i/>
          <w:lang w:val="fr-CA"/>
        </w:rPr>
        <w:t>Construction of Statutes</w:t>
      </w:r>
      <w:r w:rsidRPr="008268F4">
        <w:rPr>
          <w:rFonts w:cs="Times New Roman"/>
          <w:lang w:val="fr-CA"/>
        </w:rPr>
        <w:t xml:space="preserve"> (2</w:t>
      </w:r>
      <w:r w:rsidRPr="008268F4">
        <w:rPr>
          <w:rFonts w:cs="Times New Roman"/>
          <w:vertAlign w:val="superscript"/>
          <w:lang w:val="fr-CA"/>
        </w:rPr>
        <w:t>e</w:t>
      </w:r>
      <w:r w:rsidRPr="008268F4">
        <w:rPr>
          <w:rFonts w:cs="Times New Roman"/>
          <w:lang w:val="fr-CA"/>
        </w:rPr>
        <w:t xml:space="preserve"> éd. 1983), p. 87). Nous verrons plus loin que le débat porte en grande partie sur la signification de la notion de « prudence », si bien qu’il est utile d’examiner d’abord le sens ordinaire de ce terme comme point de référence pour l’analyse qui suivra. Les dictionnaires offrent une gamme de définitions de l’adjectif « </w:t>
      </w:r>
      <w:r w:rsidRPr="003A1CDB">
        <w:rPr>
          <w:rFonts w:cs="Times New Roman"/>
          <w:i/>
          <w:lang w:val="fr-CA"/>
        </w:rPr>
        <w:t>prudent</w:t>
      </w:r>
      <w:r w:rsidRPr="008268F4">
        <w:rPr>
          <w:rFonts w:cs="Times New Roman"/>
          <w:lang w:val="fr-CA"/>
        </w:rPr>
        <w:t> », dont les suivantes : [</w:t>
      </w:r>
      <w:r w:rsidRPr="008268F4">
        <w:rPr>
          <w:rFonts w:cs="Times New Roman"/>
          <w:smallCaps/>
          <w:lang w:val="fr-CA"/>
        </w:rPr>
        <w:t>traduction</w:t>
      </w:r>
      <w:r w:rsidRPr="008268F4">
        <w:rPr>
          <w:rFonts w:cs="Times New Roman"/>
          <w:lang w:val="fr-CA"/>
        </w:rPr>
        <w:t xml:space="preserve">] « qui </w:t>
      </w:r>
      <w:r w:rsidRPr="008268F4">
        <w:rPr>
          <w:rFonts w:cs="Times New Roman"/>
          <w:lang w:val="fr-CA"/>
        </w:rPr>
        <w:lastRenderedPageBreak/>
        <w:t>a ou qui exerce un bon jugement dans les affaires d’ordre pratique » (</w:t>
      </w:r>
      <w:r w:rsidRPr="008268F4">
        <w:rPr>
          <w:rFonts w:cs="Times New Roman"/>
          <w:i/>
          <w:lang w:val="fr-CA"/>
        </w:rPr>
        <w:t>The Oxford English Dictionary</w:t>
      </w:r>
      <w:r w:rsidRPr="008268F4">
        <w:rPr>
          <w:rFonts w:cs="Times New Roman"/>
          <w:lang w:val="fr-CA"/>
        </w:rPr>
        <w:t xml:space="preserve"> (2</w:t>
      </w:r>
      <w:r w:rsidRPr="008268F4">
        <w:rPr>
          <w:rFonts w:cs="Times New Roman"/>
          <w:vertAlign w:val="superscript"/>
          <w:lang w:val="fr-CA"/>
        </w:rPr>
        <w:t>e</w:t>
      </w:r>
      <w:r w:rsidRPr="008268F4">
        <w:rPr>
          <w:rFonts w:cs="Times New Roman"/>
          <w:lang w:val="fr-CA"/>
        </w:rPr>
        <w:t> éd. 1989), p. 729), [</w:t>
      </w:r>
      <w:r w:rsidRPr="008268F4">
        <w:rPr>
          <w:rFonts w:cs="Times New Roman"/>
          <w:smallCaps/>
          <w:lang w:val="fr-CA"/>
        </w:rPr>
        <w:t>traduction</w:t>
      </w:r>
      <w:r w:rsidRPr="008268F4">
        <w:rPr>
          <w:rFonts w:cs="Times New Roman"/>
          <w:lang w:val="fr-CA"/>
        </w:rPr>
        <w:t>] « </w:t>
      </w:r>
      <w:r w:rsidR="00B56064">
        <w:rPr>
          <w:rFonts w:cs="Times New Roman"/>
          <w:lang w:val="fr-CA"/>
        </w:rPr>
        <w:t xml:space="preserve">. . . </w:t>
      </w:r>
      <w:r w:rsidRPr="008268F4">
        <w:rPr>
          <w:rFonts w:cs="Times New Roman"/>
          <w:lang w:val="fr-CA"/>
        </w:rPr>
        <w:t>qui agit en se souciant du lendemain ou qui manifeste un tel souci » (</w:t>
      </w:r>
      <w:r w:rsidRPr="008268F4">
        <w:rPr>
          <w:rFonts w:cs="Times New Roman"/>
          <w:i/>
          <w:lang w:val="fr-CA"/>
        </w:rPr>
        <w:t>Concise Oxford English Dictionary</w:t>
      </w:r>
      <w:r w:rsidRPr="008268F4">
        <w:rPr>
          <w:rFonts w:cs="Times New Roman"/>
          <w:lang w:val="fr-CA"/>
        </w:rPr>
        <w:t xml:space="preserve"> (12</w:t>
      </w:r>
      <w:r w:rsidRPr="008268F4">
        <w:rPr>
          <w:rFonts w:cs="Times New Roman"/>
          <w:vertAlign w:val="superscript"/>
          <w:lang w:val="fr-CA"/>
        </w:rPr>
        <w:t>e</w:t>
      </w:r>
      <w:r w:rsidRPr="008268F4">
        <w:rPr>
          <w:rFonts w:cs="Times New Roman"/>
          <w:lang w:val="fr-CA"/>
        </w:rPr>
        <w:t> éd. 2011), p. 1156), ou [</w:t>
      </w:r>
      <w:r w:rsidRPr="008268F4">
        <w:rPr>
          <w:rFonts w:cs="Times New Roman"/>
          <w:smallCaps/>
          <w:lang w:val="fr-CA"/>
        </w:rPr>
        <w:t>traduction</w:t>
      </w:r>
      <w:r w:rsidRPr="008268F4">
        <w:rPr>
          <w:rFonts w:cs="Times New Roman"/>
          <w:lang w:val="fr-CA"/>
        </w:rPr>
        <w:t>] « qui est empreint de sagesse ou de pertinence, [ou] qui est rompu à la gestion des affaires d’ordre pratique » (</w:t>
      </w:r>
      <w:r w:rsidRPr="008268F4">
        <w:rPr>
          <w:rFonts w:cs="Times New Roman"/>
          <w:i/>
          <w:lang w:val="fr-CA"/>
        </w:rPr>
        <w:t>Merriam</w:t>
      </w:r>
      <w:r w:rsidRPr="008268F4">
        <w:rPr>
          <w:rFonts w:cs="Times New Roman"/>
          <w:i/>
          <w:lang w:val="fr-CA"/>
        </w:rPr>
        <w:noBreakHyphen/>
        <w:t>Webster’s Collegiate Dictionary</w:t>
      </w:r>
      <w:r w:rsidRPr="008268F4">
        <w:rPr>
          <w:rFonts w:cs="Times New Roman"/>
          <w:lang w:val="fr-CA"/>
        </w:rPr>
        <w:t xml:space="preserve"> (11</w:t>
      </w:r>
      <w:r w:rsidRPr="008268F4">
        <w:rPr>
          <w:rFonts w:cs="Times New Roman"/>
          <w:vertAlign w:val="superscript"/>
          <w:lang w:val="fr-CA"/>
        </w:rPr>
        <w:t>e</w:t>
      </w:r>
      <w:r w:rsidRPr="008268F4">
        <w:rPr>
          <w:rFonts w:cs="Times New Roman"/>
          <w:lang w:val="fr-CA"/>
        </w:rPr>
        <w:t> éd. 2003), p. 1002). Bien que ces définitions comportent des nuances, on peut en conclure, suivant le sens ordinaire de l’adjectif, qu’une dépense prudente est celle qui résulte d’une décision sage ou bonne.</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Cependant, ces définitions ne sont pas suffisamment uniformes et exhaustives pour apporter une réponse définitive à la question de savoir ce qu’il faut entendre par des dépenses « prudentes » dans le contexte des lois qui réglementent les services publics en Alberta. Une interprétation contextuelle des dispositions législatives en cause offre donc un autre élément de réponse. Dans le contexte de la réglementation de services publics, je ne vois aucune différence entre des dépenses « prudentes » au sens ordinaire de ce terme et des dépenses que l’on pourrait qualifier de raisonnables. Ainsi, il ne serait pas imprudent de faire des dépenses raisonnables, pas plus qu’il ne serait prudent de faire des dépenses déraisonnables. </w:t>
      </w:r>
    </w:p>
    <w:p w:rsidR="007427DC" w:rsidRPr="008268F4" w:rsidRDefault="007427DC" w:rsidP="0017514B">
      <w:pPr>
        <w:pStyle w:val="ParaNoNdepar-AltN"/>
        <w:widowControl w:val="0"/>
        <w:rPr>
          <w:rFonts w:cs="Times New Roman"/>
          <w:lang w:val="fr-CA"/>
        </w:rPr>
      </w:pPr>
      <w:r w:rsidRPr="008268F4">
        <w:rPr>
          <w:rFonts w:cs="Times New Roman"/>
          <w:lang w:val="fr-CA"/>
        </w:rPr>
        <w:t>Selon l’</w:t>
      </w:r>
      <w:r w:rsidRPr="008268F4">
        <w:rPr>
          <w:rFonts w:cs="Times New Roman"/>
          <w:i/>
          <w:lang w:val="fr-CA"/>
        </w:rPr>
        <w:t>EUA</w:t>
      </w:r>
      <w:r w:rsidRPr="008268F4">
        <w:rPr>
          <w:rFonts w:cs="Times New Roman"/>
          <w:lang w:val="fr-CA"/>
        </w:rPr>
        <w:t xml:space="preserve">, </w:t>
      </w:r>
      <w:r w:rsidR="000A7522">
        <w:rPr>
          <w:rFonts w:cs="Times New Roman"/>
          <w:lang w:val="fr-CA"/>
        </w:rPr>
        <w:t>[</w:t>
      </w:r>
      <w:r w:rsidR="000A7522" w:rsidRPr="00C3645C">
        <w:rPr>
          <w:rFonts w:cs="Times New Roman"/>
          <w:smallCaps/>
          <w:lang w:val="fr-CA"/>
        </w:rPr>
        <w:t>traduction</w:t>
      </w:r>
      <w:r w:rsidR="000A7522">
        <w:rPr>
          <w:rFonts w:cs="Times New Roman"/>
          <w:lang w:val="fr-CA"/>
        </w:rPr>
        <w:t xml:space="preserve">] </w:t>
      </w:r>
      <w:r w:rsidR="002353B6" w:rsidRPr="008268F4">
        <w:rPr>
          <w:rFonts w:cs="Times New Roman"/>
          <w:lang w:val="fr-CA"/>
        </w:rPr>
        <w:t>« </w:t>
      </w:r>
      <w:r w:rsidRPr="008268F4">
        <w:rPr>
          <w:rFonts w:cs="Times New Roman"/>
          <w:lang w:val="fr-CA"/>
        </w:rPr>
        <w:t>le propriétaire d’un réseau de distribution d’électricité doit établir un tarif de distribution</w:t>
      </w:r>
      <w:r w:rsidR="00C3645C">
        <w:rPr>
          <w:rFonts w:cs="Times New Roman"/>
          <w:lang w:val="fr-CA"/>
        </w:rPr>
        <w:t xml:space="preserve"> </w:t>
      </w:r>
      <w:r w:rsidRPr="008268F4">
        <w:rPr>
          <w:rFonts w:cs="Times New Roman"/>
          <w:lang w:val="fr-CA"/>
        </w:rPr>
        <w:t xml:space="preserve"> pour recouvrer les dépenses </w:t>
      </w:r>
      <w:r w:rsidRPr="008268F4">
        <w:rPr>
          <w:rFonts w:cs="Times New Roman"/>
          <w:u w:val="single"/>
          <w:lang w:val="fr-CA"/>
        </w:rPr>
        <w:t>prudentes</w:t>
      </w:r>
      <w:r w:rsidRPr="008268F4">
        <w:rPr>
          <w:rFonts w:cs="Times New Roman"/>
          <w:lang w:val="fr-CA"/>
        </w:rPr>
        <w:t xml:space="preserve"> du service de distribution d’électricité assuré au moyen de son réseau » (par. 102(1)). Pour faire approuver son tarif de distribution, il doit s’adresser à la Commission (par. 102(2)). Dans l’examen de la demande, la Commission s’assure notamment que </w:t>
      </w:r>
      <w:r w:rsidRPr="008268F4">
        <w:rPr>
          <w:rFonts w:cs="Times New Roman"/>
          <w:lang w:val="fr-CA"/>
        </w:rPr>
        <w:lastRenderedPageBreak/>
        <w:t xml:space="preserve">la </w:t>
      </w:r>
      <w:r w:rsidR="00C3645C">
        <w:rPr>
          <w:rFonts w:cs="Times New Roman"/>
          <w:lang w:val="fr-CA"/>
        </w:rPr>
        <w:t>tarification est</w:t>
      </w:r>
      <w:r w:rsidRPr="008268F4">
        <w:rPr>
          <w:rFonts w:cs="Times New Roman"/>
          <w:lang w:val="fr-CA"/>
        </w:rPr>
        <w:t xml:space="preserve"> « juste et raisonnable » (al. 121(2)</w:t>
      </w:r>
      <w:r w:rsidR="00C3645C">
        <w:rPr>
          <w:rFonts w:cs="Times New Roman"/>
          <w:lang w:val="fr-CA"/>
        </w:rPr>
        <w:t>(</w:t>
      </w:r>
      <w:r w:rsidRPr="00C3645C">
        <w:rPr>
          <w:rFonts w:cs="Times New Roman"/>
          <w:lang w:val="fr-CA"/>
        </w:rPr>
        <w:t>a</w:t>
      </w:r>
      <w:r w:rsidRPr="008268F4">
        <w:rPr>
          <w:rFonts w:cs="Times New Roman"/>
          <w:lang w:val="fr-CA"/>
        </w:rPr>
        <w:t>)), et il appartient « à la personne qui sollicite l’approbation de la tarification » de le démontrer (par. 121(4)).</w:t>
      </w:r>
    </w:p>
    <w:p w:rsidR="007427DC" w:rsidRPr="008268F4" w:rsidRDefault="007427DC" w:rsidP="0017514B">
      <w:pPr>
        <w:pStyle w:val="ParaNoNdepar-AltN"/>
        <w:widowControl w:val="0"/>
        <w:rPr>
          <w:rFonts w:cs="Times New Roman"/>
          <w:lang w:val="fr-CA"/>
        </w:rPr>
      </w:pPr>
      <w:r w:rsidRPr="008268F4">
        <w:rPr>
          <w:rFonts w:cs="Times New Roman"/>
          <w:lang w:val="fr-CA"/>
        </w:rPr>
        <w:t>Suivant le par. 122(1) de l’</w:t>
      </w:r>
      <w:r w:rsidRPr="008268F4">
        <w:rPr>
          <w:rFonts w:cs="Times New Roman"/>
          <w:i/>
          <w:lang w:val="fr-CA"/>
        </w:rPr>
        <w:t>EUA</w:t>
      </w:r>
      <w:r w:rsidRPr="008268F4">
        <w:rPr>
          <w:rFonts w:cs="Times New Roman"/>
          <w:lang w:val="fr-CA"/>
        </w:rPr>
        <w:t>, la Commission [</w:t>
      </w:r>
      <w:r w:rsidRPr="008268F4">
        <w:rPr>
          <w:rFonts w:cs="Times New Roman"/>
          <w:smallCaps/>
          <w:lang w:val="fr-CA"/>
        </w:rPr>
        <w:t>traduction</w:t>
      </w:r>
      <w:r w:rsidRPr="008268F4">
        <w:rPr>
          <w:rFonts w:cs="Times New Roman"/>
          <w:lang w:val="fr-CA"/>
        </w:rPr>
        <w:t>] « </w:t>
      </w:r>
      <w:r w:rsidR="00EE5FE0">
        <w:rPr>
          <w:rFonts w:cs="Times New Roman"/>
          <w:lang w:val="fr-CA"/>
        </w:rPr>
        <w:t xml:space="preserve">doit tenir </w:t>
      </w:r>
      <w:r w:rsidRPr="008268F4">
        <w:rPr>
          <w:rFonts w:cs="Times New Roman"/>
          <w:lang w:val="fr-CA"/>
        </w:rPr>
        <w:t xml:space="preserve">compte du principe selon lequel </w:t>
      </w:r>
      <w:r w:rsidR="00EE5FE0">
        <w:rPr>
          <w:rFonts w:cs="Times New Roman"/>
          <w:lang w:val="fr-CA"/>
        </w:rPr>
        <w:t>le tarif</w:t>
      </w:r>
      <w:r w:rsidRPr="008268F4">
        <w:rPr>
          <w:rFonts w:cs="Times New Roman"/>
          <w:lang w:val="fr-CA"/>
        </w:rPr>
        <w:t xml:space="preserve"> qu’elle approuve doit </w:t>
      </w:r>
      <w:r w:rsidR="00EE5FE0">
        <w:rPr>
          <w:rFonts w:cs="Times New Roman"/>
          <w:lang w:val="fr-CA"/>
        </w:rPr>
        <w:t>faire en sorte que le</w:t>
      </w:r>
      <w:r w:rsidRPr="008268F4">
        <w:rPr>
          <w:rFonts w:cs="Times New Roman"/>
          <w:lang w:val="fr-CA"/>
        </w:rPr>
        <w:t xml:space="preserve"> propriétaire </w:t>
      </w:r>
      <w:r w:rsidR="00EE5FE0">
        <w:rPr>
          <w:rFonts w:cs="Times New Roman"/>
          <w:lang w:val="fr-CA"/>
        </w:rPr>
        <w:t>des installations</w:t>
      </w:r>
      <w:r w:rsidRPr="008268F4">
        <w:rPr>
          <w:rFonts w:cs="Times New Roman"/>
          <w:lang w:val="fr-CA"/>
        </w:rPr>
        <w:t xml:space="preserve"> d’électricité </w:t>
      </w:r>
      <w:r w:rsidR="00EE5FE0">
        <w:rPr>
          <w:rFonts w:cs="Times New Roman"/>
          <w:lang w:val="fr-CA"/>
        </w:rPr>
        <w:t xml:space="preserve">ait la </w:t>
      </w:r>
      <w:r w:rsidRPr="008268F4">
        <w:rPr>
          <w:rFonts w:cs="Times New Roman"/>
          <w:lang w:val="fr-CA"/>
        </w:rPr>
        <w:t>possibilité raisonnable de recouvrer » huit types de dépenses et de charges :</w:t>
      </w:r>
    </w:p>
    <w:p w:rsidR="007427DC" w:rsidRPr="008268F4" w:rsidRDefault="007427DC" w:rsidP="0017514B">
      <w:pPr>
        <w:pStyle w:val="Citation-AltC"/>
        <w:widowControl w:val="0"/>
        <w:tabs>
          <w:tab w:val="left" w:pos="1170"/>
        </w:tabs>
        <w:spacing w:after="240"/>
        <w:ind w:left="0"/>
        <w:contextualSpacing w:val="0"/>
        <w:rPr>
          <w:lang w:val="fr-CA"/>
        </w:rPr>
      </w:pPr>
      <w:r w:rsidRPr="008268F4">
        <w:rPr>
          <w:lang w:val="fr-CA"/>
        </w:rPr>
        <w:tab/>
        <w:t>[</w:t>
      </w:r>
      <w:r w:rsidRPr="008268F4">
        <w:rPr>
          <w:smallCaps/>
          <w:lang w:val="fr-CA"/>
        </w:rPr>
        <w:t>traduction</w:t>
      </w:r>
      <w:r w:rsidRPr="008268F4">
        <w:rPr>
          <w:lang w:val="fr-CA"/>
        </w:rPr>
        <w:t>]</w:t>
      </w:r>
    </w:p>
    <w:p w:rsidR="007427DC" w:rsidRDefault="00EE5FE0" w:rsidP="0017514B">
      <w:pPr>
        <w:pStyle w:val="Citation-AltC"/>
        <w:widowControl w:val="0"/>
        <w:tabs>
          <w:tab w:val="left" w:pos="1710"/>
        </w:tabs>
        <w:spacing w:after="240"/>
        <w:ind w:left="1710" w:hanging="540"/>
        <w:contextualSpacing w:val="0"/>
        <w:rPr>
          <w:lang w:val="fr-CA"/>
        </w:rPr>
      </w:pPr>
      <w:r>
        <w:rPr>
          <w:lang w:val="fr-CA"/>
        </w:rPr>
        <w:t>(a)</w:t>
      </w:r>
      <w:r>
        <w:rPr>
          <w:lang w:val="fr-CA"/>
        </w:rPr>
        <w:tab/>
        <w:t>l</w:t>
      </w:r>
      <w:r w:rsidR="007427DC" w:rsidRPr="008268F4">
        <w:rPr>
          <w:lang w:val="fr-CA"/>
        </w:rPr>
        <w:t>es dépenses et les charges se rapportant au capital relatif à l’investissement du propriétaire dans le service d’électricité, . . .</w:t>
      </w:r>
    </w:p>
    <w:p w:rsidR="00EE5FE0" w:rsidRDefault="00EE5FE0" w:rsidP="0017514B">
      <w:pPr>
        <w:pStyle w:val="Citation-AltC"/>
        <w:widowControl w:val="0"/>
        <w:spacing w:after="240"/>
        <w:ind w:left="1530" w:hanging="1530"/>
        <w:contextualSpacing w:val="0"/>
        <w:jc w:val="center"/>
        <w:rPr>
          <w:lang w:val="fr-CA"/>
        </w:rPr>
      </w:pPr>
      <w:r>
        <w:rPr>
          <w:lang w:val="fr-CA"/>
        </w:rPr>
        <w:t>. . .</w:t>
      </w:r>
    </w:p>
    <w:p w:rsidR="007427DC" w:rsidRPr="008268F4" w:rsidRDefault="007427DC" w:rsidP="0017514B">
      <w:pPr>
        <w:pStyle w:val="Citation-AltC"/>
        <w:widowControl w:val="0"/>
        <w:spacing w:after="240"/>
        <w:ind w:left="1710" w:hanging="1710"/>
        <w:contextualSpacing w:val="0"/>
        <w:rPr>
          <w:lang w:val="fr-CA"/>
        </w:rPr>
      </w:pPr>
      <w:r w:rsidRPr="008268F4">
        <w:rPr>
          <w:lang w:val="fr-CA"/>
        </w:rPr>
        <w:tab/>
        <w:t xml:space="preserve">si elles sont </w:t>
      </w:r>
      <w:r w:rsidRPr="008268F4">
        <w:rPr>
          <w:u w:val="single"/>
          <w:lang w:val="fr-CA"/>
        </w:rPr>
        <w:t>prudentes</w:t>
      </w:r>
      <w:r w:rsidR="00EE5FE0">
        <w:rPr>
          <w:lang w:val="fr-CA"/>
        </w:rPr>
        <w:t xml:space="preserve"> </w:t>
      </w:r>
      <w:r w:rsidRPr="008268F4">
        <w:rPr>
          <w:lang w:val="fr-CA"/>
        </w:rPr>
        <w:t>. . .</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(b)</w:t>
      </w:r>
      <w:r>
        <w:rPr>
          <w:lang w:val="fr-CA"/>
        </w:rPr>
        <w:tab/>
      </w:r>
      <w:r w:rsidR="007427DC" w:rsidRPr="008268F4">
        <w:rPr>
          <w:lang w:val="fr-CA"/>
        </w:rPr>
        <w:t xml:space="preserve">d’autres </w:t>
      </w:r>
      <w:r w:rsidR="007427DC" w:rsidRPr="008268F4">
        <w:rPr>
          <w:u w:val="single"/>
          <w:lang w:val="fr-CA"/>
        </w:rPr>
        <w:t>dépenses et charges prudentes</w:t>
      </w:r>
      <w:r w:rsidR="007427DC" w:rsidRPr="008268F4">
        <w:rPr>
          <w:i/>
          <w:lang w:val="fr-CA"/>
        </w:rPr>
        <w:t xml:space="preserve"> </w:t>
      </w:r>
      <w:r w:rsidR="007427DC" w:rsidRPr="008268F4">
        <w:rPr>
          <w:lang w:val="fr-CA"/>
        </w:rPr>
        <w:t>se rapportant à des groupes électrogènes isolés et à la transmission, à l’échange ou à la distribution d’électricité, [. . .] si la Commission estime qu’elles s’appliquent au service d’électricité,</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(c)</w:t>
      </w:r>
      <w:r>
        <w:rPr>
          <w:lang w:val="fr-CA"/>
        </w:rPr>
        <w:tab/>
      </w:r>
      <w:r w:rsidR="007427DC" w:rsidRPr="008268F4">
        <w:rPr>
          <w:lang w:val="fr-CA"/>
        </w:rPr>
        <w:t>toute somme que le propriétaire est tenu de verser en application de la présente loi ou de ses règlements,</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(d)</w:t>
      </w:r>
      <w:r>
        <w:rPr>
          <w:lang w:val="fr-CA"/>
        </w:rPr>
        <w:tab/>
      </w:r>
      <w:r w:rsidR="007427DC" w:rsidRPr="008268F4">
        <w:rPr>
          <w:lang w:val="fr-CA"/>
        </w:rPr>
        <w:t xml:space="preserve">les dépenses et les charges applicables au service d’électricité qui découlent d’obligations contractées avant l’entrée en vigueur de la présente disposition et qui ont été approuvées par un organisme de réglementation des services publics, telles la Public Utilities Board ou l’Alberta Energy and Utilities Board, si la Commission estime qu’elles continuent d’être </w:t>
      </w:r>
      <w:r w:rsidR="007427DC" w:rsidRPr="008268F4">
        <w:rPr>
          <w:u w:val="single"/>
          <w:lang w:val="fr-CA"/>
        </w:rPr>
        <w:t>raisonnables et faites avec prudence</w:t>
      </w:r>
      <w:r w:rsidR="007427DC" w:rsidRPr="008268F4">
        <w:rPr>
          <w:lang w:val="fr-CA"/>
        </w:rPr>
        <w:t>,</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(e)</w:t>
      </w:r>
      <w:r>
        <w:rPr>
          <w:lang w:val="fr-CA"/>
        </w:rPr>
        <w:tab/>
      </w:r>
      <w:r w:rsidR="007427DC" w:rsidRPr="00EE5FE0">
        <w:rPr>
          <w:lang w:val="fr-CA"/>
        </w:rPr>
        <w:t xml:space="preserve">ses </w:t>
      </w:r>
      <w:r w:rsidR="007427DC" w:rsidRPr="008268F4">
        <w:rPr>
          <w:u w:val="single"/>
          <w:lang w:val="fr-CA"/>
        </w:rPr>
        <w:t>dépenses et ses charges prudentes</w:t>
      </w:r>
      <w:r w:rsidR="007427DC" w:rsidRPr="008268F4">
        <w:rPr>
          <w:i/>
          <w:lang w:val="fr-CA"/>
        </w:rPr>
        <w:t xml:space="preserve"> </w:t>
      </w:r>
      <w:r w:rsidR="007427DC" w:rsidRPr="008268F4">
        <w:rPr>
          <w:lang w:val="fr-CA"/>
        </w:rPr>
        <w:t>nécessaires au respect des règles de la Commission relatives à l’établissement de la demande d’électricité,</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(f)</w:t>
      </w:r>
      <w:r>
        <w:rPr>
          <w:lang w:val="fr-CA"/>
        </w:rPr>
        <w:tab/>
      </w:r>
      <w:r w:rsidR="007427DC" w:rsidRPr="00EE5FE0">
        <w:rPr>
          <w:lang w:val="fr-CA"/>
        </w:rPr>
        <w:t xml:space="preserve">ses </w:t>
      </w:r>
      <w:r w:rsidR="007427DC" w:rsidRPr="008268F4">
        <w:rPr>
          <w:u w:val="single"/>
          <w:lang w:val="fr-CA"/>
        </w:rPr>
        <w:t>dépenses et ses charges prudentes</w:t>
      </w:r>
      <w:r w:rsidR="007427DC" w:rsidRPr="008268F4">
        <w:rPr>
          <w:lang w:val="fr-CA"/>
        </w:rPr>
        <w:t xml:space="preserve"> liées à la gestion de la responsabilité juridique,</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(g)</w:t>
      </w:r>
      <w:r>
        <w:rPr>
          <w:lang w:val="fr-CA"/>
        </w:rPr>
        <w:tab/>
      </w:r>
      <w:r w:rsidR="007427DC" w:rsidRPr="008268F4">
        <w:rPr>
          <w:lang w:val="fr-CA"/>
        </w:rPr>
        <w:t xml:space="preserve">les dépenses et les charges liées aux arrangements financiers conclus </w:t>
      </w:r>
      <w:r w:rsidR="007427DC" w:rsidRPr="008268F4">
        <w:rPr>
          <w:lang w:val="fr-CA"/>
        </w:rPr>
        <w:lastRenderedPageBreak/>
        <w:t xml:space="preserve">pour gérer les risques financiers associés au prix du réseau commun, si la Commission estime que ces arrangements ont été </w:t>
      </w:r>
      <w:r w:rsidR="007427DC" w:rsidRPr="008268F4">
        <w:rPr>
          <w:u w:val="single"/>
          <w:lang w:val="fr-CA"/>
        </w:rPr>
        <w:t>conclus avec prudence</w:t>
      </w:r>
      <w:r w:rsidR="007427DC" w:rsidRPr="008268F4">
        <w:rPr>
          <w:lang w:val="fr-CA"/>
        </w:rPr>
        <w:t>,</w:t>
      </w:r>
    </w:p>
    <w:p w:rsidR="007427DC" w:rsidRPr="008268F4" w:rsidRDefault="00EE5FE0" w:rsidP="0017514B">
      <w:pPr>
        <w:pStyle w:val="Citation-AltC"/>
        <w:widowControl w:val="0"/>
        <w:tabs>
          <w:tab w:val="left" w:pos="1710"/>
        </w:tabs>
        <w:spacing w:after="240"/>
        <w:ind w:left="1710" w:hanging="540"/>
        <w:contextualSpacing w:val="0"/>
        <w:rPr>
          <w:lang w:val="fr-CA"/>
        </w:rPr>
      </w:pPr>
      <w:r>
        <w:rPr>
          <w:lang w:val="fr-CA"/>
        </w:rPr>
        <w:t>(h)</w:t>
      </w:r>
      <w:r>
        <w:rPr>
          <w:lang w:val="fr-CA"/>
        </w:rPr>
        <w:tab/>
      </w:r>
      <w:r w:rsidR="007427DC" w:rsidRPr="008268F4">
        <w:rPr>
          <w:lang w:val="fr-CA"/>
        </w:rPr>
        <w:t xml:space="preserve">toutes autres </w:t>
      </w:r>
      <w:r w:rsidR="007427DC" w:rsidRPr="008268F4">
        <w:rPr>
          <w:u w:val="single"/>
          <w:lang w:val="fr-CA"/>
        </w:rPr>
        <w:t>dépenses et charges prudentes</w:t>
      </w:r>
      <w:r w:rsidR="007427DC" w:rsidRPr="008268F4">
        <w:rPr>
          <w:lang w:val="fr-CA"/>
        </w:rPr>
        <w:t xml:space="preserve"> qui, selon la Commission sont appropriées, y compris une imputation juste des dépenses et des charges du propriétaire se rapportant en tout ou en partie à ses installations.</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L’article 122 renvoie à la notion de prudence de deux façons. Le plus souvent, le législateur utilise l’adjectif « prudentes » de pair avec « dépenses et charges », ce qui indique que le service public a une possibilité raisonnable de recouvrer les dépenses et les charges qui sont prudentes. Faute d’une définition de la notion ou d’une inférence claire selon laquelle il faut y voir l’exclusion d’une appréciation avec recul comme dans l’arrêt </w:t>
      </w:r>
      <w:r w:rsidRPr="008268F4">
        <w:rPr>
          <w:rFonts w:cs="Times New Roman"/>
          <w:i/>
          <w:lang w:val="fr-CA"/>
        </w:rPr>
        <w:t>Enbridge</w:t>
      </w:r>
      <w:r w:rsidRPr="008268F4">
        <w:rPr>
          <w:rFonts w:cs="Times New Roman"/>
          <w:lang w:val="fr-CA"/>
        </w:rPr>
        <w:t xml:space="preserve">, cette exigence de prudence doit s’interpréter selon le sens ordinaire de ce mot : pour justifier l’octroi d’une possibilité raisonnable de recouvrement, les dépenses et les charges énumérées doivent résulter d’une décision sage ou bonne; autrement dit, elles doivent être raisonnables. </w:t>
      </w:r>
    </w:p>
    <w:p w:rsidR="007427DC" w:rsidRPr="008268F4" w:rsidRDefault="007427DC" w:rsidP="0017514B">
      <w:pPr>
        <w:pStyle w:val="ParaNoNdepar-AltN"/>
        <w:widowControl w:val="0"/>
        <w:rPr>
          <w:rFonts w:cs="Times New Roman"/>
          <w:lang w:val="fr-CA"/>
        </w:rPr>
      </w:pPr>
      <w:r w:rsidRPr="008268F4">
        <w:rPr>
          <w:rFonts w:cs="Times New Roman"/>
          <w:lang w:val="fr-CA"/>
        </w:rPr>
        <w:t>En revanche, dans certaines dispositions, les mots « avec prudence » sont employés de pair avec la décision du service public de faire les dépenses : l’al. 122(1)</w:t>
      </w:r>
      <w:r w:rsidR="00EE5FE0">
        <w:rPr>
          <w:rFonts w:cs="Times New Roman"/>
          <w:lang w:val="fr-CA"/>
        </w:rPr>
        <w:t>(</w:t>
      </w:r>
      <w:r w:rsidRPr="00EE5FE0">
        <w:rPr>
          <w:rFonts w:cs="Times New Roman"/>
          <w:lang w:val="fr-CA"/>
        </w:rPr>
        <w:t>d</w:t>
      </w:r>
      <w:r w:rsidRPr="008268F4">
        <w:rPr>
          <w:rFonts w:cs="Times New Roman"/>
          <w:lang w:val="fr-CA"/>
        </w:rPr>
        <w:t>) parle de dépenses et de charges « raisonnables et faites avec prudence », et l’al. 122(1)</w:t>
      </w:r>
      <w:r w:rsidR="00EE5FE0">
        <w:rPr>
          <w:rFonts w:cs="Times New Roman"/>
          <w:lang w:val="fr-CA"/>
        </w:rPr>
        <w:t>(</w:t>
      </w:r>
      <w:r w:rsidRPr="00EE5FE0">
        <w:rPr>
          <w:rFonts w:cs="Times New Roman"/>
          <w:lang w:val="fr-CA"/>
        </w:rPr>
        <w:t>g</w:t>
      </w:r>
      <w:r w:rsidRPr="008268F4">
        <w:rPr>
          <w:rFonts w:cs="Times New Roman"/>
          <w:lang w:val="fr-CA"/>
        </w:rPr>
        <w:t>) fait état de dépenses et de charges liées à des arrangements financiers « conclus avec prudence ». Bien que la Cour ne soit pas appelée en l’espèce à se prononcer sur les types de charges visés aux al. 122(1)</w:t>
      </w:r>
      <w:r w:rsidR="00EE5FE0">
        <w:rPr>
          <w:rFonts w:cs="Times New Roman"/>
          <w:lang w:val="fr-CA"/>
        </w:rPr>
        <w:t>(</w:t>
      </w:r>
      <w:r w:rsidRPr="00EE5FE0">
        <w:rPr>
          <w:rFonts w:cs="Times New Roman"/>
          <w:lang w:val="fr-CA"/>
        </w:rPr>
        <w:t>d</w:t>
      </w:r>
      <w:r w:rsidRPr="008268F4">
        <w:rPr>
          <w:rFonts w:cs="Times New Roman"/>
          <w:lang w:val="fr-CA"/>
        </w:rPr>
        <w:t xml:space="preserve">) ou </w:t>
      </w:r>
      <w:r w:rsidR="00EE5FE0">
        <w:rPr>
          <w:rFonts w:cs="Times New Roman"/>
          <w:lang w:val="fr-CA"/>
        </w:rPr>
        <w:t>(</w:t>
      </w:r>
      <w:r w:rsidRPr="00EE5FE0">
        <w:rPr>
          <w:rFonts w:cs="Times New Roman"/>
          <w:lang w:val="fr-CA"/>
        </w:rPr>
        <w:t>g</w:t>
      </w:r>
      <w:r w:rsidRPr="008268F4">
        <w:rPr>
          <w:rFonts w:cs="Times New Roman"/>
          <w:lang w:val="fr-CA"/>
        </w:rPr>
        <w:t xml:space="preserve">), la disposition législative qui fait mention de dépenses « faites avec prudence » semble se rapporter plus directement à la décision du service public de faire les dépenses au moment où cette décision a été prise. Un tel libellé peut emporter plus directement l’application du </w:t>
      </w:r>
      <w:r w:rsidRPr="008268F4">
        <w:rPr>
          <w:rFonts w:cs="Times New Roman"/>
          <w:lang w:val="fr-CA"/>
        </w:rPr>
        <w:lastRenderedPageBreak/>
        <w:t>critère excluant le recul préconisé par les services publics ATCO qu’un libellé faisant simplement état de « dépenses prudentes ». L’affaire se complique encore dans le cas des dépenses visées à l’al. 122(1)</w:t>
      </w:r>
      <w:r w:rsidR="00EE5FE0">
        <w:rPr>
          <w:rFonts w:cs="Times New Roman"/>
          <w:lang w:val="fr-CA"/>
        </w:rPr>
        <w:t>(</w:t>
      </w:r>
      <w:r w:rsidRPr="00EE5FE0">
        <w:rPr>
          <w:rFonts w:cs="Times New Roman"/>
          <w:lang w:val="fr-CA"/>
        </w:rPr>
        <w:t>d</w:t>
      </w:r>
      <w:r w:rsidRPr="008268F4">
        <w:rPr>
          <w:rFonts w:cs="Times New Roman"/>
          <w:lang w:val="fr-CA"/>
        </w:rPr>
        <w:t>), lesquelles doivent « </w:t>
      </w:r>
      <w:r w:rsidR="00EE5FE0">
        <w:rPr>
          <w:rFonts w:cs="Times New Roman"/>
          <w:lang w:val="fr-CA"/>
        </w:rPr>
        <w:t>continue[r] d’être</w:t>
      </w:r>
      <w:r w:rsidRPr="008268F4">
        <w:rPr>
          <w:rFonts w:cs="Times New Roman"/>
          <w:lang w:val="fr-CA"/>
        </w:rPr>
        <w:t xml:space="preserve"> raisonnables </w:t>
      </w:r>
      <w:r w:rsidRPr="008268F4">
        <w:rPr>
          <w:rFonts w:cs="Times New Roman"/>
          <w:u w:val="single"/>
          <w:lang w:val="fr-CA"/>
        </w:rPr>
        <w:t>et</w:t>
      </w:r>
      <w:r w:rsidRPr="008268F4">
        <w:rPr>
          <w:rFonts w:cs="Times New Roman"/>
          <w:i/>
          <w:lang w:val="fr-CA"/>
        </w:rPr>
        <w:t xml:space="preserve"> </w:t>
      </w:r>
      <w:r w:rsidRPr="008268F4">
        <w:rPr>
          <w:rFonts w:cs="Times New Roman"/>
          <w:lang w:val="fr-CA"/>
        </w:rPr>
        <w:t>faites avec prudence ». Il est préférable de laisser à la cour de justice qui sera un jour saisie de la question le soin de décider de la juste interprétation de ces dispositions.</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Dans leurs prétentions, les services publics ATCO n’analysent pas les différents contextes dans lesquels les termes « prudentes » et « avec prudence » sont employés à l’art. 122. Ils soutiennent de façon générale que le renvoi à la « prudence » suppose l’application d’un critère excluant le recul et qu’il faut présumer que les dépenses d’un service public sont prudentes. </w:t>
      </w:r>
    </w:p>
    <w:p w:rsidR="007427DC" w:rsidRPr="008268F4" w:rsidRDefault="007427DC" w:rsidP="0017514B">
      <w:pPr>
        <w:pStyle w:val="ParaNoNdepar-AltN"/>
        <w:widowControl w:val="0"/>
        <w:rPr>
          <w:rFonts w:cs="Times New Roman"/>
          <w:lang w:val="fr-CA"/>
        </w:rPr>
      </w:pPr>
      <w:r w:rsidRPr="008268F4">
        <w:rPr>
          <w:rFonts w:cs="Times New Roman"/>
          <w:lang w:val="fr-CA"/>
        </w:rPr>
        <w:t>Cependant, à l’art. 122, les différents renvois à la notion de « prudence » sont instructifs. Si la loi exige de la Commission qu’elle approuve les dépenses « faites avec prudence », il peut se révéler déraisonnable pour la Commission de ne pas employer une méthode excluant le recul lorsqu’elle se penche sur de telles dépenses. Toutefois, les dépenses visées en l’espèce n’appartiennent pas aux catégories de dépenses dont la loi autorise le recouvrement lorsqu’elles sont « faites avec prudence ». L’emploi dans la disposition de l’adjectif « prudentes » de pair avec « dépenses</w:t>
      </w:r>
      <w:r w:rsidR="00445FDB" w:rsidRPr="00445FDB">
        <w:rPr>
          <w:lang w:val="fr-CA"/>
        </w:rPr>
        <w:t> </w:t>
      </w:r>
      <w:r w:rsidR="00445FDB">
        <w:rPr>
          <w:rFonts w:cs="Times New Roman"/>
          <w:lang w:val="fr-CA"/>
        </w:rPr>
        <w:t>»</w:t>
      </w:r>
      <w:r w:rsidRPr="008268F4">
        <w:rPr>
          <w:rFonts w:cs="Times New Roman"/>
          <w:lang w:val="fr-CA"/>
        </w:rPr>
        <w:t xml:space="preserve"> et </w:t>
      </w:r>
      <w:r w:rsidR="00445FDB">
        <w:rPr>
          <w:rFonts w:cs="Times New Roman"/>
          <w:lang w:val="fr-CA"/>
        </w:rPr>
        <w:t>«</w:t>
      </w:r>
      <w:r w:rsidR="00FC613A">
        <w:rPr>
          <w:rFonts w:cs="Times New Roman"/>
          <w:lang w:val="fr-CA"/>
        </w:rPr>
        <w:t> </w:t>
      </w:r>
      <w:r w:rsidRPr="008268F4">
        <w:rPr>
          <w:rFonts w:cs="Times New Roman"/>
          <w:lang w:val="fr-CA"/>
        </w:rPr>
        <w:t>charges » n’emporte pas en soi l’application d’une méthode particulière. Ni le sens ordinaire du mot « prudentes », ni son emploi en tant que condition autonome dans la loi ne permettent de déterminer le moment en fonction duquel la prudence doit être appréciée.</w:t>
      </w:r>
    </w:p>
    <w:p w:rsidR="007427DC" w:rsidRPr="008268F4" w:rsidRDefault="007427DC" w:rsidP="0017514B">
      <w:pPr>
        <w:pStyle w:val="ParaNoNdepar-AltN"/>
        <w:widowControl w:val="0"/>
        <w:rPr>
          <w:rFonts w:cs="Times New Roman"/>
          <w:lang w:val="fr-CA"/>
        </w:rPr>
      </w:pPr>
      <w:r w:rsidRPr="008268F4">
        <w:rPr>
          <w:rFonts w:cs="Times New Roman"/>
          <w:lang w:val="fr-CA"/>
        </w:rPr>
        <w:lastRenderedPageBreak/>
        <w:t>De plus, suivant le par. 121(4) de l’</w:t>
      </w:r>
      <w:r w:rsidRPr="008268F4">
        <w:rPr>
          <w:rFonts w:cs="Times New Roman"/>
          <w:i/>
          <w:lang w:val="fr-CA"/>
        </w:rPr>
        <w:t>EUA</w:t>
      </w:r>
      <w:r w:rsidRPr="008268F4">
        <w:rPr>
          <w:rFonts w:cs="Times New Roman"/>
          <w:lang w:val="fr-CA"/>
        </w:rPr>
        <w:t>, il incombe au service public de démontrer que la tarification qu’il propose est juste et raisonnable. L’établissement de tarifs justes et raisonnables constitue une exigence fondamentale des dispositions pertinentes de l’</w:t>
      </w:r>
      <w:r w:rsidRPr="008268F4">
        <w:rPr>
          <w:rFonts w:cs="Times New Roman"/>
          <w:i/>
          <w:lang w:val="fr-CA"/>
        </w:rPr>
        <w:t>EUA</w:t>
      </w:r>
      <w:r w:rsidRPr="002F4122">
        <w:rPr>
          <w:rFonts w:cs="Times New Roman"/>
          <w:lang w:val="fr-CA"/>
        </w:rPr>
        <w:t>.</w:t>
      </w:r>
      <w:r w:rsidRPr="008268F4">
        <w:rPr>
          <w:rFonts w:cs="Times New Roman"/>
          <w:lang w:val="fr-CA"/>
        </w:rPr>
        <w:t xml:space="preserve"> Les tarifs ne seront pas justes et raisonnables s’ils ne satisfont pas à l’exigence de prudence des dépenses et des charges prévue à l’art. 122. En conséquence, contrairement à ce que suppose la méthode préconisée par les services publics ATCO, l’obligation d’un service public d’établir que sa tarification est juste et raisonnable l’oblige nécessairement à démontrer que ses dépenses sont prudentes.</w:t>
      </w:r>
    </w:p>
    <w:p w:rsidR="007427DC" w:rsidRPr="008268F4" w:rsidRDefault="007427DC" w:rsidP="0017514B">
      <w:pPr>
        <w:pStyle w:val="ParaNoNdepar-AltN"/>
        <w:widowControl w:val="0"/>
        <w:rPr>
          <w:rFonts w:cs="Times New Roman"/>
          <w:lang w:val="fr-CA"/>
        </w:rPr>
      </w:pPr>
      <w:r w:rsidRPr="008268F4">
        <w:rPr>
          <w:rFonts w:cs="Times New Roman"/>
          <w:lang w:val="fr-CA"/>
        </w:rPr>
        <w:t>En somme, ni le sens ordinaire du mot « prudentes », ni le texte de l’</w:t>
      </w:r>
      <w:r w:rsidRPr="008268F4">
        <w:rPr>
          <w:rFonts w:cs="Times New Roman"/>
          <w:i/>
          <w:lang w:val="fr-CA"/>
        </w:rPr>
        <w:t>EUA</w:t>
      </w:r>
      <w:r w:rsidRPr="008268F4">
        <w:rPr>
          <w:rFonts w:cs="Times New Roman"/>
          <w:lang w:val="fr-CA"/>
        </w:rPr>
        <w:t xml:space="preserve"> n’indiquent que cette loi oblige la Commission à se prononcer sur les dépenses en cause sans recul; l’</w:t>
      </w:r>
      <w:r w:rsidRPr="008268F4">
        <w:rPr>
          <w:rFonts w:cs="Times New Roman"/>
          <w:i/>
          <w:lang w:val="fr-CA"/>
        </w:rPr>
        <w:t>EUA</w:t>
      </w:r>
      <w:r w:rsidRPr="008268F4">
        <w:rPr>
          <w:rFonts w:cs="Times New Roman"/>
          <w:lang w:val="fr-CA"/>
        </w:rPr>
        <w:t xml:space="preserve"> n’impose pas non plus de présomption de prudence en pareilles circonstances.</w:t>
      </w:r>
    </w:p>
    <w:p w:rsidR="007427DC" w:rsidRPr="008268F4" w:rsidRDefault="007427DC" w:rsidP="0017514B">
      <w:pPr>
        <w:pStyle w:val="Title3LevelTitre3Niveau"/>
        <w:widowControl w:val="0"/>
        <w:rPr>
          <w:rFonts w:cs="Times New Roman"/>
          <w:lang w:val="fr-CA"/>
        </w:rPr>
      </w:pPr>
      <w:r w:rsidRPr="008268F4">
        <w:rPr>
          <w:rFonts w:cs="Times New Roman"/>
          <w:lang w:val="fr-CA"/>
        </w:rPr>
        <w:t xml:space="preserve">La notion de prudence suivant la </w:t>
      </w:r>
      <w:r w:rsidRPr="008268F4">
        <w:rPr>
          <w:rFonts w:cs="Times New Roman"/>
          <w:i/>
          <w:lang w:val="fr-CA"/>
        </w:rPr>
        <w:t>GUA</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La </w:t>
      </w:r>
      <w:r w:rsidRPr="008268F4">
        <w:rPr>
          <w:rFonts w:cs="Times New Roman"/>
          <w:i/>
          <w:lang w:val="fr-CA"/>
        </w:rPr>
        <w:t>GUA</w:t>
      </w:r>
      <w:r w:rsidRPr="008268F4">
        <w:rPr>
          <w:rFonts w:cs="Times New Roman"/>
          <w:lang w:val="fr-CA"/>
        </w:rPr>
        <w:t xml:space="preserve"> exige notamment que, à la demande du propriétaire d’installations gazières, la Commission [</w:t>
      </w:r>
      <w:r w:rsidRPr="008268F4">
        <w:rPr>
          <w:rFonts w:cs="Times New Roman"/>
          <w:smallCaps/>
          <w:lang w:val="fr-CA"/>
        </w:rPr>
        <w:t>traduction</w:t>
      </w:r>
      <w:r w:rsidRPr="008268F4">
        <w:rPr>
          <w:rFonts w:cs="Times New Roman"/>
          <w:lang w:val="fr-CA"/>
        </w:rPr>
        <w:t>] « fix[e]</w:t>
      </w:r>
      <w:r w:rsidR="003105DF" w:rsidRPr="003105DF">
        <w:rPr>
          <w:rFonts w:cs="Times New Roman"/>
          <w:lang w:val="fr-CA"/>
        </w:rPr>
        <w:t xml:space="preserve"> </w:t>
      </w:r>
      <w:r w:rsidR="003105DF" w:rsidRPr="008268F4">
        <w:rPr>
          <w:rFonts w:cs="Times New Roman"/>
          <w:lang w:val="fr-CA"/>
        </w:rPr>
        <w:t> »</w:t>
      </w:r>
      <w:r w:rsidRPr="008268F4">
        <w:rPr>
          <w:rFonts w:cs="Times New Roman"/>
          <w:lang w:val="fr-CA"/>
        </w:rPr>
        <w:t xml:space="preserve"> des tarifs </w:t>
      </w:r>
      <w:r w:rsidR="003105DF" w:rsidRPr="008268F4">
        <w:rPr>
          <w:rFonts w:cs="Times New Roman"/>
          <w:lang w:val="fr-CA"/>
        </w:rPr>
        <w:t>« </w:t>
      </w:r>
      <w:r w:rsidRPr="008268F4">
        <w:rPr>
          <w:rFonts w:cs="Times New Roman"/>
          <w:lang w:val="fr-CA"/>
        </w:rPr>
        <w:t>justes et raisonnables » qui « seront ensuite appliqués et respectés par le propriétaire d’installations gazières » (al. 36</w:t>
      </w:r>
      <w:r w:rsidR="0074303F">
        <w:rPr>
          <w:rFonts w:cs="Times New Roman"/>
          <w:lang w:val="fr-CA"/>
        </w:rPr>
        <w:t>(</w:t>
      </w:r>
      <w:r w:rsidRPr="0074303F">
        <w:rPr>
          <w:rFonts w:cs="Times New Roman"/>
          <w:lang w:val="fr-CA"/>
        </w:rPr>
        <w:t>a</w:t>
      </w:r>
      <w:r w:rsidRPr="008268F4">
        <w:rPr>
          <w:rFonts w:cs="Times New Roman"/>
          <w:lang w:val="fr-CA"/>
        </w:rPr>
        <w:t>)). Suivant le par. 44(1), la modification des tarifs doit être approuvée par la Commission, et « il incombe au propriét</w:t>
      </w:r>
      <w:r w:rsidR="00DB4028">
        <w:rPr>
          <w:rFonts w:cs="Times New Roman"/>
          <w:lang w:val="fr-CA"/>
        </w:rPr>
        <w:t>aire des installations gazières</w:t>
      </w:r>
      <w:r w:rsidRPr="008268F4">
        <w:rPr>
          <w:rFonts w:cs="Times New Roman"/>
          <w:lang w:val="fr-CA"/>
        </w:rPr>
        <w:t xml:space="preserve"> d’établir que </w:t>
      </w:r>
      <w:r w:rsidR="0074303F">
        <w:rPr>
          <w:rFonts w:cs="Times New Roman"/>
          <w:lang w:val="fr-CA"/>
        </w:rPr>
        <w:t>les augmentations ou les modifications</w:t>
      </w:r>
      <w:r w:rsidRPr="008268F4">
        <w:rPr>
          <w:rFonts w:cs="Times New Roman"/>
          <w:lang w:val="fr-CA"/>
        </w:rPr>
        <w:t xml:space="preserve"> qu’il demande </w:t>
      </w:r>
      <w:r w:rsidR="0074303F">
        <w:rPr>
          <w:rFonts w:cs="Times New Roman"/>
          <w:lang w:val="fr-CA"/>
        </w:rPr>
        <w:t>sont</w:t>
      </w:r>
      <w:r w:rsidRPr="008268F4">
        <w:rPr>
          <w:rFonts w:cs="Times New Roman"/>
          <w:lang w:val="fr-CA"/>
        </w:rPr>
        <w:t xml:space="preserve"> juste</w:t>
      </w:r>
      <w:r w:rsidR="0074303F">
        <w:rPr>
          <w:rFonts w:cs="Times New Roman"/>
          <w:lang w:val="fr-CA"/>
        </w:rPr>
        <w:t>s</w:t>
      </w:r>
      <w:r w:rsidRPr="008268F4">
        <w:rPr>
          <w:rFonts w:cs="Times New Roman"/>
          <w:lang w:val="fr-CA"/>
        </w:rPr>
        <w:t xml:space="preserve"> et raisonnable</w:t>
      </w:r>
      <w:r w:rsidR="0074303F">
        <w:rPr>
          <w:rFonts w:cs="Times New Roman"/>
          <w:lang w:val="fr-CA"/>
        </w:rPr>
        <w:t>s »</w:t>
      </w:r>
      <w:r w:rsidRPr="008268F4">
        <w:rPr>
          <w:rFonts w:cs="Times New Roman"/>
          <w:lang w:val="fr-CA"/>
        </w:rPr>
        <w:t xml:space="preserve"> (par. 44(3)).</w:t>
      </w:r>
      <w:r w:rsidRPr="008268F4">
        <w:rPr>
          <w:rFonts w:cs="Times New Roman"/>
          <w:i/>
          <w:lang w:val="fr-CA"/>
        </w:rPr>
        <w:t xml:space="preserve"> </w:t>
      </w:r>
      <w:r w:rsidRPr="008268F4">
        <w:rPr>
          <w:rFonts w:cs="Times New Roman"/>
          <w:lang w:val="fr-CA"/>
        </w:rPr>
        <w:t>De plus, le par. 4(3) du</w:t>
      </w:r>
      <w:r w:rsidRPr="008268F4">
        <w:rPr>
          <w:rFonts w:cs="Times New Roman"/>
          <w:i/>
          <w:lang w:val="fr-CA"/>
        </w:rPr>
        <w:t xml:space="preserve"> règlement</w:t>
      </w:r>
      <w:r w:rsidRPr="008268F4">
        <w:rPr>
          <w:rFonts w:cs="Times New Roman"/>
          <w:lang w:val="fr-CA"/>
        </w:rPr>
        <w:t xml:space="preserve"> </w:t>
      </w:r>
      <w:r w:rsidRPr="008268F4">
        <w:rPr>
          <w:rFonts w:cs="Times New Roman"/>
          <w:i/>
          <w:lang w:val="fr-CA"/>
        </w:rPr>
        <w:t xml:space="preserve">RRR </w:t>
      </w:r>
      <w:r w:rsidRPr="008268F4">
        <w:rPr>
          <w:rFonts w:cs="Times New Roman"/>
          <w:lang w:val="fr-CA"/>
        </w:rPr>
        <w:t>prévoit :</w:t>
      </w:r>
    </w:p>
    <w:p w:rsidR="007427DC" w:rsidRPr="008268F4" w:rsidRDefault="007427DC" w:rsidP="0017514B">
      <w:pPr>
        <w:pStyle w:val="Citation-AltC"/>
        <w:widowControl w:val="0"/>
        <w:ind w:hanging="1166"/>
        <w:contextualSpacing w:val="0"/>
        <w:rPr>
          <w:lang w:val="fr-CA"/>
        </w:rPr>
      </w:pPr>
      <w:r w:rsidRPr="008268F4">
        <w:rPr>
          <w:lang w:val="fr-CA"/>
        </w:rPr>
        <w:lastRenderedPageBreak/>
        <w:tab/>
      </w:r>
      <w:r w:rsidR="0020722C" w:rsidRPr="008268F4">
        <w:rPr>
          <w:lang w:val="fr-CA"/>
        </w:rPr>
        <w:t>[</w:t>
      </w:r>
      <w:r w:rsidR="0020722C" w:rsidRPr="008268F4">
        <w:rPr>
          <w:smallCaps/>
          <w:lang w:val="fr-CA"/>
        </w:rPr>
        <w:t>traduction</w:t>
      </w:r>
      <w:r w:rsidR="0020722C" w:rsidRPr="008268F4">
        <w:rPr>
          <w:lang w:val="fr-CA"/>
        </w:rPr>
        <w:t xml:space="preserve">] </w:t>
      </w:r>
      <w:r w:rsidR="00037851">
        <w:rPr>
          <w:lang w:val="fr-CA"/>
        </w:rPr>
        <w:t>U</w:t>
      </w:r>
      <w:r w:rsidRPr="008268F4">
        <w:rPr>
          <w:lang w:val="fr-CA"/>
        </w:rPr>
        <w:t xml:space="preserve">n distributeur de gaz peut, au moyen de sa tarification, recouvrer les dépenses faites que la Commission juge prudentes </w:t>
      </w:r>
      <w:r w:rsidR="0020722C">
        <w:rPr>
          <w:lang w:val="fr-CA"/>
        </w:rPr>
        <w:t>. . .</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Le </w:t>
      </w:r>
      <w:r w:rsidRPr="008268F4">
        <w:rPr>
          <w:rFonts w:cs="Times New Roman"/>
          <w:i/>
          <w:lang w:val="fr-CA"/>
        </w:rPr>
        <w:t xml:space="preserve">règlement RRR </w:t>
      </w:r>
      <w:r w:rsidRPr="008268F4">
        <w:rPr>
          <w:rFonts w:cs="Times New Roman"/>
          <w:lang w:val="fr-CA"/>
        </w:rPr>
        <w:t xml:space="preserve">mentionne certes expressément le recouvrement des dépenses « prudentes » mais, selon moi, cette exigence de prudence ne crée pas de présomption de prudence et elle n’exclut pas le recul. Pour ce qui est de l’« absence de recul », dans les dispositions législatives applicables, la « prudence » s’applique non pas à la décision de faire les dépenses, mais plutôt aux dépenses comme telles. Même si le terme « faites » est employé au par. 4(3) du </w:t>
      </w:r>
      <w:r w:rsidRPr="008268F4">
        <w:rPr>
          <w:rFonts w:cs="Times New Roman"/>
          <w:i/>
          <w:lang w:val="fr-CA"/>
        </w:rPr>
        <w:t>règlement</w:t>
      </w:r>
      <w:r w:rsidRPr="008268F4">
        <w:rPr>
          <w:rFonts w:cs="Times New Roman"/>
          <w:lang w:val="fr-CA"/>
        </w:rPr>
        <w:t xml:space="preserve"> </w:t>
      </w:r>
      <w:r w:rsidRPr="008268F4">
        <w:rPr>
          <w:rFonts w:cs="Times New Roman"/>
          <w:i/>
          <w:lang w:val="fr-CA"/>
        </w:rPr>
        <w:t>RRR</w:t>
      </w:r>
      <w:r w:rsidRPr="008268F4">
        <w:rPr>
          <w:rFonts w:cs="Times New Roman"/>
          <w:lang w:val="fr-CA"/>
        </w:rPr>
        <w:t>, il l’est pour montrer que la disposition s’applique aux dépenses que fait le service public. Aucune inférence temporelle ne peut être tirée de l’utilisation du mot « faites » dans ce contexte; ce mot n’est pas utilisé de manière à imposer l’appréciation de la prudence de la décision de faire certaines dépenses. Le par</w:t>
      </w:r>
      <w:r w:rsidR="0020722C">
        <w:rPr>
          <w:rFonts w:cs="Times New Roman"/>
          <w:lang w:val="fr-CA"/>
        </w:rPr>
        <w:t>agraphe</w:t>
      </w:r>
      <w:r w:rsidRPr="008268F4">
        <w:rPr>
          <w:rFonts w:cs="Times New Roman"/>
          <w:lang w:val="fr-CA"/>
        </w:rPr>
        <w:t xml:space="preserve"> 4(3) du </w:t>
      </w:r>
      <w:r w:rsidRPr="0020722C">
        <w:rPr>
          <w:rFonts w:cs="Times New Roman"/>
          <w:i/>
          <w:lang w:val="fr-CA"/>
        </w:rPr>
        <w:t xml:space="preserve">règlement </w:t>
      </w:r>
      <w:r w:rsidRPr="008268F4">
        <w:rPr>
          <w:rFonts w:cs="Times New Roman"/>
          <w:i/>
          <w:lang w:val="fr-CA"/>
        </w:rPr>
        <w:t xml:space="preserve">RRR </w:t>
      </w:r>
      <w:r w:rsidRPr="008268F4">
        <w:rPr>
          <w:rFonts w:cs="Times New Roman"/>
          <w:lang w:val="fr-CA"/>
        </w:rPr>
        <w:t>exige</w:t>
      </w:r>
      <w:r w:rsidRPr="008268F4">
        <w:rPr>
          <w:rFonts w:cs="Times New Roman"/>
          <w:i/>
          <w:lang w:val="fr-CA"/>
        </w:rPr>
        <w:t xml:space="preserve"> </w:t>
      </w:r>
      <w:r w:rsidRPr="008268F4">
        <w:rPr>
          <w:rFonts w:cs="Times New Roman"/>
          <w:lang w:val="fr-CA"/>
        </w:rPr>
        <w:t xml:space="preserve">plutôt qu’on se demande si les dépenses comme telles peuvent être tenues pour « prudentes ». La </w:t>
      </w:r>
      <w:r w:rsidRPr="008268F4">
        <w:rPr>
          <w:rFonts w:cs="Times New Roman"/>
          <w:i/>
          <w:lang w:val="fr-CA"/>
        </w:rPr>
        <w:t xml:space="preserve">GUA </w:t>
      </w:r>
      <w:r w:rsidRPr="008268F4">
        <w:rPr>
          <w:rFonts w:cs="Times New Roman"/>
          <w:lang w:val="fr-CA"/>
        </w:rPr>
        <w:t xml:space="preserve">n’exclut pas le recul dans l’appréciation du caractère prudent des dépenses, et ni le texte de la </w:t>
      </w:r>
      <w:r w:rsidRPr="008268F4">
        <w:rPr>
          <w:rFonts w:cs="Times New Roman"/>
          <w:i/>
          <w:lang w:val="fr-CA"/>
        </w:rPr>
        <w:t>GUA</w:t>
      </w:r>
      <w:r w:rsidRPr="008268F4">
        <w:rPr>
          <w:rFonts w:cs="Times New Roman"/>
          <w:lang w:val="fr-CA"/>
        </w:rPr>
        <w:t xml:space="preserve"> ni celui du </w:t>
      </w:r>
      <w:r w:rsidRPr="008268F4">
        <w:rPr>
          <w:rFonts w:cs="Times New Roman"/>
          <w:i/>
          <w:lang w:val="fr-CA"/>
        </w:rPr>
        <w:t>règlement</w:t>
      </w:r>
      <w:r w:rsidRPr="008268F4">
        <w:rPr>
          <w:rFonts w:cs="Times New Roman"/>
          <w:lang w:val="fr-CA"/>
        </w:rPr>
        <w:t xml:space="preserve"> </w:t>
      </w:r>
      <w:r w:rsidRPr="008268F4">
        <w:rPr>
          <w:rFonts w:cs="Times New Roman"/>
          <w:i/>
          <w:lang w:val="fr-CA"/>
        </w:rPr>
        <w:t xml:space="preserve">RRR </w:t>
      </w:r>
      <w:r w:rsidRPr="008268F4">
        <w:rPr>
          <w:rFonts w:cs="Times New Roman"/>
          <w:lang w:val="fr-CA"/>
        </w:rPr>
        <w:t xml:space="preserve">ne permettent de conclure à une telle exclusion. En ce qui concerne la présomption de prudence, le par. 44(3) de la </w:t>
      </w:r>
      <w:r w:rsidRPr="008268F4">
        <w:rPr>
          <w:rFonts w:cs="Times New Roman"/>
          <w:i/>
          <w:lang w:val="fr-CA"/>
        </w:rPr>
        <w:t>GUA</w:t>
      </w:r>
      <w:r w:rsidRPr="008268F4">
        <w:rPr>
          <w:rFonts w:cs="Times New Roman"/>
          <w:lang w:val="fr-CA"/>
        </w:rPr>
        <w:t xml:space="preserve"> dispose que c’est au service public d’établir que ses tarifs sont justes et raisonnables. Comme le dispose également l’</w:t>
      </w:r>
      <w:r w:rsidRPr="008268F4">
        <w:rPr>
          <w:rFonts w:cs="Times New Roman"/>
          <w:i/>
          <w:lang w:val="fr-CA"/>
        </w:rPr>
        <w:t>EUA</w:t>
      </w:r>
      <w:r w:rsidRPr="008268F4">
        <w:rPr>
          <w:rFonts w:cs="Times New Roman"/>
          <w:lang w:val="fr-CA"/>
        </w:rPr>
        <w:t xml:space="preserve">, il incombe alors au service public d’établir la prudence des dépenses faites. </w:t>
      </w:r>
    </w:p>
    <w:p w:rsidR="007427DC" w:rsidRPr="008268F4" w:rsidRDefault="007427DC" w:rsidP="0017514B">
      <w:pPr>
        <w:pStyle w:val="Title3LevelTitre3Niveau"/>
        <w:widowControl w:val="0"/>
        <w:rPr>
          <w:rFonts w:cs="Times New Roman"/>
          <w:lang w:val="fr-CA"/>
        </w:rPr>
      </w:pPr>
      <w:r w:rsidRPr="008268F4">
        <w:rPr>
          <w:rFonts w:cs="Times New Roman"/>
          <w:lang w:val="fr-CA"/>
        </w:rPr>
        <w:t>Conclusion sur les exigences de l’</w:t>
      </w:r>
      <w:r w:rsidRPr="008268F4">
        <w:rPr>
          <w:rFonts w:cs="Times New Roman"/>
          <w:i/>
          <w:lang w:val="fr-CA"/>
        </w:rPr>
        <w:t>EUA</w:t>
      </w:r>
      <w:r w:rsidRPr="008268F4">
        <w:rPr>
          <w:rFonts w:cs="Times New Roman"/>
          <w:lang w:val="fr-CA"/>
        </w:rPr>
        <w:t xml:space="preserve"> et de la </w:t>
      </w:r>
      <w:r w:rsidRPr="008268F4">
        <w:rPr>
          <w:rFonts w:cs="Times New Roman"/>
          <w:i/>
          <w:lang w:val="fr-CA"/>
        </w:rPr>
        <w:t>GUA</w:t>
      </w:r>
    </w:p>
    <w:p w:rsidR="007427DC" w:rsidRPr="008268F4" w:rsidRDefault="007427DC" w:rsidP="0017514B">
      <w:pPr>
        <w:pStyle w:val="ParaNoNdepar-AltN"/>
        <w:widowControl w:val="0"/>
        <w:rPr>
          <w:rFonts w:cs="Times New Roman"/>
          <w:lang w:val="fr-CA"/>
        </w:rPr>
      </w:pPr>
      <w:r w:rsidRPr="008268F4">
        <w:rPr>
          <w:rFonts w:cs="Times New Roman"/>
          <w:lang w:val="fr-CA"/>
        </w:rPr>
        <w:t>Même si le libellé de leurs dispositions permet le recouvrement de dépenses « prudentes », l’</w:t>
      </w:r>
      <w:r w:rsidRPr="008268F4">
        <w:rPr>
          <w:rFonts w:cs="Times New Roman"/>
          <w:i/>
          <w:lang w:val="fr-CA"/>
        </w:rPr>
        <w:t>EUA</w:t>
      </w:r>
      <w:r w:rsidRPr="008268F4">
        <w:rPr>
          <w:rFonts w:cs="Times New Roman"/>
          <w:lang w:val="fr-CA"/>
        </w:rPr>
        <w:t xml:space="preserve"> et la </w:t>
      </w:r>
      <w:r w:rsidRPr="008268F4">
        <w:rPr>
          <w:rFonts w:cs="Times New Roman"/>
          <w:i/>
          <w:lang w:val="fr-CA"/>
        </w:rPr>
        <w:t>GUA</w:t>
      </w:r>
      <w:r w:rsidRPr="008268F4">
        <w:rPr>
          <w:rFonts w:cs="Times New Roman"/>
          <w:lang w:val="fr-CA"/>
        </w:rPr>
        <w:t xml:space="preserve"> n’imposent pas expressément à la </w:t>
      </w:r>
      <w:r w:rsidRPr="008268F4">
        <w:rPr>
          <w:rFonts w:cs="Times New Roman"/>
          <w:lang w:val="fr-CA"/>
        </w:rPr>
        <w:lastRenderedPageBreak/>
        <w:t>Commission une méthode d’analyse donnée chaque fois que la notion de « prudence » est invoquée. De plus, bien que je n’exprime pas d’opinion sur la question de savoir si l’expression « faites avec prudence » pourrait commander l’application d’une méthode excluant le recul, le seul renvoi à la notion de « prudence » en l’espèce n’impose pas en soi de méthode particulière.</w:t>
      </w:r>
    </w:p>
    <w:p w:rsidR="007427DC" w:rsidRPr="008268F4" w:rsidRDefault="007427DC" w:rsidP="0017514B">
      <w:pPr>
        <w:pStyle w:val="ParaNoNdepar-AltN"/>
        <w:widowControl w:val="0"/>
        <w:rPr>
          <w:rFonts w:cs="Times New Roman"/>
          <w:lang w:val="fr-CA"/>
        </w:rPr>
      </w:pPr>
      <w:r w:rsidRPr="008268F4">
        <w:rPr>
          <w:rFonts w:cs="Times New Roman"/>
          <w:lang w:val="fr-CA"/>
        </w:rPr>
        <w:t>Il appert donc que l’on peut raisonnablement interpréter les dispositions pertinentes de manière que la Commission ne soit pas tenue d’employer la méthode axée sur la prudence que préconisent les services</w:t>
      </w:r>
      <w:r w:rsidR="0020722C">
        <w:rPr>
          <w:rFonts w:cs="Times New Roman"/>
          <w:lang w:val="fr-CA"/>
        </w:rPr>
        <w:t xml:space="preserve"> publics</w:t>
      </w:r>
      <w:r w:rsidRPr="008268F4">
        <w:rPr>
          <w:rFonts w:cs="Times New Roman"/>
          <w:lang w:val="fr-CA"/>
        </w:rPr>
        <w:t xml:space="preserve"> ATCO. L’existence d’une interprétation raisonnable à l’appui de la conception que se fait tacitement la Commission de son pouvoir discrétionnaire suffit pour que la décision de la Commission résiste au contrôle de son caractère raisonnable (</w:t>
      </w:r>
      <w:r w:rsidRPr="008268F4">
        <w:rPr>
          <w:rFonts w:cs="Times New Roman"/>
          <w:i/>
          <w:lang w:val="fr-CA"/>
        </w:rPr>
        <w:t>McLean</w:t>
      </w:r>
      <w:r w:rsidRPr="008268F4">
        <w:rPr>
          <w:rFonts w:cs="Times New Roman"/>
          <w:lang w:val="fr-CA"/>
        </w:rPr>
        <w:t>, par. 40</w:t>
      </w:r>
      <w:r w:rsidRPr="008268F4">
        <w:rPr>
          <w:rFonts w:cs="Times New Roman"/>
          <w:lang w:val="fr-CA"/>
        </w:rPr>
        <w:noBreakHyphen/>
        <w:t xml:space="preserve">41). La Commission peut donc s’en remettre à son expertise pour décider si les dépenses sont prudentes (au sens ordinaire </w:t>
      </w:r>
      <w:r w:rsidRPr="00A66E4E">
        <w:rPr>
          <w:rFonts w:cs="Times New Roman"/>
          <w:lang w:val="fr-CA"/>
        </w:rPr>
        <w:t>de raisonnables)</w:t>
      </w:r>
      <w:r w:rsidRPr="008268F4">
        <w:rPr>
          <w:rFonts w:cs="Times New Roman"/>
          <w:lang w:val="fr-CA"/>
        </w:rPr>
        <w:t xml:space="preserve"> et tenir alors compte de divers outils d’analyse et éléments de preuve à condition, au final, que les tarifs fixés soient justes et raisonnables tant pour le consommateur que pour le service public.</w:t>
      </w:r>
    </w:p>
    <w:p w:rsidR="007427DC" w:rsidRPr="008268F4" w:rsidRDefault="007427DC" w:rsidP="0017514B">
      <w:pPr>
        <w:pStyle w:val="Title2LevelTitre2Niveau"/>
        <w:widowControl w:val="0"/>
        <w:rPr>
          <w:rFonts w:cs="Times New Roman"/>
          <w:lang w:val="fr-CA"/>
        </w:rPr>
      </w:pPr>
      <w:r w:rsidRPr="008268F4">
        <w:rPr>
          <w:rFonts w:cs="Times New Roman"/>
          <w:lang w:val="fr-CA"/>
        </w:rPr>
        <w:t>Qualification des dépenses en cause : prévues ou convenues</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Comme je l’explique dans </w:t>
      </w:r>
      <w:r w:rsidRPr="008268F4">
        <w:rPr>
          <w:rFonts w:cs="Times New Roman"/>
          <w:i/>
          <w:lang w:val="fr-CA"/>
        </w:rPr>
        <w:t>CÉO</w:t>
      </w:r>
      <w:r w:rsidRPr="008268F4">
        <w:rPr>
          <w:rFonts w:cs="Times New Roman"/>
          <w:lang w:val="fr-CA"/>
        </w:rPr>
        <w:t xml:space="preserve">, pour se prononcer sur le caractère raisonnable de la méthode que choisit un organisme de réglementation, il peut être utile de savoir si les dépenses en cause sont prévues ou convenues (par. 83). Les dépenses convenues sont celles que le service public a déjà acquittées ou qu’il s’est engagé à acquitter en contractant une obligation, notamment dans un accord obligatoire, qui le </w:t>
      </w:r>
      <w:r w:rsidRPr="008268F4">
        <w:rPr>
          <w:rFonts w:cs="Times New Roman"/>
          <w:lang w:val="fr-CA"/>
        </w:rPr>
        <w:lastRenderedPageBreak/>
        <w:t>prive de tout pouvoir discrétionnaire qui lui permettrait de ne pas acquitter la somme ultérieurement (par. 82). Lorsque les dépenses sont prévues, il n’y a aucune raison d’appliquer un critère de prudence qui exclut le recul, car l’entreprise conserve un pouvoir discrétionnaire qui lui permet de faire ou non les dépenses (par. 83). En revanche, il pourrait convenir d’appliquer un tel critère lorsque l’organisme de réglementation examine des dépenses convenues (par. 102</w:t>
      </w:r>
      <w:r w:rsidRPr="008268F4">
        <w:rPr>
          <w:rFonts w:cs="Times New Roman"/>
          <w:lang w:val="fr-CA"/>
        </w:rPr>
        <w:noBreakHyphen/>
        <w:t>105).</w:t>
      </w:r>
    </w:p>
    <w:p w:rsidR="007427DC" w:rsidRPr="008268F4" w:rsidRDefault="007427DC" w:rsidP="0017514B">
      <w:pPr>
        <w:pStyle w:val="ParaNoNdepar-AltN"/>
        <w:widowControl w:val="0"/>
        <w:rPr>
          <w:rFonts w:cs="Times New Roman"/>
          <w:lang w:val="fr-CA"/>
        </w:rPr>
      </w:pPr>
      <w:r w:rsidRPr="008268F4">
        <w:rPr>
          <w:rFonts w:cs="Times New Roman"/>
          <w:lang w:val="fr-CA"/>
        </w:rPr>
        <w:t>Que des dépenses soient convenues ou prévues dépend de la preuve factuelle pertinente y afférente ainsi que des obligations juridiques susceptibles de les régir. La preuve factuelle peut s’entendre de précisions sur la structure des activités du service public, de certains actes du service public et des circonstances dans lesquelles les dépenses ont vu le jour. Les questions juridiques soulevées peuvent avoir trait à toute obligation contractuelle, fiduciaire ou réglementaire qui reconnaît ou non au service public un pouvoir discrétionnaire dans la décision de faire ou non les dépenses. La décision que prend l’organisme de réglementation après s’être demandé si les dépenses sont convenues ou prévues commande la déférence de la Cour.</w:t>
      </w:r>
    </w:p>
    <w:p w:rsidR="007427DC" w:rsidRPr="008268F4" w:rsidRDefault="007427DC" w:rsidP="0017514B">
      <w:pPr>
        <w:pStyle w:val="ParaNoNdepar-AltN"/>
        <w:widowControl w:val="0"/>
        <w:rPr>
          <w:rFonts w:cs="Times New Roman"/>
          <w:lang w:val="fr-CA"/>
        </w:rPr>
      </w:pPr>
      <w:r w:rsidRPr="008268F4">
        <w:rPr>
          <w:rFonts w:cs="Times New Roman"/>
          <w:lang w:val="fr-CA"/>
        </w:rPr>
        <w:t>Sur le fondement de la preuve et des arguments qui lui ont été présentés, la Commission conclut qu’un [</w:t>
      </w:r>
      <w:r w:rsidRPr="008268F4">
        <w:rPr>
          <w:rFonts w:cs="Times New Roman"/>
          <w:smallCaps/>
          <w:lang w:val="fr-CA"/>
        </w:rPr>
        <w:t>traduction</w:t>
      </w:r>
      <w:r w:rsidRPr="008268F4">
        <w:rPr>
          <w:rFonts w:cs="Times New Roman"/>
          <w:lang w:val="fr-CA"/>
        </w:rPr>
        <w:t>] « montant correspondant à l’AACV n’a pas encore été accordé pour l’année 2012 parce que l’examen de ce poste intervient vers la fin de l’année civile » (</w:t>
      </w:r>
      <w:r w:rsidRPr="008268F4">
        <w:rPr>
          <w:rFonts w:cs="Times New Roman"/>
          <w:i/>
          <w:lang w:val="fr-CA"/>
        </w:rPr>
        <w:t>D</w:t>
      </w:r>
      <w:r w:rsidRPr="008268F4">
        <w:rPr>
          <w:rFonts w:cs="Times New Roman"/>
          <w:i/>
          <w:iCs/>
          <w:lang w:val="fr-CA"/>
        </w:rPr>
        <w:t>écision 2011</w:t>
      </w:r>
      <w:r w:rsidRPr="008268F4">
        <w:rPr>
          <w:rFonts w:cs="Times New Roman"/>
          <w:i/>
          <w:lang w:val="fr-CA"/>
        </w:rPr>
        <w:noBreakHyphen/>
        <w:t>391</w:t>
      </w:r>
      <w:r w:rsidRPr="008268F4">
        <w:rPr>
          <w:rFonts w:cs="Times New Roman"/>
          <w:lang w:val="fr-CA"/>
        </w:rPr>
        <w:t xml:space="preserve">, par. 93). La Commission juge qu’il s’est écoulé suffisamment de temps entre la publication de la </w:t>
      </w:r>
      <w:r w:rsidRPr="008268F4">
        <w:rPr>
          <w:rFonts w:cs="Times New Roman"/>
          <w:i/>
          <w:lang w:val="fr-CA"/>
        </w:rPr>
        <w:t>Décision</w:t>
      </w:r>
      <w:r w:rsidRPr="008268F4">
        <w:rPr>
          <w:rFonts w:cs="Times New Roman"/>
          <w:i/>
          <w:iCs/>
          <w:lang w:val="fr-CA"/>
        </w:rPr>
        <w:t xml:space="preserve"> 2011</w:t>
      </w:r>
      <w:r w:rsidRPr="008268F4">
        <w:rPr>
          <w:rFonts w:cs="Times New Roman"/>
          <w:i/>
          <w:iCs/>
          <w:lang w:val="fr-CA"/>
        </w:rPr>
        <w:noBreakHyphen/>
        <w:t>391</w:t>
      </w:r>
      <w:r w:rsidRPr="008268F4">
        <w:rPr>
          <w:rFonts w:cs="Times New Roman"/>
          <w:iCs/>
          <w:lang w:val="fr-CA"/>
        </w:rPr>
        <w:t xml:space="preserve"> le 27 septembre</w:t>
      </w:r>
      <w:r w:rsidRPr="008268F4">
        <w:rPr>
          <w:rFonts w:cs="Times New Roman"/>
          <w:lang w:val="fr-CA"/>
        </w:rPr>
        <w:t xml:space="preserve"> 2011 et la fin de l’année civile pour permettre aux services publics ATCO et à leur société mère </w:t>
      </w:r>
      <w:r w:rsidR="00A41D1C">
        <w:rPr>
          <w:rFonts w:cs="Times New Roman"/>
          <w:lang w:val="fr-CA"/>
        </w:rPr>
        <w:t>Canadian Utilities</w:t>
      </w:r>
      <w:r w:rsidRPr="008268F4">
        <w:rPr>
          <w:rFonts w:cs="Times New Roman"/>
          <w:lang w:val="fr-CA"/>
        </w:rPr>
        <w:t xml:space="preserve"> « </w:t>
      </w:r>
      <w:r w:rsidR="00335C96" w:rsidRPr="008268F4">
        <w:rPr>
          <w:rFonts w:cs="Times New Roman"/>
          <w:lang w:val="fr-CA"/>
        </w:rPr>
        <w:t xml:space="preserve">de </w:t>
      </w:r>
      <w:r w:rsidRPr="008268F4">
        <w:rPr>
          <w:rFonts w:cs="Times New Roman"/>
          <w:lang w:val="fr-CA"/>
        </w:rPr>
        <w:t xml:space="preserve">décider pour l’avenir s’il y a lieu ou non </w:t>
      </w:r>
      <w:r w:rsidRPr="008268F4">
        <w:rPr>
          <w:rFonts w:cs="Times New Roman"/>
          <w:lang w:val="fr-CA"/>
        </w:rPr>
        <w:lastRenderedPageBreak/>
        <w:t xml:space="preserve">de financer séparément toute différence que </w:t>
      </w:r>
      <w:r w:rsidR="00A41D1C">
        <w:rPr>
          <w:rFonts w:cs="Times New Roman"/>
          <w:lang w:val="fr-CA"/>
        </w:rPr>
        <w:t>Canadian Utilities</w:t>
      </w:r>
      <w:r w:rsidRPr="008268F4">
        <w:rPr>
          <w:rFonts w:cs="Times New Roman"/>
          <w:lang w:val="fr-CA"/>
        </w:rPr>
        <w:t xml:space="preserve"> pouvait décider de payer au</w:t>
      </w:r>
      <w:r w:rsidRPr="008268F4">
        <w:rPr>
          <w:rFonts w:cs="Times New Roman"/>
          <w:lang w:val="fr-CA"/>
        </w:rPr>
        <w:noBreakHyphen/>
        <w:t>delà de l’AACV approuvé à des fins réglementaires pour 2012 et les années suivantes » (</w:t>
      </w:r>
      <w:r w:rsidR="00353B35" w:rsidRPr="00353B35">
        <w:rPr>
          <w:rFonts w:cs="Times New Roman"/>
          <w:i/>
          <w:lang w:val="fr-CA"/>
        </w:rPr>
        <w:t>ibid.</w:t>
      </w:r>
      <w:r w:rsidRPr="008268F4">
        <w:rPr>
          <w:rFonts w:cs="Times New Roman"/>
          <w:lang w:val="fr-CA"/>
        </w:rPr>
        <w:t xml:space="preserve">). Cette conclusion étaye l’idée d’assimiler à des dépenses prévues les dépenses liées à l’AACV qui ont été refusées au motif que ce refus permet à </w:t>
      </w:r>
      <w:r w:rsidR="00A41D1C">
        <w:rPr>
          <w:rFonts w:cs="Times New Roman"/>
          <w:lang w:val="fr-CA"/>
        </w:rPr>
        <w:t>Canadian Utilities</w:t>
      </w:r>
      <w:r w:rsidRPr="008268F4">
        <w:rPr>
          <w:rFonts w:cs="Times New Roman"/>
          <w:lang w:val="fr-CA"/>
        </w:rPr>
        <w:t xml:space="preserve"> d’abaisser à 50 p. </w:t>
      </w:r>
      <w:r w:rsidR="00A41D1C">
        <w:rPr>
          <w:rFonts w:cs="Times New Roman"/>
          <w:lang w:val="fr-CA"/>
        </w:rPr>
        <w:t>100</w:t>
      </w:r>
      <w:r w:rsidRPr="008268F4">
        <w:rPr>
          <w:rFonts w:cs="Times New Roman"/>
          <w:lang w:val="fr-CA"/>
        </w:rPr>
        <w:t xml:space="preserve"> de l’IPC l’AACV applicable aux prestations versées en 2012 ou de fixer malgré tout l’AACV à 100 p. </w:t>
      </w:r>
      <w:r w:rsidR="00A41D1C">
        <w:rPr>
          <w:rFonts w:cs="Times New Roman"/>
          <w:lang w:val="fr-CA"/>
        </w:rPr>
        <w:t>100</w:t>
      </w:r>
      <w:r w:rsidRPr="008268F4">
        <w:rPr>
          <w:rFonts w:cs="Times New Roman"/>
          <w:lang w:val="fr-CA"/>
        </w:rPr>
        <w:t xml:space="preserve"> de l’IPC en sachant que les services publics prendront la différence à leur charge (</w:t>
      </w:r>
      <w:r w:rsidRPr="008268F4">
        <w:rPr>
          <w:rFonts w:cs="Times New Roman"/>
          <w:i/>
          <w:lang w:val="fr-CA"/>
        </w:rPr>
        <w:t>C</w:t>
      </w:r>
      <w:r w:rsidRPr="008268F4">
        <w:rPr>
          <w:rFonts w:cs="Times New Roman"/>
          <w:i/>
          <w:iCs/>
          <w:lang w:val="fr-CA"/>
        </w:rPr>
        <w:t>ÉO</w:t>
      </w:r>
      <w:r w:rsidRPr="008268F4">
        <w:rPr>
          <w:rFonts w:cs="Times New Roman"/>
          <w:lang w:val="fr-CA"/>
        </w:rPr>
        <w:t>, par. 82).</w:t>
      </w:r>
    </w:p>
    <w:p w:rsidR="007427DC" w:rsidRPr="008268F4" w:rsidRDefault="007427DC" w:rsidP="0017514B">
      <w:pPr>
        <w:pStyle w:val="ParaNoNdepar-AltN"/>
        <w:widowControl w:val="0"/>
        <w:rPr>
          <w:rFonts w:cs="Times New Roman"/>
          <w:lang w:val="fr-CA"/>
        </w:rPr>
      </w:pPr>
      <w:r w:rsidRPr="008268F4">
        <w:rPr>
          <w:rFonts w:cs="Times New Roman"/>
          <w:lang w:val="fr-CA"/>
        </w:rPr>
        <w:t>Cependant, la Commission n’écarte pas l’utilisation d’un AACV correspondant à 100 p. </w:t>
      </w:r>
      <w:r w:rsidR="00A41D1C">
        <w:rPr>
          <w:rFonts w:cs="Times New Roman"/>
          <w:lang w:val="fr-CA"/>
        </w:rPr>
        <w:t>100</w:t>
      </w:r>
      <w:r w:rsidRPr="008268F4">
        <w:rPr>
          <w:rFonts w:cs="Times New Roman"/>
          <w:lang w:val="fr-CA"/>
        </w:rPr>
        <w:t xml:space="preserve"> de l’IPC (au plus 3 p. </w:t>
      </w:r>
      <w:r w:rsidR="00A41D1C">
        <w:rPr>
          <w:rFonts w:cs="Times New Roman"/>
          <w:lang w:val="fr-CA"/>
        </w:rPr>
        <w:t>100</w:t>
      </w:r>
      <w:r w:rsidRPr="008268F4">
        <w:rPr>
          <w:rFonts w:cs="Times New Roman"/>
          <w:lang w:val="fr-CA"/>
        </w:rPr>
        <w:t>) en ce qui concerne les paiements spéciaux destinés à combler le déficit actuariel, paiements fixés par le rapport actuariel de 2009 pour l’année 2012. Selon elle, tout paiement excédentaire de la part du consommateur en 2012 serait compensé par la réduction des paiements spéciaux dès l’établissement d’un nouveau rapport pour 2013 et les années suivantes.</w:t>
      </w:r>
    </w:p>
    <w:p w:rsidR="007427DC" w:rsidRPr="008268F4" w:rsidRDefault="007427DC" w:rsidP="0017514B">
      <w:pPr>
        <w:pStyle w:val="ParaNoNdepar-AltN"/>
        <w:widowControl w:val="0"/>
        <w:rPr>
          <w:rFonts w:cs="Times New Roman"/>
          <w:lang w:val="fr-CA"/>
        </w:rPr>
      </w:pPr>
      <w:r w:rsidRPr="008268F4">
        <w:rPr>
          <w:rFonts w:cs="Times New Roman"/>
          <w:lang w:val="fr-CA"/>
        </w:rPr>
        <w:t>Dans leur mémoire, les services publics ATCO prétendent que les dépenses liées à l’AACV sont convenues tout comme celles déterminées par des conventions collectives obligatoires dans le dossier connexe</w:t>
      </w:r>
      <w:r w:rsidRPr="008268F4">
        <w:rPr>
          <w:rFonts w:cs="Times New Roman"/>
          <w:i/>
          <w:lang w:val="fr-CA"/>
        </w:rPr>
        <w:t xml:space="preserve"> CÉO</w:t>
      </w:r>
      <w:r w:rsidRPr="008268F4">
        <w:rPr>
          <w:rFonts w:cs="Times New Roman"/>
          <w:lang w:val="fr-CA"/>
        </w:rPr>
        <w:t xml:space="preserve">. Dans sa plaidoirie, l’avocat des services publics ATCO explique que l’actuaire du régime de pension prépare à des intervalles d’au plus trois ans un rapport actuariel qu’il remet au surintendant des pensions (voir </w:t>
      </w:r>
      <w:r w:rsidR="00925B6F">
        <w:rPr>
          <w:rFonts w:cs="Times New Roman"/>
          <w:lang w:val="fr-CA"/>
        </w:rPr>
        <w:t xml:space="preserve">les </w:t>
      </w:r>
      <w:r w:rsidRPr="008268F4">
        <w:rPr>
          <w:rFonts w:cs="Times New Roman"/>
          <w:lang w:val="fr-CA"/>
        </w:rPr>
        <w:t>art. 13 et 14 de l’</w:t>
      </w:r>
      <w:r w:rsidRPr="008268F4">
        <w:rPr>
          <w:rFonts w:cs="Times New Roman"/>
          <w:i/>
          <w:lang w:val="fr-CA"/>
        </w:rPr>
        <w:t xml:space="preserve">Employment Pension Plans Act </w:t>
      </w:r>
      <w:r w:rsidRPr="008268F4">
        <w:rPr>
          <w:rFonts w:cs="Times New Roman"/>
          <w:lang w:val="fr-CA"/>
        </w:rPr>
        <w:t>(2000)</w:t>
      </w:r>
      <w:r w:rsidRPr="008268F4">
        <w:rPr>
          <w:rStyle w:val="FootnoteReference"/>
          <w:rFonts w:cs="Times New Roman"/>
          <w:lang w:val="fr-CA"/>
        </w:rPr>
        <w:footnoteReference w:id="6"/>
      </w:r>
      <w:r w:rsidRPr="008268F4">
        <w:rPr>
          <w:rFonts w:cs="Times New Roman"/>
          <w:lang w:val="fr-CA"/>
        </w:rPr>
        <w:t xml:space="preserve"> et </w:t>
      </w:r>
      <w:r w:rsidR="00BF6FD9">
        <w:rPr>
          <w:rFonts w:cs="Times New Roman"/>
          <w:lang w:val="fr-CA"/>
        </w:rPr>
        <w:t xml:space="preserve">les </w:t>
      </w:r>
      <w:r w:rsidRPr="008268F4">
        <w:rPr>
          <w:rFonts w:cs="Times New Roman"/>
          <w:lang w:val="fr-CA"/>
        </w:rPr>
        <w:t xml:space="preserve">art. 9 </w:t>
      </w:r>
      <w:r w:rsidRPr="008268F4">
        <w:rPr>
          <w:rFonts w:cs="Times New Roman"/>
          <w:lang w:val="fr-CA"/>
        </w:rPr>
        <w:lastRenderedPageBreak/>
        <w:t>et 10 de l’</w:t>
      </w:r>
      <w:r w:rsidRPr="008268F4">
        <w:rPr>
          <w:rFonts w:cs="Times New Roman"/>
          <w:i/>
          <w:lang w:val="fr-CA"/>
        </w:rPr>
        <w:t>Employment Pension Plans Regulation</w:t>
      </w:r>
      <w:r w:rsidRPr="008268F4">
        <w:rPr>
          <w:rFonts w:cs="Times New Roman"/>
          <w:lang w:val="fr-CA"/>
        </w:rPr>
        <w:t xml:space="preserve"> (2000)</w:t>
      </w:r>
      <w:r w:rsidRPr="008268F4">
        <w:rPr>
          <w:rStyle w:val="FootnoteReference"/>
          <w:rFonts w:cs="Times New Roman"/>
          <w:lang w:val="fr-CA"/>
        </w:rPr>
        <w:footnoteReference w:id="7"/>
      </w:r>
      <w:r w:rsidRPr="008268F4">
        <w:rPr>
          <w:rFonts w:cs="Times New Roman"/>
          <w:lang w:val="fr-CA"/>
        </w:rPr>
        <w:t>).</w:t>
      </w:r>
    </w:p>
    <w:p w:rsidR="007427DC" w:rsidRPr="008268F4" w:rsidRDefault="007427DC" w:rsidP="0017514B">
      <w:pPr>
        <w:pStyle w:val="ParaNoNdepar-AltN"/>
        <w:widowControl w:val="0"/>
        <w:rPr>
          <w:rFonts w:cs="Times New Roman"/>
          <w:lang w:val="fr-CA"/>
        </w:rPr>
      </w:pPr>
      <w:r w:rsidRPr="008268F4">
        <w:rPr>
          <w:rFonts w:cs="Times New Roman"/>
          <w:lang w:val="fr-CA"/>
        </w:rPr>
        <w:t>En l’espèce, le rapport actuariel de 2009 vise les années 2010, 2011 et 2012. L’actuaire du régime détermine la cotisation que doit verser l’employeur pour financer les prestations projetées auxquelles auraient droit les bénéficiaires et combler tout déficit actuariel du régime APD. Pour chacune des trois années, l’actuaire suppose une augmentation annuelle de 2,25 p. </w:t>
      </w:r>
      <w:r w:rsidR="00A41D1C">
        <w:rPr>
          <w:rFonts w:cs="Times New Roman"/>
          <w:lang w:val="fr-CA"/>
        </w:rPr>
        <w:t>100</w:t>
      </w:r>
      <w:r w:rsidRPr="008268F4">
        <w:rPr>
          <w:rFonts w:cs="Times New Roman"/>
          <w:lang w:val="fr-CA"/>
        </w:rPr>
        <w:t xml:space="preserve"> des prestations versées aux retraités</w:t>
      </w:r>
      <w:r w:rsidRPr="008268F4">
        <w:rPr>
          <w:rStyle w:val="FootnoteReference"/>
          <w:rFonts w:cs="Times New Roman"/>
          <w:lang w:val="fr-CA"/>
        </w:rPr>
        <w:footnoteReference w:id="8"/>
      </w:r>
      <w:r w:rsidRPr="008268F4">
        <w:rPr>
          <w:rFonts w:cs="Times New Roman"/>
          <w:lang w:val="fr-CA"/>
        </w:rPr>
        <w:t>. Les services publics ATCO prétendent que l’employeur est légalement tenu de verser une telle cotisation (par. 48(3) de l’</w:t>
      </w:r>
      <w:r w:rsidRPr="008268F4">
        <w:rPr>
          <w:rFonts w:cs="Times New Roman"/>
          <w:i/>
          <w:lang w:val="fr-CA"/>
        </w:rPr>
        <w:t>Employment Pension Plans Regulation</w:t>
      </w:r>
      <w:r w:rsidRPr="008268F4">
        <w:rPr>
          <w:rFonts w:cs="Times New Roman"/>
          <w:lang w:val="fr-CA"/>
        </w:rPr>
        <w:t xml:space="preserve"> (2000)</w:t>
      </w:r>
      <w:r w:rsidRPr="008268F4">
        <w:rPr>
          <w:rStyle w:val="FootnoteReference"/>
          <w:rFonts w:cs="Times New Roman"/>
          <w:lang w:val="fr-CA"/>
        </w:rPr>
        <w:footnoteReference w:id="9"/>
      </w:r>
      <w:r w:rsidRPr="008268F4">
        <w:rPr>
          <w:rFonts w:cs="Times New Roman"/>
          <w:lang w:val="fr-CA"/>
        </w:rPr>
        <w:t>). Ils font donc valoir que dès le dépôt du rapport actuariel visant les années 2010, 2011 et 2012, les dépenses qui y sont indiquées, y compris celles liées à l’augmentation de 2,25 p. </w:t>
      </w:r>
      <w:r w:rsidR="00A41D1C">
        <w:rPr>
          <w:rFonts w:cs="Times New Roman"/>
          <w:lang w:val="fr-CA"/>
        </w:rPr>
        <w:t>100</w:t>
      </w:r>
      <w:r w:rsidRPr="008268F4">
        <w:rPr>
          <w:rFonts w:cs="Times New Roman"/>
          <w:lang w:val="fr-CA"/>
        </w:rPr>
        <w:t xml:space="preserve"> des prestations versées aux retraités, doivent être considérées comme des dépenses convenues.</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Pour répondre à cet argument, une distinction s’impose entre l’AACV utilisé pour décider de l’augmentation des prestations versées aux retraités, qui détermine à son tour la cotisation de l’employeur au régime APD, et l’AACV qui s’applique aux prestations payées sur le régime. Même si les services publics ATCO étaient légalement tenus de verser une cotisation comportant une augmentation de </w:t>
      </w:r>
      <w:r w:rsidRPr="008268F4">
        <w:rPr>
          <w:rFonts w:cs="Times New Roman"/>
          <w:lang w:val="fr-CA"/>
        </w:rPr>
        <w:lastRenderedPageBreak/>
        <w:t>2,25 </w:t>
      </w:r>
      <w:r>
        <w:rPr>
          <w:rFonts w:cs="Times New Roman"/>
          <w:lang w:val="fr-CA"/>
        </w:rPr>
        <w:t>p</w:t>
      </w:r>
      <w:r w:rsidRPr="008268F4">
        <w:rPr>
          <w:rFonts w:cs="Times New Roman"/>
          <w:lang w:val="fr-CA"/>
        </w:rPr>
        <w:t>. </w:t>
      </w:r>
      <w:r w:rsidR="00A41D1C">
        <w:rPr>
          <w:rFonts w:cs="Times New Roman"/>
          <w:lang w:val="fr-CA"/>
        </w:rPr>
        <w:t>100</w:t>
      </w:r>
      <w:r w:rsidRPr="008268F4">
        <w:rPr>
          <w:rFonts w:cs="Times New Roman"/>
          <w:lang w:val="fr-CA"/>
        </w:rPr>
        <w:t xml:space="preserve"> des prestations versées aux retraités </w:t>
      </w:r>
      <w:r>
        <w:rPr>
          <w:rFonts w:cs="Times New Roman"/>
          <w:lang w:val="fr-CA"/>
        </w:rPr>
        <w:t>pour</w:t>
      </w:r>
      <w:r w:rsidRPr="008268F4">
        <w:rPr>
          <w:rFonts w:cs="Times New Roman"/>
          <w:lang w:val="fr-CA"/>
        </w:rPr>
        <w:t xml:space="preserve"> 2012, l’AACV réel versé aux bénéficiaires était établi annuellement par </w:t>
      </w:r>
      <w:r w:rsidR="00A41D1C">
        <w:rPr>
          <w:rFonts w:cs="Times New Roman"/>
          <w:lang w:val="fr-CA"/>
        </w:rPr>
        <w:t>Canadian Utilities</w:t>
      </w:r>
      <w:r w:rsidRPr="008268F4">
        <w:rPr>
          <w:rFonts w:cs="Times New Roman"/>
          <w:lang w:val="fr-CA"/>
        </w:rPr>
        <w:t xml:space="preserve">. Les réponses fournies par les services publics ATCO aux demandes d’information de la Commission en vue de leur demande d’examen de questions communes relatives au régime de pension pour l’année 2011 indiquent que l’AACV établi par </w:t>
      </w:r>
      <w:r w:rsidR="00A41D1C">
        <w:rPr>
          <w:rFonts w:cs="Times New Roman"/>
          <w:lang w:val="fr-CA"/>
        </w:rPr>
        <w:t>Canadian Utilities</w:t>
      </w:r>
      <w:r w:rsidRPr="008268F4">
        <w:rPr>
          <w:rFonts w:cs="Times New Roman"/>
          <w:lang w:val="fr-CA"/>
        </w:rPr>
        <w:t xml:space="preserve"> était de 0 p. </w:t>
      </w:r>
      <w:r w:rsidR="00A41D1C">
        <w:rPr>
          <w:rFonts w:cs="Times New Roman"/>
          <w:lang w:val="fr-CA"/>
        </w:rPr>
        <w:t>100</w:t>
      </w:r>
      <w:r w:rsidRPr="008268F4">
        <w:rPr>
          <w:rFonts w:cs="Times New Roman"/>
          <w:lang w:val="fr-CA"/>
        </w:rPr>
        <w:t xml:space="preserve"> pour 2010 et de 1,7 p. </w:t>
      </w:r>
      <w:r w:rsidR="00A41D1C">
        <w:rPr>
          <w:rFonts w:cs="Times New Roman"/>
          <w:lang w:val="fr-CA"/>
        </w:rPr>
        <w:t>100</w:t>
      </w:r>
      <w:r w:rsidRPr="008268F4">
        <w:rPr>
          <w:rFonts w:cs="Times New Roman"/>
          <w:lang w:val="fr-CA"/>
        </w:rPr>
        <w:t xml:space="preserve"> pour 2011.</w:t>
      </w:r>
    </w:p>
    <w:p w:rsidR="007427DC" w:rsidRPr="008268F4" w:rsidRDefault="007427DC" w:rsidP="0017514B">
      <w:pPr>
        <w:pStyle w:val="ParaNoNdepar-AltN"/>
        <w:widowControl w:val="0"/>
        <w:rPr>
          <w:rFonts w:cs="Times New Roman"/>
          <w:lang w:val="fr-CA"/>
        </w:rPr>
      </w:pPr>
      <w:r w:rsidRPr="008268F4">
        <w:rPr>
          <w:rFonts w:cs="Times New Roman"/>
          <w:lang w:val="fr-CA"/>
        </w:rPr>
        <w:t>La thèse des services publics ATCO voulant que les dépenses soient des dépenses convenues repose sur l’idée que, si la Commission abaisse l’AACV recouvrable à 50 p. </w:t>
      </w:r>
      <w:r w:rsidR="00A41D1C">
        <w:rPr>
          <w:rFonts w:cs="Times New Roman"/>
          <w:lang w:val="fr-CA"/>
        </w:rPr>
        <w:t>100</w:t>
      </w:r>
      <w:r w:rsidRPr="008268F4">
        <w:rPr>
          <w:rFonts w:cs="Times New Roman"/>
          <w:lang w:val="fr-CA"/>
        </w:rPr>
        <w:t xml:space="preserve"> de l’IPC (au plus 3 p. </w:t>
      </w:r>
      <w:r w:rsidR="00A41D1C">
        <w:rPr>
          <w:rFonts w:cs="Times New Roman"/>
          <w:lang w:val="fr-CA"/>
        </w:rPr>
        <w:t>100</w:t>
      </w:r>
      <w:r w:rsidRPr="008268F4">
        <w:rPr>
          <w:rFonts w:cs="Times New Roman"/>
          <w:lang w:val="fr-CA"/>
        </w:rPr>
        <w:t>), ils risquent de subir un manque à gagner du fait que l’AACV qu’ils recouvreront grâce à la tarification sera alors inférieur à l’augmentation de 2,25 p. </w:t>
      </w:r>
      <w:r w:rsidR="00A41D1C">
        <w:rPr>
          <w:rFonts w:cs="Times New Roman"/>
          <w:lang w:val="fr-CA"/>
        </w:rPr>
        <w:t>100</w:t>
      </w:r>
      <w:r w:rsidRPr="008268F4">
        <w:rPr>
          <w:rFonts w:cs="Times New Roman"/>
          <w:lang w:val="fr-CA"/>
        </w:rPr>
        <w:t xml:space="preserve"> des prestations versées aux retraités qu’ils sont légalement tenus de financer.</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Cependant, bien que la cotisation de l’employeur au régime APD et les prestations versées aux bénéficiaires fassent toutes deux l’objet d’ajustements au coût de la vie, la partie de la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xml:space="preserve"> visée par le présent pourvoi porte précisément sur le caractère raisonnable de l’AACV que doit fixer </w:t>
      </w:r>
      <w:r w:rsidR="00A41D1C">
        <w:rPr>
          <w:rFonts w:cs="Times New Roman"/>
          <w:lang w:val="fr-CA"/>
        </w:rPr>
        <w:t>Canadian Utilities</w:t>
      </w:r>
      <w:r w:rsidRPr="008268F4">
        <w:rPr>
          <w:rFonts w:cs="Times New Roman"/>
          <w:lang w:val="fr-CA"/>
        </w:rPr>
        <w:t xml:space="preserve"> à l’égard des prestations versées en 2012. En conséquence, le refus de la Commission vise l’AACV dû aux bénéficiaires en 2012, non la cotisation de l’employeur au régime APD.</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Contrairement aux prétentions des services publics ATCO, les faits de la présente espèce diffèrent de ceux de </w:t>
      </w:r>
      <w:r w:rsidRPr="008268F4">
        <w:rPr>
          <w:rFonts w:cs="Times New Roman"/>
          <w:i/>
          <w:lang w:val="fr-CA"/>
        </w:rPr>
        <w:t>CÉO</w:t>
      </w:r>
      <w:r w:rsidRPr="008268F4">
        <w:rPr>
          <w:rFonts w:cs="Times New Roman"/>
          <w:lang w:val="fr-CA"/>
        </w:rPr>
        <w:t>,</w:t>
      </w:r>
      <w:r w:rsidRPr="008268F4">
        <w:rPr>
          <w:rFonts w:cs="Times New Roman"/>
          <w:i/>
          <w:lang w:val="fr-CA"/>
        </w:rPr>
        <w:t xml:space="preserve"> </w:t>
      </w:r>
      <w:r w:rsidRPr="008268F4">
        <w:rPr>
          <w:rFonts w:cs="Times New Roman"/>
          <w:lang w:val="fr-CA"/>
        </w:rPr>
        <w:t xml:space="preserve">où le service public devait payer certaines </w:t>
      </w:r>
      <w:r w:rsidRPr="008268F4">
        <w:rPr>
          <w:rFonts w:cs="Times New Roman"/>
          <w:lang w:val="fr-CA"/>
        </w:rPr>
        <w:lastRenderedPageBreak/>
        <w:t xml:space="preserve">dépenses en raison de conventions collectives intervenues avec des parties distinctes, les syndicats. Dans la présente affaire, la Commission conclut que l’AACV des prestations payées sur le régime APD a été établi par la société mère des services publics ATCO, </w:t>
      </w:r>
      <w:r w:rsidR="00A41D1C">
        <w:rPr>
          <w:rFonts w:cs="Times New Roman"/>
          <w:lang w:val="fr-CA"/>
        </w:rPr>
        <w:t>Canadian Utilities</w:t>
      </w:r>
      <w:r w:rsidRPr="008268F4">
        <w:rPr>
          <w:rFonts w:cs="Times New Roman"/>
          <w:lang w:val="fr-CA"/>
        </w:rPr>
        <w:t xml:space="preserve"> et que cette dernière demeurait investie d’un pouvoir discrétionnaire lui permettant de fixer le pourcentage de l’AACV pendant la période de référence. Au bout du compte, les participants au régime APD ne toucheraient en 2012 des prestations majorées d’un AACV correspondant à 100 p. </w:t>
      </w:r>
      <w:r w:rsidR="00A41D1C">
        <w:rPr>
          <w:rFonts w:cs="Times New Roman"/>
          <w:lang w:val="fr-CA"/>
        </w:rPr>
        <w:t>100</w:t>
      </w:r>
      <w:r w:rsidRPr="008268F4">
        <w:rPr>
          <w:rFonts w:cs="Times New Roman"/>
          <w:lang w:val="fr-CA"/>
        </w:rPr>
        <w:t xml:space="preserve"> de l’IPC que si </w:t>
      </w:r>
      <w:r w:rsidR="00A41D1C">
        <w:rPr>
          <w:rFonts w:cs="Times New Roman"/>
          <w:lang w:val="fr-CA"/>
        </w:rPr>
        <w:t>Canadian Utilities</w:t>
      </w:r>
      <w:r w:rsidRPr="008268F4">
        <w:rPr>
          <w:rFonts w:cs="Times New Roman"/>
          <w:lang w:val="fr-CA"/>
        </w:rPr>
        <w:t xml:space="preserve"> décidait d’un tel AACV. </w:t>
      </w:r>
    </w:p>
    <w:p w:rsidR="007427DC" w:rsidRPr="008268F4" w:rsidRDefault="00A41D1C" w:rsidP="0017514B">
      <w:pPr>
        <w:pStyle w:val="ParaNoNdepar-AltN"/>
        <w:widowControl w:val="0"/>
        <w:rPr>
          <w:rFonts w:cs="Times New Roman"/>
          <w:lang w:val="fr-CA"/>
        </w:rPr>
      </w:pPr>
      <w:r>
        <w:rPr>
          <w:rFonts w:cs="Times New Roman"/>
          <w:lang w:val="fr-CA"/>
        </w:rPr>
        <w:t>Canadian Utilities</w:t>
      </w:r>
      <w:r w:rsidR="007427DC" w:rsidRPr="008268F4">
        <w:rPr>
          <w:rFonts w:cs="Times New Roman"/>
          <w:lang w:val="fr-CA"/>
        </w:rPr>
        <w:t xml:space="preserve"> a pu exercer son pouvoir discrétionnaire de manière à ne pas obliger ses filiales réglementées à supporter des dépenses dont elle savait qu’elles ne seraient pas recouvrées. En conséquence, même si, selon le rapport actuariel de 2009, les services publics ATCO étaient tenus de verser au régime APD une cotisation établie en fonction d’une augmentation de 2,25 p. </w:t>
      </w:r>
      <w:r>
        <w:rPr>
          <w:rFonts w:cs="Times New Roman"/>
          <w:lang w:val="fr-CA"/>
        </w:rPr>
        <w:t>100</w:t>
      </w:r>
      <w:r w:rsidR="007427DC" w:rsidRPr="008268F4">
        <w:rPr>
          <w:rFonts w:cs="Times New Roman"/>
          <w:lang w:val="fr-CA"/>
        </w:rPr>
        <w:t xml:space="preserve"> des prestations versées aux retraités, l’AACV appliqué aux prestations versées pour 2012 ne faisait pas l’objet d’un engagement lorsque la Commission a rendu sa </w:t>
      </w:r>
      <w:r w:rsidR="007427DC" w:rsidRPr="008268F4">
        <w:rPr>
          <w:rFonts w:cs="Times New Roman"/>
          <w:i/>
          <w:lang w:val="fr-CA"/>
        </w:rPr>
        <w:t>Décision 2011</w:t>
      </w:r>
      <w:r w:rsidR="007427DC" w:rsidRPr="008268F4">
        <w:rPr>
          <w:rFonts w:cs="Times New Roman"/>
          <w:i/>
          <w:lang w:val="fr-CA"/>
        </w:rPr>
        <w:noBreakHyphen/>
        <w:t>391</w:t>
      </w:r>
      <w:r w:rsidR="007427DC" w:rsidRPr="008268F4">
        <w:rPr>
          <w:rFonts w:cs="Times New Roman"/>
          <w:lang w:val="fr-CA"/>
        </w:rPr>
        <w:t xml:space="preserve">. Il en est ainsi parce que </w:t>
      </w:r>
      <w:r>
        <w:rPr>
          <w:rFonts w:cs="Times New Roman"/>
          <w:lang w:val="fr-CA"/>
        </w:rPr>
        <w:t>Canadian Utilities</w:t>
      </w:r>
      <w:r w:rsidR="007427DC" w:rsidRPr="008268F4">
        <w:rPr>
          <w:rFonts w:cs="Times New Roman"/>
          <w:lang w:val="fr-CA"/>
        </w:rPr>
        <w:t xml:space="preserve"> n’avait pas encore fixé l’AACV pour 2012.</w:t>
      </w:r>
    </w:p>
    <w:p w:rsidR="007427DC" w:rsidRPr="008268F4" w:rsidRDefault="007427DC" w:rsidP="0017514B">
      <w:pPr>
        <w:pStyle w:val="ParaNoNdepar-AltN"/>
        <w:widowControl w:val="0"/>
        <w:rPr>
          <w:rFonts w:cs="Times New Roman"/>
          <w:lang w:val="fr-CA"/>
        </w:rPr>
      </w:pPr>
      <w:r w:rsidRPr="008268F4">
        <w:rPr>
          <w:rFonts w:cs="Times New Roman"/>
          <w:lang w:val="fr-CA"/>
        </w:rPr>
        <w:t>Il n’était pas déraisonnable que la Commission décide, sans recourir à une méthode excluant le recul, que 50 p. </w:t>
      </w:r>
      <w:r w:rsidR="00A41D1C">
        <w:rPr>
          <w:rFonts w:cs="Times New Roman"/>
          <w:lang w:val="fr-CA"/>
        </w:rPr>
        <w:t>100</w:t>
      </w:r>
      <w:r w:rsidRPr="008268F4">
        <w:rPr>
          <w:rFonts w:cs="Times New Roman"/>
          <w:lang w:val="fr-CA"/>
        </w:rPr>
        <w:t xml:space="preserve"> de l’IPC (au plus 3 p. </w:t>
      </w:r>
      <w:r w:rsidR="00A41D1C">
        <w:rPr>
          <w:rFonts w:cs="Times New Roman"/>
          <w:lang w:val="fr-CA"/>
        </w:rPr>
        <w:t>100</w:t>
      </w:r>
      <w:r w:rsidRPr="008268F4">
        <w:rPr>
          <w:rFonts w:cs="Times New Roman"/>
          <w:lang w:val="fr-CA"/>
        </w:rPr>
        <w:t>) [</w:t>
      </w:r>
      <w:r w:rsidRPr="008268F4">
        <w:rPr>
          <w:rFonts w:cs="Times New Roman"/>
          <w:smallCaps/>
          <w:lang w:val="fr-CA"/>
        </w:rPr>
        <w:t>traduction</w:t>
      </w:r>
      <w:r w:rsidRPr="008268F4">
        <w:rPr>
          <w:rFonts w:cs="Times New Roman"/>
          <w:lang w:val="fr-CA"/>
        </w:rPr>
        <w:t>] « représent[ait] un taux raisonnable d’AACV pour les besoins de la détermination de la charge de retraite à des fins réglementaires » en 2012 (</w:t>
      </w:r>
      <w:r w:rsidRPr="008268F4">
        <w:rPr>
          <w:rFonts w:cs="Times New Roman"/>
          <w:i/>
          <w:lang w:val="fr-CA"/>
        </w:rPr>
        <w:t>Décision 2011</w:t>
      </w:r>
      <w:r w:rsidRPr="008268F4">
        <w:rPr>
          <w:rFonts w:cs="Times New Roman"/>
          <w:i/>
          <w:lang w:val="fr-CA"/>
        </w:rPr>
        <w:noBreakHyphen/>
        <w:t>391</w:t>
      </w:r>
      <w:r w:rsidRPr="008268F4">
        <w:rPr>
          <w:rFonts w:cs="Times New Roman"/>
          <w:lang w:val="fr-CA"/>
        </w:rPr>
        <w:t>, par. 92).</w:t>
      </w:r>
    </w:p>
    <w:p w:rsidR="007427DC" w:rsidRPr="008268F4" w:rsidRDefault="007427DC" w:rsidP="0017514B">
      <w:pPr>
        <w:pStyle w:val="Title2LevelTitre2Niveau"/>
        <w:widowControl w:val="0"/>
        <w:ind w:left="578" w:hanging="578"/>
        <w:rPr>
          <w:rFonts w:cs="Times New Roman"/>
          <w:lang w:val="fr-CA"/>
        </w:rPr>
      </w:pPr>
      <w:r w:rsidRPr="008268F4">
        <w:rPr>
          <w:rFonts w:cs="Times New Roman"/>
          <w:lang w:val="fr-CA"/>
        </w:rPr>
        <w:t>Prise en compte de l’incidence sur la tarification dans l’appréciation de la prudence des dépenses</w:t>
      </w:r>
    </w:p>
    <w:p w:rsidR="007427DC" w:rsidRPr="008268F4" w:rsidRDefault="007427DC" w:rsidP="0017514B">
      <w:pPr>
        <w:pStyle w:val="ParaNoNdepar-AltN"/>
        <w:widowControl w:val="0"/>
        <w:rPr>
          <w:rFonts w:cs="Times New Roman"/>
          <w:lang w:val="fr-CA"/>
        </w:rPr>
      </w:pPr>
      <w:r w:rsidRPr="008268F4">
        <w:rPr>
          <w:rFonts w:cs="Times New Roman"/>
          <w:lang w:val="fr-CA"/>
        </w:rPr>
        <w:lastRenderedPageBreak/>
        <w:t xml:space="preserve">Les services publics ATCO font valoir que, dans son appréciation de la prudence des dépenses liées à l’AACV, le souci de la Commission était de réduire les tarifs imposés aux consommateurs. </w:t>
      </w:r>
    </w:p>
    <w:p w:rsidR="007427DC" w:rsidRPr="008268F4" w:rsidRDefault="007427DC" w:rsidP="0017514B">
      <w:pPr>
        <w:pStyle w:val="ParaNoNdepar-AltN"/>
        <w:widowControl w:val="0"/>
        <w:rPr>
          <w:rFonts w:cs="Times New Roman"/>
          <w:lang w:val="fr-CA"/>
        </w:rPr>
      </w:pPr>
      <w:r w:rsidRPr="008268F4">
        <w:rPr>
          <w:rFonts w:cs="Times New Roman"/>
          <w:lang w:val="fr-CA"/>
        </w:rPr>
        <w:t>Rappelons qu’un principe clé du droit réglementaire canadien veut qu’un service public réglementé ait la possibilité de recouvrer ses dépenses d’exploitation et ses coûts en capital grâce à sa tarification (</w:t>
      </w:r>
      <w:r w:rsidRPr="008268F4">
        <w:rPr>
          <w:rFonts w:cs="Times New Roman"/>
          <w:i/>
          <w:lang w:val="fr-CA"/>
        </w:rPr>
        <w:t>CÉO</w:t>
      </w:r>
      <w:r w:rsidRPr="008268F4">
        <w:rPr>
          <w:rFonts w:cs="Times New Roman"/>
          <w:lang w:val="fr-CA"/>
        </w:rPr>
        <w:t>, par. 16). C’est ce qui ressort de l’</w:t>
      </w:r>
      <w:r w:rsidRPr="008268F4">
        <w:rPr>
          <w:rFonts w:cs="Times New Roman"/>
          <w:i/>
          <w:lang w:val="fr-CA"/>
        </w:rPr>
        <w:t xml:space="preserve">EUA </w:t>
      </w:r>
      <w:r w:rsidRPr="008268F4">
        <w:rPr>
          <w:rFonts w:cs="Times New Roman"/>
          <w:lang w:val="fr-CA"/>
        </w:rPr>
        <w:t xml:space="preserve">et de la </w:t>
      </w:r>
      <w:r w:rsidRPr="008268F4">
        <w:rPr>
          <w:rFonts w:cs="Times New Roman"/>
          <w:i/>
          <w:lang w:val="fr-CA"/>
        </w:rPr>
        <w:t>GUA</w:t>
      </w:r>
      <w:r w:rsidRPr="008268F4">
        <w:rPr>
          <w:rFonts w:cs="Times New Roman"/>
          <w:lang w:val="fr-CA"/>
        </w:rPr>
        <w:t>, lesquelles renvoient en effet à une possibilité raisonnable de recouvrer les dépenses et les charges dans la mesure où elles sont prudentes. L’organisme de réglementation doit déterminer si les dépenses du service public peuvent être recouvrées parce qu’elles sont raisonnables ou, sous le régime de l’</w:t>
      </w:r>
      <w:r w:rsidRPr="008268F4">
        <w:rPr>
          <w:rFonts w:cs="Times New Roman"/>
          <w:i/>
          <w:lang w:val="fr-CA"/>
        </w:rPr>
        <w:t xml:space="preserve">EUA </w:t>
      </w:r>
      <w:r w:rsidRPr="008268F4">
        <w:rPr>
          <w:rFonts w:cs="Times New Roman"/>
          <w:lang w:val="fr-CA"/>
        </w:rPr>
        <w:t xml:space="preserve">et de la </w:t>
      </w:r>
      <w:r w:rsidRPr="008268F4">
        <w:rPr>
          <w:rFonts w:cs="Times New Roman"/>
          <w:i/>
          <w:lang w:val="fr-CA"/>
        </w:rPr>
        <w:t>GUA</w:t>
      </w:r>
      <w:r w:rsidRPr="008268F4">
        <w:rPr>
          <w:rFonts w:cs="Times New Roman"/>
          <w:lang w:val="fr-CA"/>
        </w:rPr>
        <w:t>, parce qu’elles sont « prudentes ». Lorsque les dépenses sont jugées prudentes, l’organisme doit permettre au service public de les recouvrer grâce à sa tarification. L’incidence de l’augmentation des tarifs sur le consommateur ne saurait justifier la Commission de refuser leur recouvrement</w:t>
      </w:r>
      <w:r w:rsidRPr="008268F4">
        <w:rPr>
          <w:rStyle w:val="FootnoteReference"/>
          <w:rFonts w:cs="Times New Roman"/>
          <w:lang w:val="fr-CA"/>
        </w:rPr>
        <w:footnoteReference w:id="10"/>
      </w:r>
      <w:r w:rsidRPr="008268F4">
        <w:rPr>
          <w:rFonts w:cs="Times New Roman"/>
          <w:lang w:val="fr-CA"/>
        </w:rPr>
        <w:t>. Cela ne signifie pas pour autant que la Commission n’a pas à prendre en considération les intérêts des consommateurs. La réglementation tarifaire les prend en considération en ne permettant que le recouvrement des dépenses raisonnables ou prudentes que le service public fait pour la prestation efficace du service. Autrement dit, l’organisme de réglementation s’assure que le consommateur ne paie pas plus que ce qui est raisonnablement nécessaire (</w:t>
      </w:r>
      <w:r w:rsidRPr="008268F4">
        <w:rPr>
          <w:rFonts w:cs="Times New Roman"/>
          <w:i/>
          <w:lang w:val="fr-CA"/>
        </w:rPr>
        <w:t>CÉO</w:t>
      </w:r>
      <w:r w:rsidRPr="008268F4">
        <w:rPr>
          <w:rFonts w:cs="Times New Roman"/>
          <w:lang w:val="fr-CA"/>
        </w:rPr>
        <w:t xml:space="preserve">, </w:t>
      </w:r>
      <w:r w:rsidRPr="008268F4">
        <w:rPr>
          <w:rFonts w:cs="Times New Roman"/>
          <w:lang w:val="fr-CA"/>
        </w:rPr>
        <w:lastRenderedPageBreak/>
        <w:t>par. 20).</w:t>
      </w:r>
    </w:p>
    <w:p w:rsidR="007427DC" w:rsidRPr="008268F4" w:rsidRDefault="007427DC" w:rsidP="0017514B">
      <w:pPr>
        <w:pStyle w:val="ParaNoNdepar-AltN"/>
        <w:widowControl w:val="0"/>
        <w:rPr>
          <w:rFonts w:cs="Times New Roman"/>
          <w:lang w:val="fr-CA"/>
        </w:rPr>
      </w:pPr>
      <w:r w:rsidRPr="008268F4">
        <w:rPr>
          <w:rFonts w:cs="Times New Roman"/>
          <w:lang w:val="fr-CA"/>
        </w:rPr>
        <w:t>En l’espèce, la Commission insiste sur l’incidence de la réduction de l’AACV sur le déficit actuariel des services publics ATCO. Aussi, un déficit actuariel moins élevé fondé sur un rapport actuariel où l’AACV correspond à 50 p. </w:t>
      </w:r>
      <w:r w:rsidR="00A41D1C">
        <w:rPr>
          <w:rFonts w:cs="Times New Roman"/>
          <w:lang w:val="fr-CA"/>
        </w:rPr>
        <w:t>100</w:t>
      </w:r>
      <w:r w:rsidRPr="008268F4">
        <w:rPr>
          <w:rFonts w:cs="Times New Roman"/>
          <w:lang w:val="fr-CA"/>
        </w:rPr>
        <w:t xml:space="preserve"> plutôt qu’à 100 p. </w:t>
      </w:r>
      <w:r w:rsidR="00A41D1C">
        <w:rPr>
          <w:rFonts w:cs="Times New Roman"/>
          <w:lang w:val="fr-CA"/>
        </w:rPr>
        <w:t>100</w:t>
      </w:r>
      <w:r w:rsidRPr="008268F4">
        <w:rPr>
          <w:rFonts w:cs="Times New Roman"/>
          <w:lang w:val="fr-CA"/>
        </w:rPr>
        <w:t xml:space="preserve"> de l’IPC se traduirait par des recettes nécessaires moindres et, par conséquent, des tarifs moindres pour les consommateurs. Je ne conviens toutefois pas avec les services publics ATCO que la Commission, en se souciant de l’incidence de l’AACV sur le déficit actuariel du régime de pension, fonde son refus sur la crainte d’une majoration des tarifs. Un organisme de réglementation ne peut refuser d’approuver des dépenses prudentes pour le seul motif que leur approbation entraînerait une augmentation des tarifs. Il ne s’ensuit toutefois pas qu’il ne peut aucunement tenir compte de l’ampleur d’une dépense donnée pour se prononcer sur son caractère prudent.</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Il paraît en effet aller de soi que chaque fois qu’il refuse d’approuver une dépense, l’organisme de réglementation le fait après avoir conclu que la dépense est supérieure à celle qui doit être autorisée, ce qui permet d’inférer que le coût pour le consommateur serait excessif si la dépense était répercutée sur les tarifs. Il ne s’agit toutefois pas de refuser d’approuver une dépense </w:t>
      </w:r>
      <w:r w:rsidRPr="008268F4">
        <w:rPr>
          <w:rFonts w:cs="Times New Roman"/>
          <w:i/>
          <w:lang w:val="fr-CA"/>
        </w:rPr>
        <w:t>pour le seul motif</w:t>
      </w:r>
      <w:r w:rsidRPr="008268F4">
        <w:rPr>
          <w:rFonts w:cs="Times New Roman"/>
          <w:lang w:val="fr-CA"/>
        </w:rPr>
        <w:t xml:space="preserve"> qu’elle entraînerait une hausse tarifaire pour le consommateur. Dans la présente affaire, la Commission conclut qu’il est déraisonnable que les services publics ATCO touchent des paiements pour recouvrer un AACV correspondant à 100 p. </w:t>
      </w:r>
      <w:r w:rsidR="00A41D1C">
        <w:rPr>
          <w:rFonts w:cs="Times New Roman"/>
          <w:lang w:val="fr-CA"/>
        </w:rPr>
        <w:t>100</w:t>
      </w:r>
      <w:r w:rsidRPr="008268F4">
        <w:rPr>
          <w:rFonts w:cs="Times New Roman"/>
          <w:lang w:val="fr-CA"/>
        </w:rPr>
        <w:t xml:space="preserve"> de l’IPC alors que leurs documents comptables font état d’un important déficit actuariel. La raison en est en </w:t>
      </w:r>
      <w:r w:rsidRPr="008268F4">
        <w:rPr>
          <w:rFonts w:cs="Times New Roman"/>
          <w:lang w:val="fr-CA"/>
        </w:rPr>
        <w:lastRenderedPageBreak/>
        <w:t>partie que, suivant la preuve constituée de données sur des sociétés comparables, un AACV correspondant à moins de 100 p. </w:t>
      </w:r>
      <w:r w:rsidR="00A41D1C">
        <w:rPr>
          <w:rFonts w:cs="Times New Roman"/>
          <w:lang w:val="fr-CA"/>
        </w:rPr>
        <w:t>100</w:t>
      </w:r>
      <w:r w:rsidRPr="008268F4">
        <w:rPr>
          <w:rFonts w:cs="Times New Roman"/>
          <w:lang w:val="fr-CA"/>
        </w:rPr>
        <w:t xml:space="preserve"> de l’IPC est fréquent et la conclusion de la Commission portant qu’un AACV correspondant à ce pourcentage n’est pas nécessaire pour permettre aux services publics ATCO de recruter du personnel et de le conserver. Même si cette conclusion tient compte d’une baisse consécutive des tarifs, la Commission se fonde sur la prudence des dépenses comme telles, non sur la volonté de faire en sorte que les tarifs demeurent peu élevés, pour conclure qu’il y a lieu de refuser d’approuver les dépenses. Je ne vois rien de déraisonnable dans le raisonnement de la Commission sur ce point. </w:t>
      </w:r>
    </w:p>
    <w:p w:rsidR="007427DC" w:rsidRPr="008268F4" w:rsidRDefault="007427DC" w:rsidP="0017514B">
      <w:pPr>
        <w:pStyle w:val="Title1LevelTitre1Niveau-AltL"/>
        <w:widowControl w:val="0"/>
        <w:rPr>
          <w:rFonts w:cs="Times New Roman"/>
          <w:lang w:val="fr-CA"/>
        </w:rPr>
      </w:pPr>
      <w:r w:rsidRPr="008268F4">
        <w:rPr>
          <w:rFonts w:cs="Times New Roman"/>
          <w:lang w:val="fr-CA"/>
        </w:rPr>
        <w:t>Conclusion</w:t>
      </w:r>
    </w:p>
    <w:p w:rsidR="007427DC" w:rsidRPr="008268F4" w:rsidRDefault="007427DC" w:rsidP="0017514B">
      <w:pPr>
        <w:pStyle w:val="ParaNoNdepar-AltN"/>
        <w:widowControl w:val="0"/>
        <w:rPr>
          <w:rFonts w:cs="Times New Roman"/>
          <w:lang w:val="fr-CA"/>
        </w:rPr>
      </w:pPr>
      <w:r w:rsidRPr="008268F4">
        <w:rPr>
          <w:rFonts w:cs="Times New Roman"/>
          <w:lang w:val="fr-CA"/>
        </w:rPr>
        <w:t>La Commission n’était pas légalement tenue en l’espèce d’appliquer une méthode précise pour apprécier le caractère prudent des dépenses. On ne peut considérer que, à lui seul, l’emploi du mot « prudentes » dans l’</w:t>
      </w:r>
      <w:r w:rsidRPr="008268F4">
        <w:rPr>
          <w:rFonts w:cs="Times New Roman"/>
          <w:i/>
          <w:lang w:val="fr-CA"/>
        </w:rPr>
        <w:t>EUA</w:t>
      </w:r>
      <w:r w:rsidRPr="008268F4">
        <w:rPr>
          <w:rFonts w:cs="Times New Roman"/>
          <w:lang w:val="fr-CA"/>
        </w:rPr>
        <w:t xml:space="preserve"> et la </w:t>
      </w:r>
      <w:r w:rsidRPr="008268F4">
        <w:rPr>
          <w:rFonts w:cs="Times New Roman"/>
          <w:i/>
          <w:lang w:val="fr-CA"/>
        </w:rPr>
        <w:t>GUA</w:t>
      </w:r>
      <w:r w:rsidRPr="008268F4">
        <w:rPr>
          <w:rFonts w:cs="Times New Roman"/>
          <w:lang w:val="fr-CA"/>
        </w:rPr>
        <w:t xml:space="preserve"> oblige la Commission</w:t>
      </w:r>
      <w:r w:rsidR="00E55255">
        <w:rPr>
          <w:rFonts w:cs="Times New Roman"/>
          <w:lang w:val="fr-CA"/>
        </w:rPr>
        <w:t xml:space="preserve"> à</w:t>
      </w:r>
      <w:r w:rsidRPr="008268F4">
        <w:rPr>
          <w:rFonts w:cs="Times New Roman"/>
          <w:lang w:val="fr-CA"/>
        </w:rPr>
        <w:t xml:space="preserve"> recourir à la méthode sans recul que préconisent les services publics ATCO.</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Bien qu’il existe sans aucun doute des situations où l’omission d’appliquer une méthode qui exclut le recul peut conduire à des résultats injustes pour les services publics et emporter ainsi l’inobservation de l’obligation légale de fixer des tarifs qui établissent un équilibre juste et raisonnable entre les intérêts du consommateur et ceux du service public, la Commission n’a pas agi de manière déraisonnable. Les dépenses refusées étaient des dépenses prévues. Il était donc raisonnable que la Commission se </w:t>
      </w:r>
      <w:r w:rsidRPr="008268F4">
        <w:rPr>
          <w:rFonts w:cs="Times New Roman"/>
          <w:lang w:val="fr-CA"/>
        </w:rPr>
        <w:lastRenderedPageBreak/>
        <w:t>penche sur les recettes jugées nécessaires par les services publics ATCO à la lumière de toutes les circonstances pertinentes. De plus, comme la Commission n’a pas eu recours à une méthode injustifiée, il n’était pas déraisonnable qu’elle ordonne aux services publics ATCO de réduire la charge de retraite répercutée sur les recettes nécessaires en abaissant l’AACV à 50 p. </w:t>
      </w:r>
      <w:r w:rsidR="00A41D1C">
        <w:rPr>
          <w:rFonts w:cs="Times New Roman"/>
          <w:lang w:val="fr-CA"/>
        </w:rPr>
        <w:t>100</w:t>
      </w:r>
      <w:r w:rsidRPr="008268F4">
        <w:rPr>
          <w:rFonts w:cs="Times New Roman"/>
          <w:lang w:val="fr-CA"/>
        </w:rPr>
        <w:t xml:space="preserve"> de l’IPC (au plus 3 p. </w:t>
      </w:r>
      <w:r w:rsidR="00A41D1C">
        <w:rPr>
          <w:rFonts w:cs="Times New Roman"/>
          <w:lang w:val="fr-CA"/>
        </w:rPr>
        <w:t>100</w:t>
      </w:r>
      <w:r w:rsidRPr="008268F4">
        <w:rPr>
          <w:rFonts w:cs="Times New Roman"/>
          <w:lang w:val="fr-CA"/>
        </w:rPr>
        <w:t>) en ce qui concerne, d’une part, le coût des prestations pour services courants à compter de 2012 et, d’autre part, les paiements spéciaux visant à combler le déficit actuariel à compter de 2013.</w:t>
      </w:r>
    </w:p>
    <w:p w:rsidR="007427DC" w:rsidRPr="008268F4" w:rsidRDefault="007427DC" w:rsidP="0017514B">
      <w:pPr>
        <w:pStyle w:val="ParaNoNdepar-AltN"/>
        <w:widowControl w:val="0"/>
        <w:rPr>
          <w:rFonts w:cs="Times New Roman"/>
          <w:lang w:val="fr-CA"/>
        </w:rPr>
      </w:pPr>
      <w:r w:rsidRPr="008268F4">
        <w:rPr>
          <w:rFonts w:cs="Times New Roman"/>
          <w:lang w:val="fr-CA"/>
        </w:rPr>
        <w:t xml:space="preserve">Pour ces motifs, je suis d’avis de rejeter le pourvoi. </w:t>
      </w:r>
    </w:p>
    <w:p w:rsidR="00304E3F" w:rsidRPr="001F002B" w:rsidRDefault="00304E3F" w:rsidP="0017514B">
      <w:pPr>
        <w:pStyle w:val="SCCNormalDoubleSpacing"/>
        <w:widowControl w:val="0"/>
        <w:spacing w:before="480" w:after="480"/>
        <w:rPr>
          <w:lang w:val="fr-CA"/>
        </w:rPr>
      </w:pPr>
      <w:r w:rsidRPr="007427DC">
        <w:rPr>
          <w:lang w:val="fr-CA"/>
        </w:rPr>
        <w:tab/>
      </w:r>
      <w:r w:rsidRPr="001F002B">
        <w:rPr>
          <w:i/>
          <w:lang w:val="fr-CA"/>
        </w:rPr>
        <w:t>Pourvoi rejeté.</w:t>
      </w:r>
    </w:p>
    <w:p w:rsidR="00304E3F" w:rsidRPr="001F002B" w:rsidRDefault="00304E3F" w:rsidP="0017514B">
      <w:pPr>
        <w:pStyle w:val="SCCLawFirm"/>
        <w:widowControl w:val="0"/>
        <w:spacing w:before="480" w:after="480"/>
        <w:rPr>
          <w:lang w:val="fr-CA"/>
        </w:rPr>
      </w:pPr>
      <w:r w:rsidRPr="001F002B">
        <w:rPr>
          <w:lang w:val="fr-CA"/>
        </w:rPr>
        <w:tab/>
        <w:t>Procureurs des appelantes : Bennett Jones, Calgary.</w:t>
      </w:r>
    </w:p>
    <w:p w:rsidR="00304E3F" w:rsidRPr="001F002B" w:rsidRDefault="00ED5E55" w:rsidP="0017514B">
      <w:pPr>
        <w:pStyle w:val="SCCLawFirm"/>
        <w:widowControl w:val="0"/>
        <w:spacing w:before="480" w:after="480"/>
        <w:rPr>
          <w:lang w:val="fr-CA"/>
        </w:rPr>
      </w:pPr>
      <w:r>
        <w:rPr>
          <w:lang w:val="fr-CA"/>
        </w:rPr>
        <w:tab/>
        <w:t>Procureur</w:t>
      </w:r>
      <w:r w:rsidR="00304E3F" w:rsidRPr="001F002B">
        <w:rPr>
          <w:lang w:val="fr-CA"/>
        </w:rPr>
        <w:t xml:space="preserve"> de l’intimée Alberta Utilities Commission : Alberta Utilities Commission, Calgary.</w:t>
      </w:r>
    </w:p>
    <w:p w:rsidR="00304E3F" w:rsidRPr="001F002B" w:rsidRDefault="00304E3F" w:rsidP="0017514B">
      <w:pPr>
        <w:pStyle w:val="SCCLawFirm"/>
        <w:widowControl w:val="0"/>
        <w:rPr>
          <w:lang w:val="en-US"/>
        </w:rPr>
      </w:pPr>
      <w:r w:rsidRPr="001F002B">
        <w:rPr>
          <w:lang w:val="fr-CA"/>
        </w:rPr>
        <w:tab/>
      </w:r>
      <w:r w:rsidRPr="001F002B">
        <w:t>Procureurs de l’intimé Office of the Utilities Consumer Advocate of Alberta : Reynolds, Mirth, Richards &amp; Farmer, Edmonton; Michael Sobkin, Ottawa.</w:t>
      </w:r>
    </w:p>
    <w:sectPr w:rsidR="00304E3F" w:rsidRPr="001F002B"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FB" w:rsidRDefault="007427DC">
      <w:r>
        <w:separator/>
      </w:r>
    </w:p>
  </w:endnote>
  <w:endnote w:type="continuationSeparator" w:id="0">
    <w:p w:rsidR="00C24CFB" w:rsidRDefault="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FB" w:rsidRDefault="007427DC">
      <w:r>
        <w:separator/>
      </w:r>
    </w:p>
  </w:footnote>
  <w:footnote w:type="continuationSeparator" w:id="0">
    <w:p w:rsidR="00C24CFB" w:rsidRDefault="007427DC">
      <w:r>
        <w:continuationSeparator/>
      </w:r>
    </w:p>
  </w:footnote>
  <w:footnote w:id="1">
    <w:p w:rsidR="007427DC" w:rsidRPr="00865719" w:rsidRDefault="007427DC" w:rsidP="00562A37">
      <w:pPr>
        <w:pStyle w:val="FootnoteText"/>
        <w:ind w:left="180" w:hanging="180"/>
        <w:jc w:val="both"/>
        <w:rPr>
          <w:lang w:val="fr-CA"/>
        </w:rPr>
      </w:pPr>
      <w:r w:rsidRPr="00865719">
        <w:rPr>
          <w:rStyle w:val="FootnoteReference"/>
          <w:lang w:val="fr-CA"/>
        </w:rPr>
        <w:footnoteRef/>
      </w:r>
      <w:r w:rsidRPr="00865719">
        <w:rPr>
          <w:lang w:val="fr-CA"/>
        </w:rPr>
        <w:t xml:space="preserve"> </w:t>
      </w:r>
      <w:r w:rsidR="00562A37">
        <w:rPr>
          <w:lang w:val="fr-CA"/>
        </w:rPr>
        <w:tab/>
      </w:r>
      <w:r w:rsidRPr="00865719">
        <w:rPr>
          <w:lang w:val="fr-CA"/>
        </w:rPr>
        <w:t xml:space="preserve">Cette disposition </w:t>
      </w:r>
      <w:r>
        <w:rPr>
          <w:lang w:val="fr-CA"/>
        </w:rPr>
        <w:t>a depuis été remplacée par le par. </w:t>
      </w:r>
      <w:r w:rsidRPr="00865719">
        <w:rPr>
          <w:lang w:val="fr-CA"/>
        </w:rPr>
        <w:t>35(2)</w:t>
      </w:r>
      <w:r>
        <w:rPr>
          <w:lang w:val="fr-CA"/>
        </w:rPr>
        <w:t xml:space="preserve"> de l’</w:t>
      </w:r>
      <w:r w:rsidRPr="00865719">
        <w:rPr>
          <w:i/>
          <w:lang w:val="fr-CA"/>
        </w:rPr>
        <w:t>Employment Pension Plans Act</w:t>
      </w:r>
      <w:r>
        <w:rPr>
          <w:lang w:val="fr-CA"/>
        </w:rPr>
        <w:t>,</w:t>
      </w:r>
      <w:r w:rsidRPr="004A2BC3">
        <w:rPr>
          <w:lang w:val="fr-CA"/>
        </w:rPr>
        <w:t xml:space="preserve"> </w:t>
      </w:r>
      <w:r>
        <w:rPr>
          <w:lang w:val="fr-CA"/>
        </w:rPr>
        <w:t>S.A. 2012, c. </w:t>
      </w:r>
      <w:r w:rsidRPr="00865719">
        <w:rPr>
          <w:lang w:val="fr-CA"/>
        </w:rPr>
        <w:t>E</w:t>
      </w:r>
      <w:r>
        <w:rPr>
          <w:lang w:val="fr-CA"/>
        </w:rPr>
        <w:noBreakHyphen/>
      </w:r>
      <w:r w:rsidRPr="00865719">
        <w:rPr>
          <w:lang w:val="fr-CA"/>
        </w:rPr>
        <w:t>8.1.</w:t>
      </w:r>
      <w:r>
        <w:rPr>
          <w:lang w:val="fr-CA"/>
        </w:rPr>
        <w:t xml:space="preserve"> </w:t>
      </w:r>
    </w:p>
  </w:footnote>
  <w:footnote w:id="2">
    <w:p w:rsidR="007427DC" w:rsidRPr="006F28A5" w:rsidRDefault="007427DC" w:rsidP="00562A37">
      <w:pPr>
        <w:pStyle w:val="FootnoteText"/>
        <w:ind w:left="180" w:hanging="180"/>
        <w:jc w:val="both"/>
        <w:rPr>
          <w:lang w:val="fr-CA"/>
        </w:rPr>
      </w:pPr>
      <w:r w:rsidRPr="00865719">
        <w:rPr>
          <w:rStyle w:val="FootnoteReference"/>
          <w:lang w:val="fr-CA"/>
        </w:rPr>
        <w:footnoteRef/>
      </w:r>
      <w:r w:rsidRPr="00865719">
        <w:rPr>
          <w:lang w:val="fr-CA"/>
        </w:rPr>
        <w:t xml:space="preserve"> </w:t>
      </w:r>
      <w:r w:rsidR="00562A37">
        <w:rPr>
          <w:lang w:val="fr-CA"/>
        </w:rPr>
        <w:tab/>
      </w:r>
      <w:r>
        <w:rPr>
          <w:lang w:val="fr-CA"/>
        </w:rPr>
        <w:t>Ces dispositions ont depuis été remplacées par l’art. </w:t>
      </w:r>
      <w:r w:rsidRPr="00865719">
        <w:rPr>
          <w:lang w:val="fr-CA"/>
        </w:rPr>
        <w:t xml:space="preserve">13 </w:t>
      </w:r>
      <w:r w:rsidRPr="006F28A5">
        <w:rPr>
          <w:lang w:val="fr-CA"/>
        </w:rPr>
        <w:t>de l’</w:t>
      </w:r>
      <w:r w:rsidRPr="006F28A5">
        <w:rPr>
          <w:i/>
          <w:lang w:val="fr-CA"/>
        </w:rPr>
        <w:t>Employment Pension Plans Act</w:t>
      </w:r>
      <w:r w:rsidRPr="006F28A5">
        <w:rPr>
          <w:lang w:val="fr-CA"/>
        </w:rPr>
        <w:t xml:space="preserve"> (2012)</w:t>
      </w:r>
      <w:r w:rsidRPr="006F28A5">
        <w:rPr>
          <w:i/>
          <w:lang w:val="fr-CA"/>
        </w:rPr>
        <w:t>.</w:t>
      </w:r>
      <w:r w:rsidRPr="006F28A5">
        <w:rPr>
          <w:lang w:val="fr-CA"/>
        </w:rPr>
        <w:t xml:space="preserve"> </w:t>
      </w:r>
    </w:p>
  </w:footnote>
  <w:footnote w:id="3">
    <w:p w:rsidR="007427DC" w:rsidRPr="00865719" w:rsidRDefault="007427DC" w:rsidP="00562A37">
      <w:pPr>
        <w:pStyle w:val="FootnoteText"/>
        <w:ind w:left="180" w:hanging="180"/>
        <w:jc w:val="both"/>
        <w:rPr>
          <w:lang w:val="fr-CA"/>
        </w:rPr>
      </w:pPr>
      <w:r w:rsidRPr="006F28A5">
        <w:rPr>
          <w:rStyle w:val="FootnoteReference"/>
          <w:lang w:val="fr-CA"/>
        </w:rPr>
        <w:footnoteRef/>
      </w:r>
      <w:r w:rsidRPr="006F28A5">
        <w:rPr>
          <w:lang w:val="fr-CA"/>
        </w:rPr>
        <w:t xml:space="preserve"> Ces dispositions ont depuis été remplacées par les art. 48 et 49 de l’</w:t>
      </w:r>
      <w:r w:rsidRPr="006F28A5">
        <w:rPr>
          <w:i/>
          <w:lang w:val="fr-CA"/>
        </w:rPr>
        <w:t>Employment</w:t>
      </w:r>
      <w:r w:rsidRPr="00865719">
        <w:rPr>
          <w:i/>
          <w:lang w:val="fr-CA"/>
        </w:rPr>
        <w:t xml:space="preserve"> Pension Plans Regulation</w:t>
      </w:r>
      <w:r w:rsidRPr="00865719">
        <w:rPr>
          <w:lang w:val="fr-CA"/>
        </w:rPr>
        <w:t>, Alta. Reg. 154/2014.</w:t>
      </w:r>
    </w:p>
  </w:footnote>
  <w:footnote w:id="4">
    <w:p w:rsidR="007427DC" w:rsidRPr="00865719" w:rsidRDefault="007427DC" w:rsidP="007427DC">
      <w:pPr>
        <w:pStyle w:val="FootnoteText"/>
        <w:jc w:val="both"/>
        <w:rPr>
          <w:lang w:val="fr-CA"/>
        </w:rPr>
      </w:pPr>
      <w:r w:rsidRPr="00865719">
        <w:rPr>
          <w:rStyle w:val="FootnoteReference"/>
          <w:lang w:val="fr-CA"/>
        </w:rPr>
        <w:footnoteRef/>
      </w:r>
      <w:r w:rsidRPr="00865719">
        <w:rPr>
          <w:lang w:val="fr-CA"/>
        </w:rPr>
        <w:t xml:space="preserve"> </w:t>
      </w:r>
      <w:r>
        <w:rPr>
          <w:lang w:val="fr-CA"/>
        </w:rPr>
        <w:t>Cette disposition</w:t>
      </w:r>
      <w:r w:rsidRPr="00865719">
        <w:rPr>
          <w:lang w:val="fr-CA"/>
        </w:rPr>
        <w:t xml:space="preserve"> </w:t>
      </w:r>
      <w:r>
        <w:rPr>
          <w:lang w:val="fr-CA"/>
        </w:rPr>
        <w:t xml:space="preserve">a depuis été remplacée par </w:t>
      </w:r>
      <w:r w:rsidRPr="006F28A5">
        <w:rPr>
          <w:lang w:val="fr-CA"/>
        </w:rPr>
        <w:t>l’al. 52(2)</w:t>
      </w:r>
      <w:r w:rsidR="00835ACA">
        <w:rPr>
          <w:lang w:val="fr-CA"/>
        </w:rPr>
        <w:t>(</w:t>
      </w:r>
      <w:r w:rsidRPr="00835ACA">
        <w:rPr>
          <w:lang w:val="fr-CA"/>
        </w:rPr>
        <w:t>b</w:t>
      </w:r>
      <w:r w:rsidRPr="006F28A5">
        <w:rPr>
          <w:lang w:val="fr-CA"/>
        </w:rPr>
        <w:t>) de l’</w:t>
      </w:r>
      <w:r w:rsidRPr="006F28A5">
        <w:rPr>
          <w:i/>
          <w:lang w:val="fr-CA"/>
        </w:rPr>
        <w:t>Employment Pension Plans Act</w:t>
      </w:r>
      <w:r w:rsidRPr="006F28A5">
        <w:rPr>
          <w:lang w:val="fr-CA"/>
        </w:rPr>
        <w:t xml:space="preserve"> (2012).</w:t>
      </w:r>
    </w:p>
  </w:footnote>
  <w:footnote w:id="5">
    <w:p w:rsidR="007427DC" w:rsidRPr="00865719" w:rsidRDefault="007427DC" w:rsidP="003A1CDB">
      <w:pPr>
        <w:pStyle w:val="FootnoteText"/>
        <w:tabs>
          <w:tab w:val="left" w:pos="180"/>
        </w:tabs>
        <w:ind w:left="180" w:hanging="180"/>
        <w:jc w:val="both"/>
        <w:rPr>
          <w:lang w:val="fr-CA"/>
        </w:rPr>
      </w:pPr>
      <w:r w:rsidRPr="00865719">
        <w:rPr>
          <w:rStyle w:val="FootnoteReference"/>
          <w:lang w:val="fr-CA"/>
        </w:rPr>
        <w:footnoteRef/>
      </w:r>
      <w:r w:rsidR="003A1CDB">
        <w:rPr>
          <w:lang w:val="fr-CA"/>
        </w:rPr>
        <w:t xml:space="preserve"> </w:t>
      </w:r>
      <w:r w:rsidR="003A1CDB">
        <w:rPr>
          <w:lang w:val="fr-CA"/>
        </w:rPr>
        <w:tab/>
      </w:r>
      <w:r>
        <w:rPr>
          <w:lang w:val="fr-CA"/>
        </w:rPr>
        <w:t>La</w:t>
      </w:r>
      <w:r w:rsidRPr="00865719">
        <w:rPr>
          <w:lang w:val="fr-CA"/>
        </w:rPr>
        <w:t xml:space="preserve"> </w:t>
      </w:r>
      <w:r w:rsidRPr="00865719">
        <w:rPr>
          <w:i/>
          <w:lang w:val="fr-CA"/>
        </w:rPr>
        <w:t>GUA</w:t>
      </w:r>
      <w:r>
        <w:rPr>
          <w:lang w:val="fr-CA"/>
        </w:rPr>
        <w:t xml:space="preserve"> donne à la Commission certaines indications sur la manière de calculer le rendement qu’un service public peut toucher sur sa base de tarification en précisant quelles données peuvent être prises en compte dans ce processus </w:t>
      </w:r>
      <w:r w:rsidRPr="00865719">
        <w:rPr>
          <w:lang w:val="fr-CA"/>
        </w:rPr>
        <w:t xml:space="preserve">: </w:t>
      </w:r>
      <w:r>
        <w:rPr>
          <w:lang w:val="fr-CA"/>
        </w:rPr>
        <w:t>[</w:t>
      </w:r>
      <w:r w:rsidRPr="00723090">
        <w:rPr>
          <w:smallCaps/>
          <w:lang w:val="fr-CA"/>
        </w:rPr>
        <w:t>traduction</w:t>
      </w:r>
      <w:r>
        <w:rPr>
          <w:sz w:val="18"/>
          <w:lang w:val="fr-CA"/>
        </w:rPr>
        <w:t xml:space="preserve">] </w:t>
      </w:r>
      <w:r>
        <w:rPr>
          <w:lang w:val="fr-CA"/>
        </w:rPr>
        <w:t>« </w:t>
      </w:r>
      <w:r w:rsidRPr="00722CC3">
        <w:rPr>
          <w:lang w:val="fr-CA"/>
        </w:rPr>
        <w:t xml:space="preserve">Pour établir le juste rendement auquel a droit le propriétaire </w:t>
      </w:r>
      <w:r>
        <w:rPr>
          <w:lang w:val="fr-CA"/>
        </w:rPr>
        <w:t xml:space="preserve">d’un service public de gaz sur sa </w:t>
      </w:r>
      <w:r w:rsidRPr="00722CC3">
        <w:rPr>
          <w:lang w:val="fr-CA"/>
        </w:rPr>
        <w:t xml:space="preserve">base </w:t>
      </w:r>
      <w:r>
        <w:rPr>
          <w:lang w:val="fr-CA"/>
        </w:rPr>
        <w:t xml:space="preserve">de </w:t>
      </w:r>
      <w:r w:rsidRPr="00722CC3">
        <w:rPr>
          <w:lang w:val="fr-CA"/>
        </w:rPr>
        <w:t>tarif</w:t>
      </w:r>
      <w:r>
        <w:rPr>
          <w:lang w:val="fr-CA"/>
        </w:rPr>
        <w:t>ication</w:t>
      </w:r>
      <w:r w:rsidRPr="00722CC3">
        <w:rPr>
          <w:lang w:val="fr-CA"/>
        </w:rPr>
        <w:t>, la Commission tient</w:t>
      </w:r>
      <w:r>
        <w:rPr>
          <w:lang w:val="fr-CA"/>
        </w:rPr>
        <w:t xml:space="preserve"> dûment</w:t>
      </w:r>
      <w:r w:rsidRPr="00722CC3">
        <w:rPr>
          <w:lang w:val="fr-CA"/>
        </w:rPr>
        <w:t xml:space="preserve"> compte de tous les </w:t>
      </w:r>
      <w:r>
        <w:rPr>
          <w:lang w:val="fr-CA"/>
        </w:rPr>
        <w:t xml:space="preserve">faits </w:t>
      </w:r>
      <w:r w:rsidRPr="00722CC3">
        <w:rPr>
          <w:lang w:val="fr-CA"/>
        </w:rPr>
        <w:t>qu</w:t>
      </w:r>
      <w:r>
        <w:rPr>
          <w:lang w:val="fr-CA"/>
        </w:rPr>
        <w:t>’elle estime pertinents » (par. </w:t>
      </w:r>
      <w:r w:rsidRPr="00865719">
        <w:rPr>
          <w:lang w:val="fr-CA"/>
        </w:rPr>
        <w:t>37</w:t>
      </w:r>
      <w:r>
        <w:rPr>
          <w:lang w:val="fr-CA"/>
        </w:rPr>
        <w:t>(3))</w:t>
      </w:r>
      <w:r w:rsidRPr="00865719">
        <w:rPr>
          <w:lang w:val="fr-CA"/>
        </w:rPr>
        <w:t>.</w:t>
      </w:r>
      <w:r>
        <w:rPr>
          <w:lang w:val="fr-CA"/>
        </w:rPr>
        <w:t xml:space="preserve"> Toutefois, elle ne fournit aucune autre indication sur la méthode à appliquer pour déterminer si les dépenses d’un service public sont susceptibles de recouvrement.</w:t>
      </w:r>
    </w:p>
  </w:footnote>
  <w:footnote w:id="6">
    <w:p w:rsidR="007427DC" w:rsidRPr="003B1709" w:rsidRDefault="007427DC" w:rsidP="00353B35">
      <w:pPr>
        <w:pStyle w:val="FootnoteText"/>
        <w:tabs>
          <w:tab w:val="left" w:pos="180"/>
        </w:tabs>
        <w:ind w:left="180" w:hanging="180"/>
        <w:jc w:val="both"/>
        <w:rPr>
          <w:lang w:val="fr-CA"/>
        </w:rPr>
      </w:pPr>
      <w:r w:rsidRPr="00865719">
        <w:rPr>
          <w:rStyle w:val="FootnoteReference"/>
          <w:lang w:val="fr-CA"/>
        </w:rPr>
        <w:footnoteRef/>
      </w:r>
      <w:r w:rsidRPr="00865719">
        <w:rPr>
          <w:lang w:val="fr-CA"/>
        </w:rPr>
        <w:t xml:space="preserve"> </w:t>
      </w:r>
      <w:r w:rsidR="00353B35">
        <w:rPr>
          <w:lang w:val="fr-CA"/>
        </w:rPr>
        <w:tab/>
      </w:r>
      <w:r>
        <w:rPr>
          <w:lang w:val="fr-CA"/>
        </w:rPr>
        <w:t>Ces dispositions ont depuis été remplacées par l’art. </w:t>
      </w:r>
      <w:r w:rsidRPr="00865719">
        <w:rPr>
          <w:lang w:val="fr-CA"/>
        </w:rPr>
        <w:t xml:space="preserve">13 </w:t>
      </w:r>
      <w:r w:rsidRPr="003B1709">
        <w:rPr>
          <w:lang w:val="fr-CA"/>
        </w:rPr>
        <w:t>de l’</w:t>
      </w:r>
      <w:r w:rsidRPr="003B1709">
        <w:rPr>
          <w:i/>
          <w:lang w:val="fr-CA"/>
        </w:rPr>
        <w:t>Employment Pension Plans Act</w:t>
      </w:r>
      <w:r w:rsidRPr="003B1709">
        <w:rPr>
          <w:lang w:val="fr-CA"/>
        </w:rPr>
        <w:t xml:space="preserve"> (2012).</w:t>
      </w:r>
    </w:p>
  </w:footnote>
  <w:footnote w:id="7">
    <w:p w:rsidR="007427DC" w:rsidRPr="003B1709" w:rsidRDefault="007427DC" w:rsidP="00353B35">
      <w:pPr>
        <w:pStyle w:val="FootnoteText"/>
        <w:tabs>
          <w:tab w:val="left" w:pos="180"/>
        </w:tabs>
        <w:ind w:left="180" w:hanging="180"/>
        <w:jc w:val="both"/>
        <w:rPr>
          <w:lang w:val="fr-CA"/>
        </w:rPr>
      </w:pPr>
      <w:r w:rsidRPr="003B1709">
        <w:rPr>
          <w:rStyle w:val="FootnoteReference"/>
          <w:lang w:val="fr-CA"/>
        </w:rPr>
        <w:footnoteRef/>
      </w:r>
      <w:r w:rsidRPr="003B1709">
        <w:rPr>
          <w:lang w:val="fr-CA"/>
        </w:rPr>
        <w:t xml:space="preserve"> </w:t>
      </w:r>
      <w:r w:rsidR="00353B35">
        <w:rPr>
          <w:lang w:val="fr-CA"/>
        </w:rPr>
        <w:tab/>
      </w:r>
      <w:r w:rsidRPr="003B1709">
        <w:rPr>
          <w:lang w:val="fr-CA"/>
        </w:rPr>
        <w:t>Ces dispositions ont depuis été remplacées par les art. 48 et 49 de l’</w:t>
      </w:r>
      <w:r w:rsidRPr="003B1709">
        <w:rPr>
          <w:i/>
          <w:lang w:val="fr-CA"/>
        </w:rPr>
        <w:t>Employment Pension Plans Regulation</w:t>
      </w:r>
      <w:r w:rsidRPr="003B1709">
        <w:rPr>
          <w:lang w:val="fr-CA"/>
        </w:rPr>
        <w:t xml:space="preserve"> (2014).</w:t>
      </w:r>
    </w:p>
  </w:footnote>
  <w:footnote w:id="8">
    <w:p w:rsidR="007427DC" w:rsidRPr="00865719" w:rsidRDefault="007427DC" w:rsidP="00353B35">
      <w:pPr>
        <w:pStyle w:val="FootnoteText"/>
        <w:tabs>
          <w:tab w:val="left" w:pos="180"/>
        </w:tabs>
        <w:ind w:left="180" w:hanging="180"/>
        <w:jc w:val="both"/>
        <w:rPr>
          <w:lang w:val="fr-CA"/>
        </w:rPr>
      </w:pPr>
      <w:r w:rsidRPr="003B1709">
        <w:rPr>
          <w:rStyle w:val="FootnoteReference"/>
          <w:lang w:val="fr-CA"/>
        </w:rPr>
        <w:footnoteRef/>
      </w:r>
      <w:r w:rsidRPr="003B1709">
        <w:rPr>
          <w:lang w:val="fr-CA"/>
        </w:rPr>
        <w:t xml:space="preserve"> </w:t>
      </w:r>
      <w:r w:rsidR="00353B35">
        <w:rPr>
          <w:lang w:val="fr-CA"/>
        </w:rPr>
        <w:tab/>
      </w:r>
      <w:r w:rsidRPr="003B1709">
        <w:rPr>
          <w:lang w:val="fr-CA"/>
        </w:rPr>
        <w:t xml:space="preserve">Par souci de clarté, le rapport actuariel </w:t>
      </w:r>
      <w:r w:rsidR="00353B35">
        <w:rPr>
          <w:lang w:val="fr-CA"/>
        </w:rPr>
        <w:t xml:space="preserve">de </w:t>
      </w:r>
      <w:r w:rsidRPr="003B1709">
        <w:rPr>
          <w:lang w:val="fr-CA"/>
        </w:rPr>
        <w:t>2009 et le régime APD utilisent deux termes différents, quoique liés sur le plan conceptuel, pour désigner l’augmentation annuelle</w:t>
      </w:r>
      <w:r>
        <w:rPr>
          <w:lang w:val="fr-CA"/>
        </w:rPr>
        <w:t xml:space="preserve"> des prestations versées aux retraités </w:t>
      </w:r>
      <w:r w:rsidRPr="00865719">
        <w:rPr>
          <w:lang w:val="fr-CA"/>
        </w:rPr>
        <w:t xml:space="preserve">: </w:t>
      </w:r>
      <w:r>
        <w:rPr>
          <w:lang w:val="fr-CA"/>
        </w:rPr>
        <w:t xml:space="preserve">le régime APD renvoie à l’ajustement au coût de la vie (AACV), alors que le rapport actuariel </w:t>
      </w:r>
      <w:r w:rsidR="00353B35">
        <w:rPr>
          <w:lang w:val="fr-CA"/>
        </w:rPr>
        <w:t xml:space="preserve">de </w:t>
      </w:r>
      <w:r w:rsidRPr="00865719">
        <w:rPr>
          <w:lang w:val="fr-CA"/>
        </w:rPr>
        <w:t>2009</w:t>
      </w:r>
      <w:r>
        <w:rPr>
          <w:lang w:val="fr-CA"/>
        </w:rPr>
        <w:t xml:space="preserve"> parle de </w:t>
      </w:r>
      <w:r w:rsidR="00353B35">
        <w:rPr>
          <w:lang w:val="fr-CA"/>
        </w:rPr>
        <w:t>[</w:t>
      </w:r>
      <w:r w:rsidR="00353B35" w:rsidRPr="00353B35">
        <w:rPr>
          <w:smallCaps/>
          <w:lang w:val="fr-CA"/>
        </w:rPr>
        <w:t>traduction</w:t>
      </w:r>
      <w:r w:rsidR="00353B35">
        <w:rPr>
          <w:lang w:val="fr-CA"/>
        </w:rPr>
        <w:t xml:space="preserve">] </w:t>
      </w:r>
      <w:r>
        <w:rPr>
          <w:lang w:val="fr-CA"/>
        </w:rPr>
        <w:t>« </w:t>
      </w:r>
      <w:r w:rsidR="007C02E8">
        <w:rPr>
          <w:lang w:val="fr-CA"/>
        </w:rPr>
        <w:t>l’</w:t>
      </w:r>
      <w:r>
        <w:rPr>
          <w:lang w:val="fr-CA"/>
        </w:rPr>
        <w:t>augmentation des prestations versées aux retraités »</w:t>
      </w:r>
      <w:r w:rsidRPr="00865719">
        <w:rPr>
          <w:lang w:val="fr-CA"/>
        </w:rPr>
        <w:t xml:space="preserve">. </w:t>
      </w:r>
      <w:r w:rsidR="00353B35">
        <w:rPr>
          <w:lang w:val="fr-CA"/>
        </w:rPr>
        <w:t>L’augmentation de 2,25 p. 100</w:t>
      </w:r>
      <w:r>
        <w:rPr>
          <w:lang w:val="fr-CA"/>
        </w:rPr>
        <w:t xml:space="preserve"> des prestations versées aux retraités prévue dans le rapport actuariel </w:t>
      </w:r>
      <w:r w:rsidR="00353B35">
        <w:rPr>
          <w:lang w:val="fr-CA"/>
        </w:rPr>
        <w:t xml:space="preserve">de </w:t>
      </w:r>
      <w:r w:rsidRPr="00865719">
        <w:rPr>
          <w:lang w:val="fr-CA"/>
        </w:rPr>
        <w:t>2009</w:t>
      </w:r>
      <w:r>
        <w:rPr>
          <w:lang w:val="fr-CA"/>
        </w:rPr>
        <w:t xml:space="preserve"> est établie selon la formule d’AACV du régime APD</w:t>
      </w:r>
      <w:r w:rsidRPr="002D1237">
        <w:rPr>
          <w:lang w:val="fr-CA"/>
        </w:rPr>
        <w:t xml:space="preserve"> </w:t>
      </w:r>
      <w:r>
        <w:rPr>
          <w:lang w:val="fr-CA"/>
        </w:rPr>
        <w:t>et le taux d’inflation retenu dans le rapport</w:t>
      </w:r>
      <w:r w:rsidRPr="00865719">
        <w:rPr>
          <w:lang w:val="fr-CA"/>
        </w:rPr>
        <w:t>.</w:t>
      </w:r>
    </w:p>
  </w:footnote>
  <w:footnote w:id="9">
    <w:p w:rsidR="007427DC" w:rsidRPr="00865719" w:rsidRDefault="007427DC" w:rsidP="00353B35">
      <w:pPr>
        <w:pStyle w:val="FootnoteText"/>
        <w:tabs>
          <w:tab w:val="left" w:pos="180"/>
        </w:tabs>
        <w:ind w:left="180" w:hanging="180"/>
        <w:jc w:val="both"/>
        <w:rPr>
          <w:lang w:val="fr-CA"/>
        </w:rPr>
      </w:pPr>
      <w:r w:rsidRPr="00865719">
        <w:rPr>
          <w:rStyle w:val="FootnoteReference"/>
          <w:lang w:val="fr-CA"/>
        </w:rPr>
        <w:footnoteRef/>
      </w:r>
      <w:r w:rsidRPr="00865719">
        <w:rPr>
          <w:lang w:val="fr-CA"/>
        </w:rPr>
        <w:t xml:space="preserve"> </w:t>
      </w:r>
      <w:r w:rsidR="00353B35">
        <w:rPr>
          <w:lang w:val="fr-CA"/>
        </w:rPr>
        <w:tab/>
      </w:r>
      <w:r>
        <w:rPr>
          <w:lang w:val="fr-CA"/>
        </w:rPr>
        <w:t xml:space="preserve">Cette </w:t>
      </w:r>
      <w:r w:rsidRPr="003B1709">
        <w:rPr>
          <w:lang w:val="fr-CA"/>
        </w:rPr>
        <w:t>disposition a depuis été remplacée par l’al. 60(2)</w:t>
      </w:r>
      <w:r w:rsidR="00353B35">
        <w:rPr>
          <w:lang w:val="fr-CA"/>
        </w:rPr>
        <w:t>(</w:t>
      </w:r>
      <w:r w:rsidRPr="00353B35">
        <w:rPr>
          <w:lang w:val="fr-CA"/>
        </w:rPr>
        <w:t>b</w:t>
      </w:r>
      <w:r w:rsidRPr="003B1709">
        <w:rPr>
          <w:lang w:val="fr-CA"/>
        </w:rPr>
        <w:t>) et le par. 60(3) de l’</w:t>
      </w:r>
      <w:r w:rsidRPr="003B1709">
        <w:rPr>
          <w:i/>
          <w:lang w:val="fr-CA"/>
        </w:rPr>
        <w:t>Employment Pension Plans Regulation</w:t>
      </w:r>
      <w:r w:rsidRPr="003B1709">
        <w:rPr>
          <w:lang w:val="fr-CA"/>
        </w:rPr>
        <w:t xml:space="preserve"> (2014).</w:t>
      </w:r>
    </w:p>
  </w:footnote>
  <w:footnote w:id="10">
    <w:p w:rsidR="007427DC" w:rsidRPr="00865719" w:rsidRDefault="007427DC" w:rsidP="00353B35">
      <w:pPr>
        <w:pStyle w:val="FootnoteText"/>
        <w:tabs>
          <w:tab w:val="left" w:pos="180"/>
        </w:tabs>
        <w:ind w:left="180" w:hanging="180"/>
        <w:jc w:val="both"/>
        <w:rPr>
          <w:lang w:val="fr-CA"/>
        </w:rPr>
      </w:pPr>
      <w:r w:rsidRPr="00865719">
        <w:rPr>
          <w:rStyle w:val="FootnoteReference"/>
          <w:lang w:val="fr-CA"/>
        </w:rPr>
        <w:footnoteRef/>
      </w:r>
      <w:r w:rsidRPr="00865719">
        <w:rPr>
          <w:lang w:val="fr-CA"/>
        </w:rPr>
        <w:t xml:space="preserve"> </w:t>
      </w:r>
      <w:r>
        <w:rPr>
          <w:lang w:val="fr-CA"/>
        </w:rPr>
        <w:t xml:space="preserve">Pour déterminer </w:t>
      </w:r>
      <w:r>
        <w:rPr>
          <w:i/>
          <w:lang w:val="fr-CA"/>
        </w:rPr>
        <w:t>la façon</w:t>
      </w:r>
      <w:r w:rsidRPr="00865719">
        <w:rPr>
          <w:lang w:val="fr-CA"/>
        </w:rPr>
        <w:t xml:space="preserve"> </w:t>
      </w:r>
      <w:r>
        <w:rPr>
          <w:lang w:val="fr-CA"/>
        </w:rPr>
        <w:t xml:space="preserve">dont le service public recouvrera </w:t>
      </w:r>
      <w:r w:rsidRPr="004032B9">
        <w:rPr>
          <w:lang w:val="fr-CA"/>
        </w:rPr>
        <w:t>ses dépenses,</w:t>
      </w:r>
      <w:r>
        <w:rPr>
          <w:lang w:val="fr-CA"/>
        </w:rPr>
        <w:t xml:space="preserve"> l’organisme de réglementation peut toutefois tenir compte de l’incidence des tarifs sur le consommateur. Une augmentation tarifaire imprévue et importante peut, par exemple, justifier l’organisme de réglementation d’imposer un échelonnement afin d’éviter la « perturbation tarifaire »</w:t>
      </w:r>
      <w:r w:rsidRPr="00865719">
        <w:rPr>
          <w:lang w:val="fr-CA"/>
        </w:rPr>
        <w:t xml:space="preserve">, </w:t>
      </w:r>
      <w:r>
        <w:rPr>
          <w:lang w:val="fr-CA"/>
        </w:rPr>
        <w:t xml:space="preserve">à condition que le service public soit indemnisé des répercussions financières du report du recouvrement de </w:t>
      </w:r>
      <w:r w:rsidRPr="003E3829">
        <w:rPr>
          <w:lang w:val="fr-CA"/>
        </w:rPr>
        <w:t>ses dépenses</w:t>
      </w:r>
      <w:r>
        <w:rPr>
          <w:lang w:val="fr-CA"/>
        </w:rPr>
        <w:t xml:space="preserve"> (</w:t>
      </w:r>
      <w:r w:rsidRPr="00865719">
        <w:rPr>
          <w:i/>
          <w:lang w:val="fr-CA"/>
        </w:rPr>
        <w:t>TransCanada</w:t>
      </w:r>
      <w:r>
        <w:rPr>
          <w:i/>
          <w:lang w:val="fr-CA"/>
        </w:rPr>
        <w:t xml:space="preserve"> Pipelines Ltd. c. Office national de l’énergie</w:t>
      </w:r>
      <w:r w:rsidRPr="00865719">
        <w:rPr>
          <w:lang w:val="fr-CA"/>
        </w:rPr>
        <w:t xml:space="preserve">, </w:t>
      </w:r>
      <w:r>
        <w:rPr>
          <w:lang w:val="fr-CA"/>
        </w:rPr>
        <w:t xml:space="preserve">2004 CAF 149, </w:t>
      </w:r>
      <w:r w:rsidRPr="00865719">
        <w:rPr>
          <w:lang w:val="fr-CA"/>
        </w:rPr>
        <w:t>par</w:t>
      </w:r>
      <w:r>
        <w:rPr>
          <w:lang w:val="fr-CA"/>
        </w:rPr>
        <w:t>. </w:t>
      </w:r>
      <w:r w:rsidRPr="00865719">
        <w:rPr>
          <w:lang w:val="fr-CA"/>
        </w:rPr>
        <w:t>43</w:t>
      </w:r>
      <w:r w:rsidR="00353B35">
        <w:rPr>
          <w:lang w:val="fr-CA"/>
        </w:rPr>
        <w:t xml:space="preserve"> (CanLII)</w:t>
      </w:r>
      <w:r>
        <w:rPr>
          <w:lang w:val="fr-CA"/>
        </w:rPr>
        <w:t>)</w:t>
      </w:r>
      <w:r w:rsidRPr="00865719">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E5" w:rsidRPr="00450352" w:rsidRDefault="00264B0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9F0AF6"/>
    <w:multiLevelType w:val="hybridMultilevel"/>
    <w:tmpl w:val="794CE1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632464"/>
    <w:multiLevelType w:val="hybridMultilevel"/>
    <w:tmpl w:val="2C9240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C555A8"/>
    <w:multiLevelType w:val="hybridMultilevel"/>
    <w:tmpl w:val="E3DCFDF2"/>
    <w:lvl w:ilvl="0" w:tplc="8DD4983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30B4F"/>
    <w:multiLevelType w:val="hybridMultilevel"/>
    <w:tmpl w:val="30F8245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6" w15:restartNumberingAfterBreak="0">
    <w:nsid w:val="406935AB"/>
    <w:multiLevelType w:val="hybridMultilevel"/>
    <w:tmpl w:val="E61E8FA0"/>
    <w:lvl w:ilvl="0" w:tplc="4EF8D84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814F33"/>
    <w:multiLevelType w:val="hybridMultilevel"/>
    <w:tmpl w:val="5F301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D5C8E3C2"/>
    <w:lvl w:ilvl="0">
      <w:start w:val="1"/>
      <w:numFmt w:val="upperRoman"/>
      <w:pStyle w:val="Title1LevelTitre1Niveau-AltL"/>
      <w:lvlText w:val="%1."/>
      <w:lvlJc w:val="left"/>
      <w:pPr>
        <w:tabs>
          <w:tab w:val="num" w:pos="1836"/>
        </w:tabs>
        <w:ind w:left="1836" w:hanging="576"/>
      </w:pPr>
      <w:rPr>
        <w:rFonts w:hint="default"/>
        <w:sz w:val="24"/>
      </w:rPr>
    </w:lvl>
    <w:lvl w:ilvl="1">
      <w:start w:val="1"/>
      <w:numFmt w:val="upperLetter"/>
      <w:pStyle w:val="Title2LevelTitre2Niveau"/>
      <w:lvlText w:val="%2."/>
      <w:lvlJc w:val="left"/>
      <w:pPr>
        <w:tabs>
          <w:tab w:val="num" w:pos="756"/>
        </w:tabs>
        <w:ind w:left="75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0F80217E"/>
    <w:lvl w:ilvl="0">
      <w:start w:val="1"/>
      <w:numFmt w:val="decimal"/>
      <w:pStyle w:val="ParaNoNdepar-AltN"/>
      <w:lvlText w:val="[%1]"/>
      <w:lvlJc w:val="left"/>
      <w:pPr>
        <w:tabs>
          <w:tab w:val="num" w:pos="1152"/>
        </w:tabs>
        <w:ind w:left="0" w:firstLine="0"/>
      </w:pPr>
      <w:rPr>
        <w:rFonts w:ascii="Times New Roman" w:hAnsi="Times New Roman" w:hint="default"/>
        <w:b w:val="0"/>
        <w:bCs w:val="0"/>
        <w:i w:val="0"/>
        <w:iCs w:val="0"/>
        <w:caps w:val="0"/>
        <w:smallCaps w:val="0"/>
        <w:strike w:val="0"/>
        <w:dstrike w:val="0"/>
        <w:noProof w:val="0"/>
        <w:vanish w:val="0"/>
        <w:color w:val="auto"/>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FF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0F5AE1"/>
    <w:multiLevelType w:val="hybridMultilevel"/>
    <w:tmpl w:val="77B25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7B0C79"/>
    <w:multiLevelType w:val="hybridMultilevel"/>
    <w:tmpl w:val="1748A1B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2"/>
  </w:num>
  <w:num w:numId="2">
    <w:abstractNumId w:val="2"/>
  </w:num>
  <w:num w:numId="3">
    <w:abstractNumId w:val="0"/>
  </w:num>
  <w:num w:numId="4">
    <w:abstractNumId w:val="9"/>
  </w:num>
  <w:num w:numId="5">
    <w:abstractNumId w:val="10"/>
  </w:num>
  <w:num w:numId="6">
    <w:abstractNumId w:val="11"/>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
  </w:num>
  <w:num w:numId="11">
    <w:abstractNumId w:val="5"/>
  </w:num>
  <w:num w:numId="12">
    <w:abstractNumId w:val="7"/>
  </w:num>
  <w:num w:numId="13">
    <w:abstractNumId w:val="13"/>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3F"/>
    <w:rsid w:val="00002440"/>
    <w:rsid w:val="0001036F"/>
    <w:rsid w:val="000201FE"/>
    <w:rsid w:val="0002649D"/>
    <w:rsid w:val="0002785E"/>
    <w:rsid w:val="000279AD"/>
    <w:rsid w:val="00030E0E"/>
    <w:rsid w:val="00036E84"/>
    <w:rsid w:val="00037851"/>
    <w:rsid w:val="00037A79"/>
    <w:rsid w:val="00047247"/>
    <w:rsid w:val="00056079"/>
    <w:rsid w:val="00056436"/>
    <w:rsid w:val="00057F33"/>
    <w:rsid w:val="000652C5"/>
    <w:rsid w:val="0007440B"/>
    <w:rsid w:val="00087E1B"/>
    <w:rsid w:val="00093BAD"/>
    <w:rsid w:val="000A19B7"/>
    <w:rsid w:val="000A56A6"/>
    <w:rsid w:val="000A5794"/>
    <w:rsid w:val="000A7522"/>
    <w:rsid w:val="000B14EF"/>
    <w:rsid w:val="000B3027"/>
    <w:rsid w:val="000B6CFC"/>
    <w:rsid w:val="000C2412"/>
    <w:rsid w:val="000C3C63"/>
    <w:rsid w:val="000E3971"/>
    <w:rsid w:val="000E5C6B"/>
    <w:rsid w:val="000F3E85"/>
    <w:rsid w:val="00111C49"/>
    <w:rsid w:val="00117559"/>
    <w:rsid w:val="00121A12"/>
    <w:rsid w:val="001420F8"/>
    <w:rsid w:val="00146012"/>
    <w:rsid w:val="001462DD"/>
    <w:rsid w:val="001472BB"/>
    <w:rsid w:val="00147D6E"/>
    <w:rsid w:val="0015135C"/>
    <w:rsid w:val="00161724"/>
    <w:rsid w:val="00167F3E"/>
    <w:rsid w:val="0017514B"/>
    <w:rsid w:val="001816F8"/>
    <w:rsid w:val="0018220C"/>
    <w:rsid w:val="00193AFF"/>
    <w:rsid w:val="00194E0E"/>
    <w:rsid w:val="001971E2"/>
    <w:rsid w:val="001A6A3B"/>
    <w:rsid w:val="001A7AF6"/>
    <w:rsid w:val="001B7F27"/>
    <w:rsid w:val="001C7CA3"/>
    <w:rsid w:val="001D62E8"/>
    <w:rsid w:val="001F380C"/>
    <w:rsid w:val="001F3A5B"/>
    <w:rsid w:val="0020722C"/>
    <w:rsid w:val="002143E6"/>
    <w:rsid w:val="00234CF4"/>
    <w:rsid w:val="002353B6"/>
    <w:rsid w:val="00237B2D"/>
    <w:rsid w:val="00246238"/>
    <w:rsid w:val="002478E3"/>
    <w:rsid w:val="002552D5"/>
    <w:rsid w:val="00264B0D"/>
    <w:rsid w:val="002669CF"/>
    <w:rsid w:val="002776AB"/>
    <w:rsid w:val="0028584F"/>
    <w:rsid w:val="00286579"/>
    <w:rsid w:val="002866CC"/>
    <w:rsid w:val="00290756"/>
    <w:rsid w:val="002918F3"/>
    <w:rsid w:val="00296FB5"/>
    <w:rsid w:val="002971E9"/>
    <w:rsid w:val="002A00F0"/>
    <w:rsid w:val="002A1B5C"/>
    <w:rsid w:val="002D2060"/>
    <w:rsid w:val="002D2139"/>
    <w:rsid w:val="002E2E13"/>
    <w:rsid w:val="002E5732"/>
    <w:rsid w:val="002F054A"/>
    <w:rsid w:val="002F4122"/>
    <w:rsid w:val="002F4BA0"/>
    <w:rsid w:val="00304AB0"/>
    <w:rsid w:val="00304E3F"/>
    <w:rsid w:val="003050E8"/>
    <w:rsid w:val="003105DF"/>
    <w:rsid w:val="00314536"/>
    <w:rsid w:val="00316363"/>
    <w:rsid w:val="00322BC0"/>
    <w:rsid w:val="0033102D"/>
    <w:rsid w:val="00335C96"/>
    <w:rsid w:val="00341DA0"/>
    <w:rsid w:val="00353B35"/>
    <w:rsid w:val="00354CF4"/>
    <w:rsid w:val="00360800"/>
    <w:rsid w:val="00363062"/>
    <w:rsid w:val="00381B20"/>
    <w:rsid w:val="00382868"/>
    <w:rsid w:val="003908C6"/>
    <w:rsid w:val="003A0254"/>
    <w:rsid w:val="003A1CDB"/>
    <w:rsid w:val="003A2CC9"/>
    <w:rsid w:val="003B0266"/>
    <w:rsid w:val="003B72D2"/>
    <w:rsid w:val="003C131C"/>
    <w:rsid w:val="003C2F35"/>
    <w:rsid w:val="003D0CA7"/>
    <w:rsid w:val="003D643E"/>
    <w:rsid w:val="003D73AC"/>
    <w:rsid w:val="003E3E9C"/>
    <w:rsid w:val="003F6C50"/>
    <w:rsid w:val="00400572"/>
    <w:rsid w:val="004024C0"/>
    <w:rsid w:val="00402AE5"/>
    <w:rsid w:val="00412C03"/>
    <w:rsid w:val="00422D15"/>
    <w:rsid w:val="00430A78"/>
    <w:rsid w:val="00441FD5"/>
    <w:rsid w:val="00445FDB"/>
    <w:rsid w:val="00446968"/>
    <w:rsid w:val="00452276"/>
    <w:rsid w:val="00460488"/>
    <w:rsid w:val="00461880"/>
    <w:rsid w:val="004639C0"/>
    <w:rsid w:val="00480EC9"/>
    <w:rsid w:val="00493B77"/>
    <w:rsid w:val="004B0CFC"/>
    <w:rsid w:val="004C3F5D"/>
    <w:rsid w:val="004F0A4A"/>
    <w:rsid w:val="00505390"/>
    <w:rsid w:val="00527D79"/>
    <w:rsid w:val="00531426"/>
    <w:rsid w:val="00544D8D"/>
    <w:rsid w:val="00546580"/>
    <w:rsid w:val="00552679"/>
    <w:rsid w:val="00555356"/>
    <w:rsid w:val="005575A4"/>
    <w:rsid w:val="00560594"/>
    <w:rsid w:val="00562A37"/>
    <w:rsid w:val="005776E9"/>
    <w:rsid w:val="00581364"/>
    <w:rsid w:val="005813EE"/>
    <w:rsid w:val="0059094C"/>
    <w:rsid w:val="00595C12"/>
    <w:rsid w:val="005B1A9A"/>
    <w:rsid w:val="005B6505"/>
    <w:rsid w:val="005B678A"/>
    <w:rsid w:val="005C13AA"/>
    <w:rsid w:val="005D37A6"/>
    <w:rsid w:val="005E5969"/>
    <w:rsid w:val="005F39A9"/>
    <w:rsid w:val="005F7415"/>
    <w:rsid w:val="0061039D"/>
    <w:rsid w:val="006144A2"/>
    <w:rsid w:val="006260C3"/>
    <w:rsid w:val="006349C8"/>
    <w:rsid w:val="00634D14"/>
    <w:rsid w:val="006350CA"/>
    <w:rsid w:val="006414D4"/>
    <w:rsid w:val="00641D05"/>
    <w:rsid w:val="00642551"/>
    <w:rsid w:val="0064272F"/>
    <w:rsid w:val="00650F54"/>
    <w:rsid w:val="00664F83"/>
    <w:rsid w:val="0066700F"/>
    <w:rsid w:val="006678ED"/>
    <w:rsid w:val="00667E99"/>
    <w:rsid w:val="0067569C"/>
    <w:rsid w:val="00677DFD"/>
    <w:rsid w:val="006815EA"/>
    <w:rsid w:val="0068524F"/>
    <w:rsid w:val="006902D6"/>
    <w:rsid w:val="00691AEB"/>
    <w:rsid w:val="00692E4D"/>
    <w:rsid w:val="00696186"/>
    <w:rsid w:val="006A096B"/>
    <w:rsid w:val="006B053A"/>
    <w:rsid w:val="006B74D0"/>
    <w:rsid w:val="006C4AE8"/>
    <w:rsid w:val="006C5E80"/>
    <w:rsid w:val="006D25AE"/>
    <w:rsid w:val="006D606B"/>
    <w:rsid w:val="006F0989"/>
    <w:rsid w:val="00700423"/>
    <w:rsid w:val="007045E6"/>
    <w:rsid w:val="00713944"/>
    <w:rsid w:val="00714BEA"/>
    <w:rsid w:val="00715FFB"/>
    <w:rsid w:val="00721AA7"/>
    <w:rsid w:val="007244CF"/>
    <w:rsid w:val="007279B0"/>
    <w:rsid w:val="00732040"/>
    <w:rsid w:val="00735714"/>
    <w:rsid w:val="007427DC"/>
    <w:rsid w:val="0074303F"/>
    <w:rsid w:val="007441A6"/>
    <w:rsid w:val="0074448F"/>
    <w:rsid w:val="00751B14"/>
    <w:rsid w:val="00772085"/>
    <w:rsid w:val="00781391"/>
    <w:rsid w:val="00791E0C"/>
    <w:rsid w:val="0079540D"/>
    <w:rsid w:val="00795BAC"/>
    <w:rsid w:val="007C02E8"/>
    <w:rsid w:val="007C78A7"/>
    <w:rsid w:val="007D5F32"/>
    <w:rsid w:val="008016CB"/>
    <w:rsid w:val="008100B6"/>
    <w:rsid w:val="00817092"/>
    <w:rsid w:val="0082499B"/>
    <w:rsid w:val="00827B58"/>
    <w:rsid w:val="008301D4"/>
    <w:rsid w:val="00835ACA"/>
    <w:rsid w:val="008437B1"/>
    <w:rsid w:val="0084690C"/>
    <w:rsid w:val="00850E87"/>
    <w:rsid w:val="00855C2F"/>
    <w:rsid w:val="008626F0"/>
    <w:rsid w:val="00867402"/>
    <w:rsid w:val="00872918"/>
    <w:rsid w:val="00876BBE"/>
    <w:rsid w:val="00881AAC"/>
    <w:rsid w:val="008A3125"/>
    <w:rsid w:val="008A42C6"/>
    <w:rsid w:val="008A45E6"/>
    <w:rsid w:val="008B0320"/>
    <w:rsid w:val="008B241A"/>
    <w:rsid w:val="008C1DCB"/>
    <w:rsid w:val="008C70D3"/>
    <w:rsid w:val="008D1065"/>
    <w:rsid w:val="008D1622"/>
    <w:rsid w:val="008D240F"/>
    <w:rsid w:val="008D2E68"/>
    <w:rsid w:val="008E321E"/>
    <w:rsid w:val="008E519B"/>
    <w:rsid w:val="008E569E"/>
    <w:rsid w:val="00925B6F"/>
    <w:rsid w:val="00932148"/>
    <w:rsid w:val="00932528"/>
    <w:rsid w:val="00933450"/>
    <w:rsid w:val="00934B1D"/>
    <w:rsid w:val="00935752"/>
    <w:rsid w:val="009451C3"/>
    <w:rsid w:val="00954BC5"/>
    <w:rsid w:val="00961322"/>
    <w:rsid w:val="0096734F"/>
    <w:rsid w:val="009711CA"/>
    <w:rsid w:val="00974062"/>
    <w:rsid w:val="0097652F"/>
    <w:rsid w:val="00997683"/>
    <w:rsid w:val="009A622D"/>
    <w:rsid w:val="009A7382"/>
    <w:rsid w:val="009B2ACB"/>
    <w:rsid w:val="009E249A"/>
    <w:rsid w:val="009E65F2"/>
    <w:rsid w:val="00A02B19"/>
    <w:rsid w:val="00A104E1"/>
    <w:rsid w:val="00A1458D"/>
    <w:rsid w:val="00A26A8D"/>
    <w:rsid w:val="00A30D95"/>
    <w:rsid w:val="00A33001"/>
    <w:rsid w:val="00A41D1C"/>
    <w:rsid w:val="00A43F86"/>
    <w:rsid w:val="00A455BA"/>
    <w:rsid w:val="00A6282B"/>
    <w:rsid w:val="00A63EF2"/>
    <w:rsid w:val="00A65939"/>
    <w:rsid w:val="00A71A4E"/>
    <w:rsid w:val="00A85DA5"/>
    <w:rsid w:val="00A90047"/>
    <w:rsid w:val="00AD6084"/>
    <w:rsid w:val="00AE042B"/>
    <w:rsid w:val="00AF2E55"/>
    <w:rsid w:val="00B143F7"/>
    <w:rsid w:val="00B15E9B"/>
    <w:rsid w:val="00B16B69"/>
    <w:rsid w:val="00B276D2"/>
    <w:rsid w:val="00B374DD"/>
    <w:rsid w:val="00B448E6"/>
    <w:rsid w:val="00B46C0D"/>
    <w:rsid w:val="00B50A5A"/>
    <w:rsid w:val="00B527E4"/>
    <w:rsid w:val="00B541C6"/>
    <w:rsid w:val="00B56064"/>
    <w:rsid w:val="00B952A2"/>
    <w:rsid w:val="00B9594B"/>
    <w:rsid w:val="00BB1C1B"/>
    <w:rsid w:val="00BB3217"/>
    <w:rsid w:val="00BB3909"/>
    <w:rsid w:val="00BC4192"/>
    <w:rsid w:val="00BD2E2A"/>
    <w:rsid w:val="00BD39FA"/>
    <w:rsid w:val="00BD71AC"/>
    <w:rsid w:val="00BE0116"/>
    <w:rsid w:val="00BF6FD9"/>
    <w:rsid w:val="00C0210B"/>
    <w:rsid w:val="00C063B5"/>
    <w:rsid w:val="00C075BA"/>
    <w:rsid w:val="00C13854"/>
    <w:rsid w:val="00C1527E"/>
    <w:rsid w:val="00C24CFB"/>
    <w:rsid w:val="00C3013A"/>
    <w:rsid w:val="00C31E32"/>
    <w:rsid w:val="00C3645C"/>
    <w:rsid w:val="00C42E20"/>
    <w:rsid w:val="00C53331"/>
    <w:rsid w:val="00C5442B"/>
    <w:rsid w:val="00C5580F"/>
    <w:rsid w:val="00C7091D"/>
    <w:rsid w:val="00C7319A"/>
    <w:rsid w:val="00C8384C"/>
    <w:rsid w:val="00C97365"/>
    <w:rsid w:val="00CA6280"/>
    <w:rsid w:val="00CB42B8"/>
    <w:rsid w:val="00CB6A63"/>
    <w:rsid w:val="00CB75CB"/>
    <w:rsid w:val="00CC1A7F"/>
    <w:rsid w:val="00CD0366"/>
    <w:rsid w:val="00CD6302"/>
    <w:rsid w:val="00CE1496"/>
    <w:rsid w:val="00CF0C0D"/>
    <w:rsid w:val="00CF49C8"/>
    <w:rsid w:val="00D00A36"/>
    <w:rsid w:val="00D0342C"/>
    <w:rsid w:val="00D054C1"/>
    <w:rsid w:val="00D1499A"/>
    <w:rsid w:val="00D43575"/>
    <w:rsid w:val="00D46852"/>
    <w:rsid w:val="00D50013"/>
    <w:rsid w:val="00D5161C"/>
    <w:rsid w:val="00D51F15"/>
    <w:rsid w:val="00D52940"/>
    <w:rsid w:val="00D57C17"/>
    <w:rsid w:val="00D60DFD"/>
    <w:rsid w:val="00D72689"/>
    <w:rsid w:val="00D9039D"/>
    <w:rsid w:val="00DA1516"/>
    <w:rsid w:val="00DB4028"/>
    <w:rsid w:val="00DE3349"/>
    <w:rsid w:val="00E01D59"/>
    <w:rsid w:val="00E070DB"/>
    <w:rsid w:val="00E1754E"/>
    <w:rsid w:val="00E3070A"/>
    <w:rsid w:val="00E318DF"/>
    <w:rsid w:val="00E37BC3"/>
    <w:rsid w:val="00E40785"/>
    <w:rsid w:val="00E43F98"/>
    <w:rsid w:val="00E505E7"/>
    <w:rsid w:val="00E53A94"/>
    <w:rsid w:val="00E54299"/>
    <w:rsid w:val="00E55255"/>
    <w:rsid w:val="00E57E66"/>
    <w:rsid w:val="00E61C85"/>
    <w:rsid w:val="00E72A10"/>
    <w:rsid w:val="00E7415D"/>
    <w:rsid w:val="00E74781"/>
    <w:rsid w:val="00E8361D"/>
    <w:rsid w:val="00E85C72"/>
    <w:rsid w:val="00E8668D"/>
    <w:rsid w:val="00E86C26"/>
    <w:rsid w:val="00EA3DEC"/>
    <w:rsid w:val="00EA775F"/>
    <w:rsid w:val="00EB1143"/>
    <w:rsid w:val="00EB47C9"/>
    <w:rsid w:val="00EC2FF1"/>
    <w:rsid w:val="00EC5205"/>
    <w:rsid w:val="00ED5CF2"/>
    <w:rsid w:val="00ED5E55"/>
    <w:rsid w:val="00EE5FE0"/>
    <w:rsid w:val="00EE7169"/>
    <w:rsid w:val="00EF63D1"/>
    <w:rsid w:val="00F03095"/>
    <w:rsid w:val="00F07307"/>
    <w:rsid w:val="00F1096D"/>
    <w:rsid w:val="00F2465B"/>
    <w:rsid w:val="00F33618"/>
    <w:rsid w:val="00F363E7"/>
    <w:rsid w:val="00F41FF2"/>
    <w:rsid w:val="00F545DB"/>
    <w:rsid w:val="00F71D33"/>
    <w:rsid w:val="00F823D0"/>
    <w:rsid w:val="00F83795"/>
    <w:rsid w:val="00F86B61"/>
    <w:rsid w:val="00F918D9"/>
    <w:rsid w:val="00FA0E89"/>
    <w:rsid w:val="00FA4DCE"/>
    <w:rsid w:val="00FA6359"/>
    <w:rsid w:val="00FC613A"/>
    <w:rsid w:val="00FC7CE7"/>
    <w:rsid w:val="00FD0319"/>
    <w:rsid w:val="00FD51DD"/>
    <w:rsid w:val="00FE0034"/>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9C69C-9224-462F-B586-CCB6D121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3F"/>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7427D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7427D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304E3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04E3F"/>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304E3F"/>
    <w:pPr>
      <w:tabs>
        <w:tab w:val="center" w:pos="4680"/>
        <w:tab w:val="right" w:pos="9360"/>
      </w:tabs>
    </w:pPr>
  </w:style>
  <w:style w:type="character" w:customStyle="1" w:styleId="HeaderChar">
    <w:name w:val="Header Char"/>
    <w:basedOn w:val="DefaultParagraphFont"/>
    <w:link w:val="Header"/>
    <w:uiPriority w:val="99"/>
    <w:rsid w:val="00304E3F"/>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304E3F"/>
    <w:pPr>
      <w:tabs>
        <w:tab w:val="center" w:pos="4680"/>
        <w:tab w:val="right" w:pos="9360"/>
      </w:tabs>
    </w:pPr>
  </w:style>
  <w:style w:type="character" w:customStyle="1" w:styleId="FooterChar">
    <w:name w:val="Footer Char"/>
    <w:basedOn w:val="DefaultParagraphFont"/>
    <w:link w:val="Footer"/>
    <w:uiPriority w:val="99"/>
    <w:rsid w:val="00304E3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304E3F"/>
    <w:pPr>
      <w:tabs>
        <w:tab w:val="right" w:pos="8222"/>
      </w:tabs>
      <w:jc w:val="both"/>
    </w:pPr>
    <w:rPr>
      <w:b/>
    </w:rPr>
  </w:style>
  <w:style w:type="character" w:customStyle="1" w:styleId="SCCLsocPartyChar">
    <w:name w:val="SCC.Lsoc.Party Char"/>
    <w:basedOn w:val="DefaultParagraphFont"/>
    <w:link w:val="SCCLsocParty"/>
    <w:rsid w:val="00304E3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304E3F"/>
    <w:pPr>
      <w:spacing w:after="720"/>
    </w:pPr>
    <w:rPr>
      <w:i/>
    </w:rPr>
  </w:style>
  <w:style w:type="character" w:customStyle="1" w:styleId="SCCLsocVersusChar">
    <w:name w:val="SCC.Lsoc.Versus Char"/>
    <w:basedOn w:val="DefaultParagraphFont"/>
    <w:link w:val="SCCLsocVersus"/>
    <w:rsid w:val="00304E3F"/>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304E3F"/>
    <w:rPr>
      <w:rFonts w:ascii="Times New Roman" w:eastAsia="Times New Roman" w:hAnsi="Times New Roman" w:cs="Times New Roman"/>
      <w:b/>
      <w:i/>
      <w:sz w:val="24"/>
      <w:szCs w:val="20"/>
      <w:lang w:val="en-CA" w:eastAsia="en-CA"/>
    </w:rPr>
  </w:style>
  <w:style w:type="paragraph" w:customStyle="1" w:styleId="SCCSystemYear">
    <w:name w:val="SCC.SystemYear"/>
    <w:basedOn w:val="Normal"/>
    <w:next w:val="Normal"/>
    <w:link w:val="SCCSystemYearChar"/>
    <w:rsid w:val="00304E3F"/>
    <w:rPr>
      <w:b/>
    </w:rPr>
  </w:style>
  <w:style w:type="character" w:customStyle="1" w:styleId="SCCSystemYearChar">
    <w:name w:val="SCC.SystemYear Char"/>
    <w:basedOn w:val="DefaultParagraphFont"/>
    <w:link w:val="SCCSystemYear"/>
    <w:rsid w:val="00304E3F"/>
    <w:rPr>
      <w:rFonts w:ascii="Times New Roman" w:eastAsia="Times New Roman" w:hAnsi="Times New Roman" w:cs="Times New Roman"/>
      <w:b/>
      <w:sz w:val="24"/>
      <w:szCs w:val="20"/>
      <w:lang w:val="en-CA" w:eastAsia="en-CA"/>
    </w:rPr>
  </w:style>
  <w:style w:type="paragraph" w:customStyle="1" w:styleId="SCCItalic">
    <w:name w:val="SCC.Italic"/>
    <w:basedOn w:val="SCCNormalDoubleSpacing"/>
    <w:next w:val="SCCNormalDoubleSpacing"/>
    <w:rsid w:val="00304E3F"/>
    <w:rPr>
      <w:i/>
    </w:rPr>
  </w:style>
  <w:style w:type="paragraph" w:customStyle="1" w:styleId="SCCLawFirm">
    <w:name w:val="SCC.LawFirm"/>
    <w:basedOn w:val="SCCNormalDoubleSpacing"/>
    <w:next w:val="SCCNormalDoubleSpacing"/>
    <w:link w:val="SCCLawFirmChar"/>
    <w:rsid w:val="00304E3F"/>
    <w:rPr>
      <w:i/>
    </w:rPr>
  </w:style>
  <w:style w:type="character" w:customStyle="1" w:styleId="SCCLawFirmChar">
    <w:name w:val="SCC.LawFirm Char"/>
    <w:basedOn w:val="SCCNormalDoubleSpacingChar"/>
    <w:link w:val="SCCLawFirm"/>
    <w:rsid w:val="00304E3F"/>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304E3F"/>
    <w:pPr>
      <w:tabs>
        <w:tab w:val="right" w:pos="8222"/>
      </w:tabs>
      <w:spacing w:after="720"/>
    </w:pPr>
    <w:rPr>
      <w:b/>
    </w:rPr>
  </w:style>
  <w:style w:type="character" w:customStyle="1" w:styleId="SCCLsocLastPartyInRoleChar">
    <w:name w:val="SCC.Lsoc.LastPartyInRole Char"/>
    <w:basedOn w:val="SCCLsocPartyChar"/>
    <w:link w:val="SCCLsocLastPartyInRole"/>
    <w:rsid w:val="00304E3F"/>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7427DC"/>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7427DC"/>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7427DC"/>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7427DC"/>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7427D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427DC"/>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7427DC"/>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7427DC"/>
    <w:rPr>
      <w:rFonts w:ascii="Times New Roman" w:hAnsi="Times New Roman"/>
      <w:sz w:val="24"/>
      <w:lang w:val="en-CA"/>
    </w:rPr>
  </w:style>
  <w:style w:type="paragraph" w:customStyle="1" w:styleId="SCCBanSummary">
    <w:name w:val="SCC.BanSummary"/>
    <w:basedOn w:val="Normal"/>
    <w:next w:val="Normal"/>
    <w:link w:val="SCCBanSummaryChar"/>
    <w:rsid w:val="007427DC"/>
    <w:pPr>
      <w:jc w:val="right"/>
    </w:pPr>
    <w:rPr>
      <w:rFonts w:eastAsiaTheme="minorEastAsia"/>
      <w:b/>
      <w:szCs w:val="24"/>
    </w:rPr>
  </w:style>
  <w:style w:type="character" w:customStyle="1" w:styleId="SCCBanSummaryChar">
    <w:name w:val="SCC.BanSummary Char"/>
    <w:basedOn w:val="DefaultParagraphFont"/>
    <w:link w:val="SCCBanSummary"/>
    <w:rsid w:val="007427DC"/>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7427DC"/>
    <w:rPr>
      <w:color w:val="808080"/>
    </w:rPr>
  </w:style>
  <w:style w:type="paragraph" w:styleId="BalloonText">
    <w:name w:val="Balloon Text"/>
    <w:basedOn w:val="Normal"/>
    <w:link w:val="BalloonTextChar"/>
    <w:uiPriority w:val="99"/>
    <w:semiHidden/>
    <w:unhideWhenUsed/>
    <w:rsid w:val="007427DC"/>
    <w:rPr>
      <w:rFonts w:ascii="Tahoma" w:hAnsi="Tahoma" w:cs="Tahoma"/>
      <w:sz w:val="16"/>
      <w:szCs w:val="16"/>
    </w:rPr>
  </w:style>
  <w:style w:type="character" w:customStyle="1" w:styleId="BalloonTextChar">
    <w:name w:val="Balloon Text Char"/>
    <w:basedOn w:val="DefaultParagraphFont"/>
    <w:link w:val="BalloonText"/>
    <w:uiPriority w:val="99"/>
    <w:semiHidden/>
    <w:rsid w:val="007427DC"/>
    <w:rPr>
      <w:rFonts w:ascii="Tahoma" w:eastAsia="Times New Roman" w:hAnsi="Tahoma" w:cs="Tahoma"/>
      <w:sz w:val="16"/>
      <w:szCs w:val="16"/>
      <w:lang w:val="en-CA" w:eastAsia="en-CA"/>
    </w:rPr>
  </w:style>
  <w:style w:type="table" w:styleId="TableGrid">
    <w:name w:val="Table Grid"/>
    <w:basedOn w:val="TableNormal"/>
    <w:uiPriority w:val="59"/>
    <w:rsid w:val="007427DC"/>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427DC"/>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7427DC"/>
    <w:pPr>
      <w:spacing w:before="480" w:after="480" w:line="480" w:lineRule="auto"/>
      <w:jc w:val="both"/>
    </w:pPr>
    <w:rPr>
      <w:rFonts w:ascii="Times New Roman" w:hAnsi="Times New Roman"/>
      <w:sz w:val="24"/>
      <w:lang w:val="en-CA"/>
    </w:rPr>
  </w:style>
  <w:style w:type="paragraph" w:customStyle="1" w:styleId="JudgeJuge">
    <w:name w:val="Judge / Juge"/>
    <w:uiPriority w:val="3"/>
    <w:rsid w:val="007427DC"/>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7427DC"/>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427DC"/>
    <w:pPr>
      <w:numPr>
        <w:numId w:val="7"/>
      </w:numPr>
      <w:tabs>
        <w:tab w:val="clear" w:pos="1836"/>
        <w:tab w:val="num" w:pos="576"/>
      </w:tabs>
      <w:spacing w:before="480" w:after="720" w:line="240" w:lineRule="auto"/>
      <w:ind w:left="576"/>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427DC"/>
    <w:pPr>
      <w:numPr>
        <w:ilvl w:val="1"/>
      </w:numPr>
      <w:tabs>
        <w:tab w:val="clear" w:pos="756"/>
        <w:tab w:val="num" w:pos="576"/>
      </w:tabs>
      <w:ind w:left="576"/>
    </w:pPr>
    <w:rPr>
      <w:i/>
      <w:u w:val="none"/>
    </w:rPr>
  </w:style>
  <w:style w:type="paragraph" w:customStyle="1" w:styleId="Title3LevelTitre3Niveau">
    <w:name w:val="Title 3 Level / Titre 3 Niveau"/>
    <w:basedOn w:val="Title1LevelTitre1Niveau-AltL"/>
    <w:next w:val="ParaNoNdepar-AltN"/>
    <w:uiPriority w:val="4"/>
    <w:qFormat/>
    <w:rsid w:val="007427DC"/>
    <w:pPr>
      <w:numPr>
        <w:ilvl w:val="2"/>
      </w:numPr>
    </w:pPr>
  </w:style>
  <w:style w:type="paragraph" w:customStyle="1" w:styleId="Title4LevelTitre4Niveau">
    <w:name w:val="Title 4 Level / Titre 4 Niveau"/>
    <w:basedOn w:val="Title3LevelTitre3Niveau"/>
    <w:next w:val="ParaNoNdepar-AltN"/>
    <w:uiPriority w:val="4"/>
    <w:qFormat/>
    <w:rsid w:val="007427D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427DC"/>
    <w:pPr>
      <w:numPr>
        <w:ilvl w:val="4"/>
      </w:numPr>
    </w:pPr>
  </w:style>
  <w:style w:type="paragraph" w:styleId="TOC1">
    <w:name w:val="toc 1"/>
    <w:basedOn w:val="Normal"/>
    <w:next w:val="Normal"/>
    <w:autoRedefine/>
    <w:uiPriority w:val="39"/>
    <w:unhideWhenUsed/>
    <w:rsid w:val="007427D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427D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427D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427D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427D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427DC"/>
    <w:pPr>
      <w:tabs>
        <w:tab w:val="left" w:pos="2160"/>
        <w:tab w:val="right" w:leader="dot" w:pos="8270"/>
      </w:tabs>
      <w:spacing w:after="100"/>
      <w:ind w:left="1800"/>
    </w:pPr>
    <w:rPr>
      <w:noProof/>
    </w:rPr>
  </w:style>
  <w:style w:type="table" w:customStyle="1" w:styleId="TableGrid1">
    <w:name w:val="Table Grid1"/>
    <w:basedOn w:val="TableNormal"/>
    <w:uiPriority w:val="59"/>
    <w:rsid w:val="007427DC"/>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427DC"/>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427DC"/>
    <w:pPr>
      <w:numPr>
        <w:ilvl w:val="5"/>
      </w:numPr>
    </w:pPr>
    <w:rPr>
      <w:i/>
      <w:u w:val="none"/>
    </w:rPr>
  </w:style>
  <w:style w:type="paragraph" w:styleId="ListParagraph">
    <w:name w:val="List Paragraph"/>
    <w:basedOn w:val="Normal"/>
    <w:uiPriority w:val="34"/>
    <w:qFormat/>
    <w:rsid w:val="007427DC"/>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427DC"/>
    <w:rPr>
      <w:sz w:val="16"/>
      <w:szCs w:val="16"/>
    </w:rPr>
  </w:style>
  <w:style w:type="paragraph" w:styleId="CommentText">
    <w:name w:val="annotation text"/>
    <w:basedOn w:val="Normal"/>
    <w:link w:val="CommentTextChar"/>
    <w:uiPriority w:val="99"/>
    <w:unhideWhenUsed/>
    <w:rsid w:val="007427DC"/>
    <w:rPr>
      <w:sz w:val="20"/>
    </w:rPr>
  </w:style>
  <w:style w:type="character" w:customStyle="1" w:styleId="CommentTextChar">
    <w:name w:val="Comment Text Char"/>
    <w:basedOn w:val="DefaultParagraphFont"/>
    <w:link w:val="CommentText"/>
    <w:uiPriority w:val="99"/>
    <w:rsid w:val="007427DC"/>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7427DC"/>
    <w:rPr>
      <w:b/>
      <w:bCs/>
    </w:rPr>
  </w:style>
  <w:style w:type="character" w:customStyle="1" w:styleId="CommentSubjectChar">
    <w:name w:val="Comment Subject Char"/>
    <w:basedOn w:val="CommentTextChar"/>
    <w:link w:val="CommentSubject"/>
    <w:uiPriority w:val="99"/>
    <w:semiHidden/>
    <w:rsid w:val="007427DC"/>
    <w:rPr>
      <w:rFonts w:ascii="Times New Roman" w:eastAsia="Times New Roman" w:hAnsi="Times New Roman" w:cs="Times New Roman"/>
      <w:b/>
      <w:bCs/>
      <w:sz w:val="20"/>
      <w:szCs w:val="20"/>
      <w:lang w:val="en-CA" w:eastAsia="en-CA"/>
    </w:rPr>
  </w:style>
  <w:style w:type="character" w:customStyle="1" w:styleId="reflex3-block">
    <w:name w:val="reflex3-block"/>
    <w:basedOn w:val="DefaultParagraphFont"/>
    <w:rsid w:val="007427DC"/>
  </w:style>
  <w:style w:type="character" w:customStyle="1" w:styleId="reflex3-alt">
    <w:name w:val="reflex3-alt"/>
    <w:basedOn w:val="DefaultParagraphFont"/>
    <w:rsid w:val="007427DC"/>
  </w:style>
  <w:style w:type="paragraph" w:styleId="FootnoteText">
    <w:name w:val="footnote text"/>
    <w:basedOn w:val="Normal"/>
    <w:link w:val="FootnoteTextChar"/>
    <w:uiPriority w:val="99"/>
    <w:semiHidden/>
    <w:unhideWhenUsed/>
    <w:rsid w:val="007427DC"/>
    <w:rPr>
      <w:sz w:val="20"/>
    </w:rPr>
  </w:style>
  <w:style w:type="character" w:customStyle="1" w:styleId="FootnoteTextChar">
    <w:name w:val="Footnote Text Char"/>
    <w:basedOn w:val="DefaultParagraphFont"/>
    <w:link w:val="FootnoteText"/>
    <w:uiPriority w:val="99"/>
    <w:semiHidden/>
    <w:rsid w:val="007427D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7427DC"/>
    <w:rPr>
      <w:vertAlign w:val="superscript"/>
    </w:rPr>
  </w:style>
  <w:style w:type="character" w:styleId="Emphasis">
    <w:name w:val="Emphasis"/>
    <w:basedOn w:val="DefaultParagraphFont"/>
    <w:uiPriority w:val="20"/>
    <w:qFormat/>
    <w:rsid w:val="007427DC"/>
    <w:rPr>
      <w:i/>
      <w:iCs/>
    </w:rPr>
  </w:style>
  <w:style w:type="character" w:customStyle="1" w:styleId="SCCLsocPartyRoleChar">
    <w:name w:val="SCC.Lsoc.PartyRole Char"/>
    <w:basedOn w:val="DefaultParagraphFont"/>
    <w:rsid w:val="00264B0D"/>
    <w:rPr>
      <w:lang w:val="fr-CA"/>
    </w:rPr>
  </w:style>
  <w:style w:type="paragraph" w:customStyle="1" w:styleId="SCCLsocPrefix">
    <w:name w:val="SCC.Lsoc.Prefix"/>
    <w:basedOn w:val="Normal"/>
    <w:next w:val="Normal"/>
    <w:link w:val="SCCLsocPrefixChar"/>
    <w:rsid w:val="00264B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64B0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39</Pages>
  <Words>9130</Words>
  <Characters>52042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45</cp:revision>
  <cp:lastPrinted>2015-10-05T18:42:00Z</cp:lastPrinted>
  <dcterms:created xsi:type="dcterms:W3CDTF">2015-09-25T12:53:00Z</dcterms:created>
  <dcterms:modified xsi:type="dcterms:W3CDTF">2016-02-25T19:39:00Z</dcterms:modified>
</cp:coreProperties>
</file>